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6"/>
          <w:highlight w:val="none"/>
        </w:rPr>
      </w:pPr>
      <w:r>
        <w:rPr>
          <w:rFonts w:hint="eastAsia" w:ascii="宋体" w:hAnsi="宋体" w:cs="宋体"/>
          <w:b/>
          <w:sz w:val="36"/>
          <w:highlight w:val="none"/>
        </w:rPr>
        <w:t>竞争性磋商文件</w:t>
      </w:r>
    </w:p>
    <w:p>
      <w:pPr>
        <w:spacing w:line="400" w:lineRule="exact"/>
        <w:jc w:val="cente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JSZC-320311-ZJZB-C2025-0172</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按照《中华人民共和国政府采购法》、《中华人民共和国政府采购法实施条例》及《政府采购竞争性磋商采购方式管理暂行办法》的规定，江苏中际招标代理有限公司对</w:t>
      </w:r>
      <w:r>
        <w:rPr>
          <w:rFonts w:hint="eastAsia" w:ascii="宋体" w:hAnsi="宋体" w:cs="宋体"/>
          <w:color w:val="auto"/>
          <w:sz w:val="24"/>
          <w:highlight w:val="none"/>
          <w:lang w:eastAsia="zh-CN"/>
        </w:rPr>
        <w:t>2025年泉山区嘉美路维修工程</w:t>
      </w:r>
      <w:r>
        <w:rPr>
          <w:rFonts w:hint="eastAsia" w:ascii="宋体" w:hAnsi="宋体" w:cs="宋体"/>
          <w:color w:val="auto"/>
          <w:sz w:val="24"/>
          <w:highlight w:val="none"/>
        </w:rPr>
        <w:t>采取竞争性磋商采购方式进行采购。如贵单位有意与本公司合作，请按以下竞争性磋商文件（以下简称磋商文件）要求参加磋商。</w:t>
      </w:r>
    </w:p>
    <w:p>
      <w:pPr>
        <w:spacing w:line="400" w:lineRule="exact"/>
        <w:jc w:val="center"/>
        <w:rPr>
          <w:rFonts w:ascii="宋体" w:hAnsi="宋体" w:cs="宋体"/>
          <w:color w:val="auto"/>
          <w:sz w:val="28"/>
          <w:szCs w:val="28"/>
          <w:highlight w:val="none"/>
        </w:rPr>
      </w:pPr>
    </w:p>
    <w:p>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第一章 项目说明</w:t>
      </w:r>
    </w:p>
    <w:p>
      <w:pPr>
        <w:spacing w:line="400" w:lineRule="exact"/>
        <w:ind w:firstLine="480"/>
        <w:rPr>
          <w:rFonts w:ascii="宋体" w:hAnsi="宋体" w:cs="宋体"/>
          <w:color w:val="auto"/>
          <w:sz w:val="24"/>
          <w:highlight w:val="none"/>
        </w:rPr>
      </w:pPr>
    </w:p>
    <w:p>
      <w:pPr>
        <w:spacing w:line="40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徐州市泉山区城市管理局</w:t>
      </w:r>
    </w:p>
    <w:p>
      <w:pPr>
        <w:spacing w:line="40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2025年泉山区嘉美路维修工程</w:t>
      </w:r>
    </w:p>
    <w:p>
      <w:pPr>
        <w:spacing w:line="40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三、项目编号：</w:t>
      </w:r>
      <w:r>
        <w:rPr>
          <w:rFonts w:hint="eastAsia" w:ascii="宋体" w:hAnsi="宋体" w:cs="宋体"/>
          <w:color w:val="auto"/>
          <w:sz w:val="24"/>
          <w:highlight w:val="none"/>
          <w:lang w:eastAsia="zh-CN"/>
        </w:rPr>
        <w:t>JSZC-320311-ZJZB-C2025-0172</w:t>
      </w:r>
    </w:p>
    <w:p>
      <w:pPr>
        <w:spacing w:line="400" w:lineRule="exact"/>
        <w:ind w:firstLine="480"/>
        <w:rPr>
          <w:rFonts w:ascii="宋体" w:hAnsi="宋体" w:cs="宋体"/>
          <w:sz w:val="24"/>
          <w:highlight w:val="none"/>
        </w:rPr>
      </w:pPr>
      <w:r>
        <w:rPr>
          <w:rFonts w:hint="eastAsia" w:ascii="宋体" w:hAnsi="宋体" w:cs="宋体"/>
          <w:sz w:val="24"/>
          <w:highlight w:val="none"/>
        </w:rPr>
        <w:t>四、采购邀请：通过发布公告的方式邀请符合相应资格条件的供应商参与竞争性磋商采购活动。</w:t>
      </w:r>
    </w:p>
    <w:p>
      <w:pPr>
        <w:spacing w:line="400" w:lineRule="exact"/>
        <w:ind w:firstLine="480"/>
        <w:rPr>
          <w:rFonts w:ascii="宋体" w:hAnsi="宋体" w:cs="宋体"/>
          <w:sz w:val="24"/>
          <w:highlight w:val="none"/>
        </w:rPr>
      </w:pPr>
      <w:r>
        <w:rPr>
          <w:rFonts w:hint="eastAsia" w:ascii="宋体" w:hAnsi="宋体" w:cs="宋体"/>
          <w:sz w:val="24"/>
          <w:highlight w:val="none"/>
        </w:rPr>
        <w:t>五、采购方式：本项目采用竞争性磋商采购方式。</w:t>
      </w:r>
    </w:p>
    <w:p>
      <w:pPr>
        <w:spacing w:line="400" w:lineRule="exact"/>
        <w:ind w:firstLine="480"/>
        <w:rPr>
          <w:rFonts w:ascii="宋体" w:hAnsi="宋体" w:cs="宋体"/>
          <w:sz w:val="24"/>
          <w:highlight w:val="none"/>
        </w:rPr>
      </w:pPr>
      <w:r>
        <w:rPr>
          <w:rFonts w:hint="eastAsia" w:ascii="宋体" w:hAnsi="宋体" w:cs="宋体"/>
          <w:sz w:val="24"/>
          <w:highlight w:val="none"/>
        </w:rPr>
        <w:t>六、供应商资格条件：见竞争性磋商公告（项目编号：</w:t>
      </w:r>
      <w:r>
        <w:rPr>
          <w:rFonts w:hint="eastAsia" w:ascii="宋体" w:hAnsi="宋体" w:cs="宋体"/>
          <w:sz w:val="24"/>
          <w:highlight w:val="none"/>
          <w:lang w:eastAsia="zh-CN"/>
        </w:rPr>
        <w:t>JSZC-320311-ZJZB-C2025-0172</w:t>
      </w:r>
      <w:r>
        <w:rPr>
          <w:rFonts w:hint="eastAsia" w:ascii="宋体" w:hAnsi="宋体" w:cs="宋体"/>
          <w:sz w:val="24"/>
          <w:highlight w:val="none"/>
        </w:rPr>
        <w:t>）。</w:t>
      </w:r>
    </w:p>
    <w:p>
      <w:pPr>
        <w:spacing w:line="400" w:lineRule="exact"/>
        <w:ind w:firstLine="480"/>
        <w:rPr>
          <w:rFonts w:ascii="宋体" w:hAnsi="宋体" w:cs="宋体"/>
          <w:sz w:val="24"/>
          <w:highlight w:val="none"/>
        </w:rPr>
      </w:pPr>
      <w:r>
        <w:rPr>
          <w:rFonts w:hint="eastAsia" w:ascii="宋体" w:hAnsi="宋体" w:cs="宋体"/>
          <w:sz w:val="24"/>
          <w:highlight w:val="none"/>
        </w:rPr>
        <w:t>七、采购预算（采购项目预算金额）：见《磋商文件》附件2、《项目要求（采购需求）》。</w:t>
      </w:r>
    </w:p>
    <w:p>
      <w:pPr>
        <w:spacing w:line="400" w:lineRule="exact"/>
        <w:ind w:firstLine="480"/>
        <w:rPr>
          <w:rFonts w:ascii="宋体" w:hAnsi="宋体" w:cs="宋体"/>
          <w:sz w:val="24"/>
          <w:highlight w:val="none"/>
        </w:rPr>
      </w:pPr>
      <w:r>
        <w:rPr>
          <w:rFonts w:hint="eastAsia" w:ascii="宋体" w:hAnsi="宋体" w:cs="宋体"/>
          <w:sz w:val="24"/>
          <w:highlight w:val="none"/>
        </w:rPr>
        <w:t>八、采购需求：见《磋商文件》附件2、《项目要求（采购需求）》。</w:t>
      </w:r>
    </w:p>
    <w:p>
      <w:pPr>
        <w:spacing w:line="400" w:lineRule="exact"/>
        <w:ind w:firstLine="480"/>
        <w:rPr>
          <w:rFonts w:ascii="宋体" w:hAnsi="宋体" w:cs="宋体"/>
          <w:sz w:val="24"/>
          <w:highlight w:val="none"/>
        </w:rPr>
      </w:pPr>
      <w:r>
        <w:rPr>
          <w:rFonts w:hint="eastAsia" w:ascii="宋体" w:hAnsi="宋体" w:cs="宋体"/>
          <w:sz w:val="24"/>
          <w:highlight w:val="none"/>
        </w:rPr>
        <w:t>九、合同草案条款：见《磋商文件》附件8、《合同草案条款》。</w:t>
      </w:r>
    </w:p>
    <w:p>
      <w:pPr>
        <w:spacing w:line="400" w:lineRule="exact"/>
        <w:ind w:firstLine="480"/>
        <w:rPr>
          <w:rFonts w:ascii="宋体" w:hAnsi="宋体" w:cs="宋体"/>
          <w:sz w:val="24"/>
          <w:highlight w:val="none"/>
        </w:rPr>
      </w:pPr>
      <w:r>
        <w:rPr>
          <w:rFonts w:hint="eastAsia" w:ascii="宋体" w:hAnsi="宋体" w:cs="宋体"/>
          <w:sz w:val="24"/>
          <w:highlight w:val="none"/>
        </w:rPr>
        <w:t>十、报价要求</w:t>
      </w:r>
    </w:p>
    <w:p>
      <w:pPr>
        <w:spacing w:line="400" w:lineRule="exact"/>
        <w:ind w:firstLine="480"/>
        <w:rPr>
          <w:rFonts w:ascii="宋体" w:hAnsi="宋体" w:cs="宋体"/>
          <w:sz w:val="24"/>
          <w:highlight w:val="none"/>
        </w:rPr>
      </w:pPr>
      <w:r>
        <w:rPr>
          <w:rFonts w:hint="eastAsia" w:ascii="宋体" w:hAnsi="宋体" w:cs="宋体"/>
          <w:sz w:val="24"/>
          <w:highlight w:val="none"/>
        </w:rPr>
        <w:t>1、供应商报价为要约，江苏中际招标代理有限公司无承诺表示时视为未成交，江苏中际招标代理有限公司认为必要时可重新进行竞争性磋商采购或采取其它方式采购。</w:t>
      </w:r>
    </w:p>
    <w:p>
      <w:pPr>
        <w:spacing w:line="400" w:lineRule="exact"/>
        <w:ind w:firstLine="480"/>
        <w:rPr>
          <w:rFonts w:ascii="宋体" w:hAnsi="宋体" w:cs="宋体"/>
          <w:sz w:val="24"/>
          <w:highlight w:val="none"/>
        </w:rPr>
      </w:pPr>
      <w:r>
        <w:rPr>
          <w:rFonts w:hint="eastAsia" w:ascii="宋体" w:hAnsi="宋体" w:cs="宋体"/>
          <w:sz w:val="24"/>
          <w:highlight w:val="none"/>
        </w:rPr>
        <w:t>2、按照《磋商报价表》要求填写首次报价。</w:t>
      </w:r>
    </w:p>
    <w:p>
      <w:pPr>
        <w:spacing w:line="400" w:lineRule="exact"/>
        <w:ind w:firstLine="480"/>
        <w:rPr>
          <w:rFonts w:ascii="宋体" w:hAnsi="宋体" w:cs="宋体"/>
          <w:sz w:val="24"/>
          <w:highlight w:val="none"/>
        </w:rPr>
      </w:pPr>
      <w:r>
        <w:rPr>
          <w:rFonts w:hint="eastAsia" w:ascii="宋体" w:hAnsi="宋体" w:cs="宋体"/>
          <w:sz w:val="24"/>
          <w:highlight w:val="none"/>
        </w:rPr>
        <w:t>3、报价包含本项目范围内的全部费用。供应商有漏报或不报的，采购人将视为有关费用已包括在本项目的报价中而不予支付。采购人不支付报价以外的任何费用。</w:t>
      </w:r>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第二章 磋商保证金</w:t>
      </w:r>
    </w:p>
    <w:p>
      <w:pPr>
        <w:spacing w:line="400" w:lineRule="exact"/>
        <w:ind w:firstLine="480"/>
        <w:rPr>
          <w:rFonts w:ascii="宋体" w:hAnsi="宋体" w:cs="宋体"/>
          <w:sz w:val="24"/>
          <w:highlight w:val="none"/>
        </w:rPr>
      </w:pPr>
    </w:p>
    <w:p>
      <w:pPr>
        <w:spacing w:line="400" w:lineRule="exact"/>
        <w:ind w:firstLine="480"/>
        <w:rPr>
          <w:rFonts w:ascii="宋体" w:hAnsi="宋体" w:cs="宋体"/>
          <w:sz w:val="24"/>
          <w:highlight w:val="none"/>
        </w:rPr>
      </w:pPr>
      <w:r>
        <w:rPr>
          <w:rFonts w:hint="eastAsia" w:ascii="宋体" w:hAnsi="宋体" w:cs="宋体"/>
          <w:sz w:val="24"/>
          <w:highlight w:val="none"/>
        </w:rPr>
        <w:t>十一、磋商保证金交纳数额和形式：不需交纳。</w:t>
      </w:r>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4"/>
          <w:highlight w:val="none"/>
        </w:rPr>
      </w:pPr>
      <w:r>
        <w:rPr>
          <w:rFonts w:hint="eastAsia" w:ascii="宋体" w:hAnsi="宋体" w:cs="宋体"/>
          <w:sz w:val="28"/>
          <w:szCs w:val="28"/>
          <w:highlight w:val="none"/>
        </w:rPr>
        <w:t>第三章 响应文件</w:t>
      </w:r>
    </w:p>
    <w:p>
      <w:pPr>
        <w:spacing w:line="400" w:lineRule="exact"/>
        <w:ind w:firstLine="480"/>
        <w:rPr>
          <w:rFonts w:ascii="宋体" w:hAnsi="宋体" w:cs="宋体"/>
          <w:sz w:val="24"/>
          <w:highlight w:val="none"/>
        </w:rPr>
      </w:pPr>
      <w:r>
        <w:rPr>
          <w:rFonts w:hint="eastAsia" w:ascii="宋体" w:hAnsi="宋体" w:cs="宋体"/>
          <w:sz w:val="24"/>
          <w:highlight w:val="none"/>
        </w:rPr>
        <w:t>十二、提交响应文件要求</w:t>
      </w:r>
    </w:p>
    <w:p>
      <w:pPr>
        <w:spacing w:line="400" w:lineRule="exact"/>
        <w:ind w:firstLine="480"/>
        <w:rPr>
          <w:rFonts w:ascii="宋体" w:hAnsi="宋体" w:cs="宋体"/>
          <w:sz w:val="24"/>
          <w:highlight w:val="none"/>
        </w:rPr>
      </w:pPr>
      <w:r>
        <w:rPr>
          <w:rFonts w:hint="eastAsia" w:ascii="宋体" w:hAnsi="宋体" w:cs="宋体"/>
          <w:sz w:val="24"/>
          <w:highlight w:val="none"/>
        </w:rPr>
        <w:t>（一）本项目通过“苏采云”系统进行电子采购，即供应商响应文件从政府采购客户端工具制作并通过“苏采云”系统提交。</w:t>
      </w:r>
    </w:p>
    <w:p>
      <w:pPr>
        <w:spacing w:line="400" w:lineRule="exact"/>
        <w:ind w:firstLine="480"/>
        <w:rPr>
          <w:rFonts w:ascii="宋体" w:hAnsi="宋体" w:cs="宋体"/>
          <w:sz w:val="24"/>
          <w:highlight w:val="none"/>
        </w:rPr>
      </w:pPr>
      <w:r>
        <w:rPr>
          <w:rFonts w:hint="eastAsia" w:ascii="宋体" w:hAnsi="宋体" w:cs="宋体"/>
          <w:sz w:val="24"/>
          <w:highlight w:val="none"/>
        </w:rPr>
        <w:t>供应商应当通过“苏采云”系统提交数据电文形式的响应文件（即电子投标）。未进行线上响应文件提交并解密(因“苏采云”系统导致解密失败的除外)的供应商，响应无效。</w:t>
      </w:r>
    </w:p>
    <w:p>
      <w:pPr>
        <w:spacing w:line="400" w:lineRule="exact"/>
        <w:ind w:firstLine="480"/>
        <w:rPr>
          <w:rFonts w:ascii="宋体" w:hAnsi="宋体" w:cs="宋体"/>
          <w:sz w:val="24"/>
          <w:highlight w:val="none"/>
        </w:rPr>
      </w:pPr>
      <w:r>
        <w:rPr>
          <w:rFonts w:hint="eastAsia" w:ascii="宋体" w:hAnsi="宋体" w:cs="宋体"/>
          <w:sz w:val="24"/>
          <w:highlight w:val="none"/>
        </w:rPr>
        <w:t>“CA数字证书”的获取：供应商需办理CA锁，“苏采云”系统目前仅支持“苏采云”系统下的意源CA，省内各地区办理的“苏采云”系统下的意源CA全省通用。“CA数字证书”的办理方法详见“徐州政府采购网-业务工作-快速服务-下载专区”中《江苏省政府采购（供应商）意源CA数字证书及电子签章办理指南》。</w:t>
      </w:r>
    </w:p>
    <w:p>
      <w:pPr>
        <w:spacing w:line="400" w:lineRule="exact"/>
        <w:ind w:firstLine="480"/>
        <w:rPr>
          <w:rFonts w:ascii="宋体" w:hAnsi="宋体" w:cs="宋体"/>
          <w:sz w:val="24"/>
          <w:highlight w:val="none"/>
        </w:rPr>
      </w:pPr>
      <w:r>
        <w:rPr>
          <w:rFonts w:hint="eastAsia" w:ascii="宋体" w:hAnsi="宋体" w:cs="宋体"/>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pPr>
        <w:pStyle w:val="65"/>
        <w:spacing w:line="400" w:lineRule="exact"/>
        <w:rPr>
          <w:rFonts w:ascii="宋体" w:hAnsi="宋体"/>
          <w:b/>
          <w:sz w:val="24"/>
          <w:szCs w:val="24"/>
          <w:highlight w:val="none"/>
        </w:rPr>
      </w:pPr>
      <w:r>
        <w:rPr>
          <w:rFonts w:ascii="宋体" w:hAnsi="宋体"/>
          <w:b/>
          <w:sz w:val="24"/>
          <w:szCs w:val="24"/>
          <w:highlight w:val="none"/>
        </w:rPr>
        <w:t>“苏采云”系统使用要求：</w:t>
      </w:r>
    </w:p>
    <w:p>
      <w:pPr>
        <w:pStyle w:val="65"/>
        <w:spacing w:line="400" w:lineRule="exact"/>
        <w:ind w:firstLine="480"/>
        <w:rPr>
          <w:rFonts w:ascii="宋体" w:hAnsi="宋体"/>
          <w:b/>
          <w:sz w:val="24"/>
          <w:szCs w:val="24"/>
          <w:highlight w:val="none"/>
        </w:rPr>
      </w:pPr>
      <w:r>
        <w:rPr>
          <w:rFonts w:ascii="宋体" w:hAnsi="宋体"/>
          <w:b/>
          <w:sz w:val="24"/>
          <w:szCs w:val="24"/>
          <w:highlight w:val="none"/>
        </w:rPr>
        <w:t>1、使用谷歌浏览器参与不见面开标及磋商环节。</w:t>
      </w:r>
    </w:p>
    <w:p>
      <w:pPr>
        <w:pStyle w:val="65"/>
        <w:spacing w:line="400" w:lineRule="exact"/>
        <w:ind w:firstLine="480"/>
        <w:rPr>
          <w:rFonts w:ascii="宋体" w:hAnsi="宋体"/>
          <w:b/>
          <w:sz w:val="24"/>
          <w:szCs w:val="24"/>
          <w:highlight w:val="none"/>
        </w:rPr>
      </w:pPr>
      <w:r>
        <w:rPr>
          <w:rFonts w:ascii="宋体" w:hAnsi="宋体"/>
          <w:b/>
          <w:sz w:val="24"/>
          <w:szCs w:val="24"/>
          <w:highlight w:val="none"/>
        </w:rPr>
        <w:t>2、电脑需提前准备好麦克风、音响，摄像头，提前检查保证能够正常使用。</w:t>
      </w:r>
    </w:p>
    <w:p>
      <w:pPr>
        <w:pStyle w:val="65"/>
        <w:spacing w:line="400" w:lineRule="exact"/>
        <w:ind w:firstLine="480"/>
        <w:rPr>
          <w:rFonts w:ascii="宋体" w:hAnsi="宋体"/>
          <w:b/>
          <w:sz w:val="24"/>
          <w:szCs w:val="24"/>
          <w:highlight w:val="none"/>
        </w:rPr>
      </w:pPr>
      <w:r>
        <w:rPr>
          <w:rFonts w:ascii="宋体" w:hAnsi="宋体"/>
          <w:b/>
          <w:sz w:val="24"/>
          <w:szCs w:val="24"/>
          <w:highlight w:val="none"/>
        </w:rPr>
        <w:t>3、操作系统至少win7以上，建议使用win10操作系统。</w:t>
      </w:r>
    </w:p>
    <w:p>
      <w:pPr>
        <w:pStyle w:val="67"/>
        <w:spacing w:line="400" w:lineRule="exact"/>
        <w:ind w:firstLine="480"/>
        <w:rPr>
          <w:rFonts w:eastAsia="宋体"/>
          <w:highlight w:val="none"/>
        </w:rPr>
      </w:pPr>
      <w:r>
        <w:rPr>
          <w:rFonts w:eastAsia="宋体"/>
          <w:b/>
          <w:bCs/>
          <w:highlight w:val="none"/>
        </w:rPr>
        <w:t>（二）首次响应文件提交的截止时间：</w:t>
      </w:r>
      <w:r>
        <w:rPr>
          <w:rFonts w:hint="eastAsia" w:eastAsia="宋体"/>
          <w:b/>
          <w:bCs/>
          <w:highlight w:val="none"/>
          <w:lang w:eastAsia="zh-CN"/>
        </w:rPr>
        <w:t>2025年10月20日</w:t>
      </w:r>
      <w:r>
        <w:rPr>
          <w:rFonts w:hint="eastAsia" w:eastAsia="宋体"/>
          <w:b/>
          <w:bCs/>
          <w:highlight w:val="none"/>
        </w:rPr>
        <w:t>09:30</w:t>
      </w:r>
      <w:r>
        <w:rPr>
          <w:rFonts w:eastAsia="宋体"/>
          <w:b/>
          <w:bCs/>
          <w:highlight w:val="none"/>
        </w:rPr>
        <w:t>，</w:t>
      </w:r>
      <w:r>
        <w:rPr>
          <w:rFonts w:eastAsia="宋体"/>
          <w:highlight w:val="none"/>
        </w:rPr>
        <w:t>在截止时间后提交的首次响应文件为无效文件，将被拒收。</w:t>
      </w:r>
    </w:p>
    <w:p>
      <w:pPr>
        <w:pStyle w:val="67"/>
        <w:spacing w:line="400" w:lineRule="exact"/>
        <w:ind w:firstLine="480"/>
        <w:rPr>
          <w:rFonts w:eastAsia="宋体"/>
          <w:b/>
          <w:bCs/>
          <w:highlight w:val="none"/>
        </w:rPr>
      </w:pPr>
      <w:r>
        <w:rPr>
          <w:rFonts w:eastAsia="宋体"/>
          <w:b/>
          <w:bCs/>
          <w:highlight w:val="none"/>
        </w:rPr>
        <w:t>（三）首次响应文件提交时间、地点：</w:t>
      </w:r>
    </w:p>
    <w:p>
      <w:pPr>
        <w:pStyle w:val="67"/>
        <w:spacing w:line="400" w:lineRule="exact"/>
        <w:ind w:firstLine="480"/>
        <w:rPr>
          <w:rFonts w:eastAsia="宋体"/>
          <w:b/>
          <w:bCs/>
          <w:highlight w:val="none"/>
        </w:rPr>
      </w:pPr>
      <w:r>
        <w:rPr>
          <w:rFonts w:eastAsia="宋体"/>
          <w:highlight w:val="none"/>
        </w:rPr>
        <w:t>1、提交时间</w:t>
      </w:r>
      <w:r>
        <w:rPr>
          <w:rFonts w:hint="eastAsia" w:eastAsia="宋体"/>
          <w:highlight w:val="none"/>
        </w:rPr>
        <w:t>：</w:t>
      </w:r>
      <w:r>
        <w:rPr>
          <w:rFonts w:eastAsia="宋体"/>
          <w:b/>
          <w:bCs/>
          <w:highlight w:val="none"/>
        </w:rPr>
        <w:t>首次响应文件提交的截止时间（</w:t>
      </w:r>
      <w:r>
        <w:rPr>
          <w:rFonts w:hint="eastAsia" w:eastAsia="宋体"/>
          <w:b/>
          <w:bCs/>
          <w:highlight w:val="none"/>
          <w:lang w:eastAsia="zh-CN"/>
        </w:rPr>
        <w:t>2025年10月20日</w:t>
      </w:r>
      <w:r>
        <w:rPr>
          <w:rFonts w:hint="eastAsia" w:eastAsia="宋体"/>
          <w:b/>
          <w:bCs/>
          <w:highlight w:val="none"/>
        </w:rPr>
        <w:t>09:30</w:t>
      </w:r>
      <w:r>
        <w:rPr>
          <w:rFonts w:eastAsia="宋体"/>
          <w:b/>
          <w:bCs/>
          <w:highlight w:val="none"/>
        </w:rPr>
        <w:t>）前。</w:t>
      </w:r>
    </w:p>
    <w:p>
      <w:pPr>
        <w:pStyle w:val="67"/>
        <w:spacing w:line="400" w:lineRule="exact"/>
        <w:ind w:firstLine="480"/>
        <w:rPr>
          <w:rFonts w:eastAsia="宋体"/>
          <w:highlight w:val="none"/>
        </w:rPr>
      </w:pPr>
      <w:r>
        <w:rPr>
          <w:rFonts w:eastAsia="宋体"/>
          <w:highlight w:val="none"/>
        </w:rPr>
        <w:t xml:space="preserve">2、提交地点：“苏采云”系统（网址：http://jszfcg.jsczt.cn/）“开标大厅”或进入徐州政府采购网（网址：http://czj.xz.gov.cn/Home/HomeIndex）-业务工作-用户登录，点击“苏采云”进入系统“开标大厅”。 </w:t>
      </w:r>
    </w:p>
    <w:p>
      <w:pPr>
        <w:pStyle w:val="67"/>
        <w:spacing w:line="400" w:lineRule="exact"/>
        <w:ind w:firstLine="480"/>
        <w:rPr>
          <w:rFonts w:eastAsia="宋体"/>
          <w:b/>
          <w:bCs/>
          <w:highlight w:val="none"/>
        </w:rPr>
      </w:pPr>
      <w:r>
        <w:rPr>
          <w:rFonts w:eastAsia="宋体"/>
          <w:b/>
          <w:bCs/>
          <w:highlight w:val="none"/>
        </w:rPr>
        <w:t>（四）首次响应文件开启时间：</w:t>
      </w:r>
      <w:r>
        <w:rPr>
          <w:rFonts w:hint="eastAsia" w:eastAsia="宋体"/>
          <w:b/>
          <w:bCs/>
          <w:highlight w:val="none"/>
          <w:lang w:eastAsia="zh-CN"/>
        </w:rPr>
        <w:t>2025年10月20日</w:t>
      </w:r>
      <w:r>
        <w:rPr>
          <w:rFonts w:hint="eastAsia" w:eastAsia="宋体"/>
          <w:b/>
          <w:bCs/>
          <w:highlight w:val="none"/>
        </w:rPr>
        <w:t>09:30</w:t>
      </w:r>
      <w:r>
        <w:rPr>
          <w:rFonts w:eastAsia="宋体"/>
          <w:b/>
          <w:bCs/>
          <w:highlight w:val="none"/>
        </w:rPr>
        <w:t>。</w:t>
      </w:r>
    </w:p>
    <w:p>
      <w:pPr>
        <w:pStyle w:val="67"/>
        <w:spacing w:line="400" w:lineRule="exact"/>
        <w:ind w:firstLine="480"/>
        <w:rPr>
          <w:rFonts w:eastAsia="宋体"/>
          <w:szCs w:val="22"/>
          <w:highlight w:val="none"/>
        </w:rPr>
      </w:pPr>
      <w:r>
        <w:rPr>
          <w:rFonts w:eastAsia="宋体"/>
          <w:szCs w:val="22"/>
          <w:highlight w:val="none"/>
        </w:rPr>
        <w:t>（</w:t>
      </w:r>
      <w:r>
        <w:rPr>
          <w:rFonts w:hint="eastAsia" w:eastAsia="宋体"/>
          <w:szCs w:val="22"/>
          <w:highlight w:val="none"/>
        </w:rPr>
        <w:t>五</w:t>
      </w:r>
      <w:r>
        <w:rPr>
          <w:rFonts w:eastAsia="宋体"/>
          <w:szCs w:val="22"/>
          <w:highlight w:val="none"/>
        </w:rPr>
        <w:t>）首次响应文件开启地点：“苏采云”系统（网址：http://jszfcg.jsczt.cn/）“开标大厅”或进入徐州政府采购网（网址：http://czj.xz.gov.cn/Home/HomeIndex）-业务工作-用户登录，点击“苏采云”进入系统“开标大厅”。</w:t>
      </w:r>
    </w:p>
    <w:p>
      <w:pPr>
        <w:pStyle w:val="67"/>
        <w:spacing w:line="400" w:lineRule="exact"/>
        <w:ind w:firstLine="480"/>
        <w:rPr>
          <w:rFonts w:eastAsia="宋体"/>
          <w:highlight w:val="none"/>
        </w:rPr>
      </w:pPr>
      <w:r>
        <w:rPr>
          <w:rFonts w:eastAsia="宋体"/>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pPr>
        <w:pStyle w:val="67"/>
        <w:shd w:val="clear" w:color="auto" w:fill="FFFFFF"/>
        <w:spacing w:line="400" w:lineRule="exact"/>
        <w:ind w:firstLine="480"/>
        <w:jc w:val="left"/>
        <w:outlineLvl w:val="0"/>
        <w:rPr>
          <w:rFonts w:eastAsia="宋体"/>
          <w:highlight w:val="none"/>
        </w:rPr>
      </w:pPr>
      <w:r>
        <w:rPr>
          <w:rFonts w:eastAsia="宋体"/>
          <w:highlight w:val="none"/>
        </w:rPr>
        <w:t>（七）不接受不按要求加盖公章（电子签章）的首次响应文件。电子签章相关要求见“苏采云”系统。</w:t>
      </w:r>
    </w:p>
    <w:p>
      <w:pPr>
        <w:pStyle w:val="67"/>
        <w:spacing w:line="400" w:lineRule="exact"/>
        <w:ind w:firstLine="480"/>
        <w:rPr>
          <w:rFonts w:eastAsia="宋体"/>
          <w:highlight w:val="none"/>
        </w:rPr>
      </w:pPr>
      <w:r>
        <w:rPr>
          <w:rFonts w:eastAsia="宋体"/>
          <w:bCs/>
          <w:highlight w:val="none"/>
        </w:rPr>
        <w:t>（八）首次响应文件解密：到达开启时间，</w:t>
      </w:r>
      <w:r>
        <w:rPr>
          <w:rFonts w:eastAsia="宋体"/>
          <w:highlight w:val="none"/>
        </w:rPr>
        <w:t>“苏采云”系统自动提取所有响应文件，供应商按采购文件规定方式按时在线解密。本项目采购文件规定的供应商按时在线解密方式：</w:t>
      </w:r>
      <w:r>
        <w:rPr>
          <w:rFonts w:eastAsia="宋体"/>
          <w:b/>
          <w:bCs/>
          <w:highlight w:val="none"/>
        </w:rPr>
        <w:t>开启时间后30分钟内</w:t>
      </w:r>
      <w:r>
        <w:rPr>
          <w:rFonts w:eastAsia="宋体"/>
          <w:highlight w:val="none"/>
        </w:rPr>
        <w:t>，通过“苏采云”系统（使用“CA数字证书”）解密。</w:t>
      </w:r>
    </w:p>
    <w:p>
      <w:pPr>
        <w:pStyle w:val="67"/>
        <w:spacing w:line="400" w:lineRule="exact"/>
        <w:ind w:firstLine="480"/>
        <w:rPr>
          <w:rFonts w:eastAsia="宋体"/>
          <w:szCs w:val="22"/>
          <w:highlight w:val="none"/>
        </w:rPr>
      </w:pPr>
      <w:r>
        <w:rPr>
          <w:rFonts w:eastAsia="宋体"/>
          <w:highlight w:val="none"/>
        </w:rPr>
        <w:t>（九）采购文件（后缀名为“.kedt”）、供应商操作手册及政府采购客户端工具可通过“苏采云”系统（网址：</w:t>
      </w:r>
      <w:r>
        <w:rPr>
          <w:highlight w:val="none"/>
        </w:rPr>
        <w:fldChar w:fldCharType="begin"/>
      </w:r>
      <w:r>
        <w:rPr>
          <w:highlight w:val="none"/>
        </w:rPr>
        <w:instrText xml:space="preserve"> HYPERLINK "http://jszfcg.jsczt.cn/" </w:instrText>
      </w:r>
      <w:r>
        <w:rPr>
          <w:highlight w:val="none"/>
        </w:rPr>
        <w:fldChar w:fldCharType="separate"/>
      </w:r>
      <w:r>
        <w:rPr>
          <w:rFonts w:eastAsia="宋体"/>
          <w:highlight w:val="none"/>
        </w:rPr>
        <w:t>http://jszfcg.jsczt.cn/</w:t>
      </w:r>
      <w:r>
        <w:rPr>
          <w:rFonts w:eastAsia="宋体"/>
          <w:highlight w:val="none"/>
        </w:rPr>
        <w:fldChar w:fldCharType="end"/>
      </w:r>
      <w:r>
        <w:rPr>
          <w:rFonts w:eastAsia="宋体"/>
          <w:highlight w:val="none"/>
        </w:rPr>
        <w:t>）--已报名项目--报名详情页面内相应链接进行下载；供应商操作手册及政府采购客户端工具也可通过徐州政府采购网--业务工作--快速服务--下载专区，点击进入《江苏省政府采购管理交易系统</w:t>
      </w:r>
      <w:r>
        <w:rPr>
          <w:rFonts w:eastAsia="宋体"/>
          <w:szCs w:val="22"/>
          <w:highlight w:val="none"/>
        </w:rPr>
        <w:t>（苏采云）供应商操作手册及政府采购客户端》，进行下载。</w:t>
      </w:r>
    </w:p>
    <w:p>
      <w:pPr>
        <w:pStyle w:val="67"/>
        <w:spacing w:line="400" w:lineRule="exact"/>
        <w:ind w:firstLine="480"/>
        <w:rPr>
          <w:rFonts w:eastAsia="宋体"/>
          <w:szCs w:val="22"/>
          <w:highlight w:val="none"/>
        </w:rPr>
      </w:pPr>
      <w:r>
        <w:rPr>
          <w:rFonts w:eastAsia="宋体"/>
          <w:szCs w:val="22"/>
          <w:highlight w:val="none"/>
        </w:rPr>
        <w:t>（十）相关说明: 供应商在“苏采云”系统中提交首次响应文件的时间即为数据电文（响应文件，下同）的发送时间和接收时间。</w:t>
      </w:r>
    </w:p>
    <w:p>
      <w:pPr>
        <w:spacing w:line="400" w:lineRule="exact"/>
        <w:ind w:firstLine="480"/>
        <w:rPr>
          <w:rFonts w:ascii="宋体" w:hAnsi="宋体" w:cs="宋体"/>
          <w:sz w:val="24"/>
          <w:highlight w:val="none"/>
        </w:rPr>
      </w:pPr>
      <w:r>
        <w:rPr>
          <w:rFonts w:hint="eastAsia" w:ascii="宋体" w:hAnsi="宋体" w:cs="宋体"/>
          <w:sz w:val="24"/>
          <w:highlight w:val="none"/>
        </w:rPr>
        <w:t>十三、响应文件编制要求</w:t>
      </w:r>
    </w:p>
    <w:p>
      <w:pPr>
        <w:pStyle w:val="67"/>
        <w:spacing w:line="400" w:lineRule="exact"/>
        <w:ind w:firstLine="480"/>
        <w:rPr>
          <w:rFonts w:eastAsia="宋体"/>
          <w:b/>
          <w:bCs/>
          <w:highlight w:val="none"/>
        </w:rPr>
      </w:pPr>
      <w:r>
        <w:rPr>
          <w:rFonts w:eastAsia="宋体"/>
          <w:b/>
          <w:bCs/>
          <w:highlight w:val="none"/>
        </w:rPr>
        <w:t>请按照以下要求（包括但不限于以下要求）制作：</w:t>
      </w:r>
    </w:p>
    <w:p>
      <w:pPr>
        <w:pStyle w:val="67"/>
        <w:spacing w:line="400" w:lineRule="exact"/>
        <w:ind w:firstLine="425"/>
        <w:rPr>
          <w:rFonts w:eastAsia="宋体"/>
          <w:b/>
          <w:highlight w:val="none"/>
        </w:rPr>
      </w:pPr>
      <w:r>
        <w:rPr>
          <w:rFonts w:eastAsia="宋体"/>
          <w:b/>
          <w:highlight w:val="none"/>
        </w:rPr>
        <w:t>（一）基本目录</w:t>
      </w:r>
    </w:p>
    <w:p>
      <w:pPr>
        <w:pStyle w:val="67"/>
        <w:spacing w:line="400" w:lineRule="exact"/>
        <w:ind w:firstLine="480"/>
        <w:rPr>
          <w:rFonts w:eastAsia="宋体"/>
          <w:b/>
          <w:bCs/>
          <w:szCs w:val="22"/>
          <w:highlight w:val="none"/>
        </w:rPr>
      </w:pPr>
      <w:r>
        <w:rPr>
          <w:rFonts w:eastAsia="宋体"/>
          <w:b/>
          <w:bCs/>
          <w:szCs w:val="22"/>
          <w:highlight w:val="none"/>
        </w:rPr>
        <w:t>1、《磋商报价表》（加盖电子签章，格式见《磋商文件》附件。政府采购客户端工具输入报价自动生成）（必须提供，否则响应无效）；</w:t>
      </w:r>
    </w:p>
    <w:p>
      <w:pPr>
        <w:pStyle w:val="67"/>
        <w:spacing w:line="400" w:lineRule="exact"/>
        <w:ind w:firstLine="480"/>
        <w:rPr>
          <w:rFonts w:eastAsia="宋体"/>
          <w:b/>
          <w:bCs/>
          <w:szCs w:val="22"/>
          <w:highlight w:val="none"/>
        </w:rPr>
      </w:pPr>
      <w:r>
        <w:rPr>
          <w:rFonts w:eastAsia="宋体"/>
          <w:b/>
          <w:bCs/>
          <w:szCs w:val="22"/>
          <w:highlight w:val="none"/>
        </w:rPr>
        <w:t>2、</w:t>
      </w:r>
      <w:bookmarkStart w:id="0" w:name="OLE_LINK5"/>
      <w:r>
        <w:rPr>
          <w:rFonts w:eastAsia="宋体"/>
          <w:b/>
          <w:bCs/>
          <w:szCs w:val="22"/>
          <w:highlight w:val="none"/>
        </w:rPr>
        <w:t>《授权委托书》（提供原件的扫描件，格式见《磋商文件》附件）（必须提供，否则响应无效）</w:t>
      </w:r>
      <w:bookmarkEnd w:id="0"/>
      <w:r>
        <w:rPr>
          <w:rFonts w:eastAsia="宋体"/>
          <w:b/>
          <w:bCs/>
          <w:szCs w:val="22"/>
          <w:highlight w:val="none"/>
        </w:rPr>
        <w:t>；</w:t>
      </w:r>
    </w:p>
    <w:p>
      <w:pPr>
        <w:pStyle w:val="67"/>
        <w:spacing w:line="400" w:lineRule="exact"/>
        <w:ind w:firstLine="480"/>
        <w:rPr>
          <w:rFonts w:eastAsia="宋体"/>
          <w:b/>
          <w:bCs/>
          <w:highlight w:val="none"/>
        </w:rPr>
      </w:pPr>
      <w:r>
        <w:rPr>
          <w:rFonts w:eastAsia="宋体"/>
          <w:b/>
          <w:bCs/>
          <w:highlight w:val="none"/>
        </w:rPr>
        <w:t>3、授权委托书中受托人身份证原件的扫描件（必须提供，否则响应无效）；</w:t>
      </w:r>
    </w:p>
    <w:p>
      <w:pPr>
        <w:pStyle w:val="65"/>
        <w:spacing w:line="400" w:lineRule="exact"/>
        <w:ind w:firstLine="482"/>
        <w:rPr>
          <w:rFonts w:ascii="宋体" w:hAnsi="宋体"/>
          <w:b/>
          <w:sz w:val="24"/>
          <w:szCs w:val="24"/>
          <w:highlight w:val="none"/>
        </w:rPr>
      </w:pPr>
      <w:r>
        <w:rPr>
          <w:rFonts w:hint="eastAsia" w:ascii="宋体" w:hAnsi="宋体"/>
          <w:bCs/>
          <w:sz w:val="24"/>
          <w:szCs w:val="24"/>
          <w:highlight w:val="none"/>
        </w:rPr>
        <w:t>4</w:t>
      </w:r>
      <w:r>
        <w:rPr>
          <w:rFonts w:ascii="宋体" w:hAnsi="宋体"/>
          <w:bCs/>
          <w:sz w:val="24"/>
          <w:szCs w:val="24"/>
          <w:highlight w:val="none"/>
        </w:rPr>
        <w:t>、供应商认为需要提供的其他资料的扫描件（如有）。</w:t>
      </w:r>
    </w:p>
    <w:p>
      <w:pPr>
        <w:pStyle w:val="65"/>
        <w:spacing w:line="400" w:lineRule="exact"/>
        <w:ind w:firstLine="241"/>
        <w:rPr>
          <w:rFonts w:ascii="宋体" w:hAnsi="宋体"/>
          <w:b/>
          <w:sz w:val="24"/>
          <w:szCs w:val="24"/>
          <w:highlight w:val="none"/>
        </w:rPr>
      </w:pPr>
      <w:r>
        <w:rPr>
          <w:rFonts w:ascii="宋体" w:hAnsi="宋体"/>
          <w:b/>
          <w:sz w:val="24"/>
          <w:szCs w:val="24"/>
          <w:highlight w:val="none"/>
        </w:rPr>
        <w:t>（二）资格条件（1～6项必须提供</w:t>
      </w:r>
      <w:r>
        <w:rPr>
          <w:rFonts w:hint="eastAsia" w:ascii="宋体" w:hAnsi="宋体"/>
          <w:b/>
          <w:sz w:val="24"/>
          <w:szCs w:val="24"/>
          <w:highlight w:val="none"/>
        </w:rPr>
        <w:t>原件扫描件，</w:t>
      </w:r>
      <w:r>
        <w:rPr>
          <w:rFonts w:ascii="宋体" w:hAnsi="宋体"/>
          <w:b/>
          <w:sz w:val="24"/>
          <w:szCs w:val="24"/>
          <w:highlight w:val="none"/>
        </w:rPr>
        <w:t>否则响应无效）</w:t>
      </w:r>
    </w:p>
    <w:p>
      <w:pPr>
        <w:pStyle w:val="65"/>
        <w:spacing w:line="400" w:lineRule="exact"/>
        <w:ind w:right="-334" w:firstLine="482"/>
        <w:rPr>
          <w:rFonts w:ascii="宋体" w:hAnsi="宋体"/>
          <w:b/>
          <w:bCs/>
          <w:sz w:val="24"/>
          <w:szCs w:val="24"/>
          <w:highlight w:val="none"/>
        </w:rPr>
      </w:pPr>
      <w:r>
        <w:rPr>
          <w:rFonts w:ascii="宋体" w:hAnsi="宋体"/>
          <w:b/>
          <w:bCs/>
          <w:sz w:val="24"/>
          <w:szCs w:val="24"/>
          <w:highlight w:val="none"/>
        </w:rPr>
        <w:t>1、</w:t>
      </w:r>
      <w:r>
        <w:rPr>
          <w:rFonts w:hint="eastAsia" w:ascii="宋体" w:hAnsi="宋体"/>
          <w:b/>
          <w:bCs/>
          <w:sz w:val="24"/>
          <w:szCs w:val="24"/>
          <w:highlight w:val="none"/>
        </w:rPr>
        <w:t>供应商合法有效的法人或者其他组织的营业执照等证明文件，自然人的身份证明。以上证明文件的扫描件；</w:t>
      </w:r>
    </w:p>
    <w:p>
      <w:pPr>
        <w:pStyle w:val="82"/>
        <w:widowControl w:val="0"/>
        <w:spacing w:after="0" w:line="400" w:lineRule="exact"/>
        <w:ind w:left="0" w:firstLine="482"/>
        <w:rPr>
          <w:rFonts w:ascii="宋体" w:hAnsi="宋体"/>
          <w:b/>
          <w:bCs/>
          <w:color w:val="auto"/>
          <w:sz w:val="24"/>
          <w:szCs w:val="24"/>
          <w:highlight w:val="none"/>
        </w:rPr>
      </w:pPr>
      <w:r>
        <w:rPr>
          <w:rFonts w:ascii="宋体" w:hAnsi="宋体"/>
          <w:b/>
          <w:bCs/>
          <w:sz w:val="24"/>
          <w:szCs w:val="24"/>
          <w:highlight w:val="none"/>
        </w:rPr>
        <w:t>2、具备履行合同所必需的设备和专业技术能力的证明材料</w:t>
      </w:r>
      <w:r>
        <w:rPr>
          <w:rFonts w:hint="eastAsia" w:ascii="宋体" w:hAnsi="宋体"/>
          <w:b/>
          <w:bCs/>
          <w:color w:val="auto"/>
          <w:sz w:val="24"/>
          <w:szCs w:val="24"/>
          <w:highlight w:val="none"/>
          <w:lang w:eastAsia="zh-CN"/>
        </w:rPr>
        <w:t>（</w:t>
      </w:r>
      <w:bookmarkStart w:id="1" w:name="OLE_LINK7"/>
      <w:r>
        <w:rPr>
          <w:rFonts w:hint="eastAsia" w:ascii="宋体" w:hAnsi="宋体"/>
          <w:b/>
          <w:bCs/>
          <w:color w:val="auto"/>
          <w:sz w:val="24"/>
          <w:szCs w:val="24"/>
          <w:highlight w:val="none"/>
          <w:lang w:eastAsia="zh-CN"/>
        </w:rPr>
        <w:t>①供应商具备市政公用工程施工总承包叁级及以上资质证书，并具有有效的安全生产许可证；②拟选派项目负责人具备市政工程专业二级及以上的建造师（资格），且持有《建筑施工企业安全生产考核合格证书》（B 证），且无在建工程（提供承诺书,格式自拟）。</w:t>
      </w:r>
      <w:bookmarkEnd w:id="1"/>
      <w:r>
        <w:rPr>
          <w:rFonts w:hint="eastAsia" w:ascii="宋体" w:hAnsi="宋体"/>
          <w:b/>
          <w:bCs/>
          <w:color w:val="auto"/>
          <w:sz w:val="24"/>
          <w:szCs w:val="24"/>
          <w:highlight w:val="none"/>
          <w:lang w:eastAsia="zh-CN"/>
        </w:rPr>
        <w:t>）；</w:t>
      </w:r>
    </w:p>
    <w:p>
      <w:pPr>
        <w:pStyle w:val="65"/>
        <w:spacing w:line="400" w:lineRule="exact"/>
        <w:ind w:right="-334" w:firstLine="482"/>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具有良好的商业信誉和健全的财务会计制度，财务状况报告至少提供：</w:t>
      </w:r>
    </w:p>
    <w:p>
      <w:pPr>
        <w:pStyle w:val="65"/>
        <w:spacing w:line="400" w:lineRule="exact"/>
        <w:ind w:right="-334" w:firstLine="480"/>
        <w:rPr>
          <w:rFonts w:ascii="宋体" w:hAnsi="宋体"/>
          <w:bCs/>
          <w:sz w:val="24"/>
          <w:szCs w:val="24"/>
          <w:highlight w:val="none"/>
        </w:rPr>
      </w:pPr>
      <w:r>
        <w:rPr>
          <w:rFonts w:hint="eastAsia" w:ascii="宋体" w:hAnsi="宋体" w:cs="宋体"/>
          <w:b/>
          <w:sz w:val="24"/>
          <w:highlight w:val="none"/>
        </w:rPr>
        <w:t>供应商的提交首次响应文件时间前六个月内任何日期的资产负债表和利润表月报表；或供应商基本开户银行出具的有效的资信证明；或财政部门认可的政府采购专业担保机构出具的有效的担保函；或合法有效的经第三方机构审计的上年度财务审计报告（应包括审计报告正文、资产负债表、现金流量表、利润表）；</w:t>
      </w:r>
    </w:p>
    <w:p>
      <w:pPr>
        <w:pStyle w:val="65"/>
        <w:spacing w:line="400" w:lineRule="exact"/>
        <w:ind w:right="-334" w:firstLine="480"/>
        <w:rPr>
          <w:rFonts w:ascii="宋体" w:hAnsi="宋体"/>
          <w:b/>
          <w:sz w:val="24"/>
          <w:szCs w:val="24"/>
          <w:highlight w:val="none"/>
        </w:rPr>
      </w:pPr>
      <w:r>
        <w:rPr>
          <w:rFonts w:hint="eastAsia" w:ascii="宋体" w:hAnsi="宋体"/>
          <w:b/>
          <w:sz w:val="24"/>
          <w:szCs w:val="24"/>
          <w:highlight w:val="none"/>
        </w:rPr>
        <w:t>4、有依法缴纳税收和社会保障资金的良好记录，至少提供：</w:t>
      </w:r>
    </w:p>
    <w:p>
      <w:pPr>
        <w:pStyle w:val="65"/>
        <w:spacing w:line="400" w:lineRule="exact"/>
        <w:ind w:right="-334" w:firstLine="480"/>
        <w:rPr>
          <w:rFonts w:ascii="宋体" w:hAnsi="宋体"/>
          <w:b/>
          <w:sz w:val="24"/>
          <w:szCs w:val="24"/>
          <w:highlight w:val="none"/>
        </w:rPr>
      </w:pPr>
      <w:r>
        <w:rPr>
          <w:rFonts w:hint="eastAsia" w:ascii="宋体" w:hAnsi="宋体"/>
          <w:b/>
          <w:sz w:val="24"/>
          <w:szCs w:val="24"/>
          <w:highlight w:val="none"/>
        </w:rPr>
        <w:t>供应商的提交首次响应文件时间前六个月内任何一月的依法缴纳税收和社会保障资金的相关材料扫描件；依法免税或不需要缴纳社会保障资金的供应商应提供相应其依法免税或不需要缴纳社会保障资金的证明文件扫描件；</w:t>
      </w:r>
    </w:p>
    <w:p>
      <w:pPr>
        <w:pStyle w:val="65"/>
        <w:spacing w:line="400" w:lineRule="exact"/>
        <w:ind w:right="-334" w:firstLine="482"/>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、供应商参加政府采购活动前3年内在经营活动中没有重大违法记录的书面声明(格式见《磋商文件》附件)；</w:t>
      </w:r>
    </w:p>
    <w:p>
      <w:pPr>
        <w:pStyle w:val="65"/>
        <w:spacing w:line="400" w:lineRule="exact"/>
        <w:ind w:right="-334" w:firstLine="482"/>
        <w:rPr>
          <w:rFonts w:ascii="宋体" w:hAnsi="宋体"/>
          <w:b/>
          <w:sz w:val="24"/>
          <w:szCs w:val="24"/>
          <w:highlight w:val="none"/>
        </w:rPr>
      </w:pPr>
      <w:r>
        <w:rPr>
          <w:rFonts w:hint="eastAsia" w:ascii="宋体" w:hAnsi="宋体"/>
          <w:b/>
          <w:sz w:val="24"/>
          <w:szCs w:val="24"/>
          <w:highlight w:val="none"/>
        </w:rPr>
        <w:t>6</w:t>
      </w:r>
      <w:r>
        <w:rPr>
          <w:rFonts w:ascii="宋体" w:hAnsi="宋体"/>
          <w:b/>
          <w:sz w:val="24"/>
          <w:szCs w:val="24"/>
          <w:highlight w:val="none"/>
        </w:rPr>
        <w:t>、供应商为中小企业（含中型、小型、微型企业，下同）的，提供《中小企业声明函》（电子签章，</w:t>
      </w:r>
      <w:r>
        <w:rPr>
          <w:rFonts w:hint="eastAsia" w:ascii="宋体" w:hAnsi="宋体"/>
          <w:b/>
          <w:sz w:val="24"/>
          <w:szCs w:val="24"/>
          <w:highlight w:val="none"/>
        </w:rPr>
        <w:t>须</w:t>
      </w:r>
      <w:r>
        <w:rPr>
          <w:rFonts w:ascii="宋体" w:hAnsi="宋体"/>
          <w:b/>
          <w:sz w:val="24"/>
          <w:szCs w:val="24"/>
          <w:highlight w:val="none"/>
        </w:rPr>
        <w:t>填写完整</w:t>
      </w:r>
      <w:r>
        <w:rPr>
          <w:rFonts w:hint="eastAsia" w:ascii="宋体" w:hAnsi="宋体"/>
          <w:b/>
          <w:sz w:val="24"/>
          <w:szCs w:val="24"/>
          <w:highlight w:val="none"/>
        </w:rPr>
        <w:t>，否则无效</w:t>
      </w:r>
      <w:r>
        <w:rPr>
          <w:rFonts w:ascii="宋体" w:hAnsi="宋体"/>
          <w:b/>
          <w:sz w:val="24"/>
          <w:szCs w:val="24"/>
          <w:highlight w:val="none"/>
        </w:rPr>
        <w:t>。格式见《磋商文件》附件）。《中小企业声明函》查询渠道参考工业和信息化部发布的中小企业规模自测小程序；</w:t>
      </w:r>
    </w:p>
    <w:p>
      <w:pPr>
        <w:pStyle w:val="65"/>
        <w:spacing w:line="400" w:lineRule="exact"/>
        <w:ind w:right="-334" w:firstLine="482"/>
        <w:rPr>
          <w:rFonts w:ascii="宋体" w:hAnsi="宋体"/>
          <w:bCs/>
          <w:sz w:val="24"/>
          <w:szCs w:val="24"/>
          <w:highlight w:val="none"/>
        </w:rPr>
      </w:pPr>
      <w:r>
        <w:rPr>
          <w:rFonts w:ascii="宋体" w:hAnsi="宋体"/>
          <w:bCs/>
          <w:sz w:val="24"/>
          <w:szCs w:val="24"/>
          <w:highlight w:val="none"/>
        </w:rPr>
        <w:t>注：中小微企业，应当同时符合以下条件：</w:t>
      </w:r>
    </w:p>
    <w:p>
      <w:pPr>
        <w:pStyle w:val="67"/>
        <w:spacing w:line="400" w:lineRule="exact"/>
        <w:ind w:right="26" w:firstLine="480"/>
        <w:jc w:val="left"/>
        <w:rPr>
          <w:rFonts w:eastAsia="宋体"/>
          <w:bCs/>
          <w:highlight w:val="none"/>
        </w:rPr>
      </w:pPr>
      <w:r>
        <w:rPr>
          <w:rFonts w:hint="eastAsia" w:eastAsia="宋体"/>
          <w:bCs/>
          <w:highlight w:val="none"/>
        </w:rPr>
        <w:t>具体以《政府采购促进中小企业发展管理办法》（财库[2020]46号）和《关于印发中小企业划型标准规定的通知》（工信部联企业[2011]300号）的规定为准。</w:t>
      </w:r>
    </w:p>
    <w:p>
      <w:pPr>
        <w:pStyle w:val="67"/>
        <w:spacing w:line="400" w:lineRule="exact"/>
        <w:ind w:right="26" w:firstLine="480"/>
        <w:jc w:val="left"/>
        <w:rPr>
          <w:rFonts w:eastAsia="宋体"/>
          <w:bCs/>
          <w:highlight w:val="none"/>
        </w:rPr>
      </w:pPr>
      <w:r>
        <w:rPr>
          <w:rFonts w:hint="eastAsia" w:eastAsia="宋体"/>
          <w:bCs/>
          <w:highlight w:val="none"/>
        </w:rPr>
        <w:t>注：监护企业和残疾人福利性单位等同于小微企业。</w:t>
      </w:r>
    </w:p>
    <w:p>
      <w:pPr>
        <w:pStyle w:val="67"/>
        <w:spacing w:line="400" w:lineRule="exact"/>
        <w:ind w:right="26" w:firstLine="480"/>
        <w:jc w:val="left"/>
        <w:rPr>
          <w:rFonts w:eastAsia="宋体"/>
          <w:bCs/>
          <w:highlight w:val="none"/>
        </w:rPr>
      </w:pPr>
      <w:r>
        <w:rPr>
          <w:rFonts w:hint="eastAsia" w:eastAsia="宋体"/>
          <w:bCs/>
          <w:highlight w:val="none"/>
        </w:rPr>
        <w:t>供应商为监狱企业的，提供省级以上监狱管理局、戒毒管理局（含新疆生产建设兵团）出具的属于监狱企业的证明文件原件的扫描件。</w:t>
      </w:r>
    </w:p>
    <w:p>
      <w:pPr>
        <w:pStyle w:val="67"/>
        <w:spacing w:line="400" w:lineRule="exact"/>
        <w:ind w:right="26" w:firstLine="480"/>
        <w:jc w:val="left"/>
        <w:rPr>
          <w:rFonts w:eastAsia="宋体"/>
          <w:bCs/>
          <w:highlight w:val="none"/>
        </w:rPr>
      </w:pPr>
      <w:r>
        <w:rPr>
          <w:rFonts w:hint="eastAsia" w:eastAsia="宋体"/>
          <w:bCs/>
          <w:highlight w:val="none"/>
        </w:rPr>
        <w:t>具体以《财政部 司法部关于政府采购支持监狱企业发展有关问题的通知》（财库〔2014〕68号）的规定为准。</w:t>
      </w:r>
    </w:p>
    <w:p>
      <w:pPr>
        <w:pStyle w:val="67"/>
        <w:spacing w:line="400" w:lineRule="exact"/>
        <w:ind w:right="26" w:firstLine="480"/>
        <w:jc w:val="left"/>
        <w:rPr>
          <w:rFonts w:eastAsia="宋体"/>
          <w:bCs/>
          <w:highlight w:val="none"/>
        </w:rPr>
      </w:pPr>
      <w:r>
        <w:rPr>
          <w:rFonts w:hint="eastAsia" w:eastAsia="宋体"/>
          <w:bCs/>
          <w:highlight w:val="none"/>
        </w:rPr>
        <w:t>供应商为享受政府采购支持政策的残疾人福利性单位的，提供《残疾人福利性单位声明函》（加盖电子签章，格式见《磋商文件》附件）。</w:t>
      </w:r>
    </w:p>
    <w:p>
      <w:pPr>
        <w:pStyle w:val="67"/>
        <w:spacing w:line="400" w:lineRule="exact"/>
        <w:ind w:right="26" w:firstLine="480"/>
        <w:jc w:val="left"/>
        <w:rPr>
          <w:rFonts w:eastAsia="宋体"/>
          <w:bCs/>
          <w:highlight w:val="none"/>
        </w:rPr>
      </w:pPr>
      <w:r>
        <w:rPr>
          <w:rFonts w:hint="eastAsia" w:eastAsia="宋体"/>
          <w:bCs/>
          <w:highlight w:val="none"/>
        </w:rPr>
        <w:t>享受政府采购支持政策的残疾人福利性单位应当同时满足以下条件：</w:t>
      </w:r>
    </w:p>
    <w:p>
      <w:pPr>
        <w:pStyle w:val="67"/>
        <w:spacing w:line="400" w:lineRule="exact"/>
        <w:ind w:right="26" w:firstLine="480"/>
        <w:jc w:val="left"/>
        <w:rPr>
          <w:rFonts w:eastAsia="宋体"/>
          <w:bCs/>
          <w:highlight w:val="none"/>
        </w:rPr>
      </w:pPr>
      <w:r>
        <w:rPr>
          <w:rFonts w:hint="eastAsia" w:eastAsia="宋体"/>
          <w:bCs/>
          <w:highlight w:val="none"/>
        </w:rPr>
        <w:t>①安置的残疾人占本单位在职职工人数的比例不低于25%（含25%），并且安置的残疾人人数不少于10人（含10人）；</w:t>
      </w:r>
    </w:p>
    <w:p>
      <w:pPr>
        <w:pStyle w:val="67"/>
        <w:spacing w:line="400" w:lineRule="exact"/>
        <w:ind w:right="26" w:firstLine="480"/>
        <w:jc w:val="left"/>
        <w:rPr>
          <w:rFonts w:eastAsia="宋体"/>
          <w:bCs/>
          <w:highlight w:val="none"/>
        </w:rPr>
      </w:pPr>
      <w:r>
        <w:rPr>
          <w:rFonts w:hint="eastAsia" w:eastAsia="宋体"/>
          <w:bCs/>
          <w:highlight w:val="none"/>
        </w:rPr>
        <w:t>②依法与安置的每位残疾人签订了一年以上（含一年）的劳动合同或服务协议；</w:t>
      </w:r>
    </w:p>
    <w:p>
      <w:pPr>
        <w:pStyle w:val="67"/>
        <w:spacing w:line="400" w:lineRule="exact"/>
        <w:ind w:right="26" w:firstLine="480"/>
        <w:jc w:val="left"/>
        <w:rPr>
          <w:rFonts w:eastAsia="宋体"/>
          <w:bCs/>
          <w:highlight w:val="none"/>
        </w:rPr>
      </w:pPr>
      <w:r>
        <w:rPr>
          <w:rFonts w:hint="eastAsia" w:eastAsia="宋体"/>
          <w:bCs/>
          <w:highlight w:val="none"/>
        </w:rPr>
        <w:t>③为安置的每位残疾人按月足额缴纳了基本养老保险、基本医疗保险、失业保险、工伤保险和生育保险等社会保险费；</w:t>
      </w:r>
    </w:p>
    <w:p>
      <w:pPr>
        <w:pStyle w:val="67"/>
        <w:spacing w:line="400" w:lineRule="exact"/>
        <w:ind w:right="26" w:firstLine="480"/>
        <w:jc w:val="left"/>
        <w:rPr>
          <w:rFonts w:eastAsia="宋体"/>
          <w:bCs/>
          <w:highlight w:val="none"/>
        </w:rPr>
      </w:pPr>
      <w:r>
        <w:rPr>
          <w:rFonts w:hint="eastAsia" w:eastAsia="宋体"/>
          <w:bCs/>
          <w:highlight w:val="none"/>
        </w:rPr>
        <w:t>④通过银行等金融机构向安置的每位残疾人，按月支付了不低于单位所在区县适用的经省级人民政府批准的月最低工资标准的工资；</w:t>
      </w:r>
    </w:p>
    <w:p>
      <w:pPr>
        <w:pStyle w:val="67"/>
        <w:spacing w:line="400" w:lineRule="exact"/>
        <w:ind w:right="26" w:firstLine="480"/>
        <w:jc w:val="left"/>
        <w:rPr>
          <w:rFonts w:eastAsia="宋体"/>
          <w:bCs/>
          <w:highlight w:val="none"/>
        </w:rPr>
      </w:pPr>
      <w:r>
        <w:rPr>
          <w:rFonts w:hint="eastAsia" w:eastAsia="宋体"/>
          <w:bCs/>
          <w:highlight w:val="none"/>
        </w:rPr>
        <w:t>⑤提供本单位制造的货物、承担的工程或者服务（以下简称产品），或者提供其他残疾人福利性单位制造的货物（不包括使用非残疾人福利性单位注册商标的货物）。</w:t>
      </w:r>
    </w:p>
    <w:p>
      <w:pPr>
        <w:pStyle w:val="67"/>
        <w:spacing w:line="400" w:lineRule="exact"/>
        <w:ind w:right="26" w:firstLine="480"/>
        <w:jc w:val="left"/>
        <w:rPr>
          <w:rFonts w:eastAsia="宋体"/>
          <w:bCs/>
          <w:highlight w:val="none"/>
        </w:rPr>
      </w:pPr>
      <w:r>
        <w:rPr>
          <w:rFonts w:hint="eastAsia" w:eastAsia="宋体"/>
          <w:bCs/>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7"/>
        <w:spacing w:line="400" w:lineRule="exact"/>
        <w:ind w:right="26" w:firstLine="480"/>
        <w:jc w:val="left"/>
        <w:rPr>
          <w:rFonts w:eastAsia="宋体"/>
          <w:b/>
          <w:highlight w:val="none"/>
        </w:rPr>
      </w:pPr>
      <w:r>
        <w:rPr>
          <w:rFonts w:hint="eastAsia" w:eastAsia="宋体"/>
          <w:bCs/>
          <w:highlight w:val="none"/>
        </w:rPr>
        <w:t>具体以《三部门联合发布关于促进残疾人就业政府采购政策的通知》（财库〔2017〕141号）规定为准。</w:t>
      </w:r>
    </w:p>
    <w:p>
      <w:pPr>
        <w:pStyle w:val="65"/>
        <w:spacing w:line="400" w:lineRule="exact"/>
        <w:ind w:right="-334" w:firstLine="482"/>
        <w:rPr>
          <w:rFonts w:ascii="宋体" w:hAnsi="宋体"/>
          <w:b/>
          <w:bCs/>
          <w:sz w:val="24"/>
          <w:szCs w:val="24"/>
          <w:highlight w:val="none"/>
        </w:rPr>
      </w:pPr>
      <w:r>
        <w:rPr>
          <w:rFonts w:hint="eastAsia" w:ascii="宋体" w:hAnsi="宋体"/>
          <w:bCs/>
          <w:sz w:val="24"/>
          <w:szCs w:val="24"/>
          <w:highlight w:val="none"/>
        </w:rPr>
        <w:t>7、供应商信用信息满足磋商公告要求。</w:t>
      </w:r>
    </w:p>
    <w:p>
      <w:pPr>
        <w:pStyle w:val="65"/>
        <w:spacing w:line="400" w:lineRule="exact"/>
        <w:rPr>
          <w:rFonts w:ascii="宋体" w:hAnsi="宋体"/>
          <w:b/>
          <w:bCs/>
          <w:sz w:val="24"/>
          <w:szCs w:val="24"/>
          <w:highlight w:val="none"/>
        </w:rPr>
      </w:pPr>
      <w:r>
        <w:rPr>
          <w:rFonts w:ascii="宋体" w:hAnsi="宋体"/>
          <w:b/>
          <w:bCs/>
          <w:sz w:val="24"/>
          <w:szCs w:val="24"/>
          <w:highlight w:val="none"/>
        </w:rPr>
        <w:t>（三）符合条件（必须提供，否则响应无效）</w:t>
      </w:r>
    </w:p>
    <w:p>
      <w:pPr>
        <w:pStyle w:val="65"/>
        <w:spacing w:line="400" w:lineRule="exact"/>
        <w:ind w:firstLine="482"/>
        <w:rPr>
          <w:rFonts w:ascii="宋体" w:hAnsi="宋体"/>
          <w:b/>
          <w:sz w:val="24"/>
          <w:szCs w:val="24"/>
          <w:highlight w:val="none"/>
        </w:rPr>
      </w:pPr>
      <w:r>
        <w:rPr>
          <w:rFonts w:hint="eastAsia" w:ascii="宋体" w:hAnsi="宋体"/>
          <w:b/>
          <w:sz w:val="24"/>
          <w:szCs w:val="24"/>
          <w:highlight w:val="none"/>
        </w:rPr>
        <w:t>1、</w:t>
      </w:r>
      <w:bookmarkStart w:id="2" w:name="OLE_LINK4"/>
      <w:r>
        <w:rPr>
          <w:rFonts w:hint="eastAsia" w:ascii="宋体" w:hAnsi="宋体"/>
          <w:b/>
          <w:sz w:val="24"/>
          <w:szCs w:val="24"/>
          <w:highlight w:val="none"/>
        </w:rPr>
        <w:t>《承诺书》（加盖电子签章，格式见《磋商文件》附件）</w:t>
      </w:r>
      <w:bookmarkEnd w:id="2"/>
      <w:r>
        <w:rPr>
          <w:rFonts w:hint="eastAsia" w:ascii="宋体" w:hAnsi="宋体"/>
          <w:b/>
          <w:sz w:val="24"/>
          <w:szCs w:val="24"/>
          <w:highlight w:val="none"/>
        </w:rPr>
        <w:t>；</w:t>
      </w:r>
    </w:p>
    <w:p>
      <w:pPr>
        <w:pStyle w:val="65"/>
        <w:spacing w:line="400" w:lineRule="exact"/>
        <w:ind w:firstLine="482"/>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w:t>
      </w:r>
      <w:bookmarkStart w:id="3" w:name="OLE_LINK3"/>
      <w:r>
        <w:rPr>
          <w:rFonts w:hint="eastAsia" w:ascii="宋体" w:hAnsi="宋体"/>
          <w:b/>
          <w:sz w:val="24"/>
          <w:szCs w:val="24"/>
          <w:highlight w:val="none"/>
        </w:rPr>
        <w:t>《分项价格表》（具有标价的工程量清单与报价表）（加盖电子签章，格式见《磋商文件》附件）</w:t>
      </w:r>
      <w:bookmarkEnd w:id="3"/>
      <w:r>
        <w:rPr>
          <w:rFonts w:hint="eastAsia" w:ascii="宋体" w:hAnsi="宋体"/>
          <w:b/>
          <w:sz w:val="24"/>
          <w:szCs w:val="24"/>
          <w:highlight w:val="none"/>
        </w:rPr>
        <w:t>；</w:t>
      </w:r>
    </w:p>
    <w:p>
      <w:pPr>
        <w:pStyle w:val="65"/>
        <w:spacing w:line="400" w:lineRule="exact"/>
        <w:ind w:firstLine="482"/>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w:t>
      </w:r>
      <w:bookmarkStart w:id="4" w:name="OLE_LINK6"/>
      <w:r>
        <w:rPr>
          <w:rFonts w:hint="eastAsia" w:ascii="宋体" w:hAnsi="宋体"/>
          <w:b/>
          <w:sz w:val="24"/>
          <w:szCs w:val="24"/>
          <w:highlight w:val="none"/>
        </w:rPr>
        <w:t>《偏离表》（加盖电子签章，格式见《磋商文件》附件）</w:t>
      </w:r>
      <w:bookmarkEnd w:id="4"/>
      <w:r>
        <w:rPr>
          <w:rFonts w:hint="eastAsia" w:ascii="宋体" w:hAnsi="宋体"/>
          <w:b/>
          <w:sz w:val="24"/>
          <w:szCs w:val="24"/>
          <w:highlight w:val="none"/>
        </w:rPr>
        <w:t>；</w:t>
      </w:r>
    </w:p>
    <w:p>
      <w:pPr>
        <w:pStyle w:val="65"/>
        <w:spacing w:line="400" w:lineRule="exact"/>
        <w:ind w:firstLine="241"/>
        <w:rPr>
          <w:rFonts w:ascii="宋体" w:hAnsi="宋体"/>
          <w:b/>
          <w:bCs/>
          <w:sz w:val="24"/>
          <w:szCs w:val="24"/>
          <w:highlight w:val="none"/>
        </w:rPr>
      </w:pPr>
      <w:r>
        <w:rPr>
          <w:rFonts w:hint="eastAsia" w:ascii="宋体" w:hAnsi="宋体"/>
          <w:b/>
          <w:bCs/>
          <w:sz w:val="24"/>
          <w:szCs w:val="24"/>
          <w:highlight w:val="none"/>
        </w:rPr>
        <w:t>（四）综合评审评分项</w:t>
      </w:r>
    </w:p>
    <w:p>
      <w:pPr>
        <w:pStyle w:val="65"/>
        <w:spacing w:line="400" w:lineRule="exact"/>
        <w:ind w:firstLine="48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1、技术部分</w:t>
      </w:r>
    </w:p>
    <w:p>
      <w:pPr>
        <w:pStyle w:val="65"/>
        <w:spacing w:line="400" w:lineRule="exact"/>
        <w:ind w:right="-334"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1.1施工组织方案（要求见</w:t>
      </w:r>
      <w:r>
        <w:rPr>
          <w:rFonts w:hint="eastAsia" w:ascii="宋体" w:hAnsi="宋体"/>
          <w:color w:val="000000" w:themeColor="text1"/>
          <w:sz w:val="24"/>
          <w:szCs w:val="24"/>
          <w:highlight w:val="none"/>
          <w14:textFill>
            <w14:solidFill>
              <w14:schemeClr w14:val="tx1"/>
            </w14:solidFill>
          </w14:textFill>
        </w:rPr>
        <w:t>《磋商文件》附件2、</w:t>
      </w:r>
      <w:r>
        <w:rPr>
          <w:rFonts w:hint="eastAsia" w:ascii="宋体" w:hAnsi="宋体"/>
          <w:bCs/>
          <w:color w:val="000000" w:themeColor="text1"/>
          <w:sz w:val="24"/>
          <w:szCs w:val="24"/>
          <w:highlight w:val="none"/>
          <w14:textFill>
            <w14:solidFill>
              <w14:schemeClr w14:val="tx1"/>
            </w14:solidFill>
          </w14:textFill>
        </w:rPr>
        <w:t>《项目要求（采购需求）》及</w:t>
      </w:r>
      <w:r>
        <w:rPr>
          <w:rFonts w:hint="eastAsia" w:ascii="宋体" w:hAnsi="宋体"/>
          <w:color w:val="000000" w:themeColor="text1"/>
          <w:sz w:val="24"/>
          <w:szCs w:val="24"/>
          <w:highlight w:val="none"/>
          <w14:textFill>
            <w14:solidFill>
              <w14:schemeClr w14:val="tx1"/>
            </w14:solidFill>
          </w14:textFill>
        </w:rPr>
        <w:t>附件1、</w:t>
      </w:r>
      <w:r>
        <w:rPr>
          <w:rFonts w:hint="eastAsia" w:ascii="宋体" w:hAnsi="宋体"/>
          <w:bCs/>
          <w:color w:val="000000" w:themeColor="text1"/>
          <w:sz w:val="24"/>
          <w:szCs w:val="24"/>
          <w:highlight w:val="none"/>
          <w14:textFill>
            <w14:solidFill>
              <w14:schemeClr w14:val="tx1"/>
            </w14:solidFill>
          </w14:textFill>
        </w:rPr>
        <w:t>《评分细则》）；</w:t>
      </w:r>
    </w:p>
    <w:p>
      <w:pPr>
        <w:pStyle w:val="476"/>
        <w:spacing w:line="400" w:lineRule="exact"/>
        <w:ind w:firstLine="480" w:firstLineChars="200"/>
        <w:rPr>
          <w:rFonts w:hint="eastAsia" w:ascii="宋体" w:hAnsi="宋体" w:eastAsia="宋体" w:cs="Times New Roman"/>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bidi="ar-SA"/>
          <w14:textFill>
            <w14:solidFill>
              <w14:schemeClr w14:val="tx1"/>
            </w14:solidFill>
          </w14:textFill>
        </w:rPr>
        <w:t>1.2质保期方案</w:t>
      </w:r>
    </w:p>
    <w:p>
      <w:pPr>
        <w:pStyle w:val="65"/>
        <w:spacing w:line="400" w:lineRule="exact"/>
        <w:ind w:right="-334" w:firstLine="360"/>
        <w:rPr>
          <w:rFonts w:ascii="宋体" w:hAnsi="宋体"/>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bidi="ar-SA"/>
          <w14:textFill>
            <w14:solidFill>
              <w14:schemeClr w14:val="tx1"/>
            </w14:solidFill>
          </w14:textFill>
        </w:rPr>
        <w:t>（要求见《磋商文</w:t>
      </w:r>
      <w:r>
        <w:rPr>
          <w:rFonts w:hint="eastAsia" w:ascii="宋体" w:hAnsi="宋体"/>
          <w:color w:val="000000" w:themeColor="text1"/>
          <w:sz w:val="24"/>
          <w:szCs w:val="24"/>
          <w:highlight w:val="none"/>
          <w14:textFill>
            <w14:solidFill>
              <w14:schemeClr w14:val="tx1"/>
            </w14:solidFill>
          </w14:textFill>
        </w:rPr>
        <w:t>件》附件2、</w:t>
      </w:r>
      <w:r>
        <w:rPr>
          <w:rFonts w:hint="eastAsia" w:ascii="宋体" w:hAnsi="宋体"/>
          <w:bCs/>
          <w:color w:val="000000" w:themeColor="text1"/>
          <w:sz w:val="24"/>
          <w:szCs w:val="24"/>
          <w:highlight w:val="none"/>
          <w14:textFill>
            <w14:solidFill>
              <w14:schemeClr w14:val="tx1"/>
            </w14:solidFill>
          </w14:textFill>
        </w:rPr>
        <w:t>《项目要求（采购需求）》及</w:t>
      </w:r>
      <w:r>
        <w:rPr>
          <w:rFonts w:hint="eastAsia" w:ascii="宋体" w:hAnsi="宋体"/>
          <w:color w:val="000000" w:themeColor="text1"/>
          <w:sz w:val="24"/>
          <w:szCs w:val="24"/>
          <w:highlight w:val="none"/>
          <w14:textFill>
            <w14:solidFill>
              <w14:schemeClr w14:val="tx1"/>
            </w14:solidFill>
          </w14:textFill>
        </w:rPr>
        <w:t>附件1、</w:t>
      </w:r>
      <w:r>
        <w:rPr>
          <w:rFonts w:hint="eastAsia" w:ascii="宋体" w:hAnsi="宋体"/>
          <w:bCs/>
          <w:color w:val="000000" w:themeColor="text1"/>
          <w:sz w:val="24"/>
          <w:szCs w:val="24"/>
          <w:highlight w:val="none"/>
          <w14:textFill>
            <w14:solidFill>
              <w14:schemeClr w14:val="tx1"/>
            </w14:solidFill>
          </w14:textFill>
        </w:rPr>
        <w:t>《评分细则》）。</w:t>
      </w:r>
    </w:p>
    <w:p>
      <w:pPr>
        <w:pStyle w:val="65"/>
        <w:spacing w:line="400" w:lineRule="exact"/>
        <w:ind w:firstLine="48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2、商务部分</w:t>
      </w:r>
    </w:p>
    <w:p>
      <w:pPr>
        <w:pStyle w:val="6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2.1供应商业绩（要求见《磋商文件》附件1、《评分细则》）；</w:t>
      </w:r>
    </w:p>
    <w:p>
      <w:pPr>
        <w:pStyle w:val="6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2.2人员配备</w:t>
      </w:r>
      <w:r>
        <w:rPr>
          <w:rFonts w:hint="eastAsia" w:ascii="宋体" w:hAnsi="宋体"/>
          <w:color w:val="000000" w:themeColor="text1"/>
          <w:sz w:val="24"/>
          <w:szCs w:val="24"/>
          <w:highlight w:val="none"/>
          <w14:textFill>
            <w14:solidFill>
              <w14:schemeClr w14:val="tx1"/>
            </w14:solidFill>
          </w14:textFill>
        </w:rPr>
        <w:t>（要求见《磋商文件》附件1、《评分细则》）；</w:t>
      </w:r>
    </w:p>
    <w:p>
      <w:pPr>
        <w:pStyle w:val="6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评分细则中评分得分需提供的相关证明文件原件扫描件或供应商认为需要提供的其他资料扫描件。</w:t>
      </w:r>
    </w:p>
    <w:p>
      <w:pPr>
        <w:pStyle w:val="67"/>
        <w:spacing w:line="400" w:lineRule="exact"/>
        <w:rPr>
          <w:rFonts w:eastAsia="宋体"/>
          <w:b/>
          <w:highlight w:val="none"/>
        </w:rPr>
      </w:pPr>
      <w:r>
        <w:rPr>
          <w:rFonts w:eastAsia="宋体"/>
          <w:b/>
          <w:highlight w:val="none"/>
        </w:rPr>
        <w:t>（五）价格折扣文件格式</w:t>
      </w:r>
    </w:p>
    <w:p>
      <w:pPr>
        <w:pStyle w:val="67"/>
        <w:spacing w:line="400" w:lineRule="exact"/>
        <w:ind w:firstLine="482"/>
        <w:rPr>
          <w:rFonts w:eastAsia="宋体"/>
          <w:highlight w:val="none"/>
        </w:rPr>
      </w:pPr>
      <w:r>
        <w:rPr>
          <w:rFonts w:eastAsia="宋体"/>
          <w:b/>
          <w:highlight w:val="none"/>
        </w:rPr>
        <w:t>1、企业报价折扣证明：</w:t>
      </w:r>
      <w:r>
        <w:rPr>
          <w:rFonts w:hint="eastAsia" w:eastAsia="宋体"/>
          <w:b/>
          <w:highlight w:val="none"/>
        </w:rPr>
        <w:t>无</w:t>
      </w:r>
      <w:r>
        <w:rPr>
          <w:rFonts w:hint="eastAsia" w:eastAsia="宋体"/>
          <w:bCs/>
          <w:highlight w:val="none"/>
        </w:rPr>
        <w:t>。</w:t>
      </w:r>
    </w:p>
    <w:p>
      <w:pPr>
        <w:pStyle w:val="67"/>
        <w:spacing w:line="400" w:lineRule="exact"/>
        <w:rPr>
          <w:rFonts w:eastAsia="宋体"/>
          <w:b/>
          <w:bCs/>
          <w:highlight w:val="none"/>
        </w:rPr>
      </w:pPr>
      <w:r>
        <w:rPr>
          <w:rFonts w:eastAsia="宋体"/>
          <w:b/>
          <w:bCs/>
          <w:highlight w:val="none"/>
        </w:rPr>
        <w:t>（六）提交的首次响应文</w:t>
      </w:r>
      <w:r>
        <w:rPr>
          <w:rFonts w:eastAsia="宋体"/>
          <w:b/>
          <w:highlight w:val="none"/>
        </w:rPr>
        <w:t>件的加密</w:t>
      </w:r>
      <w:r>
        <w:rPr>
          <w:rFonts w:hint="eastAsia" w:eastAsia="宋体"/>
          <w:b/>
          <w:highlight w:val="none"/>
        </w:rPr>
        <w:t>、</w:t>
      </w:r>
      <w:r>
        <w:rPr>
          <w:rFonts w:eastAsia="宋体"/>
          <w:b/>
          <w:highlight w:val="none"/>
        </w:rPr>
        <w:t>签署、盖章要求：</w:t>
      </w:r>
    </w:p>
    <w:p>
      <w:pPr>
        <w:pStyle w:val="67"/>
        <w:spacing w:line="400" w:lineRule="exact"/>
        <w:ind w:firstLine="480"/>
        <w:rPr>
          <w:rFonts w:eastAsia="宋体"/>
          <w:highlight w:val="none"/>
        </w:rPr>
      </w:pPr>
      <w:r>
        <w:rPr>
          <w:rFonts w:eastAsia="宋体"/>
          <w:highlight w:val="none"/>
        </w:rPr>
        <w:t>1、加密要求：</w:t>
      </w:r>
    </w:p>
    <w:p>
      <w:pPr>
        <w:pStyle w:val="67"/>
        <w:spacing w:line="400" w:lineRule="exact"/>
        <w:ind w:firstLine="480"/>
        <w:rPr>
          <w:rFonts w:eastAsia="宋体"/>
          <w:highlight w:val="none"/>
        </w:rPr>
      </w:pPr>
      <w:r>
        <w:rPr>
          <w:rFonts w:eastAsia="宋体"/>
          <w:highlight w:val="none"/>
        </w:rPr>
        <w:t>供应商应当按照《磋商文件》和“苏采云”系统的要求编制并加密响应文件。本项目供应商须通过“苏采云”系统提供的政府采购客户端工具（使用“CA数字证书”）对其数据电文形式的响应文件加密。</w:t>
      </w:r>
    </w:p>
    <w:p>
      <w:pPr>
        <w:pStyle w:val="67"/>
        <w:spacing w:line="400" w:lineRule="exact"/>
        <w:ind w:firstLine="480"/>
        <w:rPr>
          <w:rFonts w:eastAsia="宋体"/>
          <w:b/>
          <w:bCs/>
          <w:highlight w:val="none"/>
        </w:rPr>
      </w:pPr>
      <w:r>
        <w:rPr>
          <w:rFonts w:eastAsia="宋体"/>
          <w:b/>
          <w:bCs/>
          <w:highlight w:val="none"/>
        </w:rPr>
        <w:t>2、签署要求：</w:t>
      </w:r>
      <w:r>
        <w:rPr>
          <w:rFonts w:hint="eastAsia" w:eastAsia="宋体"/>
          <w:b/>
          <w:bCs/>
          <w:highlight w:val="none"/>
        </w:rPr>
        <w:t>特别提醒：竞争性磋商文件中如需“被授权代表签字或盖章”，供应商可打印成文档，签字或盖章后再扫描上传，最后再电子签章</w:t>
      </w:r>
      <w:r>
        <w:rPr>
          <w:rFonts w:hint="eastAsia"/>
          <w:b/>
          <w:bCs/>
          <w:highlight w:val="none"/>
        </w:rPr>
        <w:t>。</w:t>
      </w:r>
      <w:r>
        <w:rPr>
          <w:rFonts w:eastAsia="宋体"/>
          <w:b/>
          <w:bCs/>
          <w:highlight w:val="none"/>
        </w:rPr>
        <w:t>见《磋商文件》第九章附件中相关格式要求。</w:t>
      </w:r>
    </w:p>
    <w:p>
      <w:pPr>
        <w:pStyle w:val="67"/>
        <w:spacing w:line="400" w:lineRule="exact"/>
        <w:ind w:firstLine="480"/>
        <w:rPr>
          <w:rFonts w:eastAsia="宋体"/>
          <w:highlight w:val="none"/>
        </w:rPr>
      </w:pPr>
      <w:r>
        <w:rPr>
          <w:rFonts w:eastAsia="宋体"/>
          <w:highlight w:val="none"/>
        </w:rPr>
        <w:t>3、盖章要求：见《磋商文件》第九章附件中相关格式要求。供应商须通过“苏采云”系统提供的政府采购客户端工具（使用“CA数字证书”）加盖电子签章。</w:t>
      </w:r>
    </w:p>
    <w:p>
      <w:pPr>
        <w:pStyle w:val="67"/>
        <w:spacing w:line="400" w:lineRule="exact"/>
        <w:rPr>
          <w:rFonts w:eastAsia="宋体"/>
          <w:highlight w:val="none"/>
        </w:rPr>
      </w:pPr>
      <w:r>
        <w:rPr>
          <w:rFonts w:eastAsia="宋体"/>
          <w:highlight w:val="none"/>
        </w:rPr>
        <w:t>（七）通过“苏采云”系统提交政府采购客户端工具导出加密的响应文件（后缀名为zip）。</w:t>
      </w:r>
      <w:r>
        <w:rPr>
          <w:rFonts w:hint="eastAsia" w:eastAsia="宋体"/>
          <w:highlight w:val="none"/>
        </w:rPr>
        <w:t>上传</w:t>
      </w:r>
      <w:r>
        <w:rPr>
          <w:rFonts w:eastAsia="宋体"/>
          <w:highlight w:val="none"/>
        </w:rPr>
        <w:t>响应文件</w:t>
      </w:r>
      <w:r>
        <w:rPr>
          <w:rFonts w:hint="eastAsia" w:eastAsia="宋体"/>
          <w:highlight w:val="none"/>
        </w:rPr>
        <w:t>的大小</w:t>
      </w:r>
      <w:r>
        <w:rPr>
          <w:rFonts w:eastAsia="宋体"/>
          <w:highlight w:val="none"/>
        </w:rPr>
        <w:t>不得超过</w:t>
      </w:r>
      <w:r>
        <w:rPr>
          <w:rFonts w:hint="eastAsia" w:eastAsia="宋体"/>
          <w:highlight w:val="none"/>
        </w:rPr>
        <w:t>苏采云系统设置的范围</w:t>
      </w:r>
      <w:r>
        <w:rPr>
          <w:rFonts w:eastAsia="宋体"/>
          <w:highlight w:val="none"/>
        </w:rPr>
        <w:t xml:space="preserve">！ </w:t>
      </w:r>
    </w:p>
    <w:p>
      <w:pPr>
        <w:pStyle w:val="67"/>
        <w:spacing w:line="400" w:lineRule="exact"/>
        <w:ind w:firstLine="497"/>
        <w:rPr>
          <w:rFonts w:eastAsia="宋体"/>
          <w:highlight w:val="none"/>
        </w:rPr>
      </w:pPr>
      <w:r>
        <w:rPr>
          <w:rFonts w:eastAsia="宋体"/>
          <w:highlight w:val="none"/>
        </w:rPr>
        <w:t>注：</w:t>
      </w:r>
    </w:p>
    <w:p>
      <w:pPr>
        <w:pStyle w:val="67"/>
        <w:spacing w:line="400" w:lineRule="exact"/>
        <w:ind w:firstLine="497"/>
        <w:rPr>
          <w:rFonts w:eastAsia="宋体"/>
          <w:highlight w:val="none"/>
        </w:rPr>
      </w:pPr>
      <w:r>
        <w:rPr>
          <w:rFonts w:eastAsia="宋体"/>
          <w:highlight w:val="none"/>
        </w:rPr>
        <w:t>1、供应商应当按照《磋商文件》的要求编制响应文件，并对其提交的响应文件的真实性、合法性承担法律责任。</w:t>
      </w:r>
    </w:p>
    <w:p>
      <w:pPr>
        <w:widowControl/>
        <w:spacing w:line="400" w:lineRule="exact"/>
        <w:ind w:firstLine="480"/>
        <w:outlineLvl w:val="2"/>
        <w:rPr>
          <w:rFonts w:ascii="宋体" w:hAnsi="宋体" w:cs="宋体"/>
          <w:sz w:val="24"/>
          <w:highlight w:val="none"/>
        </w:rPr>
      </w:pPr>
      <w:r>
        <w:rPr>
          <w:rFonts w:ascii="宋体" w:hAnsi="宋体"/>
          <w:sz w:val="24"/>
          <w:highlight w:val="none"/>
        </w:rPr>
        <w:t>2、采购人索取成交供应商的响应文件，须在双方签订政府采购合同后，由采购代理机构提供给采购人。</w:t>
      </w:r>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4"/>
          <w:highlight w:val="none"/>
        </w:rPr>
      </w:pPr>
      <w:r>
        <w:rPr>
          <w:rFonts w:hint="eastAsia" w:ascii="宋体" w:hAnsi="宋体" w:cs="宋体"/>
          <w:sz w:val="28"/>
          <w:szCs w:val="28"/>
          <w:highlight w:val="none"/>
        </w:rPr>
        <w:t>第四章 磋商相关说明</w:t>
      </w:r>
    </w:p>
    <w:p>
      <w:pPr>
        <w:spacing w:line="400" w:lineRule="exact"/>
        <w:ind w:firstLine="480"/>
        <w:rPr>
          <w:rFonts w:ascii="宋体" w:hAnsi="宋体" w:cs="宋体"/>
          <w:sz w:val="24"/>
          <w:highlight w:val="none"/>
        </w:rPr>
      </w:pPr>
      <w:r>
        <w:rPr>
          <w:rFonts w:hint="eastAsia" w:ascii="宋体" w:hAnsi="宋体" w:cs="宋体"/>
          <w:sz w:val="24"/>
          <w:highlight w:val="none"/>
        </w:rPr>
        <w:t>十四、磋商程序</w:t>
      </w:r>
    </w:p>
    <w:p>
      <w:pPr>
        <w:pStyle w:val="67"/>
        <w:spacing w:line="400" w:lineRule="exact"/>
        <w:rPr>
          <w:rFonts w:eastAsia="宋体"/>
          <w:b/>
          <w:bCs/>
          <w:highlight w:val="none"/>
        </w:rPr>
      </w:pPr>
      <w:r>
        <w:rPr>
          <w:b/>
          <w:bCs/>
          <w:highlight w:val="none"/>
        </w:rPr>
        <w:t>（一）</w:t>
      </w:r>
      <w:r>
        <w:rPr>
          <w:rFonts w:eastAsia="宋体"/>
          <w:b/>
          <w:bCs/>
          <w:highlight w:val="none"/>
        </w:rPr>
        <w:t>磋商要求</w:t>
      </w:r>
    </w:p>
    <w:p>
      <w:pPr>
        <w:pStyle w:val="67"/>
        <w:spacing w:line="400" w:lineRule="exact"/>
        <w:ind w:firstLine="480"/>
        <w:rPr>
          <w:rFonts w:eastAsia="宋体"/>
          <w:bCs/>
          <w:highlight w:val="none"/>
        </w:rPr>
      </w:pPr>
      <w:r>
        <w:rPr>
          <w:rFonts w:eastAsia="宋体"/>
          <w:bCs/>
          <w:highlight w:val="none"/>
        </w:rPr>
        <w:t>1、被邀请参与磋商的供应商需按本竞争性磋商文件要求的截止时间、方式（地点）提交首次响应文件，同时派</w:t>
      </w:r>
      <w:r>
        <w:rPr>
          <w:rFonts w:hint="eastAsia" w:eastAsia="宋体"/>
          <w:bCs/>
          <w:highlight w:val="none"/>
        </w:rPr>
        <w:t>代表（以下简称：</w:t>
      </w:r>
      <w:r>
        <w:rPr>
          <w:rFonts w:eastAsia="宋体"/>
          <w:bCs/>
          <w:highlight w:val="none"/>
        </w:rPr>
        <w:t>磋商人员</w:t>
      </w:r>
      <w:r>
        <w:rPr>
          <w:rFonts w:hint="eastAsia" w:eastAsia="宋体"/>
          <w:bCs/>
          <w:highlight w:val="none"/>
        </w:rPr>
        <w:t>）</w:t>
      </w:r>
      <w:r>
        <w:rPr>
          <w:rFonts w:eastAsia="宋体"/>
          <w:bCs/>
          <w:highlight w:val="none"/>
        </w:rPr>
        <w:t>通过“苏采云”系统在“开标大厅”等待磋商。</w:t>
      </w:r>
    </w:p>
    <w:p>
      <w:pPr>
        <w:pStyle w:val="67"/>
        <w:spacing w:line="400" w:lineRule="exact"/>
        <w:ind w:firstLine="480"/>
        <w:rPr>
          <w:rFonts w:eastAsia="宋体"/>
          <w:bCs/>
          <w:highlight w:val="none"/>
        </w:rPr>
      </w:pPr>
      <w:r>
        <w:rPr>
          <w:rFonts w:eastAsia="宋体"/>
          <w:bCs/>
          <w:highlight w:val="none"/>
        </w:rPr>
        <w:t>2、供应商可通过CA数字证书，在首次响应文件开启时间后，使用CA数字证书在规定时间内解密各自响应文件。</w:t>
      </w:r>
    </w:p>
    <w:p>
      <w:pPr>
        <w:pStyle w:val="67"/>
        <w:spacing w:line="400" w:lineRule="exact"/>
        <w:ind w:firstLine="480"/>
        <w:rPr>
          <w:rFonts w:eastAsia="宋体"/>
          <w:bCs/>
          <w:highlight w:val="none"/>
        </w:rPr>
      </w:pPr>
      <w:r>
        <w:rPr>
          <w:rFonts w:eastAsia="宋体"/>
          <w:bCs/>
          <w:highlight w:val="none"/>
        </w:rPr>
        <w:t>3、供应商授权的磋商人员需携带授权委托书原件及身份证原件</w:t>
      </w:r>
      <w:r>
        <w:rPr>
          <w:rFonts w:hint="eastAsia" w:eastAsia="宋体"/>
          <w:bCs/>
          <w:highlight w:val="none"/>
        </w:rPr>
        <w:t>按时</w:t>
      </w:r>
      <w:r>
        <w:rPr>
          <w:rFonts w:eastAsia="宋体"/>
          <w:bCs/>
          <w:highlight w:val="none"/>
        </w:rPr>
        <w:t>参与磋商活动。</w:t>
      </w:r>
    </w:p>
    <w:p>
      <w:pPr>
        <w:pStyle w:val="67"/>
        <w:spacing w:line="400" w:lineRule="exact"/>
        <w:ind w:firstLine="480"/>
        <w:rPr>
          <w:rFonts w:eastAsia="宋体"/>
          <w:bCs/>
          <w:highlight w:val="none"/>
        </w:rPr>
      </w:pPr>
      <w:r>
        <w:rPr>
          <w:rFonts w:eastAsia="宋体"/>
          <w:bCs/>
          <w:highlight w:val="none"/>
        </w:rPr>
        <w:t>4、磋商顺序按照电子标书解密先后时间进行，解密时间相同的，不分先后顺序。</w:t>
      </w:r>
    </w:p>
    <w:p>
      <w:pPr>
        <w:pStyle w:val="67"/>
        <w:spacing w:line="400" w:lineRule="exact"/>
        <w:ind w:firstLine="480"/>
        <w:rPr>
          <w:rFonts w:eastAsia="宋体"/>
          <w:bCs/>
          <w:highlight w:val="none"/>
        </w:rPr>
      </w:pPr>
      <w:r>
        <w:rPr>
          <w:rFonts w:eastAsia="宋体"/>
          <w:b/>
          <w:highlight w:val="none"/>
        </w:rPr>
        <w:t>5、</w:t>
      </w:r>
      <w:r>
        <w:rPr>
          <w:rFonts w:hint="eastAsia" w:eastAsia="宋体"/>
          <w:b/>
          <w:highlight w:val="none"/>
        </w:rPr>
        <w:t>磋商方式：本次磋商采用“苏采云”系统中的视频会议，供应商自行选择任意地点参加远程磋商会议。请供应商在磋商前等候在开标大厅，随时接听磋商小组发出的磋商视频邀请。</w:t>
      </w:r>
    </w:p>
    <w:p>
      <w:pPr>
        <w:pStyle w:val="67"/>
        <w:spacing w:line="400" w:lineRule="exact"/>
        <w:ind w:firstLine="480"/>
        <w:rPr>
          <w:rFonts w:eastAsia="宋体"/>
          <w:highlight w:val="none"/>
        </w:rPr>
      </w:pPr>
      <w:r>
        <w:rPr>
          <w:rFonts w:hint="eastAsia" w:eastAsia="宋体"/>
          <w:bCs/>
          <w:highlight w:val="none"/>
        </w:rPr>
        <w:t>6、未</w:t>
      </w:r>
      <w:r>
        <w:rPr>
          <w:rFonts w:hint="eastAsia" w:eastAsia="宋体"/>
          <w:highlight w:val="none"/>
        </w:rPr>
        <w:t>在“苏采云”系统规定时间内进行答疑澄清的，视同放弃澄清。</w:t>
      </w:r>
    </w:p>
    <w:p>
      <w:pPr>
        <w:pStyle w:val="67"/>
        <w:spacing w:line="400" w:lineRule="exact"/>
        <w:ind w:firstLine="480"/>
        <w:rPr>
          <w:rFonts w:eastAsia="宋体"/>
          <w:bCs/>
          <w:highlight w:val="none"/>
        </w:rPr>
      </w:pPr>
      <w:r>
        <w:rPr>
          <w:rFonts w:hint="eastAsia" w:eastAsia="宋体"/>
          <w:highlight w:val="none"/>
        </w:rPr>
        <w:t>7、未在“苏采云”系统规</w:t>
      </w:r>
      <w:r>
        <w:rPr>
          <w:rFonts w:hint="eastAsia" w:eastAsia="宋体"/>
          <w:bCs/>
          <w:highlight w:val="none"/>
        </w:rPr>
        <w:t>定时间内进行报价的，视为响应无效。</w:t>
      </w:r>
    </w:p>
    <w:p>
      <w:pPr>
        <w:pStyle w:val="67"/>
        <w:spacing w:line="400" w:lineRule="exact"/>
        <w:ind w:firstLine="480"/>
        <w:rPr>
          <w:rFonts w:eastAsia="宋体"/>
          <w:highlight w:val="none"/>
        </w:rPr>
      </w:pPr>
      <w:r>
        <w:rPr>
          <w:rFonts w:hint="eastAsia"/>
          <w:highlight w:val="none"/>
        </w:rPr>
        <w:t>8</w:t>
      </w:r>
      <w:r>
        <w:rPr>
          <w:rFonts w:hint="eastAsia" w:eastAsia="宋体"/>
          <w:highlight w:val="none"/>
        </w:rPr>
        <w:t>、</w:t>
      </w:r>
      <w:r>
        <w:rPr>
          <w:rFonts w:eastAsia="宋体"/>
          <w:highlight w:val="none"/>
        </w:rPr>
        <w:t>被邀请参与磋商的供应商如未按上述磋商要求执行，视同放弃磋商的权利。</w:t>
      </w:r>
    </w:p>
    <w:p>
      <w:pPr>
        <w:pStyle w:val="67"/>
        <w:spacing w:line="400" w:lineRule="exact"/>
        <w:ind w:firstLine="240"/>
        <w:rPr>
          <w:rFonts w:eastAsia="宋体"/>
          <w:b/>
          <w:bCs/>
          <w:highlight w:val="none"/>
        </w:rPr>
      </w:pPr>
      <w:r>
        <w:rPr>
          <w:rFonts w:eastAsia="宋体"/>
          <w:b/>
          <w:bCs/>
          <w:highlight w:val="none"/>
        </w:rPr>
        <w:t xml:space="preserve"> (</w:t>
      </w:r>
      <w:r>
        <w:rPr>
          <w:rFonts w:hint="eastAsia" w:eastAsia="宋体"/>
          <w:b/>
          <w:bCs/>
          <w:highlight w:val="none"/>
        </w:rPr>
        <w:t>二</w:t>
      </w:r>
      <w:r>
        <w:rPr>
          <w:rFonts w:eastAsia="宋体"/>
          <w:b/>
          <w:bCs/>
          <w:highlight w:val="none"/>
        </w:rPr>
        <w:t>) 查询及使用供应商信用记录</w:t>
      </w:r>
    </w:p>
    <w:p>
      <w:pPr>
        <w:widowControl/>
        <w:spacing w:line="400" w:lineRule="exact"/>
        <w:ind w:firstLine="480"/>
        <w:jc w:val="left"/>
        <w:rPr>
          <w:rFonts w:ascii="宋体" w:hAnsi="宋体"/>
          <w:sz w:val="24"/>
          <w:highlight w:val="none"/>
        </w:rPr>
      </w:pPr>
      <w:r>
        <w:rPr>
          <w:rFonts w:hint="eastAsia" w:ascii="宋体" w:hAnsi="宋体"/>
          <w:sz w:val="24"/>
          <w:highlight w:val="none"/>
        </w:rPr>
        <w:t>1、由采购人查询信用信息。</w:t>
      </w:r>
    </w:p>
    <w:p>
      <w:pPr>
        <w:widowControl/>
        <w:spacing w:line="400" w:lineRule="exact"/>
        <w:ind w:firstLine="480"/>
        <w:jc w:val="left"/>
        <w:rPr>
          <w:rFonts w:ascii="宋体" w:hAnsi="宋体"/>
          <w:sz w:val="24"/>
          <w:highlight w:val="none"/>
        </w:rPr>
      </w:pPr>
      <w:r>
        <w:rPr>
          <w:rFonts w:hint="eastAsia" w:ascii="宋体" w:hAnsi="宋体"/>
          <w:sz w:val="24"/>
          <w:highlight w:val="none"/>
        </w:rPr>
        <w:t>2、查询渠道包括：</w:t>
      </w:r>
    </w:p>
    <w:p>
      <w:pPr>
        <w:widowControl/>
        <w:spacing w:line="400" w:lineRule="exact"/>
        <w:ind w:firstLine="480"/>
        <w:jc w:val="left"/>
        <w:rPr>
          <w:rFonts w:ascii="宋体" w:hAnsi="宋体"/>
          <w:sz w:val="24"/>
          <w:highlight w:val="none"/>
        </w:rPr>
      </w:pPr>
      <w:r>
        <w:rPr>
          <w:rFonts w:hint="eastAsia" w:ascii="宋体" w:hAnsi="宋体"/>
          <w:sz w:val="24"/>
          <w:highlight w:val="none"/>
        </w:rPr>
        <w:t>(1)“信用中国”网（www.creditchina.gov.cn）；</w:t>
      </w:r>
    </w:p>
    <w:p>
      <w:pPr>
        <w:widowControl/>
        <w:spacing w:line="400" w:lineRule="exact"/>
        <w:ind w:firstLine="480"/>
        <w:jc w:val="left"/>
        <w:rPr>
          <w:rFonts w:ascii="宋体" w:hAnsi="宋体"/>
          <w:sz w:val="24"/>
          <w:highlight w:val="none"/>
        </w:rPr>
      </w:pPr>
      <w:r>
        <w:rPr>
          <w:rFonts w:hint="eastAsia" w:ascii="宋体" w:hAnsi="宋体"/>
          <w:sz w:val="24"/>
          <w:highlight w:val="none"/>
        </w:rPr>
        <w:t>(2)中国政府采购网（www.ccgp.gov.cn）；</w:t>
      </w:r>
    </w:p>
    <w:p>
      <w:pPr>
        <w:widowControl/>
        <w:spacing w:line="400" w:lineRule="exact"/>
        <w:ind w:firstLine="480"/>
        <w:jc w:val="left"/>
        <w:rPr>
          <w:rFonts w:ascii="宋体" w:hAnsi="宋体"/>
          <w:sz w:val="24"/>
          <w:highlight w:val="none"/>
        </w:rPr>
      </w:pPr>
      <w:r>
        <w:rPr>
          <w:rFonts w:hint="eastAsia" w:ascii="宋体" w:hAnsi="宋体"/>
          <w:sz w:val="24"/>
          <w:highlight w:val="none"/>
        </w:rPr>
        <w:t>(3)“信用江苏”网（http://credit.jiangsu.gov.cn/）；</w:t>
      </w:r>
    </w:p>
    <w:p>
      <w:pPr>
        <w:widowControl/>
        <w:spacing w:line="400" w:lineRule="exact"/>
        <w:ind w:firstLine="480"/>
        <w:jc w:val="left"/>
        <w:rPr>
          <w:rFonts w:ascii="宋体" w:hAnsi="宋体"/>
          <w:sz w:val="24"/>
          <w:highlight w:val="none"/>
        </w:rPr>
      </w:pPr>
      <w:r>
        <w:rPr>
          <w:rFonts w:hint="eastAsia" w:ascii="宋体" w:hAnsi="宋体"/>
          <w:sz w:val="24"/>
          <w:highlight w:val="none"/>
        </w:rPr>
        <w:t>(4)信用徐州”网（www.xuzhoucredit.gov.cn/）。</w:t>
      </w:r>
    </w:p>
    <w:p>
      <w:pPr>
        <w:widowControl/>
        <w:spacing w:line="400" w:lineRule="exact"/>
        <w:ind w:firstLine="480"/>
        <w:jc w:val="left"/>
        <w:rPr>
          <w:rFonts w:ascii="宋体" w:hAnsi="宋体"/>
          <w:sz w:val="24"/>
          <w:highlight w:val="none"/>
        </w:rPr>
      </w:pPr>
      <w:r>
        <w:rPr>
          <w:rFonts w:hint="eastAsia" w:ascii="宋体" w:hAnsi="宋体"/>
          <w:sz w:val="24"/>
          <w:highlight w:val="none"/>
        </w:rPr>
        <w:t>3、截止时点（查询环节）：首次响应文件开启后资格审查结束前。</w:t>
      </w:r>
    </w:p>
    <w:p>
      <w:pPr>
        <w:widowControl/>
        <w:spacing w:line="400" w:lineRule="exact"/>
        <w:ind w:firstLine="480"/>
        <w:jc w:val="left"/>
        <w:rPr>
          <w:rFonts w:ascii="宋体" w:hAnsi="宋体"/>
          <w:sz w:val="24"/>
          <w:highlight w:val="none"/>
        </w:rPr>
      </w:pPr>
      <w:r>
        <w:rPr>
          <w:rFonts w:hint="eastAsia" w:ascii="宋体" w:hAnsi="宋体"/>
          <w:sz w:val="24"/>
          <w:highlight w:val="none"/>
        </w:rPr>
        <w:t>4、信用信息查询记录和证据留存的具体方式：</w:t>
      </w:r>
    </w:p>
    <w:p>
      <w:pPr>
        <w:widowControl/>
        <w:spacing w:line="400" w:lineRule="exact"/>
        <w:ind w:firstLine="480"/>
        <w:jc w:val="left"/>
        <w:rPr>
          <w:rFonts w:ascii="宋体" w:hAnsi="宋体"/>
          <w:sz w:val="24"/>
          <w:highlight w:val="none"/>
        </w:rPr>
      </w:pPr>
      <w:r>
        <w:rPr>
          <w:rFonts w:hint="eastAsia" w:ascii="宋体" w:hAnsi="宋体"/>
          <w:sz w:val="24"/>
          <w:highlight w:val="none"/>
        </w:rPr>
        <w:t>网页截屏打印，与其他采购文件一并保存。</w:t>
      </w:r>
    </w:p>
    <w:p>
      <w:pPr>
        <w:widowControl/>
        <w:spacing w:line="400" w:lineRule="exact"/>
        <w:ind w:firstLine="480"/>
        <w:jc w:val="left"/>
        <w:rPr>
          <w:rFonts w:ascii="宋体" w:hAnsi="宋体"/>
          <w:sz w:val="24"/>
          <w:highlight w:val="none"/>
        </w:rPr>
      </w:pPr>
      <w:r>
        <w:rPr>
          <w:rFonts w:hint="eastAsia" w:ascii="宋体" w:hAnsi="宋体"/>
          <w:sz w:val="24"/>
          <w:highlight w:val="none"/>
        </w:rPr>
        <w:t>5、信用信息的使用规则：</w:t>
      </w:r>
    </w:p>
    <w:p>
      <w:pPr>
        <w:widowControl/>
        <w:spacing w:line="400" w:lineRule="exact"/>
        <w:ind w:firstLine="480"/>
        <w:jc w:val="left"/>
        <w:rPr>
          <w:rFonts w:ascii="宋体" w:hAnsi="宋体"/>
          <w:sz w:val="24"/>
          <w:highlight w:val="none"/>
        </w:rPr>
      </w:pPr>
      <w:r>
        <w:rPr>
          <w:rFonts w:hint="eastAsia" w:ascii="宋体" w:hAnsi="宋体"/>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widowControl/>
        <w:spacing w:line="400" w:lineRule="exact"/>
        <w:ind w:firstLine="480"/>
        <w:jc w:val="left"/>
        <w:rPr>
          <w:rFonts w:ascii="宋体" w:hAnsi="宋体" w:cs="宋体"/>
          <w:highlight w:val="none"/>
        </w:rPr>
      </w:pPr>
      <w:r>
        <w:rPr>
          <w:rFonts w:hint="eastAsia" w:ascii="宋体" w:hAnsi="宋体"/>
          <w:sz w:val="24"/>
          <w:highlight w:val="none"/>
        </w:rPr>
        <w:t>6、信用评价结果查询：见《磋商文件》附件1.《评分细则》。</w:t>
      </w:r>
    </w:p>
    <w:p>
      <w:pPr>
        <w:spacing w:line="400" w:lineRule="exact"/>
        <w:ind w:firstLine="480"/>
        <w:rPr>
          <w:rFonts w:ascii="宋体" w:hAnsi="宋体" w:cs="宋体"/>
          <w:b/>
          <w:bCs/>
          <w:sz w:val="24"/>
          <w:highlight w:val="none"/>
        </w:rPr>
      </w:pPr>
      <w:r>
        <w:rPr>
          <w:rFonts w:hint="eastAsia" w:ascii="宋体" w:hAnsi="宋体" w:cs="宋体"/>
          <w:b/>
          <w:bCs/>
          <w:sz w:val="24"/>
          <w:highlight w:val="none"/>
        </w:rPr>
        <w:t>十五、评审程序</w:t>
      </w:r>
    </w:p>
    <w:p>
      <w:pPr>
        <w:spacing w:line="400" w:lineRule="exact"/>
        <w:ind w:right="29" w:firstLine="480"/>
        <w:rPr>
          <w:rFonts w:ascii="宋体" w:hAnsi="宋体" w:cs="宋体"/>
          <w:sz w:val="24"/>
          <w:highlight w:val="none"/>
        </w:rPr>
      </w:pPr>
      <w:r>
        <w:rPr>
          <w:rFonts w:hint="eastAsia" w:ascii="宋体" w:hAnsi="宋体" w:cs="宋体"/>
          <w:sz w:val="24"/>
          <w:highlight w:val="none"/>
        </w:rPr>
        <w:t>经磋商确定最终采购需求和提交最后报价的供应商后，由磋商小组采用综合评分法对提交最后报价的供应商的响应文件和最后报价进行综合评分。</w:t>
      </w:r>
    </w:p>
    <w:p>
      <w:pPr>
        <w:spacing w:line="400" w:lineRule="exact"/>
        <w:ind w:right="28" w:firstLine="482"/>
        <w:rPr>
          <w:rFonts w:ascii="宋体" w:hAnsi="宋体" w:cs="宋体"/>
          <w:sz w:val="24"/>
          <w:highlight w:val="none"/>
        </w:rPr>
      </w:pPr>
      <w:r>
        <w:rPr>
          <w:rFonts w:hint="eastAsia" w:ascii="宋体" w:hAnsi="宋体" w:cs="宋体"/>
          <w:sz w:val="24"/>
          <w:highlight w:val="none"/>
        </w:rPr>
        <w:t>磋商小组应当根据综合评分情况，按照评审得分由高到低顺序推荐成交候选供应商，并编写评审报告。评审得分相同的，按照最后报价由低到高的顺序推荐。评审得分且最后报价相同的，按照施工组织方案（得分）顺序推荐1名成交供应商。</w:t>
      </w:r>
    </w:p>
    <w:p>
      <w:pPr>
        <w:spacing w:line="400" w:lineRule="exact"/>
        <w:ind w:right="28" w:firstLine="482"/>
        <w:rPr>
          <w:rFonts w:ascii="宋体" w:hAnsi="宋体" w:cs="宋体"/>
          <w:sz w:val="24"/>
          <w:highlight w:val="none"/>
        </w:rPr>
      </w:pPr>
      <w:r>
        <w:rPr>
          <w:rFonts w:hint="eastAsia" w:ascii="宋体" w:hAnsi="宋体" w:cs="宋体"/>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pPr>
        <w:spacing w:line="400" w:lineRule="exact"/>
        <w:ind w:right="28" w:firstLine="482"/>
        <w:rPr>
          <w:rFonts w:ascii="宋体" w:hAnsi="宋体" w:cs="宋体"/>
          <w:sz w:val="24"/>
          <w:highlight w:val="none"/>
        </w:rPr>
      </w:pPr>
      <w:r>
        <w:rPr>
          <w:rFonts w:hint="eastAsia" w:ascii="宋体" w:hAnsi="宋体" w:cs="宋体"/>
          <w:sz w:val="24"/>
          <w:highlight w:val="none"/>
        </w:rPr>
        <w:t>采用竞争性磋商采购方式采购的政府购买服务项目（含政府和社会资本合作项目），在采购过程中符合要求的供应商（社会资本）只有2家的，竞争性磋商采购活动可以继续进行。（这条规定的适用情形为竞争性磋商符合资格条件的供应商不少于3家，进入磋商过程中，符合采购人技术等方面要求的供应商为2家，磋商活动可以继续进行，由2家供应商提出最后报价。符合资格条件是指通过资格性审查。采购过程中符合要求的供应商（社会资本）只有1家的，采购人（项目实施机构）或者采购代理机构应当终止竞争性磋商采购活动，发布项目终止公告并说明原因，重新开展采购活动）。</w:t>
      </w:r>
    </w:p>
    <w:p>
      <w:pPr>
        <w:spacing w:line="400" w:lineRule="exact"/>
        <w:ind w:right="28" w:firstLine="482"/>
        <w:rPr>
          <w:rFonts w:ascii="宋体" w:hAnsi="宋体" w:cs="宋体"/>
          <w:sz w:val="24"/>
          <w:highlight w:val="none"/>
        </w:rPr>
      </w:pPr>
      <w:r>
        <w:rPr>
          <w:rFonts w:hint="eastAsia" w:ascii="宋体" w:hAnsi="宋体" w:cs="宋体"/>
          <w:sz w:val="24"/>
          <w:highlight w:val="none"/>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w:t>
      </w:r>
    </w:p>
    <w:p>
      <w:pPr>
        <w:spacing w:line="400" w:lineRule="exact"/>
        <w:ind w:firstLine="480"/>
        <w:rPr>
          <w:rFonts w:ascii="宋体" w:hAnsi="宋体" w:cs="宋体"/>
          <w:sz w:val="24"/>
          <w:highlight w:val="none"/>
        </w:rPr>
      </w:pPr>
      <w:r>
        <w:rPr>
          <w:rFonts w:hint="eastAsia" w:ascii="宋体" w:hAnsi="宋体" w:cs="宋体"/>
          <w:sz w:val="24"/>
          <w:highlight w:val="none"/>
        </w:rPr>
        <w:t>十六、评审方法和评审标准</w:t>
      </w:r>
    </w:p>
    <w:p>
      <w:pPr>
        <w:spacing w:line="400" w:lineRule="exact"/>
        <w:ind w:firstLine="480"/>
        <w:rPr>
          <w:rFonts w:ascii="宋体" w:hAnsi="宋体" w:cs="宋体"/>
          <w:sz w:val="24"/>
          <w:highlight w:val="none"/>
        </w:rPr>
      </w:pPr>
      <w:r>
        <w:rPr>
          <w:rFonts w:hint="eastAsia" w:ascii="宋体" w:hAnsi="宋体" w:cs="宋体"/>
          <w:sz w:val="24"/>
          <w:highlight w:val="none"/>
        </w:rPr>
        <w:t>1、评审方法：综合评分法；</w:t>
      </w:r>
    </w:p>
    <w:p>
      <w:pPr>
        <w:spacing w:line="400" w:lineRule="exact"/>
        <w:ind w:left="2" w:right="29" w:firstLine="480"/>
        <w:rPr>
          <w:rFonts w:ascii="宋体" w:hAnsi="宋体" w:cs="宋体"/>
          <w:sz w:val="24"/>
          <w:highlight w:val="none"/>
        </w:rPr>
      </w:pPr>
      <w:r>
        <w:rPr>
          <w:rFonts w:hint="eastAsia" w:ascii="宋体" w:hAnsi="宋体" w:cs="宋体"/>
          <w:sz w:val="24"/>
          <w:highlight w:val="none"/>
        </w:rPr>
        <w:t>2、评审标准：详见《磋商文件》附件1、《评分细则》。</w:t>
      </w:r>
    </w:p>
    <w:p>
      <w:pPr>
        <w:spacing w:line="400" w:lineRule="exact"/>
        <w:ind w:firstLine="480"/>
        <w:rPr>
          <w:rFonts w:ascii="宋体" w:hAnsi="宋体" w:cs="宋体"/>
          <w:b/>
          <w:bCs/>
          <w:sz w:val="24"/>
          <w:highlight w:val="none"/>
        </w:rPr>
      </w:pPr>
      <w:r>
        <w:rPr>
          <w:rFonts w:hint="eastAsia" w:ascii="宋体" w:hAnsi="宋体" w:cs="宋体"/>
          <w:b/>
          <w:bCs/>
          <w:sz w:val="24"/>
          <w:highlight w:val="none"/>
        </w:rPr>
        <w:t>十七、有下列情形之一的，其响应无效：</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1、电子响应文件未按规定期限提交的；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2、电子响应文件未按磋商文件要求签章的；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3、供应商未在规定时间内解密电子响应文件的；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4、供应商的法定代表人授权代表，无法定代表人授权委托书的；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5、不具备磋商文件中规定的资格要求或未按磋商文件规定的要求提供资格、资信证明文件的；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6、被列入“信用中国”网站（www.creditchina.gov.cn）失信被执行人、重大税收违法案件当事人名单、政府采购严重违法失信行为记录名单的；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7、响应文件未按磋商文件规定的内容和要求填写的；没有在系统指定位置上传对应文件、材料的；</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8、响应文件含有采购人不能接受的附加条件的；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9、不同供应商委托同一单位或者个人办理磋商事宜的；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10、项目磋商报价超过本项目（采购包）预算或最高限价的；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11、响应文件中已标价工程量清单与招标文件规定的甲供材料价格不一致的；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12、响应文件中已标价工程量清单与招标文件明确列出的不可竞争费用项目或费率或计算基础不一致的；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13、响应文件的已标价工程量清单与招标文件提供的工程量清单中的项目编码、项目名称、项目特征、计量单位、工程量不一致的；</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14、磋商小组认定供应商的报价明显低于其他通过符合性审查供应商的报价，有可能影响产品质量或者不能诚信履约，且供应商不能应磋商小组要求在评审现场合理的时间内提供书面说明（必要时评标委员会可要求供应商提交相关证明材料）证明其报价合理性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15、响应文件内容不全或不符合磋商文件中规定的其它实质性要求的； </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16、法律法规和磋商文件规定的其它无效情形。</w:t>
      </w:r>
    </w:p>
    <w:p>
      <w:pPr>
        <w:spacing w:line="400" w:lineRule="exact"/>
        <w:ind w:left="2" w:right="29" w:firstLine="480"/>
        <w:rPr>
          <w:rFonts w:ascii="宋体" w:hAnsi="宋体" w:cs="宋体"/>
          <w:sz w:val="24"/>
          <w:highlight w:val="none"/>
        </w:rPr>
      </w:pPr>
      <w:r>
        <w:rPr>
          <w:rFonts w:hint="eastAsia" w:ascii="宋体" w:hAnsi="宋体" w:cs="宋体"/>
          <w:sz w:val="24"/>
          <w:highlight w:val="none"/>
        </w:rPr>
        <w:t>十八、磋商过程中可能实质性变动的内容：在磋商过程中，磋商小组可以根据《磋商文件》和磋商情况实质性变动采购需求中的技术、服务要求以及合同草案条款。</w:t>
      </w:r>
    </w:p>
    <w:p>
      <w:pPr>
        <w:spacing w:line="400" w:lineRule="exact"/>
        <w:ind w:left="-2" w:right="29"/>
        <w:jc w:val="center"/>
        <w:rPr>
          <w:rFonts w:ascii="宋体" w:hAnsi="宋体" w:cs="宋体"/>
          <w:sz w:val="28"/>
          <w:szCs w:val="28"/>
          <w:highlight w:val="none"/>
        </w:rPr>
      </w:pPr>
    </w:p>
    <w:p>
      <w:pPr>
        <w:spacing w:line="400" w:lineRule="exact"/>
        <w:ind w:left="-2" w:right="29"/>
        <w:jc w:val="center"/>
        <w:rPr>
          <w:rFonts w:ascii="宋体" w:hAnsi="宋体" w:cs="宋体"/>
          <w:sz w:val="24"/>
          <w:highlight w:val="none"/>
        </w:rPr>
      </w:pPr>
      <w:r>
        <w:rPr>
          <w:rFonts w:hint="eastAsia" w:ascii="宋体" w:hAnsi="宋体" w:cs="宋体"/>
          <w:sz w:val="28"/>
          <w:szCs w:val="28"/>
          <w:highlight w:val="none"/>
        </w:rPr>
        <w:t>第五章 确定成交供应商及合同签订等</w:t>
      </w:r>
    </w:p>
    <w:p>
      <w:pPr>
        <w:spacing w:line="400" w:lineRule="exact"/>
        <w:ind w:left="2" w:right="29" w:firstLine="480"/>
        <w:rPr>
          <w:rFonts w:ascii="宋体" w:hAnsi="宋体" w:cs="宋体"/>
          <w:sz w:val="24"/>
          <w:highlight w:val="none"/>
        </w:rPr>
      </w:pPr>
    </w:p>
    <w:p>
      <w:pPr>
        <w:spacing w:line="400" w:lineRule="exact"/>
        <w:ind w:left="2" w:right="29" w:firstLine="480"/>
        <w:rPr>
          <w:rFonts w:ascii="宋体" w:hAnsi="宋体" w:cs="宋体"/>
          <w:sz w:val="24"/>
          <w:highlight w:val="none"/>
        </w:rPr>
      </w:pPr>
      <w:r>
        <w:rPr>
          <w:rFonts w:hint="eastAsia" w:ascii="宋体" w:hAnsi="宋体" w:cs="宋体"/>
          <w:sz w:val="24"/>
          <w:highlight w:val="none"/>
        </w:rPr>
        <w:t>十九、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pPr>
        <w:widowControl/>
        <w:spacing w:line="400" w:lineRule="exact"/>
        <w:ind w:firstLine="480"/>
        <w:jc w:val="left"/>
        <w:rPr>
          <w:rFonts w:ascii="宋体" w:hAnsi="宋体" w:cs="宋体"/>
          <w:sz w:val="24"/>
          <w:highlight w:val="none"/>
        </w:rPr>
      </w:pPr>
      <w:r>
        <w:rPr>
          <w:rFonts w:hint="eastAsia" w:ascii="宋体" w:hAnsi="宋体" w:cs="宋体"/>
          <w:sz w:val="24"/>
          <w:highlight w:val="none"/>
        </w:rPr>
        <w:t>二十、采购人与成交供应商应当在成交通知书发出之日起30日内，按照《磋商文件》确定的合同文本以及采购标的、规格型号、采购金额、采购数量、技术和服务要求等事项签订政府采购合同。</w:t>
      </w:r>
    </w:p>
    <w:p>
      <w:pPr>
        <w:widowControl/>
        <w:spacing w:line="400" w:lineRule="exact"/>
        <w:ind w:firstLine="480"/>
        <w:jc w:val="left"/>
        <w:rPr>
          <w:highlight w:val="none"/>
        </w:rPr>
      </w:pPr>
      <w:r>
        <w:rPr>
          <w:rFonts w:ascii="宋体" w:hAnsi="宋体"/>
          <w:sz w:val="24"/>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pPr>
        <w:widowControl/>
        <w:spacing w:line="400" w:lineRule="exact"/>
        <w:ind w:firstLine="480"/>
        <w:jc w:val="left"/>
        <w:rPr>
          <w:rFonts w:ascii="宋体" w:hAnsi="宋体" w:cs="宋体"/>
          <w:sz w:val="24"/>
          <w:highlight w:val="none"/>
        </w:rPr>
      </w:pPr>
      <w:r>
        <w:rPr>
          <w:rFonts w:hint="eastAsia" w:ascii="宋体" w:hAnsi="宋体" w:cs="宋体"/>
          <w:sz w:val="24"/>
          <w:highlight w:val="none"/>
        </w:rPr>
        <w:t>二十一、成交供应商在收到成交通知书时，须向江苏中际招标代理有限公司提交《磋商报价表》（首次响应文件）和《分项价格表》（首次响应文件）的数据文件（WORD格式）。</w:t>
      </w:r>
    </w:p>
    <w:p>
      <w:pPr>
        <w:spacing w:line="400" w:lineRule="exact"/>
        <w:ind w:firstLine="480"/>
        <w:jc w:val="left"/>
        <w:rPr>
          <w:rFonts w:ascii="宋体" w:hAnsi="宋体" w:cs="宋体"/>
          <w:b/>
          <w:bCs/>
          <w:sz w:val="24"/>
          <w:highlight w:val="none"/>
        </w:rPr>
      </w:pPr>
      <w:r>
        <w:rPr>
          <w:rFonts w:hint="eastAsia" w:ascii="宋体" w:hAnsi="宋体" w:cs="宋体"/>
          <w:b/>
          <w:bCs/>
          <w:sz w:val="24"/>
          <w:highlight w:val="none"/>
        </w:rPr>
        <w:t>二十二、供应商应对响应文件的合法性、真实性负责。</w:t>
      </w:r>
      <w:r>
        <w:rPr>
          <w:rFonts w:ascii="宋体" w:hAnsi="宋体" w:cs="宋体"/>
          <w:b/>
          <w:bCs/>
          <w:sz w:val="24"/>
          <w:highlight w:val="none"/>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pPr>
        <w:widowControl/>
        <w:spacing w:line="400" w:lineRule="exact"/>
        <w:jc w:val="center"/>
        <w:rPr>
          <w:rFonts w:ascii="宋体" w:hAnsi="宋体" w:cs="宋体"/>
          <w:sz w:val="28"/>
          <w:szCs w:val="28"/>
          <w:highlight w:val="none"/>
        </w:rPr>
      </w:pPr>
    </w:p>
    <w:p>
      <w:pPr>
        <w:widowControl/>
        <w:spacing w:line="400" w:lineRule="exact"/>
        <w:jc w:val="center"/>
        <w:rPr>
          <w:rFonts w:ascii="宋体" w:hAnsi="宋体" w:cs="宋体"/>
          <w:sz w:val="24"/>
          <w:highlight w:val="none"/>
        </w:rPr>
      </w:pPr>
      <w:r>
        <w:rPr>
          <w:rFonts w:hint="eastAsia" w:ascii="宋体" w:hAnsi="宋体" w:cs="宋体"/>
          <w:sz w:val="28"/>
          <w:szCs w:val="28"/>
          <w:highlight w:val="none"/>
        </w:rPr>
        <w:t>第六章 磋商文件的澄清或者修改</w:t>
      </w:r>
    </w:p>
    <w:p>
      <w:pPr>
        <w:widowControl/>
        <w:spacing w:line="400" w:lineRule="exact"/>
        <w:ind w:firstLine="480"/>
        <w:jc w:val="left"/>
        <w:rPr>
          <w:rFonts w:ascii="宋体" w:hAnsi="宋体" w:cs="宋体"/>
          <w:sz w:val="24"/>
          <w:highlight w:val="none"/>
        </w:rPr>
      </w:pPr>
    </w:p>
    <w:p>
      <w:pPr>
        <w:widowControl/>
        <w:spacing w:line="400" w:lineRule="exact"/>
        <w:ind w:firstLine="480"/>
        <w:jc w:val="left"/>
        <w:rPr>
          <w:rFonts w:ascii="宋体" w:hAnsi="宋体" w:cs="宋体"/>
          <w:sz w:val="24"/>
          <w:highlight w:val="none"/>
        </w:rPr>
      </w:pPr>
      <w:r>
        <w:rPr>
          <w:rFonts w:hint="eastAsia" w:ascii="宋体" w:hAnsi="宋体" w:cs="宋体"/>
          <w:sz w:val="24"/>
          <w:highlight w:val="none"/>
        </w:rPr>
        <w:t>二十三、《磋商文件》的澄清或者修改</w:t>
      </w:r>
    </w:p>
    <w:p>
      <w:pPr>
        <w:spacing w:line="400" w:lineRule="exact"/>
        <w:ind w:firstLine="480"/>
        <w:jc w:val="left"/>
        <w:rPr>
          <w:rFonts w:ascii="宋体" w:hAnsi="宋体" w:cs="宋体"/>
          <w:sz w:val="24"/>
          <w:highlight w:val="none"/>
        </w:rPr>
      </w:pPr>
      <w:r>
        <w:rPr>
          <w:rFonts w:hint="eastAsia" w:ascii="宋体" w:hAnsi="宋体" w:cs="宋体"/>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第七章 询问和质疑</w:t>
      </w:r>
    </w:p>
    <w:p>
      <w:pPr>
        <w:widowControl/>
        <w:spacing w:line="400" w:lineRule="exact"/>
        <w:ind w:firstLine="480"/>
        <w:jc w:val="left"/>
        <w:rPr>
          <w:rFonts w:ascii="宋体" w:hAnsi="宋体" w:cs="宋体"/>
          <w:sz w:val="24"/>
          <w:highlight w:val="none"/>
        </w:rPr>
      </w:pPr>
    </w:p>
    <w:p>
      <w:pPr>
        <w:widowControl/>
        <w:spacing w:line="400" w:lineRule="exact"/>
        <w:ind w:firstLine="480"/>
        <w:jc w:val="left"/>
        <w:rPr>
          <w:rFonts w:ascii="宋体" w:hAnsi="宋体" w:cs="宋体"/>
          <w:sz w:val="24"/>
          <w:highlight w:val="none"/>
        </w:rPr>
      </w:pPr>
      <w:r>
        <w:rPr>
          <w:rFonts w:hint="eastAsia" w:ascii="宋体" w:hAnsi="宋体" w:cs="宋体"/>
          <w:sz w:val="24"/>
          <w:highlight w:val="none"/>
        </w:rPr>
        <w:t>二十四、询问和质疑</w:t>
      </w:r>
    </w:p>
    <w:p>
      <w:pPr>
        <w:spacing w:line="400" w:lineRule="exact"/>
        <w:ind w:firstLine="480"/>
        <w:rPr>
          <w:rFonts w:ascii="宋体" w:hAnsi="宋体" w:cs="宋体"/>
          <w:sz w:val="24"/>
          <w:highlight w:val="none"/>
        </w:rPr>
      </w:pPr>
      <w:r>
        <w:rPr>
          <w:rFonts w:hint="eastAsia" w:ascii="宋体" w:hAnsi="宋体" w:cs="宋体"/>
          <w:sz w:val="24"/>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pPr>
        <w:spacing w:line="400" w:lineRule="exact"/>
        <w:ind w:firstLine="480"/>
        <w:rPr>
          <w:rFonts w:ascii="宋体" w:hAnsi="宋体" w:cs="宋体"/>
          <w:sz w:val="24"/>
          <w:highlight w:val="none"/>
        </w:rPr>
      </w:pPr>
      <w:r>
        <w:rPr>
          <w:rFonts w:hint="eastAsia" w:ascii="宋体" w:hAnsi="宋体" w:cs="宋体"/>
          <w:sz w:val="24"/>
          <w:highlight w:val="none"/>
        </w:rPr>
        <w:t>2、质疑和投诉按《政府采购质疑和投诉办法》执行。</w:t>
      </w:r>
    </w:p>
    <w:p>
      <w:pPr>
        <w:spacing w:line="400" w:lineRule="exact"/>
        <w:ind w:firstLine="480"/>
        <w:rPr>
          <w:rFonts w:ascii="宋体" w:hAnsi="宋体" w:cs="宋体"/>
          <w:sz w:val="24"/>
          <w:highlight w:val="none"/>
        </w:rPr>
      </w:pPr>
      <w:r>
        <w:rPr>
          <w:rFonts w:hint="eastAsia" w:ascii="宋体" w:hAnsi="宋体" w:cs="宋体"/>
          <w:sz w:val="24"/>
          <w:highlight w:val="none"/>
        </w:rPr>
        <w:t>3、供应商对同一采购程序环节的质疑应在质疑期内一次性提出。</w:t>
      </w:r>
    </w:p>
    <w:p>
      <w:pPr>
        <w:spacing w:line="400" w:lineRule="exact"/>
        <w:ind w:firstLine="480"/>
        <w:rPr>
          <w:rFonts w:hint="default" w:ascii="宋体" w:hAnsi="宋体" w:eastAsia="宋体" w:cs="宋体"/>
          <w:sz w:val="24"/>
          <w:highlight w:val="none"/>
          <w:lang w:val="en-US" w:eastAsia="zh-CN"/>
        </w:rPr>
      </w:pPr>
      <w:r>
        <w:rPr>
          <w:rFonts w:hint="eastAsia" w:ascii="宋体" w:hAnsi="宋体" w:cs="宋体"/>
          <w:sz w:val="24"/>
          <w:highlight w:val="none"/>
        </w:rPr>
        <w:t>质疑接收人：</w:t>
      </w:r>
      <w:r>
        <w:rPr>
          <w:rFonts w:hint="eastAsia" w:ascii="宋体" w:hAnsi="宋体" w:cs="宋体"/>
          <w:sz w:val="24"/>
          <w:highlight w:val="none"/>
          <w:lang w:eastAsia="zh-CN"/>
        </w:rPr>
        <w:t>冯旭</w:t>
      </w:r>
      <w:r>
        <w:rPr>
          <w:rFonts w:hint="eastAsia" w:ascii="宋体" w:hAnsi="宋体" w:cs="宋体"/>
          <w:sz w:val="24"/>
          <w:highlight w:val="none"/>
        </w:rPr>
        <w:t xml:space="preserve">       联系电话：0516-8320</w:t>
      </w:r>
      <w:r>
        <w:rPr>
          <w:rFonts w:hint="eastAsia" w:ascii="宋体" w:hAnsi="宋体" w:cs="宋体"/>
          <w:sz w:val="24"/>
          <w:highlight w:val="none"/>
          <w:lang w:val="en-US" w:eastAsia="zh-CN"/>
        </w:rPr>
        <w:t>0975</w:t>
      </w:r>
    </w:p>
    <w:p>
      <w:pPr>
        <w:spacing w:line="400" w:lineRule="exact"/>
        <w:ind w:firstLine="480"/>
        <w:rPr>
          <w:rFonts w:ascii="宋体" w:hAnsi="宋体" w:cs="宋体"/>
          <w:sz w:val="24"/>
          <w:highlight w:val="none"/>
        </w:rPr>
      </w:pPr>
      <w:r>
        <w:rPr>
          <w:rFonts w:hint="eastAsia" w:ascii="宋体" w:hAnsi="宋体" w:cs="宋体"/>
          <w:sz w:val="24"/>
          <w:highlight w:val="none"/>
        </w:rPr>
        <w:t>地址：徐州市云龙区绿地商务城LOFT领海办公楼5#190</w:t>
      </w:r>
      <w:r>
        <w:rPr>
          <w:rFonts w:hint="eastAsia" w:ascii="宋体" w:hAnsi="宋体" w:cs="宋体"/>
          <w:sz w:val="24"/>
          <w:highlight w:val="none"/>
          <w:lang w:val="en-US" w:eastAsia="zh-CN"/>
        </w:rPr>
        <w:t>6</w:t>
      </w:r>
      <w:r>
        <w:rPr>
          <w:rFonts w:hint="eastAsia" w:ascii="宋体" w:hAnsi="宋体" w:cs="宋体"/>
          <w:sz w:val="24"/>
          <w:highlight w:val="none"/>
        </w:rPr>
        <w:t>室（汉风路和昆仑大道交叉口东北角）。</w:t>
      </w:r>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第八章 其他</w:t>
      </w:r>
    </w:p>
    <w:p>
      <w:pPr>
        <w:spacing w:line="400" w:lineRule="exact"/>
        <w:ind w:firstLine="480"/>
        <w:rPr>
          <w:rFonts w:ascii="宋体" w:hAnsi="宋体" w:cs="宋体"/>
          <w:sz w:val="24"/>
          <w:highlight w:val="none"/>
        </w:rPr>
      </w:pPr>
      <w:r>
        <w:rPr>
          <w:rFonts w:hint="eastAsia" w:ascii="宋体" w:hAnsi="宋体" w:cs="宋体"/>
          <w:sz w:val="24"/>
          <w:highlight w:val="none"/>
        </w:rPr>
        <w:t>1、代理服务费由成交人向采购代理机构支付，收取标准见附件。</w:t>
      </w:r>
    </w:p>
    <w:p>
      <w:pPr>
        <w:spacing w:line="400" w:lineRule="exact"/>
        <w:ind w:firstLine="480"/>
        <w:rPr>
          <w:rFonts w:ascii="宋体" w:hAnsi="宋体" w:cs="宋体"/>
          <w:sz w:val="24"/>
          <w:highlight w:val="none"/>
        </w:rPr>
      </w:pPr>
      <w:r>
        <w:rPr>
          <w:rFonts w:hint="eastAsia" w:ascii="宋体" w:hAnsi="宋体" w:cs="宋体"/>
          <w:sz w:val="24"/>
          <w:highlight w:val="none"/>
        </w:rPr>
        <w:t>2、成交结果在徐州政府采购网http://czj.xz.gov.cn/Home/HomeIndex上公布。</w:t>
      </w:r>
    </w:p>
    <w:p>
      <w:pPr>
        <w:spacing w:line="400" w:lineRule="exact"/>
        <w:ind w:firstLine="480"/>
        <w:rPr>
          <w:rFonts w:hint="eastAsia" w:ascii="宋体" w:hAnsi="宋体" w:eastAsia="宋体" w:cs="宋体"/>
          <w:sz w:val="24"/>
          <w:highlight w:val="none"/>
          <w:lang w:eastAsia="zh-CN"/>
        </w:rPr>
      </w:pPr>
      <w:r>
        <w:rPr>
          <w:rFonts w:hint="eastAsia" w:ascii="宋体" w:hAnsi="宋体" w:cs="宋体"/>
          <w:sz w:val="24"/>
          <w:highlight w:val="none"/>
        </w:rPr>
        <w:t>3、采购人：</w:t>
      </w:r>
      <w:r>
        <w:rPr>
          <w:rFonts w:hint="eastAsia" w:ascii="宋体" w:hAnsi="宋体" w:cs="宋体"/>
          <w:sz w:val="24"/>
          <w:highlight w:val="none"/>
          <w:lang w:eastAsia="zh-CN"/>
        </w:rPr>
        <w:t>徐州市泉山区城市管理局</w:t>
      </w:r>
    </w:p>
    <w:p>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地址：欣欣路七里沟变电站北侧</w:t>
      </w:r>
    </w:p>
    <w:p>
      <w:pPr>
        <w:spacing w:line="40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孟子健   </w:t>
      </w:r>
      <w:r>
        <w:rPr>
          <w:rFonts w:hint="eastAsia" w:ascii="宋体" w:hAnsi="宋体" w:cs="宋体"/>
          <w:color w:val="auto"/>
          <w:sz w:val="24"/>
          <w:highlight w:val="none"/>
        </w:rPr>
        <w:t>联系电话：0516–83653801</w:t>
      </w:r>
      <w:r>
        <w:rPr>
          <w:rFonts w:hint="eastAsia" w:ascii="宋体" w:hAnsi="宋体" w:cs="宋体"/>
          <w:color w:val="auto"/>
          <w:sz w:val="24"/>
          <w:highlight w:val="none"/>
          <w:lang w:val="en-US" w:eastAsia="zh-CN"/>
        </w:rPr>
        <w:t xml:space="preserve"> </w:t>
      </w:r>
    </w:p>
    <w:p>
      <w:pPr>
        <w:spacing w:line="400" w:lineRule="exact"/>
        <w:ind w:firstLine="482"/>
        <w:rPr>
          <w:rFonts w:ascii="宋体" w:hAnsi="宋体" w:cs="宋体"/>
          <w:sz w:val="24"/>
          <w:highlight w:val="none"/>
        </w:rPr>
      </w:pPr>
      <w:r>
        <w:rPr>
          <w:rFonts w:hint="eastAsia" w:ascii="宋体" w:hAnsi="宋体" w:cs="宋体"/>
          <w:sz w:val="24"/>
          <w:highlight w:val="none"/>
        </w:rPr>
        <w:t>4、采购代理公司：江苏中际招标代理有限公司</w:t>
      </w:r>
    </w:p>
    <w:p>
      <w:pPr>
        <w:spacing w:line="400" w:lineRule="exact"/>
        <w:ind w:firstLine="482"/>
        <w:rPr>
          <w:rFonts w:ascii="宋体" w:hAnsi="宋体" w:cs="宋体"/>
          <w:sz w:val="24"/>
          <w:highlight w:val="none"/>
        </w:rPr>
      </w:pPr>
      <w:r>
        <w:rPr>
          <w:rFonts w:hint="eastAsia" w:ascii="宋体" w:hAnsi="宋体" w:cs="宋体"/>
          <w:sz w:val="24"/>
          <w:highlight w:val="none"/>
        </w:rPr>
        <w:t>地址：徐州市云龙区绿地商务城LOFT领海办公楼5#190</w:t>
      </w:r>
      <w:r>
        <w:rPr>
          <w:rFonts w:hint="eastAsia" w:ascii="宋体" w:hAnsi="宋体" w:cs="宋体"/>
          <w:sz w:val="24"/>
          <w:highlight w:val="none"/>
          <w:lang w:val="en-US" w:eastAsia="zh-CN"/>
        </w:rPr>
        <w:t>6</w:t>
      </w:r>
      <w:r>
        <w:rPr>
          <w:rFonts w:hint="eastAsia" w:ascii="宋体" w:hAnsi="宋体" w:cs="宋体"/>
          <w:sz w:val="24"/>
          <w:highlight w:val="none"/>
        </w:rPr>
        <w:t>室。</w:t>
      </w:r>
    </w:p>
    <w:p>
      <w:pPr>
        <w:spacing w:line="400" w:lineRule="exact"/>
        <w:ind w:firstLine="482"/>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冯旭   郭召猛</w:t>
      </w:r>
      <w:r>
        <w:rPr>
          <w:rFonts w:hint="eastAsia" w:ascii="宋体" w:hAnsi="宋体" w:cs="宋体"/>
          <w:sz w:val="24"/>
          <w:highlight w:val="none"/>
        </w:rPr>
        <w:t xml:space="preserve">   联系电话：0516-8320</w:t>
      </w:r>
      <w:r>
        <w:rPr>
          <w:rFonts w:hint="eastAsia" w:ascii="宋体" w:hAnsi="宋体" w:cs="宋体"/>
          <w:sz w:val="24"/>
          <w:highlight w:val="none"/>
          <w:lang w:val="en-US" w:eastAsia="zh-CN"/>
        </w:rPr>
        <w:t>0975</w:t>
      </w:r>
    </w:p>
    <w:p>
      <w:pPr>
        <w:pStyle w:val="65"/>
        <w:widowControl w:val="0"/>
        <w:spacing w:line="400" w:lineRule="exact"/>
        <w:ind w:firstLine="480"/>
        <w:jc w:val="left"/>
        <w:rPr>
          <w:rStyle w:val="484"/>
          <w:rFonts w:ascii="宋体" w:hAnsi="宋体" w:cs="宋体"/>
          <w:sz w:val="24"/>
          <w:highlight w:val="none"/>
        </w:rPr>
      </w:pPr>
    </w:p>
    <w:p>
      <w:pPr>
        <w:spacing w:line="360" w:lineRule="auto"/>
        <w:ind w:firstLine="480"/>
        <w:rPr>
          <w:rFonts w:ascii="宋体" w:hAnsi="宋体" w:cs="宋体"/>
          <w:sz w:val="24"/>
          <w:highlight w:val="none"/>
        </w:rPr>
      </w:pPr>
    </w:p>
    <w:p>
      <w:pPr>
        <w:rPr>
          <w:rFonts w:ascii="宋体" w:hAnsi="宋体" w:cs="宋体"/>
          <w:sz w:val="28"/>
          <w:szCs w:val="28"/>
          <w:highlight w:val="none"/>
        </w:rPr>
      </w:pPr>
      <w:r>
        <w:rPr>
          <w:rFonts w:hint="eastAsia" w:ascii="宋体" w:hAnsi="宋体" w:cs="宋体"/>
          <w:sz w:val="28"/>
          <w:szCs w:val="28"/>
          <w:highlight w:val="none"/>
        </w:rPr>
        <w:br w:type="page" w:clear="all"/>
      </w: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第九章 附件</w:t>
      </w:r>
    </w:p>
    <w:p>
      <w:pPr>
        <w:spacing w:line="400" w:lineRule="exact"/>
        <w:ind w:firstLine="482"/>
        <w:rPr>
          <w:rFonts w:ascii="宋体" w:hAnsi="宋体" w:cs="宋体"/>
          <w:sz w:val="24"/>
          <w:highlight w:val="none"/>
        </w:rPr>
      </w:pPr>
      <w:bookmarkStart w:id="5" w:name="_Hlk81899242"/>
      <w:r>
        <w:rPr>
          <w:rFonts w:hint="eastAsia" w:ascii="宋体" w:hAnsi="宋体" w:cs="宋体"/>
          <w:sz w:val="24"/>
          <w:highlight w:val="none"/>
        </w:rPr>
        <w:t>1、《评分细则》</w:t>
      </w:r>
    </w:p>
    <w:p>
      <w:pPr>
        <w:spacing w:line="400" w:lineRule="exact"/>
        <w:ind w:firstLine="482"/>
        <w:rPr>
          <w:rFonts w:ascii="宋体" w:hAnsi="宋体" w:cs="宋体"/>
          <w:sz w:val="24"/>
          <w:highlight w:val="none"/>
        </w:rPr>
      </w:pPr>
      <w:r>
        <w:rPr>
          <w:rFonts w:hint="eastAsia" w:ascii="宋体" w:hAnsi="宋体" w:cs="宋体"/>
          <w:sz w:val="24"/>
          <w:highlight w:val="none"/>
        </w:rPr>
        <w:t>2、《项目要求（采购需求）》</w:t>
      </w:r>
    </w:p>
    <w:p>
      <w:pPr>
        <w:spacing w:line="400" w:lineRule="exact"/>
        <w:ind w:firstLine="482"/>
        <w:rPr>
          <w:rFonts w:ascii="宋体" w:hAnsi="宋体" w:cs="宋体"/>
          <w:sz w:val="24"/>
          <w:highlight w:val="none"/>
        </w:rPr>
      </w:pPr>
      <w:r>
        <w:rPr>
          <w:rFonts w:hint="eastAsia" w:ascii="宋体" w:hAnsi="宋体" w:cs="宋体"/>
          <w:sz w:val="24"/>
          <w:highlight w:val="none"/>
        </w:rPr>
        <w:t>3、《磋商报价表》</w:t>
      </w:r>
    </w:p>
    <w:p>
      <w:pPr>
        <w:spacing w:line="400" w:lineRule="exact"/>
        <w:ind w:firstLine="482"/>
        <w:rPr>
          <w:rFonts w:ascii="宋体" w:hAnsi="宋体" w:cs="宋体"/>
          <w:sz w:val="24"/>
          <w:highlight w:val="none"/>
        </w:rPr>
      </w:pPr>
      <w:r>
        <w:rPr>
          <w:rFonts w:hint="eastAsia" w:ascii="宋体" w:hAnsi="宋体" w:cs="宋体"/>
          <w:sz w:val="24"/>
          <w:highlight w:val="none"/>
        </w:rPr>
        <w:t>4、《分项价格表》（具有标价的工程量清单与报价表）</w:t>
      </w:r>
    </w:p>
    <w:p>
      <w:pPr>
        <w:spacing w:line="400" w:lineRule="exact"/>
        <w:ind w:firstLine="482"/>
        <w:rPr>
          <w:rFonts w:ascii="宋体" w:hAnsi="宋体" w:cs="宋体"/>
          <w:sz w:val="24"/>
          <w:highlight w:val="none"/>
        </w:rPr>
      </w:pPr>
      <w:r>
        <w:rPr>
          <w:rFonts w:hint="eastAsia" w:ascii="宋体" w:hAnsi="宋体" w:cs="宋体"/>
          <w:sz w:val="24"/>
          <w:highlight w:val="none"/>
        </w:rPr>
        <w:t>5、《偏离表》</w:t>
      </w:r>
    </w:p>
    <w:p>
      <w:pPr>
        <w:spacing w:line="400" w:lineRule="exact"/>
        <w:ind w:firstLine="482"/>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、《合同草案条款》</w:t>
      </w:r>
    </w:p>
    <w:p>
      <w:pPr>
        <w:spacing w:line="400" w:lineRule="exact"/>
        <w:ind w:firstLine="482"/>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、《承诺书》</w:t>
      </w:r>
    </w:p>
    <w:p>
      <w:pPr>
        <w:spacing w:line="400" w:lineRule="exact"/>
        <w:ind w:firstLine="482"/>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、《授权委托书》</w:t>
      </w:r>
    </w:p>
    <w:p>
      <w:pPr>
        <w:spacing w:line="400" w:lineRule="exact"/>
        <w:ind w:firstLine="482"/>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、《中小企业声明函》</w:t>
      </w:r>
    </w:p>
    <w:p>
      <w:pPr>
        <w:spacing w:line="400" w:lineRule="exact"/>
        <w:ind w:firstLine="482"/>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rPr>
        <w:t>、《供应商参加政府采购活动前3年内在经营活动中没有重大违法记录的书面声明》</w:t>
      </w:r>
    </w:p>
    <w:p>
      <w:pPr>
        <w:spacing w:line="400" w:lineRule="exact"/>
        <w:ind w:firstLine="482"/>
        <w:rPr>
          <w:rFonts w:hint="eastAsia" w:ascii="宋体" w:hAnsi="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、《残疾人福利性单位声明函》</w:t>
      </w:r>
      <w:r>
        <w:rPr>
          <w:rFonts w:hint="eastAsia" w:ascii="宋体" w:hAnsi="宋体" w:cs="宋体"/>
          <w:sz w:val="24"/>
          <w:highlight w:val="none"/>
          <w:lang w:val="en-US" w:eastAsia="zh-CN"/>
        </w:rPr>
        <w:t xml:space="preserve">  </w:t>
      </w:r>
    </w:p>
    <w:p>
      <w:pPr>
        <w:spacing w:line="400" w:lineRule="exact"/>
        <w:ind w:firstLine="482"/>
        <w:rPr>
          <w:rFonts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《预付款保函支付条款模板》</w:t>
      </w:r>
    </w:p>
    <w:p>
      <w:pPr>
        <w:spacing w:line="400" w:lineRule="exact"/>
        <w:ind w:firstLine="482"/>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、《代理服务收费标准》</w:t>
      </w:r>
      <w:bookmarkEnd w:id="5"/>
    </w:p>
    <w:p>
      <w:pPr>
        <w:spacing w:line="360" w:lineRule="auto"/>
        <w:ind w:firstLine="48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p>
    <w:p>
      <w:pPr>
        <w:numPr>
          <w:ilvl w:val="0"/>
          <w:numId w:val="3"/>
        </w:numPr>
        <w:spacing w:line="0" w:lineRule="atLeast"/>
        <w:jc w:val="center"/>
        <w:rPr>
          <w:rFonts w:ascii="宋体" w:hAnsi="宋体" w:cs="宋体"/>
          <w:b/>
          <w:sz w:val="36"/>
          <w:highlight w:val="none"/>
        </w:rPr>
      </w:pPr>
      <w:r>
        <w:rPr>
          <w:rFonts w:hint="eastAsia" w:ascii="宋体" w:hAnsi="宋体" w:cs="宋体"/>
          <w:b/>
          <w:sz w:val="36"/>
          <w:highlight w:val="none"/>
        </w:rPr>
        <w:br w:type="page" w:clear="all"/>
      </w:r>
      <w:r>
        <w:rPr>
          <w:rFonts w:hint="eastAsia" w:ascii="宋体" w:hAnsi="宋体" w:cs="宋体"/>
          <w:b/>
          <w:sz w:val="36"/>
          <w:highlight w:val="none"/>
        </w:rPr>
        <w:t>评分细则</w:t>
      </w:r>
    </w:p>
    <w:p>
      <w:pPr>
        <w:pStyle w:val="65"/>
        <w:widowControl w:val="0"/>
        <w:spacing w:line="312" w:lineRule="auto"/>
        <w:contextualSpacing/>
        <w:jc w:val="left"/>
        <w:rPr>
          <w:rFonts w:hint="eastAsia" w:ascii="宋体" w:hAnsi="宋体" w:cs="宋体"/>
          <w:sz w:val="24"/>
          <w:szCs w:val="24"/>
          <w:highlight w:val="none"/>
        </w:rPr>
      </w:pPr>
    </w:p>
    <w:tbl>
      <w:tblPr>
        <w:tblStyle w:val="60"/>
        <w:tblW w:w="95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1284"/>
        <w:gridCol w:w="1447"/>
        <w:gridCol w:w="6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42" w:hRule="atLeast"/>
          <w:jc w:val="center"/>
        </w:trPr>
        <w:tc>
          <w:tcPr>
            <w:tcW w:w="1284" w:type="dxa"/>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default" w:ascii="宋体" w:hAnsi="宋体"/>
                <w:sz w:val="24"/>
                <w:highlight w:val="none"/>
                <w:lang w:bidi="en-US"/>
              </w:rPr>
              <w:t>项目</w:t>
            </w:r>
          </w:p>
        </w:tc>
        <w:tc>
          <w:tcPr>
            <w:tcW w:w="8242" w:type="dxa"/>
            <w:gridSpan w:val="2"/>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default" w:ascii="宋体" w:hAnsi="宋体"/>
                <w:sz w:val="24"/>
                <w:highlight w:val="none"/>
                <w:lang w:bidi="en-US"/>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1073" w:hRule="atLeast"/>
          <w:jc w:val="center"/>
        </w:trPr>
        <w:tc>
          <w:tcPr>
            <w:tcW w:w="1284" w:type="dxa"/>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价格</w:t>
            </w:r>
          </w:p>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w:t>
            </w:r>
            <w:r>
              <w:rPr>
                <w:rFonts w:hint="eastAsia" w:ascii="宋体" w:hAnsi="宋体" w:cs="宋体"/>
                <w:sz w:val="24"/>
                <w:highlight w:val="none"/>
                <w:lang w:val="en-US" w:eastAsia="zh-CN" w:bidi="en-US"/>
              </w:rPr>
              <w:t>30</w:t>
            </w:r>
            <w:r>
              <w:rPr>
                <w:rFonts w:hint="eastAsia" w:ascii="宋体" w:hAnsi="宋体" w:cs="宋体"/>
                <w:sz w:val="24"/>
                <w:highlight w:val="none"/>
                <w:lang w:bidi="en-US"/>
              </w:rPr>
              <w:t>分）</w:t>
            </w:r>
          </w:p>
        </w:tc>
        <w:tc>
          <w:tcPr>
            <w:tcW w:w="8242" w:type="dxa"/>
            <w:gridSpan w:val="2"/>
            <w:tcBorders>
              <w:tl2br w:val="nil"/>
              <w:tr2bl w:val="nil"/>
            </w:tcBorders>
            <w:tcMar>
              <w:top w:w="15" w:type="dxa"/>
              <w:left w:w="15" w:type="dxa"/>
              <w:right w:w="15" w:type="dxa"/>
            </w:tcMar>
            <w:vAlign w:val="center"/>
          </w:tcPr>
          <w:p>
            <w:pPr>
              <w:pStyle w:val="497"/>
              <w:keepNext w:val="0"/>
              <w:keepLines w:val="0"/>
              <w:widowControl/>
              <w:suppressLineNumbers w:val="0"/>
              <w:spacing w:before="0" w:beforeAutospacing="0" w:after="0" w:afterAutospacing="0" w:line="360" w:lineRule="auto"/>
              <w:ind w:left="0" w:right="0" w:firstLine="0"/>
              <w:rPr>
                <w:rFonts w:hint="default" w:ascii="宋体" w:hAnsi="宋体" w:cs="宋体"/>
                <w:sz w:val="24"/>
                <w:highlight w:val="none"/>
              </w:rPr>
            </w:pPr>
            <w:r>
              <w:rPr>
                <w:rFonts w:hint="eastAsia" w:ascii="宋体" w:hAnsi="宋体" w:cs="宋体"/>
                <w:sz w:val="24"/>
                <w:highlight w:val="none"/>
                <w:lang w:bidi="en-US"/>
              </w:rPr>
              <w:t>采用低价优先法计算，即满足磋商文件要求且最后报价最低的响应单位的价格为磋商基准价，其价格分为满分。其他响应单位的价格分统一按照下列公式计算：磋商报价得分=（磋商基准价/最后磋商报价）×</w:t>
            </w:r>
            <w:r>
              <w:rPr>
                <w:rFonts w:hint="eastAsia" w:ascii="宋体" w:hAnsi="宋体" w:cs="宋体"/>
                <w:sz w:val="24"/>
                <w:highlight w:val="none"/>
                <w:lang w:val="en-US" w:eastAsia="zh-CN" w:bidi="en-US"/>
              </w:rPr>
              <w:t>30</w:t>
            </w:r>
            <w:r>
              <w:rPr>
                <w:rFonts w:hint="eastAsia" w:ascii="宋体" w:hAnsi="宋体" w:cs="宋体"/>
                <w:sz w:val="24"/>
                <w:highlight w:val="none"/>
                <w:lang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90" w:hRule="atLeast"/>
          <w:jc w:val="center"/>
        </w:trPr>
        <w:tc>
          <w:tcPr>
            <w:tcW w:w="1284" w:type="dxa"/>
            <w:vMerge w:val="restart"/>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default" w:ascii="宋体" w:hAnsi="宋体" w:cs="宋体"/>
                <w:sz w:val="24"/>
                <w:highlight w:val="none"/>
              </w:rPr>
              <w:t>商务部分</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w:t>
            </w:r>
          </w:p>
        </w:tc>
        <w:tc>
          <w:tcPr>
            <w:tcW w:w="1447" w:type="dxa"/>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供应商业绩</w:t>
            </w:r>
          </w:p>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（4分）</w:t>
            </w:r>
          </w:p>
        </w:tc>
        <w:tc>
          <w:tcPr>
            <w:tcW w:w="6795" w:type="dxa"/>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line="360" w:lineRule="auto"/>
              <w:ind w:left="0" w:right="0"/>
              <w:rPr>
                <w:rFonts w:hint="default" w:ascii="宋体" w:hAnsi="宋体" w:cs="宋体"/>
                <w:sz w:val="24"/>
                <w:highlight w:val="none"/>
                <w:lang w:bidi="en-US"/>
              </w:rPr>
            </w:pPr>
            <w:r>
              <w:rPr>
                <w:rFonts w:hint="eastAsia" w:ascii="宋体" w:hAnsi="宋体" w:cs="宋体"/>
                <w:sz w:val="24"/>
                <w:highlight w:val="none"/>
                <w:lang w:bidi="en-US"/>
              </w:rPr>
              <w:t>自</w:t>
            </w:r>
            <w:r>
              <w:rPr>
                <w:rFonts w:hint="eastAsia" w:ascii="宋体" w:hAnsi="宋体" w:cs="宋体"/>
                <w:sz w:val="24"/>
                <w:highlight w:val="none"/>
                <w:lang w:val="en-US" w:eastAsia="zh-CN" w:bidi="en-US"/>
              </w:rPr>
              <w:t>2022</w:t>
            </w:r>
            <w:r>
              <w:rPr>
                <w:rFonts w:hint="eastAsia" w:ascii="宋体" w:hAnsi="宋体" w:cs="宋体"/>
                <w:sz w:val="24"/>
                <w:highlight w:val="none"/>
                <w:lang w:bidi="en-US"/>
              </w:rPr>
              <w:t>年</w:t>
            </w:r>
            <w:r>
              <w:rPr>
                <w:rFonts w:hint="eastAsia" w:ascii="宋体" w:hAnsi="宋体" w:cs="宋体"/>
                <w:sz w:val="24"/>
                <w:highlight w:val="none"/>
                <w:lang w:val="en-US" w:eastAsia="zh-CN" w:bidi="en-US"/>
              </w:rPr>
              <w:t>09</w:t>
            </w:r>
            <w:r>
              <w:rPr>
                <w:rFonts w:hint="eastAsia" w:ascii="宋体" w:hAnsi="宋体" w:cs="宋体"/>
                <w:sz w:val="24"/>
                <w:highlight w:val="none"/>
                <w:lang w:bidi="en-US"/>
              </w:rPr>
              <w:t>月</w:t>
            </w:r>
            <w:r>
              <w:rPr>
                <w:rFonts w:hint="eastAsia" w:ascii="宋体" w:hAnsi="宋体" w:cs="宋体"/>
                <w:sz w:val="24"/>
                <w:highlight w:val="none"/>
                <w:lang w:val="en-US" w:eastAsia="zh-CN" w:bidi="en-US"/>
              </w:rPr>
              <w:t>0</w:t>
            </w:r>
            <w:r>
              <w:rPr>
                <w:rFonts w:hint="eastAsia" w:ascii="宋体" w:hAnsi="宋体" w:cs="宋体"/>
                <w:sz w:val="24"/>
                <w:highlight w:val="none"/>
                <w:lang w:bidi="en-US"/>
              </w:rPr>
              <w:t>1日（时间以竣工验收的时间为准）以来供应商承担过类似工程业绩，每提供1份</w:t>
            </w:r>
            <w:r>
              <w:rPr>
                <w:rFonts w:hint="eastAsia" w:ascii="宋体" w:hAnsi="宋体" w:cs="宋体"/>
                <w:sz w:val="24"/>
                <w:highlight w:val="none"/>
                <w:lang w:eastAsia="zh-CN" w:bidi="en-US"/>
              </w:rPr>
              <w:t>业绩证明材料</w:t>
            </w:r>
            <w:r>
              <w:rPr>
                <w:rFonts w:hint="eastAsia" w:ascii="宋体" w:hAnsi="宋体" w:cs="宋体"/>
                <w:sz w:val="24"/>
                <w:highlight w:val="none"/>
                <w:lang w:bidi="en-US"/>
              </w:rPr>
              <w:t>得2分，最高4分。</w:t>
            </w:r>
          </w:p>
          <w:p>
            <w:pPr>
              <w:pStyle w:val="72"/>
              <w:keepNext w:val="0"/>
              <w:keepLines w:val="0"/>
              <w:suppressLineNumbers w:val="0"/>
              <w:spacing w:before="0" w:beforeAutospacing="0" w:after="0" w:afterAutospacing="0" w:line="360" w:lineRule="auto"/>
              <w:ind w:left="0" w:right="0"/>
              <w:rPr>
                <w:rFonts w:hint="default" w:ascii="宋体" w:hAnsi="宋体" w:cs="宋体"/>
                <w:sz w:val="24"/>
                <w:highlight w:val="none"/>
                <w:lang w:bidi="en-US"/>
              </w:rPr>
            </w:pPr>
            <w:r>
              <w:rPr>
                <w:rFonts w:hint="eastAsia" w:ascii="宋体" w:hAnsi="宋体" w:cs="宋体"/>
                <w:color w:val="auto"/>
                <w:sz w:val="24"/>
                <w:highlight w:val="none"/>
                <w:lang w:eastAsia="zh-CN" w:bidi="en-US"/>
              </w:rPr>
              <w:t>注：证明材料以</w:t>
            </w:r>
            <w:r>
              <w:rPr>
                <w:rFonts w:hint="eastAsia" w:ascii="宋体" w:hAnsi="宋体" w:cs="宋体"/>
                <w:color w:val="auto"/>
                <w:sz w:val="24"/>
                <w:highlight w:val="none"/>
                <w:lang w:bidi="en-US"/>
              </w:rPr>
              <w:t>提供中标通知书、合同、竣工验收证明原件的扫描件</w:t>
            </w:r>
            <w:r>
              <w:rPr>
                <w:rFonts w:hint="eastAsia" w:ascii="宋体" w:hAnsi="宋体" w:cs="宋体"/>
                <w:color w:val="auto"/>
                <w:sz w:val="24"/>
                <w:highlight w:val="none"/>
                <w:lang w:eastAsia="zh-CN" w:bidi="en-US"/>
              </w:rPr>
              <w:t>为准</w:t>
            </w:r>
            <w:r>
              <w:rPr>
                <w:rFonts w:hint="eastAsia" w:ascii="宋体" w:hAnsi="宋体" w:cs="宋体"/>
                <w:color w:val="auto"/>
                <w:sz w:val="24"/>
                <w:highlight w:val="none"/>
                <w:lang w:val="en-US" w:eastAsia="zh-CN" w:bidi="en-US"/>
              </w:rPr>
              <w:t>（直接发包项目以施工合同、竣工验收证明为准）</w:t>
            </w:r>
            <w:r>
              <w:rPr>
                <w:rFonts w:hint="eastAsia" w:ascii="宋体" w:hAnsi="宋体" w:cs="宋体"/>
                <w:color w:val="auto"/>
                <w:sz w:val="24"/>
                <w:highlight w:val="none"/>
                <w:lang w:bidi="en-US"/>
              </w:rPr>
              <w:t>，</w:t>
            </w:r>
            <w:r>
              <w:rPr>
                <w:rFonts w:hint="eastAsia" w:ascii="宋体" w:hAnsi="宋体" w:cs="宋体"/>
                <w:color w:val="auto"/>
                <w:sz w:val="24"/>
                <w:highlight w:val="none"/>
                <w:lang w:eastAsia="zh-CN" w:bidi="en-US"/>
              </w:rPr>
              <w:t>以上证明材料须同时具备，否</w:t>
            </w:r>
            <w:r>
              <w:rPr>
                <w:rFonts w:hint="eastAsia" w:ascii="宋体" w:hAnsi="宋体" w:cs="宋体"/>
                <w:color w:val="auto"/>
                <w:sz w:val="24"/>
                <w:highlight w:val="none"/>
                <w:lang w:bidi="en-US"/>
              </w:rPr>
              <w:t>则不得分。</w:t>
            </w:r>
            <w:r>
              <w:rPr>
                <w:rFonts w:hint="eastAsia" w:ascii="宋体" w:hAnsi="宋体" w:cs="宋体"/>
                <w:b w:val="0"/>
                <w:bCs w:val="0"/>
                <w:color w:val="auto"/>
                <w:sz w:val="24"/>
                <w:highlight w:val="none"/>
                <w:lang w:eastAsia="zh-CN" w:bidi="en-US"/>
              </w:rPr>
              <w:t>（</w:t>
            </w:r>
            <w:r>
              <w:rPr>
                <w:rFonts w:hint="eastAsia" w:ascii="宋体" w:hAnsi="宋体" w:cs="宋体"/>
                <w:b w:val="0"/>
                <w:bCs w:val="0"/>
                <w:color w:val="auto"/>
                <w:sz w:val="24"/>
                <w:highlight w:val="none"/>
                <w:lang w:bidi="en-US"/>
              </w:rPr>
              <w:t>证明材料</w:t>
            </w:r>
            <w:r>
              <w:rPr>
                <w:rFonts w:hint="eastAsia" w:ascii="宋体" w:hAnsi="宋体" w:cs="宋体"/>
                <w:b w:val="0"/>
                <w:bCs w:val="0"/>
                <w:color w:val="auto"/>
                <w:sz w:val="24"/>
                <w:highlight w:val="none"/>
                <w:lang w:eastAsia="zh-CN" w:bidi="en-US"/>
              </w:rPr>
              <w:t>须</w:t>
            </w:r>
            <w:r>
              <w:rPr>
                <w:rFonts w:hint="eastAsia" w:ascii="宋体" w:hAnsi="宋体" w:cs="宋体"/>
                <w:b w:val="0"/>
                <w:bCs w:val="0"/>
                <w:color w:val="auto"/>
                <w:sz w:val="24"/>
                <w:highlight w:val="none"/>
                <w:lang w:bidi="en-US"/>
              </w:rPr>
              <w:t>加盖供应商电子签章。</w:t>
            </w:r>
            <w:r>
              <w:rPr>
                <w:rFonts w:hint="eastAsia" w:ascii="宋体" w:hAnsi="宋体" w:cs="宋体"/>
                <w:b w:val="0"/>
                <w:bCs w:val="0"/>
                <w:color w:val="auto"/>
                <w:sz w:val="24"/>
                <w:highlight w:val="none"/>
                <w:lang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1042"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widowControl/>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455"/>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人员配备</w:t>
            </w:r>
          </w:p>
          <w:p>
            <w:pPr>
              <w:pStyle w:val="455"/>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（3分）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拟投入本项目部团队</w:t>
            </w:r>
            <w:r>
              <w:rPr>
                <w:rFonts w:hint="eastAsia" w:ascii="宋体" w:hAnsi="宋体" w:cs="宋体"/>
                <w:sz w:val="24"/>
                <w:szCs w:val="24"/>
                <w:highlight w:val="none"/>
                <w:lang w:val="en-US" w:eastAsia="zh-CN" w:bidi="en-US"/>
              </w:rPr>
              <w:t>人员</w:t>
            </w:r>
            <w:r>
              <w:rPr>
                <w:rFonts w:hint="eastAsia" w:ascii="宋体" w:hAnsi="宋体" w:eastAsia="宋体" w:cs="宋体"/>
                <w:sz w:val="24"/>
                <w:szCs w:val="24"/>
                <w:highlight w:val="none"/>
                <w:lang w:val="en-US" w:eastAsia="zh-CN" w:bidi="en-US"/>
              </w:rPr>
              <w:t>中（不包括项目负责人）具有工程类专业中级及以上职称或市政公用工程专业二级及以上建造师资格的，每有一</w:t>
            </w:r>
            <w:r>
              <w:rPr>
                <w:rFonts w:hint="eastAsia" w:ascii="宋体" w:hAnsi="宋体" w:cs="宋体"/>
                <w:sz w:val="24"/>
                <w:szCs w:val="24"/>
                <w:highlight w:val="none"/>
                <w:lang w:val="en-US" w:eastAsia="zh-CN" w:bidi="en-US"/>
              </w:rPr>
              <w:t>人</w:t>
            </w:r>
            <w:r>
              <w:rPr>
                <w:rFonts w:hint="eastAsia" w:ascii="宋体" w:hAnsi="宋体" w:eastAsia="宋体" w:cs="宋体"/>
                <w:sz w:val="24"/>
                <w:szCs w:val="24"/>
                <w:highlight w:val="none"/>
                <w:lang w:val="en-US" w:eastAsia="zh-CN" w:bidi="en-US"/>
              </w:rPr>
              <w:t>得1分，最高得3分。</w:t>
            </w:r>
          </w:p>
          <w:p>
            <w:pPr>
              <w:pStyle w:val="455"/>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highlight w:val="none"/>
                <w:lang w:val="en-US" w:eastAsia="zh-CN" w:bidi="en-US"/>
              </w:rPr>
              <w:t>注：需同时提供人员职称证书或建造师注册证书原件扫描件和企业为其缴纳的开标截止时间前六个月内任意1个月的社保证明（不含开标当月），否则不得分；若同一人员同时具有多项资格，得分以一项计取，不累计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011" w:hRule="atLeast"/>
          <w:jc w:val="center"/>
        </w:trPr>
        <w:tc>
          <w:tcPr>
            <w:tcW w:w="1284" w:type="dxa"/>
            <w:vMerge w:val="restart"/>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3"/>
              <w:numPr>
                <w:ilvl w:val="0"/>
                <w:numId w:val="0"/>
              </w:numPr>
              <w:suppressLineNumbers w:val="0"/>
              <w:spacing w:beforeAutospacing="0" w:afterAutospacing="0"/>
              <w:ind w:left="720" w:right="0" w:hanging="720"/>
              <w:rPr>
                <w:rFonts w:hint="default"/>
                <w:highlight w:val="none"/>
              </w:rPr>
            </w:pPr>
          </w:p>
          <w:p>
            <w:pPr>
              <w:pStyle w:val="72"/>
              <w:keepNext w:val="0"/>
              <w:keepLines w:val="0"/>
              <w:suppressLineNumbers w:val="0"/>
              <w:spacing w:before="0" w:beforeAutospacing="0" w:after="0" w:afterAutospacing="0"/>
              <w:ind w:left="0" w:right="0"/>
              <w:rPr>
                <w:rFonts w:hint="default" w:ascii="宋体" w:hAnsi="宋体" w:cs="宋体"/>
                <w:sz w:val="24"/>
                <w:highlight w:val="none"/>
                <w:lang w:bidi="en-US"/>
              </w:rPr>
            </w:pPr>
          </w:p>
          <w:p>
            <w:pPr>
              <w:pStyle w:val="73"/>
              <w:numPr>
                <w:ilvl w:val="0"/>
                <w:numId w:val="0"/>
              </w:numPr>
              <w:suppressLineNumbers w:val="0"/>
              <w:spacing w:beforeAutospacing="0" w:afterAutospacing="0"/>
              <w:ind w:left="0" w:right="0"/>
              <w:rPr>
                <w:rFonts w:hint="default"/>
                <w:highlight w:val="none"/>
              </w:rPr>
            </w:pPr>
          </w:p>
          <w:p>
            <w:pPr>
              <w:pStyle w:val="72"/>
              <w:keepNext w:val="0"/>
              <w:keepLines w:val="0"/>
              <w:suppressLineNumbers w:val="0"/>
              <w:spacing w:before="0" w:beforeAutospacing="0" w:after="0" w:afterAutospacing="0"/>
              <w:ind w:left="0" w:right="0"/>
              <w:rPr>
                <w:rFonts w:hint="default"/>
                <w:highlight w:val="none"/>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p>
          <w:p>
            <w:pPr>
              <w:pStyle w:val="72"/>
              <w:keepNext w:val="0"/>
              <w:keepLines w:val="0"/>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技术部分（</w:t>
            </w:r>
            <w:r>
              <w:rPr>
                <w:rFonts w:hint="eastAsia" w:ascii="宋体" w:hAnsi="宋体" w:cs="宋体"/>
                <w:sz w:val="24"/>
                <w:highlight w:val="none"/>
                <w:lang w:val="en-US" w:eastAsia="zh-CN" w:bidi="en-US"/>
              </w:rPr>
              <w:t>63</w:t>
            </w:r>
            <w:r>
              <w:rPr>
                <w:rFonts w:hint="eastAsia" w:ascii="宋体" w:hAnsi="宋体" w:cs="宋体"/>
                <w:sz w:val="24"/>
                <w:highlight w:val="none"/>
                <w:lang w:bidi="en-US"/>
              </w:rPr>
              <w:t>分）</w:t>
            </w: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总体施工方案</w:t>
            </w:r>
          </w:p>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w:t>
            </w:r>
            <w:r>
              <w:rPr>
                <w:rFonts w:hint="eastAsia" w:ascii="宋体" w:hAnsi="宋体" w:cs="宋体"/>
                <w:sz w:val="24"/>
                <w:highlight w:val="none"/>
                <w:lang w:val="en-US" w:eastAsia="zh-CN" w:bidi="en-US"/>
              </w:rPr>
              <w:t>9</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根据供应商提供的施工方案及工艺方法，从全面性、可行性、针对性进行打分。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971"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工程进度计划安排及保证措施(</w:t>
            </w:r>
            <w:r>
              <w:rPr>
                <w:rFonts w:hint="eastAsia" w:ascii="宋体" w:hAnsi="宋体" w:cs="宋体"/>
                <w:sz w:val="24"/>
                <w:highlight w:val="none"/>
                <w:lang w:val="en-US" w:eastAsia="zh-CN" w:bidi="en-US"/>
              </w:rPr>
              <w:t>9</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根据供应商提供的工程进度计划安排及保证措施，从全面性、可行性、针对性进行打分。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pPr>
              <w:pStyle w:val="75"/>
              <w:keepNext w:val="0"/>
              <w:keepLines w:val="0"/>
              <w:widowControl/>
              <w:suppressLineNumbers w:val="0"/>
              <w:spacing w:before="0" w:beforeAutospacing="0" w:after="0" w:afterAutospacing="0"/>
              <w:ind w:left="0" w:right="0"/>
              <w:jc w:val="left"/>
              <w:rPr>
                <w:rFonts w:hint="default" w:ascii="宋体" w:hAnsi="宋体" w:cs="宋体"/>
                <w:sz w:val="24"/>
                <w:szCs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860"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施工质量保证措施及目标（</w:t>
            </w:r>
            <w:r>
              <w:rPr>
                <w:rFonts w:hint="eastAsia" w:ascii="宋体" w:hAnsi="宋体" w:cs="宋体"/>
                <w:sz w:val="24"/>
                <w:highlight w:val="none"/>
                <w:lang w:val="en-US" w:eastAsia="zh-CN" w:bidi="en-US"/>
              </w:rPr>
              <w:t>9</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根据供应商提供的施工质量保证措施及目标，从全面性、可行性、针对性进行打分。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pPr>
              <w:pStyle w:val="75"/>
              <w:keepNext w:val="0"/>
              <w:keepLines w:val="0"/>
              <w:widowControl/>
              <w:suppressLineNumbers w:val="0"/>
              <w:spacing w:before="0" w:beforeAutospacing="0" w:after="0" w:afterAutospacing="0"/>
              <w:ind w:left="0" w:right="0"/>
              <w:jc w:val="left"/>
              <w:rPr>
                <w:rFonts w:hint="default" w:ascii="宋体" w:hAnsi="宋体" w:cs="宋体"/>
                <w:sz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860"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eastAsia" w:ascii="宋体" w:hAnsi="宋体" w:cs="宋体"/>
                <w:sz w:val="24"/>
                <w:highlight w:val="none"/>
                <w:lang w:bidi="en-US"/>
              </w:rPr>
            </w:pPr>
            <w:r>
              <w:rPr>
                <w:rFonts w:hint="eastAsia" w:ascii="宋体" w:hAnsi="宋体" w:cs="宋体"/>
                <w:sz w:val="24"/>
                <w:highlight w:val="none"/>
                <w:lang w:bidi="en-US"/>
              </w:rPr>
              <w:t>项目实施的重点、难点和解决方案（</w:t>
            </w:r>
            <w:r>
              <w:rPr>
                <w:rFonts w:hint="eastAsia" w:ascii="宋体" w:hAnsi="宋体" w:cs="宋体"/>
                <w:sz w:val="24"/>
                <w:highlight w:val="none"/>
                <w:lang w:val="en-US" w:eastAsia="zh-CN" w:bidi="en-US"/>
              </w:rPr>
              <w:t>9</w:t>
            </w:r>
            <w:r>
              <w:rPr>
                <w:rFonts w:hint="eastAsia" w:ascii="宋体" w:hAnsi="宋体" w:cs="宋体"/>
                <w:sz w:val="24"/>
                <w:highlight w:val="none"/>
                <w:lang w:bidi="en-US"/>
              </w:rPr>
              <w:t>分）</w:t>
            </w:r>
          </w:p>
          <w:p>
            <w:pPr>
              <w:pStyle w:val="75"/>
              <w:keepNext w:val="0"/>
              <w:keepLines w:val="0"/>
              <w:widowControl/>
              <w:suppressLineNumbers w:val="0"/>
              <w:spacing w:before="0" w:beforeAutospacing="0" w:after="0" w:afterAutospacing="0"/>
              <w:ind w:left="0" w:right="0"/>
              <w:jc w:val="center"/>
              <w:rPr>
                <w:rFonts w:hint="eastAsia" w:ascii="宋体" w:hAnsi="宋体" w:cs="宋体"/>
                <w:sz w:val="24"/>
                <w:highlight w:val="none"/>
                <w:lang w:bidi="en-US"/>
              </w:rPr>
            </w:pP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根据供应商提供的</w:t>
            </w:r>
            <w:r>
              <w:rPr>
                <w:rFonts w:hint="eastAsia" w:ascii="宋体" w:hAnsi="宋体" w:cs="宋体"/>
                <w:sz w:val="24"/>
                <w:szCs w:val="24"/>
                <w:highlight w:val="none"/>
                <w:lang w:eastAsia="zh-CN"/>
              </w:rPr>
              <w:t>本项目</w:t>
            </w:r>
            <w:r>
              <w:rPr>
                <w:rFonts w:hint="eastAsia" w:ascii="宋体" w:hAnsi="宋体" w:cs="宋体"/>
                <w:sz w:val="24"/>
                <w:szCs w:val="20"/>
                <w:highlight w:val="none"/>
                <w:lang w:bidi="en-US"/>
              </w:rPr>
              <w:t>实施的重点、难点和解决方案</w:t>
            </w:r>
            <w:r>
              <w:rPr>
                <w:rFonts w:hint="default" w:ascii="宋体" w:hAnsi="宋体" w:cs="宋体"/>
                <w:sz w:val="24"/>
                <w:szCs w:val="24"/>
                <w:highlight w:val="none"/>
              </w:rPr>
              <w:t xml:space="preserve">，从全面性、可行性、针对性进行打分。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分，可行性欠缺的得1分；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分，针对性不强的得1分； </w:t>
            </w:r>
          </w:p>
          <w:p>
            <w:pPr>
              <w:pStyle w:val="75"/>
              <w:keepNext w:val="0"/>
              <w:keepLines w:val="0"/>
              <w:widowControl/>
              <w:suppressLineNumbers w:val="0"/>
              <w:spacing w:before="0" w:beforeAutospacing="0" w:after="0" w:afterAutospacing="0"/>
              <w:ind w:left="0" w:right="0"/>
              <w:jc w:val="both"/>
              <w:rPr>
                <w:rFonts w:hint="default" w:ascii="宋体" w:hAnsi="宋体" w:cs="宋体"/>
                <w:sz w:val="24"/>
                <w:highlight w:val="none"/>
                <w:lang w:bidi="en-US"/>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9</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200"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lang w:bidi="en-US"/>
              </w:rPr>
            </w:pPr>
            <w:r>
              <w:rPr>
                <w:rFonts w:hint="eastAsia" w:ascii="宋体" w:hAnsi="宋体" w:cs="宋体"/>
                <w:sz w:val="24"/>
                <w:highlight w:val="none"/>
                <w:lang w:bidi="en-US"/>
              </w:rPr>
              <w:t>安全文明施工保</w:t>
            </w:r>
          </w:p>
          <w:p>
            <w:pPr>
              <w:pStyle w:val="75"/>
              <w:keepNext w:val="0"/>
              <w:keepLines w:val="0"/>
              <w:widowControl/>
              <w:suppressLineNumbers w:val="0"/>
              <w:spacing w:before="0" w:beforeAutospacing="0" w:after="0" w:afterAutospacing="0"/>
              <w:ind w:left="0" w:right="0"/>
              <w:jc w:val="center"/>
              <w:rPr>
                <w:rFonts w:hint="eastAsia" w:ascii="宋体" w:hAnsi="宋体" w:cs="宋体"/>
                <w:sz w:val="24"/>
                <w:highlight w:val="none"/>
                <w:lang w:bidi="en-US"/>
              </w:rPr>
            </w:pPr>
            <w:r>
              <w:rPr>
                <w:rFonts w:hint="eastAsia" w:ascii="宋体" w:hAnsi="宋体" w:cs="宋体"/>
                <w:sz w:val="24"/>
                <w:highlight w:val="none"/>
                <w:lang w:bidi="en-US"/>
              </w:rPr>
              <w:t>证措施</w:t>
            </w:r>
          </w:p>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w:t>
            </w:r>
            <w:r>
              <w:rPr>
                <w:rFonts w:hint="eastAsia" w:ascii="宋体" w:hAnsi="宋体" w:cs="宋体"/>
                <w:sz w:val="24"/>
                <w:highlight w:val="none"/>
                <w:lang w:val="en-US" w:eastAsia="zh-CN" w:bidi="en-US"/>
              </w:rPr>
              <w:t>7</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 xml:space="preserve">根据供应商提供的安全文明施工保证措施，从全面性、可行性、针对性进行打分。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1</w:t>
            </w:r>
            <w:r>
              <w:rPr>
                <w:rFonts w:hint="default" w:ascii="宋体" w:hAnsi="宋体" w:cs="宋体"/>
                <w:sz w:val="24"/>
                <w:szCs w:val="24"/>
                <w:highlight w:val="none"/>
              </w:rPr>
              <w:t>分，可行性欠缺的得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分，针对性不强的得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pStyle w:val="75"/>
              <w:keepNext w:val="0"/>
              <w:keepLines w:val="0"/>
              <w:widowControl/>
              <w:suppressLineNumbers w:val="0"/>
              <w:spacing w:before="0" w:beforeAutospacing="0" w:after="0" w:afterAutospacing="0"/>
              <w:ind w:left="0" w:right="0"/>
              <w:jc w:val="left"/>
              <w:rPr>
                <w:rFonts w:hint="default" w:ascii="宋体" w:hAnsi="宋体" w:cs="宋体"/>
                <w:sz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7</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263"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default" w:ascii="宋体" w:hAnsi="宋体" w:cs="宋体"/>
                <w:sz w:val="24"/>
                <w:highlight w:val="none"/>
              </w:rPr>
              <w:t>劳动力、机械设备和材料投入</w:t>
            </w:r>
            <w:r>
              <w:rPr>
                <w:rFonts w:hint="default" w:ascii="宋体" w:hAnsi="宋体" w:cs="宋体"/>
                <w:sz w:val="24"/>
                <w:highlight w:val="none"/>
                <w:lang w:val="en-US" w:eastAsia="zh-CN"/>
              </w:rPr>
              <w:t>（</w:t>
            </w:r>
            <w:r>
              <w:rPr>
                <w:rFonts w:hint="eastAsia" w:ascii="宋体" w:hAnsi="宋体" w:cs="宋体"/>
                <w:sz w:val="24"/>
                <w:highlight w:val="none"/>
                <w:lang w:val="en-US" w:eastAsia="zh-CN"/>
              </w:rPr>
              <w:t>7</w:t>
            </w:r>
            <w:r>
              <w:rPr>
                <w:rFonts w:hint="default" w:ascii="宋体" w:hAnsi="宋体" w:cs="宋体"/>
                <w:sz w:val="24"/>
                <w:highlight w:val="none"/>
              </w:rPr>
              <w:t>分</w:t>
            </w:r>
            <w:r>
              <w:rPr>
                <w:rFonts w:hint="default" w:ascii="宋体" w:hAnsi="宋体" w:cs="宋体"/>
                <w:sz w:val="24"/>
                <w:highlight w:val="none"/>
                <w:lang w:val="en-US" w:eastAsia="zh-CN"/>
              </w:rPr>
              <w:t>）</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根据供应商提供的</w:t>
            </w:r>
            <w:r>
              <w:rPr>
                <w:rFonts w:hint="default" w:ascii="宋体" w:hAnsi="宋体" w:cs="宋体"/>
                <w:sz w:val="24"/>
                <w:highlight w:val="none"/>
              </w:rPr>
              <w:t>劳动力、机械设备和材料投入</w:t>
            </w:r>
            <w:r>
              <w:rPr>
                <w:rFonts w:hint="eastAsia" w:ascii="宋体" w:hAnsi="宋体" w:cs="宋体"/>
                <w:sz w:val="24"/>
                <w:szCs w:val="24"/>
                <w:highlight w:val="none"/>
                <w:lang w:eastAsia="zh-CN"/>
              </w:rPr>
              <w:t>方案</w:t>
            </w:r>
            <w:r>
              <w:rPr>
                <w:rFonts w:hint="default" w:ascii="宋体" w:hAnsi="宋体" w:cs="宋体"/>
                <w:sz w:val="24"/>
                <w:szCs w:val="24"/>
                <w:highlight w:val="none"/>
              </w:rPr>
              <w:t xml:space="preserve">，从全面性、可行性、针对性进行打分。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1</w:t>
            </w:r>
            <w:r>
              <w:rPr>
                <w:rFonts w:hint="default" w:ascii="宋体" w:hAnsi="宋体" w:cs="宋体"/>
                <w:sz w:val="24"/>
                <w:szCs w:val="24"/>
                <w:highlight w:val="none"/>
              </w:rPr>
              <w:t>分，可行性欠缺的得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分，针对性不强的得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pStyle w:val="75"/>
              <w:keepNext w:val="0"/>
              <w:keepLines w:val="0"/>
              <w:widowControl/>
              <w:suppressLineNumbers w:val="0"/>
              <w:spacing w:before="0" w:beforeAutospacing="0" w:after="0" w:afterAutospacing="0"/>
              <w:ind w:left="0" w:right="0"/>
              <w:jc w:val="left"/>
              <w:rPr>
                <w:rFonts w:hint="default" w:ascii="宋体" w:hAnsi="宋体" w:cs="宋体"/>
                <w:sz w:val="24"/>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7</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263"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lang w:bidi="en-US"/>
              </w:rPr>
              <w:t>项目管理班子人员管理(</w:t>
            </w:r>
            <w:r>
              <w:rPr>
                <w:rFonts w:hint="eastAsia" w:ascii="宋体" w:hAnsi="宋体" w:cs="宋体"/>
                <w:sz w:val="24"/>
                <w:highlight w:val="none"/>
                <w:lang w:val="en-US" w:eastAsia="zh-CN" w:bidi="en-US"/>
              </w:rPr>
              <w:t>7</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根据供应商提供的项目管理班子人员管理</w:t>
            </w:r>
            <w:r>
              <w:rPr>
                <w:rFonts w:hint="eastAsia" w:ascii="宋体" w:hAnsi="宋体" w:cs="宋体"/>
                <w:sz w:val="24"/>
                <w:szCs w:val="24"/>
                <w:highlight w:val="none"/>
                <w:lang w:eastAsia="zh-CN"/>
              </w:rPr>
              <w:t>方案</w:t>
            </w:r>
            <w:r>
              <w:rPr>
                <w:rFonts w:hint="default" w:ascii="宋体" w:hAnsi="宋体" w:cs="宋体"/>
                <w:sz w:val="24"/>
                <w:szCs w:val="24"/>
                <w:highlight w:val="none"/>
              </w:rPr>
              <w:t xml:space="preserve">，从全面性、可行性、针对性进行打分。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全面性（</w:t>
            </w:r>
            <w:r>
              <w:rPr>
                <w:rFonts w:hint="eastAsia" w:ascii="宋体" w:hAnsi="宋体" w:cs="宋体"/>
                <w:sz w:val="24"/>
                <w:szCs w:val="24"/>
                <w:highlight w:val="none"/>
                <w:lang w:val="en-US" w:eastAsia="zh-CN"/>
              </w:rPr>
              <w:t>3</w:t>
            </w:r>
            <w:r>
              <w:rPr>
                <w:rFonts w:hint="default" w:ascii="宋体" w:hAnsi="宋体" w:cs="宋体"/>
                <w:sz w:val="24"/>
                <w:szCs w:val="24"/>
                <w:highlight w:val="none"/>
              </w:rPr>
              <w:t>分）：全面详实的得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分，基本具备的得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 xml:space="preserve">分，欠缺的得1分；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可行性（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分）：切实可行的得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分，基本可行的</w:t>
            </w:r>
            <w:r>
              <w:rPr>
                <w:rFonts w:hint="eastAsia" w:ascii="宋体" w:hAnsi="宋体" w:cs="宋体"/>
                <w:sz w:val="24"/>
                <w:szCs w:val="24"/>
                <w:highlight w:val="none"/>
                <w:lang w:val="en-US" w:eastAsia="zh-CN"/>
              </w:rPr>
              <w:t>1</w:t>
            </w:r>
            <w:r>
              <w:rPr>
                <w:rFonts w:hint="default" w:ascii="宋体" w:hAnsi="宋体" w:cs="宋体"/>
                <w:sz w:val="24"/>
                <w:szCs w:val="24"/>
                <w:highlight w:val="none"/>
              </w:rPr>
              <w:t>分，可行性欠缺的得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keepNext w:val="0"/>
              <w:keepLines w:val="0"/>
              <w:widowControl/>
              <w:suppressLineNumbers w:val="0"/>
              <w:spacing w:before="0" w:beforeAutospacing="0" w:after="0" w:afterAutospacing="0"/>
              <w:ind w:left="0" w:right="0"/>
              <w:rPr>
                <w:rFonts w:hint="default" w:ascii="宋体" w:hAnsi="宋体" w:cs="宋体"/>
                <w:sz w:val="24"/>
                <w:szCs w:val="24"/>
                <w:highlight w:val="none"/>
              </w:rPr>
            </w:pPr>
            <w:r>
              <w:rPr>
                <w:rFonts w:hint="default" w:ascii="宋体" w:hAnsi="宋体" w:cs="宋体"/>
                <w:sz w:val="24"/>
                <w:szCs w:val="24"/>
                <w:highlight w:val="none"/>
              </w:rPr>
              <w:t>针对性（</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分）：针对性强的得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分，针对性一般的得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分，针对性不强的得</w:t>
            </w:r>
            <w:r>
              <w:rPr>
                <w:rFonts w:hint="eastAsia" w:ascii="宋体" w:hAnsi="宋体" w:cs="宋体"/>
                <w:sz w:val="24"/>
                <w:szCs w:val="24"/>
                <w:highlight w:val="none"/>
                <w:lang w:val="en-US" w:eastAsia="zh-CN"/>
              </w:rPr>
              <w:t>0.5</w:t>
            </w:r>
            <w:r>
              <w:rPr>
                <w:rFonts w:hint="default" w:ascii="宋体" w:hAnsi="宋体" w:cs="宋体"/>
                <w:sz w:val="24"/>
                <w:szCs w:val="24"/>
                <w:highlight w:val="none"/>
              </w:rPr>
              <w:t xml:space="preserve">分； </w:t>
            </w:r>
          </w:p>
          <w:p>
            <w:pPr>
              <w:keepNext w:val="0"/>
              <w:keepLines w:val="0"/>
              <w:widowControl/>
              <w:suppressLineNumbers w:val="0"/>
              <w:spacing w:before="0" w:beforeAutospacing="0" w:after="0" w:afterAutospacing="0"/>
              <w:ind w:left="0" w:right="0"/>
              <w:rPr>
                <w:rFonts w:hint="default" w:ascii="宋体" w:hAnsi="宋体" w:cs="宋体"/>
                <w:sz w:val="24"/>
                <w:szCs w:val="20"/>
                <w:highlight w:val="none"/>
              </w:rPr>
            </w:pPr>
            <w:r>
              <w:rPr>
                <w:rFonts w:hint="default" w:ascii="宋体" w:hAnsi="宋体" w:cs="宋体"/>
                <w:sz w:val="24"/>
                <w:szCs w:val="24"/>
                <w:highlight w:val="none"/>
              </w:rPr>
              <w:t>未提供的得0分，本项最高得</w:t>
            </w:r>
            <w:r>
              <w:rPr>
                <w:rFonts w:hint="eastAsia" w:ascii="宋体" w:hAnsi="宋体" w:cs="宋体"/>
                <w:sz w:val="24"/>
                <w:szCs w:val="24"/>
                <w:highlight w:val="none"/>
                <w:lang w:val="en-US" w:eastAsia="zh-CN"/>
              </w:rPr>
              <w:t>7</w:t>
            </w:r>
            <w:r>
              <w:rPr>
                <w:rFonts w:hint="default" w:ascii="宋体" w:hAnsi="宋体" w:cs="宋体"/>
                <w:sz w:val="24"/>
                <w:szCs w:val="24"/>
                <w:highlight w:val="none"/>
              </w:rPr>
              <w:t>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2103" w:hRule="atLeast"/>
          <w:jc w:val="center"/>
        </w:trPr>
        <w:tc>
          <w:tcPr>
            <w:tcW w:w="1284" w:type="dxa"/>
            <w:vMerge w:val="continue"/>
            <w:tcBorders>
              <w:tl2br w:val="nil"/>
              <w:tr2bl w:val="nil"/>
            </w:tcBorders>
            <w:tcMar>
              <w:top w:w="15" w:type="dxa"/>
              <w:left w:w="15" w:type="dxa"/>
              <w:right w:w="15" w:type="dxa"/>
            </w:tcMar>
            <w:vAlign w:val="center"/>
          </w:tcPr>
          <w:p>
            <w:pPr>
              <w:pStyle w:val="72"/>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47" w:type="dxa"/>
            <w:tcBorders>
              <w:tl2br w:val="nil"/>
              <w:tr2bl w:val="nil"/>
            </w:tcBorders>
            <w:tcMar>
              <w:top w:w="15" w:type="dxa"/>
              <w:left w:w="15" w:type="dxa"/>
              <w:right w:w="15" w:type="dxa"/>
            </w:tcMar>
            <w:vAlign w:val="center"/>
          </w:tcPr>
          <w:p>
            <w:pPr>
              <w:pStyle w:val="75"/>
              <w:keepNext w:val="0"/>
              <w:keepLines w:val="0"/>
              <w:widowControl/>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lang w:eastAsia="zh-CN"/>
              </w:rPr>
              <w:t>质保期</w:t>
            </w:r>
            <w:r>
              <w:rPr>
                <w:rFonts w:hint="eastAsia" w:ascii="宋体" w:hAnsi="宋体" w:cs="宋体"/>
                <w:sz w:val="24"/>
                <w:highlight w:val="none"/>
              </w:rPr>
              <w:t>方案</w:t>
            </w:r>
          </w:p>
          <w:p>
            <w:pPr>
              <w:pStyle w:val="75"/>
              <w:keepNext w:val="0"/>
              <w:keepLines w:val="0"/>
              <w:widowControl/>
              <w:suppressLineNumbers w:val="0"/>
              <w:spacing w:before="0" w:beforeAutospacing="0" w:after="0" w:afterAutospacing="0" w:line="360" w:lineRule="auto"/>
              <w:ind w:left="0" w:right="0"/>
              <w:jc w:val="center"/>
              <w:rPr>
                <w:rFonts w:hint="default" w:ascii="宋体" w:hAnsi="宋体" w:cs="宋体"/>
                <w:sz w:val="24"/>
                <w:highlight w:val="none"/>
                <w:lang w:bidi="en-US"/>
              </w:rPr>
            </w:pPr>
            <w:r>
              <w:rPr>
                <w:rFonts w:hint="eastAsia" w:ascii="宋体" w:hAnsi="宋体" w:cs="宋体"/>
                <w:sz w:val="24"/>
                <w:highlight w:val="none"/>
                <w:lang w:bidi="en-US"/>
              </w:rPr>
              <w:t>（</w:t>
            </w:r>
            <w:r>
              <w:rPr>
                <w:rFonts w:hint="eastAsia" w:ascii="宋体" w:hAnsi="宋体" w:cs="宋体"/>
                <w:sz w:val="24"/>
                <w:highlight w:val="none"/>
                <w:lang w:val="en-US" w:eastAsia="zh-CN" w:bidi="en-US"/>
              </w:rPr>
              <w:t>6</w:t>
            </w:r>
            <w:r>
              <w:rPr>
                <w:rFonts w:hint="eastAsia" w:ascii="宋体" w:hAnsi="宋体" w:cs="宋体"/>
                <w:sz w:val="24"/>
                <w:highlight w:val="none"/>
                <w:lang w:bidi="en-US"/>
              </w:rPr>
              <w:t>分）</w:t>
            </w:r>
          </w:p>
        </w:tc>
        <w:tc>
          <w:tcPr>
            <w:tcW w:w="6795"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根据供应商提供的质保期方案</w:t>
            </w:r>
            <w:r>
              <w:rPr>
                <w:rFonts w:hint="eastAsia" w:ascii="宋体" w:hAnsi="宋体" w:cs="宋体"/>
                <w:sz w:val="24"/>
                <w:szCs w:val="24"/>
                <w:highlight w:val="none"/>
                <w:lang w:eastAsia="zh-CN"/>
              </w:rPr>
              <w:t>及</w:t>
            </w:r>
            <w:r>
              <w:rPr>
                <w:rFonts w:hint="eastAsia" w:ascii="宋体" w:hAnsi="宋体" w:cs="宋体"/>
                <w:sz w:val="24"/>
                <w:szCs w:val="24"/>
                <w:highlight w:val="none"/>
              </w:rPr>
              <w:t>保障措施</w:t>
            </w:r>
            <w:r>
              <w:rPr>
                <w:rFonts w:hint="eastAsia" w:ascii="宋体" w:hAnsi="宋体" w:cs="宋体"/>
                <w:sz w:val="24"/>
                <w:szCs w:val="24"/>
                <w:highlight w:val="none"/>
                <w:lang w:eastAsia="zh-CN"/>
              </w:rPr>
              <w:t>，</w:t>
            </w:r>
            <w:r>
              <w:rPr>
                <w:rFonts w:hint="eastAsia" w:ascii="宋体" w:hAnsi="宋体" w:cs="宋体"/>
                <w:sz w:val="24"/>
                <w:szCs w:val="24"/>
                <w:highlight w:val="none"/>
              </w:rPr>
              <w:t>进行</w:t>
            </w:r>
            <w:r>
              <w:rPr>
                <w:rFonts w:hint="eastAsia" w:ascii="宋体" w:hAnsi="宋体" w:cs="宋体"/>
                <w:sz w:val="24"/>
                <w:szCs w:val="24"/>
                <w:highlight w:val="none"/>
                <w:lang w:eastAsia="zh-CN"/>
              </w:rPr>
              <w:t>综合</w:t>
            </w:r>
            <w:r>
              <w:rPr>
                <w:rFonts w:hint="eastAsia" w:ascii="宋体" w:hAnsi="宋体" w:cs="宋体"/>
                <w:sz w:val="24"/>
                <w:szCs w:val="24"/>
                <w:highlight w:val="none"/>
              </w:rPr>
              <w:t>打分。</w:t>
            </w:r>
          </w:p>
          <w:p>
            <w:pPr>
              <w:pStyle w:val="75"/>
              <w:keepNext w:val="0"/>
              <w:keepLines w:val="0"/>
              <w:widowControl/>
              <w:suppressLineNumbers w:val="0"/>
              <w:spacing w:before="0" w:beforeAutospacing="0" w:after="0" w:afterAutospacing="0" w:line="360" w:lineRule="auto"/>
              <w:ind w:left="0" w:right="0"/>
              <w:jc w:val="left"/>
              <w:rPr>
                <w:rFonts w:hint="default" w:ascii="宋体" w:hAnsi="宋体" w:cs="宋体"/>
                <w:sz w:val="24"/>
                <w:highlight w:val="none"/>
                <w:lang w:val="en-US" w:eastAsia="zh-CN" w:bidi="en-US"/>
              </w:rPr>
            </w:pPr>
            <w:r>
              <w:rPr>
                <w:rFonts w:hint="default" w:ascii="宋体" w:hAnsi="宋体" w:cs="宋体"/>
                <w:sz w:val="24"/>
                <w:highlight w:val="none"/>
                <w:lang w:val="en-US" w:eastAsia="zh-CN" w:bidi="en-US"/>
              </w:rPr>
              <w:t>内容较好、针对性强、符合</w:t>
            </w:r>
            <w:r>
              <w:rPr>
                <w:rFonts w:hint="eastAsia" w:ascii="宋体" w:hAnsi="宋体" w:cs="宋体"/>
                <w:sz w:val="24"/>
                <w:highlight w:val="none"/>
                <w:lang w:val="en-US" w:eastAsia="zh-CN" w:bidi="en-US"/>
              </w:rPr>
              <w:t>项目</w:t>
            </w:r>
            <w:r>
              <w:rPr>
                <w:rFonts w:hint="default" w:ascii="宋体" w:hAnsi="宋体" w:cs="宋体"/>
                <w:sz w:val="24"/>
                <w:highlight w:val="none"/>
                <w:lang w:val="en-US" w:eastAsia="zh-CN" w:bidi="en-US"/>
              </w:rPr>
              <w:t>要求的得</w:t>
            </w:r>
            <w:r>
              <w:rPr>
                <w:rFonts w:hint="eastAsia" w:ascii="宋体" w:hAnsi="宋体" w:cs="宋体"/>
                <w:sz w:val="24"/>
                <w:highlight w:val="none"/>
                <w:lang w:val="en-US" w:eastAsia="zh-CN" w:bidi="en-US"/>
              </w:rPr>
              <w:t>6</w:t>
            </w:r>
            <w:r>
              <w:rPr>
                <w:rFonts w:hint="default" w:ascii="宋体" w:hAnsi="宋体" w:cs="宋体"/>
                <w:sz w:val="24"/>
                <w:highlight w:val="none"/>
                <w:lang w:val="en-US" w:eastAsia="zh-CN" w:bidi="en-US"/>
              </w:rPr>
              <w:t>分；</w:t>
            </w:r>
          </w:p>
          <w:p>
            <w:pPr>
              <w:pStyle w:val="75"/>
              <w:keepNext w:val="0"/>
              <w:keepLines w:val="0"/>
              <w:widowControl/>
              <w:suppressLineNumbers w:val="0"/>
              <w:spacing w:before="0" w:beforeAutospacing="0" w:after="0" w:afterAutospacing="0" w:line="360" w:lineRule="auto"/>
              <w:ind w:left="0" w:right="0"/>
              <w:jc w:val="left"/>
              <w:rPr>
                <w:rFonts w:hint="default" w:ascii="宋体" w:hAnsi="宋体" w:cs="宋体"/>
                <w:sz w:val="24"/>
                <w:highlight w:val="none"/>
                <w:lang w:val="en-US" w:eastAsia="zh-CN" w:bidi="en-US"/>
              </w:rPr>
            </w:pPr>
            <w:r>
              <w:rPr>
                <w:rFonts w:hint="default" w:ascii="宋体" w:hAnsi="宋体" w:cs="宋体"/>
                <w:sz w:val="24"/>
                <w:highlight w:val="none"/>
                <w:lang w:val="en-US" w:eastAsia="zh-CN" w:bidi="en-US"/>
              </w:rPr>
              <w:t>内容一般、</w:t>
            </w:r>
            <w:r>
              <w:rPr>
                <w:rFonts w:hint="eastAsia" w:ascii="宋体" w:hAnsi="宋体" w:cs="宋体"/>
                <w:sz w:val="24"/>
                <w:highlight w:val="none"/>
                <w:lang w:val="en-US" w:eastAsia="zh-CN" w:bidi="en-US"/>
              </w:rPr>
              <w:t>针对性一般、基本</w:t>
            </w:r>
            <w:r>
              <w:rPr>
                <w:rFonts w:hint="default" w:ascii="宋体" w:hAnsi="宋体" w:cs="宋体"/>
                <w:sz w:val="24"/>
                <w:highlight w:val="none"/>
                <w:lang w:val="en-US" w:eastAsia="zh-CN" w:bidi="en-US"/>
              </w:rPr>
              <w:t>符合项目要求的得</w:t>
            </w:r>
            <w:r>
              <w:rPr>
                <w:rFonts w:hint="eastAsia" w:ascii="宋体" w:hAnsi="宋体" w:cs="宋体"/>
                <w:sz w:val="24"/>
                <w:highlight w:val="none"/>
                <w:lang w:val="en-US" w:eastAsia="zh-CN" w:bidi="en-US"/>
              </w:rPr>
              <w:t>4</w:t>
            </w:r>
            <w:r>
              <w:rPr>
                <w:rFonts w:hint="default" w:ascii="宋体" w:hAnsi="宋体" w:cs="宋体"/>
                <w:sz w:val="24"/>
                <w:highlight w:val="none"/>
                <w:lang w:val="en-US" w:eastAsia="zh-CN" w:bidi="en-US"/>
              </w:rPr>
              <w:t>分；</w:t>
            </w:r>
          </w:p>
          <w:p>
            <w:pPr>
              <w:pStyle w:val="75"/>
              <w:keepNext w:val="0"/>
              <w:keepLines w:val="0"/>
              <w:widowControl/>
              <w:suppressLineNumbers w:val="0"/>
              <w:spacing w:before="0" w:beforeAutospacing="0" w:after="0" w:afterAutospacing="0" w:line="360" w:lineRule="auto"/>
              <w:ind w:left="0" w:right="0"/>
              <w:jc w:val="left"/>
              <w:rPr>
                <w:rFonts w:hint="default" w:ascii="宋体" w:hAnsi="宋体" w:cs="宋体"/>
                <w:sz w:val="24"/>
                <w:highlight w:val="none"/>
                <w:lang w:val="en-US" w:eastAsia="zh-CN" w:bidi="en-US"/>
              </w:rPr>
            </w:pPr>
            <w:r>
              <w:rPr>
                <w:rFonts w:hint="default" w:ascii="宋体" w:hAnsi="宋体" w:cs="宋体"/>
                <w:sz w:val="24"/>
                <w:highlight w:val="none"/>
                <w:lang w:val="en-US" w:eastAsia="zh-CN" w:bidi="en-US"/>
              </w:rPr>
              <w:t>内容较差</w:t>
            </w:r>
            <w:r>
              <w:rPr>
                <w:rFonts w:hint="eastAsia" w:ascii="宋体" w:hAnsi="宋体" w:cs="宋体"/>
                <w:sz w:val="24"/>
                <w:highlight w:val="none"/>
                <w:lang w:val="en-US" w:eastAsia="zh-CN" w:bidi="en-US"/>
              </w:rPr>
              <w:t>、缺乏针对性、</w:t>
            </w:r>
            <w:r>
              <w:rPr>
                <w:rFonts w:hint="default" w:ascii="宋体" w:hAnsi="宋体" w:cs="宋体"/>
                <w:sz w:val="24"/>
                <w:highlight w:val="none"/>
                <w:lang w:val="en-US" w:eastAsia="zh-CN" w:bidi="en-US"/>
              </w:rPr>
              <w:t>不</w:t>
            </w:r>
            <w:r>
              <w:rPr>
                <w:rFonts w:hint="eastAsia" w:ascii="宋体" w:hAnsi="宋体" w:cs="宋体"/>
                <w:sz w:val="24"/>
                <w:highlight w:val="none"/>
                <w:lang w:val="en-US" w:eastAsia="zh-CN" w:bidi="en-US"/>
              </w:rPr>
              <w:t>太</w:t>
            </w:r>
            <w:r>
              <w:rPr>
                <w:rFonts w:hint="default" w:ascii="宋体" w:hAnsi="宋体" w:cs="宋体"/>
                <w:sz w:val="24"/>
                <w:highlight w:val="none"/>
                <w:lang w:val="en-US" w:eastAsia="zh-CN" w:bidi="en-US"/>
              </w:rPr>
              <w:t>满足项目要求的得</w:t>
            </w:r>
            <w:r>
              <w:rPr>
                <w:rFonts w:hint="eastAsia" w:ascii="宋体" w:hAnsi="宋体" w:cs="宋体"/>
                <w:sz w:val="24"/>
                <w:highlight w:val="none"/>
                <w:lang w:val="en-US" w:eastAsia="zh-CN" w:bidi="en-US"/>
              </w:rPr>
              <w:t>2</w:t>
            </w:r>
            <w:r>
              <w:rPr>
                <w:rFonts w:hint="default" w:ascii="宋体" w:hAnsi="宋体" w:cs="宋体"/>
                <w:sz w:val="24"/>
                <w:highlight w:val="none"/>
                <w:lang w:val="en-US" w:eastAsia="zh-CN" w:bidi="en-US"/>
              </w:rPr>
              <w:t>分；</w:t>
            </w:r>
          </w:p>
          <w:p>
            <w:pPr>
              <w:pStyle w:val="75"/>
              <w:keepNext w:val="0"/>
              <w:keepLines w:val="0"/>
              <w:widowControl/>
              <w:suppressLineNumbers w:val="0"/>
              <w:spacing w:before="0" w:beforeAutospacing="0" w:after="0" w:afterAutospacing="0" w:line="360" w:lineRule="auto"/>
              <w:ind w:left="0" w:right="0"/>
              <w:jc w:val="left"/>
              <w:rPr>
                <w:rFonts w:hint="default" w:ascii="宋体" w:hAnsi="宋体" w:cs="宋体"/>
                <w:sz w:val="24"/>
                <w:highlight w:val="none"/>
                <w:lang w:bidi="en-US"/>
              </w:rPr>
            </w:pPr>
            <w:r>
              <w:rPr>
                <w:rFonts w:hint="eastAsia" w:ascii="宋体" w:hAnsi="宋体" w:cs="宋体"/>
                <w:sz w:val="24"/>
                <w:highlight w:val="none"/>
                <w:lang w:val="en-US" w:eastAsia="zh-CN" w:bidi="en-US"/>
              </w:rPr>
              <w:t>其他情况或</w:t>
            </w:r>
            <w:r>
              <w:rPr>
                <w:rFonts w:hint="default" w:ascii="宋体" w:hAnsi="宋体" w:cs="宋体"/>
                <w:sz w:val="24"/>
                <w:highlight w:val="none"/>
                <w:lang w:val="en-US" w:eastAsia="zh-CN" w:bidi="en-US"/>
              </w:rPr>
              <w:t>无</w:t>
            </w:r>
            <w:r>
              <w:rPr>
                <w:rFonts w:hint="eastAsia" w:ascii="宋体" w:hAnsi="宋体" w:cs="宋体"/>
                <w:sz w:val="24"/>
                <w:highlight w:val="none"/>
                <w:lang w:val="en-US" w:eastAsia="zh-CN" w:bidi="en-US"/>
              </w:rPr>
              <w:t>相关</w:t>
            </w:r>
            <w:r>
              <w:rPr>
                <w:rFonts w:hint="default" w:ascii="宋体" w:hAnsi="宋体" w:cs="宋体"/>
                <w:sz w:val="24"/>
                <w:highlight w:val="none"/>
                <w:lang w:val="en-US" w:eastAsia="zh-CN" w:bidi="en-US"/>
              </w:rPr>
              <w:t>内容的不得分。</w:t>
            </w:r>
          </w:p>
        </w:tc>
      </w:tr>
    </w:tbl>
    <w:p>
      <w:pPr>
        <w:pStyle w:val="65"/>
        <w:widowControl w:val="0"/>
        <w:spacing w:line="312" w:lineRule="auto"/>
        <w:contextualSpacing/>
        <w:jc w:val="left"/>
        <w:rPr>
          <w:rFonts w:ascii="宋体" w:hAnsi="宋体" w:cs="宋体"/>
          <w:b/>
          <w:bCs/>
          <w:sz w:val="36"/>
          <w:szCs w:val="36"/>
          <w:highlight w:val="none"/>
        </w:rPr>
      </w:pPr>
      <w:r>
        <w:rPr>
          <w:rFonts w:hint="eastAsia" w:ascii="宋体" w:hAnsi="宋体" w:cs="宋体"/>
          <w:sz w:val="24"/>
          <w:szCs w:val="24"/>
          <w:highlight w:val="none"/>
        </w:rPr>
        <w:t>本章说明：</w:t>
      </w:r>
      <w:r>
        <w:rPr>
          <w:rFonts w:hint="eastAsia" w:ascii="宋体" w:hAnsi="宋体" w:cs="宋体"/>
          <w:sz w:val="24"/>
          <w:highlight w:val="none"/>
        </w:rPr>
        <w:t>本项目采用综合评分法，得分</w:t>
      </w:r>
      <w:r>
        <w:rPr>
          <w:rFonts w:hint="eastAsia" w:ascii="宋体" w:hAnsi="宋体" w:cs="宋体"/>
          <w:sz w:val="24"/>
          <w:szCs w:val="24"/>
          <w:highlight w:val="none"/>
        </w:rPr>
        <w:t>保留小数点后两位。</w:t>
      </w:r>
      <w:r>
        <w:rPr>
          <w:rFonts w:hint="eastAsia" w:ascii="宋体" w:hAnsi="宋体" w:cs="宋体"/>
          <w:b/>
          <w:bCs/>
          <w:sz w:val="36"/>
          <w:szCs w:val="36"/>
          <w:highlight w:val="none"/>
        </w:rPr>
        <w:br w:type="page" w:clear="all"/>
      </w:r>
    </w:p>
    <w:p>
      <w:pPr>
        <w:tabs>
          <w:tab w:val="left" w:pos="1703"/>
        </w:tabs>
        <w:jc w:val="center"/>
        <w:rPr>
          <w:rFonts w:ascii="宋体" w:hAnsi="宋体" w:cs="宋体"/>
          <w:sz w:val="24"/>
          <w:highlight w:val="none"/>
        </w:rPr>
      </w:pPr>
      <w:r>
        <w:rPr>
          <w:rFonts w:hint="eastAsia" w:ascii="宋体" w:hAnsi="宋体" w:cs="宋体"/>
          <w:b/>
          <w:bCs/>
          <w:sz w:val="36"/>
          <w:szCs w:val="36"/>
          <w:highlight w:val="none"/>
        </w:rPr>
        <w:t>2、项目要求（采购需求）</w:t>
      </w:r>
    </w:p>
    <w:p>
      <w:pPr>
        <w:pStyle w:val="487"/>
        <w:ind w:firstLine="420"/>
        <w:rPr>
          <w:rFonts w:ascii="宋体" w:hAnsi="宋体" w:cs="宋体"/>
          <w:highlight w:val="none"/>
        </w:rPr>
      </w:pPr>
    </w:p>
    <w:p>
      <w:pPr>
        <w:pStyle w:val="69"/>
        <w:keepNext w:val="0"/>
        <w:keepLines w:val="0"/>
        <w:pageBreakBefore w:val="0"/>
        <w:widowControl w:val="0"/>
        <w:kinsoku/>
        <w:wordWrap/>
        <w:overflowPunct/>
        <w:topLinePunct w:val="0"/>
        <w:autoSpaceDE/>
        <w:autoSpaceDN/>
        <w:bidi w:val="0"/>
        <w:adjustRightInd/>
        <w:snapToGrid/>
        <w:spacing w:line="400" w:lineRule="exact"/>
        <w:ind w:left="200" w:firstLine="241"/>
        <w:jc w:val="both"/>
        <w:textAlignment w:val="auto"/>
        <w:rPr>
          <w:rFonts w:asciiTheme="minorEastAsia" w:hAnsiTheme="minorEastAsia" w:eastAsiaTheme="minorEastAsia"/>
          <w:bCs/>
          <w:color w:val="auto"/>
          <w:sz w:val="24"/>
          <w:szCs w:val="24"/>
          <w:highlight w:val="none"/>
        </w:rPr>
      </w:pPr>
      <w:r>
        <w:rPr>
          <w:rFonts w:asciiTheme="minorEastAsia" w:hAnsiTheme="minorEastAsia" w:eastAsiaTheme="minorEastAsia"/>
          <w:b/>
          <w:bCs/>
          <w:color w:val="auto"/>
          <w:sz w:val="24"/>
          <w:szCs w:val="24"/>
          <w:highlight w:val="none"/>
        </w:rPr>
        <w:t>一、本项目不接受超过</w:t>
      </w:r>
      <w:bookmarkStart w:id="6" w:name="OLE_LINK8"/>
      <w:r>
        <w:rPr>
          <w:rFonts w:hint="eastAsia" w:asciiTheme="minorEastAsia" w:hAnsiTheme="minorEastAsia" w:eastAsiaTheme="minorEastAsia"/>
          <w:b/>
          <w:bCs/>
          <w:color w:val="auto"/>
          <w:sz w:val="24"/>
          <w:szCs w:val="24"/>
          <w:highlight w:val="none"/>
          <w:lang w:val="en-US" w:eastAsia="zh-CN"/>
        </w:rPr>
        <w:t>126.555901</w:t>
      </w:r>
      <w:bookmarkEnd w:id="6"/>
      <w:r>
        <w:rPr>
          <w:rFonts w:hint="eastAsia"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lang w:val="en-US" w:eastAsia="zh-CN"/>
        </w:rPr>
        <w:t>万</w:t>
      </w:r>
      <w:r>
        <w:rPr>
          <w:rFonts w:hint="eastAsia" w:asciiTheme="minorEastAsia" w:hAnsiTheme="minorEastAsia" w:eastAsiaTheme="minorEastAsia"/>
          <w:b/>
          <w:bCs/>
          <w:color w:val="auto"/>
          <w:sz w:val="24"/>
          <w:szCs w:val="24"/>
          <w:highlight w:val="none"/>
        </w:rPr>
        <w:t>元</w:t>
      </w:r>
      <w:r>
        <w:rPr>
          <w:rFonts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lang w:eastAsia="zh-CN"/>
        </w:rPr>
        <w:t>最高限价</w:t>
      </w:r>
      <w:r>
        <w:rPr>
          <w:rFonts w:asciiTheme="minorEastAsia" w:hAnsiTheme="minorEastAsia" w:eastAsiaTheme="minorEastAsia"/>
          <w:b/>
          <w:bCs/>
          <w:color w:val="auto"/>
          <w:sz w:val="24"/>
          <w:szCs w:val="24"/>
          <w:highlight w:val="none"/>
        </w:rPr>
        <w:t>）的报价</w:t>
      </w:r>
      <w:r>
        <w:rPr>
          <w:rFonts w:hint="eastAsia" w:asciiTheme="minorEastAsia" w:hAnsiTheme="minorEastAsia" w:eastAsiaTheme="minorEastAsia"/>
          <w:b/>
          <w:bCs/>
          <w:color w:val="auto"/>
          <w:sz w:val="24"/>
          <w:szCs w:val="24"/>
          <w:highlight w:val="none"/>
        </w:rPr>
        <w:t>。</w:t>
      </w:r>
      <w:r>
        <w:rPr>
          <w:rFonts w:hint="eastAsia" w:ascii="宋体" w:hAnsi="宋体" w:cs="宋体"/>
          <w:b/>
          <w:bCs/>
          <w:color w:val="auto"/>
          <w:sz w:val="24"/>
          <w:highlight w:val="none"/>
          <w:u w:val="none"/>
          <w:lang w:val="en-US" w:eastAsia="zh-CN"/>
        </w:rPr>
        <w:t>报价包括但不限于完成本项目所需人工、材料、机械、措施费、规费、税金、服务、组织协调、供应商的利润等全部费用。</w:t>
      </w:r>
      <w:r>
        <w:rPr>
          <w:rFonts w:asciiTheme="minorEastAsia" w:hAnsiTheme="minorEastAsia" w:eastAsiaTheme="minorEastAsia"/>
          <w:b/>
          <w:bCs/>
          <w:color w:val="auto"/>
          <w:sz w:val="24"/>
          <w:szCs w:val="24"/>
          <w:highlight w:val="none"/>
        </w:rPr>
        <w:t>采购人不再支付报价以外的任何费用。</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cs="宋体"/>
          <w:b/>
          <w:bCs/>
          <w:color w:val="auto"/>
          <w:sz w:val="24"/>
          <w:highlight w:val="none"/>
        </w:rPr>
      </w:pPr>
      <w:r>
        <w:rPr>
          <w:rFonts w:hint="eastAsia" w:ascii="宋体" w:hAnsi="宋体" w:cs="宋体"/>
          <w:b/>
          <w:bCs/>
          <w:color w:val="auto"/>
          <w:sz w:val="24"/>
          <w:highlight w:val="none"/>
        </w:rPr>
        <w:t>二、项目</w:t>
      </w:r>
      <w:r>
        <w:rPr>
          <w:rFonts w:hint="eastAsia" w:ascii="宋体" w:hAnsi="宋体" w:cs="宋体"/>
          <w:b/>
          <w:bCs/>
          <w:color w:val="auto"/>
          <w:sz w:val="24"/>
          <w:highlight w:val="none"/>
          <w:lang w:val="en-US" w:eastAsia="zh-CN"/>
        </w:rPr>
        <w:t>说明</w:t>
      </w:r>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ascii="宋体" w:hAnsi="宋体" w:cs="宋体"/>
          <w:b w:val="0"/>
          <w:bCs/>
          <w:color w:val="auto"/>
          <w:sz w:val="24"/>
          <w:highlight w:val="none"/>
        </w:rPr>
      </w:pPr>
      <w:r>
        <w:rPr>
          <w:rFonts w:hint="eastAsia" w:ascii="宋体" w:hAnsi="宋体" w:cs="宋体"/>
          <w:b w:val="0"/>
          <w:bCs/>
          <w:color w:val="auto"/>
          <w:sz w:val="24"/>
          <w:highlight w:val="none"/>
        </w:rPr>
        <w:t>1、项目名称</w:t>
      </w:r>
      <w:bookmarkStart w:id="7" w:name="OLE_LINK1"/>
      <w:r>
        <w:rPr>
          <w:rFonts w:hint="eastAsia" w:ascii="宋体" w:hAnsi="宋体" w:cs="宋体"/>
          <w:b w:val="0"/>
          <w:bCs/>
          <w:color w:val="auto"/>
          <w:sz w:val="24"/>
          <w:highlight w:val="none"/>
        </w:rPr>
        <w:t>：</w:t>
      </w:r>
      <w:bookmarkEnd w:id="7"/>
      <w:bookmarkStart w:id="8" w:name="OLE_LINK2"/>
      <w:r>
        <w:rPr>
          <w:rFonts w:hint="eastAsia" w:ascii="宋体" w:hAnsi="宋体" w:cs="宋体"/>
          <w:b w:val="0"/>
          <w:bCs/>
          <w:sz w:val="24"/>
          <w:highlight w:val="none"/>
          <w:lang w:eastAsia="zh-CN"/>
        </w:rPr>
        <w:t>2025年泉山区嘉美路</w:t>
      </w:r>
      <w:bookmarkEnd w:id="8"/>
      <w:r>
        <w:rPr>
          <w:rFonts w:hint="eastAsia" w:ascii="宋体" w:hAnsi="宋体" w:cs="宋体"/>
          <w:b w:val="0"/>
          <w:bCs/>
          <w:sz w:val="24"/>
          <w:highlight w:val="none"/>
          <w:lang w:eastAsia="zh-CN"/>
        </w:rPr>
        <w:t>维修工程</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2、项目地址：2025年泉山区嘉美路</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ascii="宋体" w:hAnsi="宋体" w:cs="宋体"/>
          <w:b w:val="0"/>
          <w:bCs/>
          <w:color w:val="auto"/>
          <w:sz w:val="24"/>
          <w:highlight w:val="none"/>
        </w:rPr>
      </w:pPr>
      <w:r>
        <w:rPr>
          <w:rFonts w:hint="eastAsia" w:ascii="宋体" w:hAnsi="宋体" w:cs="宋体"/>
          <w:b w:val="0"/>
          <w:bCs/>
          <w:color w:val="auto"/>
          <w:sz w:val="24"/>
          <w:highlight w:val="none"/>
        </w:rPr>
        <w:t>3、承包方式：包工包料。</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4、</w:t>
      </w:r>
      <w:bookmarkStart w:id="9" w:name="OLE_LINK9"/>
      <w:r>
        <w:rPr>
          <w:rFonts w:hint="eastAsia" w:ascii="宋体" w:hAnsi="宋体" w:cs="宋体"/>
          <w:b w:val="0"/>
          <w:bCs/>
          <w:color w:val="auto"/>
          <w:sz w:val="24"/>
          <w:highlight w:val="none"/>
        </w:rPr>
        <w:t>项目工期：</w:t>
      </w:r>
      <w:r>
        <w:rPr>
          <w:rFonts w:hint="eastAsia" w:ascii="宋体" w:hAnsi="宋体" w:cs="宋体"/>
          <w:b w:val="0"/>
          <w:bCs/>
          <w:color w:val="auto"/>
          <w:sz w:val="24"/>
          <w:highlight w:val="none"/>
          <w:lang w:val="en-US" w:eastAsia="zh-CN"/>
        </w:rPr>
        <w:t>30个自然日</w:t>
      </w:r>
      <w:bookmarkEnd w:id="9"/>
      <w:r>
        <w:rPr>
          <w:rFonts w:hint="eastAsia" w:ascii="宋体" w:hAnsi="宋体" w:cs="宋体"/>
          <w:b w:val="0"/>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5、工程质量：合格。</w:t>
      </w:r>
      <w:r>
        <w:rPr>
          <w:rFonts w:hint="eastAsia" w:ascii="宋体" w:hAnsi="宋体" w:cs="宋体"/>
          <w:b w:val="0"/>
          <w:bCs/>
          <w:color w:val="auto"/>
          <w:sz w:val="24"/>
          <w:highlight w:val="none"/>
        </w:rPr>
        <w:br w:type="textWrapping"/>
      </w:r>
      <w:r>
        <w:rPr>
          <w:rFonts w:hint="eastAsia" w:ascii="宋体" w:hAnsi="宋体" w:cs="宋体"/>
          <w:b w:val="0"/>
          <w:bCs/>
          <w:color w:val="auto"/>
          <w:sz w:val="24"/>
          <w:highlight w:val="none"/>
          <w:lang w:val="en-US" w:eastAsia="zh-CN"/>
        </w:rPr>
        <w:t>6、项目属性：服务。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7、现场踏勘：自行踏勘现场。</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（1）供应商对施工现场进行踏勘，以获取编制响应文件所需的现场信息资料。</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（2）供应商对本磋商文件所作出的理解、推论和解释由其自己负责。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（3）由于现场踏勘没有进行或者不详细所导致的一切问题均由供应商自行负责。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（4）供应商应承担现场踏勘的责任和风险，现场踏勘费用由供应商自己承担。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供应商应认真勘察现场，充分了解施工环境、场地情况、材料运输、用水用电情况、道路储存空间、装卸及材料堆放限制、现场地形地貌及周边的安全防护、噪声影响及任何其它影响造价及工期的情况，由供应商自行考虑风险因素并计入投标报价中，结算时不予调整。</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8、此项目属于专门面向中小微企业采购的项目，供应商应为中小微企业或监狱企业或残疾人福利性单位。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、工程量清单</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1、工程量清单编制说明：详见工程量清单</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1.1本工程量清单是依据现行国家标准《建设工程工程量清单计价规范》(GB50500-2013)及其9本计算规范(以下简称“计价规范”)、地方规定以及磋商文件中包括的</w:t>
      </w:r>
      <w:r>
        <w:rPr>
          <w:rFonts w:hint="eastAsia" w:ascii="宋体" w:hAnsi="宋体" w:cs="宋体"/>
          <w:color w:val="auto"/>
          <w:sz w:val="24"/>
          <w:highlight w:val="none"/>
          <w:lang w:val="en-US" w:eastAsia="zh-CN"/>
        </w:rPr>
        <w:t>清单</w:t>
      </w:r>
      <w:r>
        <w:rPr>
          <w:rFonts w:hint="eastAsia" w:ascii="宋体" w:hAnsi="宋体" w:cs="宋体"/>
          <w:color w:val="auto"/>
          <w:sz w:val="24"/>
          <w:highlight w:val="none"/>
        </w:rPr>
        <w:t>等编制。</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1.2 本工程量清单应与磋商文件中通用合同条款、专用合同条款、技术标准和要求等章节内容一起阅读和理解。</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1.3本工程量清单仅是报价的共同基础，竣工结算的工程量按合同约定确定。合同价格的确定以及价款支付应遵循合同条款(包括通用合同条款和专用合同条款)、技术标准和要求以及本章的有关约定。</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1.4 本条第1.1款中约定的计量和计价规则适用于合同履约过程中工程量计量与价款支付、工程变更、索赔和工程结算。</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1.5 本清单要求是构成合同文件的已标价工程量清单的组成部分。</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2、响应报价编制要求</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2.1报价应根据磋商文件中的有关计价要求，并按照下列依据自主报价，但不得低于成本。</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本工程执行现行国家标准《建设工程工程量清单计价规范》、（GB50500－2013）《房屋建筑与装饰工程工程量计算规范》（GB50854-2013）、《江苏省建筑与装饰工程计价定额》（2014版）、《江苏省房屋修缮工程计价（土建）》（2009版）、《江苏省房屋修缮工程计价（安装）》（2009版）、《江苏省安装工程计价定额》（2014版）、《江苏省建设工程费用定额》（2014版）。人工费调整执行苏建函价〔2024〕83号文件等有关文件规定及采购人提供的工程量清单、本文件及其补充通知和答疑纪要。</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3、报价应包含的内容：</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 报价应是指为完成竞争性磋商文件所确定的招标范围内、工程量清单所载明的所有内容需要的全部费用，其根据为供应商提交的已标价的工程量清单及响应文件。</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3.2 供应商应按采购人提供的工程量清单内容填报价格。填写的项目编码、项目名称、项目特征、计量单位、工程量必须与采购人提供的一致。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3.3 本工程项目采用工程量清单计价。供应商应根据现场勘查和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3.4 措施项目中的总价项目按下列要求报价：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3.4.1 总价措施项目中，以费率计算的，供应商在报价时自主报价。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3.4.2 措施项目清单中的安全文明施工费应按国家、省级或行业建设主管部门的规定计价，不得作为竞争性费用。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3.4.3 采购人提供的措施项目清单，供应商在报价时应充分、全面地阅读和理解磋商文件的相关内容和约定，包括“技术规范”的相关约定，详实了解工程场地及其周围环境，充分考虑工程特点及拟定的施工方案和施工组织设计，供应商可根据工程实际与施工组织设计增补总价措施项目，但不应更改采购人已列措施项目。</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3.4.4 “总价措施项目清单与计价表”中所填写的报价金额，应全面涵盖磋商文件约定的供应商中标后施工、竣工、交付本工程并维修其任何缺陷所需要履行的责任和义务的全部费用。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3.5 其他项目清单费应按下列规定报价：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3.5.1 暂列金额按“暂列金额明细表”中列出的金额报价。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3.5.2计日工按“计日工表”中列出的项目和估算数量，自主确定综合单价并计算计日工金额。</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3.6 规费和税金应按“规费、税金项目计价表”所列项目并根据国家、省级或行业建设主管部门的有关规定列项和计算，不得作为竞争性费用。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3.7 除磋商文件有强制性规定以及不可竞争部分以外，报价由供应商自主确定，但不得低于成本。</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3.8 工程量清单计价所涉及的生产资源(包括各类人工、材料、工程设备、施工设备、临时设施、临时用水、临时用电等)的价格，应根据自身的信息渠道和采购渠道，分析其市场价格水平并判断其整个施工周期内的变化趋势，体现供应商自身的管理水平、技术水平和综合实力。</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3.9 管理费应由供应商在保证不低于其成本的基础上做竞争性考虑；利润由供应商根据自身情况和综合实力做竞争性考虑。</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3.10 响应报价中应考虑磋商文件中要求供应商承担的风险范围以及相关的费用。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3.11 总价为供应商在响应文件中提出的各项支付金额的总和，为实施、完成招标工程并修补缺陷以及履行磋商文件中约定的风险范围内的所有责任和义务所发生的全部费用。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3.12 有关报价的其他要求： 执行《省住房城乡建设厅关于调整建设工程按质论价等费用计取方法的公告》（江苏省住房和城乡建设厅〔2018〕第24号）规定。</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3.13 检验试验费：因本工程需要所做的全部检验、试验及检测相关费用，由供应商自行考虑风险并计入报价中，结算时不予调整。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color w:val="auto"/>
          <w:spacing w:val="10"/>
          <w:sz w:val="24"/>
          <w:highlight w:val="none"/>
        </w:rPr>
      </w:pPr>
      <w:r>
        <w:rPr>
          <w:rFonts w:hint="eastAsia" w:ascii="宋体" w:hAnsi="宋体" w:cs="宋体"/>
          <w:color w:val="auto"/>
          <w:sz w:val="24"/>
          <w:highlight w:val="none"/>
        </w:rPr>
        <w:t>3.14 响应报价时含各专业施工过程中线管及相关井道开洞及封堵等费用。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3.15 响应报价应包括磋商文件所确定的招标范围内工程量清单中所含施工图项目的全部内容，以及为完成上述内容所需的全部费用。本工程采用固定单价合同（除另有规定外），招标范围内所有材料价格、人工工资单价、机械价格等费用均不调整。供应商在计算报价时应充分考虑施工期间各种风险因素。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4、报价方式</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4.1 供应商应充分考虑施工期间各类建材的市场风险，并计入总报价，今后不再调整，供应商所填写的单价和合价，在合同实施期间不因市场变化因素而变动。供应商在计算报价时应考虑一定的风险系数。风险费用应在投标报价中考虑，以后不再另外计算。</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4.2 本工程材料风险约定：招标范围内所有材料价格结算时均不再调整。对于法律、法规、规章或有关政策出台导致工程税金、规费发生变化的，按有关规定执行。</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5、工程价款调整：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5.1 采用工程量清单方式计价，竣工结算的工程量按发承包双方在合同中约定应予计量且实际完成的工程量确定，完成发包人要求的合同以外的零星工作或发生非承包人责任事件的工程量按现场签证确定。</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5.2 当工程量清单项目工程量的变化幅度超过10%，且其影响分部分项工程费超过0.1%时，应由受益方在合同约定时间内向合同的另一方以书面的形式提出工程价款调整要求，由承包人以书面的形式提出增加部分的工程量或减少后剩余部分的工程量的综合单价调整意见，经发包人书面确认后作为结算的依据，合同有约定的按合同执行。</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5.3 因非承包人原因的工程变更，造成施工组织设计或施工方案变更，引起措施项目发生变化时，措施项目费应按2014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6、相关取费要求：详见工程量清单。</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7、其他说明</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7.1词语和定义</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7.1.1 同义词语</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本磋商文件中使用的词语“采购人”和“供应商”分别与合同条款中定义的“发包人”和“承包人”同义。</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7.2 工程量差异调整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7.2.1 工程量清单中的项目列项、特征描述、工作内容以及“分部分项工程和单价措施项目清单与计价表”中附带的工程量都不应理解为是对承包(招标)范围以及合同工作内容的唯一的、最终的或全部的定义。</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7.2.2 供应商可对采购人提供的工程量清单进行复核。这种复核包括对采购人提供的工程量清单中的项目编码、项目名称、项目特征描述、计量单位、工程量的准确性以及可能存在的任何书写、打印错误进行检查和复核，也包括对“分部分项工程和单价措施项目清单与计价表”中每个工作项目的工程量进行重新计算和校核。如果供应商经过检查和复核以后认为采购人提供的工程量清单存在差异，则供应商按磋商文件规定的程序向采购人提出异议。否则，不得改变(包括对工程量清单项目的项目名称、项目特征描述、计量单位以及工程量的任何修改、增加或减少)采购人提供的分部分项工程量清单和其他项目清单。即使按照图纸和招标范围的约定并不存在的项目，只要在采购人提供的分部分项工程量清单中已经列明，供应商都需要对其报价，并纳入总价的计算。</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招标控制价编制价格执行 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月份《徐州市建设工程造价信息》指导价，投标人的材料价格根据市场行情自主报价。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7.3 招标控制价人工费调整执行苏建函价〔2024〕83号文件。</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7.4 暂估价材料的单价由采购人提供，材料单价组成中应包括场外运输与采购保管费。投标人根据该单价计算相应分部分项工程和措施项目的综合单价，并在材料暂估价格表中列出暂估材料的数量、单价、合价和汇总价格，该汇总价格不计入其他项目工程费合计中。</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7.5 扬尘污染防治费根据《省住房城乡建设厅关于调整建设工程按质论价等费用计取方法的公告》【2018】第24号计算，施工期间，承包方应积极主动按照大气污染防治监管部门的要求，采取必要防治措施，对发生的费用单独计量和核算，费用从工地扬尘污染防治费中列支。</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7.5 建筑安装工程造价的组成</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7.5.1 分部分项工程费：执行现行国家标准《建设工程工程量清单计价规范》、（GB50500－2013）《房屋建筑与装饰工程工程量计算规范》（GB50854-2013）、《江苏省建筑与装饰工程计价定额》（2014版）、《江苏省房屋修缮工程计价（土建）》（2009版）、《江苏省房屋修缮工程计价（安装）》（2009版）、《江苏省安装工程计价定额》（2014版）、《江苏省建设工程费用定额》（2014版）。人工费调整执行苏建函价〔2024〕83号文件等有关文件规定。</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7.5.2 通用项目（供应商可自主报价，结算不调整）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（1）夜间施工。</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（2）二次搬运。</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（3）冬雨季施工。</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（4）大型机械设备进出场及安拆。</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（5）施工排水。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（6）施工降水。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（7）地上、地下设施，建筑物的临时保护设施。</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（8）已完工程及设备保护。</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（9）临时设施。</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（10）材料与设备检验试验。</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（11）赶工措施。</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（12）工程按质论价。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（13）特殊条件下施工增加。</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（14）垂直运输及超增加费。</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7.5.3 其他项目费</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（1）材料暂估价。无</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(2) 计日工。无</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（3）总承包服务费：无。</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7.5.4 措施项目费、规费、税金的取费率按照工程量清单载明的标准计价。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8、低于成本报价：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8.1 在评审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8.2 磋商小组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9、项目相关要求：</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9.1 供应商报价时需考虑完成本项目内容所涉及的人工费、材料费、机械费、税费、验收等相关的一切费用。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9.2 供应商应根据本项目实际情况，合理配置人员，除项目经理外，安全员、质检员、施工员、预算员、材料员等人员应经验丰富，确保项目顺利实施。</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9.3 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9.4 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9.5 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10、设备材料采购管理：</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10.1 供应商在参与竞争性磋商采购活动时需提供中档及以上档次品牌产品进行报价。</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10.2 供应商采购本项目设备材料前应向监理及招标人报审同意后方可采购，采购人保留对设备材料厂家考察及变更材料品牌的权利。</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10.3 未经采购人同意，不得以任何借口更换供货商。若供应商提供的材料供货商有产品质量问题、违法行为或不良记录，采购人调研确认后,将保留更换供货商的权利。成交供应商不得由此而提出对合同价格进行调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10.4 供应商采购的设备、材料，均应提供完整有效的质保资料，否则不得使用。</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10.5 设备材料进场报验要求</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材料在合同执行过程中将严格按照下列要求进行报验审批：</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（1）设备材料选定应严格按照磋商文件、图纸、响应文件等的要求且供货商无违法行为及不良记录。</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（2）提供厂家出具的提货单，提货单需注明项目名称；若通过代理商订货，应提供厂家出具给该代理商的项目供货授权书（需注明项目名称），并且提供提货单。提货单供货数量必须跟工程量相匹配。</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（3）提供符合技术要求的产品报验资料包含不限于产品验收标准、产品合格证、检测报告、产品使用说明书等。</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（4）若不满足上述要求，采购人有权要求成交供应商更换材料，已进场材料无条件退场，所发生的费用由供应商承担。</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10.6 对于竞争性磋商活动中明确的设备材料，根据采购人要求，供应商在实施采购前应先提供样品，由监理工程师组织采购人、设计单位，共同对设备材料样品的型号、规格、样式、颜色等参数进行确认，经各方确认后的设备材料样品应封存。</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10.7 采购人保留更换品牌的权力，供应商须按市场主流产品的优等产品进行采购，采购前报采购人确认后方可采购。上述其他要求不变。</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bCs/>
          <w:color w:val="auto"/>
          <w:sz w:val="24"/>
          <w:highlight w:val="none"/>
        </w:rPr>
      </w:pPr>
      <w:r>
        <w:rPr>
          <w:rFonts w:hint="eastAsia" w:ascii="宋体" w:hAnsi="宋体" w:cs="宋体"/>
          <w:color w:val="auto"/>
          <w:sz w:val="24"/>
          <w:highlight w:val="none"/>
        </w:rPr>
        <w:t>10.8供应商须严格按照此采购管理要求进行本项目设备材料的采购和管理工作，否则由此产生的一切后果由供应商承担。</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11、质量要求标准：合格，通过相关部门验收。</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12、项目负责人或现场主要技术人员具有相关工程施工管理经验。在校施工期间企业必须为每个项目安排不少于1名的固定技术人员。项目负责人或现场主要技术人员须善于协调，能够按照采购单位要求在规定的工期和时间内及时完成任务。</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color w:val="auto"/>
          <w:sz w:val="24"/>
          <w:highlight w:val="none"/>
        </w:rPr>
      </w:pPr>
      <w:r>
        <w:rPr>
          <w:rFonts w:hint="eastAsia" w:ascii="宋体" w:hAnsi="宋体" w:cs="宋体"/>
          <w:color w:val="auto"/>
          <w:sz w:val="24"/>
          <w:highlight w:val="none"/>
        </w:rPr>
        <w:t>13、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宋体" w:hAnsi="宋体" w:cs="宋体"/>
          <w:b/>
          <w:color w:val="auto"/>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、售后服务及技术培训要求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b w:val="0"/>
          <w:bCs w:val="0"/>
          <w:color w:val="auto"/>
          <w:sz w:val="24"/>
          <w:highlight w:val="none"/>
        </w:rPr>
      </w:pPr>
      <w:r>
        <w:rPr>
          <w:rFonts w:hint="eastAsia" w:ascii="宋体" w:hAnsi="宋体" w:cs="宋体"/>
          <w:b w:val="0"/>
          <w:bCs w:val="0"/>
          <w:color w:val="auto"/>
          <w:sz w:val="24"/>
          <w:highlight w:val="none"/>
        </w:rPr>
        <w:t>1、自验收合格之日起质保期不少于2年（防水工程质保期不低于5年）。</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bCs/>
          <w:color w:val="auto"/>
          <w:sz w:val="24"/>
          <w:highlight w:val="none"/>
        </w:rPr>
      </w:pPr>
      <w:r>
        <w:rPr>
          <w:rFonts w:hint="eastAsia" w:ascii="宋体" w:hAnsi="宋体" w:cs="宋体"/>
          <w:b w:val="0"/>
          <w:bCs w:val="0"/>
          <w:color w:val="auto"/>
          <w:sz w:val="24"/>
          <w:highlight w:val="none"/>
        </w:rPr>
        <w:t>2、接到故障通知后4小时响应到达现场服务以及故障应急处理方案，12小时完成故障处理。</w:t>
      </w:r>
      <w:r>
        <w:rPr>
          <w:rFonts w:hint="eastAsia" w:ascii="宋体" w:hAnsi="宋体" w:cs="宋体"/>
          <w:b/>
          <w:bCs/>
          <w:color w:val="auto"/>
          <w:sz w:val="24"/>
          <w:highlight w:val="none"/>
        </w:rPr>
        <w:br w:type="textWrapping"/>
      </w:r>
      <w:r>
        <w:rPr>
          <w:rFonts w:hint="eastAsia" w:ascii="宋体" w:hAnsi="宋体" w:cs="宋体"/>
          <w:b/>
          <w:bCs/>
          <w:color w:val="auto"/>
          <w:sz w:val="24"/>
          <w:highlight w:val="none"/>
          <w:lang w:val="en-US" w:eastAsia="zh-CN"/>
        </w:rPr>
        <w:t xml:space="preserve">    五</w:t>
      </w:r>
      <w:r>
        <w:rPr>
          <w:rFonts w:hint="eastAsia" w:ascii="宋体" w:hAnsi="宋体" w:cs="宋体"/>
          <w:b/>
          <w:bCs/>
          <w:color w:val="auto"/>
          <w:sz w:val="24"/>
          <w:highlight w:val="none"/>
        </w:rPr>
        <w:t>、本项目无效响应文件的判定（磋商文件的实质性要求）：</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1、供应商资格条件不符合国家有关规定或磋商文件要求的；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2、供应商名称或组织结构与资格审查时不一致的；</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3、除在响应文件提交截止时间前经采购人书面同意外，项目负责人与资格审查时不一致的；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4、响应报价低于成本或者高于磋商文件设定的最高限价的；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5、同一供应商提交两个及以上不同的响应文件或者响应报价，但磋商文件要求提交备选的除外；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6、与磋商文件规定的暂列金额及甲供材料价格不一致的；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7、与磋商文件明确列出的不可竞争费用项目或费率或计算基础不一致的；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8、与磋商文件提供的工程量清单中的项目编码、项目名称、项目特征、计量单位、工程量不一致的；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9、响应文件载明的招标项目完成期限超过磋商文件规定的期限的；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10、明显不符合技术规范、技术标准的要求的；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11、响应文件载明的货物包装方式、检验标准和方法等不符合磋商文件的要求的；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12、响应文件提出了不能满足磋商文件要求或采购人不能接受的工程验收、计量、价款结算和支付办法的；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13、不同供应商的响应文件以及响应文件制作过程出现了评标委员会认为不应当雷同的情况的； </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14、以他人的名义投标、串通投标、以行贿手段谋取成交或者以其他弄虚作假方式投标的。</w:t>
      </w:r>
    </w:p>
    <w:p>
      <w:pPr>
        <w:pStyle w:val="8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eastAsia="宋体" w:cs="宋体"/>
          <w:color w:val="0000FF"/>
          <w:sz w:val="24"/>
          <w:szCs w:val="24"/>
          <w:highlight w:val="none"/>
          <w:lang w:val="en-US" w:eastAsia="zh-CN" w:bidi="ar-SA"/>
        </w:rPr>
      </w:pPr>
      <w:r>
        <w:rPr>
          <w:rFonts w:hint="eastAsia" w:ascii="宋体" w:hAnsi="宋体" w:cs="宋体"/>
          <w:color w:val="auto"/>
          <w:sz w:val="24"/>
          <w:highlight w:val="none"/>
        </w:rPr>
        <w:t>15、未按磋商文件规定的格式填写，内容不全或关键字模糊、无法辨认的；未按磋商文件要求提供电子响应文件，或者响应文件未能解密且按照磋商文件明确的响应文件解密失败的补救方案补救不成功的。</w:t>
      </w:r>
    </w:p>
    <w:p>
      <w:pPr>
        <w:pStyle w:val="74"/>
        <w:keepNext w:val="0"/>
        <w:keepLines w:val="0"/>
        <w:pageBreakBefore w:val="0"/>
        <w:widowControl w:val="0"/>
        <w:kinsoku/>
        <w:wordWrap/>
        <w:overflowPunct/>
        <w:topLinePunct w:val="0"/>
        <w:autoSpaceDE/>
        <w:autoSpaceDN/>
        <w:bidi w:val="0"/>
        <w:adjustRightInd/>
        <w:snapToGrid/>
        <w:spacing w:line="400" w:lineRule="exact"/>
        <w:ind w:left="0" w:right="-840" w:firstLine="482"/>
        <w:textAlignment w:val="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、其他要求：见《磋商文件》附件：《合同草案条款》、《工程量清单》。</w:t>
      </w:r>
    </w:p>
    <w:p>
      <w:pPr>
        <w:spacing w:line="360" w:lineRule="auto"/>
        <w:jc w:val="center"/>
        <w:rPr>
          <w:rFonts w:ascii="宋体" w:hAnsi="宋体" w:cs="宋体"/>
          <w:b/>
          <w:bCs/>
          <w:sz w:val="36"/>
          <w:highlight w:val="none"/>
        </w:rPr>
      </w:pPr>
      <w:r>
        <w:rPr>
          <w:rFonts w:hint="eastAsia" w:ascii="宋体" w:hAnsi="宋体" w:cs="宋体"/>
          <w:b/>
          <w:bCs/>
          <w:sz w:val="36"/>
          <w:highlight w:val="none"/>
        </w:rPr>
        <w:br w:type="page" w:clear="all"/>
      </w:r>
      <w:r>
        <w:rPr>
          <w:rFonts w:hint="eastAsia" w:ascii="宋体" w:hAnsi="宋体" w:cs="宋体"/>
          <w:b/>
          <w:bCs/>
          <w:sz w:val="36"/>
          <w:highlight w:val="none"/>
        </w:rPr>
        <w:t>3、磋商报价表</w:t>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JSZC-320311-ZJZB-C2025-0172</w:t>
      </w:r>
    </w:p>
    <w:p>
      <w:pPr>
        <w:spacing w:line="360" w:lineRule="auto"/>
        <w:rPr>
          <w:rFonts w:ascii="宋体" w:hAnsi="宋体" w:cs="宋体"/>
          <w:sz w:val="24"/>
          <w:highlight w:val="none"/>
        </w:rPr>
      </w:pPr>
      <w:r>
        <w:rPr>
          <w:rFonts w:hint="eastAsia" w:ascii="宋体" w:hAnsi="宋体" w:cs="宋体"/>
          <w:sz w:val="24"/>
          <w:highlight w:val="none"/>
        </w:rPr>
        <w:t>本次为首次报价</w:t>
      </w:r>
    </w:p>
    <w:p>
      <w:pPr>
        <w:spacing w:line="360" w:lineRule="auto"/>
        <w:rPr>
          <w:rFonts w:ascii="宋体" w:hAnsi="宋体" w:cs="宋体"/>
          <w:sz w:val="24"/>
          <w:highlight w:val="none"/>
        </w:rPr>
      </w:pPr>
      <w:r>
        <w:rPr>
          <w:rFonts w:hint="eastAsia" w:ascii="宋体" w:hAnsi="宋体" w:cs="宋体"/>
          <w:sz w:val="24"/>
          <w:highlight w:val="none"/>
        </w:rPr>
        <w:t>货币单位：人民币元</w:t>
      </w:r>
    </w:p>
    <w:p>
      <w:pPr>
        <w:spacing w:line="360" w:lineRule="auto"/>
        <w:rPr>
          <w:rFonts w:ascii="宋体" w:hAnsi="宋体" w:cs="宋体"/>
          <w:sz w:val="24"/>
          <w:highlight w:val="none"/>
        </w:rPr>
      </w:pPr>
      <w:r>
        <w:rPr>
          <w:rFonts w:hint="eastAsia" w:ascii="宋体" w:hAnsi="宋体" w:cs="宋体"/>
          <w:sz w:val="24"/>
          <w:highlight w:val="none"/>
        </w:rPr>
        <w:t>详见苏采云系统中的格式。</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报价说明：</w:t>
      </w:r>
    </w:p>
    <w:p>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1、报价应包括磋商文件所确定的招标范围内工程量清单所含的全部内容，以及为完成上述内容所需的全部费用</w:t>
      </w:r>
      <w:r>
        <w:rPr>
          <w:rFonts w:hint="eastAsia" w:ascii="宋体" w:hAnsi="宋体" w:cs="宋体"/>
          <w:sz w:val="24"/>
          <w:highlight w:val="none"/>
          <w:lang w:eastAsia="zh-CN"/>
        </w:rPr>
        <w:t>；</w:t>
      </w:r>
    </w:p>
    <w:p>
      <w:pPr>
        <w:spacing w:line="360" w:lineRule="auto"/>
        <w:ind w:firstLine="480"/>
        <w:rPr>
          <w:rFonts w:ascii="宋体" w:hAnsi="宋体" w:cs="宋体"/>
          <w:sz w:val="24"/>
          <w:highlight w:val="none"/>
        </w:rPr>
      </w:pPr>
      <w:r>
        <w:rPr>
          <w:rFonts w:hint="eastAsia" w:ascii="宋体" w:hAnsi="宋体" w:cs="宋体"/>
          <w:sz w:val="24"/>
          <w:highlight w:val="none"/>
        </w:rPr>
        <w:t>2、报价以总价为准，大小写不一致以大写为准；</w:t>
      </w:r>
    </w:p>
    <w:p>
      <w:pPr>
        <w:spacing w:line="360" w:lineRule="auto"/>
        <w:ind w:firstLine="480"/>
        <w:rPr>
          <w:rFonts w:ascii="宋体" w:hAnsi="宋体" w:cs="宋体"/>
          <w:sz w:val="24"/>
          <w:highlight w:val="none"/>
        </w:rPr>
      </w:pPr>
      <w:r>
        <w:rPr>
          <w:rFonts w:hint="eastAsia" w:ascii="宋体" w:hAnsi="宋体" w:cs="宋体"/>
          <w:sz w:val="24"/>
          <w:highlight w:val="none"/>
        </w:rPr>
        <w:t>3、偏离说明：详见《偏离表》；</w:t>
      </w:r>
    </w:p>
    <w:p>
      <w:pPr>
        <w:spacing w:line="360" w:lineRule="auto"/>
        <w:ind w:firstLine="480"/>
        <w:rPr>
          <w:rFonts w:ascii="宋体" w:hAnsi="宋体" w:cs="宋体"/>
          <w:sz w:val="24"/>
          <w:highlight w:val="none"/>
        </w:rPr>
      </w:pPr>
      <w:r>
        <w:rPr>
          <w:rFonts w:hint="eastAsia" w:ascii="宋体" w:hAnsi="宋体" w:cs="宋体"/>
          <w:sz w:val="24"/>
          <w:highlight w:val="none"/>
        </w:rPr>
        <w:t>4、如最后报价未列明单价，则最后所报各项单价计算方法为：（最后报价/最初报价）* 各项最初报价的单价。</w:t>
      </w: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p>
    <w:p>
      <w:pPr>
        <w:spacing w:line="360" w:lineRule="auto"/>
        <w:ind w:right="29"/>
        <w:rPr>
          <w:rFonts w:ascii="宋体" w:hAnsi="宋体" w:cs="宋体"/>
          <w:sz w:val="24"/>
          <w:highlight w:val="none"/>
        </w:rPr>
      </w:pPr>
      <w:r>
        <w:rPr>
          <w:rFonts w:hint="eastAsia" w:ascii="宋体" w:hAnsi="宋体" w:cs="宋体"/>
          <w:sz w:val="24"/>
          <w:highlight w:val="none"/>
        </w:rPr>
        <w:t xml:space="preserve">                       供应商（电子签章）：</w:t>
      </w:r>
    </w:p>
    <w:p>
      <w:pPr>
        <w:spacing w:line="360" w:lineRule="auto"/>
        <w:ind w:right="29"/>
        <w:rPr>
          <w:rFonts w:ascii="宋体" w:hAnsi="宋体" w:cs="宋体"/>
          <w:sz w:val="24"/>
          <w:highlight w:val="none"/>
        </w:rPr>
      </w:pPr>
      <w:r>
        <w:rPr>
          <w:rFonts w:hint="eastAsia" w:ascii="宋体" w:hAnsi="宋体" w:cs="宋体"/>
          <w:sz w:val="24"/>
          <w:highlight w:val="none"/>
        </w:rPr>
        <w:t xml:space="preserve">                       法定代表人（负责人)或授权代表（签字或盖章）：  </w:t>
      </w:r>
    </w:p>
    <w:p>
      <w:pPr>
        <w:spacing w:line="360" w:lineRule="auto"/>
        <w:ind w:right="29"/>
        <w:rPr>
          <w:rFonts w:ascii="宋体" w:hAnsi="宋体" w:cs="宋体"/>
          <w:sz w:val="24"/>
          <w:highlight w:val="none"/>
        </w:rPr>
      </w:pPr>
      <w:r>
        <w:rPr>
          <w:rFonts w:hint="eastAsia" w:ascii="宋体" w:hAnsi="宋体" w:cs="宋体"/>
          <w:sz w:val="24"/>
          <w:highlight w:val="none"/>
        </w:rPr>
        <w:t xml:space="preserve">                       日期：</w:t>
      </w:r>
    </w:p>
    <w:p>
      <w:pPr>
        <w:rPr>
          <w:rFonts w:ascii="宋体" w:hAnsi="宋体" w:cs="宋体"/>
          <w:b/>
          <w:bCs/>
          <w:sz w:val="36"/>
          <w:highlight w:val="none"/>
        </w:rPr>
      </w:pPr>
    </w:p>
    <w:p>
      <w:pPr>
        <w:pStyle w:val="2"/>
        <w:rPr>
          <w:highlight w:val="none"/>
        </w:rPr>
      </w:pPr>
    </w:p>
    <w:p>
      <w:pPr>
        <w:jc w:val="center"/>
        <w:rPr>
          <w:rFonts w:ascii="宋体" w:hAnsi="宋体" w:cs="宋体"/>
          <w:b/>
          <w:bCs/>
          <w:sz w:val="36"/>
          <w:highlight w:val="none"/>
        </w:rPr>
      </w:pPr>
    </w:p>
    <w:p>
      <w:pPr>
        <w:rPr>
          <w:rFonts w:ascii="宋体" w:hAnsi="宋体" w:cs="宋体"/>
          <w:b/>
          <w:bCs/>
          <w:sz w:val="36"/>
          <w:highlight w:val="none"/>
        </w:rPr>
      </w:pPr>
      <w:r>
        <w:rPr>
          <w:rFonts w:hint="eastAsia" w:ascii="宋体" w:hAnsi="宋体" w:cs="宋体"/>
          <w:b/>
          <w:bCs/>
          <w:sz w:val="36"/>
          <w:highlight w:val="none"/>
        </w:rPr>
        <w:br w:type="page"/>
      </w:r>
    </w:p>
    <w:p>
      <w:pPr>
        <w:jc w:val="center"/>
        <w:rPr>
          <w:rFonts w:ascii="宋体" w:hAnsi="宋体" w:cs="宋体"/>
          <w:b/>
          <w:bCs/>
          <w:sz w:val="36"/>
          <w:highlight w:val="none"/>
        </w:rPr>
      </w:pPr>
      <w:r>
        <w:rPr>
          <w:rFonts w:hint="eastAsia" w:ascii="宋体" w:hAnsi="宋体" w:cs="宋体"/>
          <w:b/>
          <w:bCs/>
          <w:sz w:val="36"/>
          <w:highlight w:val="none"/>
        </w:rPr>
        <w:t>4、</w:t>
      </w:r>
      <w:bookmarkStart w:id="10" w:name="_Hlk81985238"/>
      <w:r>
        <w:rPr>
          <w:rFonts w:hint="eastAsia" w:ascii="宋体" w:hAnsi="宋体" w:cs="宋体"/>
          <w:b/>
          <w:bCs/>
          <w:sz w:val="36"/>
          <w:highlight w:val="none"/>
        </w:rPr>
        <w:t>分项价格表</w:t>
      </w:r>
    </w:p>
    <w:p>
      <w:pPr>
        <w:spacing w:line="360" w:lineRule="auto"/>
        <w:jc w:val="center"/>
        <w:rPr>
          <w:rFonts w:ascii="宋体" w:hAnsi="宋体" w:cs="宋体"/>
          <w:sz w:val="24"/>
          <w:highlight w:val="none"/>
        </w:rPr>
      </w:pPr>
      <w:r>
        <w:rPr>
          <w:rFonts w:ascii="宋体" w:hAnsi="宋体"/>
          <w:b/>
          <w:bCs/>
          <w:sz w:val="36"/>
          <w:highlight w:val="none"/>
        </w:rPr>
        <w:t>（具有标价的工程量清单与报价表）</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本次为首次报价</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JSZC-320311-ZJZB-C2025-0172</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2025年泉山区嘉美路维修工程</w:t>
      </w:r>
    </w:p>
    <w:p>
      <w:pPr>
        <w:spacing w:line="276" w:lineRule="auto"/>
        <w:rPr>
          <w:rFonts w:ascii="宋体" w:hAnsi="宋体" w:cs="宋体"/>
          <w:sz w:val="24"/>
          <w:highlight w:val="none"/>
        </w:rPr>
      </w:pPr>
    </w:p>
    <w:p>
      <w:pPr>
        <w:pStyle w:val="26"/>
        <w:rPr>
          <w:rFonts w:ascii="宋体" w:hAnsi="宋体" w:cs="宋体"/>
          <w:highlight w:val="none"/>
        </w:rPr>
      </w:pPr>
    </w:p>
    <w:p>
      <w:pPr>
        <w:pStyle w:val="26"/>
        <w:ind w:left="0" w:firstLine="1200" w:firstLineChars="500"/>
        <w:jc w:val="both"/>
        <w:rPr>
          <w:rFonts w:ascii="宋体" w:hAnsi="宋体" w:cs="宋体"/>
          <w:highlight w:val="none"/>
        </w:rPr>
      </w:pPr>
      <w:r>
        <w:rPr>
          <w:rFonts w:hint="eastAsia" w:ascii="宋体" w:hAnsi="宋体" w:cs="宋体"/>
          <w:highlight w:val="none"/>
        </w:rPr>
        <w:t>【根据《工程量清单》进行编制】</w:t>
      </w:r>
    </w:p>
    <w:p>
      <w:pPr>
        <w:spacing w:line="276" w:lineRule="auto"/>
        <w:rPr>
          <w:rFonts w:ascii="宋体" w:hAnsi="宋体" w:cs="宋体"/>
          <w:sz w:val="24"/>
          <w:highlight w:val="none"/>
        </w:rPr>
      </w:pPr>
      <w:r>
        <w:rPr>
          <w:rFonts w:hint="eastAsia" w:ascii="宋体" w:hAnsi="宋体" w:cs="宋体"/>
          <w:sz w:val="24"/>
          <w:highlight w:val="none"/>
        </w:rPr>
        <w:t xml:space="preserve">                      </w:t>
      </w: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ind w:firstLine="2280"/>
        <w:rPr>
          <w:rFonts w:ascii="宋体" w:hAnsi="宋体" w:cs="宋体"/>
          <w:sz w:val="24"/>
          <w:highlight w:val="none"/>
        </w:rPr>
      </w:pPr>
      <w:r>
        <w:rPr>
          <w:rFonts w:hint="eastAsia" w:ascii="宋体" w:hAnsi="宋体" w:cs="宋体"/>
          <w:sz w:val="24"/>
          <w:highlight w:val="none"/>
        </w:rPr>
        <w:t xml:space="preserve">     供应商（电子签章）：</w:t>
      </w:r>
    </w:p>
    <w:p>
      <w:pPr>
        <w:spacing w:line="276" w:lineRule="auto"/>
        <w:rPr>
          <w:rFonts w:ascii="宋体" w:hAnsi="宋体" w:cs="宋体"/>
          <w:sz w:val="24"/>
          <w:highlight w:val="none"/>
        </w:rPr>
      </w:pPr>
      <w:r>
        <w:rPr>
          <w:rFonts w:hint="eastAsia" w:ascii="宋体" w:hAnsi="宋体" w:cs="宋体"/>
          <w:sz w:val="24"/>
          <w:highlight w:val="none"/>
        </w:rPr>
        <w:t xml:space="preserve">                        法定代表人（负责人)或授权代表（签字或盖章）：  </w:t>
      </w:r>
    </w:p>
    <w:p>
      <w:pPr>
        <w:spacing w:line="276" w:lineRule="auto"/>
        <w:rPr>
          <w:rFonts w:ascii="宋体" w:hAnsi="宋体" w:cs="宋体"/>
          <w:sz w:val="24"/>
          <w:highlight w:val="none"/>
        </w:rPr>
      </w:pPr>
      <w:r>
        <w:rPr>
          <w:rFonts w:hint="eastAsia" w:ascii="宋体" w:hAnsi="宋体" w:cs="宋体"/>
          <w:sz w:val="24"/>
          <w:highlight w:val="none"/>
        </w:rPr>
        <w:t xml:space="preserve">                        日期：</w:t>
      </w:r>
    </w:p>
    <w:p>
      <w:pPr>
        <w:spacing w:line="276" w:lineRule="auto"/>
        <w:rPr>
          <w:rFonts w:ascii="宋体" w:hAnsi="宋体" w:cs="宋体"/>
          <w:sz w:val="24"/>
          <w:highlight w:val="none"/>
        </w:rPr>
      </w:pPr>
    </w:p>
    <w:p>
      <w:pPr>
        <w:spacing w:line="276" w:lineRule="auto"/>
        <w:rPr>
          <w:rFonts w:ascii="宋体" w:hAnsi="宋体" w:cs="宋体"/>
          <w:sz w:val="24"/>
          <w:highlight w:val="none"/>
        </w:rPr>
      </w:pPr>
    </w:p>
    <w:p>
      <w:pPr>
        <w:spacing w:line="276" w:lineRule="auto"/>
        <w:rPr>
          <w:rFonts w:ascii="宋体" w:hAnsi="宋体" w:cs="宋体"/>
          <w:sz w:val="24"/>
          <w:highlight w:val="none"/>
        </w:rPr>
      </w:pPr>
      <w:r>
        <w:rPr>
          <w:rFonts w:hint="eastAsia" w:ascii="宋体" w:hAnsi="宋体" w:cs="宋体"/>
          <w:sz w:val="24"/>
          <w:highlight w:val="none"/>
        </w:rPr>
        <w:t>注：1．</w:t>
      </w:r>
      <w:r>
        <w:rPr>
          <w:rFonts w:hint="eastAsia" w:ascii="宋体" w:hAnsi="宋体" w:cs="宋体"/>
          <w:b/>
          <w:sz w:val="24"/>
          <w:highlight w:val="none"/>
        </w:rPr>
        <w:t>如果不提供《分项价格表》（具有标价的工程量清单与报价表）将视为没有实质性响应。</w:t>
      </w:r>
    </w:p>
    <w:p>
      <w:pPr>
        <w:numPr>
          <w:ilvl w:val="0"/>
          <w:numId w:val="4"/>
        </w:numPr>
        <w:spacing w:line="276" w:lineRule="auto"/>
        <w:ind w:firstLine="480"/>
        <w:rPr>
          <w:rFonts w:ascii="宋体" w:hAnsi="宋体" w:cs="宋体"/>
          <w:sz w:val="24"/>
          <w:highlight w:val="none"/>
        </w:rPr>
      </w:pPr>
      <w:r>
        <w:rPr>
          <w:rFonts w:hint="eastAsia" w:ascii="宋体" w:hAnsi="宋体" w:cs="宋体"/>
          <w:sz w:val="24"/>
          <w:highlight w:val="none"/>
        </w:rPr>
        <w:t>响应供应商对以上数据的真实性负责。</w:t>
      </w:r>
      <w:bookmarkEnd w:id="10"/>
    </w:p>
    <w:p>
      <w:pPr>
        <w:spacing w:line="276" w:lineRule="auto"/>
        <w:ind w:firstLine="482"/>
        <w:rPr>
          <w:rFonts w:ascii="宋体" w:hAnsi="宋体" w:cs="宋体"/>
          <w:b/>
          <w:bCs/>
          <w:sz w:val="24"/>
          <w:highlight w:val="none"/>
        </w:rPr>
      </w:pPr>
      <w:r>
        <w:rPr>
          <w:rFonts w:ascii="宋体" w:hAnsi="宋体"/>
          <w:b/>
          <w:i/>
          <w:sz w:val="24"/>
          <w:highlight w:val="none"/>
          <w:u w:val="single"/>
        </w:rPr>
        <w:t>采购人或采购代理机构有权将以上内容进行公示。</w:t>
      </w:r>
    </w:p>
    <w:p>
      <w:pPr>
        <w:rPr>
          <w:rFonts w:ascii="宋体" w:hAnsi="宋体" w:cs="宋体"/>
          <w:b/>
          <w:bCs/>
          <w:sz w:val="36"/>
          <w:highlight w:val="none"/>
        </w:rPr>
      </w:pPr>
      <w:r>
        <w:rPr>
          <w:rFonts w:hint="eastAsia" w:ascii="宋体" w:hAnsi="宋体" w:cs="宋体"/>
          <w:b/>
          <w:bCs/>
          <w:sz w:val="36"/>
          <w:highlight w:val="none"/>
        </w:rPr>
        <w:br w:type="page" w:clear="all"/>
      </w:r>
    </w:p>
    <w:p>
      <w:pPr>
        <w:jc w:val="center"/>
        <w:rPr>
          <w:rFonts w:ascii="宋体" w:hAnsi="宋体" w:cs="宋体"/>
          <w:b/>
          <w:bCs/>
          <w:sz w:val="36"/>
          <w:highlight w:val="none"/>
        </w:rPr>
      </w:pPr>
      <w:r>
        <w:rPr>
          <w:rFonts w:hint="eastAsia" w:ascii="宋体" w:hAnsi="宋体" w:cs="宋体"/>
          <w:b/>
          <w:bCs/>
          <w:sz w:val="36"/>
          <w:highlight w:val="none"/>
          <w:lang w:val="en-US" w:eastAsia="zh-CN"/>
        </w:rPr>
        <w:t>5</w:t>
      </w:r>
      <w:r>
        <w:rPr>
          <w:rFonts w:hint="eastAsia" w:ascii="宋体" w:hAnsi="宋体" w:cs="宋体"/>
          <w:b/>
          <w:bCs/>
          <w:sz w:val="36"/>
          <w:highlight w:val="none"/>
        </w:rPr>
        <w:t>、</w:t>
      </w:r>
      <w:bookmarkStart w:id="11" w:name="_Hlk81985343"/>
      <w:r>
        <w:rPr>
          <w:rFonts w:hint="eastAsia" w:ascii="宋体" w:hAnsi="宋体" w:cs="宋体"/>
          <w:b/>
          <w:bCs/>
          <w:sz w:val="36"/>
          <w:highlight w:val="none"/>
        </w:rPr>
        <w:t>偏离表</w:t>
      </w:r>
    </w:p>
    <w:p>
      <w:pPr>
        <w:pStyle w:val="76"/>
        <w:spacing w:before="0" w:after="0" w:line="36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项目编号：</w:t>
      </w:r>
      <w:r>
        <w:rPr>
          <w:rFonts w:hint="eastAsia" w:ascii="宋体" w:hAnsi="宋体" w:eastAsia="宋体" w:cs="宋体"/>
          <w:b w:val="0"/>
          <w:bCs w:val="0"/>
          <w:sz w:val="24"/>
          <w:highlight w:val="none"/>
          <w:lang w:eastAsia="zh-CN"/>
        </w:rPr>
        <w:t>JSZC-320311-ZJZB-C2025-0172</w:t>
      </w:r>
    </w:p>
    <w:p>
      <w:pPr>
        <w:pStyle w:val="76"/>
        <w:spacing w:before="0" w:after="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highlight w:val="none"/>
        </w:rPr>
        <w:t>项目名称：</w:t>
      </w:r>
      <w:r>
        <w:rPr>
          <w:rFonts w:hint="eastAsia" w:ascii="宋体" w:hAnsi="宋体" w:eastAsia="宋体" w:cs="宋体"/>
          <w:b w:val="0"/>
          <w:bCs w:val="0"/>
          <w:sz w:val="24"/>
          <w:highlight w:val="none"/>
          <w:lang w:eastAsia="zh-CN"/>
        </w:rPr>
        <w:t>2025年泉山区嘉美路维修工程</w:t>
      </w:r>
    </w:p>
    <w:tbl>
      <w:tblPr>
        <w:tblStyle w:val="60"/>
        <w:tblW w:w="936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78"/>
        <w:gridCol w:w="1286"/>
        <w:gridCol w:w="3685"/>
        <w:gridCol w:w="1515"/>
        <w:gridCol w:w="1230"/>
        <w:gridCol w:w="7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r>
              <w:rPr>
                <w:rFonts w:hint="eastAsia" w:ascii="宋体" w:hAnsi="宋体" w:cs="宋体"/>
                <w:caps/>
                <w:sz w:val="24"/>
                <w:highlight w:val="none"/>
              </w:rPr>
              <w:t>序号</w:t>
            </w:r>
          </w:p>
        </w:tc>
        <w:tc>
          <w:tcPr>
            <w:tcW w:w="12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r>
              <w:rPr>
                <w:rFonts w:hint="eastAsia" w:ascii="宋体" w:hAnsi="宋体" w:cs="宋体"/>
                <w:caps/>
                <w:sz w:val="24"/>
                <w:highlight w:val="none"/>
              </w:rPr>
              <w:t>偏离内容</w:t>
            </w:r>
          </w:p>
        </w:tc>
        <w:tc>
          <w:tcPr>
            <w:tcW w:w="368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r>
              <w:rPr>
                <w:rFonts w:hint="eastAsia" w:ascii="宋体" w:hAnsi="宋体" w:cs="宋体"/>
                <w:sz w:val="24"/>
                <w:highlight w:val="none"/>
              </w:rPr>
              <w:t>竞争性磋商文件（含竞争性磋商文件的澄清或者修改）的要求</w:t>
            </w: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r>
              <w:rPr>
                <w:rFonts w:hint="eastAsia" w:ascii="宋体" w:hAnsi="宋体" w:cs="宋体"/>
                <w:sz w:val="24"/>
                <w:highlight w:val="none"/>
              </w:rPr>
              <w:t>首次响应文件中的内容</w:t>
            </w: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caps/>
                <w:sz w:val="24"/>
                <w:highlight w:val="none"/>
              </w:rPr>
            </w:pPr>
            <w:r>
              <w:rPr>
                <w:rFonts w:hint="eastAsia" w:ascii="宋体" w:hAnsi="宋体" w:cs="宋体"/>
                <w:caps/>
                <w:sz w:val="24"/>
                <w:highlight w:val="none"/>
              </w:rPr>
              <w:t>（正/负/无）偏离</w:t>
            </w:r>
          </w:p>
        </w:tc>
        <w:tc>
          <w:tcPr>
            <w:tcW w:w="77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r>
              <w:rPr>
                <w:rFonts w:hint="eastAsia" w:ascii="宋体" w:hAnsi="宋体" w:cs="宋体"/>
                <w:caps/>
                <w:sz w:val="24"/>
                <w:highlight w:val="none"/>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highlight w:val="none"/>
              </w:rPr>
            </w:pPr>
          </w:p>
        </w:tc>
      </w:tr>
    </w:tbl>
    <w:p>
      <w:pPr>
        <w:rPr>
          <w:rFonts w:ascii="宋体" w:hAnsi="宋体" w:cs="宋体"/>
          <w:sz w:val="24"/>
          <w:highlight w:val="none"/>
          <w:u w:val="single"/>
        </w:rPr>
      </w:pPr>
    </w:p>
    <w:p>
      <w:pPr>
        <w:spacing w:line="360" w:lineRule="auto"/>
        <w:rPr>
          <w:rFonts w:ascii="宋体" w:hAnsi="宋体" w:cs="宋体"/>
          <w:sz w:val="24"/>
          <w:highlight w:val="none"/>
        </w:rPr>
      </w:pPr>
      <w:r>
        <w:rPr>
          <w:rFonts w:hint="eastAsia" w:ascii="宋体" w:hAnsi="宋体" w:cs="宋体"/>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pPr>
        <w:spacing w:line="360" w:lineRule="auto"/>
        <w:ind w:right="29"/>
        <w:rPr>
          <w:rFonts w:ascii="宋体" w:hAnsi="宋体" w:cs="宋体"/>
          <w:sz w:val="24"/>
          <w:highlight w:val="none"/>
        </w:rPr>
      </w:pPr>
      <w:r>
        <w:rPr>
          <w:rFonts w:hint="eastAsia" w:ascii="宋体" w:hAnsi="宋体" w:cs="宋体"/>
          <w:sz w:val="24"/>
          <w:highlight w:val="none"/>
        </w:rPr>
        <w:t xml:space="preserve">                       供应商（电子签章）：</w:t>
      </w:r>
    </w:p>
    <w:p>
      <w:pPr>
        <w:spacing w:line="360" w:lineRule="auto"/>
        <w:ind w:right="29"/>
        <w:rPr>
          <w:rFonts w:ascii="宋体" w:hAnsi="宋体" w:cs="宋体"/>
          <w:sz w:val="24"/>
          <w:highlight w:val="none"/>
        </w:rPr>
      </w:pPr>
      <w:r>
        <w:rPr>
          <w:rFonts w:hint="eastAsia" w:ascii="宋体" w:hAnsi="宋体" w:cs="宋体"/>
          <w:sz w:val="24"/>
          <w:highlight w:val="none"/>
        </w:rPr>
        <w:t xml:space="preserve">                       法定代表人（负责人)或授权代表（签字或盖章）： </w:t>
      </w:r>
    </w:p>
    <w:p>
      <w:pPr>
        <w:spacing w:line="360" w:lineRule="auto"/>
        <w:ind w:right="29" w:firstLine="2880"/>
        <w:rPr>
          <w:rFonts w:ascii="宋体" w:hAnsi="宋体" w:cs="宋体"/>
          <w:sz w:val="24"/>
          <w:highlight w:val="none"/>
        </w:rPr>
      </w:pPr>
      <w:r>
        <w:rPr>
          <w:rFonts w:hint="eastAsia" w:ascii="宋体" w:hAnsi="宋体" w:cs="宋体"/>
          <w:sz w:val="24"/>
          <w:highlight w:val="none"/>
        </w:rPr>
        <w:t>日期：</w:t>
      </w:r>
      <w:bookmarkEnd w:id="11"/>
    </w:p>
    <w:p>
      <w:pPr>
        <w:pStyle w:val="26"/>
        <w:rPr>
          <w:highlight w:val="none"/>
        </w:rPr>
      </w:pPr>
    </w:p>
    <w:p>
      <w:pPr>
        <w:spacing w:line="360" w:lineRule="auto"/>
        <w:ind w:right="29"/>
        <w:jc w:val="center"/>
        <w:rPr>
          <w:rFonts w:ascii="宋体" w:hAnsi="宋体" w:cs="宋体"/>
          <w:sz w:val="24"/>
          <w:highlight w:val="none"/>
        </w:rPr>
      </w:pPr>
      <w:r>
        <w:rPr>
          <w:rFonts w:hint="eastAsia" w:ascii="宋体" w:hAnsi="宋体" w:cs="宋体"/>
          <w:b/>
          <w:sz w:val="36"/>
          <w:highlight w:val="none"/>
        </w:rPr>
        <w:br w:type="page" w:clear="all"/>
      </w:r>
      <w:r>
        <w:rPr>
          <w:rFonts w:hint="eastAsia" w:ascii="宋体" w:hAnsi="宋体" w:cs="宋体"/>
          <w:b/>
          <w:bCs/>
          <w:sz w:val="36"/>
          <w:highlight w:val="none"/>
          <w:lang w:val="en-US" w:eastAsia="zh-CN"/>
        </w:rPr>
        <w:t>6</w:t>
      </w:r>
      <w:r>
        <w:rPr>
          <w:rFonts w:hint="eastAsia" w:ascii="宋体" w:hAnsi="宋体" w:cs="宋体"/>
          <w:b/>
          <w:bCs/>
          <w:sz w:val="36"/>
          <w:highlight w:val="none"/>
        </w:rPr>
        <w:t>、合同草案条款</w:t>
      </w:r>
    </w:p>
    <w:p>
      <w:pPr>
        <w:spacing w:line="360" w:lineRule="auto"/>
        <w:ind w:firstLine="482"/>
        <w:jc w:val="center"/>
        <w:rPr>
          <w:rFonts w:ascii="宋体" w:hAnsi="宋体" w:cs="宋体"/>
          <w:b/>
          <w:sz w:val="24"/>
          <w:highlight w:val="none"/>
        </w:rPr>
      </w:pPr>
      <w:bookmarkStart w:id="12" w:name="_Toc65317831"/>
      <w:r>
        <w:rPr>
          <w:rFonts w:hint="eastAsia" w:ascii="宋体" w:hAnsi="宋体" w:cs="宋体"/>
          <w:b/>
          <w:sz w:val="24"/>
          <w:highlight w:val="none"/>
        </w:rPr>
        <w:t>（以采购人与成交供应商最终签订版本为准）</w:t>
      </w:r>
    </w:p>
    <w:p>
      <w:pPr>
        <w:widowControl/>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2025年泉山区嘉美路维修工程</w:t>
      </w:r>
    </w:p>
    <w:p>
      <w:pPr>
        <w:widowControl/>
        <w:spacing w:line="360" w:lineRule="auto"/>
        <w:rPr>
          <w:rFonts w:ascii="宋体" w:hAnsi="宋体" w:cs="宋体"/>
          <w:sz w:val="24"/>
          <w:highlight w:val="none"/>
        </w:rPr>
      </w:pPr>
      <w:r>
        <w:rPr>
          <w:rFonts w:hint="eastAsia" w:ascii="宋体" w:hAnsi="宋体" w:cs="宋体"/>
          <w:sz w:val="24"/>
          <w:highlight w:val="none"/>
        </w:rPr>
        <w:t>项目编号：</w:t>
      </w:r>
    </w:p>
    <w:p>
      <w:pPr>
        <w:pStyle w:val="19"/>
        <w:jc w:val="center"/>
        <w:rPr>
          <w:rFonts w:ascii="宋体" w:hAnsi="宋体" w:cs="宋体"/>
          <w:sz w:val="72"/>
          <w:szCs w:val="72"/>
          <w:highlight w:val="none"/>
        </w:rPr>
      </w:pPr>
      <w:r>
        <w:rPr>
          <w:rFonts w:hint="eastAsia" w:ascii="宋体" w:hAnsi="宋体" w:cs="宋体"/>
          <w:sz w:val="72"/>
          <w:szCs w:val="72"/>
          <w:highlight w:val="none"/>
        </w:rPr>
        <w:t>政</w:t>
      </w:r>
    </w:p>
    <w:p>
      <w:pPr>
        <w:pStyle w:val="19"/>
        <w:jc w:val="center"/>
        <w:rPr>
          <w:rFonts w:ascii="宋体" w:hAnsi="宋体" w:cs="宋体"/>
          <w:sz w:val="72"/>
          <w:szCs w:val="72"/>
          <w:highlight w:val="none"/>
        </w:rPr>
      </w:pPr>
      <w:r>
        <w:rPr>
          <w:rFonts w:hint="eastAsia" w:ascii="宋体" w:hAnsi="宋体" w:cs="宋体"/>
          <w:sz w:val="72"/>
          <w:szCs w:val="72"/>
          <w:highlight w:val="none"/>
        </w:rPr>
        <w:t>府</w:t>
      </w:r>
    </w:p>
    <w:p>
      <w:pPr>
        <w:pStyle w:val="19"/>
        <w:jc w:val="center"/>
        <w:rPr>
          <w:rFonts w:ascii="宋体" w:hAnsi="宋体" w:cs="宋体"/>
          <w:sz w:val="72"/>
          <w:szCs w:val="72"/>
          <w:highlight w:val="none"/>
        </w:rPr>
      </w:pPr>
      <w:r>
        <w:rPr>
          <w:rFonts w:hint="eastAsia" w:ascii="宋体" w:hAnsi="宋体" w:cs="宋体"/>
          <w:sz w:val="72"/>
          <w:szCs w:val="72"/>
          <w:highlight w:val="none"/>
        </w:rPr>
        <w:t>采</w:t>
      </w:r>
    </w:p>
    <w:p>
      <w:pPr>
        <w:pStyle w:val="19"/>
        <w:jc w:val="center"/>
        <w:rPr>
          <w:rFonts w:ascii="宋体" w:hAnsi="宋体" w:cs="宋体"/>
          <w:sz w:val="72"/>
          <w:szCs w:val="72"/>
          <w:highlight w:val="none"/>
        </w:rPr>
      </w:pPr>
      <w:r>
        <w:rPr>
          <w:rFonts w:hint="eastAsia" w:ascii="宋体" w:hAnsi="宋体" w:cs="宋体"/>
          <w:sz w:val="72"/>
          <w:szCs w:val="72"/>
          <w:highlight w:val="none"/>
        </w:rPr>
        <w:t>购</w:t>
      </w:r>
    </w:p>
    <w:p>
      <w:pPr>
        <w:pStyle w:val="19"/>
        <w:jc w:val="center"/>
        <w:rPr>
          <w:rFonts w:ascii="宋体" w:hAnsi="宋体" w:cs="宋体"/>
          <w:sz w:val="72"/>
          <w:szCs w:val="72"/>
          <w:highlight w:val="none"/>
        </w:rPr>
      </w:pPr>
      <w:r>
        <w:rPr>
          <w:rFonts w:hint="eastAsia" w:ascii="宋体" w:hAnsi="宋体" w:cs="宋体"/>
          <w:sz w:val="72"/>
          <w:szCs w:val="72"/>
          <w:highlight w:val="none"/>
        </w:rPr>
        <w:t>合</w:t>
      </w:r>
    </w:p>
    <w:p>
      <w:pPr>
        <w:pStyle w:val="19"/>
        <w:jc w:val="center"/>
        <w:rPr>
          <w:rFonts w:ascii="宋体" w:hAnsi="宋体" w:cs="宋体"/>
          <w:sz w:val="24"/>
          <w:highlight w:val="none"/>
        </w:rPr>
      </w:pPr>
      <w:r>
        <w:rPr>
          <w:rFonts w:hint="eastAsia" w:ascii="宋体" w:hAnsi="宋体" w:cs="宋体"/>
          <w:sz w:val="72"/>
          <w:szCs w:val="72"/>
          <w:highlight w:val="none"/>
        </w:rPr>
        <w:t>同</w:t>
      </w:r>
    </w:p>
    <w:p>
      <w:pPr>
        <w:widowControl/>
        <w:spacing w:line="360" w:lineRule="auto"/>
        <w:ind w:firstLine="360"/>
        <w:rPr>
          <w:rFonts w:ascii="宋体" w:hAnsi="宋体" w:cs="宋体"/>
          <w:sz w:val="24"/>
          <w:highlight w:val="none"/>
        </w:rPr>
      </w:pPr>
    </w:p>
    <w:p>
      <w:pPr>
        <w:widowControl/>
        <w:spacing w:line="360" w:lineRule="auto"/>
        <w:ind w:firstLine="1320"/>
        <w:rPr>
          <w:rFonts w:hint="eastAsia" w:ascii="宋体" w:hAnsi="宋体" w:eastAsia="宋体" w:cs="宋体"/>
          <w:sz w:val="24"/>
          <w:highlight w:val="none"/>
          <w:lang w:eastAsia="zh-CN"/>
        </w:rPr>
      </w:pPr>
      <w:r>
        <w:rPr>
          <w:rFonts w:hint="eastAsia" w:ascii="宋体" w:hAnsi="宋体" w:cs="宋体"/>
          <w:sz w:val="24"/>
          <w:highlight w:val="none"/>
        </w:rPr>
        <w:t>采  购  人：</w:t>
      </w:r>
      <w:r>
        <w:rPr>
          <w:rFonts w:hint="eastAsia" w:ascii="宋体" w:hAnsi="宋体" w:cs="宋体"/>
          <w:sz w:val="24"/>
          <w:highlight w:val="none"/>
          <w:lang w:eastAsia="zh-CN"/>
        </w:rPr>
        <w:t>徐州市泉山区城市管理局</w:t>
      </w:r>
    </w:p>
    <w:p>
      <w:pPr>
        <w:widowControl/>
        <w:spacing w:line="360" w:lineRule="auto"/>
        <w:ind w:firstLine="1320"/>
        <w:rPr>
          <w:rFonts w:ascii="宋体" w:hAnsi="宋体" w:cs="宋体"/>
          <w:sz w:val="24"/>
          <w:highlight w:val="none"/>
        </w:rPr>
      </w:pPr>
      <w:r>
        <w:rPr>
          <w:rFonts w:hint="eastAsia" w:ascii="宋体" w:hAnsi="宋体" w:cs="宋体"/>
          <w:sz w:val="24"/>
          <w:highlight w:val="none"/>
        </w:rPr>
        <w:t>成交供应商：</w:t>
      </w:r>
    </w:p>
    <w:p>
      <w:pPr>
        <w:widowControl/>
        <w:spacing w:line="360" w:lineRule="auto"/>
        <w:ind w:firstLine="1320"/>
        <w:rPr>
          <w:rFonts w:ascii="宋体" w:hAnsi="宋体" w:cs="宋体"/>
          <w:sz w:val="24"/>
          <w:highlight w:val="none"/>
        </w:rPr>
      </w:pPr>
      <w:r>
        <w:rPr>
          <w:rFonts w:hint="eastAsia" w:ascii="宋体" w:hAnsi="宋体" w:cs="宋体"/>
          <w:sz w:val="24"/>
          <w:highlight w:val="none"/>
        </w:rPr>
        <w:t>合同签订日期：     年     月     日</w:t>
      </w:r>
    </w:p>
    <w:p>
      <w:pPr>
        <w:pStyle w:val="65"/>
        <w:spacing w:line="360" w:lineRule="auto"/>
        <w:ind w:firstLine="480"/>
        <w:rPr>
          <w:rFonts w:ascii="宋体" w:hAnsi="宋体" w:cs="宋体"/>
          <w:b/>
          <w:sz w:val="24"/>
          <w:szCs w:val="24"/>
          <w:highlight w:val="none"/>
        </w:rPr>
      </w:pPr>
      <w:r>
        <w:rPr>
          <w:rFonts w:hint="eastAsia" w:ascii="宋体" w:hAnsi="宋体" w:cs="宋体"/>
          <w:b/>
          <w:sz w:val="24"/>
          <w:szCs w:val="24"/>
          <w:highlight w:val="none"/>
        </w:rPr>
        <w:t>友情提醒：采购人与中标、成交供应商应当在中标、成交通知书发出之日起三十日内，按照采购文件确定的事项签订政府采购合同。</w:t>
      </w:r>
    </w:p>
    <w:p>
      <w:pPr>
        <w:pStyle w:val="65"/>
        <w:spacing w:line="360" w:lineRule="auto"/>
        <w:ind w:firstLine="480"/>
        <w:rPr>
          <w:rFonts w:ascii="宋体" w:hAnsi="宋体" w:cs="宋体"/>
          <w:bCs/>
          <w:sz w:val="24"/>
          <w:szCs w:val="24"/>
          <w:highlight w:val="none"/>
        </w:rPr>
      </w:pPr>
      <w:r>
        <w:rPr>
          <w:rFonts w:hint="eastAsia" w:ascii="宋体" w:hAnsi="宋体" w:cs="宋体"/>
          <w:b/>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pPr>
        <w:rPr>
          <w:rFonts w:ascii="宋体" w:hAnsi="宋体" w:cs="宋体"/>
          <w:highlight w:val="none"/>
        </w:rPr>
        <w:sectPr>
          <w:headerReference r:id="rId3" w:type="default"/>
          <w:footerReference r:id="rId4" w:type="default"/>
          <w:pgSz w:w="11906" w:h="16838"/>
          <w:pgMar w:top="1440" w:right="1406" w:bottom="1440" w:left="1406" w:header="851" w:footer="992" w:gutter="0"/>
          <w:pgBorders>
            <w:top w:val="none" w:sz="0" w:space="0"/>
            <w:left w:val="none" w:sz="0" w:space="0"/>
            <w:bottom w:val="none" w:sz="0" w:space="0"/>
            <w:right w:val="none" w:sz="0" w:space="0"/>
          </w:pgBorders>
          <w:pgNumType w:start="1"/>
          <w:cols w:space="720" w:num="1"/>
          <w:docGrid w:linePitch="360" w:charSpace="0"/>
        </w:sectPr>
      </w:pPr>
      <w:r>
        <w:rPr>
          <w:rFonts w:hint="eastAsia" w:ascii="宋体" w:hAnsi="宋体" w:cs="宋体"/>
          <w:highlight w:val="none"/>
        </w:rPr>
        <w:br w:type="page" w:clear="all"/>
      </w:r>
      <w:bookmarkEnd w:id="12"/>
    </w:p>
    <w:p>
      <w:pPr>
        <w:spacing w:before="231" w:line="259" w:lineRule="auto"/>
        <w:ind w:right="1479"/>
        <w:jc w:val="center"/>
        <w:rPr>
          <w:rFonts w:hint="eastAsia" w:ascii="仿宋" w:hAnsi="仿宋" w:eastAsia="仿宋" w:cs="仿宋"/>
          <w:spacing w:val="41"/>
          <w:sz w:val="71"/>
          <w:szCs w:val="71"/>
          <w:highlight w:val="none"/>
        </w:rPr>
      </w:pPr>
      <w:bookmarkStart w:id="13" w:name="_Toc358569763"/>
    </w:p>
    <w:p>
      <w:pPr>
        <w:spacing w:line="360" w:lineRule="auto"/>
        <w:ind w:firstLine="420" w:firstLineChars="200"/>
        <w:rPr>
          <w:rFonts w:hint="eastAsia" w:ascii="仿宋" w:hAnsi="仿宋" w:eastAsia="仿宋" w:cs="仿宋"/>
          <w:kern w:val="0"/>
          <w:szCs w:val="21"/>
          <w:highlight w:val="none"/>
        </w:rPr>
      </w:pPr>
      <w:bookmarkStart w:id="14" w:name="_Toc358569765"/>
      <w:bookmarkStart w:id="15" w:name="_Toc389065346"/>
    </w:p>
    <w:p>
      <w:pPr>
        <w:spacing w:line="360" w:lineRule="auto"/>
        <w:ind w:firstLine="422" w:firstLineChars="200"/>
        <w:rPr>
          <w:rFonts w:hint="eastAsia" w:ascii="仿宋" w:hAnsi="仿宋" w:eastAsia="仿宋" w:cs="仿宋"/>
          <w:b/>
          <w:kern w:val="0"/>
          <w:szCs w:val="21"/>
          <w:highlight w:val="none"/>
        </w:rPr>
      </w:pPr>
      <w:r>
        <w:rPr>
          <w:rFonts w:hint="eastAsia" w:ascii="仿宋" w:hAnsi="仿宋" w:eastAsia="仿宋" w:cs="仿宋"/>
          <w:b/>
          <w:kern w:val="0"/>
          <w:szCs w:val="21"/>
          <w:highlight w:val="none"/>
        </w:rPr>
        <w:t xml:space="preserve">      </w:t>
      </w:r>
      <w:r>
        <w:rPr>
          <w:rFonts w:hint="eastAsia" w:ascii="仿宋" w:hAnsi="仿宋" w:eastAsia="仿宋" w:cs="仿宋"/>
          <w:b/>
          <w:kern w:val="0"/>
          <w:szCs w:val="21"/>
          <w:highlight w:val="none"/>
          <w:lang w:val="en-US" w:eastAsia="zh-CN"/>
        </w:rPr>
        <w:t xml:space="preserve">  </w:t>
      </w:r>
    </w:p>
    <w:p>
      <w:pPr>
        <w:tabs>
          <w:tab w:val="left" w:pos="0"/>
        </w:tabs>
        <w:spacing w:line="540" w:lineRule="exact"/>
        <w:ind w:right="-36" w:firstLine="529" w:firstLineChars="252"/>
        <w:rPr>
          <w:rFonts w:hint="eastAsia" w:ascii="仿宋" w:hAnsi="仿宋" w:eastAsia="仿宋" w:cs="仿宋"/>
          <w:highlight w:val="none"/>
        </w:rPr>
      </w:pPr>
    </w:p>
    <w:p>
      <w:pPr>
        <w:pStyle w:val="284"/>
        <w:jc w:val="center"/>
        <w:rPr>
          <w:rFonts w:hint="eastAsia" w:ascii="宋体" w:hAnsi="宋体" w:eastAsia="宋体" w:cs="宋体"/>
          <w:b/>
          <w:color w:val="auto"/>
          <w:sz w:val="72"/>
          <w:szCs w:val="52"/>
          <w:highlight w:val="none"/>
          <w:lang w:eastAsia="zh-CN"/>
        </w:rPr>
      </w:pPr>
      <w:bookmarkStart w:id="16" w:name="_Toc31600_WPSOffice_Level1"/>
      <w:bookmarkStart w:id="17" w:name="_Toc16938"/>
      <w:bookmarkStart w:id="18" w:name="_Toc498006746"/>
      <w:r>
        <w:rPr>
          <w:rFonts w:hint="eastAsia" w:ascii="宋体" w:hAnsi="宋体" w:eastAsia="宋体" w:cs="宋体"/>
          <w:b/>
          <w:color w:val="auto"/>
          <w:sz w:val="72"/>
          <w:szCs w:val="52"/>
          <w:highlight w:val="none"/>
        </w:rPr>
        <w:t>建设工程施工合同</w:t>
      </w:r>
    </w:p>
    <w:p>
      <w:pPr>
        <w:pStyle w:val="284"/>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pPr>
        <w:pStyle w:val="284"/>
        <w:jc w:val="center"/>
        <w:rPr>
          <w:rFonts w:hint="eastAsia" w:ascii="宋体" w:hAnsi="宋体" w:eastAsia="宋体" w:cs="宋体"/>
          <w:bCs/>
          <w:color w:val="auto"/>
          <w:sz w:val="32"/>
          <w:szCs w:val="32"/>
          <w:highlight w:val="none"/>
        </w:rPr>
      </w:pPr>
      <w:bookmarkStart w:id="19" w:name="_Toc11972_WPSOffice_Level1"/>
      <w:bookmarkStart w:id="20" w:name="_Toc19928_WPSOffice_Level1"/>
      <w:r>
        <w:rPr>
          <w:rFonts w:hint="eastAsia" w:ascii="宋体" w:hAnsi="宋体" w:eastAsia="宋体" w:cs="宋体"/>
          <w:bCs/>
          <w:color w:val="auto"/>
          <w:sz w:val="32"/>
          <w:szCs w:val="32"/>
          <w:highlight w:val="none"/>
        </w:rPr>
        <w:t>（GF—2017—0201）</w:t>
      </w:r>
      <w:bookmarkEnd w:id="19"/>
      <w:bookmarkEnd w:id="20"/>
    </w:p>
    <w:p>
      <w:pPr>
        <w:pStyle w:val="284"/>
        <w:jc w:val="center"/>
        <w:rPr>
          <w:rFonts w:hint="eastAsia" w:ascii="宋体" w:hAnsi="宋体" w:eastAsia="宋体" w:cs="宋体"/>
          <w:b/>
          <w:color w:val="auto"/>
          <w:sz w:val="52"/>
          <w:szCs w:val="52"/>
          <w:highlight w:val="none"/>
        </w:rPr>
      </w:pPr>
    </w:p>
    <w:p>
      <w:pPr>
        <w:pStyle w:val="284"/>
        <w:jc w:val="both"/>
        <w:rPr>
          <w:rFonts w:hint="eastAsia" w:ascii="宋体" w:hAnsi="宋体" w:eastAsia="宋体" w:cs="宋体"/>
          <w:b/>
          <w:color w:val="auto"/>
          <w:sz w:val="52"/>
          <w:szCs w:val="52"/>
          <w:highlight w:val="none"/>
        </w:rPr>
      </w:pPr>
    </w:p>
    <w:p>
      <w:pPr>
        <w:pStyle w:val="284"/>
        <w:rPr>
          <w:rFonts w:hint="eastAsia" w:ascii="宋体" w:hAnsi="宋体" w:eastAsia="宋体" w:cs="宋体"/>
          <w:b/>
          <w:color w:val="auto"/>
          <w:sz w:val="28"/>
          <w:szCs w:val="28"/>
          <w:highlight w:val="none"/>
        </w:rPr>
      </w:pPr>
    </w:p>
    <w:p>
      <w:pPr>
        <w:pStyle w:val="284"/>
        <w:rPr>
          <w:rFonts w:hint="eastAsia" w:ascii="宋体" w:hAnsi="宋体" w:eastAsia="宋体" w:cs="宋体"/>
          <w:b/>
          <w:color w:val="auto"/>
          <w:sz w:val="28"/>
          <w:szCs w:val="28"/>
          <w:highlight w:val="none"/>
        </w:rPr>
      </w:pPr>
    </w:p>
    <w:p>
      <w:pPr>
        <w:pStyle w:val="284"/>
        <w:rPr>
          <w:rFonts w:hint="eastAsia" w:ascii="宋体" w:hAnsi="宋体" w:eastAsia="宋体" w:cs="宋体"/>
          <w:b/>
          <w:color w:val="auto"/>
          <w:sz w:val="28"/>
          <w:szCs w:val="28"/>
          <w:highlight w:val="none"/>
        </w:rPr>
      </w:pPr>
    </w:p>
    <w:p>
      <w:pPr>
        <w:spacing w:line="440" w:lineRule="exact"/>
        <w:jc w:val="left"/>
        <w:rPr>
          <w:rFonts w:hint="eastAsia" w:ascii="宋体" w:hAnsi="宋体" w:eastAsia="宋体" w:cs="宋体"/>
          <w:color w:val="auto"/>
          <w:highlight w:val="none"/>
        </w:rPr>
      </w:pPr>
    </w:p>
    <w:p>
      <w:pPr>
        <w:spacing w:line="440" w:lineRule="exact"/>
        <w:jc w:val="left"/>
        <w:rPr>
          <w:rFonts w:hint="eastAsia" w:ascii="宋体" w:hAnsi="宋体" w:eastAsia="宋体" w:cs="宋体"/>
          <w:color w:val="auto"/>
          <w:highlight w:val="none"/>
        </w:rPr>
      </w:pPr>
    </w:p>
    <w:p>
      <w:pPr>
        <w:spacing w:line="440" w:lineRule="exact"/>
        <w:jc w:val="left"/>
        <w:rPr>
          <w:rFonts w:hint="eastAsia" w:ascii="宋体" w:hAnsi="宋体" w:eastAsia="宋体" w:cs="宋体"/>
          <w:color w:val="auto"/>
          <w:highlight w:val="none"/>
        </w:rPr>
      </w:pPr>
    </w:p>
    <w:p>
      <w:pPr>
        <w:spacing w:line="440" w:lineRule="exact"/>
        <w:jc w:val="left"/>
        <w:rPr>
          <w:rFonts w:hint="eastAsia" w:ascii="宋体" w:hAnsi="宋体" w:eastAsia="宋体" w:cs="宋体"/>
          <w:color w:val="auto"/>
          <w:highlight w:val="none"/>
        </w:rPr>
      </w:pPr>
    </w:p>
    <w:p>
      <w:pPr>
        <w:spacing w:line="440" w:lineRule="exact"/>
        <w:jc w:val="left"/>
        <w:rPr>
          <w:rFonts w:hint="eastAsia" w:ascii="宋体" w:hAnsi="宋体" w:eastAsia="宋体" w:cs="宋体"/>
          <w:color w:val="auto"/>
          <w:highlight w:val="none"/>
        </w:rPr>
      </w:pPr>
    </w:p>
    <w:p>
      <w:pPr>
        <w:widowControl/>
        <w:kinsoku w:val="0"/>
        <w:autoSpaceDE w:val="0"/>
        <w:autoSpaceDN w:val="0"/>
        <w:adjustRightInd w:val="0"/>
        <w:snapToGrid w:val="0"/>
        <w:spacing w:before="63" w:line="225" w:lineRule="auto"/>
        <w:ind w:left="2294"/>
        <w:jc w:val="left"/>
        <w:textAlignment w:val="baseline"/>
        <w:rPr>
          <w:rFonts w:hint="eastAsia" w:ascii="宋体" w:hAnsi="宋体" w:eastAsia="宋体" w:cs="宋体"/>
          <w:snapToGrid w:val="0"/>
          <w:color w:val="auto"/>
          <w:kern w:val="0"/>
          <w:sz w:val="31"/>
          <w:szCs w:val="31"/>
          <w:highlight w:val="none"/>
          <w:lang w:val="en-US" w:eastAsia="zh-CN"/>
        </w:rPr>
      </w:pPr>
      <w:r>
        <w:rPr>
          <w:rFonts w:hint="eastAsia" w:ascii="宋体" w:hAnsi="宋体" w:eastAsia="宋体" w:cs="宋体"/>
          <w:b/>
          <w:bCs/>
          <w:snapToGrid w:val="0"/>
          <w:color w:val="auto"/>
          <w:spacing w:val="6"/>
          <w:kern w:val="0"/>
          <w:sz w:val="31"/>
          <w:szCs w:val="31"/>
          <w:highlight w:val="none"/>
          <w:lang w:eastAsia="en-US"/>
        </w:rPr>
        <w:t>住房城乡建设部</w:t>
      </w:r>
      <w:r>
        <w:rPr>
          <w:rFonts w:hint="eastAsia" w:ascii="宋体" w:hAnsi="宋体" w:eastAsia="宋体" w:cs="宋体"/>
          <w:b/>
          <w:bCs/>
          <w:snapToGrid w:val="0"/>
          <w:color w:val="auto"/>
          <w:spacing w:val="6"/>
          <w:kern w:val="0"/>
          <w:sz w:val="31"/>
          <w:szCs w:val="31"/>
          <w:highlight w:val="none"/>
          <w:lang w:val="en-US" w:eastAsia="zh-CN"/>
        </w:rPr>
        <w:t xml:space="preserve">        </w:t>
      </w:r>
    </w:p>
    <w:p>
      <w:pPr>
        <w:widowControl/>
        <w:kinsoku w:val="0"/>
        <w:autoSpaceDE w:val="0"/>
        <w:autoSpaceDN w:val="0"/>
        <w:adjustRightInd w:val="0"/>
        <w:snapToGrid w:val="0"/>
        <w:spacing w:before="37" w:line="190" w:lineRule="auto"/>
        <w:ind w:left="1938"/>
        <w:jc w:val="left"/>
        <w:textAlignment w:val="baseline"/>
        <w:rPr>
          <w:rFonts w:hint="eastAsia" w:ascii="宋体" w:hAnsi="宋体" w:eastAsia="宋体" w:cs="宋体"/>
          <w:snapToGrid w:val="0"/>
          <w:color w:val="auto"/>
          <w:kern w:val="0"/>
          <w:sz w:val="31"/>
          <w:szCs w:val="31"/>
          <w:highlight w:val="none"/>
          <w:lang w:val="en-US" w:eastAsia="zh-CN"/>
        </w:rPr>
      </w:pPr>
      <w:r>
        <w:rPr>
          <w:rFonts w:hint="eastAsia" w:ascii="宋体" w:hAnsi="宋体" w:eastAsia="宋体" w:cs="宋体"/>
          <w:b/>
          <w:bCs/>
          <w:snapToGrid w:val="0"/>
          <w:color w:val="auto"/>
          <w:spacing w:val="3"/>
          <w:kern w:val="0"/>
          <w:sz w:val="31"/>
          <w:szCs w:val="31"/>
          <w:highlight w:val="none"/>
          <w:lang w:eastAsia="en-US"/>
        </w:rPr>
        <w:t>国家工商行政管理总局</w:t>
      </w:r>
      <w:r>
        <w:rPr>
          <w:rFonts w:hint="eastAsia" w:ascii="宋体" w:hAnsi="宋体" w:eastAsia="宋体" w:cs="宋体"/>
          <w:b/>
          <w:bCs/>
          <w:snapToGrid w:val="0"/>
          <w:color w:val="auto"/>
          <w:spacing w:val="3"/>
          <w:kern w:val="0"/>
          <w:sz w:val="31"/>
          <w:szCs w:val="31"/>
          <w:highlight w:val="none"/>
          <w:lang w:val="en-US" w:eastAsia="zh-CN"/>
        </w:rPr>
        <w:t xml:space="preserve">     制定</w:t>
      </w:r>
    </w:p>
    <w:p>
      <w:pPr>
        <w:kinsoku w:val="0"/>
        <w:autoSpaceDE w:val="0"/>
        <w:autoSpaceDN w:val="0"/>
        <w:adjustRightInd w:val="0"/>
        <w:snapToGrid w:val="0"/>
        <w:spacing w:line="14" w:lineRule="auto"/>
        <w:jc w:val="left"/>
        <w:textAlignment w:val="baseline"/>
        <w:rPr>
          <w:rFonts w:hint="eastAsia" w:ascii="仿宋" w:hAnsi="仿宋" w:eastAsia="仿宋" w:cs="仿宋"/>
          <w:snapToGrid w:val="0"/>
          <w:color w:val="auto"/>
          <w:kern w:val="0"/>
          <w:sz w:val="2"/>
          <w:szCs w:val="21"/>
          <w:highlight w:val="none"/>
          <w:lang w:val="en-US" w:eastAsia="en-US" w:bidi="ar-SA"/>
        </w:rPr>
      </w:pPr>
      <w:r>
        <w:rPr>
          <w:rFonts w:hint="eastAsia" w:ascii="仿宋" w:hAnsi="仿宋" w:eastAsia="仿宋" w:cs="仿宋"/>
          <w:snapToGrid w:val="0"/>
          <w:color w:val="auto"/>
          <w:kern w:val="0"/>
          <w:sz w:val="2"/>
          <w:szCs w:val="2"/>
          <w:highlight w:val="none"/>
          <w:lang w:val="en-US" w:eastAsia="en-US" w:bidi="ar-SA"/>
        </w:rPr>
        <w:br w:type="column"/>
      </w:r>
    </w:p>
    <w:p>
      <w:pPr>
        <w:pStyle w:val="7"/>
        <w:jc w:val="center"/>
        <w:rPr>
          <w:rFonts w:hint="eastAsia" w:ascii="宋体" w:hAnsi="宋体" w:eastAsia="宋体" w:cs="宋体"/>
          <w:b w:val="0"/>
          <w:color w:val="auto"/>
          <w:sz w:val="32"/>
          <w:szCs w:val="44"/>
          <w:highlight w:val="none"/>
        </w:rPr>
      </w:pPr>
      <w:bookmarkStart w:id="21" w:name="_Toc25503_WPSOffice_Level1"/>
      <w:bookmarkStart w:id="22" w:name="_Toc498006744"/>
      <w:r>
        <w:rPr>
          <w:rFonts w:hint="eastAsia" w:ascii="宋体" w:hAnsi="宋体" w:eastAsia="宋体" w:cs="宋体"/>
          <w:color w:val="auto"/>
          <w:sz w:val="32"/>
          <w:szCs w:val="44"/>
          <w:highlight w:val="none"/>
        </w:rPr>
        <w:t>第一部分 合同协议书</w:t>
      </w:r>
      <w:bookmarkEnd w:id="21"/>
      <w:bookmarkEnd w:id="22"/>
    </w:p>
    <w:p>
      <w:pPr>
        <w:spacing w:line="360" w:lineRule="auto"/>
        <w:rPr>
          <w:rFonts w:hint="eastAsia" w:ascii="宋体" w:hAnsi="宋体" w:eastAsia="宋体" w:cs="宋体"/>
          <w:b/>
          <w:color w:val="auto"/>
          <w:szCs w:val="30"/>
          <w:highlight w:val="none"/>
          <w:u w:val="single"/>
        </w:rPr>
      </w:pPr>
      <w:r>
        <w:rPr>
          <w:rFonts w:hint="eastAsia" w:ascii="宋体" w:hAnsi="宋体" w:eastAsia="宋体" w:cs="宋体"/>
          <w:b/>
          <w:color w:val="auto"/>
          <w:szCs w:val="30"/>
          <w:highlight w:val="none"/>
        </w:rPr>
        <w:t>发包人（全称）：</w:t>
      </w:r>
      <w:r>
        <w:rPr>
          <w:rFonts w:hint="eastAsia" w:ascii="宋体" w:hAnsi="宋体" w:eastAsia="宋体" w:cs="宋体"/>
          <w:color w:val="auto"/>
          <w:highlight w:val="none"/>
          <w:u w:val="single"/>
          <w:lang w:eastAsia="zh-CN"/>
        </w:rPr>
        <w:t>徐州市泉山区城市管理局</w:t>
      </w:r>
    </w:p>
    <w:p>
      <w:pPr>
        <w:spacing w:line="360" w:lineRule="auto"/>
        <w:rPr>
          <w:rFonts w:hint="eastAsia" w:ascii="宋体" w:hAnsi="宋体" w:eastAsia="宋体" w:cs="宋体"/>
          <w:b/>
          <w:color w:val="auto"/>
          <w:szCs w:val="30"/>
          <w:highlight w:val="none"/>
          <w:u w:val="single"/>
          <w:lang w:val="en-US" w:eastAsia="zh-CN"/>
        </w:rPr>
      </w:pPr>
      <w:r>
        <w:rPr>
          <w:rFonts w:hint="eastAsia" w:ascii="宋体" w:hAnsi="宋体" w:eastAsia="宋体" w:cs="宋体"/>
          <w:b/>
          <w:color w:val="auto"/>
          <w:szCs w:val="30"/>
          <w:highlight w:val="none"/>
        </w:rPr>
        <w:t>承包人（全称）：</w:t>
      </w:r>
      <w:r>
        <w:rPr>
          <w:rFonts w:hint="eastAsia" w:ascii="宋体" w:hAnsi="宋体" w:eastAsia="宋体" w:cs="宋体"/>
          <w:b/>
          <w:color w:val="auto"/>
          <w:szCs w:val="30"/>
          <w:highlight w:val="none"/>
          <w:u w:val="single"/>
        </w:rPr>
        <w:t xml:space="preserve">                       </w:t>
      </w:r>
      <w:r>
        <w:rPr>
          <w:rFonts w:hint="eastAsia" w:ascii="宋体" w:hAnsi="宋体" w:eastAsia="宋体" w:cs="宋体"/>
          <w:b/>
          <w:color w:val="auto"/>
          <w:szCs w:val="30"/>
          <w:highlight w:val="none"/>
          <w:u w:val="single"/>
          <w:lang w:val="en-US" w:eastAsia="zh-CN"/>
        </w:rPr>
        <w:t xml:space="preserve"> </w:t>
      </w:r>
    </w:p>
    <w:p>
      <w:pPr>
        <w:adjustRightInd w:val="0"/>
        <w:snapToGrid w:val="0"/>
        <w:spacing w:line="400" w:lineRule="exact"/>
        <w:rPr>
          <w:rFonts w:hint="eastAsia" w:ascii="宋体" w:hAnsi="宋体" w:eastAsia="宋体" w:cs="宋体"/>
          <w:color w:val="auto"/>
          <w:szCs w:val="30"/>
          <w:highlight w:val="none"/>
        </w:rPr>
      </w:pPr>
      <w:r>
        <w:rPr>
          <w:rFonts w:hint="eastAsia" w:ascii="宋体" w:hAnsi="宋体" w:eastAsia="宋体" w:cs="宋体"/>
          <w:color w:val="auto"/>
          <w:szCs w:val="30"/>
          <w:highlight w:val="none"/>
        </w:rPr>
        <w:t>根据《中华人民共和国</w:t>
      </w:r>
      <w:r>
        <w:rPr>
          <w:rFonts w:hint="eastAsia" w:ascii="宋体" w:hAnsi="宋体" w:eastAsia="宋体" w:cs="宋体"/>
          <w:color w:val="auto"/>
          <w:szCs w:val="30"/>
          <w:highlight w:val="none"/>
          <w:lang w:val="en-US" w:eastAsia="zh-CN"/>
        </w:rPr>
        <w:t>民法典</w:t>
      </w:r>
      <w:r>
        <w:rPr>
          <w:rFonts w:hint="eastAsia" w:ascii="宋体" w:hAnsi="宋体" w:eastAsia="宋体" w:cs="宋体"/>
          <w:color w:val="auto"/>
          <w:szCs w:val="30"/>
          <w:highlight w:val="none"/>
        </w:rPr>
        <w:t>》、《中华人民共和国建筑法》及有关法律规定，遵循平等、自愿、公平和诚实信用的原则，双方就</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30"/>
          <w:highlight w:val="none"/>
        </w:rPr>
        <w:t>施工及有关事项协商一致，共同达成如下协议：</w:t>
      </w:r>
    </w:p>
    <w:p>
      <w:pPr>
        <w:pStyle w:val="8"/>
        <w:spacing w:before="120" w:after="120"/>
        <w:rPr>
          <w:rFonts w:hint="eastAsia" w:ascii="宋体" w:hAnsi="宋体" w:eastAsia="宋体" w:cs="宋体"/>
          <w:bCs w:val="0"/>
          <w:color w:val="auto"/>
          <w:szCs w:val="32"/>
          <w:highlight w:val="none"/>
        </w:rPr>
      </w:pPr>
      <w:bookmarkStart w:id="23" w:name="_Toc351203481"/>
      <w:bookmarkStart w:id="24" w:name="_Toc5443_WPSOffice_Level2"/>
      <w:bookmarkStart w:id="25" w:name="_Toc9345_WPSOffice_Level2"/>
      <w:r>
        <w:rPr>
          <w:rFonts w:hint="eastAsia" w:ascii="宋体" w:hAnsi="宋体" w:eastAsia="宋体" w:cs="宋体"/>
          <w:b w:val="0"/>
          <w:color w:val="auto"/>
          <w:szCs w:val="32"/>
          <w:highlight w:val="none"/>
        </w:rPr>
        <w:t>一、工程概况</w:t>
      </w:r>
      <w:bookmarkEnd w:id="23"/>
      <w:bookmarkEnd w:id="24"/>
      <w:bookmarkEnd w:id="25"/>
    </w:p>
    <w:p>
      <w:pPr>
        <w:spacing w:line="360" w:lineRule="auto"/>
        <w:ind w:firstLine="411" w:firstLineChars="196"/>
        <w:rPr>
          <w:rFonts w:hint="eastAsia" w:ascii="宋体" w:hAnsi="宋体" w:eastAsia="宋体" w:cs="宋体"/>
          <w:color w:val="auto"/>
          <w:szCs w:val="30"/>
          <w:highlight w:val="none"/>
          <w:u w:val="single"/>
        </w:rPr>
      </w:pPr>
      <w:r>
        <w:rPr>
          <w:rFonts w:hint="eastAsia" w:ascii="宋体" w:hAnsi="宋体" w:eastAsia="宋体" w:cs="宋体"/>
          <w:bCs/>
          <w:color w:val="auto"/>
          <w:szCs w:val="30"/>
          <w:highlight w:val="none"/>
        </w:rPr>
        <w:t>1.工程名称</w:t>
      </w:r>
      <w:r>
        <w:rPr>
          <w:rFonts w:hint="eastAsia" w:ascii="宋体" w:hAnsi="宋体" w:eastAsia="宋体" w:cs="宋体"/>
          <w:color w:val="auto"/>
          <w:szCs w:val="30"/>
          <w:highlight w:val="non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30"/>
          <w:highlight w:val="none"/>
        </w:rPr>
        <w:t>。</w:t>
      </w:r>
    </w:p>
    <w:p>
      <w:pPr>
        <w:spacing w:line="360" w:lineRule="auto"/>
        <w:ind w:firstLine="411" w:firstLineChars="196"/>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2.工程地点：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Cs w:val="30"/>
          <w:highlight w:val="none"/>
        </w:rPr>
        <w:t>。</w:t>
      </w:r>
    </w:p>
    <w:p>
      <w:pPr>
        <w:spacing w:line="360" w:lineRule="auto"/>
        <w:ind w:firstLine="411" w:firstLineChars="196"/>
        <w:rPr>
          <w:rFonts w:hint="eastAsia" w:ascii="宋体" w:hAnsi="宋体" w:eastAsia="宋体" w:cs="宋体"/>
          <w:bCs/>
          <w:color w:val="auto"/>
          <w:szCs w:val="30"/>
          <w:highlight w:val="none"/>
          <w:lang w:val="en-US" w:eastAsia="zh-CN"/>
        </w:rPr>
      </w:pPr>
      <w:r>
        <w:rPr>
          <w:rFonts w:hint="eastAsia" w:ascii="宋体" w:hAnsi="宋体" w:eastAsia="宋体" w:cs="宋体"/>
          <w:bCs/>
          <w:color w:val="auto"/>
          <w:szCs w:val="30"/>
          <w:highlight w:val="none"/>
        </w:rPr>
        <w:t>3.工程立项批准文号：</w:t>
      </w:r>
      <w:r>
        <w:rPr>
          <w:rFonts w:hint="eastAsia" w:ascii="宋体" w:hAnsi="宋体" w:eastAsia="宋体" w:cs="宋体"/>
          <w:bCs/>
          <w:color w:val="auto"/>
          <w:szCs w:val="30"/>
          <w:highlight w:val="none"/>
          <w:u w:val="single"/>
          <w:lang w:val="en-US" w:eastAsia="zh-CN"/>
        </w:rPr>
        <w:t xml:space="preserve">                    </w:t>
      </w:r>
      <w:r>
        <w:rPr>
          <w:rFonts w:hint="eastAsia" w:ascii="宋体" w:hAnsi="宋体" w:eastAsia="宋体" w:cs="宋体"/>
          <w:bCs/>
          <w:color w:val="auto"/>
          <w:szCs w:val="30"/>
          <w:highlight w:val="none"/>
        </w:rPr>
        <w:t>。</w:t>
      </w:r>
      <w:r>
        <w:rPr>
          <w:rFonts w:hint="eastAsia" w:ascii="宋体" w:hAnsi="宋体" w:eastAsia="宋体" w:cs="宋体"/>
          <w:bCs/>
          <w:color w:val="auto"/>
          <w:szCs w:val="30"/>
          <w:highlight w:val="none"/>
          <w:lang w:val="en-US" w:eastAsia="zh-CN"/>
        </w:rPr>
        <w:t xml:space="preserve"> </w:t>
      </w:r>
    </w:p>
    <w:p>
      <w:pPr>
        <w:spacing w:line="360" w:lineRule="auto"/>
        <w:ind w:firstLine="411" w:firstLineChars="196"/>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4.资金来源</w:t>
      </w:r>
      <w:r>
        <w:rPr>
          <w:rFonts w:hint="eastAsia" w:ascii="宋体" w:hAnsi="宋体" w:eastAsia="宋体" w:cs="宋体"/>
          <w:color w:val="auto"/>
          <w:highlight w:val="none"/>
          <w:u w:val="single"/>
          <w:lang w:eastAsia="zh-CN"/>
        </w:rPr>
        <w:t>：财政资金，</w:t>
      </w:r>
      <w:r>
        <w:rPr>
          <w:rFonts w:hint="eastAsia" w:ascii="宋体" w:hAnsi="宋体" w:eastAsia="宋体" w:cs="宋体"/>
          <w:color w:val="auto"/>
          <w:highlight w:val="none"/>
          <w:u w:val="single"/>
          <w:lang w:val="en-US" w:eastAsia="zh-CN"/>
        </w:rPr>
        <w:t>已落实</w:t>
      </w:r>
      <w:r>
        <w:rPr>
          <w:rFonts w:hint="eastAsia" w:ascii="宋体" w:hAnsi="宋体" w:eastAsia="宋体" w:cs="宋体"/>
          <w:bCs/>
          <w:color w:val="auto"/>
          <w:szCs w:val="30"/>
          <w:highlight w:val="none"/>
        </w:rPr>
        <w:t>。</w:t>
      </w:r>
    </w:p>
    <w:p>
      <w:pPr>
        <w:spacing w:before="168" w:line="360" w:lineRule="auto"/>
        <w:ind w:firstLine="475"/>
        <w:rPr>
          <w:rFonts w:hint="eastAsia" w:ascii="宋体" w:hAnsi="宋体" w:eastAsia="宋体" w:cs="宋体"/>
          <w:color w:val="auto"/>
          <w:spacing w:val="14"/>
          <w:sz w:val="22"/>
          <w:szCs w:val="22"/>
          <w:highlight w:val="none"/>
          <w:u w:val="single" w:color="auto"/>
        </w:rPr>
      </w:pPr>
      <w:r>
        <w:rPr>
          <w:rFonts w:hint="eastAsia" w:ascii="宋体" w:hAnsi="宋体" w:eastAsia="宋体" w:cs="宋体"/>
          <w:bCs/>
          <w:color w:val="auto"/>
          <w:szCs w:val="30"/>
          <w:highlight w:val="none"/>
        </w:rPr>
        <w:t>5.工程内容：</w:t>
      </w:r>
      <w:r>
        <w:rPr>
          <w:rFonts w:hint="eastAsia" w:ascii="宋体" w:hAnsi="宋体" w:eastAsia="宋体" w:cs="宋体"/>
          <w:bCs/>
          <w:color w:val="auto"/>
          <w:szCs w:val="30"/>
          <w:highlight w:val="none"/>
          <w:u w:val="single"/>
          <w:lang w:val="en-US" w:eastAsia="zh-CN"/>
        </w:rPr>
        <w:t xml:space="preserve">                           </w:t>
      </w:r>
      <w:r>
        <w:rPr>
          <w:rFonts w:hint="eastAsia" w:ascii="宋体" w:hAnsi="宋体" w:eastAsia="宋体" w:cs="宋体"/>
          <w:color w:val="auto"/>
          <w:spacing w:val="14"/>
          <w:sz w:val="22"/>
          <w:szCs w:val="22"/>
          <w:highlight w:val="none"/>
          <w:u w:val="none" w:color="auto"/>
          <w:lang w:val="en-US" w:eastAsia="zh-CN"/>
        </w:rPr>
        <w:t>。</w:t>
      </w:r>
    </w:p>
    <w:p>
      <w:pPr>
        <w:spacing w:before="29" w:line="362" w:lineRule="auto"/>
        <w:ind w:firstLine="420" w:firstLineChars="200"/>
        <w:rPr>
          <w:rFonts w:hint="eastAsia" w:ascii="宋体" w:hAnsi="宋体" w:eastAsia="宋体" w:cs="宋体"/>
          <w:bCs/>
          <w:color w:val="auto"/>
          <w:szCs w:val="30"/>
          <w:highlight w:val="none"/>
          <w:u w:val="single"/>
          <w:lang w:val="en-US" w:eastAsia="zh-CN"/>
        </w:rPr>
      </w:pPr>
      <w:r>
        <w:rPr>
          <w:rFonts w:hint="eastAsia" w:ascii="宋体" w:hAnsi="宋体" w:eastAsia="宋体" w:cs="宋体"/>
          <w:bCs/>
          <w:color w:val="auto"/>
          <w:szCs w:val="30"/>
          <w:highlight w:val="none"/>
        </w:rPr>
        <w:t>6.工程承包范围：</w:t>
      </w:r>
      <w:r>
        <w:rPr>
          <w:rFonts w:hint="eastAsia" w:ascii="宋体" w:hAnsi="宋体" w:eastAsia="宋体" w:cs="宋体"/>
          <w:bCs/>
          <w:color w:val="auto"/>
          <w:szCs w:val="30"/>
          <w:highlight w:val="none"/>
          <w:u w:val="single"/>
          <w:lang w:val="en-US" w:eastAsia="zh-CN"/>
        </w:rPr>
        <w:t xml:space="preserve">                       </w:t>
      </w:r>
      <w:r>
        <w:rPr>
          <w:rFonts w:hint="eastAsia" w:ascii="宋体" w:hAnsi="宋体" w:eastAsia="宋体" w:cs="宋体"/>
          <w:bCs/>
          <w:color w:val="auto"/>
          <w:szCs w:val="30"/>
          <w:highlight w:val="none"/>
        </w:rPr>
        <w:t>。</w:t>
      </w:r>
    </w:p>
    <w:p>
      <w:pPr>
        <w:pStyle w:val="8"/>
        <w:spacing w:before="120" w:after="120"/>
        <w:rPr>
          <w:rFonts w:hint="eastAsia" w:ascii="宋体" w:hAnsi="宋体" w:eastAsia="宋体" w:cs="宋体"/>
          <w:b w:val="0"/>
          <w:color w:val="auto"/>
          <w:szCs w:val="32"/>
          <w:highlight w:val="none"/>
        </w:rPr>
      </w:pPr>
      <w:bookmarkStart w:id="26" w:name="_Toc9770_WPSOffice_Level2"/>
      <w:bookmarkStart w:id="27" w:name="_Toc351203482"/>
      <w:bookmarkStart w:id="28" w:name="_Toc27150_WPSOffice_Level2"/>
      <w:r>
        <w:rPr>
          <w:rFonts w:hint="eastAsia" w:ascii="宋体" w:hAnsi="宋体" w:eastAsia="宋体" w:cs="宋体"/>
          <w:b w:val="0"/>
          <w:color w:val="auto"/>
          <w:szCs w:val="32"/>
          <w:highlight w:val="none"/>
        </w:rPr>
        <w:t>二、合同工期</w:t>
      </w:r>
      <w:bookmarkEnd w:id="26"/>
      <w:bookmarkEnd w:id="27"/>
      <w:bookmarkEnd w:id="28"/>
    </w:p>
    <w:p>
      <w:pPr>
        <w:spacing w:line="360" w:lineRule="auto"/>
        <w:ind w:firstLine="459"/>
        <w:rPr>
          <w:rFonts w:hint="eastAsia" w:ascii="宋体" w:hAnsi="宋体" w:eastAsia="宋体" w:cs="宋体"/>
          <w:b w:val="0"/>
          <w:bCs w:val="0"/>
          <w:color w:val="auto"/>
          <w:szCs w:val="30"/>
          <w:highlight w:val="none"/>
        </w:rPr>
      </w:pPr>
      <w:r>
        <w:rPr>
          <w:rFonts w:hint="eastAsia" w:ascii="宋体" w:hAnsi="宋体" w:eastAsia="宋体" w:cs="宋体"/>
          <w:color w:val="auto"/>
          <w:szCs w:val="30"/>
          <w:highlight w:val="none"/>
        </w:rPr>
        <w:t>计划开工日期</w:t>
      </w:r>
      <w:r>
        <w:rPr>
          <w:rFonts w:hint="eastAsia" w:ascii="宋体" w:hAnsi="宋体" w:eastAsia="宋体" w:cs="宋体"/>
          <w:b w:val="0"/>
          <w:bCs w:val="0"/>
          <w:color w:val="auto"/>
          <w:szCs w:val="30"/>
          <w:highlight w:val="none"/>
        </w:rPr>
        <w:t>：</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rPr>
        <w:t>年</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highlight w:val="none"/>
          <w:u w:val="single"/>
          <w:lang w:val="en-US" w:eastAsia="zh-CN"/>
        </w:rPr>
        <w:t xml:space="preserve">  </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b w:val="0"/>
          <w:bCs w:val="0"/>
          <w:color w:val="auto"/>
          <w:szCs w:val="30"/>
          <w:highlight w:val="none"/>
        </w:rPr>
        <w:t>月</w:t>
      </w:r>
      <w:r>
        <w:rPr>
          <w:rFonts w:hint="eastAsia" w:ascii="宋体" w:hAnsi="宋体" w:eastAsia="宋体" w:cs="宋体"/>
          <w:b w:val="0"/>
          <w:bCs w:val="0"/>
          <w:color w:val="auto"/>
          <w:highlight w:val="none"/>
          <w:u w:val="single"/>
        </w:rPr>
        <w:t xml:space="preserve"> </w:t>
      </w:r>
      <w:r>
        <w:rPr>
          <w:rFonts w:hint="eastAsia" w:ascii="宋体" w:hAnsi="宋体" w:eastAsia="宋体" w:cs="宋体"/>
          <w:b w:val="0"/>
          <w:bCs w:val="0"/>
          <w:color w:val="auto"/>
          <w:highlight w:val="none"/>
          <w:u w:val="single"/>
          <w:lang w:val="en-US" w:eastAsia="zh-CN"/>
        </w:rPr>
        <w:t xml:space="preserve">  </w:t>
      </w:r>
      <w:r>
        <w:rPr>
          <w:rFonts w:hint="eastAsia" w:ascii="宋体" w:hAnsi="宋体" w:eastAsia="宋体" w:cs="宋体"/>
          <w:b w:val="0"/>
          <w:bCs w:val="0"/>
          <w:color w:val="auto"/>
          <w:highlight w:val="none"/>
          <w:u w:val="single"/>
        </w:rPr>
        <w:t xml:space="preserve"> </w:t>
      </w:r>
      <w:r>
        <w:rPr>
          <w:rFonts w:hint="eastAsia" w:ascii="宋体" w:hAnsi="宋体" w:eastAsia="宋体" w:cs="宋体"/>
          <w:b w:val="0"/>
          <w:bCs w:val="0"/>
          <w:color w:val="auto"/>
          <w:szCs w:val="30"/>
          <w:highlight w:val="none"/>
        </w:rPr>
        <w:t>日。</w:t>
      </w:r>
    </w:p>
    <w:p>
      <w:pPr>
        <w:spacing w:line="360" w:lineRule="auto"/>
        <w:ind w:firstLine="459"/>
        <w:rPr>
          <w:rFonts w:hint="eastAsia" w:ascii="宋体" w:hAnsi="宋体" w:eastAsia="宋体" w:cs="宋体"/>
          <w:b w:val="0"/>
          <w:bCs w:val="0"/>
          <w:color w:val="auto"/>
          <w:szCs w:val="30"/>
          <w:highlight w:val="none"/>
        </w:rPr>
      </w:pPr>
      <w:r>
        <w:rPr>
          <w:rFonts w:hint="eastAsia" w:ascii="宋体" w:hAnsi="宋体" w:eastAsia="宋体" w:cs="宋体"/>
          <w:b w:val="0"/>
          <w:bCs w:val="0"/>
          <w:color w:val="auto"/>
          <w:szCs w:val="30"/>
          <w:highlight w:val="none"/>
        </w:rPr>
        <w:t>计划竣工日期：</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rPr>
        <w:t>年</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rPr>
        <w:t>月</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b w:val="0"/>
          <w:bCs w:val="0"/>
          <w:color w:val="auto"/>
          <w:szCs w:val="30"/>
          <w:highlight w:val="none"/>
          <w:u w:val="single"/>
        </w:rPr>
        <w:t xml:space="preserve"> </w:t>
      </w:r>
      <w:r>
        <w:rPr>
          <w:rFonts w:hint="eastAsia" w:ascii="宋体" w:hAnsi="宋体" w:eastAsia="宋体" w:cs="宋体"/>
          <w:b w:val="0"/>
          <w:bCs w:val="0"/>
          <w:color w:val="auto"/>
          <w:szCs w:val="30"/>
          <w:highlight w:val="none"/>
        </w:rPr>
        <w:t>日。</w:t>
      </w:r>
    </w:p>
    <w:p>
      <w:pPr>
        <w:spacing w:line="360" w:lineRule="auto"/>
        <w:ind w:firstLine="459"/>
        <w:rPr>
          <w:rFonts w:hint="eastAsia" w:ascii="宋体" w:hAnsi="宋体" w:eastAsia="宋体" w:cs="宋体"/>
          <w:color w:val="auto"/>
          <w:szCs w:val="30"/>
          <w:highlight w:val="none"/>
        </w:rPr>
      </w:pPr>
      <w:r>
        <w:rPr>
          <w:rFonts w:hint="eastAsia" w:ascii="宋体" w:hAnsi="宋体" w:eastAsia="宋体" w:cs="宋体"/>
          <w:color w:val="auto"/>
          <w:szCs w:val="30"/>
          <w:highlight w:val="none"/>
        </w:rPr>
        <w:t>工期总日历</w:t>
      </w:r>
      <w:r>
        <w:rPr>
          <w:rFonts w:hint="eastAsia" w:ascii="宋体" w:hAnsi="宋体" w:eastAsia="宋体" w:cs="宋体"/>
          <w:b w:val="0"/>
          <w:bCs w:val="0"/>
          <w:color w:val="auto"/>
          <w:szCs w:val="30"/>
          <w:highlight w:val="none"/>
        </w:rPr>
        <w:t>天数：</w:t>
      </w:r>
      <w:r>
        <w:rPr>
          <w:rFonts w:hint="eastAsia" w:ascii="宋体" w:hAnsi="宋体" w:eastAsia="宋体" w:cs="宋体"/>
          <w:b w:val="0"/>
          <w:bCs w:val="0"/>
          <w:color w:val="auto"/>
          <w:szCs w:val="30"/>
          <w:highlight w:val="none"/>
          <w:u w:val="single"/>
          <w:lang w:val="en-US" w:eastAsia="zh-CN"/>
        </w:rPr>
        <w:t xml:space="preserve">    </w:t>
      </w:r>
      <w:r>
        <w:rPr>
          <w:rFonts w:hint="eastAsia" w:ascii="宋体" w:hAnsi="宋体" w:eastAsia="宋体" w:cs="宋体"/>
          <w:color w:val="auto"/>
          <w:szCs w:val="30"/>
          <w:highlight w:val="none"/>
          <w:lang w:val="en-US" w:eastAsia="zh-CN"/>
        </w:rPr>
        <w:t>日历</w:t>
      </w:r>
      <w:r>
        <w:rPr>
          <w:rFonts w:hint="eastAsia" w:ascii="宋体" w:hAnsi="宋体" w:eastAsia="宋体" w:cs="宋体"/>
          <w:b w:val="0"/>
          <w:bCs w:val="0"/>
          <w:color w:val="auto"/>
          <w:szCs w:val="30"/>
          <w:highlight w:val="none"/>
        </w:rPr>
        <w:t>天。</w:t>
      </w:r>
      <w:r>
        <w:rPr>
          <w:rFonts w:hint="eastAsia" w:ascii="宋体" w:hAnsi="宋体" w:eastAsia="宋体" w:cs="宋体"/>
          <w:color w:val="auto"/>
          <w:szCs w:val="30"/>
          <w:highlight w:val="none"/>
        </w:rPr>
        <w:t>工期总日历天数与根据前述计划开竣工日期计算的工期天数不一致的，以工期总日历天数为准。</w:t>
      </w:r>
    </w:p>
    <w:p>
      <w:pPr>
        <w:pStyle w:val="8"/>
        <w:spacing w:before="120" w:after="120"/>
        <w:rPr>
          <w:rFonts w:hint="eastAsia" w:ascii="宋体" w:hAnsi="宋体" w:eastAsia="宋体" w:cs="宋体"/>
          <w:bCs w:val="0"/>
          <w:color w:val="auto"/>
          <w:szCs w:val="32"/>
          <w:highlight w:val="none"/>
        </w:rPr>
      </w:pPr>
      <w:bookmarkStart w:id="29" w:name="_Toc24461_WPSOffice_Level2"/>
      <w:bookmarkStart w:id="30" w:name="_Toc351203483"/>
      <w:bookmarkStart w:id="31" w:name="_Toc13173_WPSOffice_Level2"/>
      <w:r>
        <w:rPr>
          <w:rFonts w:hint="eastAsia" w:ascii="宋体" w:hAnsi="宋体" w:eastAsia="宋体" w:cs="宋体"/>
          <w:b w:val="0"/>
          <w:color w:val="auto"/>
          <w:szCs w:val="32"/>
          <w:highlight w:val="none"/>
        </w:rPr>
        <w:t>三、质量标准</w:t>
      </w:r>
      <w:bookmarkEnd w:id="29"/>
      <w:bookmarkEnd w:id="30"/>
      <w:bookmarkEnd w:id="31"/>
    </w:p>
    <w:p>
      <w:pPr>
        <w:spacing w:line="360" w:lineRule="auto"/>
        <w:ind w:firstLine="459"/>
        <w:rPr>
          <w:rFonts w:hint="eastAsia" w:ascii="宋体" w:hAnsi="宋体" w:eastAsia="宋体" w:cs="宋体"/>
          <w:color w:val="auto"/>
          <w:szCs w:val="30"/>
          <w:highlight w:val="none"/>
        </w:rPr>
      </w:pPr>
      <w:r>
        <w:rPr>
          <w:rFonts w:hint="eastAsia" w:ascii="宋体" w:hAnsi="宋体" w:eastAsia="宋体" w:cs="宋体"/>
          <w:color w:val="auto"/>
          <w:szCs w:val="30"/>
          <w:highlight w:val="none"/>
        </w:rPr>
        <w:t>工程质量符合</w:t>
      </w:r>
      <w:r>
        <w:rPr>
          <w:rFonts w:hint="eastAsia" w:ascii="宋体" w:hAnsi="宋体" w:eastAsia="宋体" w:cs="宋体"/>
          <w:color w:val="auto"/>
          <w:szCs w:val="30"/>
          <w:highlight w:val="none"/>
          <w:u w:val="single"/>
        </w:rPr>
        <w:t></w:t>
      </w:r>
      <w:r>
        <w:rPr>
          <w:rFonts w:hint="eastAsia" w:ascii="宋体" w:hAnsi="宋体" w:eastAsia="宋体" w:cs="宋体"/>
          <w:color w:val="auto"/>
          <w:highlight w:val="none"/>
          <w:u w:val="single"/>
          <w:lang w:eastAsia="zh-CN"/>
        </w:rPr>
        <w:t>合格</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标准。</w:t>
      </w:r>
    </w:p>
    <w:p>
      <w:pPr>
        <w:pStyle w:val="8"/>
        <w:spacing w:before="120" w:after="120"/>
        <w:rPr>
          <w:rFonts w:hint="eastAsia" w:ascii="宋体" w:hAnsi="宋体" w:eastAsia="宋体" w:cs="宋体"/>
          <w:bCs w:val="0"/>
          <w:color w:val="auto"/>
          <w:szCs w:val="32"/>
          <w:highlight w:val="none"/>
        </w:rPr>
      </w:pPr>
      <w:bookmarkStart w:id="32" w:name="_Toc30513_WPSOffice_Level2"/>
      <w:bookmarkStart w:id="33" w:name="_Toc351203484"/>
      <w:bookmarkStart w:id="34" w:name="_Toc23777_WPSOffice_Level2"/>
      <w:r>
        <w:rPr>
          <w:rFonts w:hint="eastAsia" w:ascii="宋体" w:hAnsi="宋体" w:eastAsia="宋体" w:cs="宋体"/>
          <w:b w:val="0"/>
          <w:color w:val="auto"/>
          <w:szCs w:val="32"/>
          <w:highlight w:val="none"/>
        </w:rPr>
        <w:t>四、签约合同价与合同价格形式</w:t>
      </w:r>
      <w:bookmarkEnd w:id="32"/>
      <w:bookmarkEnd w:id="33"/>
      <w:bookmarkEnd w:id="34"/>
      <w:r>
        <w:rPr>
          <w:rFonts w:hint="eastAsia" w:ascii="宋体" w:hAnsi="宋体" w:eastAsia="宋体" w:cs="宋体"/>
          <w:b w:val="0"/>
          <w:color w:val="auto"/>
          <w:szCs w:val="32"/>
          <w:highlight w:val="none"/>
        </w:rPr>
        <w:tab/>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1.签约合同价为：</w:t>
      </w:r>
    </w:p>
    <w:p>
      <w:pPr>
        <w:spacing w:line="360" w:lineRule="auto"/>
        <w:ind w:firstLine="525" w:firstLineChars="250"/>
        <w:rPr>
          <w:rFonts w:hint="eastAsia" w:ascii="宋体" w:hAnsi="宋体" w:eastAsia="宋体" w:cs="宋体"/>
          <w:color w:val="auto"/>
          <w:szCs w:val="30"/>
          <w:highlight w:val="none"/>
        </w:rPr>
      </w:pPr>
      <w:r>
        <w:rPr>
          <w:rFonts w:hint="eastAsia" w:ascii="宋体" w:hAnsi="宋体" w:eastAsia="宋体" w:cs="宋体"/>
          <w:color w:val="auto"/>
          <w:szCs w:val="30"/>
          <w:highlight w:val="none"/>
        </w:rPr>
        <w:t>人民币（大写）</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元)；</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其中：</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（1）安全文明施工费：</w:t>
      </w:r>
    </w:p>
    <w:p>
      <w:pPr>
        <w:spacing w:line="360" w:lineRule="auto"/>
        <w:ind w:firstLine="945" w:firstLineChars="450"/>
        <w:rPr>
          <w:rFonts w:hint="eastAsia" w:ascii="宋体" w:hAnsi="宋体" w:eastAsia="宋体" w:cs="宋体"/>
          <w:color w:val="auto"/>
          <w:szCs w:val="30"/>
          <w:highlight w:val="none"/>
        </w:rPr>
      </w:pPr>
      <w:r>
        <w:rPr>
          <w:rFonts w:hint="eastAsia" w:ascii="宋体" w:hAnsi="宋体" w:eastAsia="宋体" w:cs="宋体"/>
          <w:color w:val="auto"/>
          <w:szCs w:val="30"/>
          <w:highlight w:val="none"/>
        </w:rPr>
        <w:t>人民币（大写）</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元)；</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（2）材料和工程设备暂估价金额：</w:t>
      </w:r>
    </w:p>
    <w:p>
      <w:pPr>
        <w:spacing w:line="360" w:lineRule="auto"/>
        <w:ind w:firstLine="945" w:firstLineChars="450"/>
        <w:rPr>
          <w:rFonts w:hint="eastAsia" w:ascii="宋体" w:hAnsi="宋体" w:eastAsia="宋体" w:cs="宋体"/>
          <w:color w:val="auto"/>
          <w:szCs w:val="30"/>
          <w:highlight w:val="none"/>
        </w:rPr>
      </w:pPr>
      <w:r>
        <w:rPr>
          <w:rFonts w:hint="eastAsia" w:ascii="宋体" w:hAnsi="宋体" w:eastAsia="宋体" w:cs="宋体"/>
          <w:color w:val="auto"/>
          <w:szCs w:val="30"/>
          <w:highlight w:val="none"/>
        </w:rPr>
        <w:t>人民币（大写）</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元)；</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（3）专业工程暂估价金额：</w:t>
      </w:r>
    </w:p>
    <w:p>
      <w:pPr>
        <w:spacing w:line="360" w:lineRule="auto"/>
        <w:ind w:firstLine="945" w:firstLineChars="450"/>
        <w:rPr>
          <w:rFonts w:hint="eastAsia" w:ascii="宋体" w:hAnsi="宋体" w:eastAsia="宋体" w:cs="宋体"/>
          <w:color w:val="auto"/>
          <w:szCs w:val="30"/>
          <w:highlight w:val="none"/>
        </w:rPr>
      </w:pPr>
      <w:r>
        <w:rPr>
          <w:rFonts w:hint="eastAsia" w:ascii="宋体" w:hAnsi="宋体" w:eastAsia="宋体" w:cs="宋体"/>
          <w:color w:val="auto"/>
          <w:szCs w:val="30"/>
          <w:highlight w:val="none"/>
        </w:rPr>
        <w:t>人民币（大写）</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元)；</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（4）暂列金额：</w:t>
      </w:r>
    </w:p>
    <w:p>
      <w:pPr>
        <w:spacing w:line="360" w:lineRule="auto"/>
        <w:ind w:firstLine="945" w:firstLineChars="450"/>
        <w:rPr>
          <w:rFonts w:hint="eastAsia" w:ascii="宋体" w:hAnsi="宋体" w:eastAsia="宋体" w:cs="宋体"/>
          <w:color w:val="auto"/>
          <w:szCs w:val="30"/>
          <w:highlight w:val="none"/>
        </w:rPr>
      </w:pPr>
      <w:r>
        <w:rPr>
          <w:rFonts w:hint="eastAsia" w:ascii="宋体" w:hAnsi="宋体" w:eastAsia="宋体" w:cs="宋体"/>
          <w:color w:val="auto"/>
          <w:szCs w:val="30"/>
          <w:highlight w:val="none"/>
        </w:rPr>
        <w:t>人民币（大写）</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元)。</w:t>
      </w:r>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2.合同价格形式：</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u w:val="single"/>
          <w:lang w:val="en-US" w:eastAsia="zh-CN"/>
        </w:rPr>
        <w:t xml:space="preserve">固定单价合同 </w:t>
      </w:r>
      <w:r>
        <w:rPr>
          <w:rFonts w:hint="eastAsia" w:ascii="宋体" w:hAnsi="宋体" w:eastAsia="宋体" w:cs="宋体"/>
          <w:color w:val="auto"/>
          <w:szCs w:val="30"/>
          <w:highlight w:val="none"/>
          <w:u w:val="none"/>
          <w:lang w:val="en-US" w:eastAsia="zh-CN"/>
        </w:rPr>
        <w:t xml:space="preserve"> </w:t>
      </w:r>
      <w:r>
        <w:rPr>
          <w:rFonts w:hint="eastAsia" w:ascii="宋体" w:hAnsi="宋体" w:eastAsia="宋体" w:cs="宋体"/>
          <w:color w:val="auto"/>
          <w:szCs w:val="30"/>
          <w:highlight w:val="none"/>
        </w:rPr>
        <w:t>。</w:t>
      </w:r>
    </w:p>
    <w:p>
      <w:pPr>
        <w:pStyle w:val="8"/>
        <w:spacing w:before="120" w:after="120"/>
        <w:rPr>
          <w:rFonts w:hint="eastAsia" w:ascii="宋体" w:hAnsi="宋体" w:eastAsia="宋体" w:cs="宋体"/>
          <w:b w:val="0"/>
          <w:color w:val="auto"/>
          <w:szCs w:val="32"/>
          <w:highlight w:val="none"/>
        </w:rPr>
      </w:pPr>
      <w:bookmarkStart w:id="35" w:name="_Toc351203485"/>
      <w:bookmarkStart w:id="36" w:name="_Toc24353_WPSOffice_Level2"/>
      <w:bookmarkStart w:id="37" w:name="_Toc16851_WPSOffice_Level2"/>
      <w:r>
        <w:rPr>
          <w:rFonts w:hint="eastAsia" w:ascii="宋体" w:hAnsi="宋体" w:eastAsia="宋体" w:cs="宋体"/>
          <w:b w:val="0"/>
          <w:color w:val="auto"/>
          <w:szCs w:val="32"/>
          <w:highlight w:val="none"/>
        </w:rPr>
        <w:t>五、</w:t>
      </w:r>
      <w:bookmarkEnd w:id="35"/>
      <w:r>
        <w:rPr>
          <w:rFonts w:hint="eastAsia" w:ascii="宋体" w:hAnsi="宋体" w:eastAsia="宋体" w:cs="宋体"/>
          <w:b w:val="0"/>
          <w:color w:val="auto"/>
          <w:szCs w:val="32"/>
          <w:highlight w:val="none"/>
        </w:rPr>
        <w:t>项目经理</w:t>
      </w:r>
      <w:bookmarkEnd w:id="36"/>
      <w:bookmarkEnd w:id="37"/>
    </w:p>
    <w:p>
      <w:pPr>
        <w:spacing w:line="360" w:lineRule="auto"/>
        <w:ind w:firstLine="420" w:firstLineChars="200"/>
        <w:rPr>
          <w:rFonts w:hint="eastAsia" w:ascii="宋体" w:hAnsi="宋体" w:eastAsia="宋体" w:cs="宋体"/>
          <w:color w:val="auto"/>
          <w:szCs w:val="30"/>
          <w:highlight w:val="none"/>
        </w:rPr>
      </w:pPr>
      <w:r>
        <w:rPr>
          <w:rFonts w:hint="eastAsia" w:ascii="宋体" w:hAnsi="宋体" w:eastAsia="宋体" w:cs="宋体"/>
          <w:color w:val="auto"/>
          <w:szCs w:val="30"/>
          <w:highlight w:val="none"/>
        </w:rPr>
        <w:t>承包人项目经理：</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w:t>
      </w:r>
    </w:p>
    <w:p>
      <w:pPr>
        <w:pStyle w:val="8"/>
        <w:spacing w:before="120" w:after="120"/>
        <w:rPr>
          <w:rFonts w:hint="eastAsia" w:ascii="宋体" w:hAnsi="宋体" w:eastAsia="宋体" w:cs="宋体"/>
          <w:bCs w:val="0"/>
          <w:color w:val="auto"/>
          <w:szCs w:val="32"/>
          <w:highlight w:val="none"/>
        </w:rPr>
      </w:pPr>
      <w:bookmarkStart w:id="38" w:name="_Toc22111_WPSOffice_Level2"/>
      <w:bookmarkStart w:id="39" w:name="_Toc28315_WPSOffice_Level2"/>
      <w:bookmarkStart w:id="40" w:name="_Toc351203486"/>
      <w:r>
        <w:rPr>
          <w:rFonts w:hint="eastAsia" w:ascii="宋体" w:hAnsi="宋体" w:eastAsia="宋体" w:cs="宋体"/>
          <w:b w:val="0"/>
          <w:color w:val="auto"/>
          <w:szCs w:val="32"/>
          <w:highlight w:val="none"/>
        </w:rPr>
        <w:t>六、合同文件构成</w:t>
      </w:r>
      <w:bookmarkEnd w:id="38"/>
      <w:bookmarkEnd w:id="39"/>
      <w:bookmarkEnd w:id="40"/>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本协议书与下列文件一起构成合同文件：</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（1）中标通知书（如果有）；</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 xml:space="preserve">（2）投标函及其附录（如果有）； </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（3）专用合同条款及其附件；</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（4）通用合同条款；</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（6）图纸；</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（8）其他合同文件。</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eastAsia="宋体" w:cs="宋体"/>
          <w:color w:val="auto"/>
          <w:szCs w:val="30"/>
          <w:highlight w:val="none"/>
        </w:rPr>
      </w:pPr>
      <w:r>
        <w:rPr>
          <w:rFonts w:hint="eastAsia" w:ascii="宋体" w:hAnsi="宋体" w:eastAsia="宋体" w:cs="宋体"/>
          <w:color w:val="auto"/>
          <w:szCs w:val="30"/>
          <w:highlight w:val="none"/>
        </w:rPr>
        <w:t>上述各项合同文件包括合同当事人就该项合同文件所作出的补充和修改，属于同一类内容的文件，应以最新签署的为准。专用合同条款及其附件须经合同当事人签字或盖章。</w:t>
      </w:r>
    </w:p>
    <w:p>
      <w:pPr>
        <w:pStyle w:val="8"/>
        <w:spacing w:before="120" w:after="120"/>
        <w:rPr>
          <w:rFonts w:hint="eastAsia" w:ascii="宋体" w:hAnsi="宋体" w:eastAsia="宋体" w:cs="宋体"/>
          <w:b w:val="0"/>
          <w:bCs w:val="0"/>
          <w:color w:val="auto"/>
          <w:szCs w:val="32"/>
          <w:highlight w:val="none"/>
        </w:rPr>
      </w:pPr>
      <w:bookmarkStart w:id="41" w:name="_Toc11950_WPSOffice_Level2"/>
      <w:bookmarkStart w:id="42" w:name="_Toc351203487"/>
      <w:bookmarkStart w:id="43" w:name="_Toc22934_WPSOffice_Level2"/>
      <w:r>
        <w:rPr>
          <w:rFonts w:hint="eastAsia" w:ascii="宋体" w:hAnsi="宋体" w:eastAsia="宋体" w:cs="宋体"/>
          <w:b w:val="0"/>
          <w:color w:val="auto"/>
          <w:szCs w:val="32"/>
          <w:highlight w:val="none"/>
        </w:rPr>
        <w:t>七、承诺</w:t>
      </w:r>
      <w:bookmarkEnd w:id="41"/>
      <w:bookmarkEnd w:id="42"/>
      <w:bookmarkEnd w:id="43"/>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3.发包人和承包人通过招投标形式签订合同的，双方理解并承诺不再就同一工程另行签订与合同实质性内容相背离的协议。</w:t>
      </w:r>
    </w:p>
    <w:p>
      <w:pPr>
        <w:pStyle w:val="8"/>
        <w:spacing w:before="120" w:after="120"/>
        <w:rPr>
          <w:rFonts w:hint="eastAsia" w:ascii="宋体" w:hAnsi="宋体" w:eastAsia="宋体" w:cs="宋体"/>
          <w:b w:val="0"/>
          <w:color w:val="auto"/>
          <w:szCs w:val="32"/>
          <w:highlight w:val="none"/>
        </w:rPr>
      </w:pPr>
      <w:bookmarkStart w:id="44" w:name="_Toc351203488"/>
      <w:bookmarkStart w:id="45" w:name="_Toc20322_WPSOffice_Level2"/>
      <w:bookmarkStart w:id="46" w:name="_Toc29393_WPSOffice_Level2"/>
      <w:r>
        <w:rPr>
          <w:rFonts w:hint="eastAsia" w:ascii="宋体" w:hAnsi="宋体" w:eastAsia="宋体" w:cs="宋体"/>
          <w:b w:val="0"/>
          <w:color w:val="auto"/>
          <w:szCs w:val="32"/>
          <w:highlight w:val="none"/>
        </w:rPr>
        <w:t>八、词语含义</w:t>
      </w:r>
      <w:bookmarkEnd w:id="44"/>
      <w:bookmarkEnd w:id="45"/>
      <w:bookmarkEnd w:id="46"/>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本协议书中词语含义与第二部分通用合同条款中赋予的含义相同。</w:t>
      </w:r>
    </w:p>
    <w:p>
      <w:pPr>
        <w:pStyle w:val="8"/>
        <w:spacing w:before="120" w:after="120"/>
        <w:rPr>
          <w:rFonts w:hint="eastAsia" w:ascii="宋体" w:hAnsi="宋体" w:eastAsia="宋体" w:cs="宋体"/>
          <w:bCs w:val="0"/>
          <w:color w:val="auto"/>
          <w:szCs w:val="32"/>
          <w:highlight w:val="none"/>
        </w:rPr>
      </w:pPr>
      <w:bookmarkStart w:id="47" w:name="_Toc20015_WPSOffice_Level2"/>
      <w:bookmarkStart w:id="48" w:name="_Toc351203489"/>
      <w:bookmarkStart w:id="49" w:name="_Toc1322_WPSOffice_Level2"/>
      <w:r>
        <w:rPr>
          <w:rFonts w:hint="eastAsia" w:ascii="宋体" w:hAnsi="宋体" w:eastAsia="宋体" w:cs="宋体"/>
          <w:b w:val="0"/>
          <w:color w:val="auto"/>
          <w:szCs w:val="32"/>
          <w:highlight w:val="none"/>
        </w:rPr>
        <w:t>九、签订时间</w:t>
      </w:r>
      <w:bookmarkEnd w:id="47"/>
      <w:bookmarkEnd w:id="48"/>
      <w:bookmarkEnd w:id="49"/>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本合同于</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年</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月</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日签订。</w:t>
      </w:r>
    </w:p>
    <w:p>
      <w:pPr>
        <w:pStyle w:val="8"/>
        <w:spacing w:before="120" w:after="120"/>
        <w:rPr>
          <w:rFonts w:hint="eastAsia" w:ascii="宋体" w:hAnsi="宋体" w:eastAsia="宋体" w:cs="宋体"/>
          <w:bCs w:val="0"/>
          <w:color w:val="auto"/>
          <w:szCs w:val="32"/>
          <w:highlight w:val="none"/>
        </w:rPr>
      </w:pPr>
      <w:bookmarkStart w:id="50" w:name="_Toc22486_WPSOffice_Level2"/>
      <w:bookmarkStart w:id="51" w:name="_Toc351203490"/>
      <w:bookmarkStart w:id="52" w:name="_Toc11289_WPSOffice_Level2"/>
      <w:r>
        <w:rPr>
          <w:rFonts w:hint="eastAsia" w:ascii="宋体" w:hAnsi="宋体" w:eastAsia="宋体" w:cs="宋体"/>
          <w:b w:val="0"/>
          <w:color w:val="auto"/>
          <w:szCs w:val="32"/>
          <w:highlight w:val="none"/>
        </w:rPr>
        <w:t>十、签订地点</w:t>
      </w:r>
      <w:bookmarkEnd w:id="50"/>
      <w:bookmarkEnd w:id="51"/>
      <w:bookmarkEnd w:id="52"/>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本合同在</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u w:val="single"/>
          <w:lang w:val="en-US" w:eastAsia="zh-CN"/>
        </w:rPr>
        <w:t xml:space="preserve">           </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签订。</w:t>
      </w:r>
    </w:p>
    <w:p>
      <w:pPr>
        <w:pStyle w:val="8"/>
        <w:spacing w:before="120" w:after="120"/>
        <w:rPr>
          <w:rFonts w:hint="eastAsia" w:ascii="宋体" w:hAnsi="宋体" w:eastAsia="宋体" w:cs="宋体"/>
          <w:bCs w:val="0"/>
          <w:color w:val="auto"/>
          <w:szCs w:val="32"/>
          <w:highlight w:val="none"/>
        </w:rPr>
      </w:pPr>
      <w:bookmarkStart w:id="53" w:name="_Toc29899_WPSOffice_Level2"/>
      <w:bookmarkStart w:id="54" w:name="_Toc351203491"/>
      <w:bookmarkStart w:id="55" w:name="_Toc28330_WPSOffice_Level2"/>
      <w:r>
        <w:rPr>
          <w:rFonts w:hint="eastAsia" w:ascii="宋体" w:hAnsi="宋体" w:eastAsia="宋体" w:cs="宋体"/>
          <w:b w:val="0"/>
          <w:color w:val="auto"/>
          <w:szCs w:val="32"/>
          <w:highlight w:val="none"/>
        </w:rPr>
        <w:t>十一、补充协议</w:t>
      </w:r>
      <w:bookmarkEnd w:id="53"/>
      <w:bookmarkEnd w:id="54"/>
      <w:bookmarkEnd w:id="55"/>
    </w:p>
    <w:p>
      <w:pPr>
        <w:spacing w:line="360" w:lineRule="auto"/>
        <w:ind w:firstLine="420" w:firstLineChars="200"/>
        <w:rPr>
          <w:rFonts w:hint="eastAsia" w:ascii="宋体" w:hAnsi="宋体" w:eastAsia="宋体" w:cs="宋体"/>
          <w:b/>
          <w:bCs/>
          <w:color w:val="auto"/>
          <w:szCs w:val="30"/>
          <w:highlight w:val="none"/>
        </w:rPr>
      </w:pPr>
      <w:r>
        <w:rPr>
          <w:rFonts w:hint="eastAsia" w:ascii="宋体" w:hAnsi="宋体" w:eastAsia="宋体" w:cs="宋体"/>
          <w:bCs/>
          <w:color w:val="auto"/>
          <w:szCs w:val="30"/>
          <w:highlight w:val="none"/>
        </w:rPr>
        <w:t>合同未尽事宜，合同当事人另行签订补充协议，补充协议是合同的组成部分。</w:t>
      </w:r>
    </w:p>
    <w:p>
      <w:pPr>
        <w:pStyle w:val="8"/>
        <w:spacing w:before="120" w:after="120"/>
        <w:rPr>
          <w:rFonts w:hint="eastAsia" w:ascii="宋体" w:hAnsi="宋体" w:eastAsia="宋体" w:cs="宋体"/>
          <w:bCs w:val="0"/>
          <w:color w:val="auto"/>
          <w:szCs w:val="32"/>
          <w:highlight w:val="none"/>
        </w:rPr>
      </w:pPr>
      <w:bookmarkStart w:id="56" w:name="_Toc351203492"/>
      <w:bookmarkStart w:id="57" w:name="_Toc2202_WPSOffice_Level2"/>
      <w:bookmarkStart w:id="58" w:name="_Toc4175_WPSOffice_Level2"/>
      <w:r>
        <w:rPr>
          <w:rFonts w:hint="eastAsia" w:ascii="宋体" w:hAnsi="宋体" w:eastAsia="宋体" w:cs="宋体"/>
          <w:b w:val="0"/>
          <w:color w:val="auto"/>
          <w:szCs w:val="32"/>
          <w:highlight w:val="none"/>
        </w:rPr>
        <w:t>十二、合同生效</w:t>
      </w:r>
      <w:bookmarkEnd w:id="56"/>
      <w:bookmarkEnd w:id="57"/>
      <w:bookmarkEnd w:id="58"/>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本合同自</w:t>
      </w:r>
      <w:r>
        <w:rPr>
          <w:rFonts w:hint="eastAsia" w:ascii="宋体" w:hAnsi="宋体" w:eastAsia="宋体" w:cs="宋体"/>
          <w:bCs/>
          <w:color w:val="auto"/>
          <w:szCs w:val="30"/>
          <w:highlight w:val="none"/>
          <w:u w:val="single"/>
        </w:rPr>
        <w:t xml:space="preserve">   </w:t>
      </w:r>
      <w:r>
        <w:rPr>
          <w:rFonts w:hint="eastAsia" w:ascii="宋体" w:hAnsi="宋体" w:eastAsia="宋体" w:cs="宋体"/>
          <w:color w:val="auto"/>
          <w:szCs w:val="21"/>
          <w:highlight w:val="none"/>
          <w:u w:val="single"/>
          <w:lang w:val="en-US" w:eastAsia="zh-CN"/>
        </w:rPr>
        <w:t>双方签字盖章后</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生效。</w:t>
      </w:r>
    </w:p>
    <w:p>
      <w:pPr>
        <w:pStyle w:val="8"/>
        <w:spacing w:before="120" w:after="120"/>
        <w:rPr>
          <w:rFonts w:hint="eastAsia" w:ascii="宋体" w:hAnsi="宋体" w:eastAsia="宋体" w:cs="宋体"/>
          <w:bCs w:val="0"/>
          <w:color w:val="auto"/>
          <w:szCs w:val="32"/>
          <w:highlight w:val="none"/>
        </w:rPr>
      </w:pPr>
      <w:bookmarkStart w:id="59" w:name="_Toc262_WPSOffice_Level2"/>
      <w:bookmarkStart w:id="60" w:name="_Toc980_WPSOffice_Level2"/>
      <w:bookmarkStart w:id="61" w:name="_Toc351203493"/>
      <w:r>
        <w:rPr>
          <w:rFonts w:hint="eastAsia" w:ascii="宋体" w:hAnsi="宋体" w:eastAsia="宋体" w:cs="宋体"/>
          <w:b w:val="0"/>
          <w:color w:val="auto"/>
          <w:szCs w:val="32"/>
          <w:highlight w:val="none"/>
        </w:rPr>
        <w:t>十三、合同份数</w:t>
      </w:r>
      <w:bookmarkEnd w:id="59"/>
      <w:bookmarkEnd w:id="60"/>
      <w:bookmarkEnd w:id="61"/>
    </w:p>
    <w:p>
      <w:pPr>
        <w:spacing w:line="360" w:lineRule="auto"/>
        <w:ind w:firstLine="420" w:firstLineChars="200"/>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本合同一式</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u w:val="single"/>
          <w:lang w:val="en-US" w:eastAsia="zh-CN"/>
        </w:rPr>
        <w:t>捌</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份，均具有同等法律效力，发包人执</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u w:val="single"/>
          <w:lang w:val="en-US" w:eastAsia="zh-CN"/>
        </w:rPr>
        <w:t>肆</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份，承包人执</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u w:val="single"/>
          <w:lang w:val="en-US" w:eastAsia="zh-CN"/>
        </w:rPr>
        <w:t>肆</w:t>
      </w:r>
      <w:r>
        <w:rPr>
          <w:rFonts w:hint="eastAsia" w:ascii="宋体" w:hAnsi="宋体" w:eastAsia="宋体" w:cs="宋体"/>
          <w:bCs/>
          <w:color w:val="auto"/>
          <w:szCs w:val="30"/>
          <w:highlight w:val="none"/>
          <w:u w:val="single"/>
        </w:rPr>
        <w:t xml:space="preserve"> </w:t>
      </w:r>
      <w:r>
        <w:rPr>
          <w:rFonts w:hint="eastAsia" w:ascii="宋体" w:hAnsi="宋体" w:eastAsia="宋体" w:cs="宋体"/>
          <w:bCs/>
          <w:color w:val="auto"/>
          <w:szCs w:val="30"/>
          <w:highlight w:val="none"/>
        </w:rPr>
        <w:t>份。</w:t>
      </w:r>
    </w:p>
    <w:p>
      <w:pPr>
        <w:spacing w:line="360" w:lineRule="auto"/>
        <w:rPr>
          <w:rFonts w:hint="eastAsia" w:ascii="宋体" w:hAnsi="宋体" w:eastAsia="宋体" w:cs="宋体"/>
          <w:bCs/>
          <w:color w:val="auto"/>
          <w:szCs w:val="30"/>
          <w:highlight w:val="none"/>
        </w:rPr>
      </w:pPr>
    </w:p>
    <w:p>
      <w:pPr>
        <w:spacing w:line="360" w:lineRule="auto"/>
        <w:rPr>
          <w:rFonts w:hint="eastAsia" w:ascii="宋体" w:hAnsi="宋体" w:eastAsia="宋体" w:cs="宋体"/>
          <w:color w:val="auto"/>
          <w:szCs w:val="30"/>
          <w:highlight w:val="none"/>
        </w:rPr>
      </w:pP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 xml:space="preserve">发包人：  (公章)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承包人：  (公章)</w:t>
      </w:r>
    </w:p>
    <w:p>
      <w:pPr>
        <w:spacing w:line="360" w:lineRule="auto"/>
        <w:rPr>
          <w:rFonts w:hint="eastAsia" w:ascii="宋体" w:hAnsi="宋体" w:eastAsia="宋体" w:cs="宋体"/>
          <w:color w:val="auto"/>
          <w:szCs w:val="30"/>
          <w:highlight w:val="none"/>
          <w:u w:val="single"/>
        </w:rPr>
      </w:pPr>
      <w:r>
        <w:rPr>
          <w:rFonts w:hint="eastAsia" w:ascii="宋体" w:hAnsi="宋体" w:eastAsia="宋体" w:cs="宋体"/>
          <w:color w:val="auto"/>
          <w:szCs w:val="30"/>
          <w:highlight w:val="non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 xml:space="preserve">法定代表人或其委托代理人：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法定代表人或其委托代理人：</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w:t>
      </w:r>
      <w:r>
        <w:rPr>
          <w:rFonts w:hint="eastAsia" w:ascii="宋体" w:hAnsi="宋体" w:eastAsia="宋体" w:cs="宋体"/>
          <w:color w:val="auto"/>
          <w:szCs w:val="30"/>
          <w:highlight w:val="none"/>
          <w:lang w:val="en-US" w:eastAsia="zh-CN"/>
        </w:rPr>
        <w:t>印章或</w:t>
      </w:r>
      <w:r>
        <w:rPr>
          <w:rFonts w:hint="eastAsia" w:ascii="宋体" w:hAnsi="宋体" w:eastAsia="宋体" w:cs="宋体"/>
          <w:color w:val="auto"/>
          <w:szCs w:val="30"/>
          <w:highlight w:val="none"/>
          <w:lang w:eastAsia="en-US"/>
        </w:rPr>
        <w:t>签字</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w:t>
      </w:r>
      <w:r>
        <w:rPr>
          <w:rFonts w:hint="eastAsia" w:ascii="宋体" w:hAnsi="宋体" w:eastAsia="宋体" w:cs="宋体"/>
          <w:color w:val="auto"/>
          <w:szCs w:val="30"/>
          <w:highlight w:val="none"/>
          <w:lang w:val="en-US" w:eastAsia="zh-CN"/>
        </w:rPr>
        <w:t>印章或</w:t>
      </w:r>
      <w:r>
        <w:rPr>
          <w:rFonts w:hint="eastAsia" w:ascii="宋体" w:hAnsi="宋体" w:eastAsia="宋体" w:cs="宋体"/>
          <w:color w:val="auto"/>
          <w:szCs w:val="30"/>
          <w:highlight w:val="none"/>
          <w:lang w:eastAsia="en-US"/>
        </w:rPr>
        <w:t>签字</w:t>
      </w:r>
      <w:r>
        <w:rPr>
          <w:rFonts w:hint="eastAsia" w:ascii="宋体" w:hAnsi="宋体" w:eastAsia="宋体" w:cs="宋体"/>
          <w:color w:val="auto"/>
          <w:szCs w:val="30"/>
          <w:highlight w:val="none"/>
        </w:rPr>
        <w:t>）</w:t>
      </w:r>
    </w:p>
    <w:p>
      <w:pPr>
        <w:spacing w:line="360" w:lineRule="auto"/>
        <w:rPr>
          <w:rFonts w:hint="eastAsia" w:ascii="宋体" w:hAnsi="宋体" w:eastAsia="宋体" w:cs="宋体"/>
          <w:color w:val="auto"/>
          <w:szCs w:val="30"/>
          <w:highlight w:val="none"/>
          <w:u w:val="single"/>
        </w:rPr>
      </w:pPr>
    </w:p>
    <w:p>
      <w:pPr>
        <w:tabs>
          <w:tab w:val="left" w:pos="4410"/>
        </w:tabs>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组织机构代码：</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组织机构代码：</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地  址：</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地  址：</w:t>
      </w:r>
      <w:r>
        <w:rPr>
          <w:rFonts w:hint="eastAsia" w:ascii="宋体" w:hAnsi="宋体" w:eastAsia="宋体" w:cs="宋体"/>
          <w:color w:val="auto"/>
          <w:szCs w:val="30"/>
          <w:highlight w:val="none"/>
          <w:u w:val="single"/>
        </w:rPr>
        <w:t xml:space="preserve">  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邮政编码：</w:t>
      </w:r>
      <w:r>
        <w:rPr>
          <w:rFonts w:hint="eastAsia" w:ascii="宋体" w:hAnsi="宋体" w:eastAsia="宋体" w:cs="宋体"/>
          <w:color w:val="auto"/>
          <w:szCs w:val="30"/>
          <w:highlight w:val="none"/>
          <w:u w:val="single"/>
        </w:rPr>
        <w:t xml:space="preserve">  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邮政编码：</w:t>
      </w:r>
      <w:r>
        <w:rPr>
          <w:rFonts w:hint="eastAsia" w:ascii="宋体" w:hAnsi="宋体" w:eastAsia="宋体" w:cs="宋体"/>
          <w:color w:val="auto"/>
          <w:szCs w:val="30"/>
          <w:highlight w:val="none"/>
          <w:u w:val="singl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法定代表人：</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法定代表人：</w:t>
      </w:r>
      <w:r>
        <w:rPr>
          <w:rFonts w:hint="eastAsia" w:ascii="宋体" w:hAnsi="宋体" w:eastAsia="宋体" w:cs="宋体"/>
          <w:color w:val="auto"/>
          <w:szCs w:val="30"/>
          <w:highlight w:val="none"/>
          <w:u w:val="single"/>
        </w:rPr>
        <w:t xml:space="preserve">      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委托代理人：</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委托代理人：</w:t>
      </w:r>
      <w:r>
        <w:rPr>
          <w:rFonts w:hint="eastAsia" w:ascii="宋体" w:hAnsi="宋体" w:eastAsia="宋体" w:cs="宋体"/>
          <w:color w:val="auto"/>
          <w:szCs w:val="30"/>
          <w:highlight w:val="none"/>
          <w:u w:val="singl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电  话：</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电  话：</w:t>
      </w:r>
      <w:r>
        <w:rPr>
          <w:rFonts w:hint="eastAsia" w:ascii="宋体" w:hAnsi="宋体" w:eastAsia="宋体" w:cs="宋体"/>
          <w:color w:val="auto"/>
          <w:szCs w:val="30"/>
          <w:highlight w:val="none"/>
          <w:u w:val="singl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传  真：</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传  真：</w:t>
      </w:r>
      <w:r>
        <w:rPr>
          <w:rFonts w:hint="eastAsia" w:ascii="宋体" w:hAnsi="宋体" w:eastAsia="宋体" w:cs="宋体"/>
          <w:color w:val="auto"/>
          <w:szCs w:val="30"/>
          <w:highlight w:val="none"/>
          <w:u w:val="single"/>
        </w:rPr>
        <w:t xml:space="preserve">  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电子信箱：</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 xml:space="preserve"> 电子信箱：</w:t>
      </w:r>
      <w:r>
        <w:rPr>
          <w:rFonts w:hint="eastAsia" w:ascii="宋体" w:hAnsi="宋体" w:eastAsia="宋体" w:cs="宋体"/>
          <w:color w:val="auto"/>
          <w:szCs w:val="30"/>
          <w:highlight w:val="none"/>
          <w:u w:val="singl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开户银行：</w:t>
      </w:r>
      <w:r>
        <w:rPr>
          <w:rFonts w:hint="eastAsia" w:ascii="宋体" w:hAnsi="宋体" w:eastAsia="宋体" w:cs="宋体"/>
          <w:color w:val="auto"/>
          <w:szCs w:val="30"/>
          <w:highlight w:val="none"/>
          <w:u w:val="single"/>
        </w:rPr>
        <w:t xml:space="preserve">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 xml:space="preserve"> 开户银行：</w:t>
      </w:r>
      <w:r>
        <w:rPr>
          <w:rFonts w:hint="eastAsia" w:ascii="宋体" w:hAnsi="宋体" w:eastAsia="宋体" w:cs="宋体"/>
          <w:color w:val="auto"/>
          <w:szCs w:val="30"/>
          <w:highlight w:val="none"/>
          <w:u w:val="single"/>
        </w:rPr>
        <w:t xml:space="preserve">   </w:t>
      </w:r>
    </w:p>
    <w:p>
      <w:pPr>
        <w:spacing w:line="360" w:lineRule="auto"/>
        <w:rPr>
          <w:rFonts w:hint="eastAsia" w:ascii="宋体" w:hAnsi="宋体" w:eastAsia="宋体" w:cs="宋体"/>
          <w:color w:val="auto"/>
          <w:szCs w:val="30"/>
          <w:highlight w:val="none"/>
        </w:rPr>
      </w:pPr>
      <w:r>
        <w:rPr>
          <w:rFonts w:hint="eastAsia" w:ascii="宋体" w:hAnsi="宋体" w:eastAsia="宋体" w:cs="宋体"/>
          <w:color w:val="auto"/>
          <w:szCs w:val="30"/>
          <w:highlight w:val="none"/>
        </w:rPr>
        <w:t>账  号：</w:t>
      </w:r>
      <w:r>
        <w:rPr>
          <w:rFonts w:hint="eastAsia" w:ascii="宋体" w:hAnsi="宋体" w:eastAsia="宋体" w:cs="宋体"/>
          <w:color w:val="auto"/>
          <w:szCs w:val="30"/>
          <w:highlight w:val="none"/>
          <w:u w:val="single"/>
        </w:rPr>
        <w:t xml:space="preserve">       </w:t>
      </w:r>
      <w:r>
        <w:rPr>
          <w:rFonts w:hint="eastAsia" w:ascii="宋体" w:hAnsi="宋体" w:eastAsia="宋体" w:cs="宋体"/>
          <w:color w:val="auto"/>
          <w:szCs w:val="30"/>
          <w:highlight w:val="none"/>
        </w:rPr>
        <w:t xml:space="preserve">    </w:t>
      </w:r>
      <w:r>
        <w:rPr>
          <w:rFonts w:hint="eastAsia" w:ascii="宋体" w:hAnsi="宋体" w:eastAsia="宋体" w:cs="宋体"/>
          <w:color w:val="auto"/>
          <w:szCs w:val="30"/>
          <w:highlight w:val="none"/>
          <w:lang w:val="en-US" w:eastAsia="zh-CN"/>
        </w:rPr>
        <w:t xml:space="preserve">      </w:t>
      </w:r>
      <w:r>
        <w:rPr>
          <w:rFonts w:hint="eastAsia" w:ascii="宋体" w:hAnsi="宋体" w:eastAsia="宋体" w:cs="宋体"/>
          <w:color w:val="auto"/>
          <w:szCs w:val="30"/>
          <w:highlight w:val="none"/>
        </w:rPr>
        <w:t xml:space="preserve"> 账  号：</w:t>
      </w:r>
      <w:r>
        <w:rPr>
          <w:rFonts w:hint="eastAsia" w:ascii="宋体" w:hAnsi="宋体" w:eastAsia="宋体" w:cs="宋体"/>
          <w:color w:val="auto"/>
          <w:szCs w:val="30"/>
          <w:highlight w:val="none"/>
          <w:u w:val="single"/>
        </w:rPr>
        <w:t xml:space="preserve">     </w:t>
      </w:r>
    </w:p>
    <w:p>
      <w:pPr>
        <w:tabs>
          <w:tab w:val="left" w:pos="0"/>
        </w:tabs>
        <w:spacing w:line="540" w:lineRule="exact"/>
        <w:ind w:right="-36" w:firstLine="529" w:firstLineChars="252"/>
        <w:rPr>
          <w:rFonts w:hint="eastAsia" w:ascii="宋体" w:hAnsi="宋体" w:eastAsia="宋体" w:cs="宋体"/>
          <w:color w:val="auto"/>
          <w:highlight w:val="none"/>
        </w:rPr>
      </w:pPr>
    </w:p>
    <w:p>
      <w:pPr>
        <w:pStyle w:val="18"/>
        <w:ind w:left="0" w:leftChars="0" w:firstLine="0" w:firstLineChars="0"/>
        <w:rPr>
          <w:rFonts w:hint="eastAsia" w:ascii="宋体" w:hAnsi="宋体" w:eastAsia="宋体" w:cs="宋体"/>
          <w:color w:val="auto"/>
          <w:highlight w:val="none"/>
        </w:rPr>
      </w:pPr>
    </w:p>
    <w:p>
      <w:pPr>
        <w:pStyle w:val="18"/>
        <w:ind w:left="0" w:leftChars="0" w:firstLine="0" w:firstLineChars="0"/>
        <w:rPr>
          <w:rFonts w:hint="eastAsia" w:ascii="宋体" w:hAnsi="宋体" w:eastAsia="宋体" w:cs="宋体"/>
          <w:color w:val="auto"/>
          <w:highlight w:val="none"/>
        </w:rPr>
      </w:pPr>
    </w:p>
    <w:p>
      <w:pPr>
        <w:pStyle w:val="18"/>
        <w:ind w:left="0" w:leftChars="0" w:firstLine="0" w:firstLineChars="0"/>
        <w:rPr>
          <w:rFonts w:hint="eastAsia" w:ascii="宋体" w:hAnsi="宋体" w:eastAsia="宋体" w:cs="宋体"/>
          <w:color w:val="auto"/>
          <w:highlight w:val="none"/>
        </w:rPr>
      </w:pPr>
    </w:p>
    <w:p>
      <w:pPr>
        <w:pStyle w:val="18"/>
        <w:ind w:left="0" w:leftChars="0" w:firstLine="0" w:firstLineChars="0"/>
        <w:rPr>
          <w:rFonts w:hint="eastAsia" w:ascii="宋体" w:hAnsi="宋体" w:eastAsia="宋体" w:cs="宋体"/>
          <w:color w:val="auto"/>
          <w:highlight w:val="none"/>
        </w:rPr>
      </w:pPr>
    </w:p>
    <w:p>
      <w:pPr>
        <w:pStyle w:val="7"/>
        <w:jc w:val="center"/>
        <w:rPr>
          <w:rFonts w:hint="eastAsia" w:ascii="宋体" w:hAnsi="宋体" w:eastAsia="宋体" w:cs="宋体"/>
          <w:color w:val="auto"/>
          <w:sz w:val="32"/>
          <w:szCs w:val="44"/>
          <w:highlight w:val="none"/>
        </w:rPr>
      </w:pPr>
      <w:r>
        <w:rPr>
          <w:rFonts w:hint="eastAsia" w:ascii="宋体" w:hAnsi="宋体" w:eastAsia="宋体" w:cs="宋体"/>
          <w:color w:val="auto"/>
          <w:sz w:val="32"/>
          <w:szCs w:val="44"/>
          <w:highlight w:val="none"/>
        </w:rPr>
        <w:t>第二部分 通用合同条款</w:t>
      </w:r>
    </w:p>
    <w:p>
      <w:pPr>
        <w:spacing w:line="360" w:lineRule="auto"/>
        <w:ind w:firstLine="420" w:firstLineChars="200"/>
        <w:rPr>
          <w:rFonts w:hint="eastAsia" w:ascii="宋体" w:hAnsi="宋体" w:eastAsia="宋体" w:cs="宋体"/>
          <w:color w:val="auto"/>
          <w:kern w:val="0"/>
          <w:szCs w:val="21"/>
          <w:highlight w:val="none"/>
        </w:rPr>
      </w:pPr>
    </w:p>
    <w:p>
      <w:pPr>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采用《建设工程施工合同（示范文本）》（GF—2017—0201）。</w:t>
      </w:r>
    </w:p>
    <w:p>
      <w:pPr>
        <w:pStyle w:val="19"/>
        <w:ind w:left="0" w:leftChars="0" w:firstLine="1260" w:firstLineChars="600"/>
        <w:jc w:val="both"/>
        <w:rPr>
          <w:rFonts w:hint="eastAsia" w:ascii="宋体" w:hAnsi="宋体" w:eastAsia="宋体" w:cs="宋体"/>
          <w:b w:val="0"/>
          <w:bCs w:val="0"/>
          <w:color w:val="auto"/>
          <w:highlight w:val="none"/>
          <w:u w:val="single"/>
          <w:lang w:val="en-US" w:eastAsia="zh-CN"/>
        </w:rPr>
      </w:pPr>
      <w:r>
        <w:rPr>
          <w:rFonts w:hint="eastAsia" w:ascii="宋体" w:hAnsi="宋体" w:eastAsia="宋体" w:cs="宋体"/>
          <w:b w:val="0"/>
          <w:bCs w:val="0"/>
          <w:color w:val="auto"/>
          <w:highlight w:val="none"/>
          <w:u w:val="single"/>
          <w:lang w:val="en-US" w:eastAsia="zh-CN"/>
        </w:rPr>
        <w:t>备注：此部分在正式签订合同时应不加修改的、完整的装订在合同中</w:t>
      </w:r>
    </w:p>
    <w:p>
      <w:pPr>
        <w:tabs>
          <w:tab w:val="left" w:pos="0"/>
        </w:tabs>
        <w:spacing w:line="540" w:lineRule="exact"/>
        <w:ind w:right="-36" w:firstLine="529" w:firstLineChars="252"/>
        <w:rPr>
          <w:rFonts w:hint="eastAsia" w:ascii="宋体" w:hAnsi="宋体" w:eastAsia="宋体" w:cs="宋体"/>
          <w:color w:val="auto"/>
          <w:highlight w:val="none"/>
        </w:rPr>
      </w:pPr>
    </w:p>
    <w:p>
      <w:pPr>
        <w:pStyle w:val="7"/>
        <w:jc w:val="center"/>
        <w:rPr>
          <w:rFonts w:hint="eastAsia" w:ascii="宋体" w:hAnsi="宋体" w:eastAsia="宋体" w:cs="宋体"/>
          <w:color w:val="auto"/>
          <w:sz w:val="28"/>
          <w:szCs w:val="44"/>
          <w:highlight w:val="none"/>
        </w:rPr>
      </w:pPr>
      <w:r>
        <w:rPr>
          <w:rFonts w:hint="eastAsia" w:ascii="宋体" w:hAnsi="宋体" w:eastAsia="宋体" w:cs="宋体"/>
          <w:color w:val="auto"/>
          <w:sz w:val="28"/>
          <w:szCs w:val="44"/>
          <w:highlight w:val="none"/>
        </w:rPr>
        <w:t>第三部分 专用合同条款</w:t>
      </w:r>
    </w:p>
    <w:p>
      <w:pPr>
        <w:pStyle w:val="8"/>
        <w:spacing w:before="120" w:after="120" w:line="440" w:lineRule="exact"/>
        <w:rPr>
          <w:rFonts w:hint="eastAsia" w:ascii="宋体" w:hAnsi="宋体" w:eastAsia="宋体" w:cs="宋体"/>
          <w:bCs w:val="0"/>
          <w:color w:val="auto"/>
          <w:szCs w:val="32"/>
          <w:highlight w:val="none"/>
        </w:rPr>
      </w:pPr>
      <w:bookmarkStart w:id="62" w:name="_Toc351203633"/>
      <w:bookmarkStart w:id="63" w:name="_Toc5711_WPSOffice_Level2"/>
      <w:bookmarkStart w:id="64" w:name="_Toc25679_WPSOffice_Level2"/>
      <w:r>
        <w:rPr>
          <w:rFonts w:hint="eastAsia" w:ascii="宋体" w:hAnsi="宋体" w:eastAsia="宋体" w:cs="宋体"/>
          <w:bCs w:val="0"/>
          <w:color w:val="auto"/>
          <w:szCs w:val="32"/>
          <w:highlight w:val="none"/>
        </w:rPr>
        <w:t>1</w:t>
      </w:r>
      <w:bookmarkStart w:id="65" w:name="_Toc296503156"/>
      <w:bookmarkStart w:id="66" w:name="_Toc292559361"/>
      <w:bookmarkStart w:id="67" w:name="_Toc296891196"/>
      <w:bookmarkStart w:id="68" w:name="_Toc297048342"/>
      <w:bookmarkStart w:id="69" w:name="_Toc296347155"/>
      <w:bookmarkStart w:id="70" w:name="_Toc297120456"/>
      <w:bookmarkStart w:id="71" w:name="_Toc296944495"/>
      <w:bookmarkStart w:id="72" w:name="_Toc296346657"/>
      <w:bookmarkStart w:id="73" w:name="_Toc296890984"/>
      <w:bookmarkStart w:id="74" w:name="_Toc292559866"/>
      <w:r>
        <w:rPr>
          <w:rFonts w:hint="eastAsia" w:ascii="宋体" w:hAnsi="宋体" w:eastAsia="宋体" w:cs="宋体"/>
          <w:bCs w:val="0"/>
          <w:color w:val="auto"/>
          <w:szCs w:val="32"/>
          <w:highlight w:val="none"/>
        </w:rPr>
        <w:t>. 一般约定</w:t>
      </w:r>
      <w:bookmarkEnd w:id="62"/>
      <w:bookmarkEnd w:id="63"/>
      <w:bookmarkEnd w:id="64"/>
    </w:p>
    <w:bookmarkEnd w:id="65"/>
    <w:bookmarkEnd w:id="66"/>
    <w:bookmarkEnd w:id="67"/>
    <w:bookmarkEnd w:id="68"/>
    <w:bookmarkEnd w:id="69"/>
    <w:bookmarkEnd w:id="70"/>
    <w:bookmarkEnd w:id="71"/>
    <w:bookmarkEnd w:id="72"/>
    <w:bookmarkEnd w:id="73"/>
    <w:bookmarkEnd w:id="74"/>
    <w:p>
      <w:pPr>
        <w:spacing w:after="120" w:line="440" w:lineRule="exact"/>
        <w:ind w:firstLine="420" w:firstLineChars="200"/>
        <w:outlineLvl w:val="0"/>
        <w:rPr>
          <w:rFonts w:hint="eastAsia" w:ascii="宋体" w:hAnsi="宋体" w:eastAsia="宋体" w:cs="宋体"/>
          <w:color w:val="auto"/>
          <w:szCs w:val="32"/>
          <w:highlight w:val="none"/>
        </w:rPr>
      </w:pPr>
      <w:bookmarkStart w:id="75" w:name="_Toc27550087"/>
      <w:r>
        <w:rPr>
          <w:rFonts w:hint="eastAsia" w:ascii="宋体" w:hAnsi="宋体" w:eastAsia="宋体" w:cs="宋体"/>
          <w:color w:val="auto"/>
          <w:szCs w:val="32"/>
          <w:highlight w:val="none"/>
        </w:rPr>
        <w:t>1.1 词语定义</w:t>
      </w:r>
      <w:bookmarkEnd w:id="75"/>
    </w:p>
    <w:p>
      <w:pPr>
        <w:spacing w:line="440" w:lineRule="exact"/>
        <w:ind w:firstLine="420" w:firstLineChars="200"/>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1.1.1合同</w:t>
      </w:r>
    </w:p>
    <w:p>
      <w:pPr>
        <w:pStyle w:val="18"/>
        <w:ind w:left="0" w:leftChars="0"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 w:val="21"/>
          <w:szCs w:val="21"/>
          <w:highlight w:val="none"/>
          <w:lang w:eastAsia="en-US"/>
        </w:rPr>
        <w:fldChar w:fldCharType="begin"/>
      </w:r>
      <w:r>
        <w:rPr>
          <w:rFonts w:hint="eastAsia" w:ascii="宋体" w:hAnsi="宋体" w:eastAsia="宋体" w:cs="宋体"/>
          <w:snapToGrid w:val="0"/>
          <w:color w:val="auto"/>
          <w:kern w:val="0"/>
          <w:sz w:val="21"/>
          <w:szCs w:val="21"/>
          <w:highlight w:val="none"/>
          <w:lang w:eastAsia="en-US"/>
        </w:rPr>
        <w:instrText xml:space="preserve"> HYPERLINK "1.1.1.10" </w:instrText>
      </w:r>
      <w:r>
        <w:rPr>
          <w:rFonts w:hint="eastAsia" w:ascii="宋体" w:hAnsi="宋体" w:eastAsia="宋体" w:cs="宋体"/>
          <w:snapToGrid w:val="0"/>
          <w:color w:val="auto"/>
          <w:kern w:val="0"/>
          <w:sz w:val="21"/>
          <w:szCs w:val="21"/>
          <w:highlight w:val="none"/>
          <w:lang w:eastAsia="en-US"/>
        </w:rPr>
        <w:fldChar w:fldCharType="separate"/>
      </w:r>
      <w:r>
        <w:rPr>
          <w:rFonts w:hint="eastAsia" w:ascii="宋体" w:hAnsi="宋体" w:eastAsia="宋体" w:cs="宋体"/>
          <w:snapToGrid w:val="0"/>
          <w:color w:val="auto"/>
          <w:spacing w:val="6"/>
          <w:kern w:val="0"/>
          <w:sz w:val="21"/>
          <w:szCs w:val="21"/>
          <w:highlight w:val="none"/>
          <w:lang w:eastAsia="en-US"/>
        </w:rPr>
        <w:t>1.1.1.10</w:t>
      </w:r>
      <w:r>
        <w:rPr>
          <w:rFonts w:hint="eastAsia" w:ascii="宋体" w:hAnsi="宋体" w:eastAsia="宋体" w:cs="宋体"/>
          <w:snapToGrid w:val="0"/>
          <w:color w:val="auto"/>
          <w:spacing w:val="6"/>
          <w:kern w:val="0"/>
          <w:sz w:val="21"/>
          <w:szCs w:val="21"/>
          <w:highlight w:val="none"/>
          <w:lang w:eastAsia="en-US"/>
        </w:rPr>
        <w:fldChar w:fldCharType="end"/>
      </w:r>
      <w:r>
        <w:rPr>
          <w:rFonts w:hint="eastAsia" w:ascii="宋体" w:hAnsi="宋体" w:eastAsia="宋体" w:cs="宋体"/>
          <w:snapToGrid w:val="0"/>
          <w:color w:val="auto"/>
          <w:spacing w:val="-23"/>
          <w:kern w:val="0"/>
          <w:sz w:val="21"/>
          <w:szCs w:val="21"/>
          <w:highlight w:val="none"/>
          <w:lang w:eastAsia="en-US"/>
        </w:rPr>
        <w:t xml:space="preserve"> </w:t>
      </w:r>
      <w:r>
        <w:rPr>
          <w:rFonts w:hint="eastAsia" w:ascii="宋体" w:hAnsi="宋体" w:eastAsia="宋体" w:cs="宋体"/>
          <w:snapToGrid w:val="0"/>
          <w:color w:val="auto"/>
          <w:spacing w:val="6"/>
          <w:kern w:val="0"/>
          <w:sz w:val="21"/>
          <w:szCs w:val="21"/>
          <w:highlight w:val="none"/>
          <w:lang w:eastAsia="en-US"/>
        </w:rPr>
        <w:t>其他合同文件包括：</w:t>
      </w:r>
      <w:r>
        <w:rPr>
          <w:rFonts w:hint="eastAsia" w:ascii="宋体" w:hAnsi="宋体" w:eastAsia="宋体" w:cs="宋体"/>
          <w:snapToGrid w:val="0"/>
          <w:color w:val="auto"/>
          <w:spacing w:val="6"/>
          <w:kern w:val="0"/>
          <w:sz w:val="21"/>
          <w:szCs w:val="21"/>
          <w:highlight w:val="none"/>
          <w:u w:val="single" w:color="auto"/>
          <w:lang w:eastAsia="en-US"/>
        </w:rPr>
        <w:t>合同履行过程中经双方共同签字认可的对合同有影响的会议纪要、签证、及设计变更等相关书面资料。</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1.1.2 合同当事人及其他相关方</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1.1.2.4监理人：</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名    称：</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资质类别和等级：</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联系电话：</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电子信箱：</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通信地址：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1.1.2.5 设计人：</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名    称：</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资质类别和等级：</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联系电话：</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电子信箱：</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通信地址：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1.1.3 工程和设备</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1.1.3.7 作为施工现场组成部分的其他场所包括：</w:t>
      </w:r>
      <w:r>
        <w:rPr>
          <w:rFonts w:hint="eastAsia" w:ascii="宋体" w:hAnsi="宋体" w:eastAsia="宋体" w:cs="宋体"/>
          <w:color w:val="auto"/>
          <w:szCs w:val="32"/>
          <w:highlight w:val="none"/>
          <w:u w:val="single"/>
          <w:lang w:val="en-US" w:eastAsia="zh-CN"/>
        </w:rPr>
        <w:t xml:space="preserve"> 现场临时办公及施工场地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lang w:val="en-US" w:eastAsia="zh-CN"/>
        </w:rPr>
      </w:pPr>
      <w:r>
        <w:rPr>
          <w:rFonts w:hint="eastAsia" w:ascii="宋体" w:hAnsi="宋体" w:eastAsia="宋体" w:cs="宋体"/>
          <w:color w:val="auto"/>
          <w:kern w:val="0"/>
          <w:szCs w:val="32"/>
          <w:highlight w:val="none"/>
        </w:rPr>
        <w:t>1.1.3.9 永久占地包括：</w:t>
      </w:r>
      <w:r>
        <w:rPr>
          <w:rFonts w:hint="eastAsia" w:ascii="宋体" w:hAnsi="宋体" w:eastAsia="宋体" w:cs="宋体"/>
          <w:color w:val="auto"/>
          <w:kern w:val="0"/>
          <w:szCs w:val="32"/>
          <w:highlight w:val="none"/>
          <w:u w:val="single"/>
          <w:lang w:val="en-US" w:eastAsia="zh-CN"/>
        </w:rPr>
        <w:t xml:space="preserve"> </w:t>
      </w:r>
      <w:r>
        <w:rPr>
          <w:rFonts w:hint="eastAsia" w:ascii="宋体" w:hAnsi="宋体" w:eastAsia="宋体" w:cs="宋体"/>
          <w:color w:val="auto"/>
          <w:szCs w:val="32"/>
          <w:highlight w:val="none"/>
          <w:u w:val="single"/>
          <w:lang w:val="en-US" w:eastAsia="zh-CN"/>
        </w:rPr>
        <w:t xml:space="preserve">按施工图设计确定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szCs w:val="32"/>
          <w:highlight w:val="none"/>
          <w:lang w:val="en-US" w:eastAsia="zh-CN"/>
        </w:rPr>
      </w:pPr>
      <w:r>
        <w:rPr>
          <w:rFonts w:hint="eastAsia" w:ascii="宋体" w:hAnsi="宋体" w:eastAsia="宋体" w:cs="宋体"/>
          <w:color w:val="auto"/>
          <w:kern w:val="0"/>
          <w:szCs w:val="32"/>
          <w:highlight w:val="none"/>
        </w:rPr>
        <w:t>1.1.3.10 临时占地包括：</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合同履行中确定</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 xml:space="preserve"> </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1.3法律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color w:val="auto"/>
          <w:szCs w:val="32"/>
          <w:highlight w:val="none"/>
        </w:rPr>
        <w:t>适用于合同的其他规范性文件：</w:t>
      </w:r>
      <w:r>
        <w:rPr>
          <w:rFonts w:hint="eastAsia" w:ascii="宋体" w:hAnsi="宋体" w:eastAsia="宋体" w:cs="宋体"/>
          <w:b/>
          <w:bCs/>
          <w:color w:val="auto"/>
          <w:kern w:val="0"/>
          <w:szCs w:val="32"/>
          <w:highlight w:val="none"/>
          <w:u w:val="single"/>
        </w:rPr>
        <w:t>《中华人民共和国民法典》、《中华人民共和国建筑法》、《中华人民共和国招标投标法》、</w:t>
      </w:r>
      <w:r>
        <w:rPr>
          <w:rFonts w:hint="eastAsia" w:ascii="宋体" w:hAnsi="宋体" w:eastAsia="宋体" w:cs="宋体"/>
          <w:b/>
          <w:bCs/>
          <w:snapToGrid w:val="0"/>
          <w:color w:val="auto"/>
          <w:spacing w:val="9"/>
          <w:kern w:val="0"/>
          <w:sz w:val="21"/>
          <w:szCs w:val="21"/>
          <w:highlight w:val="none"/>
          <w:u w:val="single" w:color="auto"/>
          <w:lang w:eastAsia="en-US"/>
        </w:rPr>
        <w:t>《中华人民共和国环境噪声污染防治法》</w:t>
      </w:r>
      <w:r>
        <w:rPr>
          <w:rFonts w:hint="eastAsia" w:ascii="宋体" w:hAnsi="宋体" w:eastAsia="宋体" w:cs="宋体"/>
          <w:b/>
          <w:bCs/>
          <w:snapToGrid w:val="0"/>
          <w:color w:val="auto"/>
          <w:spacing w:val="9"/>
          <w:kern w:val="0"/>
          <w:sz w:val="21"/>
          <w:szCs w:val="21"/>
          <w:highlight w:val="none"/>
          <w:u w:val="single" w:color="auto"/>
          <w:lang w:eastAsia="zh-CN"/>
        </w:rPr>
        <w:t>、</w:t>
      </w:r>
      <w:r>
        <w:rPr>
          <w:rFonts w:hint="eastAsia" w:ascii="宋体" w:hAnsi="宋体" w:eastAsia="宋体" w:cs="宋体"/>
          <w:b/>
          <w:bCs/>
          <w:color w:val="auto"/>
          <w:kern w:val="0"/>
          <w:szCs w:val="32"/>
          <w:highlight w:val="none"/>
          <w:u w:val="single"/>
        </w:rPr>
        <w:t>《中华人民共和国安全生产法》、《建设工程质量管理条例》</w:t>
      </w:r>
      <w:r>
        <w:rPr>
          <w:rFonts w:hint="eastAsia" w:ascii="宋体" w:hAnsi="宋体" w:eastAsia="宋体" w:cs="宋体"/>
          <w:b/>
          <w:bCs/>
          <w:color w:val="auto"/>
          <w:kern w:val="0"/>
          <w:szCs w:val="32"/>
          <w:highlight w:val="none"/>
          <w:u w:val="single"/>
          <w:lang w:eastAsia="zh-CN"/>
        </w:rPr>
        <w:t>、</w:t>
      </w:r>
      <w:r>
        <w:rPr>
          <w:rFonts w:hint="eastAsia" w:ascii="宋体" w:hAnsi="宋体" w:eastAsia="宋体" w:cs="宋体"/>
          <w:b/>
          <w:bCs/>
          <w:snapToGrid w:val="0"/>
          <w:color w:val="auto"/>
          <w:spacing w:val="9"/>
          <w:kern w:val="0"/>
          <w:sz w:val="21"/>
          <w:szCs w:val="21"/>
          <w:highlight w:val="none"/>
          <w:u w:val="single" w:color="auto"/>
          <w:lang w:eastAsia="en-US"/>
        </w:rPr>
        <w:t>《建设工程安全生产管理条例》及江苏省、徐州市现行的与本工程相关的法律、法规、规章</w:t>
      </w:r>
      <w:r>
        <w:rPr>
          <w:rFonts w:hint="eastAsia" w:ascii="宋体" w:hAnsi="宋体" w:eastAsia="宋体" w:cs="宋体"/>
          <w:snapToGrid w:val="0"/>
          <w:color w:val="auto"/>
          <w:spacing w:val="9"/>
          <w:kern w:val="0"/>
          <w:sz w:val="21"/>
          <w:szCs w:val="21"/>
          <w:highlight w:val="none"/>
          <w:lang w:eastAsia="en-US"/>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1.4 标准和规范</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b/>
          <w:bCs/>
          <w:snapToGrid w:val="0"/>
          <w:color w:val="auto"/>
          <w:spacing w:val="9"/>
          <w:kern w:val="0"/>
          <w:sz w:val="21"/>
          <w:szCs w:val="21"/>
          <w:highlight w:val="none"/>
          <w:u w:val="single" w:color="auto"/>
          <w:lang w:eastAsia="en-US"/>
        </w:rPr>
        <w:t>设计有要求的按设计要求执行。设计没有要求的，以下标准孰高，则执行该标准：（1）现行国家、江苏省、徐州市有关标准、规范；（2）其他适用于本工程的技术标准、规范、规程</w:t>
      </w:r>
      <w:r>
        <w:rPr>
          <w:rFonts w:hint="eastAsia" w:ascii="宋体" w:hAnsi="宋体" w:eastAsia="宋体" w:cs="宋体"/>
          <w:color w:val="auto"/>
          <w:szCs w:val="21"/>
          <w:highlight w:val="none"/>
        </w:rPr>
        <w:t>。</w:t>
      </w:r>
    </w:p>
    <w:p>
      <w:pPr>
        <w:spacing w:line="440" w:lineRule="exact"/>
        <w:ind w:firstLine="420" w:firstLineChars="200"/>
        <w:outlineLvl w:val="0"/>
        <w:rPr>
          <w:rFonts w:hint="eastAsia" w:ascii="宋体" w:hAnsi="宋体" w:eastAsia="宋体" w:cs="宋体"/>
          <w:color w:val="auto"/>
          <w:kern w:val="0"/>
          <w:szCs w:val="21"/>
          <w:highlight w:val="none"/>
        </w:rPr>
      </w:pPr>
      <w:bookmarkStart w:id="76" w:name="_Toc27550088"/>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不采用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bookmarkEnd w:id="76"/>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不采用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不采用</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en-US"/>
        </w:rPr>
        <w:t>符合有关行业主管部门和发包人的要求</w:t>
      </w:r>
      <w:r>
        <w:rPr>
          <w:rFonts w:hint="eastAsia" w:ascii="宋体" w:hAnsi="宋体" w:eastAsia="宋体" w:cs="宋体"/>
          <w:snapToGrid w:val="0"/>
          <w:color w:val="auto"/>
          <w:spacing w:val="7"/>
          <w:kern w:val="0"/>
          <w:sz w:val="20"/>
          <w:szCs w:val="20"/>
          <w:highlight w:val="none"/>
          <w:u w:val="none" w:color="auto"/>
          <w:lang w:eastAsia="zh-CN"/>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77" w:name="_Toc27550089"/>
      <w:r>
        <w:rPr>
          <w:rFonts w:hint="eastAsia" w:ascii="宋体" w:hAnsi="宋体" w:eastAsia="宋体" w:cs="宋体"/>
          <w:color w:val="auto"/>
          <w:szCs w:val="32"/>
          <w:highlight w:val="none"/>
        </w:rPr>
        <w:t>1.5 合同文件的优先顺序</w:t>
      </w:r>
      <w:bookmarkEnd w:id="77"/>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32"/>
          <w:highlight w:val="none"/>
        </w:rPr>
        <w:t>合同文件组成及优先顺序为：</w:t>
      </w:r>
      <w:r>
        <w:rPr>
          <w:rFonts w:hint="eastAsia" w:ascii="宋体" w:hAnsi="宋体" w:eastAsia="宋体" w:cs="宋体"/>
          <w:color w:val="auto"/>
          <w:szCs w:val="21"/>
          <w:highlight w:val="none"/>
          <w:u w:val="single"/>
        </w:rPr>
        <w:t>（1）合同协议书及补充协议书；（2）中标通知书；（3）投标函及其附录；（4）专用合同条款及其附件；（5）招标文件；（6）通用合同条款；（7）</w:t>
      </w:r>
      <w:r>
        <w:rPr>
          <w:rFonts w:hint="eastAsia" w:ascii="宋体" w:hAnsi="宋体" w:eastAsia="宋体" w:cs="宋体"/>
          <w:color w:val="auto"/>
          <w:szCs w:val="21"/>
          <w:highlight w:val="none"/>
          <w:u w:val="single"/>
          <w:lang w:eastAsia="en-US"/>
        </w:rPr>
        <w:t>标准、规范及有关技术文件；</w:t>
      </w:r>
      <w:r>
        <w:rPr>
          <w:rFonts w:hint="eastAsia" w:ascii="宋体" w:hAnsi="宋体" w:eastAsia="宋体" w:cs="宋体"/>
          <w:color w:val="auto"/>
          <w:szCs w:val="21"/>
          <w:highlight w:val="none"/>
          <w:u w:val="single"/>
        </w:rPr>
        <w:t>（8）图纸；（9）预算书；（10）已标价工程量清单；（11）其他合同文件。</w:t>
      </w:r>
    </w:p>
    <w:p>
      <w:pPr>
        <w:spacing w:line="440" w:lineRule="exact"/>
        <w:ind w:firstLine="422" w:firstLineChars="200"/>
        <w:rPr>
          <w:rFonts w:hint="eastAsia" w:ascii="宋体" w:hAnsi="宋体" w:eastAsia="宋体" w:cs="宋体"/>
          <w:snapToGrid w:val="0"/>
          <w:color w:val="auto"/>
          <w:kern w:val="0"/>
          <w:sz w:val="20"/>
          <w:szCs w:val="20"/>
          <w:highlight w:val="none"/>
          <w:lang w:eastAsia="en-US"/>
        </w:rPr>
      </w:pPr>
      <w:bookmarkStart w:id="78" w:name="_Toc27550090"/>
      <w:r>
        <w:rPr>
          <w:rFonts w:hint="eastAsia" w:ascii="宋体" w:hAnsi="宋体" w:eastAsia="宋体" w:cs="宋体"/>
          <w:b/>
          <w:bCs/>
          <w:color w:val="auto"/>
          <w:szCs w:val="21"/>
          <w:highlight w:val="none"/>
          <w:u w:val="single"/>
          <w:lang w:eastAsia="en-US"/>
        </w:rPr>
        <w:t>双方有关工程的洽商、变更、会议纪要、双方来往函件(施工过程中的)等书面协议或文件视为本合同的组成部分。属于同一类内容的合同文件应以最新签署的为准。专用合同条件及其附件须经合同当事人签字或盖章</w:t>
      </w:r>
      <w:r>
        <w:rPr>
          <w:rFonts w:hint="eastAsia" w:ascii="宋体" w:hAnsi="宋体" w:eastAsia="宋体" w:cs="宋体"/>
          <w:snapToGrid w:val="0"/>
          <w:color w:val="auto"/>
          <w:spacing w:val="9"/>
          <w:kern w:val="0"/>
          <w:sz w:val="20"/>
          <w:szCs w:val="20"/>
          <w:highlight w:val="none"/>
          <w:lang w:eastAsia="en-US"/>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上述各项合同文件包括合同当事人就该项合同文件所作出的补充和修改，属于同一类内容的文件，应以最新签署的为准</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签在合同订立及履行过程中形成的与合同有关的文件如会议纪要、工程变更、工程洽商、签证、通知、信函、数据电文等均构成合同文件组成部分，并根据其性质确定优先解释顺序</w:t>
      </w:r>
      <w:r>
        <w:rPr>
          <w:rFonts w:hint="eastAsia" w:ascii="宋体" w:hAnsi="宋体" w:eastAsia="宋体" w:cs="宋体"/>
          <w:b/>
          <w:bCs/>
          <w:color w:val="auto"/>
          <w:szCs w:val="21"/>
          <w:highlight w:val="none"/>
          <w:u w:val="none"/>
        </w:rPr>
        <w:t>。</w:t>
      </w:r>
    </w:p>
    <w:p>
      <w:pPr>
        <w:spacing w:after="120" w:line="440" w:lineRule="exact"/>
        <w:ind w:firstLine="420" w:firstLineChars="200"/>
        <w:outlineLvl w:val="0"/>
        <w:rPr>
          <w:rFonts w:hint="eastAsia" w:ascii="宋体" w:hAnsi="宋体" w:eastAsia="宋体" w:cs="宋体"/>
          <w:color w:val="auto"/>
          <w:szCs w:val="32"/>
          <w:highlight w:val="none"/>
        </w:rPr>
      </w:pPr>
      <w:r>
        <w:rPr>
          <w:rFonts w:hint="eastAsia" w:ascii="宋体" w:hAnsi="宋体" w:eastAsia="宋体" w:cs="宋体"/>
          <w:color w:val="auto"/>
          <w:szCs w:val="32"/>
          <w:highlight w:val="none"/>
        </w:rPr>
        <w:t>1.6 图纸和承包人文件</w:t>
      </w:r>
      <w:bookmarkEnd w:id="78"/>
      <w:r>
        <w:rPr>
          <w:rFonts w:hint="eastAsia" w:ascii="宋体" w:hAnsi="宋体" w:eastAsia="宋体" w:cs="宋体"/>
          <w:color w:val="auto"/>
          <w:szCs w:val="32"/>
          <w:highlight w:val="none"/>
        </w:rPr>
        <w:tab/>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b/>
          <w:bCs/>
          <w:color w:val="auto"/>
          <w:szCs w:val="21"/>
          <w:highlight w:val="none"/>
          <w:u w:val="single"/>
          <w:lang w:eastAsia="en-US"/>
        </w:rPr>
        <w:t>合同签订后七日内提供图纸</w:t>
      </w:r>
      <w:r>
        <w:rPr>
          <w:rFonts w:hint="eastAsia" w:ascii="宋体" w:hAnsi="宋体" w:eastAsia="宋体" w:cs="宋体"/>
          <w:snapToGrid w:val="0"/>
          <w:color w:val="auto"/>
          <w:spacing w:val="7"/>
          <w:kern w:val="0"/>
          <w:sz w:val="20"/>
          <w:szCs w:val="20"/>
          <w:highlight w:val="none"/>
          <w:lang w:eastAsia="en-US"/>
        </w:rPr>
        <w:t>；</w:t>
      </w:r>
    </w:p>
    <w:p>
      <w:pPr>
        <w:spacing w:line="440" w:lineRule="exact"/>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b/>
          <w:bCs/>
          <w:color w:val="auto"/>
          <w:szCs w:val="21"/>
          <w:highlight w:val="none"/>
          <w:u w:val="single"/>
        </w:rPr>
        <w:t>叁套，如承包人需增加施工图纸，由发包人与设计院联系，出图费用由承包人自行承担。设计文件和图纸由发包人统一提供，承包人不得直接接收设计单位提供的设计文件和图纸</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承包人收到设计文件和图纸后，要根据技术标准、设计规范、标准设计图、通用图和有关规定，对设计文件和图纸认真审查。发现问题及时以书面形式报告发包人。否则，因设计文件和图纸差错造成的损失，由承包人承担</w:t>
      </w:r>
      <w:r>
        <w:rPr>
          <w:rFonts w:hint="eastAsia" w:ascii="宋体" w:hAnsi="宋体" w:eastAsia="宋体" w:cs="宋体"/>
          <w:b/>
          <w:bCs/>
          <w:color w:val="auto"/>
          <w:szCs w:val="21"/>
          <w:highlight w:val="none"/>
          <w:u w:val="none"/>
        </w:rPr>
        <w:t>。</w:t>
      </w:r>
    </w:p>
    <w:p>
      <w:pPr>
        <w:spacing w:line="440" w:lineRule="exact"/>
        <w:ind w:firstLine="420" w:firstLineChars="200"/>
        <w:rPr>
          <w:rFonts w:hint="eastAsia" w:ascii="宋体" w:hAnsi="宋体" w:eastAsia="宋体" w:cs="宋体"/>
          <w:snapToGrid w:val="0"/>
          <w:color w:val="auto"/>
          <w:spacing w:val="9"/>
          <w:kern w:val="0"/>
          <w:sz w:val="20"/>
          <w:szCs w:val="20"/>
          <w:highlight w:val="none"/>
          <w:u w:val="single" w:color="auto"/>
          <w:lang w:eastAsia="zh-CN"/>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b/>
          <w:bCs/>
          <w:color w:val="auto"/>
          <w:szCs w:val="21"/>
          <w:highlight w:val="none"/>
          <w:u w:val="single"/>
          <w:lang w:eastAsia="en-US"/>
        </w:rPr>
        <w:t>通过审查的本工程所涉及的全套施工图</w:t>
      </w:r>
      <w:r>
        <w:rPr>
          <w:rFonts w:hint="eastAsia" w:ascii="宋体" w:hAnsi="宋体" w:eastAsia="宋体" w:cs="宋体"/>
          <w:b/>
          <w:bCs/>
          <w:color w:val="auto"/>
          <w:szCs w:val="21"/>
          <w:highlight w:val="none"/>
          <w:u w:val="none"/>
          <w:lang w:eastAsia="zh-CN"/>
        </w:rPr>
        <w:t>。</w:t>
      </w:r>
    </w:p>
    <w:p>
      <w:pPr>
        <w:pStyle w:val="18"/>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发包人对图纸的保密要求：除法律规定或合同另有约定外，未经发包人书面同意，承包人不得因本工程以外的原因复制本工程图纸、相关文件等，不得向第三方提供有关本工程的任何技术资料。</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1.6.4承包人文件</w:t>
      </w:r>
    </w:p>
    <w:p>
      <w:pPr>
        <w:spacing w:line="440" w:lineRule="exact"/>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需要由承包人提供的文件，包括：</w:t>
      </w:r>
      <w:r>
        <w:rPr>
          <w:rFonts w:hint="eastAsia" w:ascii="宋体" w:hAnsi="宋体" w:eastAsia="宋体" w:cs="宋体"/>
          <w:b/>
          <w:bCs/>
          <w:color w:val="auto"/>
          <w:szCs w:val="21"/>
          <w:highlight w:val="none"/>
          <w:u w:val="single"/>
        </w:rPr>
        <w:t>①按GB/T50502、本合同第二部分通用合同条款7.1和7.2编制施工组织设计、施工措施计划、施工方案报监理人审核和发包人确认</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 ②由承包人办理的许可和批准的办理结果书面报送监理人审核和发包人确认、留存； </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③拟制施工人员名册（动态），并与为其办理工伤保险的有效证明一起报送监理人审核和发包人确认</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 ④承包人项目管理机构、职责及施工现场人员安排的报告（其内容执行通用条款3.3） 和主要施工管理人员与承包人之间的劳动关系证明和缴纳社会保险的有效证明，报送监理人审核和发包人确认</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⑤特殊工种作业人员资格证明报送监理人审核和发包人确认</w:t>
      </w:r>
      <w:r>
        <w:rPr>
          <w:rFonts w:hint="eastAsia" w:ascii="宋体" w:hAnsi="宋体" w:eastAsia="宋体" w:cs="宋体"/>
          <w:b/>
          <w:bCs/>
          <w:color w:val="auto"/>
          <w:szCs w:val="21"/>
          <w:highlight w:val="none"/>
          <w:u w:val="none"/>
        </w:rPr>
        <w:t xml:space="preserve">； </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⑥项目经理的姓名、职称、注册建造师的编号、联系方式、授权范围等事项，和与承包人之间的正式聘用劳动合同、承包人为其缴纳社会保险的有效证明，一起报送监理人审核和发包人确认</w:t>
      </w:r>
      <w:r>
        <w:rPr>
          <w:rFonts w:hint="eastAsia" w:ascii="宋体" w:hAnsi="宋体" w:eastAsia="宋体" w:cs="宋体"/>
          <w:b/>
          <w:bCs/>
          <w:color w:val="auto"/>
          <w:szCs w:val="21"/>
          <w:highlight w:val="none"/>
          <w:u w:val="none"/>
        </w:rPr>
        <w:t>；</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 ⑦工程质量管理体系及措施文件、质量检查制度、质量控制文件，报送监理人审核和发包人确认；</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 ⑧工程安全管理体系及措施文件、安全检查制度、安全控制文件，报送监理人审核和发包人确认；</w:t>
      </w:r>
    </w:p>
    <w:p>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 ⑨发包人管理需要的其他文件。</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 xml:space="preserve"> ⑩上述文件如发包人因管理需增加时，承包人有义务按发包人提出的形式、格式、数量、时间等要求提供。 </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b/>
          <w:bCs/>
          <w:color w:val="auto"/>
          <w:szCs w:val="21"/>
          <w:highlight w:val="none"/>
          <w:u w:val="single"/>
        </w:rPr>
        <w:t>合同签订后7日内</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b/>
          <w:bCs/>
          <w:color w:val="auto"/>
          <w:szCs w:val="21"/>
          <w:highlight w:val="none"/>
          <w:u w:val="single"/>
        </w:rPr>
        <w:t>纸质版</w:t>
      </w:r>
      <w:r>
        <w:rPr>
          <w:rFonts w:hint="eastAsia" w:ascii="宋体" w:hAnsi="宋体" w:eastAsia="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rPr>
        <w:t>套，电子版1套</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b/>
          <w:bCs/>
          <w:color w:val="auto"/>
          <w:szCs w:val="21"/>
          <w:highlight w:val="none"/>
          <w:u w:val="single"/>
        </w:rPr>
        <w:t>纸质版和电子版；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b/>
          <w:bCs/>
          <w:color w:val="auto"/>
          <w:szCs w:val="21"/>
          <w:highlight w:val="none"/>
          <w:u w:val="single"/>
        </w:rPr>
        <w:t>7个工作日之内</w:t>
      </w:r>
      <w:r>
        <w:rPr>
          <w:rFonts w:hint="eastAsia" w:ascii="宋体" w:hAnsi="宋体" w:eastAsia="宋体" w:cs="宋体"/>
          <w:color w:val="auto"/>
          <w:szCs w:val="21"/>
          <w:highlight w:val="none"/>
        </w:rPr>
        <w:t xml:space="preserve"> 。</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b/>
          <w:bCs/>
          <w:color w:val="auto"/>
          <w:szCs w:val="21"/>
          <w:highlight w:val="none"/>
          <w:u w:val="single"/>
        </w:rPr>
        <w:t>执行通用条款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79" w:name="_Toc27550091"/>
      <w:r>
        <w:rPr>
          <w:rFonts w:hint="eastAsia" w:ascii="宋体" w:hAnsi="宋体" w:eastAsia="宋体" w:cs="宋体"/>
          <w:color w:val="auto"/>
          <w:szCs w:val="32"/>
          <w:highlight w:val="none"/>
        </w:rPr>
        <w:t>1.7 联络</w:t>
      </w:r>
      <w:bookmarkEnd w:id="79"/>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b/>
          <w:bCs/>
          <w:color w:val="auto"/>
          <w:szCs w:val="21"/>
          <w:highlight w:val="none"/>
          <w:u w:val="single"/>
          <w:lang w:val="en-US" w:eastAsia="zh-CN"/>
        </w:rPr>
        <w:t>发包人指定地点</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b/>
          <w:bCs/>
          <w:color w:val="auto"/>
          <w:szCs w:val="21"/>
          <w:highlight w:val="none"/>
          <w:u w:val="single"/>
          <w:lang w:val="en-US" w:eastAsia="zh-CN"/>
        </w:rPr>
        <w:t>发包人派驻现场代表</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u w:val="single"/>
          <w:lang w:val="en-US" w:eastAsia="zh-CN"/>
        </w:rPr>
        <w:t>施工现场</w:t>
      </w:r>
      <w:r>
        <w:rPr>
          <w:rFonts w:hint="eastAsia" w:ascii="宋体" w:hAnsi="宋体" w:eastAsia="宋体" w:cs="宋体"/>
          <w:b/>
          <w:bCs/>
          <w:color w:val="auto"/>
          <w:szCs w:val="21"/>
          <w:highlight w:val="none"/>
          <w:u w:val="single"/>
        </w:rPr>
        <w:t>办公室</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b/>
          <w:bCs/>
          <w:color w:val="auto"/>
          <w:szCs w:val="21"/>
          <w:highlight w:val="none"/>
          <w:u w:val="single"/>
          <w:lang w:val="en-US" w:eastAsia="zh-CN"/>
        </w:rPr>
        <w:t>项目经理</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b/>
          <w:bCs/>
          <w:color w:val="auto"/>
          <w:szCs w:val="21"/>
          <w:highlight w:val="none"/>
          <w:u w:val="single"/>
        </w:rPr>
        <w:t>监理人</w:t>
      </w:r>
      <w:r>
        <w:rPr>
          <w:rFonts w:hint="eastAsia" w:ascii="宋体" w:hAnsi="宋体" w:eastAsia="宋体" w:cs="宋体"/>
          <w:b/>
          <w:bCs/>
          <w:color w:val="auto"/>
          <w:szCs w:val="21"/>
          <w:highlight w:val="none"/>
          <w:u w:val="single"/>
          <w:lang w:val="en-US" w:eastAsia="zh-CN"/>
        </w:rPr>
        <w:t>施工现场</w:t>
      </w:r>
      <w:r>
        <w:rPr>
          <w:rFonts w:hint="eastAsia" w:ascii="宋体" w:hAnsi="宋体" w:eastAsia="宋体" w:cs="宋体"/>
          <w:b/>
          <w:bCs/>
          <w:color w:val="auto"/>
          <w:szCs w:val="21"/>
          <w:highlight w:val="none"/>
          <w:u w:val="single"/>
        </w:rPr>
        <w:t>办公室</w:t>
      </w:r>
      <w:r>
        <w:rPr>
          <w:rFonts w:hint="eastAsia" w:ascii="宋体" w:hAnsi="宋体" w:eastAsia="宋体" w:cs="宋体"/>
          <w:color w:val="auto"/>
          <w:kern w:val="0"/>
          <w:szCs w:val="21"/>
          <w:highlight w:val="none"/>
        </w:rPr>
        <w:t>；</w:t>
      </w:r>
    </w:p>
    <w:p>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b/>
          <w:bCs/>
          <w:color w:val="auto"/>
          <w:szCs w:val="21"/>
          <w:highlight w:val="none"/>
          <w:u w:val="single"/>
          <w:lang w:val="en-US" w:eastAsia="zh-CN"/>
        </w:rPr>
        <w:t>总监或总监代表</w:t>
      </w:r>
      <w:r>
        <w:rPr>
          <w:rFonts w:hint="eastAsia" w:ascii="宋体" w:hAnsi="宋体" w:eastAsia="宋体" w:cs="宋体"/>
          <w:color w:val="auto"/>
          <w:kern w:val="0"/>
          <w:szCs w:val="21"/>
          <w:highlight w:val="none"/>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80" w:name="_Toc27550092"/>
      <w:r>
        <w:rPr>
          <w:rFonts w:hint="eastAsia" w:ascii="宋体" w:hAnsi="宋体" w:eastAsia="宋体" w:cs="宋体"/>
          <w:color w:val="auto"/>
          <w:szCs w:val="32"/>
          <w:highlight w:val="none"/>
        </w:rPr>
        <w:t>1.10 交通运输</w:t>
      </w:r>
      <w:bookmarkEnd w:id="80"/>
    </w:p>
    <w:p>
      <w:pPr>
        <w:spacing w:line="440" w:lineRule="exact"/>
        <w:ind w:firstLine="420" w:firstLineChars="200"/>
        <w:outlineLvl w:val="0"/>
        <w:rPr>
          <w:rFonts w:hint="eastAsia" w:ascii="宋体" w:hAnsi="宋体" w:eastAsia="宋体" w:cs="宋体"/>
          <w:color w:val="auto"/>
          <w:szCs w:val="21"/>
          <w:highlight w:val="none"/>
        </w:rPr>
      </w:pPr>
      <w:bookmarkStart w:id="81" w:name="_Toc27550093"/>
      <w:r>
        <w:rPr>
          <w:rFonts w:hint="eastAsia" w:ascii="宋体" w:hAnsi="宋体" w:eastAsia="宋体" w:cs="宋体"/>
          <w:color w:val="auto"/>
          <w:szCs w:val="21"/>
          <w:highlight w:val="none"/>
        </w:rPr>
        <w:t>1</w:t>
      </w:r>
      <w:bookmarkStart w:id="82" w:name="_Toc312677986"/>
      <w:bookmarkStart w:id="83" w:name="_Toc304295521"/>
      <w:bookmarkStart w:id="84" w:name="_Toc300934943"/>
      <w:bookmarkStart w:id="85" w:name="_Toc318581155"/>
      <w:bookmarkStart w:id="86" w:name="_Toc303539100"/>
      <w:r>
        <w:rPr>
          <w:rFonts w:hint="eastAsia" w:ascii="宋体" w:hAnsi="宋体" w:eastAsia="宋体" w:cs="宋体"/>
          <w:color w:val="auto"/>
          <w:szCs w:val="21"/>
          <w:highlight w:val="none"/>
        </w:rPr>
        <w:t>.10.1 出入现场的权利</w:t>
      </w:r>
      <w:bookmarkEnd w:id="81"/>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b/>
          <w:bCs/>
          <w:color w:val="auto"/>
          <w:szCs w:val="21"/>
          <w:highlight w:val="none"/>
          <w:u w:val="single"/>
        </w:rPr>
        <w:t>由承包人按</w:t>
      </w:r>
      <w:r>
        <w:rPr>
          <w:rFonts w:hint="eastAsia" w:ascii="宋体" w:hAnsi="宋体" w:eastAsia="宋体" w:cs="宋体"/>
          <w:b/>
          <w:bCs/>
          <w:color w:val="auto"/>
          <w:szCs w:val="21"/>
          <w:highlight w:val="none"/>
          <w:u w:val="single"/>
          <w:lang w:val="en-US" w:eastAsia="zh-CN"/>
        </w:rPr>
        <w:t>照</w:t>
      </w:r>
      <w:r>
        <w:rPr>
          <w:rFonts w:hint="eastAsia" w:ascii="宋体" w:hAnsi="宋体" w:eastAsia="宋体" w:cs="宋体"/>
          <w:b/>
          <w:bCs/>
          <w:color w:val="auto"/>
          <w:szCs w:val="21"/>
          <w:highlight w:val="none"/>
          <w:u w:val="single"/>
        </w:rPr>
        <w:t>发包人要求负责取得出入施工现场所需的批准手续和全部权利，以及取得因施工所需修建</w:t>
      </w:r>
      <w:r>
        <w:rPr>
          <w:rFonts w:hint="eastAsia" w:ascii="宋体" w:hAnsi="宋体" w:eastAsia="宋体" w:cs="宋体"/>
          <w:b/>
          <w:bCs/>
          <w:color w:val="auto"/>
          <w:szCs w:val="21"/>
          <w:highlight w:val="none"/>
          <w:u w:val="single"/>
          <w:lang w:val="en-US" w:eastAsia="zh-CN"/>
        </w:rPr>
        <w:t>道路、桥梁以及其他基础设施的</w:t>
      </w:r>
      <w:r>
        <w:rPr>
          <w:rFonts w:hint="eastAsia" w:ascii="宋体" w:hAnsi="宋体" w:eastAsia="宋体" w:cs="宋体"/>
          <w:b/>
          <w:bCs/>
          <w:color w:val="auto"/>
          <w:szCs w:val="21"/>
          <w:highlight w:val="none"/>
          <w:u w:val="single"/>
        </w:rPr>
        <w:t>权利，并承担相关手续费用和建设费用</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此费用包含在投标报价内</w:t>
      </w:r>
      <w:r>
        <w:rPr>
          <w:rFonts w:hint="eastAsia" w:ascii="宋体" w:hAnsi="宋体" w:eastAsia="宋体" w:cs="宋体"/>
          <w:color w:val="auto"/>
          <w:szCs w:val="21"/>
          <w:highlight w:val="none"/>
        </w:rPr>
        <w:t>。</w:t>
      </w:r>
    </w:p>
    <w:bookmarkEnd w:id="82"/>
    <w:bookmarkEnd w:id="83"/>
    <w:bookmarkEnd w:id="84"/>
    <w:bookmarkEnd w:id="85"/>
    <w:bookmarkEnd w:id="86"/>
    <w:p>
      <w:pPr>
        <w:spacing w:line="440" w:lineRule="exact"/>
        <w:ind w:firstLine="420" w:firstLineChars="200"/>
        <w:jc w:val="left"/>
        <w:outlineLvl w:val="0"/>
        <w:rPr>
          <w:rFonts w:hint="eastAsia" w:ascii="宋体" w:hAnsi="宋体" w:eastAsia="宋体" w:cs="宋体"/>
          <w:color w:val="auto"/>
          <w:szCs w:val="21"/>
          <w:highlight w:val="none"/>
        </w:rPr>
      </w:pPr>
      <w:bookmarkStart w:id="87" w:name="_Toc27550094"/>
      <w:r>
        <w:rPr>
          <w:rFonts w:hint="eastAsia" w:ascii="宋体" w:hAnsi="宋体" w:eastAsia="宋体" w:cs="宋体"/>
          <w:color w:val="auto"/>
          <w:szCs w:val="21"/>
          <w:highlight w:val="none"/>
        </w:rPr>
        <w:t>1</w:t>
      </w:r>
      <w:bookmarkStart w:id="88" w:name="_Toc300934944"/>
      <w:bookmarkStart w:id="89" w:name="_Toc304295522"/>
      <w:bookmarkStart w:id="90" w:name="_Toc303539101"/>
      <w:bookmarkStart w:id="91" w:name="_Toc318581156"/>
      <w:bookmarkStart w:id="92" w:name="_Toc312677987"/>
      <w:r>
        <w:rPr>
          <w:rFonts w:hint="eastAsia" w:ascii="宋体" w:hAnsi="宋体" w:eastAsia="宋体" w:cs="宋体"/>
          <w:color w:val="auto"/>
          <w:szCs w:val="21"/>
          <w:highlight w:val="none"/>
        </w:rPr>
        <w:t>.10.3 场内交通</w:t>
      </w:r>
      <w:bookmarkEnd w:id="87"/>
    </w:p>
    <w:p>
      <w:pPr>
        <w:spacing w:line="440" w:lineRule="exact"/>
        <w:ind w:firstLine="420" w:firstLineChars="200"/>
        <w:jc w:val="left"/>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b/>
          <w:bCs/>
          <w:color w:val="auto"/>
          <w:szCs w:val="21"/>
          <w:highlight w:val="none"/>
          <w:u w:val="single"/>
        </w:rPr>
        <w:t>以现场实际施工条件为准</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为保证道路交通安全及运输畅通，施工期间，必须与交通和公安部门协商，采取足够的交通疏导措施；制定运输计划时，应避开现有道路上再高峰时的运输。所需费用包含在投标报价内</w:t>
      </w:r>
      <w:r>
        <w:rPr>
          <w:rFonts w:hint="eastAsia" w:ascii="宋体" w:hAnsi="宋体" w:eastAsia="宋体" w:cs="宋体"/>
          <w:color w:val="auto"/>
          <w:szCs w:val="21"/>
          <w:highlight w:val="none"/>
        </w:rPr>
        <w:t>。关于发包人向承包人免费提供满足工程施工需要的场内道路和交通设施的约定：</w:t>
      </w:r>
      <w:bookmarkEnd w:id="88"/>
      <w:bookmarkEnd w:id="89"/>
      <w:bookmarkEnd w:id="90"/>
      <w:bookmarkEnd w:id="91"/>
      <w:bookmarkEnd w:id="92"/>
      <w:bookmarkStart w:id="93" w:name="_Toc318581157"/>
      <w:r>
        <w:rPr>
          <w:rFonts w:hint="eastAsia" w:ascii="宋体" w:hAnsi="宋体" w:eastAsia="宋体" w:cs="宋体"/>
          <w:b/>
          <w:bCs/>
          <w:color w:val="auto"/>
          <w:szCs w:val="21"/>
          <w:highlight w:val="none"/>
          <w:u w:val="single"/>
        </w:rPr>
        <w:t>以现场实际施工条件为准</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承包人应负责修建、维护、养护和管理施工所需的临时道路和交通设施，并承担相应费用。承包人修建的临时道路和交通设施应免费提供给发包人、监理人和其他承包人适用</w:t>
      </w:r>
      <w:r>
        <w:rPr>
          <w:rFonts w:hint="eastAsia" w:ascii="宋体" w:hAnsi="宋体" w:eastAsia="宋体" w:cs="宋体"/>
          <w:b/>
          <w:bCs/>
          <w:color w:val="auto"/>
          <w:szCs w:val="21"/>
          <w:highlight w:val="none"/>
          <w:u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b/>
          <w:bCs/>
          <w:color w:val="auto"/>
          <w:szCs w:val="21"/>
          <w:highlight w:val="none"/>
          <w:u w:val="single"/>
        </w:rPr>
        <w:t>承包人</w:t>
      </w:r>
      <w:r>
        <w:rPr>
          <w:rFonts w:hint="eastAsia" w:ascii="宋体" w:hAnsi="宋体" w:eastAsia="宋体" w:cs="宋体"/>
          <w:color w:val="auto"/>
          <w:szCs w:val="21"/>
          <w:highlight w:val="none"/>
        </w:rPr>
        <w:t>承担。</w:t>
      </w:r>
    </w:p>
    <w:bookmarkEnd w:id="93"/>
    <w:p>
      <w:pPr>
        <w:spacing w:after="120" w:line="440" w:lineRule="exact"/>
        <w:ind w:firstLine="420" w:firstLineChars="200"/>
        <w:outlineLvl w:val="0"/>
        <w:rPr>
          <w:rFonts w:hint="eastAsia" w:ascii="宋体" w:hAnsi="宋体" w:eastAsia="宋体" w:cs="宋体"/>
          <w:color w:val="auto"/>
          <w:szCs w:val="32"/>
          <w:highlight w:val="none"/>
        </w:rPr>
      </w:pPr>
      <w:bookmarkStart w:id="94" w:name="_Toc27550095"/>
      <w:r>
        <w:rPr>
          <w:rFonts w:hint="eastAsia" w:ascii="宋体" w:hAnsi="宋体" w:eastAsia="宋体" w:cs="宋体"/>
          <w:color w:val="auto"/>
          <w:szCs w:val="32"/>
          <w:highlight w:val="none"/>
        </w:rPr>
        <w:t>1.11 知识产权</w:t>
      </w:r>
      <w:bookmarkEnd w:id="94"/>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szCs w:val="32"/>
          <w:highlight w:val="none"/>
        </w:rPr>
        <w:t>。</w:t>
      </w:r>
    </w:p>
    <w:p>
      <w:pPr>
        <w:spacing w:line="440" w:lineRule="exact"/>
        <w:ind w:left="596" w:leftChars="284"/>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关于发包人提供的上述文件的使用限制的要求：</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szCs w:val="32"/>
          <w:highlight w:val="none"/>
        </w:rPr>
        <w:t>。</w:t>
      </w:r>
    </w:p>
    <w:p>
      <w:pPr>
        <w:spacing w:line="440" w:lineRule="exact"/>
        <w:ind w:firstLine="420" w:firstLineChars="200"/>
        <w:outlineLvl w:val="0"/>
        <w:rPr>
          <w:rFonts w:hint="eastAsia" w:ascii="宋体" w:hAnsi="宋体" w:eastAsia="宋体" w:cs="宋体"/>
          <w:color w:val="auto"/>
          <w:szCs w:val="32"/>
          <w:highlight w:val="none"/>
        </w:rPr>
      </w:pPr>
      <w:bookmarkStart w:id="95" w:name="_Toc27550096"/>
      <w:r>
        <w:rPr>
          <w:rFonts w:hint="eastAsia" w:ascii="宋体" w:hAnsi="宋体" w:eastAsia="宋体" w:cs="宋体"/>
          <w:color w:val="auto"/>
          <w:szCs w:val="32"/>
          <w:highlight w:val="none"/>
        </w:rPr>
        <w:t>1.11.2 关于承包人为实施工程所编制文件的著作权的归属：</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szCs w:val="32"/>
          <w:highlight w:val="none"/>
        </w:rPr>
        <w:t>。</w:t>
      </w:r>
      <w:bookmarkEnd w:id="95"/>
    </w:p>
    <w:p>
      <w:pPr>
        <w:spacing w:line="44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关于承包人提供的上述文件的使用限制的要求：</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szCs w:val="32"/>
          <w:highlight w:val="none"/>
        </w:rPr>
        <w:t>。</w:t>
      </w:r>
    </w:p>
    <w:p>
      <w:pPr>
        <w:spacing w:line="440" w:lineRule="exact"/>
        <w:ind w:firstLine="420" w:firstLineChars="200"/>
        <w:outlineLvl w:val="0"/>
        <w:rPr>
          <w:rFonts w:hint="eastAsia" w:ascii="宋体" w:hAnsi="宋体" w:eastAsia="宋体" w:cs="宋体"/>
          <w:color w:val="auto"/>
          <w:kern w:val="0"/>
          <w:szCs w:val="32"/>
          <w:highlight w:val="none"/>
        </w:rPr>
      </w:pPr>
      <w:bookmarkStart w:id="96" w:name="_Toc27550097"/>
      <w:r>
        <w:rPr>
          <w:rFonts w:hint="eastAsia" w:ascii="宋体" w:hAnsi="宋体" w:eastAsia="宋体" w:cs="宋体"/>
          <w:color w:val="auto"/>
          <w:szCs w:val="32"/>
          <w:highlight w:val="none"/>
        </w:rPr>
        <w:t>1.11.4 承包人在施工过程中所采用的专利、专有技术、技术秘密的使用费的承担方式：</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kern w:val="0"/>
          <w:szCs w:val="32"/>
          <w:highlight w:val="none"/>
        </w:rPr>
        <w:t>。</w:t>
      </w:r>
      <w:bookmarkEnd w:id="96"/>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1.13工程量清单错误的修正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1"/>
        <w:jc w:val="left"/>
        <w:textAlignment w:val="baseline"/>
        <w:rPr>
          <w:rFonts w:hint="eastAsia" w:ascii="宋体" w:hAnsi="宋体" w:eastAsia="宋体" w:cs="宋体"/>
          <w:color w:val="auto"/>
          <w:kern w:val="0"/>
          <w:szCs w:val="32"/>
          <w:highlight w:val="none"/>
        </w:rPr>
      </w:pPr>
      <w:r>
        <w:rPr>
          <w:rFonts w:hint="eastAsia" w:ascii="宋体" w:hAnsi="宋体" w:eastAsia="宋体" w:cs="宋体"/>
          <w:color w:val="auto"/>
          <w:szCs w:val="32"/>
          <w:highlight w:val="none"/>
        </w:rPr>
        <w:t>出现工程量清单错误时，是否调整合同价格：</w:t>
      </w:r>
      <w:r>
        <w:rPr>
          <w:rFonts w:hint="eastAsia" w:ascii="宋体" w:hAnsi="宋体" w:eastAsia="宋体" w:cs="宋体"/>
          <w:b/>
          <w:bCs/>
          <w:color w:val="auto"/>
          <w:szCs w:val="32"/>
          <w:highlight w:val="none"/>
          <w:u w:val="single"/>
          <w:lang w:val="en-US" w:eastAsia="zh-CN"/>
        </w:rPr>
        <w:t>执</w:t>
      </w:r>
      <w:r>
        <w:rPr>
          <w:rFonts w:hint="eastAsia" w:ascii="宋体" w:hAnsi="宋体" w:eastAsia="宋体" w:cs="宋体"/>
          <w:b/>
          <w:bCs/>
          <w:color w:val="auto"/>
          <w:szCs w:val="21"/>
          <w:highlight w:val="none"/>
          <w:u w:val="single"/>
        </w:rPr>
        <w:t>行通用条款</w:t>
      </w:r>
      <w:r>
        <w:rPr>
          <w:rFonts w:hint="eastAsia" w:ascii="宋体" w:hAnsi="宋体" w:eastAsia="宋体" w:cs="宋体"/>
          <w:color w:val="auto"/>
          <w:kern w:val="0"/>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1"/>
        <w:jc w:val="left"/>
        <w:textAlignment w:val="baseline"/>
        <w:rPr>
          <w:rFonts w:hint="eastAsia" w:ascii="宋体" w:hAnsi="宋体" w:eastAsia="宋体" w:cs="宋体"/>
          <w:color w:val="auto"/>
          <w:szCs w:val="32"/>
          <w:highlight w:val="none"/>
          <w:lang w:eastAsia="en-US"/>
        </w:rPr>
      </w:pPr>
      <w:r>
        <w:rPr>
          <w:rFonts w:hint="eastAsia" w:ascii="宋体" w:hAnsi="宋体" w:eastAsia="宋体" w:cs="宋体"/>
          <w:color w:val="auto"/>
          <w:szCs w:val="32"/>
          <w:highlight w:val="none"/>
          <w:lang w:eastAsia="en-US"/>
        </w:rPr>
        <w:t>出现下列情形之一时，发包人应予以修正，并相应调整合同价格。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1"/>
        <w:jc w:val="left"/>
        <w:textAlignment w:val="baseline"/>
        <w:rPr>
          <w:rFonts w:hint="eastAsia" w:ascii="宋体" w:hAnsi="宋体" w:eastAsia="宋体" w:cs="宋体"/>
          <w:snapToGrid w:val="0"/>
          <w:color w:val="auto"/>
          <w:spacing w:val="9"/>
          <w:kern w:val="0"/>
          <w:sz w:val="20"/>
          <w:szCs w:val="20"/>
          <w:highlight w:val="none"/>
          <w:u w:val="single"/>
          <w:lang w:eastAsia="en-US"/>
        </w:rPr>
      </w:pPr>
      <w:r>
        <w:rPr>
          <w:rFonts w:hint="eastAsia" w:ascii="宋体" w:hAnsi="宋体" w:eastAsia="宋体" w:cs="宋体"/>
          <w:color w:val="auto"/>
          <w:szCs w:val="32"/>
          <w:highlight w:val="none"/>
          <w:u w:val="single"/>
          <w:lang w:eastAsia="en-US"/>
        </w:rPr>
        <w:t>（1）工程量清单存在缺项、漏项的(清单项目中特征描述不全的工序，如图纸已明确或已指明引用的规范、图集等或是常规工艺必须的工序，应包含在投标报价中，不作为清单漏项，综合单价不予调整)需经甲方同意后方可调整</w:t>
      </w:r>
      <w:r>
        <w:rPr>
          <w:rFonts w:hint="eastAsia" w:ascii="宋体" w:hAnsi="宋体" w:eastAsia="宋体" w:cs="宋体"/>
          <w:snapToGrid w:val="0"/>
          <w:color w:val="auto"/>
          <w:spacing w:val="9"/>
          <w:kern w:val="0"/>
          <w:sz w:val="20"/>
          <w:szCs w:val="20"/>
          <w:highlight w:val="none"/>
          <w:u w:val="single"/>
          <w:lang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1"/>
        <w:jc w:val="left"/>
        <w:textAlignment w:val="baseline"/>
        <w:rPr>
          <w:rFonts w:hint="eastAsia" w:ascii="宋体" w:hAnsi="宋体" w:eastAsia="宋体" w:cs="宋体"/>
          <w:color w:val="auto"/>
          <w:szCs w:val="32"/>
          <w:highlight w:val="none"/>
          <w:u w:val="single"/>
          <w:lang w:eastAsia="en-US"/>
        </w:rPr>
      </w:pPr>
      <w:r>
        <w:rPr>
          <w:rFonts w:hint="eastAsia" w:ascii="宋体" w:hAnsi="宋体" w:eastAsia="宋体" w:cs="宋体"/>
          <w:color w:val="auto"/>
          <w:szCs w:val="32"/>
          <w:highlight w:val="none"/>
          <w:u w:val="single"/>
          <w:lang w:eastAsia="en-US"/>
        </w:rPr>
        <w:t>（2）未按照国家现行计量规范强制性规定计量的。</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允许调整合同价格的工程量偏差范围：</w:t>
      </w:r>
      <w:r>
        <w:rPr>
          <w:rFonts w:hint="eastAsia" w:ascii="宋体" w:hAnsi="宋体" w:eastAsia="宋体" w:cs="宋体"/>
          <w:b/>
          <w:bCs/>
          <w:color w:val="auto"/>
          <w:szCs w:val="21"/>
          <w:highlight w:val="none"/>
          <w:u w:val="single"/>
        </w:rPr>
        <w:t>执行“合同价格、计量与支付”</w:t>
      </w:r>
      <w:r>
        <w:rPr>
          <w:rFonts w:hint="eastAsia" w:ascii="宋体" w:hAnsi="宋体" w:eastAsia="宋体" w:cs="宋体"/>
          <w:b/>
          <w:bCs/>
          <w:color w:val="auto"/>
          <w:szCs w:val="21"/>
          <w:highlight w:val="none"/>
          <w:u w:val="single"/>
          <w:lang w:val="en-US" w:eastAsia="zh-CN"/>
        </w:rPr>
        <w:t>相关条</w:t>
      </w:r>
      <w:r>
        <w:rPr>
          <w:rFonts w:hint="eastAsia" w:ascii="宋体" w:hAnsi="宋体" w:eastAsia="宋体" w:cs="宋体"/>
          <w:b/>
          <w:bCs/>
          <w:color w:val="auto"/>
          <w:szCs w:val="21"/>
          <w:highlight w:val="none"/>
          <w:u w:val="single"/>
        </w:rPr>
        <w:t>款</w:t>
      </w:r>
      <w:r>
        <w:rPr>
          <w:rFonts w:hint="eastAsia" w:ascii="宋体" w:hAnsi="宋体" w:eastAsia="宋体" w:cs="宋体"/>
          <w:color w:val="auto"/>
          <w:kern w:val="0"/>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97" w:name="_Toc18189_WPSOffice_Level2"/>
      <w:bookmarkStart w:id="98" w:name="_Toc27468_WPSOffice_Level2"/>
      <w:bookmarkStart w:id="99" w:name="_Toc351203634"/>
      <w:r>
        <w:rPr>
          <w:rFonts w:hint="eastAsia" w:ascii="宋体" w:hAnsi="宋体" w:eastAsia="宋体" w:cs="宋体"/>
          <w:bCs w:val="0"/>
          <w:color w:val="auto"/>
          <w:szCs w:val="32"/>
          <w:highlight w:val="none"/>
        </w:rPr>
        <w:t>2</w:t>
      </w:r>
      <w:bookmarkStart w:id="100" w:name="_Toc297048343"/>
      <w:bookmarkStart w:id="101" w:name="_Toc292559362"/>
      <w:bookmarkStart w:id="102" w:name="_Toc296891197"/>
      <w:bookmarkStart w:id="103" w:name="_Toc296890985"/>
      <w:bookmarkStart w:id="104" w:name="_Toc296347156"/>
      <w:bookmarkStart w:id="105" w:name="_Toc292559867"/>
      <w:bookmarkStart w:id="106" w:name="_Toc297120457"/>
      <w:bookmarkStart w:id="107" w:name="_Toc296346658"/>
      <w:bookmarkStart w:id="108" w:name="_Toc296503157"/>
      <w:bookmarkStart w:id="109" w:name="_Toc296944496"/>
      <w:r>
        <w:rPr>
          <w:rFonts w:hint="eastAsia" w:ascii="宋体" w:hAnsi="宋体" w:eastAsia="宋体" w:cs="宋体"/>
          <w:bCs w:val="0"/>
          <w:color w:val="auto"/>
          <w:szCs w:val="32"/>
          <w:highlight w:val="none"/>
        </w:rPr>
        <w:t>. 发包人</w:t>
      </w:r>
      <w:bookmarkEnd w:id="97"/>
      <w:bookmarkEnd w:id="98"/>
      <w:bookmarkEnd w:id="99"/>
    </w:p>
    <w:bookmarkEnd w:id="100"/>
    <w:bookmarkEnd w:id="101"/>
    <w:bookmarkEnd w:id="102"/>
    <w:bookmarkEnd w:id="103"/>
    <w:bookmarkEnd w:id="104"/>
    <w:bookmarkEnd w:id="105"/>
    <w:bookmarkEnd w:id="106"/>
    <w:bookmarkEnd w:id="107"/>
    <w:bookmarkEnd w:id="108"/>
    <w:bookmarkEnd w:id="109"/>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2.2 发包人代表</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发包人代表：</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姓    名：</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身份证号：</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职    务：</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联系电话：</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电子信箱：</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通信地址：</w:t>
      </w:r>
      <w:r>
        <w:rPr>
          <w:rFonts w:hint="eastAsia" w:ascii="宋体" w:hAnsi="宋体" w:eastAsia="宋体" w:cs="宋体"/>
          <w:color w:val="auto"/>
          <w:szCs w:val="32"/>
          <w:highlight w:val="none"/>
          <w:u w:val="single"/>
        </w:rPr>
        <w:t>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发包人对发包人代表的授权范围如下：</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①检查和督促承包人和监理人执行合同；</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②检查和督促监理工程师行使职权；</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③协调施工现场各方面的关系；</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④协调工程质量、进度和安全文明等施工中出现的问题；</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⑤责令监理工程师查封、扣押施工现场发现不符合质量要求的建筑材料、建筑构配件和设备；</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⑥审核工程进度报表，参与审核工程进度款的支付；</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⑦监督和检查确认承包人主要施工管理人员施工现场在岗/出勤情况及监理人主要监理人员施工现场在岗/出勤情况；</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⑧对承包人、监理人提交文件的签证；</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⑨组织工程竣工验收；</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⑩发包人授权的其他事项。</w:t>
      </w:r>
    </w:p>
    <w:p>
      <w:pPr>
        <w:spacing w:after="120" w:line="440" w:lineRule="exact"/>
        <w:ind w:firstLine="420" w:firstLineChars="200"/>
        <w:outlineLvl w:val="0"/>
        <w:rPr>
          <w:rFonts w:hint="eastAsia" w:ascii="宋体" w:hAnsi="宋体" w:eastAsia="宋体" w:cs="宋体"/>
          <w:color w:val="auto"/>
          <w:szCs w:val="32"/>
          <w:highlight w:val="none"/>
        </w:rPr>
      </w:pPr>
      <w:bookmarkStart w:id="110" w:name="_Toc27550098"/>
      <w:r>
        <w:rPr>
          <w:rFonts w:hint="eastAsia" w:ascii="宋体" w:hAnsi="宋体" w:eastAsia="宋体" w:cs="宋体"/>
          <w:color w:val="auto"/>
          <w:szCs w:val="32"/>
          <w:highlight w:val="none"/>
        </w:rPr>
        <w:t>2.4 施工现场、施工条件和基础资料的提供</w:t>
      </w:r>
      <w:bookmarkEnd w:id="110"/>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b/>
          <w:bCs/>
          <w:color w:val="auto"/>
          <w:szCs w:val="21"/>
          <w:highlight w:val="none"/>
          <w:lang w:val="en-US" w:eastAsia="zh-CN"/>
        </w:rPr>
        <w:t>取得中标通知书后且</w:t>
      </w:r>
      <w:r>
        <w:rPr>
          <w:rFonts w:hint="eastAsia" w:ascii="宋体" w:hAnsi="宋体" w:eastAsia="宋体" w:cs="宋体"/>
          <w:b/>
          <w:bCs/>
          <w:color w:val="auto"/>
          <w:szCs w:val="21"/>
          <w:highlight w:val="none"/>
          <w:u w:val="single"/>
        </w:rPr>
        <w:t>开工通知载明的开工日期7 日</w:t>
      </w:r>
      <w:r>
        <w:rPr>
          <w:rFonts w:hint="eastAsia" w:ascii="宋体" w:hAnsi="宋体" w:eastAsia="宋体" w:cs="宋体"/>
          <w:b/>
          <w:bCs/>
          <w:color w:val="auto"/>
          <w:szCs w:val="21"/>
          <w:highlight w:val="none"/>
          <w:u w:val="single"/>
          <w:lang w:val="en-US" w:eastAsia="zh-CN"/>
        </w:rPr>
        <w:t>内</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pPr>
        <w:spacing w:line="44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b/>
          <w:bCs/>
          <w:color w:val="auto"/>
          <w:szCs w:val="21"/>
          <w:highlight w:val="none"/>
          <w:u w:val="single"/>
        </w:rPr>
        <w:t>发包人负责提供电源</w:t>
      </w:r>
      <w:r>
        <w:rPr>
          <w:rFonts w:hint="eastAsia" w:ascii="宋体" w:hAnsi="宋体" w:eastAsia="宋体" w:cs="宋体"/>
          <w:b/>
          <w:bCs/>
          <w:color w:val="auto"/>
          <w:szCs w:val="21"/>
          <w:highlight w:val="none"/>
          <w:u w:val="single"/>
          <w:lang w:val="en-US" w:eastAsia="zh-CN"/>
        </w:rPr>
        <w:t>接入点</w:t>
      </w:r>
      <w:r>
        <w:rPr>
          <w:rFonts w:hint="eastAsia" w:ascii="宋体" w:hAnsi="宋体" w:eastAsia="宋体" w:cs="宋体"/>
          <w:b/>
          <w:bCs/>
          <w:color w:val="auto"/>
          <w:szCs w:val="21"/>
          <w:highlight w:val="none"/>
          <w:u w:val="single"/>
        </w:rPr>
        <w:t>，由承包人从接点接入施工现场。从发包人提供的电源至施工用电设备线路的安装由承包人负责实施，安装费、线路、设备购置费及施工过程中发生的所有电费，无论承包人是否在投标报价中单独列支，发包人均认为此项费用包含在投标报价中。</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发包人负责提供水源</w:t>
      </w:r>
      <w:r>
        <w:rPr>
          <w:rFonts w:hint="eastAsia" w:ascii="宋体" w:hAnsi="宋体" w:eastAsia="宋体" w:cs="宋体"/>
          <w:b/>
          <w:bCs/>
          <w:color w:val="auto"/>
          <w:szCs w:val="21"/>
          <w:highlight w:val="none"/>
          <w:u w:val="single"/>
          <w:lang w:val="en-US" w:eastAsia="zh-CN"/>
        </w:rPr>
        <w:t>接入点</w:t>
      </w:r>
      <w:r>
        <w:rPr>
          <w:rFonts w:hint="eastAsia" w:ascii="宋体" w:hAnsi="宋体" w:eastAsia="宋体" w:cs="宋体"/>
          <w:b/>
          <w:bCs/>
          <w:color w:val="auto"/>
          <w:szCs w:val="21"/>
          <w:highlight w:val="none"/>
          <w:u w:val="single"/>
        </w:rPr>
        <w:t>，由承包人从接点接入施工现场。从发包人提供的水源至施工各用水点的管路安装、布置由承包人负责实施，其安装费、管材、设备购置费及施工过程中发生的所有水费，无论承包人是否在投标报价中单独列支，发包人均认为此项费用包含在投标报价中。</w:t>
      </w:r>
    </w:p>
    <w:p>
      <w:pPr>
        <w:pStyle w:val="19"/>
        <w:ind w:firstLine="421"/>
        <w:jc w:val="both"/>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场外施工道路为市政现状，场内施工道路由承包人根据批准的施工组织设计在开工前自行完成，并满足施工要求及有关规定，此费用包含在投标报价内</w:t>
      </w:r>
    </w:p>
    <w:p>
      <w:pPr>
        <w:pStyle w:val="19"/>
        <w:ind w:firstLine="421"/>
        <w:jc w:val="both"/>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图纸会审和设计交底时间:开工前一周内。开工前一周内完成施工期间的周边关系及第三方干扰等由承包人负责协调，所需费用含在投标报价中。</w:t>
      </w:r>
    </w:p>
    <w:p>
      <w:pPr>
        <w:pStyle w:val="19"/>
        <w:ind w:firstLine="421"/>
        <w:jc w:val="both"/>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由承包人负责协调处理施工场地周围地下管线和临近建筑物、构筑物（含文物保护建筑）、古树名木的的保护工作。承包人根据施工需要进行保护，所需费用含在投标报价内。</w:t>
      </w:r>
    </w:p>
    <w:p>
      <w:pPr>
        <w:spacing w:line="440" w:lineRule="exact"/>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2.4.3 提供基础资料</w:t>
      </w:r>
    </w:p>
    <w:p>
      <w:pPr>
        <w:spacing w:line="440" w:lineRule="exact"/>
        <w:ind w:firstLine="420" w:firstLineChars="200"/>
        <w:jc w:val="left"/>
        <w:rPr>
          <w:rFonts w:hint="eastAsia"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u w:val="single"/>
        </w:rPr>
        <w:t>在办理施工安全技术措施审查前，组织工程监理单位、施工总承包单位共同拟定文明施工现场创建目标、规划和措施。工程项目开工前，建设单位、监理单位、施工单位应在办理安全技术措施审查的同时，签署工程文明施工管理目标</w:t>
      </w:r>
    </w:p>
    <w:p>
      <w:pPr>
        <w:spacing w:after="120" w:line="440" w:lineRule="exact"/>
        <w:ind w:firstLine="420" w:firstLineChars="200"/>
        <w:outlineLvl w:val="0"/>
        <w:rPr>
          <w:rFonts w:hint="eastAsia" w:ascii="宋体" w:hAnsi="宋体" w:eastAsia="宋体" w:cs="宋体"/>
          <w:color w:val="auto"/>
          <w:szCs w:val="32"/>
          <w:highlight w:val="none"/>
        </w:rPr>
      </w:pPr>
      <w:bookmarkStart w:id="111" w:name="_Toc27550099"/>
      <w:r>
        <w:rPr>
          <w:rFonts w:hint="eastAsia" w:ascii="宋体" w:hAnsi="宋体" w:eastAsia="宋体" w:cs="宋体"/>
          <w:color w:val="auto"/>
          <w:szCs w:val="32"/>
          <w:highlight w:val="none"/>
        </w:rPr>
        <w:t>2.5 资金来源证明及支付担保</w:t>
      </w:r>
      <w:bookmarkEnd w:id="111"/>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发包人提供资金来源证明的期限要求：</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发包人是否提供支付担保：</w:t>
      </w:r>
      <w:r>
        <w:rPr>
          <w:rFonts w:hint="eastAsia" w:ascii="宋体" w:hAnsi="宋体" w:eastAsia="宋体" w:cs="宋体"/>
          <w:b/>
          <w:bCs/>
          <w:color w:val="auto"/>
          <w:szCs w:val="21"/>
          <w:highlight w:val="none"/>
          <w:u w:val="single"/>
          <w:lang w:val="en-US" w:eastAsia="zh-CN"/>
        </w:rPr>
        <w:t>否</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发包人提供支付担保的形式：</w:t>
      </w:r>
      <w:r>
        <w:rPr>
          <w:rFonts w:hint="eastAsia" w:ascii="宋体" w:hAnsi="宋体" w:eastAsia="宋体" w:cs="宋体"/>
          <w:b/>
          <w:bCs/>
          <w:color w:val="auto"/>
          <w:szCs w:val="21"/>
          <w:highlight w:val="none"/>
          <w:u w:val="single"/>
          <w:lang w:val="en-US" w:eastAsia="zh-CN"/>
        </w:rPr>
        <w:t xml:space="preserve">  /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112" w:name="_Toc22390_WPSOffice_Level2"/>
      <w:bookmarkStart w:id="113" w:name="_Toc18359_WPSOffice_Level2"/>
      <w:bookmarkStart w:id="114" w:name="_Toc351203635"/>
      <w:r>
        <w:rPr>
          <w:rFonts w:hint="eastAsia" w:ascii="宋体" w:hAnsi="宋体" w:eastAsia="宋体" w:cs="宋体"/>
          <w:bCs w:val="0"/>
          <w:color w:val="auto"/>
          <w:szCs w:val="32"/>
          <w:highlight w:val="none"/>
        </w:rPr>
        <w:t>3</w:t>
      </w:r>
      <w:bookmarkStart w:id="115" w:name="_Toc292559363"/>
      <w:bookmarkStart w:id="116" w:name="_Toc296944497"/>
      <w:bookmarkStart w:id="117" w:name="_Toc297120458"/>
      <w:bookmarkStart w:id="118" w:name="_Toc296346659"/>
      <w:bookmarkStart w:id="119" w:name="_Toc296890986"/>
      <w:bookmarkStart w:id="120" w:name="_Toc296347157"/>
      <w:bookmarkStart w:id="121" w:name="_Toc296503158"/>
      <w:bookmarkStart w:id="122" w:name="_Toc292559868"/>
      <w:bookmarkStart w:id="123" w:name="_Toc297048344"/>
      <w:bookmarkStart w:id="124" w:name="_Toc296891198"/>
      <w:r>
        <w:rPr>
          <w:rFonts w:hint="eastAsia" w:ascii="宋体" w:hAnsi="宋体" w:eastAsia="宋体" w:cs="宋体"/>
          <w:bCs w:val="0"/>
          <w:color w:val="auto"/>
          <w:szCs w:val="32"/>
          <w:highlight w:val="none"/>
        </w:rPr>
        <w:t>. 承包人</w:t>
      </w:r>
      <w:bookmarkEnd w:id="112"/>
      <w:bookmarkEnd w:id="113"/>
      <w:bookmarkEnd w:id="114"/>
    </w:p>
    <w:bookmarkEnd w:id="115"/>
    <w:bookmarkEnd w:id="116"/>
    <w:bookmarkEnd w:id="117"/>
    <w:bookmarkEnd w:id="118"/>
    <w:bookmarkEnd w:id="119"/>
    <w:bookmarkEnd w:id="120"/>
    <w:bookmarkEnd w:id="121"/>
    <w:bookmarkEnd w:id="122"/>
    <w:bookmarkEnd w:id="123"/>
    <w:bookmarkEnd w:id="124"/>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3.1 承包人的一般义务</w:t>
      </w:r>
    </w:p>
    <w:p>
      <w:pPr>
        <w:spacing w:line="440" w:lineRule="exact"/>
        <w:ind w:firstLine="420" w:firstLineChars="200"/>
        <w:jc w:val="left"/>
        <w:rPr>
          <w:rFonts w:hint="eastAsia" w:ascii="宋体" w:hAnsi="宋体" w:eastAsia="宋体" w:cs="宋体"/>
          <w:b w:val="0"/>
          <w:bCs w:val="0"/>
          <w:color w:val="auto"/>
          <w:szCs w:val="21"/>
          <w:highlight w:val="none"/>
          <w:u w:val="single"/>
          <w:lang w:eastAsia="en-US"/>
        </w:rPr>
      </w:pPr>
      <w:r>
        <w:rPr>
          <w:rFonts w:hint="eastAsia" w:ascii="宋体" w:hAnsi="宋体" w:eastAsia="宋体" w:cs="宋体"/>
          <w:b w:val="0"/>
          <w:bCs w:val="0"/>
          <w:color w:val="auto"/>
          <w:szCs w:val="21"/>
          <w:highlight w:val="none"/>
          <w:u w:val="single"/>
          <w:lang w:eastAsia="en-US"/>
        </w:rPr>
        <w:t>3.1.1 在本合同实施过程中，承包人应对现场施工人员及现场其他第三人的安全、现场施工秩序、工程保护、环境保护、消防、用电安全等负责，并对工地照明、防护标志和警示信号设置、门卫人员配置等作出具体安排，充分考虑施工的特殊性，确保安全生产无事故，并承担相关的责任和损失；</w:t>
      </w:r>
    </w:p>
    <w:p>
      <w:pPr>
        <w:spacing w:line="440" w:lineRule="exact"/>
        <w:ind w:firstLine="420" w:firstLineChars="200"/>
        <w:jc w:val="left"/>
        <w:rPr>
          <w:rFonts w:hint="eastAsia" w:ascii="宋体" w:hAnsi="宋体" w:eastAsia="宋体" w:cs="宋体"/>
          <w:b w:val="0"/>
          <w:bCs w:val="0"/>
          <w:color w:val="auto"/>
          <w:szCs w:val="21"/>
          <w:highlight w:val="none"/>
          <w:u w:val="single"/>
          <w:lang w:eastAsia="en-US"/>
        </w:rPr>
      </w:pPr>
      <w:r>
        <w:rPr>
          <w:rFonts w:hint="eastAsia" w:ascii="宋体" w:hAnsi="宋体" w:eastAsia="宋体" w:cs="宋体"/>
          <w:b w:val="0"/>
          <w:bCs w:val="0"/>
          <w:color w:val="auto"/>
          <w:szCs w:val="21"/>
          <w:highlight w:val="none"/>
          <w:u w:val="single"/>
          <w:lang w:eastAsia="en-US"/>
        </w:rPr>
        <w:t>3.1.2 施工过程中的排污、环卫、市容、城建、城管、治安、人工管理等相关手续由承包人按规定负责办理，对临近居民和行人的影响由承包人负责处理并承担相应费用；</w:t>
      </w:r>
    </w:p>
    <w:p>
      <w:pPr>
        <w:spacing w:line="440" w:lineRule="exact"/>
        <w:ind w:firstLine="420" w:firstLineChars="200"/>
        <w:jc w:val="left"/>
        <w:rPr>
          <w:rFonts w:hint="eastAsia" w:ascii="宋体" w:hAnsi="宋体" w:eastAsia="宋体" w:cs="宋体"/>
          <w:b w:val="0"/>
          <w:bCs w:val="0"/>
          <w:color w:val="auto"/>
          <w:szCs w:val="21"/>
          <w:highlight w:val="none"/>
          <w:u w:val="single"/>
          <w:lang w:eastAsia="en-US"/>
        </w:rPr>
      </w:pPr>
      <w:r>
        <w:rPr>
          <w:rFonts w:hint="eastAsia" w:ascii="宋体" w:hAnsi="宋体" w:eastAsia="宋体" w:cs="宋体"/>
          <w:b w:val="0"/>
          <w:bCs w:val="0"/>
          <w:color w:val="auto"/>
          <w:szCs w:val="21"/>
          <w:highlight w:val="none"/>
          <w:u w:val="single"/>
          <w:lang w:eastAsia="en-US"/>
        </w:rPr>
        <w:t>3.1.3 承包人负责采取有效措施对已完成工程成品的保护，费用由承包人承担。保护期间发生的损坏，承包人自费予以修理。损坏其他单位所承担的施工内容，承包人负责赔偿，并承担修复费用；</w:t>
      </w:r>
    </w:p>
    <w:p>
      <w:pPr>
        <w:spacing w:line="440" w:lineRule="exact"/>
        <w:ind w:firstLine="420" w:firstLineChars="200"/>
        <w:jc w:val="left"/>
        <w:rPr>
          <w:rFonts w:hint="eastAsia" w:ascii="宋体" w:hAnsi="宋体" w:eastAsia="宋体" w:cs="宋体"/>
          <w:b w:val="0"/>
          <w:bCs w:val="0"/>
          <w:color w:val="auto"/>
          <w:szCs w:val="21"/>
          <w:highlight w:val="none"/>
          <w:u w:val="single"/>
          <w:lang w:eastAsia="en-US"/>
        </w:rPr>
      </w:pPr>
      <w:r>
        <w:rPr>
          <w:rFonts w:hint="eastAsia" w:ascii="宋体" w:hAnsi="宋体" w:eastAsia="宋体" w:cs="宋体"/>
          <w:b w:val="0"/>
          <w:bCs w:val="0"/>
          <w:color w:val="auto"/>
          <w:szCs w:val="21"/>
          <w:highlight w:val="none"/>
          <w:u w:val="single"/>
          <w:lang w:eastAsia="en-US"/>
        </w:rPr>
        <w:t>3.1.4 承包人按规定做好施工场地周围地下管线和邻近建筑物的保护；</w:t>
      </w:r>
    </w:p>
    <w:p>
      <w:pPr>
        <w:spacing w:line="440" w:lineRule="exact"/>
        <w:ind w:firstLine="420" w:firstLineChars="200"/>
        <w:jc w:val="left"/>
        <w:rPr>
          <w:rFonts w:hint="eastAsia" w:ascii="宋体" w:hAnsi="宋体" w:eastAsia="宋体" w:cs="宋体"/>
          <w:b w:val="0"/>
          <w:bCs w:val="0"/>
          <w:color w:val="auto"/>
          <w:szCs w:val="21"/>
          <w:highlight w:val="none"/>
          <w:u w:val="single"/>
          <w:lang w:eastAsia="en-US"/>
        </w:rPr>
      </w:pPr>
      <w:r>
        <w:rPr>
          <w:rFonts w:hint="eastAsia" w:ascii="宋体" w:hAnsi="宋体" w:eastAsia="宋体" w:cs="宋体"/>
          <w:b w:val="0"/>
          <w:bCs w:val="0"/>
          <w:color w:val="auto"/>
          <w:szCs w:val="21"/>
          <w:highlight w:val="none"/>
          <w:u w:val="single"/>
          <w:lang w:eastAsia="en-US"/>
        </w:rPr>
        <w:t>3.1.5 符合徐州市有关部门规定的标准化施工现场要求，同时应满足市政、市容等相关主管部门的有关规定。承包人违反规定所造成的损失和处罚有承包人承担。交工后一周内彻底清洁完毕撤离现场。</w:t>
      </w:r>
    </w:p>
    <w:p>
      <w:pPr>
        <w:spacing w:line="440" w:lineRule="exact"/>
        <w:ind w:firstLine="420" w:firstLineChars="200"/>
        <w:jc w:val="left"/>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val="0"/>
          <w:bCs w:val="0"/>
          <w:color w:val="auto"/>
          <w:szCs w:val="21"/>
          <w:highlight w:val="none"/>
          <w:u w:val="single"/>
          <w:lang w:eastAsia="en-US"/>
        </w:rPr>
        <w:t>3.1.6 承包人必须对工程现场施工人员全部实行实名制考勤管理，签订劳动合同，设立工资存储专户，按照工程进度和工人实名制登记信息，按月足额由银行代发工资。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sz w:val="21"/>
          <w:szCs w:val="21"/>
          <w:highlight w:val="none"/>
          <w:lang w:eastAsia="en-US"/>
        </w:rPr>
        <w:t>（9）承包人提交的竣工资料的内容：</w:t>
      </w:r>
      <w:r>
        <w:rPr>
          <w:rFonts w:hint="eastAsia" w:ascii="宋体" w:hAnsi="宋体" w:eastAsia="宋体" w:cs="宋体"/>
          <w:b w:val="0"/>
          <w:bCs w:val="0"/>
          <w:color w:val="auto"/>
          <w:szCs w:val="21"/>
          <w:highlight w:val="none"/>
          <w:u w:val="single"/>
          <w:lang w:eastAsia="en-US"/>
        </w:rPr>
        <w:t>承包人按照GB/T50328-2019《建设工程文件归档规范》及江苏省相关法规、规范标准及本发包人相关规定绘制竣工图及完整的工程技术档案、工程质量保修书、及有关工程使用、保养、维护的说明。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b w:val="0"/>
          <w:bCs w:val="0"/>
          <w:color w:val="auto"/>
          <w:szCs w:val="21"/>
          <w:highlight w:val="none"/>
          <w:u w:val="single"/>
          <w:lang w:eastAsia="en-US"/>
        </w:rPr>
      </w:pPr>
      <w:r>
        <w:rPr>
          <w:rFonts w:hint="eastAsia" w:ascii="宋体" w:hAnsi="宋体" w:eastAsia="宋体" w:cs="宋体"/>
          <w:snapToGrid w:val="0"/>
          <w:color w:val="auto"/>
          <w:spacing w:val="7"/>
          <w:kern w:val="0"/>
          <w:sz w:val="21"/>
          <w:szCs w:val="21"/>
          <w:highlight w:val="none"/>
          <w:lang w:eastAsia="en-US"/>
        </w:rPr>
        <w:t>承包人需要提交的竣工资料套数：</w:t>
      </w:r>
      <w:r>
        <w:rPr>
          <w:rFonts w:hint="eastAsia" w:ascii="宋体" w:hAnsi="宋体" w:eastAsia="宋体" w:cs="宋体"/>
          <w:b w:val="0"/>
          <w:bCs w:val="0"/>
          <w:color w:val="auto"/>
          <w:szCs w:val="21"/>
          <w:highlight w:val="none"/>
          <w:u w:val="single"/>
          <w:lang w:eastAsia="en-US"/>
        </w:rPr>
        <w:t>纸质版肆套，电子版壹套，符合城建档案馆和行政主管部门要求。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9"/>
          <w:kern w:val="0"/>
          <w:sz w:val="21"/>
          <w:szCs w:val="21"/>
          <w:highlight w:val="none"/>
          <w:lang w:eastAsia="en-US"/>
        </w:rPr>
        <w:t>承包人提交的竣工资料的费用承担：</w:t>
      </w:r>
      <w:r>
        <w:rPr>
          <w:rFonts w:hint="eastAsia" w:ascii="宋体" w:hAnsi="宋体" w:eastAsia="宋体" w:cs="宋体"/>
          <w:b w:val="0"/>
          <w:bCs w:val="0"/>
          <w:color w:val="auto"/>
          <w:szCs w:val="21"/>
          <w:highlight w:val="none"/>
          <w:u w:val="single"/>
          <w:lang w:eastAsia="en-US"/>
        </w:rPr>
        <w:t>承包人承担</w:t>
      </w:r>
      <w:r>
        <w:rPr>
          <w:rFonts w:hint="eastAsia" w:ascii="宋体" w:hAnsi="宋体" w:eastAsia="宋体" w:cs="宋体"/>
          <w:snapToGrid w:val="0"/>
          <w:color w:val="auto"/>
          <w:spacing w:val="9"/>
          <w:kern w:val="0"/>
          <w:sz w:val="21"/>
          <w:szCs w:val="21"/>
          <w:highlight w:val="none"/>
          <w:lang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9"/>
          <w:kern w:val="0"/>
          <w:sz w:val="21"/>
          <w:szCs w:val="21"/>
          <w:highlight w:val="none"/>
          <w:lang w:eastAsia="en-US"/>
        </w:rPr>
        <w:t>承包人提交的竣工资料移交时间：</w:t>
      </w:r>
      <w:r>
        <w:rPr>
          <w:rFonts w:hint="eastAsia" w:ascii="宋体" w:hAnsi="宋体" w:eastAsia="宋体" w:cs="宋体"/>
          <w:b w:val="0"/>
          <w:bCs w:val="0"/>
          <w:color w:val="auto"/>
          <w:szCs w:val="21"/>
          <w:highlight w:val="none"/>
          <w:u w:val="single"/>
          <w:lang w:eastAsia="en-US"/>
        </w:rPr>
        <w:t>工程竣工验收合格之日起28天内完成移交，若逾期提交，发包人有权暂停支付工程款。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9"/>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9"/>
          <w:kern w:val="0"/>
          <w:sz w:val="21"/>
          <w:szCs w:val="21"/>
          <w:highlight w:val="none"/>
          <w:lang w:eastAsia="en-US"/>
        </w:rPr>
        <w:t>承包人提交的竣工资料形式要求：</w:t>
      </w:r>
      <w:r>
        <w:rPr>
          <w:rFonts w:hint="eastAsia" w:ascii="宋体" w:hAnsi="宋体" w:eastAsia="宋体" w:cs="宋体"/>
          <w:b w:val="0"/>
          <w:bCs w:val="0"/>
          <w:color w:val="auto"/>
          <w:szCs w:val="21"/>
          <w:highlight w:val="none"/>
          <w:u w:val="single"/>
          <w:lang w:eastAsia="en-US"/>
        </w:rPr>
        <w:t>按照相关规范及徐州市城建档案等管理部门和发包人要求，立卷、装订成册的纸质文档和电子文档</w:t>
      </w:r>
      <w:r>
        <w:rPr>
          <w:rFonts w:hint="eastAsia" w:ascii="宋体" w:hAnsi="宋体" w:eastAsia="宋体" w:cs="宋体"/>
          <w:snapToGrid w:val="0"/>
          <w:color w:val="auto"/>
          <w:kern w:val="0"/>
          <w:sz w:val="21"/>
          <w:szCs w:val="21"/>
          <w:highlight w:val="none"/>
          <w:u w:val="single"/>
          <w:lang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7"/>
          <w:kern w:val="0"/>
          <w:sz w:val="21"/>
          <w:szCs w:val="21"/>
          <w:highlight w:val="none"/>
          <w:lang w:eastAsia="en-US"/>
        </w:rPr>
        <w:t>（10）承包人应履行的其他义务：</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1)办理合同备案及相关手续，并缴纳相关费用；</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2)应提供计划、报表的名称及完成时间：按月提供，每月20日之前提供当月完成进度及下月施工计划。</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3)承担施工安全保卫工作及非夜间施工照明的责任和要求：由承包人按建设行政管理部门和相关部门的要求自行承担，并设置明显警示标志和专职人员维护公共安全。</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4)向发包人提供的办公和生活房屋及设施的要求：发包人驻施工现场管理人员必要的办公用房及设施由承包人负责免费提供。</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5)需承包人办理的有关施工场地交通、环卫和施工噪音管理等手续：由承包人负责承担，费用也由承包方承担。</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6)已完工程成品保护的特殊要求及费用承担：由承包人负责承担。</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7)施工场地周围地下管线和邻近建筑物、构筑物（含文物保护建筑）、古树名木的保护要求及费用承担：承包人在施工时发现地下管线、文物时，应停止施工并及时报告监理工程师和发包人，在会同有关单位部门共同研究方案后再实施，费用由承包人在投标报价中自行考虑。</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8)施工场地清洁卫生和要求：应按建设行政主管部门和相关部门的规定办理，所需费用由承包人负担。</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9)承包人负责在需要的时间和地点，自费提供和维护有灯光、护板、格栅警告信号和警卫，以及对工程进行保护或为公众提供安全和方便。承包人负责在工程施工整个过程中施工现场在承包范围内全部人员的安全。发包人不承担承包人或其内部班组雇用工人或其他人员的伤亡赔偿或补偿责任。承包人在施工现场的安全管理、教育和安全事故的责任由承包人承担。因承包人未履行上述义务给发包方造成的损失及财产损失的，承包方应负全部的赔偿责任。</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10)地方关系由承包人负责协调，费用包含在合同价款中。</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11)承包人对工程建设期间扬尘治理工作负主体责任。应制定施工现场扬尘污染防治专项方案，按照承包工程范围做好扬尘污染防治措施的落实。方案必须符合我市“徐空气提升办【2018】11号”和“徐城管发【2018】55号”等关于扬尘管控的相关规定要求。该费用按照江苏省住房和城乡建设厅《关于调整建设工程按质论价等费用计取方法的公告【2018】第24号》文件要求执行，已经包含在投标报价中，结算不再增加此项费用。</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 xml:space="preserve">12)承包人勘查现场后已经在施工组织设计中体现：1、承包人与现场其他施工企业保持有序、顺利施工的措施方案；2、现场分段施工的措施方案；3、现场开辟新临时通道的方案；4、必须满足城管部门对围挡、冲洗设备及到（道）路的要求，如对数字化城管下达的工地管理案件整改单，未能按期整改结案的，每个案件处罚现金一千元。且承包人必须考虑完成以上4点所要增加的一切费用。发包人在临时设施费用中为承包人综合考虑了以上费用，承包人自主报价，结算时发包人人不再支付与以上4点关联的任何费用。 </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13)检测机构检测费用不单独列项，承包人应综合考虑在企业管理费中，包括但不限于：材料常规检验试验及相关费用（例如混凝土试块、钢筋原材、钢筋焊接试件送检等常规材料检测）、建筑工程质量检测、主体结构检测及相关费用、基础检测及工程质量检测发生的第三方检测费用等，结算时不再调整。发包人不再承担此类费用。需要明确的是，对新工艺、新材料以及对构件做破坏性试验，按检测报告结果，检测合格，检测费用由发包人支付；检测不合格，视为承包人违约，检测费、整改至合格的费用由承包人支付，如影响工程质量或造成其它损失需要支付相关分项工程5%的违约金。</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14)在本合同实施过程中，承包人应对现场施工人员及现场其他第三人的安全、现场施工秩序、工程保护、环境保护、消防、用电安全等负责，并就工地照明、防护标志和警示信号设置、门卫人员配置等作出具体安排，充分考虑施工的特殊性，确保安全生产无事故，并承担相关的责任和损失。</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15)施工过程中的排污、环卫、市容、城建、城管、治安、人口管理等相关手续由承包人按规定负责办理并承担因此产生的一切费用，对临近居民和行人的影响由承包人负责处理，并承担一切责任，如因与邻近居民或行人发生冲突，导致工程停工，所有停工损失及产生的费用由承包人承担，结算时不再调整。若因上述原因引起相关部门的处罚，则由承包人承担处罚的费用，并从工程款中扣除。</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16）环保管控措施必须满足主管部门要求，费用由承包人承担。</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17)承包人负责采取有效措施对已完成工程成品的保护，费用由承包人承担。保护期间发生的损坏承包人自费予以修理。损坏其他单位所承担的施工内容，由承包人负责赔偿，并承担修复费用。</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18)符合徐州市有关部门规定的标准化施工现场要求，同时应满足市政、市容等相关主管部门的有关规定。道路施工工地一律实行封闭施工、防尘网覆盖、定时洒水，控制扬尘污染等安全文明施工措施。不符合要求者，承包人应承担200-2000元／次的违约金。承包人违反规定所造成的损失和处罚由承包人承担。承包人负责在竣工验收合格后交十日内将施工现场彻底清洁完毕，承包人拒绝清洁的，发包人有权安排其他施工单位实施，所属费用从承包人工程款中扣除。</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19）承包人必须对工程现场施工人员全部实行实名制考勤管理，签订劳动合同，设立工资存储专户，按照工程进度和工人实名制登记信息，按月足额由银行代发工资。</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20）承包人中标后5日内自行编制完成交通导行方案，并通过相关部门审批，由此产生的相关费用由承包人承担。</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21）发包方在施工期间对承包方施工管理人员进行考勤，由发包方、监理核查。达不到出勤要求的，发包方按照1000元／次对承包方进行处罚，罚金三日内上交，不交纳罚金的，发包方将从承包方工程款中双倍扣除。</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22）承包方投标前应充分考察现场，本工程现场施工范围内的绿化等移植、砍伐手续由承包人负责办理，发包人予以配合，所需费用由承包人承担，计入本次投标报价。</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23）承包方作为一名有经验的承包方，应预见施工中与综合管线等其他专业施工单位发生的配合工作，并主动将相关配合费用综合考虑在投标报价内，结算时不再调整。承包人按规定做好施工场地及周围地下管线、邻近建筑物等已完工程的保护。因承包人原因造成损坏，由承包人负责修复并承担一切费用。若承包人拒绝修复，发包人有权安排其他施工单位修复，所需费用从承包人工程款中扣除。</w:t>
      </w:r>
    </w:p>
    <w:p>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24）承包人应积极配合各类上级部门的各项检查及验收工作等，并积极做好各项迎检工作，所产生的费用由承包人承担，若承包人拒绝配合，发包人有权安排其他单位配合，所需费用从承包人工程款中扣除。</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3.2 项目经理</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p>
    <w:p>
      <w:pPr>
        <w:numPr>
          <w:ilvl w:val="0"/>
          <w:numId w:val="5"/>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领导、决策，调集企业所属各单位、各部门为项目进行全面服务和控制。 </w:t>
      </w:r>
    </w:p>
    <w:p>
      <w:pPr>
        <w:numPr>
          <w:ilvl w:val="0"/>
          <w:numId w:val="6"/>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代表承包人履行对业主的合约，并受发包人委托行使对项目所有分包商统一指挥、协调、管理权； </w:t>
      </w:r>
    </w:p>
    <w:p>
      <w:pPr>
        <w:numPr>
          <w:ilvl w:val="0"/>
          <w:numId w:val="6"/>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负责组织编制与审批工程总体进度计划及其修订与调整； </w:t>
      </w:r>
    </w:p>
    <w:p>
      <w:pPr>
        <w:numPr>
          <w:ilvl w:val="0"/>
          <w:numId w:val="6"/>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负责组织编制与审批质量保证计划及其修订与调整；</w:t>
      </w:r>
    </w:p>
    <w:p>
      <w:pPr>
        <w:numPr>
          <w:ilvl w:val="0"/>
          <w:numId w:val="6"/>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负责组织编制与审批主要物资供应与采购计划及其修订与调整； </w:t>
      </w:r>
    </w:p>
    <w:p>
      <w:pPr>
        <w:numPr>
          <w:ilvl w:val="0"/>
          <w:numId w:val="6"/>
        </w:num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负责组织编制与审批工程分包计划及其修订与调整； </w:t>
      </w:r>
    </w:p>
    <w:p>
      <w:pPr>
        <w:numPr>
          <w:ilvl w:val="0"/>
          <w:numId w:val="6"/>
        </w:num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组织工程成本的分析、预测及控制，对项目资金管理与财务运作负责； </w:t>
      </w:r>
    </w:p>
    <w:p>
      <w:pPr>
        <w:numPr>
          <w:ilvl w:val="0"/>
          <w:numId w:val="6"/>
        </w:num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与发包人、监理保持经常沟通，了解发包人需求，解决随时出现的问题，替发包人排忧解难，保护发包人利益； </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9.负责组织人力资源调配、内部和外部关系协调；遵照合同约定及施工组织设计中的内容实施于工程，当超出实施范围应向上级决策机构申报</w:t>
      </w:r>
      <w:r>
        <w:rPr>
          <w:rFonts w:hint="eastAsia" w:ascii="宋体" w:hAnsi="宋体" w:eastAsia="宋体" w:cs="宋体"/>
          <w:b/>
          <w:bCs/>
          <w:color w:val="auto"/>
          <w:szCs w:val="21"/>
          <w:highlight w:val="none"/>
        </w:rPr>
        <w:t>。</w:t>
      </w:r>
    </w:p>
    <w:p>
      <w:pPr>
        <w:spacing w:line="4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b/>
          <w:bCs/>
          <w:color w:val="auto"/>
          <w:szCs w:val="21"/>
          <w:highlight w:val="none"/>
          <w:u w:val="single"/>
        </w:rPr>
        <w:t xml:space="preserve"> 项目经理必须亲临施工现场组织本工程项目的施工</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必须严格遵循现行的有关法律、法规，切实履行自己的权利和义务。项目实施期间，项目经理应全程时驻守，现场办公，离开施工现场应向发包人驻工地代表请假。项目经理每月驻守工地时间不得低于24天，每天不低于8 小时，项目经理擅离职守，每发现一次，将向发包人支付3000元违约金。且应及时参加发包人、监理方组织的例会并保证现场施工及时顺畅的进行</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b/>
          <w:bCs/>
          <w:color w:val="auto"/>
          <w:szCs w:val="21"/>
          <w:highlight w:val="none"/>
          <w:u w:val="single"/>
        </w:rPr>
        <w:t>承包人承担叁万元的违约金，责令限期提交劳动合同并补缴社会保险。</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b/>
          <w:bCs/>
          <w:color w:val="auto"/>
          <w:szCs w:val="21"/>
          <w:highlight w:val="none"/>
          <w:u w:val="single"/>
        </w:rPr>
        <w:t>发包人有权要求承包人承担</w:t>
      </w:r>
      <w:r>
        <w:rPr>
          <w:rFonts w:hint="eastAsia" w:ascii="宋体" w:hAnsi="宋体" w:eastAsia="宋体" w:cs="宋体"/>
          <w:b/>
          <w:bCs/>
          <w:color w:val="auto"/>
          <w:szCs w:val="21"/>
          <w:highlight w:val="none"/>
          <w:u w:val="single"/>
          <w:lang w:val="en-US" w:eastAsia="zh-CN"/>
        </w:rPr>
        <w:t>3000</w:t>
      </w:r>
      <w:r>
        <w:rPr>
          <w:rFonts w:hint="eastAsia" w:ascii="宋体" w:hAnsi="宋体" w:eastAsia="宋体" w:cs="宋体"/>
          <w:b/>
          <w:bCs/>
          <w:color w:val="auto"/>
          <w:szCs w:val="21"/>
          <w:highlight w:val="none"/>
          <w:u w:val="single"/>
        </w:rPr>
        <w:t>元/天的违约金，且承包人承担上述违约给发包人造成的一切损失</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b/>
          <w:bCs/>
          <w:color w:val="auto"/>
          <w:szCs w:val="21"/>
          <w:highlight w:val="none"/>
          <w:u w:val="single"/>
        </w:rPr>
        <w:t>项目经理及项目部其他主要组成人员 （施工员、质量员、安全员等）应与承包人承诺的名单一致，并保持稳定，不应无故不到位或被替换 。 以上人员的变更，必须经发包人同意。未征得发包人同意撤换项目经理，承包人除应承担壹拾万元/次的违约金外，还应按照项目经理擅自离开现场的违约责任向发包人支付违约金，且发包人有权单方面取消或终止合同，由此造成的一切损失均由承包人承担</w:t>
      </w:r>
      <w:r>
        <w:rPr>
          <w:rFonts w:hint="eastAsia" w:ascii="宋体" w:hAnsi="宋体" w:eastAsia="宋体" w:cs="宋体"/>
          <w:color w:val="auto"/>
          <w:szCs w:val="21"/>
          <w:highlight w:val="none"/>
        </w:rPr>
        <w:t>。</w:t>
      </w:r>
    </w:p>
    <w:p>
      <w:pPr>
        <w:spacing w:line="440" w:lineRule="exact"/>
        <w:outlineLvl w:val="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 xml:space="preserve">    </w:t>
      </w:r>
      <w:bookmarkStart w:id="125" w:name="_Toc27550100"/>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b/>
          <w:bCs/>
          <w:color w:val="auto"/>
          <w:szCs w:val="21"/>
          <w:highlight w:val="none"/>
          <w:u w:val="single"/>
        </w:rPr>
        <w:t>在任何情况下，如果发包人要求撤换不能胜任本职工作 、 行为不端或玩忽职守的承包人项目经理，有权以书面通知承包人撤换项目经理，同时应在收到发包人通知之日起的 7 日内，委派经发包人与监理人同意的新的项目经理。承包人无正当理由拒绝更换项目经理，向发包人支付壹拾万元/次违约金，发包人并有权解除合同并责令承包人退场，由此产生的一切损失及后果由承包人承担。</w:t>
      </w:r>
    </w:p>
    <w:p>
      <w:pPr>
        <w:spacing w:line="440" w:lineRule="exact"/>
        <w:ind w:firstLine="422" w:firstLineChars="200"/>
        <w:outlineLvl w:val="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如承包人拒绝执行发包人的合理指令，发包人有权另行委托第三方执行指令，视情节轻重</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 xml:space="preserve"> 承包人向发包人支付1000-3000元/次的违约金，且执行指令的费用由承包人支付；若承包人拒绝支付，则发包人有权从承包人工程款中扣除</w:t>
      </w:r>
      <w:r>
        <w:rPr>
          <w:rFonts w:hint="eastAsia" w:ascii="宋体" w:hAnsi="宋体" w:eastAsia="宋体" w:cs="宋体"/>
          <w:color w:val="auto"/>
          <w:szCs w:val="21"/>
          <w:highlight w:val="none"/>
        </w:rPr>
        <w:t>。</w:t>
      </w:r>
      <w:bookmarkEnd w:id="125"/>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3.3 承包人人员</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3.3.1 承包人提交项目管理机构及施工现场管理人员安排报告的期限：</w:t>
      </w:r>
      <w:r>
        <w:rPr>
          <w:rFonts w:hint="eastAsia" w:ascii="宋体" w:hAnsi="宋体" w:eastAsia="宋体" w:cs="宋体"/>
          <w:b/>
          <w:bCs/>
          <w:color w:val="auto"/>
          <w:szCs w:val="21"/>
          <w:highlight w:val="none"/>
          <w:u w:val="single"/>
        </w:rPr>
        <w:t>合同</w:t>
      </w:r>
      <w:r>
        <w:rPr>
          <w:rFonts w:hint="eastAsia" w:ascii="宋体" w:hAnsi="宋体" w:eastAsia="宋体" w:cs="宋体"/>
          <w:b/>
          <w:bCs/>
          <w:color w:val="auto"/>
          <w:szCs w:val="21"/>
          <w:highlight w:val="none"/>
          <w:u w:val="single"/>
          <w:lang w:val="en-US" w:eastAsia="zh-CN"/>
        </w:rPr>
        <w:t>生效</w:t>
      </w:r>
      <w:r>
        <w:rPr>
          <w:rFonts w:hint="eastAsia" w:ascii="宋体" w:hAnsi="宋体" w:eastAsia="宋体" w:cs="宋体"/>
          <w:b/>
          <w:bCs/>
          <w:color w:val="auto"/>
          <w:szCs w:val="21"/>
          <w:highlight w:val="none"/>
          <w:u w:val="single"/>
        </w:rPr>
        <w:t>后7天内</w:t>
      </w:r>
      <w:r>
        <w:rPr>
          <w:rFonts w:hint="eastAsia" w:ascii="宋体" w:hAnsi="宋体" w:eastAsia="宋体" w:cs="宋体"/>
          <w:b/>
          <w:bCs/>
          <w:color w:val="auto"/>
          <w:szCs w:val="21"/>
          <w:highlight w:val="none"/>
          <w:u w:val="single"/>
          <w:lang w:val="en-US" w:eastAsia="zh-CN"/>
        </w:rPr>
        <w:t>按照投标文件的项目管理机构及施工现场管理人员提交</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b/>
          <w:bCs/>
          <w:color w:val="auto"/>
          <w:szCs w:val="32"/>
          <w:highlight w:val="none"/>
          <w:u w:val="single"/>
        </w:rPr>
      </w:pPr>
      <w:r>
        <w:rPr>
          <w:rFonts w:hint="eastAsia" w:ascii="宋体" w:hAnsi="宋体" w:eastAsia="宋体" w:cs="宋体"/>
          <w:color w:val="auto"/>
          <w:szCs w:val="32"/>
          <w:highlight w:val="none"/>
        </w:rPr>
        <w:t>3.3.3 承包人无正当理由拒绝撤换主要施工管理人员的违约责任：</w:t>
      </w:r>
      <w:r>
        <w:rPr>
          <w:rFonts w:hint="eastAsia" w:ascii="宋体" w:hAnsi="宋体" w:eastAsia="宋体" w:cs="宋体"/>
          <w:b/>
          <w:bCs/>
          <w:color w:val="auto"/>
          <w:szCs w:val="32"/>
          <w:highlight w:val="none"/>
          <w:u w:val="single"/>
        </w:rPr>
        <w:t>在任何情况下，如果发包人认为施工管理人员不能胜任工作，有权以书面通知，要求承包人更换施工管理人员；承包人应在收到发包人通知之日起的7天内，按照发包人要求，提出新的人选，报发包人批准后即刻任命。承包人拒绝更换的，承包人应承担壹万元∕人* 次的违约金，由此产生的一切损失及后果由承包人承担</w:t>
      </w:r>
      <w:r>
        <w:rPr>
          <w:rFonts w:hint="eastAsia" w:ascii="宋体" w:hAnsi="宋体" w:eastAsia="宋体" w:cs="宋体"/>
          <w:b/>
          <w:bCs/>
          <w:color w:val="auto"/>
          <w:szCs w:val="32"/>
          <w:highlight w:val="none"/>
          <w:u w:val="none"/>
        </w:rPr>
        <w:t>。</w:t>
      </w:r>
    </w:p>
    <w:p>
      <w:pPr>
        <w:spacing w:line="440" w:lineRule="exact"/>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3.3.4 承包人主要施工管理人员离开施工现场的批准要求：</w:t>
      </w:r>
      <w:r>
        <w:rPr>
          <w:rFonts w:hint="eastAsia" w:ascii="宋体" w:hAnsi="宋体" w:eastAsia="宋体" w:cs="宋体"/>
          <w:b/>
          <w:bCs/>
          <w:color w:val="auto"/>
          <w:szCs w:val="32"/>
          <w:highlight w:val="none"/>
          <w:u w:val="single"/>
          <w:lang w:val="en-US" w:eastAsia="zh-CN"/>
        </w:rPr>
        <w:t>主要施工管理人员，必须严格遵循现行的有关法律、法规，切实履行自己的权利和义务。项目实施期间，应全程驻守，现场办公，离开施工现场应由总监理工程师及发包人代表批准后方可离开。施工管理人员擅自离开施工现场，承包人承担1000元/人*天的违约金，承包人还应承担上述违约给发包人造成的损失</w:t>
      </w:r>
      <w:r>
        <w:rPr>
          <w:rFonts w:hint="eastAsia" w:ascii="宋体" w:hAnsi="宋体" w:eastAsia="宋体" w:cs="宋体"/>
          <w:b/>
          <w:bCs/>
          <w:color w:val="auto"/>
          <w:kern w:val="0"/>
          <w:sz w:val="20"/>
          <w:szCs w:val="20"/>
          <w:highlight w:val="none"/>
          <w:lang w:val="en-US" w:eastAsia="zh-CN" w:bidi="ar"/>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3.3.5承包人擅自更换主要施工管理人员的违约责任：</w:t>
      </w:r>
      <w:r>
        <w:rPr>
          <w:rFonts w:hint="eastAsia" w:ascii="宋体" w:hAnsi="宋体" w:eastAsia="宋体" w:cs="宋体"/>
          <w:b/>
          <w:bCs/>
          <w:color w:val="auto"/>
          <w:szCs w:val="32"/>
          <w:highlight w:val="none"/>
          <w:u w:val="single"/>
          <w:lang w:val="en-US" w:eastAsia="zh-CN"/>
        </w:rPr>
        <w:t>承包人的施工管理人员不能擅自更换，确须调整时，必须经发包人书面同意。擅自撤换技术负责人、质量负责人、安全负责人等其他项目部主要成员，承包人应承担壹万元∕人次的违约金，由此产生的一切损失及后果由承包人承担</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b/>
          <w:bCs/>
          <w:color w:val="auto"/>
          <w:szCs w:val="32"/>
          <w:highlight w:val="none"/>
          <w:u w:val="single"/>
          <w:lang w:val="en-US" w:eastAsia="zh-CN"/>
        </w:rPr>
      </w:pPr>
      <w:r>
        <w:rPr>
          <w:rFonts w:hint="eastAsia" w:ascii="宋体" w:hAnsi="宋体" w:eastAsia="宋体" w:cs="宋体"/>
          <w:color w:val="auto"/>
          <w:szCs w:val="32"/>
          <w:highlight w:val="none"/>
        </w:rPr>
        <w:t>承包人主要施工管理人员擅自离开施工现场的违约责任：</w:t>
      </w:r>
      <w:r>
        <w:rPr>
          <w:rFonts w:hint="eastAsia" w:ascii="宋体" w:hAnsi="宋体" w:eastAsia="宋体" w:cs="宋体"/>
          <w:b/>
          <w:bCs/>
          <w:color w:val="auto"/>
          <w:szCs w:val="32"/>
          <w:highlight w:val="none"/>
          <w:u w:val="single"/>
          <w:lang w:val="en-US" w:eastAsia="zh-CN"/>
        </w:rPr>
        <w:t>每查实一次支付违约金1000 元/人次，费用从当期应付工程款中直接扣除。如有特殊情况离开现场，应提前报请监理人、发包人同意</w:t>
      </w:r>
      <w:r>
        <w:rPr>
          <w:rFonts w:hint="eastAsia" w:ascii="宋体" w:hAnsi="宋体" w:eastAsia="宋体" w:cs="宋体"/>
          <w:b/>
          <w:bCs/>
          <w:color w:val="auto"/>
          <w:szCs w:val="32"/>
          <w:highlight w:val="none"/>
          <w:u w:val="none"/>
          <w:lang w:val="en-US" w:eastAsia="zh-CN"/>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w:t>
      </w:r>
      <w:bookmarkStart w:id="126" w:name="_Toc296503159"/>
      <w:bookmarkStart w:id="127" w:name="_Toc292559869"/>
      <w:bookmarkStart w:id="128" w:name="_Toc296891199"/>
      <w:bookmarkStart w:id="129" w:name="_Toc297120459"/>
      <w:bookmarkStart w:id="130" w:name="_Toc296890987"/>
      <w:bookmarkStart w:id="131" w:name="_Toc297123492"/>
      <w:bookmarkStart w:id="132" w:name="_Toc297048345"/>
      <w:bookmarkStart w:id="133" w:name="_Toc296944498"/>
      <w:bookmarkStart w:id="134" w:name="_Toc297216151"/>
      <w:bookmarkStart w:id="135" w:name="_Toc303539102"/>
      <w:bookmarkStart w:id="136" w:name="_Toc304295523"/>
      <w:bookmarkStart w:id="137" w:name="_Toc312677988"/>
      <w:bookmarkStart w:id="138" w:name="_Toc296346660"/>
      <w:bookmarkStart w:id="139" w:name="_Toc292559364"/>
      <w:bookmarkStart w:id="140" w:name="_Toc300934945"/>
      <w:bookmarkStart w:id="141" w:name="_Toc296347158"/>
      <w:r>
        <w:rPr>
          <w:rFonts w:hint="eastAsia" w:ascii="宋体" w:hAnsi="宋体" w:eastAsia="宋体" w:cs="宋体"/>
          <w:color w:val="auto"/>
          <w:szCs w:val="32"/>
          <w:highlight w:val="none"/>
        </w:rPr>
        <w:t>.5 分包</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w:t>
      </w:r>
      <w:bookmarkStart w:id="142" w:name="_Toc296503160"/>
      <w:bookmarkStart w:id="143" w:name="_Toc297123493"/>
      <w:bookmarkStart w:id="144" w:name="_Toc304295524"/>
      <w:bookmarkStart w:id="145" w:name="_Toc303539103"/>
      <w:bookmarkStart w:id="146" w:name="_Toc296346661"/>
      <w:bookmarkStart w:id="147" w:name="_Toc292559870"/>
      <w:bookmarkStart w:id="148" w:name="_Toc300934946"/>
      <w:bookmarkStart w:id="149" w:name="_Toc297048346"/>
      <w:bookmarkStart w:id="150" w:name="_Toc292559365"/>
      <w:bookmarkStart w:id="151" w:name="_Toc296347159"/>
      <w:bookmarkStart w:id="152" w:name="_Toc297120460"/>
      <w:bookmarkStart w:id="153" w:name="_Toc296890988"/>
      <w:bookmarkStart w:id="154" w:name="_Toc296944499"/>
      <w:bookmarkStart w:id="155" w:name="_Toc296891200"/>
      <w:bookmarkStart w:id="156" w:name="_Toc297216152"/>
      <w:bookmarkStart w:id="157" w:name="_Toc318581158"/>
      <w:bookmarkStart w:id="158" w:name="_Toc312677989"/>
      <w:r>
        <w:rPr>
          <w:rFonts w:hint="eastAsia" w:ascii="宋体" w:hAnsi="宋体" w:eastAsia="宋体" w:cs="宋体"/>
          <w:color w:val="auto"/>
          <w:szCs w:val="32"/>
          <w:highlight w:val="none"/>
        </w:rPr>
        <w:t>.5.1 分包的一般约定</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禁止分包的工程包括：</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道路、桥梁、管网等主体结构关键性工程禁止分包</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主体结构、关键性工作的范围：</w:t>
      </w:r>
      <w:r>
        <w:rPr>
          <w:rFonts w:hint="eastAsia" w:ascii="宋体" w:hAnsi="宋体" w:eastAsia="宋体" w:cs="宋体"/>
          <w:b/>
          <w:bCs/>
          <w:color w:val="auto"/>
          <w:szCs w:val="32"/>
          <w:highlight w:val="none"/>
          <w:u w:val="single"/>
          <w:lang w:val="en-US" w:eastAsia="zh-CN"/>
        </w:rPr>
        <w:t>执行国家相关法律、法规规定</w:t>
      </w:r>
      <w:r>
        <w:rPr>
          <w:rFonts w:hint="eastAsia" w:ascii="宋体" w:hAnsi="宋体" w:eastAsia="宋体" w:cs="宋体"/>
          <w:color w:val="auto"/>
          <w:szCs w:val="32"/>
          <w:highlight w:val="none"/>
          <w:u w:val="single"/>
        </w:rPr>
        <w: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bookmarkEnd w:id="157"/>
    <w:bookmarkEnd w:id="158"/>
    <w:p>
      <w:pPr>
        <w:spacing w:line="44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3</w:t>
      </w:r>
      <w:bookmarkStart w:id="159" w:name="_Toc318581159"/>
      <w:bookmarkStart w:id="160" w:name="_Toc312677990"/>
      <w:r>
        <w:rPr>
          <w:rFonts w:hint="eastAsia" w:ascii="宋体" w:hAnsi="宋体" w:eastAsia="宋体" w:cs="宋体"/>
          <w:color w:val="auto"/>
          <w:szCs w:val="32"/>
          <w:highlight w:val="none"/>
        </w:rPr>
        <w:t>.5.2分包的确定</w:t>
      </w:r>
    </w:p>
    <w:p>
      <w:pPr>
        <w:spacing w:line="440" w:lineRule="exact"/>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允许分包的专业工程包括：</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执行国家相关法律、法规规定</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szCs w:val="32"/>
          <w:highlight w:val="none"/>
        </w:rPr>
        <w:t>其他关于分包的约定：</w:t>
      </w:r>
      <w:r>
        <w:rPr>
          <w:rFonts w:hint="eastAsia" w:ascii="宋体" w:hAnsi="宋体" w:eastAsia="宋体" w:cs="宋体"/>
          <w:b/>
          <w:bCs/>
          <w:color w:val="auto"/>
          <w:szCs w:val="21"/>
          <w:highlight w:val="none"/>
          <w:u w:val="single"/>
          <w:lang w:val="en-US" w:eastAsia="zh-CN"/>
        </w:rPr>
        <w:t>除通用合同条款的约定外，分包还应该遵循以下约定：</w:t>
      </w:r>
    </w:p>
    <w:p>
      <w:pPr>
        <w:numPr>
          <w:ilvl w:val="0"/>
          <w:numId w:val="7"/>
        </w:numPr>
        <w:spacing w:line="440" w:lineRule="exact"/>
        <w:ind w:firstLine="420" w:firstLineChars="200"/>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u w:val="single"/>
          <w:lang w:val="en-US" w:eastAsia="zh-CN"/>
        </w:rPr>
        <w:t>未经发包人和监理人同意，承包人不得将其他非主体、非关键性工作分包给第三人；未经发包人和监理人审批同意的分包工程和分包人，发包人有权拒绝验收分包工程和支付相应款项，由此引发的费用增加和（或）延误的工期由承包人承担。</w:t>
      </w:r>
    </w:p>
    <w:p>
      <w:pPr>
        <w:numPr>
          <w:ilvl w:val="0"/>
          <w:numId w:val="7"/>
        </w:numPr>
        <w:spacing w:line="440" w:lineRule="exact"/>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lang w:val="en-US" w:eastAsia="zh-CN"/>
        </w:rPr>
        <w:t>发包人在工程量清单中给定暂估价的专业工程，包括从暂列金额开支的专业工程，由发包人和承包人根据现行法律、法规规定的招标方式确定专业分包人。</w:t>
      </w:r>
    </w:p>
    <w:p>
      <w:pPr>
        <w:numPr>
          <w:ilvl w:val="0"/>
          <w:numId w:val="7"/>
        </w:numPr>
        <w:spacing w:line="440" w:lineRule="exact"/>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lang w:val="en-US" w:eastAsia="zh-CN"/>
        </w:rPr>
        <w:t>承包人应保障分包工作不得再次分包。</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3.5.4 分包合同价款</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关于分包合同价款支付的约定：</w:t>
      </w:r>
      <w:r>
        <w:rPr>
          <w:rFonts w:hint="eastAsia" w:ascii="宋体" w:hAnsi="宋体" w:eastAsia="宋体" w:cs="宋体"/>
          <w:color w:val="auto"/>
          <w:szCs w:val="32"/>
          <w:highlight w:val="none"/>
          <w:u w:val="single"/>
          <w:lang w:val="en-US" w:eastAsia="zh-CN"/>
        </w:rPr>
        <w:t>原则上由总承包人支付，特殊情况下双方商议后以补充协议的方式确定</w:t>
      </w:r>
      <w:r>
        <w:rPr>
          <w:rFonts w:hint="eastAsia" w:ascii="宋体" w:hAnsi="宋体" w:eastAsia="宋体" w:cs="宋体"/>
          <w:color w:val="auto"/>
          <w:szCs w:val="32"/>
          <w:highlight w:val="none"/>
        </w:rPr>
        <w:t>。</w:t>
      </w:r>
    </w:p>
    <w:p>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szCs w:val="32"/>
          <w:highlight w:val="none"/>
          <w:lang w:val="en-US" w:eastAsia="zh-CN"/>
        </w:rPr>
        <w:t xml:space="preserve">    总承包服务费：按专业工程合同价的3%计取。总包服务范围：总承包人为配合、协调建设单位进行的专业工程发包，对建设单位自行采购的材料、工程设备等进行保管以及现场管理、竣工资料汇总整理等服务所需的费用。</w:t>
      </w:r>
    </w:p>
    <w:bookmarkEnd w:id="159"/>
    <w:bookmarkEnd w:id="160"/>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3.6 工程照管与成品、半成品保护</w:t>
      </w:r>
    </w:p>
    <w:p>
      <w:pPr>
        <w:spacing w:line="440" w:lineRule="exact"/>
        <w:ind w:firstLine="420"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kern w:val="0"/>
          <w:szCs w:val="32"/>
          <w:highlight w:val="none"/>
        </w:rPr>
        <w:t>承包人负责照管工程及工程相关的材料、工程设备的起始时间：</w:t>
      </w:r>
      <w:r>
        <w:rPr>
          <w:rFonts w:hint="eastAsia" w:ascii="宋体" w:hAnsi="宋体" w:eastAsia="宋体" w:cs="宋体"/>
          <w:b/>
          <w:bCs/>
          <w:color w:val="auto"/>
          <w:szCs w:val="21"/>
          <w:highlight w:val="none"/>
          <w:u w:val="single"/>
          <w:lang w:val="en-US" w:eastAsia="zh-CN"/>
        </w:rPr>
        <w:t>工程施工开始至竣工验收合格并办理完工程移交手续止</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设备、人员进场至工程移交/接收证书签发前，由承包人负责照管，费用由承包人承担。承包负责采取有效措施对已完成工程成品的保护，费用由承包人承担。保护期间发生的损坏承包人予以修理并承担因此产生的一切损失和费用。损坏其他单位所承担的施工内容，由承包人负责赔偿或修复，并承担因此产生的一切损失费用。承包人拒绝赔偿或修复的，发包人有权另行委托施工单位进行修复，所需费用从承包人工程款中直接扣除，承包人不得有任何异议</w:t>
      </w:r>
      <w:r>
        <w:rPr>
          <w:rFonts w:hint="eastAsia" w:ascii="宋体" w:hAnsi="宋体" w:eastAsia="宋体" w:cs="宋体"/>
          <w:b/>
          <w:bCs/>
          <w:color w:val="auto"/>
          <w:szCs w:val="21"/>
          <w:highlight w:val="none"/>
          <w:u w:val="none"/>
          <w:lang w:val="en-US" w:eastAsia="zh-CN"/>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3.7 履约担保</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承包人是否提供履约担保：</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否</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32"/>
          <w:highlight w:val="none"/>
        </w:rPr>
        <w:t>承包人提供履约担保的形式、金额及期限的：</w:t>
      </w:r>
      <w:r>
        <w:rPr>
          <w:rFonts w:hint="eastAsia" w:ascii="宋体" w:hAnsi="宋体" w:eastAsia="宋体" w:cs="宋体"/>
          <w:b/>
          <w:bCs/>
          <w:color w:val="auto"/>
          <w:szCs w:val="21"/>
          <w:highlight w:val="none"/>
          <w:u w:val="single"/>
        </w:rPr>
        <w:t>/。</w:t>
      </w:r>
    </w:p>
    <w:p>
      <w:pPr>
        <w:pStyle w:val="8"/>
        <w:spacing w:before="120" w:after="120" w:line="440" w:lineRule="exact"/>
        <w:rPr>
          <w:rFonts w:hint="eastAsia" w:ascii="宋体" w:hAnsi="宋体" w:eastAsia="宋体" w:cs="宋体"/>
          <w:bCs w:val="0"/>
          <w:color w:val="auto"/>
          <w:szCs w:val="32"/>
          <w:highlight w:val="none"/>
        </w:rPr>
      </w:pPr>
      <w:bookmarkStart w:id="161" w:name="_Toc2107_WPSOffice_Level2"/>
      <w:bookmarkStart w:id="162" w:name="_Toc351203636"/>
      <w:bookmarkStart w:id="163" w:name="_Toc28100_WPSOffice_Level2"/>
      <w:r>
        <w:rPr>
          <w:rFonts w:hint="eastAsia" w:ascii="宋体" w:hAnsi="宋体" w:eastAsia="宋体" w:cs="宋体"/>
          <w:bCs w:val="0"/>
          <w:color w:val="auto"/>
          <w:szCs w:val="32"/>
          <w:highlight w:val="none"/>
        </w:rPr>
        <w:t>4</w:t>
      </w:r>
      <w:bookmarkStart w:id="164" w:name="_Toc296347161"/>
      <w:bookmarkStart w:id="165" w:name="_Toc297120462"/>
      <w:bookmarkStart w:id="166" w:name="_Toc296503162"/>
      <w:bookmarkStart w:id="167" w:name="_Toc296944501"/>
      <w:bookmarkStart w:id="168" w:name="_Toc297048348"/>
      <w:bookmarkStart w:id="169" w:name="_Toc296890990"/>
      <w:bookmarkStart w:id="170" w:name="_Toc296346663"/>
      <w:bookmarkStart w:id="171" w:name="_Toc267251413"/>
      <w:bookmarkStart w:id="172" w:name="_Toc296891202"/>
      <w:bookmarkStart w:id="173" w:name="_Toc292559871"/>
      <w:bookmarkStart w:id="174" w:name="_Toc292559366"/>
      <w:r>
        <w:rPr>
          <w:rFonts w:hint="eastAsia" w:ascii="宋体" w:hAnsi="宋体" w:eastAsia="宋体" w:cs="宋体"/>
          <w:bCs w:val="0"/>
          <w:color w:val="auto"/>
          <w:szCs w:val="32"/>
          <w:highlight w:val="none"/>
        </w:rPr>
        <w:t>. 监</w:t>
      </w:r>
      <w:bookmarkEnd w:id="164"/>
      <w:bookmarkEnd w:id="165"/>
      <w:bookmarkEnd w:id="166"/>
      <w:bookmarkEnd w:id="167"/>
      <w:bookmarkEnd w:id="168"/>
      <w:bookmarkEnd w:id="169"/>
      <w:bookmarkEnd w:id="170"/>
      <w:bookmarkEnd w:id="171"/>
      <w:bookmarkEnd w:id="172"/>
      <w:bookmarkEnd w:id="173"/>
      <w:bookmarkEnd w:id="174"/>
      <w:r>
        <w:rPr>
          <w:rFonts w:hint="eastAsia" w:ascii="宋体" w:hAnsi="宋体" w:eastAsia="宋体" w:cs="宋体"/>
          <w:bCs w:val="0"/>
          <w:color w:val="auto"/>
          <w:szCs w:val="32"/>
          <w:highlight w:val="none"/>
        </w:rPr>
        <w:t>理人</w:t>
      </w:r>
      <w:bookmarkEnd w:id="161"/>
      <w:bookmarkEnd w:id="162"/>
      <w:bookmarkEnd w:id="163"/>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4.1监理人的一般规定</w:t>
      </w:r>
    </w:p>
    <w:p>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szCs w:val="32"/>
          <w:highlight w:val="none"/>
          <w:lang w:val="en-US" w:eastAsia="zh-CN"/>
        </w:rPr>
        <w:t xml:space="preserve">    （1）职责范围</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关于监理人的监理内容：</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lang w:val="en-US" w:eastAsia="zh-CN"/>
        </w:rPr>
        <w:t>施工图设计范围内（含变更）工程施工的安全、质量、进度、文明施工、扬尘防治、成本控制</w:t>
      </w:r>
      <w:r>
        <w:rPr>
          <w:rFonts w:hint="eastAsia" w:ascii="宋体" w:hAnsi="宋体" w:eastAsia="宋体" w:cs="宋体"/>
          <w:b/>
          <w:bCs/>
          <w:color w:val="auto"/>
          <w:szCs w:val="21"/>
          <w:highlight w:val="none"/>
          <w:u w:val="singl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关于监理人的监理权限：</w:t>
      </w:r>
      <w:r>
        <w:rPr>
          <w:rFonts w:hint="eastAsia" w:ascii="宋体" w:hAnsi="宋体" w:eastAsia="宋体" w:cs="宋体"/>
          <w:b/>
          <w:bCs/>
          <w:color w:val="auto"/>
          <w:szCs w:val="21"/>
          <w:highlight w:val="none"/>
          <w:u w:val="single"/>
          <w:lang w:val="en-US" w:eastAsia="zh-CN"/>
        </w:rPr>
        <w:t>对工程建设实施全面监督和管理，但不得修改本施工合同、减轻或免除合同约定的承包人的任何责任与义务，任何增加工程造价的签证均需获得发包人同意。</w:t>
      </w:r>
      <w:r>
        <w:rPr>
          <w:rFonts w:hint="eastAsia" w:ascii="宋体" w:hAnsi="宋体" w:eastAsia="宋体" w:cs="宋体"/>
          <w:color w:val="auto"/>
          <w:szCs w:val="32"/>
          <w:highlight w:val="none"/>
        </w:rPr>
        <w:t xml:space="preserve"> </w:t>
      </w:r>
    </w:p>
    <w:p>
      <w:pPr>
        <w:spacing w:line="440" w:lineRule="exact"/>
        <w:ind w:firstLine="420" w:firstLineChars="200"/>
        <w:jc w:val="left"/>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szCs w:val="32"/>
          <w:highlight w:val="none"/>
        </w:rPr>
        <w:t>关于监理人在施工现场的办公场所、生活场所的提供和费用承担的约定：</w:t>
      </w:r>
      <w:r>
        <w:rPr>
          <w:rFonts w:hint="eastAsia" w:ascii="宋体" w:hAnsi="宋体" w:eastAsia="宋体" w:cs="宋体"/>
          <w:b/>
          <w:bCs/>
          <w:color w:val="auto"/>
          <w:szCs w:val="21"/>
          <w:highlight w:val="none"/>
          <w:u w:val="single"/>
          <w:lang w:val="en-US" w:eastAsia="zh-CN"/>
        </w:rPr>
        <w:t xml:space="preserve">监理人在施工现场的办公场所、生活场所的提供和费用由监理人自行承担。 </w:t>
      </w:r>
    </w:p>
    <w:p>
      <w:pPr>
        <w:numPr>
          <w:ilvl w:val="0"/>
          <w:numId w:val="8"/>
        </w:numPr>
        <w:spacing w:line="440" w:lineRule="exact"/>
        <w:ind w:left="0" w:leftChars="0" w:firstLine="426" w:firstLineChars="202"/>
        <w:jc w:val="left"/>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en-US" w:eastAsia="zh-CN"/>
        </w:rPr>
        <w:t>工程变更和签证授权设计设计变更和签证单的签字，监理人的总监工程师签字后应在24小时内送交委托人工地代表核准。其中涉及到费用增加的签证单，监理人应在签字前通知委托人的工地代表，确认是否需要征得委托人的同意，否则，因监理人签证所发生的增加费用，委托人将不予认可。</w:t>
      </w:r>
    </w:p>
    <w:p>
      <w:pPr>
        <w:pStyle w:val="19"/>
        <w:ind w:left="0" w:leftChars="0" w:firstLine="420" w:firstLineChars="0"/>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u w:val="single"/>
          <w:lang w:val="en-US" w:eastAsia="zh-CN"/>
        </w:rPr>
        <w:t>监理人在征得委托人代表同意的前提下，有权要求承包人调换其人员</w:t>
      </w:r>
      <w:r>
        <w:rPr>
          <w:rFonts w:hint="eastAsia" w:ascii="宋体" w:hAnsi="宋体" w:eastAsia="宋体" w:cs="宋体"/>
          <w:b/>
          <w:bCs/>
          <w:color w:val="auto"/>
          <w:highlight w:val="none"/>
          <w:lang w:val="en-US" w:eastAsia="zh-CN"/>
        </w:rPr>
        <w:t>。</w:t>
      </w:r>
    </w:p>
    <w:p>
      <w:pPr>
        <w:spacing w:line="440" w:lineRule="exact"/>
        <w:ind w:firstLine="420" w:firstLineChars="200"/>
        <w:jc w:val="left"/>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4.2 监理人员</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总监理工程师：</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姓    名：</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职    务：</w:t>
      </w:r>
      <w:r>
        <w:rPr>
          <w:rFonts w:hint="eastAsia" w:ascii="宋体" w:hAnsi="宋体" w:eastAsia="宋体" w:cs="宋体"/>
          <w:color w:val="auto"/>
          <w:szCs w:val="32"/>
          <w:highlight w:val="none"/>
          <w:u w:val="single"/>
        </w:rPr>
        <w:t xml:space="preserve">     总监</w:t>
      </w:r>
      <w:r>
        <w:rPr>
          <w:rFonts w:hint="eastAsia" w:ascii="宋体" w:hAnsi="宋体" w:eastAsia="宋体" w:cs="宋体"/>
          <w:color w:val="auto"/>
          <w:szCs w:val="32"/>
          <w:highlight w:val="none"/>
          <w:u w:val="single"/>
          <w:lang w:val="en-US" w:eastAsia="zh-CN"/>
        </w:rPr>
        <w:t>理工程师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监理工程师执业资格证书号：</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联系电话：</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电子信箱：</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通信地址：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32"/>
          <w:highlight w:val="none"/>
        </w:rPr>
        <w:t>关于监理人的其他约定：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负责施工过程中的质量、进度、投资控制；履行现行法律法规规定的监理安全责任；负责工程建设的组织协调工作；负责本合同实施过程中的合同管理、信息管理相关工作；负责施工组织设计、单项施工技术方案的审核和图纸会审纪要的签发；负责主持分部分项工程验收及工程竣工预验收，以及定期的现场施工调度会；参加发包人主持的竣工验收工作；发包人赋予的其他有关权利。需要取得发包人批准监理人才能行使的职权：工程变更、工程量增减的签证、需增加工程费用的现场签证、形象进度工程量的核准、影响工期的签证及开工令、停复工令的签发。</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4.4 商定或确定</w:t>
      </w:r>
    </w:p>
    <w:p>
      <w:pPr>
        <w:spacing w:line="440" w:lineRule="exact"/>
        <w:ind w:firstLine="420" w:firstLineChars="200"/>
        <w:rPr>
          <w:rFonts w:hint="eastAsia" w:ascii="宋体" w:hAnsi="宋体" w:eastAsia="宋体" w:cs="宋体"/>
          <w:color w:val="auto"/>
          <w:szCs w:val="32"/>
          <w:highlight w:val="none"/>
        </w:rPr>
      </w:pPr>
      <w:bookmarkStart w:id="175" w:name="_Toc267251418"/>
      <w:r>
        <w:rPr>
          <w:rFonts w:hint="eastAsia" w:ascii="宋体" w:hAnsi="宋体" w:eastAsia="宋体" w:cs="宋体"/>
          <w:color w:val="auto"/>
          <w:szCs w:val="32"/>
          <w:highlight w:val="none"/>
        </w:rPr>
        <w:t>在发包人和承包人不能通过协商达成一致意见时，发包人授权监理人对以下事项进行确定：</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（2）</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（3）</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176" w:name="_Toc16363_WPSOffice_Level2"/>
      <w:bookmarkStart w:id="177" w:name="_Toc19868_WPSOffice_Level2"/>
      <w:bookmarkStart w:id="178" w:name="_Toc351203637"/>
      <w:r>
        <w:rPr>
          <w:rFonts w:hint="eastAsia" w:ascii="宋体" w:hAnsi="宋体" w:eastAsia="宋体" w:cs="宋体"/>
          <w:bCs w:val="0"/>
          <w:color w:val="auto"/>
          <w:szCs w:val="32"/>
          <w:highlight w:val="none"/>
        </w:rPr>
        <w:t>5</w:t>
      </w:r>
      <w:bookmarkEnd w:id="175"/>
      <w:bookmarkStart w:id="179" w:name="_Toc297048349"/>
      <w:bookmarkStart w:id="180" w:name="_Toc296890991"/>
      <w:bookmarkStart w:id="181" w:name="_Toc296503163"/>
      <w:bookmarkStart w:id="182" w:name="_Toc296346664"/>
      <w:bookmarkStart w:id="183" w:name="_Toc292559367"/>
      <w:bookmarkStart w:id="184" w:name="_Toc292559872"/>
      <w:bookmarkStart w:id="185" w:name="_Toc296944502"/>
      <w:bookmarkStart w:id="186" w:name="_Toc296891203"/>
      <w:bookmarkStart w:id="187" w:name="_Toc297120463"/>
      <w:bookmarkStart w:id="188" w:name="_Toc296347162"/>
      <w:r>
        <w:rPr>
          <w:rFonts w:hint="eastAsia" w:ascii="宋体" w:hAnsi="宋体" w:eastAsia="宋体" w:cs="宋体"/>
          <w:bCs w:val="0"/>
          <w:color w:val="auto"/>
          <w:szCs w:val="32"/>
          <w:highlight w:val="none"/>
        </w:rPr>
        <w:t>. 工程质量</w:t>
      </w:r>
      <w:bookmarkEnd w:id="176"/>
      <w:bookmarkEnd w:id="177"/>
      <w:bookmarkEnd w:id="178"/>
    </w:p>
    <w:p>
      <w:pPr>
        <w:spacing w:after="120" w:line="440" w:lineRule="exact"/>
        <w:ind w:firstLine="420" w:firstLineChars="200"/>
        <w:outlineLvl w:val="0"/>
        <w:rPr>
          <w:rFonts w:hint="eastAsia" w:ascii="宋体" w:hAnsi="宋体" w:eastAsia="宋体" w:cs="宋体"/>
          <w:color w:val="auto"/>
          <w:szCs w:val="32"/>
          <w:highlight w:val="none"/>
        </w:rPr>
      </w:pPr>
      <w:bookmarkStart w:id="189" w:name="_Toc27550101"/>
      <w:r>
        <w:rPr>
          <w:rFonts w:hint="eastAsia" w:ascii="宋体" w:hAnsi="宋体" w:eastAsia="宋体" w:cs="宋体"/>
          <w:color w:val="auto"/>
          <w:szCs w:val="32"/>
          <w:highlight w:val="none"/>
        </w:rPr>
        <w:t>5.1 质量要求：</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合格</w:t>
      </w:r>
      <w:bookmarkEnd w:id="189"/>
      <w:r>
        <w:rPr>
          <w:rFonts w:hint="eastAsia" w:ascii="宋体" w:hAnsi="宋体" w:eastAsia="宋体" w:cs="宋体"/>
          <w:b/>
          <w:bCs/>
          <w:color w:val="auto"/>
          <w:szCs w:val="21"/>
          <w:highlight w:val="none"/>
          <w:u w:val="single"/>
          <w:lang w:val="en-US" w:eastAsia="zh-CN"/>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5</w:t>
      </w:r>
      <w:bookmarkStart w:id="190" w:name="_Toc297123496"/>
      <w:bookmarkStart w:id="191" w:name="_Toc312677997"/>
      <w:bookmarkStart w:id="192" w:name="_Toc297216155"/>
      <w:bookmarkStart w:id="193" w:name="_Toc318581164"/>
      <w:bookmarkStart w:id="194" w:name="_Toc304295527"/>
      <w:bookmarkStart w:id="195" w:name="_Toc300934949"/>
      <w:bookmarkStart w:id="196" w:name="_Toc303539106"/>
      <w:r>
        <w:rPr>
          <w:rFonts w:hint="eastAsia" w:ascii="宋体" w:hAnsi="宋体" w:eastAsia="宋体" w:cs="宋体"/>
          <w:color w:val="auto"/>
          <w:szCs w:val="32"/>
          <w:highlight w:val="none"/>
        </w:rPr>
        <w:t>.1.1 特殊质量标准和要求：</w:t>
      </w:r>
      <w:r>
        <w:rPr>
          <w:rFonts w:hint="eastAsia" w:ascii="宋体" w:hAnsi="宋体" w:eastAsia="宋体" w:cs="宋体"/>
          <w:color w:val="auto"/>
          <w:szCs w:val="32"/>
          <w:highlight w:val="none"/>
          <w:u w:val="single"/>
        </w:rPr>
        <w:t xml:space="preserve"> 工程质量必须达到合同约定标准，且保证市政工程相关部门验收通过；未达到质量要求的，承包人负责无条件返工，直至达到要求，所发生的费用由承包人承担，承包人还应赔偿因此给发包人造成的损失，工期不予顺延，同时发包人有权对承包人进行适当处罚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关于工程奖项的约定：</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pStyle w:val="19"/>
        <w:jc w:val="both"/>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 xml:space="preserve">   5.2 隐蔽工程检查</w:t>
      </w:r>
    </w:p>
    <w:p>
      <w:pPr>
        <w:pStyle w:val="19"/>
        <w:jc w:val="both"/>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 xml:space="preserve">   承包人提前通知监理人隐蔽工程检查的期限的约定：</w:t>
      </w:r>
    </w:p>
    <w:p>
      <w:pPr>
        <w:pStyle w:val="19"/>
        <w:spacing w:line="360" w:lineRule="auto"/>
        <w:jc w:val="both"/>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lang w:val="en-US" w:eastAsia="zh-CN"/>
        </w:rPr>
        <w:t xml:space="preserve">     隐蔽工程覆盖前的检查：</w:t>
      </w:r>
      <w:r>
        <w:rPr>
          <w:rFonts w:hint="eastAsia" w:ascii="宋体" w:hAnsi="宋体" w:eastAsia="宋体" w:cs="宋体"/>
          <w:color w:val="auto"/>
          <w:szCs w:val="32"/>
          <w:highlight w:val="none"/>
          <w:u w:val="single"/>
          <w:lang w:val="en-US" w:eastAsia="zh-CN"/>
        </w:rPr>
        <w:t>未经监理工程、甲方代表批准，工程的任何部位都不能覆盖，当任何部分的隐蔽工程或基础已经具备检验条件时，承包人应及时通知监理工程师、甲方代表。监理工程师、甲方代表在接到承包人通知24小时过后没有批复，承包人可以覆盖着部分工程或基础</w:t>
      </w:r>
      <w:r>
        <w:rPr>
          <w:rFonts w:hint="eastAsia" w:ascii="宋体" w:hAnsi="宋体" w:eastAsia="宋体" w:cs="宋体"/>
          <w:color w:val="auto"/>
          <w:szCs w:val="32"/>
          <w:highlight w:val="none"/>
          <w:u w:val="none"/>
          <w:lang w:val="en-US" w:eastAsia="zh-CN"/>
        </w:rPr>
        <w:t>。</w:t>
      </w:r>
    </w:p>
    <w:p>
      <w:pPr>
        <w:pStyle w:val="19"/>
        <w:spacing w:line="360" w:lineRule="auto"/>
        <w:jc w:val="both"/>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lang w:val="en-US" w:eastAsia="zh-CN"/>
        </w:rPr>
        <w:t xml:space="preserve">     剥露和开口：</w:t>
      </w:r>
      <w:r>
        <w:rPr>
          <w:rFonts w:hint="eastAsia" w:ascii="宋体" w:hAnsi="宋体" w:eastAsia="宋体" w:cs="宋体"/>
          <w:color w:val="auto"/>
          <w:szCs w:val="32"/>
          <w:highlight w:val="none"/>
          <w:u w:val="single"/>
          <w:lang w:val="en-US" w:eastAsia="zh-CN"/>
        </w:rPr>
        <w:t>承包人应按监理工程、甲方代表随时发出的指示，对工程的任何部分剥露或开口，并负责这部分工程恢复原样，若这部分工程已按要求覆盖，而剥露后查明其施工质量符合合同约定，则监理工程师、甲方代表应在与发包人和承包人协商后，确定承包在剥露或开口的恢复和修复等方面的费用，并将其数额追加到合同价格上，所影响的工期相应顺延。若属承包人责任，发生的费用及影响的工期由承包人承担。监理人不能按时进行检查时，应提前8小时提交书面延期要求，关于延期最长不得超过24小时。</w:t>
      </w:r>
    </w:p>
    <w:p>
      <w:pPr>
        <w:pStyle w:val="8"/>
        <w:spacing w:before="120" w:after="120" w:line="440" w:lineRule="exact"/>
        <w:rPr>
          <w:rFonts w:hint="eastAsia" w:ascii="宋体" w:hAnsi="宋体" w:eastAsia="宋体" w:cs="宋体"/>
          <w:bCs w:val="0"/>
          <w:color w:val="auto"/>
          <w:szCs w:val="32"/>
          <w:highlight w:val="none"/>
        </w:rPr>
      </w:pPr>
      <w:bookmarkStart w:id="197" w:name="_Toc23030_WPSOffice_Level2"/>
      <w:bookmarkStart w:id="198" w:name="_Toc15712_WPSOffice_Level2"/>
      <w:bookmarkStart w:id="199" w:name="_Toc351203638"/>
      <w:r>
        <w:rPr>
          <w:rFonts w:hint="eastAsia" w:ascii="宋体" w:hAnsi="宋体" w:eastAsia="宋体" w:cs="宋体"/>
          <w:bCs w:val="0"/>
          <w:color w:val="auto"/>
          <w:szCs w:val="32"/>
          <w:highlight w:val="none"/>
        </w:rPr>
        <w:t>6. 安全文明施工与环境保护</w:t>
      </w:r>
      <w:bookmarkEnd w:id="197"/>
      <w:bookmarkEnd w:id="198"/>
      <w:bookmarkEnd w:id="199"/>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6.1安全文明施工</w:t>
      </w:r>
    </w:p>
    <w:p>
      <w:pPr>
        <w:spacing w:line="440" w:lineRule="exact"/>
        <w:ind w:firstLine="420" w:firstLineChars="200"/>
        <w:jc w:val="left"/>
        <w:rPr>
          <w:rFonts w:hint="eastAsia" w:ascii="宋体" w:hAnsi="宋体" w:eastAsia="宋体" w:cs="宋体"/>
          <w:b/>
          <w:bCs/>
          <w:color w:val="auto"/>
          <w:szCs w:val="21"/>
          <w:highlight w:val="none"/>
          <w:u w:val="single"/>
        </w:rPr>
      </w:pPr>
      <w:bookmarkStart w:id="200" w:name="_Toc27550102"/>
      <w:r>
        <w:rPr>
          <w:rFonts w:hint="eastAsia" w:ascii="宋体" w:hAnsi="宋体" w:eastAsia="宋体" w:cs="宋体"/>
          <w:color w:val="auto"/>
          <w:szCs w:val="32"/>
          <w:highlight w:val="none"/>
        </w:rPr>
        <w:t>6.1.1 项目安全生产的达标目标及相应事项的约定：</w:t>
      </w:r>
      <w:bookmarkEnd w:id="200"/>
      <w:r>
        <w:rPr>
          <w:rFonts w:hint="eastAsia" w:ascii="宋体" w:hAnsi="宋体" w:eastAsia="宋体" w:cs="宋体"/>
          <w:b/>
          <w:bCs/>
          <w:color w:val="auto"/>
          <w:szCs w:val="21"/>
          <w:highlight w:val="none"/>
          <w:u w:val="single"/>
        </w:rPr>
        <w:t>达标目标为《建筑施工安全检查标准标准》（JGJ59-2011）及相关规范标准。其安全文明施工费用已经含在合同价款（即中标价）内。</w:t>
      </w:r>
    </w:p>
    <w:p>
      <w:pPr>
        <w:spacing w:line="247" w:lineRule="auto"/>
        <w:rPr>
          <w:rFonts w:hint="eastAsia" w:ascii="宋体" w:hAnsi="宋体" w:eastAsia="宋体" w:cs="宋体"/>
          <w:color w:val="auto"/>
          <w:sz w:val="21"/>
          <w:highlight w:val="none"/>
        </w:rPr>
      </w:pPr>
    </w:p>
    <w:p>
      <w:pPr>
        <w:numPr>
          <w:ilvl w:val="0"/>
          <w:numId w:val="9"/>
        </w:numPr>
        <w:spacing w:before="68" w:line="386" w:lineRule="auto"/>
        <w:ind w:left="14" w:right="18" w:firstLine="428"/>
        <w:rPr>
          <w:rFonts w:hint="eastAsia" w:ascii="宋体" w:hAnsi="宋体" w:eastAsia="宋体" w:cs="宋体"/>
          <w:color w:val="auto"/>
          <w:sz w:val="21"/>
          <w:szCs w:val="32"/>
          <w:highlight w:val="none"/>
          <w:u w:val="single"/>
        </w:rPr>
      </w:pPr>
      <w:r>
        <w:rPr>
          <w:rFonts w:hint="eastAsia" w:ascii="宋体" w:hAnsi="宋体" w:eastAsia="宋体" w:cs="宋体"/>
          <w:color w:val="auto"/>
          <w:sz w:val="21"/>
          <w:szCs w:val="32"/>
          <w:highlight w:val="none"/>
          <w:u w:val="single"/>
        </w:rPr>
        <w:t>达到江苏省及徐州市相关文件要求。开工通知载明的开工日期10天前提交安全技术措施或专项施工方案、安全生产责任制度、治安保卫制度及安全生产教育培训制度；在施工和维修整个工程期间，承包人应于工程地点明显位置，日间设置具有警示作用的装置，夜间设置照明装置，在施工现场出入口设置监控装置，或加防护设施，费用由承包人承担；对于工地附近公私建筑、路面、沟渠、街道上下的水电及通讯管线、私有林木植物及人民生命财产者的安全均应采取防范措施</w:t>
      </w:r>
      <w:r>
        <w:rPr>
          <w:rFonts w:hint="eastAsia" w:ascii="宋体" w:hAnsi="宋体" w:eastAsia="宋体" w:cs="宋体"/>
          <w:color w:val="auto"/>
          <w:sz w:val="21"/>
          <w:szCs w:val="32"/>
          <w:highlight w:val="none"/>
          <w:u w:val="none"/>
        </w:rPr>
        <w:t xml:space="preserve">。 </w:t>
      </w:r>
    </w:p>
    <w:p>
      <w:pPr>
        <w:numPr>
          <w:ilvl w:val="0"/>
          <w:numId w:val="0"/>
        </w:numPr>
        <w:spacing w:before="68" w:line="386" w:lineRule="auto"/>
        <w:ind w:left="0" w:right="18" w:firstLine="420" w:firstLineChars="200"/>
        <w:rPr>
          <w:rFonts w:hint="eastAsia" w:ascii="宋体" w:hAnsi="宋体" w:eastAsia="宋体" w:cs="宋体"/>
          <w:color w:val="auto"/>
          <w:sz w:val="21"/>
          <w:szCs w:val="32"/>
          <w:highlight w:val="none"/>
          <w:u w:val="single"/>
        </w:rPr>
      </w:pPr>
      <w:r>
        <w:rPr>
          <w:rFonts w:hint="eastAsia" w:ascii="宋体" w:hAnsi="宋体" w:eastAsia="宋体" w:cs="宋体"/>
          <w:color w:val="auto"/>
          <w:sz w:val="21"/>
          <w:szCs w:val="32"/>
          <w:highlight w:val="none"/>
          <w:u w:val="single"/>
          <w:lang w:val="en-US" w:eastAsia="zh-CN"/>
        </w:rPr>
        <w:t>2</w:t>
      </w:r>
      <w:r>
        <w:rPr>
          <w:rFonts w:hint="eastAsia" w:ascii="宋体" w:hAnsi="宋体" w:eastAsia="宋体" w:cs="宋体"/>
          <w:color w:val="auto"/>
          <w:sz w:val="21"/>
          <w:szCs w:val="32"/>
          <w:highlight w:val="none"/>
          <w:u w:val="single"/>
          <w:lang w:eastAsia="zh-CN"/>
        </w:rPr>
        <w:t>）</w:t>
      </w:r>
      <w:r>
        <w:rPr>
          <w:rFonts w:hint="eastAsia" w:ascii="宋体" w:hAnsi="宋体" w:eastAsia="宋体" w:cs="宋体"/>
          <w:color w:val="auto"/>
          <w:sz w:val="21"/>
          <w:szCs w:val="32"/>
          <w:highlight w:val="none"/>
          <w:u w:val="single"/>
        </w:rPr>
        <w:t>本工程在整个施工期间应杜绝一切人身伤亡和重大质量安全事故。如发生上述事故，则发包人视为承包人违约，发包人有权解除合同；在施工期间每发生一起人身损害（不包括死亡）事故，承包人除了接受政府相关部门处罚外，承包人须向发包人支付违约金伍万元（￥50000.00 元）；每发生一起人身死亡事故，承包人除接受相关部门处罚外，承包人须向发包人支付违约金壹拾万元（￥100000.00 元）。发包人有权在支付承包人工程款时将该违约金扣除，承包人除承担违约金外，还应承担因事故造成的一切损失和责任</w:t>
      </w:r>
      <w:r>
        <w:rPr>
          <w:rFonts w:hint="eastAsia" w:ascii="宋体" w:hAnsi="宋体" w:eastAsia="宋体" w:cs="宋体"/>
          <w:color w:val="auto"/>
          <w:sz w:val="21"/>
          <w:szCs w:val="32"/>
          <w:highlight w:val="none"/>
          <w:u w:val="none"/>
        </w:rPr>
        <w:t xml:space="preserve">。 </w:t>
      </w:r>
    </w:p>
    <w:p>
      <w:pPr>
        <w:numPr>
          <w:ilvl w:val="0"/>
          <w:numId w:val="0"/>
        </w:numPr>
        <w:spacing w:before="68" w:line="386" w:lineRule="auto"/>
        <w:ind w:left="0" w:right="18" w:firstLine="420" w:firstLineChars="200"/>
        <w:rPr>
          <w:rFonts w:hint="eastAsia" w:ascii="宋体" w:hAnsi="宋体" w:eastAsia="宋体" w:cs="宋体"/>
          <w:color w:val="auto"/>
          <w:sz w:val="21"/>
          <w:szCs w:val="32"/>
          <w:highlight w:val="none"/>
          <w:u w:val="single"/>
        </w:rPr>
      </w:pPr>
      <w:r>
        <w:rPr>
          <w:rFonts w:hint="eastAsia" w:ascii="宋体" w:hAnsi="宋体" w:eastAsia="宋体" w:cs="宋体"/>
          <w:color w:val="auto"/>
          <w:sz w:val="21"/>
          <w:szCs w:val="32"/>
          <w:highlight w:val="none"/>
          <w:u w:val="single"/>
          <w:lang w:val="en-US" w:eastAsia="zh-CN"/>
        </w:rPr>
        <w:t>3</w:t>
      </w:r>
      <w:r>
        <w:rPr>
          <w:rFonts w:hint="eastAsia" w:ascii="宋体" w:hAnsi="宋体" w:eastAsia="宋体" w:cs="宋体"/>
          <w:color w:val="auto"/>
          <w:sz w:val="21"/>
          <w:szCs w:val="32"/>
          <w:highlight w:val="none"/>
          <w:u w:val="single"/>
          <w:lang w:eastAsia="zh-CN"/>
        </w:rPr>
        <w:t>）</w:t>
      </w:r>
      <w:r>
        <w:rPr>
          <w:rFonts w:hint="eastAsia" w:ascii="宋体" w:hAnsi="宋体" w:eastAsia="宋体" w:cs="宋体"/>
          <w:color w:val="auto"/>
          <w:sz w:val="21"/>
          <w:szCs w:val="32"/>
          <w:highlight w:val="none"/>
          <w:u w:val="single"/>
        </w:rPr>
        <w:t xml:space="preserve">承包人应服从发包人、监理对施工现场安全施工方面的监管。如发包人或监理发现承包人工作中的安全文明施工方面不符合国家、地方、行业及本合同的有关规定，每发现一次，发包人有权要求承包人支付5000 元违约金，并要求承包人限期整改，发包方有权上报主管部门。 </w:t>
      </w:r>
    </w:p>
    <w:p>
      <w:pPr>
        <w:numPr>
          <w:ilvl w:val="0"/>
          <w:numId w:val="0"/>
        </w:numPr>
        <w:spacing w:before="68" w:line="386" w:lineRule="auto"/>
        <w:ind w:left="0" w:right="18" w:firstLine="420" w:firstLineChars="200"/>
        <w:rPr>
          <w:rFonts w:hint="eastAsia" w:ascii="宋体" w:hAnsi="宋体" w:eastAsia="宋体" w:cs="宋体"/>
          <w:color w:val="auto"/>
          <w:spacing w:val="0"/>
          <w:sz w:val="21"/>
          <w:szCs w:val="32"/>
          <w:highlight w:val="none"/>
          <w:u w:val="single"/>
        </w:rPr>
      </w:pPr>
      <w:r>
        <w:rPr>
          <w:rFonts w:hint="eastAsia" w:ascii="宋体" w:hAnsi="宋体" w:eastAsia="宋体" w:cs="宋体"/>
          <w:color w:val="auto"/>
          <w:sz w:val="21"/>
          <w:szCs w:val="32"/>
          <w:highlight w:val="none"/>
          <w:u w:val="single"/>
        </w:rPr>
        <w:t>4)在本合同实施过程中，承包人应对现场施工人员及现场其他第三方人员的安全、现场施工秩序、工程保护、环境保护、消防、用电安全等负责，并就工地照明、防护标志和警示信号设置、门卫人员配置等作出具体安排，充分考虑施工的特殊性，确保安全生产无事故，并承担相关的责任和损失</w:t>
      </w:r>
      <w:r>
        <w:rPr>
          <w:rFonts w:hint="eastAsia" w:ascii="宋体" w:hAnsi="宋体" w:eastAsia="宋体" w:cs="宋体"/>
          <w:color w:val="auto"/>
          <w:sz w:val="21"/>
          <w:szCs w:val="32"/>
          <w:highlight w:val="none"/>
          <w:u w:val="single"/>
          <w:lang w:eastAsia="zh-CN"/>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6.1.4 关于治安保卫的特别约定：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关于编制施工场地治安管理计划的约定：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 xml:space="preserve">开工通知载明的开工日期 7 天前提交施工场地治安管理计划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6.1.5 文明施工</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合同当事人对文明施工的要求：</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（1）承包人按当地有关主管部门的规定办理相关手续，并承担相应费用，同时以书面形式通知发包人，承担施工过程中因自身原因造成的罚款。</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（2）按照我市“徐空气提升办【2018】11 号”和“徐城管发【2018】55号”等相关文件的要求，施工现场要做到“六到位、六不准”。即围挡到位、硬化到位、覆盖到位、喷雾到位、保洁到位、公示到位;不准车辆带泥离场、不准高空抛撒颗粒物、不准现场搅拌混凝土、不准场地积水、不准现场焚烧、不准现场堆放裸土;工期超过6个月(含)工程造价超过 1000万元的工地，施工现场应安装空气质量监测和视频监控设备,实现实时监控和数据共享，确保施工现场扬尘污染总体受控。开工前15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如因建筑垃圾未及时清理或运输不当，造成工地周边扬尘及其他给发包人带来不利影响的事件，每查实一次向招标人支付3000元违约金；造成损失的，由承包人承担。</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（3）为保证道路交通安全及运输畅通,当施工期间，承包人必须与交通和公安部门协商，采取足够的交通疏导措施；承包人制定运输计划时，应避开现有道路上在高峰时的运输。</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4）承包人在施工过程中不得将施工范围内的建筑垃圾搬运或投放至施工范围外的其他场地上，一旦发生且承包人不清理或清理不干净，发包人有权委托其它单位或个人清理，所产生的一切费用由承包人承担，发包人在工程款支付时在承包人的工程款中按所发生的费用双倍扣还。</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5）承包人在竣工验收前应将施工场地范围内的建筑垃圾、建筑杂物、临时道路、生活垃圾等清理干净，并及时清除出施工现场，不得弃置在发包人区域范围内。如承包人不清理或清理不干净，发包人有权委托其它单位或个人清理，所产生的一切费用由承包人承担，发包人在工程款结算时在承包人的工程款中按所发生的费用双倍扣还。</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（6）现场施工及管理人员均需挂牌进场，否则，发包人有权对承包人处以50元∕人·次的违约金。</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7）扬尘防控环保要求必须符合严格按照《徐州市大气污染防治条例》及说明、《市政府关于印发徐州市2017-2018年秋冬季大气污染防治强化管控方案的通知》（徐政发﹝2017﹞53号）、《关于印发徐州市市区工地扬尘污染管理规范的通知》（徐空气提升办﹝2018﹞11号）和《徐州市2018年大气污染防治攻坚行动方案》、徐城管发【2018】55号文的规定。投标人的扬尘防控环保要求必须符合严格按《徐建价2018 年1号》文执行，扬尘污染防治费按江苏省住房和城乡建设厅公告（2018）24号文执行计取。该费用已经包含在投标报价当中，结算不再增加此项费用。按照《徐州市市区扬尘污染防治办法》的要求，开工前15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如因建筑垃圾未及时清理或运输不当，造成工地周边扬尘及其他给发包人带来不利影响的事件，每查实一次向发包人支付3000元违约金；造成损失的，由承包人承担。</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（8）因扬尘治理、环境保护等情况未到达标准，而导致甲方被处罚，甲方将处罚金额从乙方工程款中扣除。</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（9）文明施工相关法律、标准和规范的其他要求。</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（10）承包人须定期上报现场一线操作工人名单、人数、籍贯等。如有人员调整，必须及时通知发包人。</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（11）施工人员不准居住在在建建筑物内。每发现一次按3000元/次向发包人支付违约金。</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（12）承包人对施工范围内的安全防火承担责任。</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（13）施工期间不准破坏施工现场以外的植被。</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14）承包人应遵守工程建设安全生产有关管理规定，严格按安全标准组织施工，并随时接受行业安全检查人员依法实施的监督检查，采取必要的安全防护措施，消除事故隐患。安全施工防护费用已含在合同价款内。由于承包人安全措施不力造成事故的责任和因此发生的费用，由承包人承担，并视安全事故等级和造成不良影响的大小，每次承担10000~50000元的违约金。</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15）承包人应负责为其雇员安排食宿并提供各种必需的生活设施，并应采取合理的卫生防护措施和安全措施以保护其雇员的健康和安全。若因卫生、火灾等原因造成损失，由承包人承担全部责任。发包人有权视安全事故等级和造成不良影响的大小，要求其承担 10000~50000的违约金。</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（16）施工期间必须做好场地清洁卫生，设置冲洗平台，做到净车出场，避免在场外道路上“抛、洒、滴、漏”。</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（17）承包人搭设临时设施必须服从发包人的统一管理；</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（18）对施工场地内的已完工程、在建工程、管沟、管网等进行保护。</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（19）施工期间必须挂牌上岗并统一着装。</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（20）禁止乱堆乱放材料与机械设备。</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（21）预制场、土场必须设置标语牌（包括安全、质量、环境、操作规程等）。</w:t>
      </w:r>
    </w:p>
    <w:p>
      <w:pPr>
        <w:spacing w:line="440" w:lineRule="exact"/>
        <w:ind w:firstLine="420" w:firstLineChars="200"/>
        <w:jc w:val="left"/>
        <w:rPr>
          <w:rFonts w:hint="eastAsia" w:ascii="宋体" w:hAnsi="宋体" w:eastAsia="宋体" w:cs="宋体"/>
          <w:color w:val="auto"/>
          <w:sz w:val="21"/>
          <w:szCs w:val="32"/>
          <w:highlight w:val="none"/>
          <w:u w:val="single"/>
          <w:lang w:val="en-US" w:eastAsia="zh-CN"/>
        </w:rPr>
      </w:pPr>
      <w:r>
        <w:rPr>
          <w:rFonts w:hint="eastAsia" w:ascii="宋体" w:hAnsi="宋体" w:eastAsia="宋体" w:cs="宋体"/>
          <w:color w:val="auto"/>
          <w:sz w:val="21"/>
          <w:szCs w:val="32"/>
          <w:highlight w:val="none"/>
          <w:u w:val="single"/>
          <w:lang w:val="en-US" w:eastAsia="zh-CN"/>
        </w:rPr>
        <w:t>（22）其他事项执行通用条款</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6.1.6 关于安全文明施工费支付比例和支付期限的约定：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合同价（即中标价）款中已含，与合同价款同期支付</w:t>
      </w:r>
      <w:r>
        <w:rPr>
          <w:rFonts w:hint="eastAsia" w:ascii="宋体" w:hAnsi="宋体" w:eastAsia="宋体" w:cs="宋体"/>
          <w:color w:val="auto"/>
          <w:szCs w:val="32"/>
          <w:highlight w:val="none"/>
        </w:rPr>
        <w:t>。</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因扬尘治理、环境保护等情况未到达标准，而导致甲方被处罚，甲方将处罚金额从乙方工程款中</w:t>
      </w:r>
      <w:r>
        <w:rPr>
          <w:rFonts w:hint="eastAsia" w:ascii="宋体" w:hAnsi="宋体" w:eastAsia="宋体" w:cs="宋体"/>
          <w:b/>
          <w:bCs/>
          <w:color w:val="auto"/>
          <w:szCs w:val="21"/>
          <w:highlight w:val="none"/>
          <w:u w:val="single"/>
        </w:rPr>
        <w:drawing>
          <wp:anchor distT="0" distB="0" distL="114300" distR="114300" simplePos="0" relativeHeight="251660288" behindDoc="0" locked="0" layoutInCell="1" allowOverlap="1">
            <wp:simplePos x="0" y="0"/>
            <wp:positionH relativeFrom="column">
              <wp:posOffset>0</wp:posOffset>
            </wp:positionH>
            <wp:positionV relativeFrom="paragraph">
              <wp:posOffset>259715</wp:posOffset>
            </wp:positionV>
            <wp:extent cx="400685" cy="6350"/>
            <wp:effectExtent l="0" t="0" r="0" b="0"/>
            <wp:wrapNone/>
            <wp:docPr id="2" name="IM 77"/>
            <wp:cNvGraphicFramePr/>
            <a:graphic xmlns:a="http://schemas.openxmlformats.org/drawingml/2006/main">
              <a:graphicData uri="http://schemas.openxmlformats.org/drawingml/2006/picture">
                <pic:pic xmlns:pic="http://schemas.openxmlformats.org/drawingml/2006/picture">
                  <pic:nvPicPr>
                    <pic:cNvPr id="2" name="IM 77"/>
                    <pic:cNvPicPr/>
                  </pic:nvPicPr>
                  <pic:blipFill>
                    <a:blip r:embed="rId9"/>
                    <a:stretch>
                      <a:fillRect/>
                    </a:stretch>
                  </pic:blipFill>
                  <pic:spPr>
                    <a:xfrm>
                      <a:off x="0" y="0"/>
                      <a:ext cx="400685" cy="6350"/>
                    </a:xfrm>
                    <a:prstGeom prst="rect">
                      <a:avLst/>
                    </a:prstGeom>
                    <a:noFill/>
                    <a:ln>
                      <a:noFill/>
                    </a:ln>
                  </pic:spPr>
                </pic:pic>
              </a:graphicData>
            </a:graphic>
          </wp:anchor>
        </w:drawing>
      </w:r>
      <w:r>
        <w:rPr>
          <w:rFonts w:hint="eastAsia" w:ascii="宋体" w:hAnsi="宋体" w:eastAsia="宋体" w:cs="宋体"/>
          <w:b/>
          <w:bCs/>
          <w:color w:val="auto"/>
          <w:szCs w:val="21"/>
          <w:highlight w:val="none"/>
          <w:u w:val="single"/>
        </w:rPr>
        <w:t>扣除。</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文明施工相关法律、标准和规范的其他要求。</w:t>
      </w:r>
    </w:p>
    <w:bookmarkEnd w:id="190"/>
    <w:bookmarkEnd w:id="191"/>
    <w:bookmarkEnd w:id="192"/>
    <w:bookmarkEnd w:id="193"/>
    <w:bookmarkEnd w:id="194"/>
    <w:bookmarkEnd w:id="195"/>
    <w:bookmarkEnd w:id="196"/>
    <w:p>
      <w:pPr>
        <w:pStyle w:val="8"/>
        <w:spacing w:before="120" w:after="120" w:line="440" w:lineRule="exact"/>
        <w:rPr>
          <w:rFonts w:hint="eastAsia" w:ascii="宋体" w:hAnsi="宋体" w:eastAsia="宋体" w:cs="宋体"/>
          <w:bCs w:val="0"/>
          <w:color w:val="auto"/>
          <w:szCs w:val="32"/>
          <w:highlight w:val="none"/>
        </w:rPr>
      </w:pPr>
      <w:bookmarkStart w:id="201" w:name="_Toc351203639"/>
      <w:bookmarkStart w:id="202" w:name="_Toc11078_WPSOffice_Level2"/>
      <w:bookmarkStart w:id="203" w:name="_Toc28747_WPSOffice_Level2"/>
      <w:r>
        <w:rPr>
          <w:rFonts w:hint="eastAsia" w:ascii="宋体" w:hAnsi="宋体" w:eastAsia="宋体" w:cs="宋体"/>
          <w:bCs w:val="0"/>
          <w:color w:val="auto"/>
          <w:szCs w:val="32"/>
          <w:highlight w:val="none"/>
        </w:rPr>
        <w:t>7. 工期和进度</w:t>
      </w:r>
      <w:bookmarkEnd w:id="201"/>
      <w:bookmarkEnd w:id="202"/>
      <w:bookmarkEnd w:id="203"/>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7.1 施工组织设计</w:t>
      </w:r>
    </w:p>
    <w:p>
      <w:pPr>
        <w:autoSpaceDE w:val="0"/>
        <w:autoSpaceDN w:val="0"/>
        <w:adjustRightInd w:val="0"/>
        <w:snapToGrid w:val="0"/>
        <w:spacing w:line="44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32"/>
          <w:highlight w:val="none"/>
        </w:rPr>
        <w:t>7.1.1 合</w:t>
      </w:r>
      <w:r>
        <w:rPr>
          <w:rFonts w:hint="eastAsia" w:ascii="宋体" w:hAnsi="宋体" w:eastAsia="宋体" w:cs="宋体"/>
          <w:color w:val="auto"/>
          <w:kern w:val="0"/>
          <w:szCs w:val="32"/>
          <w:highlight w:val="none"/>
        </w:rPr>
        <w:t>同当事人约定的施工组织设计应包括的其他内容：</w:t>
      </w:r>
      <w:r>
        <w:rPr>
          <w:rFonts w:hint="eastAsia" w:ascii="宋体" w:hAnsi="宋体" w:eastAsia="宋体" w:cs="宋体"/>
          <w:b/>
          <w:bCs/>
          <w:color w:val="auto"/>
          <w:szCs w:val="21"/>
          <w:highlight w:val="none"/>
          <w:u w:val="single"/>
        </w:rPr>
        <w:t>执行通用条款。</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szCs w:val="32"/>
          <w:highlight w:val="none"/>
        </w:rPr>
        <w:t xml:space="preserve">7.1.2 </w:t>
      </w:r>
      <w:r>
        <w:rPr>
          <w:rFonts w:hint="eastAsia" w:ascii="宋体" w:hAnsi="宋体" w:eastAsia="宋体" w:cs="宋体"/>
          <w:color w:val="auto"/>
          <w:kern w:val="0"/>
          <w:szCs w:val="32"/>
          <w:highlight w:val="none"/>
        </w:rPr>
        <w:t>施工组织设计的提交和修改</w:t>
      </w:r>
    </w:p>
    <w:p>
      <w:pPr>
        <w:autoSpaceDE w:val="0"/>
        <w:autoSpaceDN w:val="0"/>
        <w:adjustRightInd w:val="0"/>
        <w:spacing w:line="440" w:lineRule="exact"/>
        <w:ind w:firstLine="420" w:firstLineChars="200"/>
        <w:jc w:val="left"/>
        <w:rPr>
          <w:rFonts w:hint="eastAsia" w:ascii="宋体" w:hAnsi="宋体" w:eastAsia="宋体" w:cs="宋体"/>
          <w:color w:val="auto"/>
          <w:szCs w:val="32"/>
          <w:highlight w:val="none"/>
          <w:u w:val="single"/>
          <w:lang w:eastAsia="zh-CN"/>
        </w:rPr>
      </w:pPr>
      <w:r>
        <w:rPr>
          <w:rFonts w:hint="eastAsia" w:ascii="宋体" w:hAnsi="宋体" w:eastAsia="宋体" w:cs="宋体"/>
          <w:color w:val="auto"/>
          <w:kern w:val="0"/>
          <w:szCs w:val="32"/>
          <w:highlight w:val="none"/>
        </w:rPr>
        <w:t>承包人提交详细施工组织设计的期限的约定：</w:t>
      </w:r>
      <w:r>
        <w:rPr>
          <w:rFonts w:hint="eastAsia" w:ascii="宋体" w:hAnsi="宋体" w:eastAsia="宋体" w:cs="宋体"/>
          <w:b/>
          <w:bCs/>
          <w:color w:val="auto"/>
          <w:szCs w:val="21"/>
          <w:highlight w:val="none"/>
          <w:u w:val="single"/>
        </w:rPr>
        <w:t>开工通知载明的开工日期7天前</w:t>
      </w:r>
      <w:r>
        <w:rPr>
          <w:rFonts w:hint="eastAsia" w:ascii="宋体" w:hAnsi="宋体" w:eastAsia="宋体" w:cs="宋体"/>
          <w:color w:val="auto"/>
          <w:szCs w:val="32"/>
          <w:highlight w:val="none"/>
          <w:u w:val="single"/>
          <w:lang w:eastAsia="zh-CN"/>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发包人和监理人在收到详细的施工组织设计后确认或提出修改意见的期限：</w:t>
      </w:r>
      <w:r>
        <w:rPr>
          <w:rFonts w:hint="eastAsia" w:ascii="宋体" w:hAnsi="宋体" w:eastAsia="宋体" w:cs="宋体"/>
          <w:b/>
          <w:bCs/>
          <w:color w:val="auto"/>
          <w:szCs w:val="21"/>
          <w:highlight w:val="none"/>
          <w:u w:val="single"/>
        </w:rPr>
        <w:t>收到后7日内</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w:t>
      </w:r>
      <w:bookmarkStart w:id="204" w:name="_Toc300934966"/>
      <w:bookmarkStart w:id="205" w:name="_Toc312677479"/>
      <w:bookmarkStart w:id="206" w:name="_Toc297216173"/>
      <w:bookmarkStart w:id="207" w:name="_Toc312678005"/>
      <w:bookmarkStart w:id="208" w:name="_Toc303539123"/>
      <w:bookmarkStart w:id="209" w:name="_Toc304295541"/>
      <w:bookmarkStart w:id="210" w:name="_Toc297123514"/>
      <w:r>
        <w:rPr>
          <w:rFonts w:hint="eastAsia" w:ascii="宋体" w:hAnsi="宋体" w:eastAsia="宋体" w:cs="宋体"/>
          <w:color w:val="auto"/>
          <w:szCs w:val="32"/>
          <w:highlight w:val="none"/>
        </w:rPr>
        <w:t>.2 施工进度计划</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7.2.2 施工进度计划的修订</w:t>
      </w:r>
    </w:p>
    <w:p>
      <w:pPr>
        <w:autoSpaceDE w:val="0"/>
        <w:autoSpaceDN w:val="0"/>
        <w:adjustRightInd w:val="0"/>
        <w:spacing w:line="44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32"/>
          <w:highlight w:val="none"/>
        </w:rPr>
        <w:t>发包人和监理人在收到修订的施工进度计划后确认或提出修改意见的期限：</w:t>
      </w:r>
      <w:r>
        <w:rPr>
          <w:rFonts w:hint="eastAsia" w:ascii="宋体" w:hAnsi="宋体" w:eastAsia="宋体" w:cs="宋体"/>
          <w:b/>
          <w:bCs/>
          <w:color w:val="auto"/>
          <w:szCs w:val="21"/>
          <w:highlight w:val="none"/>
          <w:u w:val="single"/>
        </w:rPr>
        <w:t>收到后7日内。</w:t>
      </w:r>
    </w:p>
    <w:p>
      <w:pPr>
        <w:autoSpaceDE w:val="0"/>
        <w:autoSpaceDN w:val="0"/>
        <w:adjustRightInd w:val="0"/>
        <w:spacing w:line="440" w:lineRule="exact"/>
        <w:ind w:firstLine="422" w:firstLineChars="200"/>
        <w:jc w:val="left"/>
        <w:rPr>
          <w:rFonts w:hint="eastAsia" w:ascii="宋体" w:hAnsi="宋体" w:eastAsia="宋体" w:cs="宋体"/>
          <w:color w:val="auto"/>
          <w:szCs w:val="32"/>
          <w:highlight w:val="none"/>
        </w:rPr>
      </w:pPr>
      <w:r>
        <w:rPr>
          <w:rFonts w:hint="eastAsia" w:ascii="宋体" w:hAnsi="宋体" w:eastAsia="宋体" w:cs="宋体"/>
          <w:b/>
          <w:bCs/>
          <w:color w:val="auto"/>
          <w:szCs w:val="21"/>
          <w:highlight w:val="none"/>
          <w:u w:val="single"/>
        </w:rPr>
        <w:t>施工期间，承包人每月20日前向监理工程师报送下月的“月度工程进度计划表”，经监理工程师审核和发包人代表确认后，应于3日内返回承包人；“月度工程进度计划表”如需修改时，应于当日发回承包人修改，承包人须于次日报送修改稿</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7.3 开工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7.3.1 开工准备</w:t>
      </w:r>
    </w:p>
    <w:p>
      <w:pPr>
        <w:spacing w:line="440" w:lineRule="exact"/>
        <w:ind w:firstLine="645"/>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关于承包人提交</w:t>
      </w:r>
      <w:r>
        <w:rPr>
          <w:rFonts w:hint="eastAsia" w:ascii="宋体" w:hAnsi="宋体" w:eastAsia="宋体" w:cs="宋体"/>
          <w:color w:val="auto"/>
          <w:kern w:val="0"/>
          <w:szCs w:val="32"/>
          <w:highlight w:val="none"/>
        </w:rPr>
        <w:t>工程开工报审表的期限：</w:t>
      </w:r>
      <w:r>
        <w:rPr>
          <w:rFonts w:hint="eastAsia" w:ascii="宋体" w:hAnsi="宋体" w:eastAsia="宋体" w:cs="宋体"/>
          <w:b/>
          <w:bCs/>
          <w:color w:val="auto"/>
          <w:szCs w:val="21"/>
          <w:highlight w:val="none"/>
          <w:u w:val="single"/>
        </w:rPr>
        <w:t>合同签订后、开工前</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645"/>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关于发包人应完成的其他开工准备工作及期限：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 xml:space="preserve">执行通用条款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630" w:firstLineChars="3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关于承包人应完成的其他开工准备工作及期限：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 xml:space="preserve">执行通用条款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7.3.2开工通知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因发包人原因造成监理人未能在计划开工日期之日起</w:t>
      </w:r>
      <w:r>
        <w:rPr>
          <w:rFonts w:hint="eastAsia" w:ascii="宋体" w:hAnsi="宋体" w:eastAsia="宋体" w:cs="宋体"/>
          <w:b/>
          <w:bCs/>
          <w:color w:val="auto"/>
          <w:szCs w:val="32"/>
          <w:highlight w:val="none"/>
          <w:u w:val="single"/>
        </w:rPr>
        <w:t xml:space="preserve"> 90 </w:t>
      </w:r>
      <w:r>
        <w:rPr>
          <w:rFonts w:hint="eastAsia" w:ascii="宋体" w:hAnsi="宋体" w:eastAsia="宋体" w:cs="宋体"/>
          <w:color w:val="auto"/>
          <w:szCs w:val="32"/>
          <w:highlight w:val="none"/>
        </w:rPr>
        <w:t>天内发出开工通知的，承包人有权提出价格调整要求，或者解除合同。</w:t>
      </w:r>
    </w:p>
    <w:bookmarkEnd w:id="204"/>
    <w:bookmarkEnd w:id="205"/>
    <w:bookmarkEnd w:id="206"/>
    <w:bookmarkEnd w:id="207"/>
    <w:bookmarkEnd w:id="208"/>
    <w:bookmarkEnd w:id="209"/>
    <w:bookmarkEnd w:id="210"/>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7.4 测量放线</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7.4.1发包人通过监理人向承包人提供测量基准点、基准线和水准点及其书面资料的期限：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合同签订后、开工前</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w:t>
      </w:r>
      <w:bookmarkStart w:id="211" w:name="_Toc297216175"/>
      <w:bookmarkStart w:id="212" w:name="_Toc300934968"/>
      <w:bookmarkStart w:id="213" w:name="_Toc312677484"/>
      <w:bookmarkStart w:id="214" w:name="_Toc297123516"/>
      <w:bookmarkStart w:id="215" w:name="_Toc312678010"/>
      <w:bookmarkStart w:id="216" w:name="_Toc303539125"/>
      <w:bookmarkStart w:id="217" w:name="_Toc304295546"/>
      <w:r>
        <w:rPr>
          <w:rFonts w:hint="eastAsia" w:ascii="宋体" w:hAnsi="宋体" w:eastAsia="宋体" w:cs="宋体"/>
          <w:color w:val="auto"/>
          <w:szCs w:val="32"/>
          <w:highlight w:val="none"/>
        </w:rPr>
        <w:t>.5 工期延误</w:t>
      </w:r>
    </w:p>
    <w:bookmarkEnd w:id="211"/>
    <w:bookmarkEnd w:id="212"/>
    <w:bookmarkEnd w:id="213"/>
    <w:bookmarkEnd w:id="214"/>
    <w:bookmarkEnd w:id="215"/>
    <w:bookmarkEnd w:id="216"/>
    <w:bookmarkEnd w:id="217"/>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7.5.1 因发包人原因导致工期延误</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（7）因发包人原因导致工期延误的其他情形：</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由于发包人原因导致的工期延误，工期可相应顺延，发包人的延误仅顺延工期，合同工期作相应调整，材料差价调整按合同应条款执行（不可抗力原因除外），承包人不得提出任何其他补偿或索赔费用</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w:t>
      </w:r>
      <w:bookmarkStart w:id="218" w:name="_Toc312678012"/>
      <w:bookmarkStart w:id="219" w:name="_Toc318581169"/>
      <w:bookmarkStart w:id="220" w:name="_Toc312677486"/>
      <w:bookmarkStart w:id="221" w:name="_Toc300934970"/>
      <w:bookmarkStart w:id="222" w:name="_Toc297123518"/>
      <w:bookmarkStart w:id="223" w:name="_Toc297216177"/>
      <w:bookmarkStart w:id="224" w:name="_Toc304295548"/>
      <w:bookmarkStart w:id="225" w:name="_Toc303539127"/>
      <w:r>
        <w:rPr>
          <w:rFonts w:hint="eastAsia" w:ascii="宋体" w:hAnsi="宋体" w:eastAsia="宋体" w:cs="宋体"/>
          <w:color w:val="auto"/>
          <w:szCs w:val="32"/>
          <w:highlight w:val="none"/>
        </w:rPr>
        <w:t>.5.2 因承包人原因导致工期延误</w:t>
      </w:r>
    </w:p>
    <w:bookmarkEnd w:id="218"/>
    <w:bookmarkEnd w:id="219"/>
    <w:bookmarkEnd w:id="220"/>
    <w:p>
      <w:pPr>
        <w:spacing w:line="440" w:lineRule="exact"/>
        <w:ind w:firstLine="420" w:firstLineChars="200"/>
        <w:jc w:val="left"/>
        <w:rPr>
          <w:rFonts w:hint="eastAsia" w:ascii="宋体" w:hAnsi="宋体" w:eastAsia="宋体" w:cs="宋体"/>
          <w:b/>
          <w:bCs/>
          <w:color w:val="auto"/>
          <w:szCs w:val="32"/>
          <w:highlight w:val="none"/>
          <w:u w:val="single"/>
        </w:rPr>
      </w:pPr>
      <w:r>
        <w:rPr>
          <w:rFonts w:hint="eastAsia" w:ascii="宋体" w:hAnsi="宋体" w:eastAsia="宋体" w:cs="宋体"/>
          <w:color w:val="auto"/>
          <w:szCs w:val="32"/>
          <w:highlight w:val="none"/>
        </w:rPr>
        <w:t>因</w:t>
      </w:r>
      <w:bookmarkStart w:id="226" w:name="_Toc312677487"/>
      <w:bookmarkStart w:id="227" w:name="_Toc312678013"/>
      <w:bookmarkStart w:id="228" w:name="_Toc318581170"/>
      <w:r>
        <w:rPr>
          <w:rFonts w:hint="eastAsia" w:ascii="宋体" w:hAnsi="宋体" w:eastAsia="宋体" w:cs="宋体"/>
          <w:color w:val="auto"/>
          <w:szCs w:val="32"/>
          <w:highlight w:val="none"/>
        </w:rPr>
        <w:t>承包人原因造成工期延误，逾期竣工违约金的计算方法为：</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每延误一天，由承包人向发包人按10000 元/天支付违约金，发包人有权采取任何补救措施来弥补该延误，由此增加的费用由承包人承担 </w:t>
      </w:r>
      <w:r>
        <w:rPr>
          <w:rFonts w:hint="eastAsia" w:ascii="宋体" w:hAnsi="宋体" w:eastAsia="宋体" w:cs="宋体"/>
          <w:b/>
          <w:bCs/>
          <w:color w:val="auto"/>
          <w:szCs w:val="32"/>
          <w:highlight w:val="none"/>
          <w:u w:val="none"/>
        </w:rPr>
        <w:t>。</w:t>
      </w:r>
      <w:bookmarkEnd w:id="221"/>
      <w:bookmarkEnd w:id="222"/>
      <w:bookmarkEnd w:id="223"/>
      <w:bookmarkEnd w:id="224"/>
      <w:bookmarkEnd w:id="225"/>
      <w:bookmarkEnd w:id="226"/>
      <w:bookmarkEnd w:id="227"/>
    </w:p>
    <w:bookmarkEnd w:id="228"/>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因承包人原因造成工期延误，逾</w:t>
      </w:r>
      <w:bookmarkStart w:id="229" w:name="_Toc318581171"/>
      <w:bookmarkStart w:id="230" w:name="_Toc312678014"/>
      <w:r>
        <w:rPr>
          <w:rFonts w:hint="eastAsia" w:ascii="宋体" w:hAnsi="宋体" w:eastAsia="宋体" w:cs="宋体"/>
          <w:color w:val="auto"/>
          <w:szCs w:val="32"/>
          <w:highlight w:val="none"/>
        </w:rPr>
        <w:t>期竣工违约金的上限：</w:t>
      </w:r>
      <w:r>
        <w:rPr>
          <w:rFonts w:hint="eastAsia" w:ascii="宋体" w:hAnsi="宋体" w:eastAsia="宋体" w:cs="宋体"/>
          <w:color w:val="auto"/>
          <w:szCs w:val="32"/>
          <w:highlight w:val="none"/>
          <w:u w:val="single"/>
        </w:rPr>
        <w:t xml:space="preserve"> </w:t>
      </w:r>
      <w:r>
        <w:rPr>
          <w:rFonts w:hint="eastAsia" w:ascii="宋体" w:hAnsi="宋体" w:eastAsia="宋体" w:cs="宋体"/>
          <w:b/>
          <w:bCs w:val="0"/>
          <w:color w:val="000000"/>
          <w:kern w:val="0"/>
          <w:szCs w:val="21"/>
          <w:highlight w:val="none"/>
          <w:u w:val="single"/>
        </w:rPr>
        <w:t>合同价款的</w:t>
      </w:r>
      <w:r>
        <w:rPr>
          <w:rFonts w:hint="eastAsia" w:ascii="宋体" w:hAnsi="宋体" w:eastAsia="宋体" w:cs="宋体"/>
          <w:b/>
          <w:bCs w:val="0"/>
          <w:color w:val="000000"/>
          <w:kern w:val="0"/>
          <w:szCs w:val="21"/>
          <w:highlight w:val="none"/>
          <w:u w:val="single"/>
          <w:lang w:val="en-US" w:eastAsia="zh-CN"/>
        </w:rPr>
        <w:t>10</w:t>
      </w:r>
      <w:r>
        <w:rPr>
          <w:rFonts w:hint="eastAsia" w:ascii="宋体" w:hAnsi="宋体" w:eastAsia="宋体" w:cs="宋体"/>
          <w:b/>
          <w:bCs w:val="0"/>
          <w:color w:val="000000"/>
          <w:kern w:val="0"/>
          <w:szCs w:val="21"/>
          <w:highlight w:val="none"/>
          <w:u w:val="single"/>
        </w:rPr>
        <w:t>%</w:t>
      </w:r>
      <w:r>
        <w:rPr>
          <w:rFonts w:hint="eastAsia" w:ascii="宋体" w:hAnsi="宋体" w:eastAsia="宋体" w:cs="宋体"/>
          <w:bCs/>
          <w:color w:val="000000"/>
          <w:kern w:val="0"/>
          <w:szCs w:val="21"/>
          <w:highlight w:val="none"/>
          <w:u w:val="single"/>
          <w:lang w:val="en-US" w:eastAsia="zh-CN"/>
        </w:rPr>
        <w:t xml:space="preserve"> </w:t>
      </w:r>
      <w:r>
        <w:rPr>
          <w:rFonts w:hint="eastAsia" w:ascii="宋体" w:hAnsi="宋体" w:eastAsia="宋体" w:cs="宋体"/>
          <w:color w:val="auto"/>
          <w:szCs w:val="32"/>
          <w:highlight w:val="none"/>
        </w:rPr>
        <w:t>。</w:t>
      </w:r>
    </w:p>
    <w:bookmarkEnd w:id="229"/>
    <w:bookmarkEnd w:id="230"/>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w:t>
      </w:r>
      <w:bookmarkStart w:id="231" w:name="_Toc304295549"/>
      <w:bookmarkStart w:id="232" w:name="_Toc297216178"/>
      <w:bookmarkStart w:id="233" w:name="_Toc303539128"/>
      <w:bookmarkStart w:id="234" w:name="_Toc297123519"/>
      <w:bookmarkStart w:id="235" w:name="_Toc300934971"/>
      <w:bookmarkStart w:id="236" w:name="_Toc312678015"/>
      <w:r>
        <w:rPr>
          <w:rFonts w:hint="eastAsia" w:ascii="宋体" w:hAnsi="宋体" w:eastAsia="宋体" w:cs="宋体"/>
          <w:color w:val="auto"/>
          <w:szCs w:val="32"/>
          <w:highlight w:val="none"/>
        </w:rPr>
        <w:t>.6 不</w:t>
      </w:r>
      <w:bookmarkEnd w:id="231"/>
      <w:bookmarkEnd w:id="232"/>
      <w:bookmarkEnd w:id="233"/>
      <w:bookmarkEnd w:id="234"/>
      <w:bookmarkEnd w:id="235"/>
      <w:bookmarkEnd w:id="236"/>
      <w:r>
        <w:rPr>
          <w:rFonts w:hint="eastAsia" w:ascii="宋体" w:hAnsi="宋体" w:eastAsia="宋体" w:cs="宋体"/>
          <w:color w:val="auto"/>
          <w:szCs w:val="32"/>
          <w:highlight w:val="none"/>
        </w:rPr>
        <w:t>利物质条件</w:t>
      </w:r>
    </w:p>
    <w:p>
      <w:pPr>
        <w:spacing w:line="440" w:lineRule="exact"/>
        <w:ind w:firstLine="420" w:firstLineChars="200"/>
        <w:jc w:val="left"/>
        <w:rPr>
          <w:rFonts w:hint="eastAsia" w:ascii="宋体" w:hAnsi="宋体" w:eastAsia="宋体" w:cs="宋体"/>
          <w:color w:val="auto"/>
          <w:szCs w:val="32"/>
          <w:highlight w:val="none"/>
        </w:rPr>
      </w:pPr>
      <w:bookmarkStart w:id="237" w:name="_Toc300934972"/>
      <w:bookmarkStart w:id="238" w:name="_Toc304295550"/>
      <w:bookmarkStart w:id="239" w:name="_Toc297123520"/>
      <w:bookmarkStart w:id="240" w:name="_Toc318581172"/>
      <w:bookmarkStart w:id="241" w:name="_Toc303539129"/>
      <w:bookmarkStart w:id="242" w:name="_Toc312678016"/>
      <w:bookmarkStart w:id="243" w:name="_Toc297216179"/>
      <w:r>
        <w:rPr>
          <w:rFonts w:hint="eastAsia" w:ascii="宋体" w:hAnsi="宋体" w:eastAsia="宋体" w:cs="宋体"/>
          <w:color w:val="auto"/>
          <w:szCs w:val="32"/>
          <w:highlight w:val="none"/>
        </w:rPr>
        <w:t>不利物质条件的其他情形和有关约定：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21"/>
          <w:highlight w:val="none"/>
          <w:u w:val="single"/>
        </w:rPr>
        <w:t>执行通用条款</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bookmarkEnd w:id="237"/>
    <w:bookmarkEnd w:id="238"/>
    <w:bookmarkEnd w:id="239"/>
    <w:bookmarkEnd w:id="240"/>
    <w:bookmarkEnd w:id="241"/>
    <w:bookmarkEnd w:id="242"/>
    <w:bookmarkEnd w:id="243"/>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w:t>
      </w:r>
      <w:bookmarkStart w:id="244" w:name="_Toc297123521"/>
      <w:bookmarkStart w:id="245" w:name="_Toc297216180"/>
      <w:bookmarkStart w:id="246" w:name="_Toc312678017"/>
      <w:bookmarkStart w:id="247" w:name="_Toc304295551"/>
      <w:bookmarkStart w:id="248" w:name="_Toc303539130"/>
      <w:bookmarkStart w:id="249" w:name="_Toc300934973"/>
      <w:r>
        <w:rPr>
          <w:rFonts w:hint="eastAsia" w:ascii="宋体" w:hAnsi="宋体" w:eastAsia="宋体" w:cs="宋体"/>
          <w:color w:val="auto"/>
          <w:szCs w:val="32"/>
          <w:highlight w:val="none"/>
        </w:rPr>
        <w:t>.7异常恶劣的气候条件</w:t>
      </w:r>
    </w:p>
    <w:bookmarkEnd w:id="244"/>
    <w:bookmarkEnd w:id="245"/>
    <w:bookmarkEnd w:id="246"/>
    <w:bookmarkEnd w:id="247"/>
    <w:bookmarkEnd w:id="248"/>
    <w:bookmarkEnd w:id="249"/>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发包人和承包人同意以下情形视为异常恶劣的气候条件：</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250" w:name="_Toc27550106"/>
      <w:r>
        <w:rPr>
          <w:rFonts w:hint="eastAsia" w:ascii="宋体" w:hAnsi="宋体" w:eastAsia="宋体" w:cs="宋体"/>
          <w:color w:val="auto"/>
          <w:szCs w:val="32"/>
          <w:highlight w:val="none"/>
        </w:rPr>
        <w:t>7.9 提前竣工的奖励</w:t>
      </w:r>
      <w:bookmarkEnd w:id="250"/>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7.9.2提前竣工的奖励：</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251" w:name="_Toc9777_WPSOffice_Level2"/>
      <w:bookmarkStart w:id="252" w:name="_Toc351203640"/>
      <w:bookmarkStart w:id="253" w:name="_Toc19217_WPSOffice_Level2"/>
      <w:r>
        <w:rPr>
          <w:rFonts w:hint="eastAsia" w:ascii="宋体" w:hAnsi="宋体" w:eastAsia="宋体" w:cs="宋体"/>
          <w:bCs w:val="0"/>
          <w:color w:val="auto"/>
          <w:szCs w:val="32"/>
          <w:highlight w:val="none"/>
        </w:rPr>
        <w:t>8. 材料与设备</w:t>
      </w:r>
      <w:bookmarkEnd w:id="251"/>
      <w:bookmarkEnd w:id="252"/>
      <w:bookmarkEnd w:id="253"/>
    </w:p>
    <w:bookmarkEnd w:id="179"/>
    <w:bookmarkEnd w:id="180"/>
    <w:bookmarkEnd w:id="181"/>
    <w:bookmarkEnd w:id="182"/>
    <w:bookmarkEnd w:id="183"/>
    <w:bookmarkEnd w:id="184"/>
    <w:bookmarkEnd w:id="185"/>
    <w:bookmarkEnd w:id="186"/>
    <w:bookmarkEnd w:id="187"/>
    <w:bookmarkEnd w:id="188"/>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8</w:t>
      </w:r>
      <w:bookmarkStart w:id="254" w:name="_Toc300934979"/>
      <w:bookmarkStart w:id="255" w:name="_Toc303539136"/>
      <w:bookmarkStart w:id="256" w:name="_Toc280868654"/>
      <w:bookmarkStart w:id="257" w:name="_Toc292559877"/>
      <w:bookmarkStart w:id="258" w:name="_Toc296346668"/>
      <w:bookmarkStart w:id="259" w:name="_Toc297123527"/>
      <w:bookmarkStart w:id="260" w:name="_Toc304295556"/>
      <w:bookmarkStart w:id="261" w:name="_Toc296503167"/>
      <w:bookmarkStart w:id="262" w:name="_Toc296944506"/>
      <w:bookmarkStart w:id="263" w:name="_Toc312678019"/>
      <w:bookmarkStart w:id="264" w:name="_Toc297048353"/>
      <w:bookmarkStart w:id="265" w:name="_Toc292559372"/>
      <w:bookmarkStart w:id="266" w:name="_Toc296890995"/>
      <w:bookmarkStart w:id="267" w:name="_Toc297120467"/>
      <w:bookmarkStart w:id="268" w:name="_Toc297216186"/>
      <w:bookmarkStart w:id="269" w:name="_Toc312677493"/>
      <w:bookmarkStart w:id="270" w:name="_Toc296347166"/>
      <w:bookmarkStart w:id="271" w:name="_Toc296891207"/>
      <w:bookmarkStart w:id="272" w:name="_Toc280868656"/>
      <w:bookmarkStart w:id="273" w:name="_Toc280868655"/>
      <w:bookmarkStart w:id="274" w:name="_Toc267251424"/>
      <w:r>
        <w:rPr>
          <w:rFonts w:hint="eastAsia" w:ascii="宋体" w:hAnsi="宋体" w:eastAsia="宋体" w:cs="宋体"/>
          <w:color w:val="auto"/>
          <w:szCs w:val="32"/>
          <w:highlight w:val="none"/>
        </w:rPr>
        <w:t>.4材料与工程设备的保管与使用</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8</w:t>
      </w:r>
      <w:bookmarkStart w:id="275" w:name="_Toc292559878"/>
      <w:bookmarkStart w:id="276" w:name="_Toc292559373"/>
      <w:bookmarkStart w:id="277" w:name="_Toc296347167"/>
      <w:bookmarkStart w:id="278" w:name="_Toc300934980"/>
      <w:bookmarkStart w:id="279" w:name="_Toc296346669"/>
      <w:bookmarkStart w:id="280" w:name="_Toc297123528"/>
      <w:bookmarkStart w:id="281" w:name="_Toc312677494"/>
      <w:bookmarkStart w:id="282" w:name="_Toc296503168"/>
      <w:bookmarkStart w:id="283" w:name="_Toc297048354"/>
      <w:bookmarkStart w:id="284" w:name="_Toc297120468"/>
      <w:bookmarkStart w:id="285" w:name="_Toc296890996"/>
      <w:bookmarkStart w:id="286" w:name="_Toc296891208"/>
      <w:bookmarkStart w:id="287" w:name="_Toc304295557"/>
      <w:bookmarkStart w:id="288" w:name="_Toc296944507"/>
      <w:bookmarkStart w:id="289" w:name="_Toc312678020"/>
      <w:bookmarkStart w:id="290" w:name="_Toc318581173"/>
      <w:bookmarkStart w:id="291" w:name="_Toc297216187"/>
      <w:bookmarkStart w:id="292" w:name="_Toc303539137"/>
      <w:r>
        <w:rPr>
          <w:rFonts w:hint="eastAsia" w:ascii="宋体" w:hAnsi="宋体" w:eastAsia="宋体" w:cs="宋体"/>
          <w:color w:val="auto"/>
          <w:szCs w:val="32"/>
          <w:highlight w:val="none"/>
        </w:rPr>
        <w:t>.4.1发包人供应的材料设备的保管费用的承担：</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由承包人承担 </w:t>
      </w:r>
      <w:r>
        <w:rPr>
          <w:rFonts w:hint="eastAsia" w:ascii="宋体" w:hAnsi="宋体" w:eastAsia="宋体" w:cs="宋体"/>
          <w:color w:val="auto"/>
          <w:szCs w:val="32"/>
          <w:highlight w:val="none"/>
        </w:rPr>
        <w:t>。</w:t>
      </w:r>
    </w:p>
    <w:bookmarkEnd w:id="275"/>
    <w:bookmarkEnd w:id="276"/>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8.6 样品</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8.6.1 样品的报送与封存</w:t>
      </w:r>
    </w:p>
    <w:p>
      <w:pPr>
        <w:autoSpaceDE w:val="0"/>
        <w:autoSpaceDN w:val="0"/>
        <w:adjustRightInd w:val="0"/>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kern w:val="0"/>
          <w:szCs w:val="32"/>
          <w:highlight w:val="none"/>
        </w:rPr>
        <w:t>需要承包人报送样品的材料或工程设备，样品的种类、名称、规格、数量要求：</w:t>
      </w:r>
      <w:r>
        <w:rPr>
          <w:rFonts w:hint="eastAsia" w:ascii="宋体" w:hAnsi="宋体" w:eastAsia="宋体" w:cs="宋体"/>
          <w:b/>
          <w:bCs/>
          <w:color w:val="auto"/>
          <w:szCs w:val="32"/>
          <w:highlight w:val="none"/>
          <w:u w:val="single"/>
        </w:rPr>
        <w:t xml:space="preserve">按管理部门和发包人要求确定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8.8 施工设备和临时设施</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8.8.1 承包人提供的施工设备和临时设施</w:t>
      </w:r>
    </w:p>
    <w:p>
      <w:pPr>
        <w:autoSpaceDE w:val="0"/>
        <w:autoSpaceDN w:val="0"/>
        <w:adjustRightInd w:val="0"/>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kern w:val="0"/>
          <w:szCs w:val="32"/>
          <w:highlight w:val="none"/>
        </w:rPr>
        <w:t>关于修建临时设施费用承担的约定：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由承包人承担</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pStyle w:val="8"/>
        <w:spacing w:before="120" w:after="120" w:line="440" w:lineRule="exact"/>
        <w:rPr>
          <w:rFonts w:hint="eastAsia" w:ascii="宋体" w:hAnsi="宋体" w:eastAsia="宋体" w:cs="宋体"/>
          <w:bCs w:val="0"/>
          <w:color w:val="auto"/>
          <w:szCs w:val="32"/>
          <w:highlight w:val="none"/>
        </w:rPr>
      </w:pPr>
      <w:bookmarkStart w:id="293" w:name="_Toc351203641"/>
      <w:bookmarkStart w:id="294" w:name="_Toc16716_WPSOffice_Level2"/>
      <w:bookmarkStart w:id="295" w:name="_Toc12702_WPSOffice_Level2"/>
      <w:r>
        <w:rPr>
          <w:rFonts w:hint="eastAsia" w:ascii="宋体" w:hAnsi="宋体" w:eastAsia="宋体" w:cs="宋体"/>
          <w:bCs w:val="0"/>
          <w:color w:val="auto"/>
          <w:szCs w:val="32"/>
          <w:highlight w:val="none"/>
        </w:rPr>
        <w:t>9</w:t>
      </w:r>
      <w:bookmarkEnd w:id="272"/>
      <w:bookmarkEnd w:id="273"/>
      <w:bookmarkEnd w:id="274"/>
      <w:bookmarkStart w:id="296" w:name="_Toc303539139"/>
      <w:bookmarkStart w:id="297" w:name="_Toc312678021"/>
      <w:bookmarkStart w:id="298" w:name="_Toc300934982"/>
      <w:bookmarkStart w:id="299" w:name="_Toc297216192"/>
      <w:bookmarkStart w:id="300" w:name="_Toc297123533"/>
      <w:bookmarkStart w:id="301" w:name="_Toc312677495"/>
      <w:bookmarkStart w:id="302" w:name="_Toc304295559"/>
      <w:bookmarkStart w:id="303" w:name="_Toc296891213"/>
      <w:bookmarkStart w:id="304" w:name="_Toc292559378"/>
      <w:bookmarkStart w:id="305" w:name="_Toc296503173"/>
      <w:bookmarkStart w:id="306" w:name="_Toc267251427"/>
      <w:bookmarkStart w:id="307" w:name="_Toc296346674"/>
      <w:bookmarkStart w:id="308" w:name="_Toc297120473"/>
      <w:bookmarkStart w:id="309" w:name="_Toc296891001"/>
      <w:bookmarkStart w:id="310" w:name="_Toc297048359"/>
      <w:bookmarkStart w:id="311" w:name="_Toc267251428"/>
      <w:bookmarkStart w:id="312" w:name="_Toc292559883"/>
      <w:bookmarkStart w:id="313" w:name="_Toc296347172"/>
      <w:bookmarkStart w:id="314" w:name="_Toc296944512"/>
      <w:r>
        <w:rPr>
          <w:rFonts w:hint="eastAsia" w:ascii="宋体" w:hAnsi="宋体" w:eastAsia="宋体" w:cs="宋体"/>
          <w:bCs w:val="0"/>
          <w:color w:val="auto"/>
          <w:szCs w:val="32"/>
          <w:highlight w:val="none"/>
        </w:rPr>
        <w:t>. 试验与检验</w:t>
      </w:r>
      <w:bookmarkEnd w:id="293"/>
      <w:bookmarkEnd w:id="294"/>
      <w:bookmarkEnd w:id="295"/>
    </w:p>
    <w:bookmarkEnd w:id="296"/>
    <w:bookmarkEnd w:id="297"/>
    <w:bookmarkEnd w:id="298"/>
    <w:bookmarkEnd w:id="299"/>
    <w:bookmarkEnd w:id="300"/>
    <w:bookmarkEnd w:id="301"/>
    <w:bookmarkEnd w:id="302"/>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9</w:t>
      </w:r>
      <w:bookmarkStart w:id="315" w:name="_Toc297216193"/>
      <w:bookmarkStart w:id="316" w:name="_Toc312678022"/>
      <w:bookmarkStart w:id="317" w:name="_Toc303539140"/>
      <w:bookmarkStart w:id="318" w:name="_Toc312677496"/>
      <w:bookmarkStart w:id="319" w:name="_Toc304295560"/>
      <w:bookmarkStart w:id="320" w:name="_Toc300934983"/>
      <w:bookmarkStart w:id="321" w:name="_Toc297123534"/>
      <w:r>
        <w:rPr>
          <w:rFonts w:hint="eastAsia" w:ascii="宋体" w:hAnsi="宋体" w:eastAsia="宋体" w:cs="宋体"/>
          <w:color w:val="auto"/>
          <w:szCs w:val="32"/>
          <w:highlight w:val="none"/>
        </w:rPr>
        <w:t>.1试验设备与试验人员</w:t>
      </w:r>
    </w:p>
    <w:bookmarkEnd w:id="315"/>
    <w:bookmarkEnd w:id="316"/>
    <w:bookmarkEnd w:id="317"/>
    <w:bookmarkEnd w:id="318"/>
    <w:bookmarkEnd w:id="319"/>
    <w:bookmarkEnd w:id="320"/>
    <w:bookmarkEnd w:id="321"/>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9</w:t>
      </w:r>
      <w:bookmarkStart w:id="322" w:name="_Toc303539141"/>
      <w:bookmarkStart w:id="323" w:name="_Toc312677497"/>
      <w:bookmarkStart w:id="324" w:name="_Toc297123535"/>
      <w:bookmarkStart w:id="325" w:name="_Toc304295561"/>
      <w:bookmarkStart w:id="326" w:name="_Toc312678023"/>
      <w:bookmarkStart w:id="327" w:name="_Toc300934984"/>
      <w:bookmarkStart w:id="328" w:name="_Toc297216194"/>
      <w:bookmarkStart w:id="329" w:name="_Toc318581174"/>
      <w:r>
        <w:rPr>
          <w:rFonts w:hint="eastAsia" w:ascii="宋体" w:hAnsi="宋体" w:eastAsia="宋体" w:cs="宋体"/>
          <w:color w:val="auto"/>
          <w:szCs w:val="32"/>
          <w:highlight w:val="none"/>
        </w:rPr>
        <w:t>.1.2 试验设备</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施工现场需要配置的试验场所：</w:t>
      </w:r>
      <w:bookmarkEnd w:id="322"/>
      <w:bookmarkEnd w:id="323"/>
      <w:bookmarkEnd w:id="324"/>
      <w:bookmarkEnd w:id="325"/>
      <w:bookmarkEnd w:id="326"/>
      <w:bookmarkEnd w:id="327"/>
      <w:bookmarkEnd w:id="328"/>
      <w:bookmarkStart w:id="330" w:name="_Toc303539142"/>
      <w:bookmarkStart w:id="331" w:name="_Toc312677498"/>
      <w:bookmarkStart w:id="332" w:name="_Toc300934985"/>
      <w:bookmarkStart w:id="333" w:name="_Toc297123536"/>
      <w:bookmarkStart w:id="334" w:name="_Toc297216195"/>
      <w:bookmarkStart w:id="335" w:name="_Toc304295562"/>
      <w:bookmarkStart w:id="336" w:name="_Toc312678024"/>
      <w:r>
        <w:rPr>
          <w:rFonts w:hint="eastAsia" w:ascii="宋体" w:hAnsi="宋体" w:eastAsia="宋体" w:cs="宋体"/>
          <w:b/>
          <w:bCs/>
          <w:color w:val="auto"/>
          <w:szCs w:val="32"/>
          <w:highlight w:val="none"/>
          <w:u w:val="single"/>
        </w:rPr>
        <w:t>按有关规定执行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 xml:space="preserve">    施工现场需要配备的试验设备：</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按有关规定执行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施工现场需要具备的其他试验条件：</w:t>
      </w:r>
      <w:r>
        <w:rPr>
          <w:rFonts w:hint="eastAsia" w:ascii="宋体" w:hAnsi="宋体" w:eastAsia="宋体" w:cs="宋体"/>
          <w:b/>
          <w:bCs/>
          <w:color w:val="auto"/>
          <w:szCs w:val="32"/>
          <w:highlight w:val="none"/>
          <w:u w:val="single"/>
        </w:rPr>
        <w:t>按有关规定执行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9.4 现场工艺试验 </w:t>
      </w:r>
    </w:p>
    <w:p>
      <w:pPr>
        <w:pStyle w:val="8"/>
        <w:spacing w:before="120" w:after="120" w:line="440" w:lineRule="exact"/>
        <w:rPr>
          <w:rFonts w:hint="eastAsia" w:ascii="宋体" w:hAnsi="宋体" w:eastAsia="宋体" w:cs="宋体"/>
          <w:bCs w:val="0"/>
          <w:color w:val="auto"/>
          <w:szCs w:val="32"/>
          <w:highlight w:val="none"/>
        </w:rPr>
      </w:pPr>
      <w:r>
        <w:rPr>
          <w:rFonts w:hint="eastAsia" w:ascii="宋体" w:hAnsi="宋体" w:eastAsia="宋体" w:cs="宋体"/>
          <w:color w:val="auto"/>
          <w:szCs w:val="32"/>
          <w:highlight w:val="none"/>
        </w:rPr>
        <w:t>现场工艺试验的有关约定：</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bookmarkEnd w:id="303"/>
      <w:bookmarkEnd w:id="304"/>
      <w:bookmarkEnd w:id="305"/>
      <w:bookmarkEnd w:id="306"/>
      <w:bookmarkEnd w:id="307"/>
      <w:bookmarkEnd w:id="308"/>
      <w:bookmarkEnd w:id="309"/>
      <w:bookmarkEnd w:id="310"/>
      <w:bookmarkEnd w:id="311"/>
      <w:bookmarkEnd w:id="312"/>
      <w:bookmarkEnd w:id="313"/>
      <w:bookmarkEnd w:id="314"/>
      <w:bookmarkEnd w:id="329"/>
      <w:bookmarkEnd w:id="330"/>
      <w:bookmarkEnd w:id="331"/>
      <w:bookmarkEnd w:id="332"/>
      <w:bookmarkEnd w:id="333"/>
      <w:bookmarkEnd w:id="334"/>
      <w:bookmarkEnd w:id="335"/>
      <w:bookmarkEnd w:id="336"/>
      <w:bookmarkStart w:id="337" w:name="_Toc312678025"/>
      <w:bookmarkStart w:id="338" w:name="_Toc312677499"/>
      <w:bookmarkStart w:id="339" w:name="_Toc267251433"/>
      <w:bookmarkStart w:id="340" w:name="_Toc267251440"/>
      <w:bookmarkStart w:id="341" w:name="_Toc267251441"/>
      <w:bookmarkStart w:id="342" w:name="_Toc267251435"/>
      <w:bookmarkStart w:id="343" w:name="_Toc267251439"/>
      <w:bookmarkStart w:id="344" w:name="_Toc267251437"/>
    </w:p>
    <w:bookmarkEnd w:id="337"/>
    <w:bookmarkEnd w:id="338"/>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w:t>
      </w:r>
      <w:bookmarkStart w:id="345" w:name="_Toc297123541"/>
      <w:bookmarkStart w:id="346" w:name="_Toc296944533"/>
      <w:bookmarkStart w:id="347" w:name="_Toc312678026"/>
      <w:bookmarkStart w:id="348" w:name="_Toc292559904"/>
      <w:bookmarkStart w:id="349" w:name="_Toc296891234"/>
      <w:bookmarkStart w:id="350" w:name="_Toc296347193"/>
      <w:bookmarkStart w:id="351" w:name="_Toc303539147"/>
      <w:bookmarkStart w:id="352" w:name="_Toc296346695"/>
      <w:bookmarkStart w:id="353" w:name="_Toc297048380"/>
      <w:bookmarkStart w:id="354" w:name="_Toc297216200"/>
      <w:bookmarkStart w:id="355" w:name="_Toc297120494"/>
      <w:bookmarkStart w:id="356" w:name="_Toc292559399"/>
      <w:bookmarkStart w:id="357" w:name="_Toc296503194"/>
      <w:bookmarkStart w:id="358" w:name="_Toc300934990"/>
      <w:bookmarkStart w:id="359" w:name="_Toc312677500"/>
      <w:bookmarkStart w:id="360" w:name="_Toc304295567"/>
      <w:bookmarkStart w:id="361" w:name="_Toc296891022"/>
      <w:r>
        <w:rPr>
          <w:rFonts w:hint="eastAsia" w:ascii="宋体" w:hAnsi="宋体" w:eastAsia="宋体" w:cs="宋体"/>
          <w:color w:val="auto"/>
          <w:szCs w:val="32"/>
          <w:highlight w:val="none"/>
        </w:rPr>
        <w:t>0.1变更的范围</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关于变更的范围的约定：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关于变更的范围的约定：除设计变更、现场签证和新增（减） 工程外,其余均不作调整；设计变更、现场签证、新增（减）工程均须经设计院、监理工程师和发包人代表签字确认。</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10.4 变更估价</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10.4.1 变更估价原则</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关于变更估价的约定:</w:t>
      </w:r>
    </w:p>
    <w:p>
      <w:pPr>
        <w:spacing w:line="440" w:lineRule="exact"/>
        <w:ind w:firstLine="422" w:firstLineChars="200"/>
        <w:jc w:val="left"/>
        <w:rPr>
          <w:rFonts w:hint="eastAsia" w:ascii="宋体" w:hAnsi="宋体" w:eastAsia="宋体" w:cs="宋体"/>
          <w:b/>
          <w:bCs/>
          <w:color w:val="auto"/>
          <w:szCs w:val="32"/>
          <w:highlight w:val="none"/>
          <w:u w:val="single"/>
        </w:rPr>
      </w:pPr>
      <w:r>
        <w:rPr>
          <w:rFonts w:hint="eastAsia" w:ascii="宋体" w:hAnsi="宋体" w:eastAsia="宋体" w:cs="宋体"/>
          <w:b/>
          <w:bCs/>
          <w:color w:val="auto"/>
          <w:szCs w:val="32"/>
          <w:highlight w:val="none"/>
          <w:u w:val="single"/>
        </w:rPr>
        <w:t>1、采用工程量清单方式计价，竣工结算的工程量按发承包双方在合同中约定应予计量且实际完成的工程量确定，完成发包人要求的合同以外的零星工作或发生非承包人责任事件的工程量按现场签证确定。</w:t>
      </w:r>
    </w:p>
    <w:p>
      <w:pPr>
        <w:spacing w:line="440" w:lineRule="exact"/>
        <w:ind w:firstLine="422" w:firstLineChars="200"/>
        <w:jc w:val="left"/>
        <w:rPr>
          <w:rFonts w:hint="eastAsia" w:ascii="宋体" w:hAnsi="宋体" w:eastAsia="宋体" w:cs="宋体"/>
          <w:b/>
          <w:bCs/>
          <w:color w:val="auto"/>
          <w:szCs w:val="32"/>
          <w:highlight w:val="none"/>
          <w:u w:val="single"/>
        </w:rPr>
      </w:pPr>
      <w:r>
        <w:rPr>
          <w:rFonts w:hint="eastAsia" w:ascii="宋体" w:hAnsi="宋体" w:eastAsia="宋体" w:cs="宋体"/>
          <w:b/>
          <w:bCs/>
          <w:color w:val="auto"/>
          <w:szCs w:val="32"/>
          <w:highlight w:val="none"/>
          <w:u w:val="single"/>
        </w:rPr>
        <w:t>2、因分部分项工程量清单漏项或非承包人原因的工程变更，造成施工组织设计或施工方案变更，引起措施项目发生变化时，措施项目费应按下列原则调整:“按总价计算的措施项目”中的安全文明施工措施费仍按投标时费率进行调整;“按单价计算的措施项目”中的措施费发生关联变化时，按2014年江苏省计价定额规定组价的措施项目按原组价方法调整，未按2014年江苏省计价定额规定组价的措施项目按投标时价格折算成费率调整;原措施费中没有报价的，结算不在调整。</w:t>
      </w:r>
    </w:p>
    <w:p>
      <w:pPr>
        <w:spacing w:line="440" w:lineRule="exact"/>
        <w:ind w:firstLine="422" w:firstLineChars="200"/>
        <w:jc w:val="left"/>
        <w:rPr>
          <w:rFonts w:hint="eastAsia" w:ascii="宋体" w:hAnsi="宋体" w:eastAsia="宋体" w:cs="宋体"/>
          <w:color w:val="auto"/>
          <w:szCs w:val="32"/>
          <w:highlight w:val="none"/>
          <w:u w:val="single"/>
        </w:rPr>
      </w:pPr>
      <w:r>
        <w:rPr>
          <w:rFonts w:hint="eastAsia" w:ascii="宋体" w:hAnsi="宋体" w:eastAsia="宋体" w:cs="宋体"/>
          <w:b/>
          <w:bCs/>
          <w:color w:val="auto"/>
          <w:szCs w:val="32"/>
          <w:highlight w:val="none"/>
          <w:u w:val="single"/>
        </w:rPr>
        <w:t>3、本工程对于工程价款调整约定如下:①设计变更引起新增工程量清单项目，其相应综合单价按本招标文件规定的</w:t>
      </w:r>
      <w:r>
        <w:rPr>
          <w:rFonts w:hint="eastAsia" w:ascii="宋体" w:hAnsi="宋体" w:eastAsia="宋体" w:cs="宋体"/>
          <w:b/>
          <w:bCs/>
          <w:color w:val="auto"/>
          <w:szCs w:val="32"/>
          <w:highlight w:val="none"/>
          <w:u w:val="single"/>
          <w:lang w:val="en-US" w:eastAsia="zh-CN"/>
        </w:rPr>
        <w:t>最高投标限价</w:t>
      </w:r>
      <w:r>
        <w:rPr>
          <w:rFonts w:hint="eastAsia" w:ascii="宋体" w:hAnsi="宋体" w:eastAsia="宋体" w:cs="宋体"/>
          <w:b/>
          <w:bCs/>
          <w:color w:val="auto"/>
          <w:szCs w:val="32"/>
          <w:highlight w:val="none"/>
          <w:u w:val="single"/>
        </w:rPr>
        <w:t>计价编制办法计算，再乘以中标价与标底价相比的浮动比率后作为综合单价进行结算。以上变更及工程量签证，必须由发、承包双方、现场监理工程师共同确认。②工程量增减，其相应综合单价执行投标报价的综合单价，但不得高于定额价的综合单价。③清单项目中特征描述不全的工序，如图纸己明确或已指明引用的规节，图售等可是常挥工艺心项的工序，应包括在报价中，结算不作调整。④以上①、②条以外原因引起的价款调整按照以下方法外理:1有类似单价的，参照类似单价:2.没有类似单价的，按照双方比价采购或者由招标人经招标确定价格后，同时按照中标时中标价与标底价的整体下浮比率下浮。</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2" w:name="_Toc296346698"/>
      <w:bookmarkStart w:id="363" w:name="_Toc303539150"/>
      <w:bookmarkStart w:id="364" w:name="_Toc296347196"/>
      <w:bookmarkStart w:id="365" w:name="_Toc297120497"/>
      <w:bookmarkStart w:id="366" w:name="_Toc296891237"/>
      <w:bookmarkStart w:id="367" w:name="_Toc297216203"/>
      <w:bookmarkStart w:id="368" w:name="_Toc297048383"/>
      <w:bookmarkStart w:id="369" w:name="_Toc296891025"/>
      <w:bookmarkStart w:id="370" w:name="_Toc300934993"/>
      <w:bookmarkStart w:id="371" w:name="_Toc296503197"/>
      <w:bookmarkStart w:id="372" w:name="_Toc297123544"/>
      <w:bookmarkStart w:id="373" w:name="_Toc296944536"/>
      <w:bookmarkStart w:id="374" w:name="_Toc292559402"/>
      <w:bookmarkStart w:id="375" w:name="_Toc292559907"/>
      <w:bookmarkStart w:id="376" w:name="_Toc312677503"/>
      <w:bookmarkStart w:id="377" w:name="_Toc312678029"/>
      <w:bookmarkStart w:id="378" w:name="_Toc304295570"/>
      <w:r>
        <w:rPr>
          <w:rFonts w:hint="eastAsia" w:ascii="宋体" w:hAnsi="宋体" w:eastAsia="宋体" w:cs="宋体"/>
          <w:color w:val="auto"/>
          <w:szCs w:val="32"/>
          <w:highlight w:val="none"/>
        </w:rPr>
        <w:t>0.5承</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9" w:name="_Toc297216204"/>
      <w:bookmarkStart w:id="380" w:name="_Toc297123545"/>
      <w:bookmarkStart w:id="381" w:name="_Toc296944542"/>
      <w:bookmarkStart w:id="382" w:name="_Toc303539151"/>
      <w:bookmarkStart w:id="383" w:name="_Toc296503203"/>
      <w:bookmarkStart w:id="384" w:name="_Toc297048389"/>
      <w:bookmarkStart w:id="385" w:name="_Toc300934994"/>
      <w:bookmarkStart w:id="386" w:name="_Toc292559913"/>
      <w:bookmarkStart w:id="387" w:name="_Toc296347202"/>
      <w:bookmarkStart w:id="388" w:name="_Toc297120503"/>
      <w:bookmarkStart w:id="389" w:name="_Toc296891243"/>
      <w:bookmarkStart w:id="390" w:name="_Toc296346704"/>
      <w:bookmarkStart w:id="391" w:name="_Toc292559408"/>
      <w:bookmarkStart w:id="392" w:name="_Toc296891031"/>
      <w:r>
        <w:rPr>
          <w:rFonts w:hint="eastAsia" w:ascii="宋体" w:hAnsi="宋体" w:eastAsia="宋体" w:cs="宋体"/>
          <w:color w:val="auto"/>
          <w:szCs w:val="32"/>
          <w:highlight w:val="none"/>
        </w:rPr>
        <w:t>包人的合理化建议</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监理人审查承包人合理化建议的期限：</w:t>
      </w:r>
      <w:r>
        <w:rPr>
          <w:rFonts w:hint="eastAsia" w:ascii="宋体" w:hAnsi="宋体" w:eastAsia="宋体" w:cs="宋体"/>
          <w:color w:val="auto"/>
          <w:szCs w:val="32"/>
          <w:highlight w:val="none"/>
          <w:u w:val="single"/>
        </w:rPr>
        <w:t xml:space="preserve">执行通用条款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发包人审批承包人合理化建议的期限：</w:t>
      </w:r>
      <w:r>
        <w:rPr>
          <w:rFonts w:hint="eastAsia" w:ascii="宋体" w:hAnsi="宋体" w:eastAsia="宋体" w:cs="宋体"/>
          <w:color w:val="auto"/>
          <w:szCs w:val="32"/>
          <w:highlight w:val="none"/>
          <w:u w:val="single"/>
        </w:rPr>
        <w:t xml:space="preserve">执行通用条款 </w:t>
      </w:r>
      <w:r>
        <w:rPr>
          <w:rFonts w:hint="eastAsia" w:ascii="宋体" w:hAnsi="宋体" w:eastAsia="宋体" w:cs="宋体"/>
          <w:color w:val="auto"/>
          <w:szCs w:val="32"/>
          <w:highlight w:val="none"/>
        </w:rPr>
        <w:t>。</w:t>
      </w:r>
    </w:p>
    <w:p>
      <w:pPr>
        <w:spacing w:line="440" w:lineRule="exact"/>
        <w:ind w:left="210" w:leftChars="100" w:firstLine="210" w:firstLineChars="1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承</w:t>
      </w:r>
      <w:bookmarkStart w:id="393" w:name="_Toc296503204"/>
      <w:bookmarkStart w:id="394" w:name="_Toc318581175"/>
      <w:bookmarkStart w:id="395" w:name="_Toc296347203"/>
      <w:bookmarkStart w:id="396" w:name="_Toc297216205"/>
      <w:bookmarkStart w:id="397" w:name="_Toc292559409"/>
      <w:bookmarkStart w:id="398" w:name="_Toc296944543"/>
      <w:bookmarkStart w:id="399" w:name="_Toc300934995"/>
      <w:bookmarkStart w:id="400" w:name="_Toc312678030"/>
      <w:bookmarkStart w:id="401" w:name="_Toc296891244"/>
      <w:bookmarkStart w:id="402" w:name="_Toc312677504"/>
      <w:bookmarkStart w:id="403" w:name="_Toc296346705"/>
      <w:bookmarkStart w:id="404" w:name="_Toc296891032"/>
      <w:bookmarkStart w:id="405" w:name="_Toc297123546"/>
      <w:bookmarkStart w:id="406" w:name="_Toc297120504"/>
      <w:bookmarkStart w:id="407" w:name="_Toc303539152"/>
      <w:bookmarkStart w:id="408" w:name="_Toc297048390"/>
      <w:bookmarkStart w:id="409" w:name="_Toc292559914"/>
      <w:bookmarkStart w:id="410" w:name="_Toc304295571"/>
      <w:r>
        <w:rPr>
          <w:rFonts w:hint="eastAsia" w:ascii="宋体" w:hAnsi="宋体" w:eastAsia="宋体" w:cs="宋体"/>
          <w:color w:val="auto"/>
          <w:szCs w:val="32"/>
          <w:highlight w:val="none"/>
        </w:rPr>
        <w:t>包人提出的合理化建议降低了合同价格或者提高了工程经济效益的奖励的方法和金额为</w:t>
      </w:r>
      <w:r>
        <w:rPr>
          <w:rFonts w:hint="eastAsia" w:ascii="宋体" w:hAnsi="宋体" w:eastAsia="宋体" w:cs="宋体"/>
          <w:color w:val="auto"/>
          <w:szCs w:val="32"/>
          <w:highlight w:val="none"/>
          <w:u w:val="single"/>
        </w:rPr>
        <w:t xml:space="preserve">双方另行约定 </w:t>
      </w:r>
      <w:r>
        <w:rPr>
          <w:rFonts w:hint="eastAsia" w:ascii="宋体" w:hAnsi="宋体" w:eastAsia="宋体" w:cs="宋体"/>
          <w:color w:val="auto"/>
          <w:szCs w:val="32"/>
          <w:highlight w:val="none"/>
        </w:rPr>
        <w:t>。</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w:t>
      </w:r>
      <w:bookmarkStart w:id="411" w:name="_Toc304295574"/>
      <w:bookmarkStart w:id="412" w:name="_Toc296503199"/>
      <w:bookmarkStart w:id="413" w:name="_Toc303539154"/>
      <w:bookmarkStart w:id="414" w:name="_Toc312678033"/>
      <w:bookmarkStart w:id="415" w:name="_Toc297048385"/>
      <w:bookmarkStart w:id="416" w:name="_Toc300934997"/>
      <w:bookmarkStart w:id="417" w:name="_Toc296346700"/>
      <w:bookmarkStart w:id="418" w:name="_Toc292559909"/>
      <w:bookmarkStart w:id="419" w:name="_Toc296891027"/>
      <w:bookmarkStart w:id="420" w:name="_Toc297123548"/>
      <w:bookmarkStart w:id="421" w:name="_Toc297120499"/>
      <w:bookmarkStart w:id="422" w:name="_Toc296891239"/>
      <w:bookmarkStart w:id="423" w:name="_Toc296347198"/>
      <w:bookmarkStart w:id="424" w:name="_Toc296944538"/>
      <w:bookmarkStart w:id="425" w:name="_Toc297216207"/>
      <w:bookmarkStart w:id="426" w:name="_Toc312677507"/>
      <w:bookmarkStart w:id="427" w:name="_Toc292559404"/>
      <w:r>
        <w:rPr>
          <w:rFonts w:hint="eastAsia" w:ascii="宋体" w:hAnsi="宋体" w:eastAsia="宋体" w:cs="宋体"/>
          <w:color w:val="auto"/>
          <w:szCs w:val="32"/>
          <w:highlight w:val="none"/>
        </w:rPr>
        <w:t>0.7 暂估价</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暂</w:t>
      </w:r>
      <w:bookmarkStart w:id="428" w:name="_Toc312677508"/>
      <w:bookmarkStart w:id="429" w:name="_Toc312678034"/>
      <w:bookmarkStart w:id="430" w:name="_Toc318581176"/>
      <w:r>
        <w:rPr>
          <w:rFonts w:hint="eastAsia" w:ascii="宋体" w:hAnsi="宋体" w:eastAsia="宋体" w:cs="宋体"/>
          <w:color w:val="auto"/>
          <w:szCs w:val="32"/>
          <w:highlight w:val="none"/>
        </w:rPr>
        <w:t>估价材料和工程设备的明细详见附件11：《暂估价一览表》。</w:t>
      </w:r>
    </w:p>
    <w:bookmarkEnd w:id="428"/>
    <w:bookmarkEnd w:id="429"/>
    <w:bookmarkEnd w:id="430"/>
    <w:p>
      <w:pPr>
        <w:spacing w:line="440" w:lineRule="exact"/>
        <w:ind w:left="210" w:leftChars="100" w:firstLine="210" w:firstLineChars="100"/>
        <w:jc w:val="left"/>
        <w:rPr>
          <w:rFonts w:hint="eastAsia" w:ascii="宋体" w:hAnsi="宋体" w:eastAsia="宋体" w:cs="宋体"/>
          <w:color w:val="auto"/>
          <w:szCs w:val="32"/>
          <w:highlight w:val="none"/>
        </w:rPr>
      </w:pPr>
      <w:bookmarkStart w:id="431" w:name="_Toc351203643"/>
      <w:bookmarkStart w:id="432" w:name="_Toc29314_WPSOffice_Level2"/>
      <w:bookmarkStart w:id="433" w:name="_Toc8303_WPSOffice_Level2"/>
      <w:r>
        <w:rPr>
          <w:rFonts w:hint="eastAsia" w:ascii="宋体" w:hAnsi="宋体" w:eastAsia="宋体" w:cs="宋体"/>
          <w:color w:val="auto"/>
          <w:szCs w:val="32"/>
          <w:highlight w:val="none"/>
        </w:rPr>
        <w:t>10.7.1 依法必须招标的暂估价项目</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对于依法必须招标的暂估价项目的确认和批准采取第</w:t>
      </w:r>
      <w:r>
        <w:rPr>
          <w:rFonts w:hint="eastAsia" w:ascii="宋体" w:hAnsi="宋体" w:eastAsia="宋体" w:cs="宋体"/>
          <w:color w:val="auto"/>
          <w:szCs w:val="32"/>
          <w:highlight w:val="none"/>
          <w:u w:val="single"/>
        </w:rPr>
        <w:t xml:space="preserve">  2  </w:t>
      </w:r>
      <w:r>
        <w:rPr>
          <w:rFonts w:hint="eastAsia" w:ascii="宋体" w:hAnsi="宋体" w:eastAsia="宋体" w:cs="宋体"/>
          <w:color w:val="auto"/>
          <w:szCs w:val="32"/>
          <w:highlight w:val="none"/>
        </w:rPr>
        <w:t>种方式确定。</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 2 种方式： 对于依法必须招标的暂估价项目，由发包人和承包人共同招标确定暂估价供应商或分包人的，承包人应按照施工进度计划，在招标工作启动前 14天通知发包人，并提交暂估价招标方案和工作分工。发包人应在收到后 7天内确认。确定中标人后，由发包人、承包人与中标人共同签订暂</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估价合同。</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10.7.2 不属于依法必须招标的暂估价项目</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对于不属于依法必须招标的暂估价项目的确认和批准采取第</w:t>
      </w:r>
      <w:r>
        <w:rPr>
          <w:rFonts w:hint="eastAsia" w:ascii="宋体" w:hAnsi="宋体" w:eastAsia="宋体" w:cs="宋体"/>
          <w:color w:val="auto"/>
          <w:szCs w:val="32"/>
          <w:highlight w:val="none"/>
          <w:u w:val="single"/>
        </w:rPr>
        <w:t xml:space="preserve"> 2   </w:t>
      </w:r>
      <w:r>
        <w:rPr>
          <w:rFonts w:hint="eastAsia" w:ascii="宋体" w:hAnsi="宋体" w:eastAsia="宋体" w:cs="宋体"/>
          <w:color w:val="auto"/>
          <w:szCs w:val="32"/>
          <w:highlight w:val="none"/>
        </w:rPr>
        <w:t>种方式确定。</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如果承包人具备实施暂估价项目的资格和条件的，经发包人和承包人协商一致后，可采取第 3 种 方式由承包人自行实施暂估价。</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 3 种方式： 承包人直接实施的暂估价项目</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承包人直接实施的暂估价项目的约定：</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10.8 暂列金额</w:t>
      </w:r>
    </w:p>
    <w:p>
      <w:pPr>
        <w:spacing w:line="440" w:lineRule="exact"/>
        <w:ind w:left="210" w:leftChars="100" w:firstLine="210" w:firstLineChars="1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合同当事人关于暂列金额使用的约定：</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pStyle w:val="8"/>
        <w:spacing w:before="120" w:after="120" w:line="440" w:lineRule="exact"/>
        <w:rPr>
          <w:rFonts w:hint="eastAsia" w:ascii="宋体" w:hAnsi="宋体" w:eastAsia="宋体" w:cs="宋体"/>
          <w:bCs w:val="0"/>
          <w:color w:val="auto"/>
          <w:szCs w:val="32"/>
          <w:highlight w:val="none"/>
        </w:rPr>
      </w:pPr>
      <w:r>
        <w:rPr>
          <w:rFonts w:hint="eastAsia" w:ascii="宋体" w:hAnsi="宋体" w:eastAsia="宋体" w:cs="宋体"/>
          <w:bCs w:val="0"/>
          <w:color w:val="auto"/>
          <w:szCs w:val="32"/>
          <w:highlight w:val="none"/>
        </w:rPr>
        <w:t>11. 价格调整</w:t>
      </w:r>
      <w:bookmarkEnd w:id="431"/>
      <w:bookmarkEnd w:id="432"/>
      <w:bookmarkEnd w:id="433"/>
    </w:p>
    <w:p>
      <w:pPr>
        <w:spacing w:after="120" w:line="440" w:lineRule="exact"/>
        <w:ind w:firstLine="420" w:firstLineChars="200"/>
        <w:rPr>
          <w:rFonts w:hint="eastAsia" w:ascii="宋体" w:hAnsi="宋体" w:eastAsia="宋体" w:cs="宋体"/>
          <w:color w:val="auto"/>
          <w:szCs w:val="32"/>
          <w:highlight w:val="none"/>
        </w:rPr>
      </w:pPr>
      <w:bookmarkStart w:id="434" w:name="_Toc300935000"/>
      <w:bookmarkStart w:id="435" w:name="_Toc296347200"/>
      <w:bookmarkStart w:id="436" w:name="_Toc296891029"/>
      <w:bookmarkStart w:id="437" w:name="_Toc297123550"/>
      <w:bookmarkStart w:id="438" w:name="_Toc296346702"/>
      <w:bookmarkStart w:id="439" w:name="_Toc297048387"/>
      <w:bookmarkStart w:id="440" w:name="_Toc297120501"/>
      <w:bookmarkStart w:id="441" w:name="_Toc312678039"/>
      <w:bookmarkStart w:id="442" w:name="_Toc292559406"/>
      <w:bookmarkStart w:id="443" w:name="_Toc304295577"/>
      <w:bookmarkStart w:id="444" w:name="_Toc296944540"/>
      <w:bookmarkStart w:id="445" w:name="_Toc303539157"/>
      <w:bookmarkStart w:id="446" w:name="_Toc296503201"/>
      <w:bookmarkStart w:id="447" w:name="_Toc292559911"/>
      <w:bookmarkStart w:id="448" w:name="_Toc297216209"/>
      <w:bookmarkStart w:id="449" w:name="_Toc296891241"/>
      <w:r>
        <w:rPr>
          <w:rFonts w:hint="eastAsia" w:ascii="宋体" w:hAnsi="宋体" w:eastAsia="宋体" w:cs="宋体"/>
          <w:color w:val="auto"/>
          <w:szCs w:val="32"/>
          <w:highlight w:val="none"/>
        </w:rPr>
        <w:t>11.1 市场价格波动引起的调整</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Cs w:val="32"/>
          <w:highlight w:val="none"/>
          <w:u w:val="single"/>
        </w:rPr>
      </w:pPr>
      <w:r>
        <w:rPr>
          <w:rFonts w:hint="eastAsia" w:ascii="宋体" w:hAnsi="宋体" w:eastAsia="宋体" w:cs="宋体"/>
          <w:b w:val="0"/>
          <w:bCs w:val="0"/>
          <w:color w:val="auto"/>
          <w:szCs w:val="32"/>
          <w:highlight w:val="none"/>
        </w:rPr>
        <w:t>市场价格波动是否调整合同价格的约定：</w:t>
      </w:r>
      <w:r>
        <w:rPr>
          <w:rFonts w:hint="eastAsia" w:ascii="宋体" w:hAnsi="宋体" w:eastAsia="宋体" w:cs="宋体"/>
          <w:b w:val="0"/>
          <w:bCs w:val="0"/>
          <w:color w:val="auto"/>
          <w:szCs w:val="32"/>
          <w:highlight w:val="none"/>
          <w:u w:val="single"/>
        </w:rPr>
        <w:t xml:space="preserve"> </w:t>
      </w:r>
      <w:r>
        <w:rPr>
          <w:rFonts w:hint="eastAsia" w:ascii="宋体" w:hAnsi="宋体" w:eastAsia="宋体" w:cs="宋体"/>
          <w:b w:val="0"/>
          <w:bCs w:val="0"/>
          <w:color w:val="auto"/>
          <w:szCs w:val="32"/>
          <w:highlight w:val="none"/>
          <w:u w:val="single"/>
          <w:lang w:val="en-US" w:eastAsia="zh-CN"/>
        </w:rPr>
        <w:t>主要建筑材料</w:t>
      </w:r>
      <w:r>
        <w:rPr>
          <w:rFonts w:hint="eastAsia" w:ascii="宋体" w:hAnsi="宋体" w:eastAsia="宋体" w:cs="宋体"/>
          <w:color w:val="auto"/>
          <w:szCs w:val="32"/>
          <w:highlight w:val="none"/>
          <w:u w:val="single"/>
          <w:lang w:val="en-US" w:eastAsia="zh-CN"/>
        </w:rPr>
        <w:t>钢筋、型钢、水泥、商品混凝土、电线、电缆、预拌砂浆、沥青混凝土、水泥稳定碎石、黄砂、碎石。</w:t>
      </w:r>
      <w:r>
        <w:rPr>
          <w:rFonts w:hint="eastAsia" w:ascii="宋体" w:hAnsi="宋体" w:eastAsia="宋体" w:cs="宋体"/>
          <w:b w:val="0"/>
          <w:bCs w:val="0"/>
          <w:color w:val="auto"/>
          <w:szCs w:val="32"/>
          <w:highlight w:val="none"/>
          <w:u w:val="single"/>
          <w:lang w:val="en-US" w:eastAsia="zh-CN"/>
        </w:rPr>
        <w:t>按以下方法调整，其他材料不调整。（1）承包人投标报价中材料单价低于基准单价；施工期间材料单价涨幅以基准单价为基础超过5%，或材料单价跌幅以投标报价为基础超过5%时，其超过部分按实调整。（2）承包人投标报价中材料单价高于基准单价：施工期间材料单价跌幅以基准单价为基础超过5%，或材料单价涨幅以投标报价为基础超过 5%时，其超过部分按实调整。（3）承包人投标报价中材料单价等于基准单价：施工期间材料单价涨、跌幅均以基准单价为基础，涨幅超过5%和跌幅超过5%，其超过部分按实调整</w:t>
      </w:r>
      <w:r>
        <w:rPr>
          <w:rFonts w:hint="eastAsia" w:ascii="宋体" w:hAnsi="宋体" w:eastAsia="宋体" w:cs="宋体"/>
          <w:b w:val="0"/>
          <w:bCs w:val="0"/>
          <w:color w:val="auto"/>
          <w:szCs w:val="32"/>
          <w:highlight w:val="none"/>
          <w:u w:val="single"/>
        </w:rPr>
        <w:t>。</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因市场价格波动调整合同价格，采用以下第</w:t>
      </w:r>
      <w:r>
        <w:rPr>
          <w:rFonts w:hint="eastAsia" w:ascii="宋体" w:hAnsi="宋体" w:eastAsia="宋体" w:cs="宋体"/>
          <w:b w:val="0"/>
          <w:bCs w:val="0"/>
          <w:color w:val="auto"/>
          <w:szCs w:val="32"/>
          <w:highlight w:val="none"/>
          <w:u w:val="single"/>
        </w:rPr>
        <w:t xml:space="preserve"> </w:t>
      </w:r>
      <w:r>
        <w:rPr>
          <w:rFonts w:hint="eastAsia" w:ascii="宋体" w:hAnsi="宋体" w:eastAsia="宋体" w:cs="宋体"/>
          <w:b w:val="0"/>
          <w:bCs w:val="0"/>
          <w:color w:val="auto"/>
          <w:szCs w:val="32"/>
          <w:highlight w:val="none"/>
          <w:u w:val="single"/>
          <w:lang w:val="en-US" w:eastAsia="zh-CN"/>
        </w:rPr>
        <w:t>3</w:t>
      </w:r>
      <w:r>
        <w:rPr>
          <w:rFonts w:hint="eastAsia" w:ascii="宋体" w:hAnsi="宋体" w:eastAsia="宋体" w:cs="宋体"/>
          <w:b w:val="0"/>
          <w:bCs w:val="0"/>
          <w:color w:val="auto"/>
          <w:szCs w:val="32"/>
          <w:highlight w:val="none"/>
          <w:u w:val="single"/>
        </w:rPr>
        <w:t xml:space="preserve"> </w:t>
      </w:r>
      <w:r>
        <w:rPr>
          <w:rFonts w:hint="eastAsia" w:ascii="宋体" w:hAnsi="宋体" w:eastAsia="宋体" w:cs="宋体"/>
          <w:b w:val="0"/>
          <w:bCs w:val="0"/>
          <w:color w:val="auto"/>
          <w:szCs w:val="32"/>
          <w:highlight w:val="none"/>
        </w:rPr>
        <w:t>种方式对合同价格进行调整：</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第1种方式：采用价格指数进行价格调整。</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关于各可调因子、定值和变值权重，以及基本价格指数及其来源的约定：</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 xml:space="preserve">；  </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第2种方式：采用造价信息进行价格调整。</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（2）关于基准价格的约定：</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b w:val="0"/>
          <w:bCs w:val="0"/>
          <w:color w:val="auto"/>
          <w:szCs w:val="32"/>
          <w:highlight w:val="none"/>
          <w:u w:val="single"/>
        </w:rPr>
        <w:t xml:space="preserve"> 5 </w:t>
      </w:r>
      <w:r>
        <w:rPr>
          <w:rFonts w:hint="eastAsia" w:ascii="宋体" w:hAnsi="宋体" w:eastAsia="宋体" w:cs="宋体"/>
          <w:b w:val="0"/>
          <w:bCs w:val="0"/>
          <w:color w:val="auto"/>
          <w:szCs w:val="32"/>
          <w:highlight w:val="none"/>
        </w:rPr>
        <w:t>%时，或材料单价跌幅以已标价工程量清单或预算书中载明材料单价为基础超过</w:t>
      </w:r>
      <w:r>
        <w:rPr>
          <w:rFonts w:hint="eastAsia" w:ascii="宋体" w:hAnsi="宋体" w:eastAsia="宋体" w:cs="宋体"/>
          <w:b w:val="0"/>
          <w:bCs w:val="0"/>
          <w:color w:val="auto"/>
          <w:szCs w:val="32"/>
          <w:highlight w:val="none"/>
          <w:u w:val="single"/>
        </w:rPr>
        <w:t xml:space="preserve"> 5 </w:t>
      </w:r>
      <w:r>
        <w:rPr>
          <w:rFonts w:hint="eastAsia" w:ascii="宋体" w:hAnsi="宋体" w:eastAsia="宋体" w:cs="宋体"/>
          <w:b w:val="0"/>
          <w:bCs w:val="0"/>
          <w:color w:val="auto"/>
          <w:szCs w:val="32"/>
          <w:highlight w:val="none"/>
        </w:rPr>
        <w:t>%时，其超过部分据实调整。</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b w:val="0"/>
          <w:bCs w:val="0"/>
          <w:color w:val="auto"/>
          <w:szCs w:val="32"/>
          <w:highlight w:val="none"/>
          <w:u w:val="single"/>
        </w:rPr>
        <w:t xml:space="preserve"> 5 </w:t>
      </w:r>
      <w:r>
        <w:rPr>
          <w:rFonts w:hint="eastAsia" w:ascii="宋体" w:hAnsi="宋体" w:eastAsia="宋体" w:cs="宋体"/>
          <w:b w:val="0"/>
          <w:bCs w:val="0"/>
          <w:color w:val="auto"/>
          <w:szCs w:val="32"/>
          <w:highlight w:val="none"/>
        </w:rPr>
        <w:t>%时，材料单价涨幅以已标价工程量清单或预算书中载明材料单价为基础超过</w:t>
      </w:r>
      <w:r>
        <w:rPr>
          <w:rFonts w:hint="eastAsia" w:ascii="宋体" w:hAnsi="宋体" w:eastAsia="宋体" w:cs="宋体"/>
          <w:b w:val="0"/>
          <w:bCs w:val="0"/>
          <w:color w:val="auto"/>
          <w:szCs w:val="32"/>
          <w:highlight w:val="none"/>
          <w:u w:val="single"/>
        </w:rPr>
        <w:t xml:space="preserve"> 5 </w:t>
      </w:r>
      <w:r>
        <w:rPr>
          <w:rFonts w:hint="eastAsia" w:ascii="宋体" w:hAnsi="宋体" w:eastAsia="宋体" w:cs="宋体"/>
          <w:b w:val="0"/>
          <w:bCs w:val="0"/>
          <w:color w:val="auto"/>
          <w:szCs w:val="32"/>
          <w:highlight w:val="none"/>
        </w:rPr>
        <w:t>%时，其超过部分据实调整。</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b w:val="0"/>
          <w:bCs w:val="0"/>
          <w:color w:val="auto"/>
          <w:szCs w:val="32"/>
          <w:highlight w:val="none"/>
          <w:u w:val="single"/>
        </w:rPr>
        <w:t xml:space="preserve"> 5 </w:t>
      </w:r>
      <w:r>
        <w:rPr>
          <w:rFonts w:hint="eastAsia" w:ascii="宋体" w:hAnsi="宋体" w:eastAsia="宋体" w:cs="宋体"/>
          <w:b w:val="0"/>
          <w:bCs w:val="0"/>
          <w:color w:val="auto"/>
          <w:szCs w:val="32"/>
          <w:highlight w:val="none"/>
        </w:rPr>
        <w:t>%时，其超过部分据实调整。</w:t>
      </w:r>
    </w:p>
    <w:p>
      <w:pPr>
        <w:spacing w:line="440" w:lineRule="exact"/>
        <w:ind w:firstLine="420" w:firstLineChars="200"/>
        <w:jc w:val="left"/>
        <w:rPr>
          <w:rFonts w:hint="eastAsia" w:ascii="宋体" w:hAnsi="宋体" w:eastAsia="宋体" w:cs="宋体"/>
          <w:b w:val="0"/>
          <w:bCs w:val="0"/>
          <w:color w:val="auto"/>
          <w:szCs w:val="32"/>
          <w:highlight w:val="none"/>
          <w:lang w:val="en-US" w:eastAsia="zh-CN"/>
        </w:rPr>
      </w:pPr>
      <w:r>
        <w:rPr>
          <w:rFonts w:hint="eastAsia" w:ascii="宋体" w:hAnsi="宋体" w:eastAsia="宋体" w:cs="宋体"/>
          <w:b w:val="0"/>
          <w:bCs w:val="0"/>
          <w:color w:val="auto"/>
          <w:szCs w:val="32"/>
          <w:highlight w:val="none"/>
        </w:rPr>
        <w:t>第3种方式：其他价格调整方式：</w:t>
      </w:r>
      <w:r>
        <w:rPr>
          <w:rFonts w:hint="eastAsia" w:ascii="宋体" w:hAnsi="宋体" w:eastAsia="宋体" w:cs="宋体"/>
          <w:b w:val="0"/>
          <w:bCs w:val="0"/>
          <w:color w:val="auto"/>
          <w:szCs w:val="32"/>
          <w:highlight w:val="none"/>
          <w:u w:val="single"/>
          <w:lang w:val="en-US" w:eastAsia="zh-CN"/>
        </w:rPr>
        <w:t>采用工程量清单方式计价，竣工结算的工程量按发承包双方在合同中约定应予计量且实际完成的工程量确定，完成发包人要求的合同以外的零星工作或发生非承包人责任事件的工程量按现场签证确定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val="0"/>
          <w:bCs w:val="0"/>
          <w:color w:val="auto"/>
          <w:szCs w:val="32"/>
          <w:highlight w:val="none"/>
          <w:lang w:val="en-US" w:eastAsia="zh-CN"/>
        </w:rPr>
        <w:t>。</w:t>
      </w:r>
    </w:p>
    <w:p>
      <w:pPr>
        <w:spacing w:line="440" w:lineRule="exact"/>
        <w:ind w:firstLine="420" w:firstLineChars="200"/>
        <w:jc w:val="left"/>
        <w:rPr>
          <w:rFonts w:hint="eastAsia" w:ascii="宋体" w:hAnsi="宋体" w:eastAsia="宋体" w:cs="宋体"/>
          <w:b w:val="0"/>
          <w:bCs w:val="0"/>
          <w:color w:val="auto"/>
          <w:szCs w:val="32"/>
          <w:highlight w:val="none"/>
          <w:lang w:val="en-US" w:eastAsia="zh-CN"/>
        </w:rPr>
      </w:pPr>
      <w:r>
        <w:rPr>
          <w:rFonts w:hint="eastAsia" w:ascii="宋体" w:hAnsi="宋体" w:eastAsia="宋体" w:cs="宋体"/>
          <w:b w:val="0"/>
          <w:bCs w:val="0"/>
          <w:color w:val="auto"/>
          <w:szCs w:val="32"/>
          <w:highlight w:val="none"/>
          <w:lang w:val="en-US" w:eastAsia="zh-CN"/>
        </w:rPr>
        <w:t>11.2 工程价款调整</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11.2.1 采用工程量清单方式计价，竣工结算的工程量按发承包双方在合同中约定应予计量且实 际完成的工程量确定，完成发包人要求的合同以外的零星工作或发生非承包人责任事件的工程量按现场签证确定。</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11.2.2 因分部分项工程量清单漏项或非承包人原因的工程变更，造成施工组织设计或施工方案变更，引起措施项目发生变化时，措施项目费应按下列原则调整：“措施项目表一”中的措施费仍按投标时费率进行调整；“措施项目表二”中的措施费发生关联变化时，按 2014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p>
    <w:p>
      <w:pPr>
        <w:spacing w:line="440" w:lineRule="exact"/>
        <w:ind w:firstLine="420" w:firstLineChars="200"/>
        <w:jc w:val="left"/>
        <w:rPr>
          <w:rFonts w:hint="eastAsia" w:ascii="宋体" w:hAnsi="宋体" w:eastAsia="宋体" w:cs="宋体"/>
          <w:b w:val="0"/>
          <w:bCs w:val="0"/>
          <w:color w:val="auto"/>
          <w:szCs w:val="32"/>
          <w:highlight w:val="none"/>
        </w:rPr>
      </w:pPr>
      <w:r>
        <w:rPr>
          <w:rFonts w:hint="eastAsia" w:ascii="宋体" w:hAnsi="宋体" w:eastAsia="宋体" w:cs="宋体"/>
          <w:b w:val="0"/>
          <w:bCs w:val="0"/>
          <w:color w:val="auto"/>
          <w:szCs w:val="32"/>
          <w:highlight w:val="none"/>
        </w:rPr>
        <w:t>11.2.3 本工程对于工程价款调整约定如下：</w:t>
      </w:r>
      <w:r>
        <w:rPr>
          <w:rFonts w:hint="eastAsia" w:ascii="宋体" w:hAnsi="宋体" w:eastAsia="宋体" w:cs="宋体"/>
          <w:b w:val="0"/>
          <w:bCs w:val="0"/>
          <w:color w:val="auto"/>
          <w:szCs w:val="32"/>
          <w:highlight w:val="none"/>
          <w:u w:val="single"/>
        </w:rPr>
        <w:t xml:space="preserve"> ①设计变更引起新增工程量清单项目，其相应综合单价按本招标文件规定的</w:t>
      </w:r>
      <w:r>
        <w:rPr>
          <w:rFonts w:hint="eastAsia" w:ascii="宋体" w:hAnsi="宋体" w:eastAsia="宋体" w:cs="宋体"/>
          <w:b w:val="0"/>
          <w:bCs w:val="0"/>
          <w:color w:val="auto"/>
          <w:szCs w:val="32"/>
          <w:highlight w:val="none"/>
          <w:u w:val="single"/>
          <w:lang w:val="en-US" w:eastAsia="zh-CN"/>
        </w:rPr>
        <w:t>最高投标限价</w:t>
      </w:r>
      <w:r>
        <w:rPr>
          <w:rFonts w:hint="eastAsia" w:ascii="宋体" w:hAnsi="宋体" w:eastAsia="宋体" w:cs="宋体"/>
          <w:b w:val="0"/>
          <w:bCs w:val="0"/>
          <w:color w:val="auto"/>
          <w:szCs w:val="32"/>
          <w:highlight w:val="none"/>
          <w:u w:val="single"/>
        </w:rPr>
        <w:t>计价编制办法计算，再乘以中标价与定额预算价（标底价）相比的浮动比率后作为综合单价进行结算。以上变更及工程量签证，必须由发、承包双方、现场监理工程师共同确认。②工程量增减，其相应综合单价执行投标报价的综合单价，但不得高于定额价的综合单价。 ③清单项目中特征描述不全的工序，如图纸已明确或已指明引用的规范、图集等或是常规工艺必须的工序，应包括在报价中，结算不作调整。④以上①、②条以外原因引起的价款调整按照以下方法处理：1.有类似单价的，参照类似单价；2.没有类似单价的，按照双方比价采购或者由招标人经招标确定价格后，同时按照中标时中标价与定额预算价的整体下浮比率下浮</w:t>
      </w:r>
      <w:r>
        <w:rPr>
          <w:rFonts w:hint="eastAsia" w:ascii="宋体" w:hAnsi="宋体" w:eastAsia="宋体" w:cs="宋体"/>
          <w:b w:val="0"/>
          <w:bCs w:val="0"/>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b w:val="0"/>
          <w:bCs w:val="0"/>
          <w:color w:val="auto"/>
          <w:szCs w:val="32"/>
          <w:highlight w:val="none"/>
        </w:rPr>
        <w:t xml:space="preserve">11.3 人工单价如遇政策性调整，本工程不再进行任何调整。    </w:t>
      </w:r>
    </w:p>
    <w:bookmarkEnd w:id="339"/>
    <w:bookmarkEnd w:id="340"/>
    <w:bookmarkEnd w:id="341"/>
    <w:bookmarkEnd w:id="342"/>
    <w:bookmarkEnd w:id="343"/>
    <w:bookmarkEnd w:id="344"/>
    <w:p>
      <w:pPr>
        <w:pStyle w:val="8"/>
        <w:spacing w:before="120" w:after="120" w:line="440" w:lineRule="exact"/>
        <w:rPr>
          <w:rFonts w:hint="eastAsia" w:ascii="宋体" w:hAnsi="宋体" w:eastAsia="宋体" w:cs="宋体"/>
          <w:bCs w:val="0"/>
          <w:color w:val="auto"/>
          <w:szCs w:val="32"/>
          <w:highlight w:val="none"/>
        </w:rPr>
      </w:pPr>
      <w:bookmarkStart w:id="450" w:name="_Toc292559915"/>
      <w:bookmarkStart w:id="451" w:name="_Toc296503205"/>
      <w:bookmarkStart w:id="452" w:name="_Toc297120505"/>
      <w:bookmarkStart w:id="453" w:name="_Toc296891033"/>
      <w:bookmarkStart w:id="454" w:name="_Toc296346706"/>
      <w:bookmarkStart w:id="455" w:name="_Toc296891245"/>
      <w:bookmarkStart w:id="456" w:name="_Toc292559410"/>
      <w:bookmarkStart w:id="457" w:name="_Toc296347204"/>
      <w:bookmarkStart w:id="458" w:name="_Toc296944544"/>
      <w:bookmarkStart w:id="459" w:name="_Toc297048391"/>
      <w:bookmarkStart w:id="460" w:name="_Toc351203644"/>
      <w:bookmarkStart w:id="461" w:name="_Toc3199_WPSOffice_Level2"/>
      <w:bookmarkStart w:id="462" w:name="_Toc31774_WPSOffice_Level2"/>
      <w:bookmarkStart w:id="463" w:name="_Toc312678040"/>
      <w:bookmarkStart w:id="464" w:name="_Toc303539159"/>
      <w:bookmarkStart w:id="465" w:name="_Toc297216211"/>
      <w:bookmarkStart w:id="466" w:name="_Toc304295579"/>
      <w:bookmarkStart w:id="467" w:name="_Toc300935002"/>
      <w:bookmarkStart w:id="468" w:name="_Toc297123552"/>
      <w:r>
        <w:rPr>
          <w:rFonts w:hint="eastAsia" w:ascii="宋体" w:hAnsi="宋体" w:eastAsia="宋体" w:cs="宋体"/>
          <w:bCs w:val="0"/>
          <w:color w:val="auto"/>
          <w:szCs w:val="32"/>
          <w:highlight w:val="none"/>
        </w:rPr>
        <w:t xml:space="preserve">12. </w:t>
      </w:r>
      <w:bookmarkEnd w:id="450"/>
      <w:bookmarkEnd w:id="451"/>
      <w:bookmarkEnd w:id="452"/>
      <w:bookmarkEnd w:id="453"/>
      <w:bookmarkEnd w:id="454"/>
      <w:bookmarkEnd w:id="455"/>
      <w:bookmarkEnd w:id="456"/>
      <w:bookmarkEnd w:id="457"/>
      <w:bookmarkEnd w:id="458"/>
      <w:bookmarkEnd w:id="459"/>
      <w:r>
        <w:rPr>
          <w:rFonts w:hint="eastAsia" w:ascii="宋体" w:hAnsi="宋体" w:eastAsia="宋体" w:cs="宋体"/>
          <w:bCs w:val="0"/>
          <w:color w:val="auto"/>
          <w:szCs w:val="32"/>
          <w:highlight w:val="none"/>
        </w:rPr>
        <w:t>合同价格、计量与支付</w:t>
      </w:r>
      <w:bookmarkEnd w:id="460"/>
      <w:bookmarkEnd w:id="461"/>
      <w:bookmarkEnd w:id="462"/>
    </w:p>
    <w:bookmarkEnd w:id="463"/>
    <w:bookmarkEnd w:id="464"/>
    <w:bookmarkEnd w:id="465"/>
    <w:bookmarkEnd w:id="466"/>
    <w:bookmarkEnd w:id="467"/>
    <w:bookmarkEnd w:id="468"/>
    <w:p>
      <w:pPr>
        <w:spacing w:after="120" w:line="440" w:lineRule="exact"/>
        <w:ind w:firstLine="420" w:firstLineChars="200"/>
        <w:rPr>
          <w:rFonts w:hint="eastAsia" w:ascii="宋体" w:hAnsi="宋体" w:eastAsia="宋体" w:cs="宋体"/>
          <w:color w:val="auto"/>
          <w:szCs w:val="32"/>
          <w:highlight w:val="none"/>
        </w:rPr>
      </w:pPr>
      <w:bookmarkStart w:id="469" w:name="_Toc292559411"/>
      <w:bookmarkStart w:id="470" w:name="_Toc267251461"/>
      <w:bookmarkStart w:id="471" w:name="_Toc292559916"/>
      <w:bookmarkStart w:id="472" w:name="_Toc296503206"/>
      <w:bookmarkStart w:id="473" w:name="_Toc296346707"/>
      <w:bookmarkStart w:id="474" w:name="_Toc297120506"/>
      <w:bookmarkStart w:id="475" w:name="_Toc296891246"/>
      <w:bookmarkStart w:id="476" w:name="_Toc296891034"/>
      <w:bookmarkStart w:id="477" w:name="_Toc296347205"/>
      <w:bookmarkStart w:id="478" w:name="_Toc296944545"/>
      <w:bookmarkStart w:id="479" w:name="_Toc297048392"/>
      <w:bookmarkStart w:id="480" w:name="_Toc312678041"/>
      <w:bookmarkStart w:id="481" w:name="_Toc297216212"/>
      <w:bookmarkStart w:id="482" w:name="_Toc300935003"/>
      <w:bookmarkStart w:id="483" w:name="_Toc303539160"/>
      <w:bookmarkStart w:id="484" w:name="_Toc297123553"/>
      <w:bookmarkStart w:id="485" w:name="_Toc304295580"/>
      <w:r>
        <w:rPr>
          <w:rFonts w:hint="eastAsia" w:ascii="宋体" w:hAnsi="宋体" w:eastAsia="宋体" w:cs="宋体"/>
          <w:color w:val="auto"/>
          <w:szCs w:val="32"/>
          <w:highlight w:val="none"/>
        </w:rPr>
        <w:t>12.1 合</w:t>
      </w:r>
      <w:bookmarkEnd w:id="469"/>
      <w:bookmarkEnd w:id="470"/>
      <w:bookmarkEnd w:id="471"/>
      <w:r>
        <w:rPr>
          <w:rFonts w:hint="eastAsia" w:ascii="宋体" w:hAnsi="宋体" w:eastAsia="宋体" w:cs="宋体"/>
          <w:color w:val="auto"/>
          <w:szCs w:val="32"/>
          <w:highlight w:val="none"/>
        </w:rPr>
        <w:t>同价</w:t>
      </w:r>
      <w:bookmarkEnd w:id="472"/>
      <w:bookmarkEnd w:id="473"/>
      <w:bookmarkEnd w:id="474"/>
      <w:bookmarkEnd w:id="475"/>
      <w:bookmarkEnd w:id="476"/>
      <w:bookmarkEnd w:id="477"/>
      <w:bookmarkEnd w:id="478"/>
      <w:bookmarkEnd w:id="479"/>
      <w:r>
        <w:rPr>
          <w:rFonts w:hint="eastAsia" w:ascii="宋体" w:hAnsi="宋体" w:eastAsia="宋体" w:cs="宋体"/>
          <w:color w:val="auto"/>
          <w:szCs w:val="32"/>
          <w:highlight w:val="none"/>
        </w:rPr>
        <w:t>格形式</w:t>
      </w:r>
    </w:p>
    <w:bookmarkEnd w:id="480"/>
    <w:bookmarkEnd w:id="481"/>
    <w:bookmarkEnd w:id="482"/>
    <w:bookmarkEnd w:id="483"/>
    <w:bookmarkEnd w:id="484"/>
    <w:bookmarkEnd w:id="485"/>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1、单价合同。</w:t>
      </w:r>
    </w:p>
    <w:p>
      <w:pPr>
        <w:spacing w:line="440" w:lineRule="exact"/>
        <w:jc w:val="left"/>
        <w:rPr>
          <w:rFonts w:hint="eastAsia" w:ascii="宋体" w:hAnsi="宋体" w:eastAsia="宋体" w:cs="宋体"/>
          <w:color w:val="auto"/>
          <w:highlight w:val="none"/>
          <w:u w:val="single"/>
          <w:lang w:eastAsia="zh-CN"/>
        </w:rPr>
      </w:pPr>
      <w:r>
        <w:rPr>
          <w:rFonts w:hint="eastAsia" w:ascii="宋体" w:hAnsi="宋体" w:eastAsia="宋体" w:cs="宋体"/>
          <w:b w:val="0"/>
          <w:bCs w:val="0"/>
          <w:color w:val="auto"/>
          <w:szCs w:val="32"/>
          <w:highlight w:val="none"/>
          <w:u w:val="none"/>
        </w:rPr>
        <w:t>综合单价包含的风险范围：</w:t>
      </w:r>
      <w:r>
        <w:rPr>
          <w:rFonts w:hint="eastAsia" w:ascii="宋体" w:hAnsi="宋体" w:eastAsia="宋体" w:cs="宋体"/>
          <w:b w:val="0"/>
          <w:bCs w:val="0"/>
          <w:color w:val="auto"/>
          <w:szCs w:val="32"/>
          <w:highlight w:val="none"/>
          <w:u w:val="single"/>
        </w:rPr>
        <w:t>a、中标人的施工组织设计施工前，必须报监理、业主审批，进行再深化后执行。 b、投标人作为一个有经验的承包商，投标人施工时自行采取措施避免干扰周围居民的生活，杜绝人身安全事故等，如因与周围居民发生冲突，导致工程停工，所有停工损失及其需增加的费用投标人应自主考虑在投标报价中，结算时不作调整。c、投标人勘查现场后必须在施工组织设计中体现： 1、投标人保正有序、和谐施工，力保不发生人身伤害等恶性事件；2、现场分段施工的措施方案，临设搭设转移等措施项目费用；3、保护已 有建筑、管网、线路等措施；4、控制现场扬尘、施工围挡等文明施工措施，投标人必须</w:t>
      </w:r>
      <w:r>
        <w:rPr>
          <w:rFonts w:hint="eastAsia" w:ascii="宋体" w:hAnsi="宋体" w:eastAsia="宋体" w:cs="宋体"/>
          <w:b w:val="0"/>
          <w:bCs w:val="0"/>
          <w:color w:val="auto"/>
          <w:szCs w:val="32"/>
          <w:highlight w:val="none"/>
          <w:u w:val="single"/>
          <w:lang w:eastAsia="zh-CN"/>
        </w:rPr>
        <w:t>符合</w:t>
      </w:r>
      <w:r>
        <w:rPr>
          <w:rFonts w:hint="eastAsia" w:ascii="宋体" w:hAnsi="宋体" w:eastAsia="宋体" w:cs="宋体"/>
          <w:b w:val="0"/>
          <w:bCs w:val="0"/>
          <w:color w:val="auto"/>
          <w:szCs w:val="32"/>
          <w:highlight w:val="none"/>
          <w:u w:val="single"/>
        </w:rPr>
        <w:t>《市政府关于印发徐州市2017-2018年秋冬季大气污染防治强化管控方案的通知》（徐政发﹝2017﹞53号）、《关于印发徐州市市区工地扬尘污染管理规范的通知》（徐空气提升办 ﹝2018﹞11号）</w:t>
      </w:r>
      <w:r>
        <w:rPr>
          <w:rFonts w:hint="eastAsia" w:ascii="宋体" w:hAnsi="宋体" w:eastAsia="宋体" w:cs="宋体"/>
          <w:b w:val="0"/>
          <w:bCs w:val="0"/>
          <w:color w:val="auto"/>
          <w:szCs w:val="32"/>
          <w:highlight w:val="none"/>
          <w:u w:val="single"/>
          <w:lang w:eastAsia="zh-CN"/>
        </w:rPr>
        <w:t>、</w:t>
      </w:r>
      <w:r>
        <w:rPr>
          <w:rFonts w:hint="eastAsia" w:ascii="宋体" w:hAnsi="宋体" w:eastAsia="宋体" w:cs="宋体"/>
          <w:b w:val="0"/>
          <w:bCs w:val="0"/>
          <w:color w:val="auto"/>
          <w:szCs w:val="32"/>
          <w:highlight w:val="none"/>
          <w:u w:val="single"/>
        </w:rPr>
        <w:t>《徐州市2018年大气污染防治攻坚行动方案》、徐城管发【2018】55号文</w:t>
      </w:r>
      <w:r>
        <w:rPr>
          <w:rFonts w:hint="eastAsia" w:ascii="宋体" w:hAnsi="宋体" w:eastAsia="宋体" w:cs="宋体"/>
          <w:b w:val="0"/>
          <w:bCs w:val="0"/>
          <w:color w:val="auto"/>
          <w:szCs w:val="32"/>
          <w:highlight w:val="none"/>
          <w:u w:val="single"/>
          <w:lang w:eastAsia="zh-CN"/>
        </w:rPr>
        <w:t>、</w:t>
      </w:r>
      <w:r>
        <w:rPr>
          <w:rFonts w:hint="eastAsia" w:ascii="宋体" w:hAnsi="宋体" w:eastAsia="宋体" w:cs="宋体"/>
          <w:b w:val="0"/>
          <w:bCs w:val="0"/>
          <w:i w:val="0"/>
          <w:iCs w:val="0"/>
          <w:caps w:val="0"/>
          <w:color w:val="auto"/>
          <w:spacing w:val="0"/>
          <w:sz w:val="21"/>
          <w:szCs w:val="32"/>
          <w:highlight w:val="none"/>
          <w:u w:val="single"/>
          <w:shd w:val="clear" w:color="auto" w:fill="auto"/>
        </w:rPr>
        <w:t>《关于印发</w:t>
      </w:r>
      <w:r>
        <w:rPr>
          <w:rFonts w:hint="eastAsia" w:ascii="宋体" w:hAnsi="宋体" w:eastAsia="宋体" w:cs="宋体"/>
          <w:b w:val="0"/>
          <w:bCs w:val="0"/>
          <w:i w:val="0"/>
          <w:iCs w:val="0"/>
          <w:caps w:val="0"/>
          <w:color w:val="auto"/>
          <w:spacing w:val="0"/>
          <w:sz w:val="21"/>
          <w:szCs w:val="32"/>
          <w:highlight w:val="none"/>
          <w:u w:val="single"/>
          <w:shd w:val="clear" w:color="auto" w:fill="auto"/>
          <w:lang w:eastAsia="zh-CN"/>
        </w:rPr>
        <w:t>〈</w:t>
      </w:r>
      <w:r>
        <w:rPr>
          <w:rFonts w:hint="eastAsia" w:ascii="宋体" w:hAnsi="宋体" w:eastAsia="宋体" w:cs="宋体"/>
          <w:b w:val="0"/>
          <w:bCs w:val="0"/>
          <w:i w:val="0"/>
          <w:iCs w:val="0"/>
          <w:caps w:val="0"/>
          <w:color w:val="auto"/>
          <w:spacing w:val="0"/>
          <w:sz w:val="21"/>
          <w:szCs w:val="32"/>
          <w:highlight w:val="none"/>
          <w:u w:val="single"/>
          <w:shd w:val="clear" w:color="auto" w:fill="auto"/>
        </w:rPr>
        <w:t>徐州市建设工程扬尘（噪声）智慧监管系统建设实施意见（试行）</w:t>
      </w:r>
      <w:r>
        <w:rPr>
          <w:rFonts w:hint="eastAsia" w:ascii="宋体" w:hAnsi="宋体" w:eastAsia="宋体" w:cs="宋体"/>
          <w:b w:val="0"/>
          <w:bCs w:val="0"/>
          <w:i w:val="0"/>
          <w:iCs w:val="0"/>
          <w:caps w:val="0"/>
          <w:color w:val="auto"/>
          <w:spacing w:val="0"/>
          <w:sz w:val="21"/>
          <w:szCs w:val="32"/>
          <w:highlight w:val="none"/>
          <w:u w:val="single"/>
          <w:shd w:val="clear" w:color="auto" w:fill="auto"/>
          <w:lang w:eastAsia="zh-CN"/>
        </w:rPr>
        <w:t>〉</w:t>
      </w:r>
      <w:r>
        <w:rPr>
          <w:rFonts w:hint="eastAsia" w:ascii="宋体" w:hAnsi="宋体" w:eastAsia="宋体" w:cs="宋体"/>
          <w:b w:val="0"/>
          <w:bCs w:val="0"/>
          <w:i w:val="0"/>
          <w:iCs w:val="0"/>
          <w:caps w:val="0"/>
          <w:color w:val="auto"/>
          <w:spacing w:val="0"/>
          <w:sz w:val="21"/>
          <w:szCs w:val="32"/>
          <w:highlight w:val="none"/>
          <w:u w:val="single"/>
          <w:shd w:val="clear" w:color="auto" w:fill="auto"/>
        </w:rPr>
        <w:t>的通知》（徐污防攻坚指办〔2023〕26号）</w:t>
      </w:r>
      <w:r>
        <w:rPr>
          <w:rFonts w:hint="eastAsia" w:ascii="宋体" w:hAnsi="宋体" w:eastAsia="宋体" w:cs="宋体"/>
          <w:b w:val="0"/>
          <w:bCs w:val="0"/>
          <w:i w:val="0"/>
          <w:iCs w:val="0"/>
          <w:caps w:val="0"/>
          <w:color w:val="auto"/>
          <w:spacing w:val="0"/>
          <w:sz w:val="21"/>
          <w:szCs w:val="32"/>
          <w:highlight w:val="none"/>
          <w:u w:val="single"/>
          <w:shd w:val="clear" w:color="auto" w:fill="auto"/>
          <w:lang w:eastAsia="zh-CN"/>
        </w:rPr>
        <w:t>、</w:t>
      </w:r>
      <w:r>
        <w:rPr>
          <w:rFonts w:hint="eastAsia" w:ascii="宋体" w:hAnsi="宋体" w:eastAsia="宋体" w:cs="宋体"/>
          <w:b w:val="0"/>
          <w:bCs w:val="0"/>
          <w:i w:val="0"/>
          <w:iCs w:val="0"/>
          <w:caps w:val="0"/>
          <w:color w:val="auto"/>
          <w:spacing w:val="0"/>
          <w:sz w:val="21"/>
          <w:szCs w:val="32"/>
          <w:highlight w:val="none"/>
          <w:u w:val="single"/>
          <w:shd w:val="clear" w:color="auto" w:fill="auto"/>
          <w:lang w:val="en-US" w:eastAsia="zh-CN"/>
        </w:rPr>
        <w:t>市住建局《关于进一步加强市区建设工地扬尘污染防治的通知》(徐住建发(2023)62号)的要求落实智慧工地建设</w:t>
      </w:r>
      <w:r>
        <w:rPr>
          <w:rFonts w:hint="eastAsia" w:ascii="宋体" w:hAnsi="宋体" w:eastAsia="宋体" w:cs="宋体"/>
          <w:b w:val="0"/>
          <w:bCs w:val="0"/>
          <w:color w:val="auto"/>
          <w:szCs w:val="32"/>
          <w:highlight w:val="none"/>
          <w:u w:val="single"/>
        </w:rPr>
        <w:t>规定。以上请投标人自主在投标下浮时综合考虑，中标人必须承担与此相关的责任及费用，结算时亦不再额外增加与此有关的任何费用。d、清单项目中特征描述不全的工序，如图纸已明确或已指明引用的规范、图集等或是常规工艺必须的工序，应包括在报价中</w:t>
      </w:r>
      <w:r>
        <w:rPr>
          <w:rFonts w:hint="eastAsia" w:ascii="宋体" w:hAnsi="宋体" w:eastAsia="宋体" w:cs="宋体"/>
          <w:color w:val="auto"/>
          <w:highlight w:val="none"/>
          <w:u w:val="single"/>
          <w:lang w:eastAsia="zh-CN"/>
        </w:rPr>
        <w:t>。</w:t>
      </w:r>
    </w:p>
    <w:p>
      <w:pPr>
        <w:spacing w:line="440" w:lineRule="exact"/>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风险费用的计算方法：</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执行本工程招标文件</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jc w:val="left"/>
        <w:rPr>
          <w:rFonts w:hint="eastAsia" w:ascii="宋体" w:hAnsi="宋体" w:eastAsia="宋体" w:cs="宋体"/>
          <w:b w:val="0"/>
          <w:bCs w:val="0"/>
          <w:color w:val="auto"/>
          <w:szCs w:val="32"/>
          <w:highlight w:val="none"/>
          <w:u w:val="single"/>
        </w:rPr>
      </w:pPr>
      <w:r>
        <w:rPr>
          <w:rFonts w:hint="eastAsia" w:ascii="宋体" w:hAnsi="宋体" w:eastAsia="宋体" w:cs="宋体"/>
          <w:b w:val="0"/>
          <w:bCs w:val="0"/>
          <w:color w:val="auto"/>
          <w:szCs w:val="32"/>
          <w:highlight w:val="none"/>
          <w:u w:val="none"/>
        </w:rPr>
        <w:t>风险范围以外合同价格的调整方法：</w:t>
      </w:r>
      <w:r>
        <w:rPr>
          <w:rFonts w:hint="eastAsia" w:ascii="宋体" w:hAnsi="宋体" w:eastAsia="宋体" w:cs="宋体"/>
          <w:b w:val="0"/>
          <w:bCs w:val="0"/>
          <w:color w:val="auto"/>
          <w:szCs w:val="32"/>
          <w:highlight w:val="none"/>
          <w:u w:val="single"/>
          <w:lang w:val="en-US" w:eastAsia="zh-CN"/>
        </w:rPr>
        <w:t>（1）竣工结算的工程量按发承包双方在合同中约定应予计量且实际完成的工程量确定，完成发包人要求的合同以外的零星工作或发生非承包人责任事件的工程量按现场签证确定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val="0"/>
          <w:bCs w:val="0"/>
          <w:color w:val="auto"/>
          <w:szCs w:val="32"/>
          <w:highlight w:val="none"/>
          <w:u w:val="none"/>
          <w:lang w:val="en-US" w:eastAsia="zh-CN"/>
        </w:rPr>
        <w:t xml:space="preserve">。 </w:t>
      </w:r>
    </w:p>
    <w:p>
      <w:pPr>
        <w:spacing w:line="440" w:lineRule="exact"/>
        <w:jc w:val="left"/>
        <w:rPr>
          <w:rFonts w:hint="eastAsia" w:ascii="宋体" w:hAnsi="宋体" w:eastAsia="宋体" w:cs="宋体"/>
          <w:b w:val="0"/>
          <w:bCs w:val="0"/>
          <w:color w:val="auto"/>
          <w:szCs w:val="32"/>
          <w:highlight w:val="none"/>
          <w:u w:val="single"/>
        </w:rPr>
      </w:pPr>
      <w:r>
        <w:rPr>
          <w:rFonts w:hint="eastAsia" w:ascii="宋体" w:hAnsi="宋体" w:eastAsia="宋体" w:cs="宋体"/>
          <w:b w:val="0"/>
          <w:bCs w:val="0"/>
          <w:color w:val="auto"/>
          <w:szCs w:val="32"/>
          <w:highlight w:val="none"/>
          <w:u w:val="single"/>
          <w:lang w:val="en-US" w:eastAsia="zh-CN"/>
        </w:rPr>
        <w:t>（2）因分部分项工程量清单漏项或非承包人原因的工程变更，造成施工组织设计或施工方案变更，引起措施项目发生变化时，措施项目费应按下列原则调整：“按总价计算的措施项目”中的措施费仍按投标时费率进行调整；“采用单价计算的措施费发生关联变化时，按2014 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r>
        <w:rPr>
          <w:rFonts w:hint="eastAsia" w:ascii="宋体" w:hAnsi="宋体" w:eastAsia="宋体" w:cs="宋体"/>
          <w:b w:val="0"/>
          <w:bCs w:val="0"/>
          <w:color w:val="auto"/>
          <w:szCs w:val="32"/>
          <w:highlight w:val="none"/>
          <w:u w:val="none"/>
          <w:lang w:val="en-US" w:eastAsia="zh-CN"/>
        </w:rPr>
        <w:t xml:space="preserve">。 </w:t>
      </w:r>
    </w:p>
    <w:p>
      <w:pPr>
        <w:spacing w:line="440" w:lineRule="exact"/>
        <w:jc w:val="left"/>
        <w:rPr>
          <w:rFonts w:hint="eastAsia" w:ascii="宋体" w:hAnsi="宋体" w:eastAsia="宋体" w:cs="宋体"/>
          <w:b w:val="0"/>
          <w:bCs w:val="0"/>
          <w:color w:val="auto"/>
          <w:szCs w:val="32"/>
          <w:highlight w:val="none"/>
          <w:u w:val="single"/>
        </w:rPr>
      </w:pPr>
      <w:r>
        <w:rPr>
          <w:rFonts w:hint="eastAsia" w:ascii="宋体" w:hAnsi="宋体" w:eastAsia="宋体" w:cs="宋体"/>
          <w:b w:val="0"/>
          <w:bCs w:val="0"/>
          <w:color w:val="auto"/>
          <w:szCs w:val="32"/>
          <w:highlight w:val="none"/>
          <w:u w:val="single"/>
          <w:lang w:val="en-US" w:eastAsia="zh-CN"/>
        </w:rPr>
        <w:t xml:space="preserve">（3）①设计变更引起新增工程量清单项目，其相应综合单价按本招标文件规定的最高投标限价计价编制办法计算，再乘以中标价与招标预算价的下浮比率后作为综合单价进行结算。以上变更及工程量签证，必须由发、承包双方、现场监理工程师共同确认。②工程量增减，其相应综合单价执行投标报价的综合单价，但不得高于招标预算价的综合单价。③清单项目中特征描述不全的工序，如图纸已明确或已指明引用的规范、图集等或是常规工艺必须的工序，应包括在报价中。 ④以上①、②条以外原因引起的价款调整按照以下方法处理： ①有类似单价的，参照类似单价； </w:t>
      </w:r>
    </w:p>
    <w:p>
      <w:pPr>
        <w:spacing w:line="440" w:lineRule="exact"/>
        <w:jc w:val="left"/>
        <w:rPr>
          <w:rFonts w:hint="eastAsia" w:ascii="宋体" w:hAnsi="宋体" w:eastAsia="宋体" w:cs="宋体"/>
          <w:b w:val="0"/>
          <w:bCs w:val="0"/>
          <w:color w:val="auto"/>
          <w:szCs w:val="32"/>
          <w:highlight w:val="none"/>
          <w:u w:val="single"/>
        </w:rPr>
      </w:pPr>
      <w:r>
        <w:rPr>
          <w:rFonts w:hint="eastAsia" w:ascii="宋体" w:hAnsi="宋体" w:eastAsia="宋体" w:cs="宋体"/>
          <w:b w:val="0"/>
          <w:bCs w:val="0"/>
          <w:color w:val="auto"/>
          <w:szCs w:val="32"/>
          <w:highlight w:val="none"/>
          <w:u w:val="single"/>
          <w:lang w:val="en-US" w:eastAsia="zh-CN"/>
        </w:rPr>
        <w:t xml:space="preserve">②没有类似单价的，按照变更发生前一个月的《徐州工程造价信息》中相应的材料价格和相应的定额计价，同时按照中标时中标价与招标预算价的整体下浮比率下浮； </w:t>
      </w:r>
    </w:p>
    <w:p>
      <w:pPr>
        <w:spacing w:line="440" w:lineRule="exact"/>
        <w:jc w:val="left"/>
        <w:rPr>
          <w:rFonts w:hint="eastAsia" w:ascii="宋体" w:hAnsi="宋体" w:eastAsia="宋体" w:cs="宋体"/>
          <w:b w:val="0"/>
          <w:bCs w:val="0"/>
          <w:color w:val="auto"/>
          <w:szCs w:val="32"/>
          <w:highlight w:val="none"/>
          <w:u w:val="single"/>
          <w:lang w:val="en-US" w:eastAsia="zh-CN"/>
        </w:rPr>
      </w:pPr>
      <w:r>
        <w:rPr>
          <w:rFonts w:hint="eastAsia" w:ascii="宋体" w:hAnsi="宋体" w:eastAsia="宋体" w:cs="宋体"/>
          <w:b w:val="0"/>
          <w:bCs w:val="0"/>
          <w:color w:val="auto"/>
          <w:szCs w:val="32"/>
          <w:highlight w:val="none"/>
          <w:u w:val="single"/>
          <w:lang w:val="en-US" w:eastAsia="zh-CN"/>
        </w:rPr>
        <w:t>（4）《徐州工程造价信息》中没有相应材料价格的，双方比价采购或者由招标人经招标确定价格后，计入相应的定额计价，但该部分材料价格不再参与下浮，其余部分按照中标时中标价与招标预算价的整体下浮比率下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2、总价合同。</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总价包含的风险范围：</w:t>
      </w:r>
      <w:r>
        <w:rPr>
          <w:rFonts w:hint="eastAsia" w:ascii="宋体" w:hAnsi="宋体" w:eastAsia="宋体" w:cs="宋体"/>
          <w:color w:val="auto"/>
          <w:szCs w:val="32"/>
          <w:highlight w:val="none"/>
          <w:u w:val="single"/>
        </w:rPr>
        <w:t xml:space="preserve">    /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风险费用的计算方法：</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风险范围以外合同价格的调整方法：</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3、其他价格方式：</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bookmarkStart w:id="486" w:name="_Toc297216213"/>
      <w:bookmarkStart w:id="487" w:name="_Toc297123554"/>
      <w:bookmarkStart w:id="488" w:name="_Toc303539161"/>
      <w:bookmarkStart w:id="489" w:name="_Toc304295581"/>
      <w:bookmarkStart w:id="490" w:name="_Toc300935004"/>
      <w:bookmarkStart w:id="491" w:name="_Toc312678042"/>
      <w:bookmarkStart w:id="492" w:name="_Toc296944546"/>
      <w:bookmarkStart w:id="493" w:name="_Toc296347206"/>
      <w:bookmarkStart w:id="494" w:name="_Toc296891247"/>
      <w:bookmarkStart w:id="495" w:name="_Toc297048393"/>
      <w:bookmarkStart w:id="496" w:name="_Toc296503207"/>
      <w:bookmarkStart w:id="497" w:name="_Toc297120507"/>
      <w:bookmarkStart w:id="498" w:name="_Toc292559412"/>
      <w:bookmarkStart w:id="499" w:name="_Toc296891035"/>
      <w:bookmarkStart w:id="500" w:name="_Toc296346708"/>
      <w:bookmarkStart w:id="501" w:name="_Toc292559917"/>
      <w:r>
        <w:rPr>
          <w:rFonts w:hint="eastAsia" w:ascii="宋体" w:hAnsi="宋体" w:eastAsia="宋体" w:cs="宋体"/>
          <w:color w:val="auto"/>
          <w:szCs w:val="32"/>
          <w:highlight w:val="none"/>
        </w:rPr>
        <w:t>12.2 预付款</w:t>
      </w:r>
    </w:p>
    <w:bookmarkEnd w:id="486"/>
    <w:bookmarkEnd w:id="487"/>
    <w:bookmarkEnd w:id="488"/>
    <w:bookmarkEnd w:id="489"/>
    <w:bookmarkEnd w:id="490"/>
    <w:bookmarkEnd w:id="491"/>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12.2.1 预付款的支付</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预付款支付比例或金额：</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签约合同价（不含专业工程暂估价及暂列金额）的 </w:t>
      </w:r>
      <w:r>
        <w:rPr>
          <w:rFonts w:hint="eastAsia" w:ascii="宋体" w:hAnsi="宋体" w:eastAsia="宋体" w:cs="宋体"/>
          <w:b/>
          <w:bCs/>
          <w:color w:val="auto"/>
          <w:szCs w:val="32"/>
          <w:highlight w:val="none"/>
          <w:u w:val="single"/>
          <w:lang w:val="en-US" w:eastAsia="zh-CN"/>
        </w:rPr>
        <w:t>1</w:t>
      </w:r>
      <w:r>
        <w:rPr>
          <w:rFonts w:hint="eastAsia" w:ascii="宋体" w:hAnsi="宋体" w:eastAsia="宋体" w:cs="宋体"/>
          <w:b/>
          <w:bCs/>
          <w:color w:val="auto"/>
          <w:szCs w:val="32"/>
          <w:highlight w:val="none"/>
          <w:u w:val="single"/>
        </w:rPr>
        <w:t xml:space="preserve">0%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预付款支付期限：</w:t>
      </w:r>
      <w:r>
        <w:rPr>
          <w:rFonts w:hint="eastAsia" w:ascii="宋体" w:hAnsi="宋体" w:eastAsia="宋体" w:cs="宋体"/>
          <w:b/>
          <w:bCs/>
          <w:color w:val="auto"/>
          <w:szCs w:val="32"/>
          <w:highlight w:val="none"/>
          <w:u w:val="single"/>
          <w:lang w:val="en-US" w:eastAsia="zh-CN"/>
        </w:rPr>
        <w:t>施工合同签订、施工人员进场施工14天内</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预付款扣回的方式：</w:t>
      </w:r>
      <w:r>
        <w:rPr>
          <w:rFonts w:hint="eastAsia" w:ascii="宋体" w:hAnsi="宋体" w:eastAsia="宋体" w:cs="宋体"/>
          <w:b/>
          <w:bCs/>
          <w:color w:val="auto"/>
          <w:szCs w:val="32"/>
          <w:highlight w:val="none"/>
          <w:u w:val="single"/>
          <w:lang w:val="en-US" w:eastAsia="zh-CN"/>
        </w:rPr>
        <w:t>不</w:t>
      </w:r>
      <w:r>
        <w:rPr>
          <w:rFonts w:hint="eastAsia" w:ascii="宋体" w:hAnsi="宋体" w:eastAsia="宋体" w:cs="宋体"/>
          <w:b/>
          <w:bCs/>
          <w:color w:val="auto"/>
          <w:szCs w:val="32"/>
          <w:highlight w:val="none"/>
          <w:u w:val="single"/>
        </w:rPr>
        <w:t>回扣</w:t>
      </w:r>
      <w:r>
        <w:rPr>
          <w:rFonts w:hint="eastAsia" w:ascii="宋体" w:hAnsi="宋体" w:eastAsia="宋体" w:cs="宋体"/>
          <w:b/>
          <w:bCs/>
          <w:color w:val="auto"/>
          <w:szCs w:val="32"/>
          <w:highlight w:val="none"/>
          <w:u w:val="single"/>
          <w:lang w:eastAsia="zh-CN"/>
        </w:rPr>
        <w:t>，</w:t>
      </w:r>
      <w:r>
        <w:rPr>
          <w:rFonts w:hint="eastAsia" w:ascii="宋体" w:hAnsi="宋体" w:eastAsia="宋体" w:cs="宋体"/>
          <w:b/>
          <w:bCs/>
          <w:color w:val="auto"/>
          <w:szCs w:val="32"/>
          <w:highlight w:val="none"/>
          <w:u w:val="single"/>
          <w:lang w:val="en-US" w:eastAsia="zh-CN"/>
        </w:rPr>
        <w:t>转为工程进度款</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12.2.2 预付款担保</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承包人提交预付款担保的期限：</w:t>
      </w:r>
      <w:r>
        <w:rPr>
          <w:rFonts w:hint="eastAsia" w:ascii="宋体" w:hAnsi="宋体" w:eastAsia="宋体" w:cs="宋体"/>
          <w:b/>
          <w:bCs/>
          <w:color w:val="auto"/>
          <w:szCs w:val="32"/>
          <w:highlight w:val="none"/>
          <w:u w:val="single"/>
          <w:lang w:val="en-US" w:eastAsia="zh-CN"/>
        </w:rPr>
        <w:t>/</w:t>
      </w:r>
      <w:r>
        <w:rPr>
          <w:rFonts w:hint="eastAsia" w:ascii="宋体" w:hAnsi="宋体" w:eastAsia="宋体" w:cs="宋体"/>
          <w:b/>
          <w:bCs/>
          <w:color w:val="auto"/>
          <w:szCs w:val="32"/>
          <w:highlight w:val="none"/>
          <w:u w:val="singl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预付款担保的形式为：</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rPr>
        <w:t>。</w:t>
      </w:r>
    </w:p>
    <w:bookmarkEnd w:id="492"/>
    <w:bookmarkEnd w:id="493"/>
    <w:bookmarkEnd w:id="494"/>
    <w:bookmarkEnd w:id="495"/>
    <w:bookmarkEnd w:id="496"/>
    <w:bookmarkEnd w:id="497"/>
    <w:bookmarkEnd w:id="498"/>
    <w:bookmarkEnd w:id="499"/>
    <w:bookmarkEnd w:id="500"/>
    <w:bookmarkEnd w:id="501"/>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 计量</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12.3.1 计量原则</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32"/>
          <w:highlight w:val="none"/>
        </w:rPr>
        <w:t>工程量计算规则：</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kern w:val="2"/>
          <w:sz w:val="21"/>
          <w:szCs w:val="32"/>
          <w:highlight w:val="none"/>
          <w:u w:val="single"/>
          <w:lang w:val="en-US" w:eastAsia="zh-CN" w:bidi="ar-SA"/>
        </w:rPr>
        <w:t>执行现行国家标准</w:t>
      </w:r>
      <w:r>
        <w:rPr>
          <w:rFonts w:hint="eastAsia" w:ascii="宋体" w:hAnsi="宋体" w:eastAsia="宋体" w:cs="宋体"/>
          <w:b/>
          <w:bCs/>
          <w:color w:val="auto"/>
          <w:kern w:val="2"/>
          <w:sz w:val="21"/>
          <w:szCs w:val="32"/>
          <w:highlight w:val="none"/>
          <w:u w:val="single"/>
          <w:lang w:val="zh-CN"/>
        </w:rPr>
        <w:t>《建设工程工程量清单计价规范》（GB50500-2013）、《</w:t>
      </w:r>
      <w:r>
        <w:rPr>
          <w:rFonts w:hint="eastAsia" w:ascii="宋体" w:hAnsi="宋体" w:eastAsia="宋体" w:cs="宋体"/>
          <w:b/>
          <w:bCs/>
          <w:color w:val="auto"/>
          <w:kern w:val="2"/>
          <w:sz w:val="21"/>
          <w:szCs w:val="32"/>
          <w:highlight w:val="none"/>
          <w:u w:val="single"/>
          <w:lang w:val="zh-CN" w:eastAsia="zh-CN"/>
        </w:rPr>
        <w:t>建设</w:t>
      </w:r>
      <w:r>
        <w:rPr>
          <w:rFonts w:hint="eastAsia" w:ascii="宋体" w:hAnsi="宋体" w:eastAsia="宋体" w:cs="宋体"/>
          <w:b/>
          <w:bCs/>
          <w:color w:val="auto"/>
          <w:kern w:val="2"/>
          <w:sz w:val="21"/>
          <w:szCs w:val="32"/>
          <w:highlight w:val="none"/>
          <w:u w:val="single"/>
          <w:lang w:val="zh-CN"/>
        </w:rPr>
        <w:t>工程工程量计算规范》(GB50854-2013)、《江苏省</w:t>
      </w:r>
      <w:r>
        <w:rPr>
          <w:rFonts w:hint="eastAsia" w:ascii="宋体" w:hAnsi="宋体" w:eastAsia="宋体" w:cs="宋体"/>
          <w:b/>
          <w:bCs/>
          <w:color w:val="auto"/>
          <w:kern w:val="2"/>
          <w:sz w:val="21"/>
          <w:szCs w:val="32"/>
          <w:highlight w:val="none"/>
          <w:u w:val="single"/>
          <w:lang w:val="zh-CN" w:eastAsia="zh-CN"/>
        </w:rPr>
        <w:t>建筑与装饰</w:t>
      </w:r>
      <w:r>
        <w:rPr>
          <w:rFonts w:hint="eastAsia" w:ascii="宋体" w:hAnsi="宋体" w:eastAsia="宋体" w:cs="宋体"/>
          <w:b/>
          <w:bCs/>
          <w:color w:val="auto"/>
          <w:kern w:val="2"/>
          <w:sz w:val="21"/>
          <w:szCs w:val="32"/>
          <w:highlight w:val="none"/>
          <w:u w:val="single"/>
          <w:lang w:val="zh-CN"/>
        </w:rPr>
        <w:t>工程计价</w:t>
      </w:r>
      <w:r>
        <w:rPr>
          <w:rFonts w:hint="eastAsia" w:ascii="宋体" w:hAnsi="宋体" w:eastAsia="宋体" w:cs="宋体"/>
          <w:b/>
          <w:bCs/>
          <w:color w:val="auto"/>
          <w:kern w:val="2"/>
          <w:sz w:val="21"/>
          <w:szCs w:val="32"/>
          <w:highlight w:val="none"/>
          <w:u w:val="single"/>
          <w:lang w:val="zh-CN" w:eastAsia="zh-CN"/>
        </w:rPr>
        <w:t>表</w:t>
      </w:r>
      <w:r>
        <w:rPr>
          <w:rFonts w:hint="eastAsia" w:ascii="宋体" w:hAnsi="宋体" w:eastAsia="宋体" w:cs="宋体"/>
          <w:b/>
          <w:bCs/>
          <w:color w:val="auto"/>
          <w:kern w:val="2"/>
          <w:sz w:val="21"/>
          <w:szCs w:val="32"/>
          <w:highlight w:val="none"/>
          <w:u w:val="single"/>
          <w:lang w:val="zh-CN"/>
        </w:rPr>
        <w:t>》（</w:t>
      </w:r>
      <w:r>
        <w:rPr>
          <w:rFonts w:hint="eastAsia" w:ascii="宋体" w:hAnsi="宋体" w:eastAsia="宋体" w:cs="宋体"/>
          <w:b/>
          <w:bCs/>
          <w:color w:val="auto"/>
          <w:kern w:val="2"/>
          <w:sz w:val="21"/>
          <w:szCs w:val="32"/>
          <w:highlight w:val="none"/>
          <w:u w:val="single"/>
          <w:lang w:val="zh-CN" w:eastAsia="zh-CN"/>
        </w:rPr>
        <w:t>2014</w:t>
      </w:r>
      <w:r>
        <w:rPr>
          <w:rFonts w:hint="eastAsia" w:ascii="宋体" w:hAnsi="宋体" w:eastAsia="宋体" w:cs="宋体"/>
          <w:b/>
          <w:bCs/>
          <w:color w:val="auto"/>
          <w:kern w:val="2"/>
          <w:sz w:val="21"/>
          <w:szCs w:val="32"/>
          <w:highlight w:val="none"/>
          <w:u w:val="single"/>
          <w:lang w:val="zh-CN"/>
        </w:rPr>
        <w:t>版）、《江苏省</w:t>
      </w:r>
      <w:r>
        <w:rPr>
          <w:rFonts w:hint="eastAsia" w:ascii="宋体" w:hAnsi="宋体" w:eastAsia="宋体" w:cs="宋体"/>
          <w:b/>
          <w:bCs/>
          <w:color w:val="auto"/>
          <w:kern w:val="2"/>
          <w:sz w:val="21"/>
          <w:szCs w:val="32"/>
          <w:highlight w:val="none"/>
          <w:u w:val="single"/>
          <w:lang w:val="zh-CN" w:eastAsia="zh-CN"/>
        </w:rPr>
        <w:t>市政</w:t>
      </w:r>
      <w:r>
        <w:rPr>
          <w:rFonts w:hint="eastAsia" w:ascii="宋体" w:hAnsi="宋体" w:eastAsia="宋体" w:cs="宋体"/>
          <w:b/>
          <w:bCs/>
          <w:color w:val="auto"/>
          <w:kern w:val="2"/>
          <w:sz w:val="21"/>
          <w:szCs w:val="32"/>
          <w:highlight w:val="none"/>
          <w:u w:val="single"/>
          <w:lang w:val="zh-CN"/>
        </w:rPr>
        <w:t>工程计价定额》（2014版）、《江苏省建设工程费用定额》（2014年）</w:t>
      </w:r>
      <w:r>
        <w:rPr>
          <w:rFonts w:hint="eastAsia" w:ascii="宋体" w:hAnsi="宋体" w:eastAsia="宋体" w:cs="宋体"/>
          <w:b/>
          <w:bCs/>
          <w:color w:val="auto"/>
          <w:kern w:val="2"/>
          <w:sz w:val="21"/>
          <w:szCs w:val="32"/>
          <w:highlight w:val="none"/>
          <w:u w:val="single"/>
          <w:lang w:val="zh-CN" w:eastAsia="zh-CN"/>
        </w:rPr>
        <w:t>营改增</w:t>
      </w:r>
      <w:r>
        <w:rPr>
          <w:rFonts w:hint="eastAsia" w:ascii="宋体" w:hAnsi="宋体" w:eastAsia="宋体" w:cs="宋体"/>
          <w:b/>
          <w:bCs/>
          <w:color w:val="auto"/>
          <w:kern w:val="2"/>
          <w:sz w:val="21"/>
          <w:szCs w:val="32"/>
          <w:highlight w:val="none"/>
          <w:u w:val="single"/>
          <w:lang w:val="zh-CN" w:eastAsia="zh-CN" w:bidi="ar-SA"/>
        </w:rPr>
        <w:t>、</w:t>
      </w:r>
      <w:r>
        <w:rPr>
          <w:rFonts w:hint="eastAsia" w:ascii="宋体" w:hAnsi="宋体" w:eastAsia="宋体" w:cs="宋体"/>
          <w:b/>
          <w:bCs/>
          <w:color w:val="auto"/>
          <w:szCs w:val="32"/>
          <w:highlight w:val="none"/>
          <w:u w:val="single"/>
          <w:lang w:val="zh-CN" w:eastAsia="zh-CN"/>
        </w:rPr>
        <w:t>《江苏省建筑与装饰工程计价表》（2014版）、《江苏省安装工程计价定额》（2014版）、《江苏省建设工程费用定额》（2014年）营改增等</w:t>
      </w:r>
      <w:r>
        <w:rPr>
          <w:rFonts w:hint="eastAsia" w:ascii="宋体" w:hAnsi="宋体" w:eastAsia="宋体" w:cs="宋体"/>
          <w:color w:val="auto"/>
          <w:szCs w:val="21"/>
          <w:highlight w:val="none"/>
          <w:u w:val="single"/>
          <w:lang w:val="en-US" w:eastAsia="zh-CN"/>
        </w:rPr>
        <w:t>、</w:t>
      </w:r>
      <w:r>
        <w:rPr>
          <w:rFonts w:hint="eastAsia" w:ascii="宋体" w:hAnsi="宋体" w:eastAsia="宋体" w:cs="宋体"/>
          <w:b/>
          <w:bCs/>
          <w:color w:val="auto"/>
          <w:kern w:val="2"/>
          <w:sz w:val="21"/>
          <w:szCs w:val="32"/>
          <w:highlight w:val="none"/>
          <w:u w:val="single"/>
          <w:lang w:val="zh-CN" w:eastAsia="zh-CN"/>
        </w:rPr>
        <w:t>建筑业增值税计价政策调整详见：</w:t>
      </w:r>
      <w:r>
        <w:rPr>
          <w:rFonts w:hint="eastAsia" w:ascii="宋体" w:hAnsi="宋体" w:eastAsia="宋体" w:cs="宋体"/>
          <w:b/>
          <w:bCs/>
          <w:color w:val="auto"/>
          <w:kern w:val="2"/>
          <w:sz w:val="21"/>
          <w:szCs w:val="32"/>
          <w:highlight w:val="none"/>
          <w:u w:val="single"/>
          <w:lang w:val="zh-CN"/>
        </w:rPr>
        <w:t>苏建函价2019_178号文件</w:t>
      </w:r>
      <w:r>
        <w:rPr>
          <w:rFonts w:hint="eastAsia" w:ascii="宋体" w:hAnsi="宋体" w:eastAsia="宋体" w:cs="宋体"/>
          <w:b/>
          <w:bCs/>
          <w:color w:val="auto"/>
          <w:kern w:val="2"/>
          <w:sz w:val="21"/>
          <w:szCs w:val="32"/>
          <w:highlight w:val="none"/>
          <w:u w:val="single"/>
          <w:lang w:val="en-US" w:eastAsia="zh-CN" w:bidi="ar-SA"/>
        </w:rPr>
        <w:t>；省住房城乡建设厅关于调整建设工程按质论价等费用计取办法的公告（【2018】第24号）；智慧工地执行《徐住建发【2023】62号》文；</w:t>
      </w:r>
      <w:r>
        <w:rPr>
          <w:rFonts w:hint="eastAsia" w:ascii="宋体" w:hAnsi="宋体" w:eastAsia="宋体" w:cs="宋体"/>
          <w:b/>
          <w:bCs/>
          <w:color w:val="auto"/>
          <w:szCs w:val="32"/>
          <w:highlight w:val="none"/>
          <w:u w:val="single"/>
          <w:lang w:val="en-US" w:eastAsia="zh-CN"/>
        </w:rPr>
        <w:t>人工费机械费按苏建函价【2024】83号文件执行；有关部门发布的现行预结算文件及政策性调整文件；2025年泉山区富国街改造提升工程设计图纸施工要求。</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12.3.2 计量周期</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关于计量周期的约定：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按月计量</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12.3.3 单价合同的计量</w:t>
      </w:r>
    </w:p>
    <w:p>
      <w:pPr>
        <w:spacing w:line="440" w:lineRule="exact"/>
        <w:ind w:firstLine="420" w:firstLineChars="200"/>
        <w:jc w:val="left"/>
        <w:rPr>
          <w:rFonts w:hint="eastAsia" w:ascii="宋体" w:hAnsi="宋体" w:eastAsia="宋体" w:cs="宋体"/>
          <w:b/>
          <w:bCs/>
          <w:color w:val="auto"/>
          <w:szCs w:val="32"/>
          <w:highlight w:val="none"/>
          <w:u w:val="single"/>
        </w:rPr>
      </w:pPr>
      <w:r>
        <w:rPr>
          <w:rFonts w:hint="eastAsia" w:ascii="宋体" w:hAnsi="宋体" w:eastAsia="宋体" w:cs="宋体"/>
          <w:color w:val="auto"/>
          <w:szCs w:val="32"/>
          <w:highlight w:val="none"/>
        </w:rPr>
        <w:t>关于单价合同计量的约定：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（1）承包人应于每月25日前向监理人报送上月20日至当月19日已完成的工程量报告，并附具已完成工程量报表和有关资料。 （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12.3.4 总价合同的计量</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关于总价合同计量的约定：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12.3.5总价合同采用支付分解表计量支付的，是否适用第</w:t>
      </w:r>
      <w:r>
        <w:rPr>
          <w:rFonts w:hint="eastAsia" w:ascii="宋体" w:hAnsi="宋体" w:eastAsia="宋体" w:cs="宋体"/>
          <w:color w:val="auto"/>
          <w:kern w:val="0"/>
          <w:szCs w:val="32"/>
          <w:highlight w:val="none"/>
        </w:rPr>
        <w:t xml:space="preserve">12.3.4 </w:t>
      </w:r>
      <w:r>
        <w:rPr>
          <w:rFonts w:hint="eastAsia" w:ascii="宋体" w:hAnsi="宋体" w:eastAsia="宋体" w:cs="宋体"/>
          <w:color w:val="auto"/>
          <w:szCs w:val="32"/>
          <w:highlight w:val="none"/>
        </w:rPr>
        <w:t>项</w:t>
      </w:r>
      <w:r>
        <w:rPr>
          <w:rFonts w:hint="eastAsia" w:ascii="宋体" w:hAnsi="宋体" w:eastAsia="宋体" w:cs="宋体"/>
          <w:color w:val="auto"/>
          <w:kern w:val="0"/>
          <w:szCs w:val="32"/>
          <w:highlight w:val="none"/>
        </w:rPr>
        <w:t>〔总价合同的计量〕</w:t>
      </w:r>
      <w:r>
        <w:rPr>
          <w:rFonts w:hint="eastAsia" w:ascii="宋体" w:hAnsi="宋体" w:eastAsia="宋体" w:cs="宋体"/>
          <w:color w:val="auto"/>
          <w:szCs w:val="32"/>
          <w:highlight w:val="none"/>
        </w:rPr>
        <w:t>约定进行计量：</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12.3.6 其他价格形式合同的计量</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其他价格形式的计量方式和程序：</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12.4 工程进度款支付</w:t>
      </w:r>
    </w:p>
    <w:p>
      <w:pPr>
        <w:spacing w:line="360" w:lineRule="auto"/>
        <w:ind w:firstLine="420" w:firstLineChars="200"/>
        <w:jc w:val="left"/>
        <w:rPr>
          <w:rFonts w:hint="eastAsia" w:ascii="宋体" w:hAnsi="宋体" w:eastAsia="宋体" w:cs="宋体"/>
          <w:color w:val="auto"/>
          <w:szCs w:val="21"/>
          <w:highlight w:val="none"/>
        </w:rPr>
      </w:pPr>
      <w:bookmarkStart w:id="502" w:name="_Toc296347210"/>
      <w:bookmarkStart w:id="503" w:name="_Toc292559921"/>
      <w:bookmarkStart w:id="504" w:name="_Toc300935006"/>
      <w:bookmarkStart w:id="505" w:name="_Toc296346712"/>
      <w:bookmarkStart w:id="506" w:name="_Toc297216215"/>
      <w:bookmarkStart w:id="507" w:name="_Toc296503211"/>
      <w:bookmarkStart w:id="508" w:name="_Toc292559416"/>
      <w:bookmarkStart w:id="509" w:name="_Toc303539163"/>
      <w:bookmarkStart w:id="510" w:name="_Toc296944550"/>
      <w:bookmarkStart w:id="511" w:name="_Toc297120511"/>
      <w:bookmarkStart w:id="512" w:name="_Toc296891039"/>
      <w:bookmarkStart w:id="513" w:name="_Toc297048397"/>
      <w:bookmarkStart w:id="514" w:name="_Toc296891251"/>
      <w:bookmarkStart w:id="515" w:name="_Toc297123556"/>
      <w:r>
        <w:rPr>
          <w:rFonts w:hint="eastAsia" w:ascii="宋体" w:hAnsi="宋体" w:eastAsia="宋体" w:cs="宋体"/>
          <w:color w:val="auto"/>
          <w:szCs w:val="21"/>
          <w:highlight w:val="none"/>
        </w:rPr>
        <w:t>12.4.1 付款周期</w:t>
      </w:r>
    </w:p>
    <w:p>
      <w:pPr>
        <w:numPr>
          <w:ilvl w:val="0"/>
          <w:numId w:val="0"/>
        </w:numPr>
        <w:tabs>
          <w:tab w:val="left" w:pos="312"/>
        </w:tabs>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关于付款周期的约定：</w:t>
      </w:r>
    </w:p>
    <w:p>
      <w:pPr>
        <w:numPr>
          <w:ilvl w:val="0"/>
          <w:numId w:val="10"/>
        </w:num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施工合同签订、施工人员进场施工14天内付建安工程合同价的10%作为预付款；</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(2)工程竣工验收合格(包括但不限于发包人、监理方的验收)并取得竣工验收合格证明书且已提交符合要求的竣工资料后28天内付至经监理、甲方审核已完合格工程量价款的80%；</w:t>
      </w:r>
    </w:p>
    <w:p>
      <w:pPr>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ab/>
      </w:r>
      <w:r>
        <w:rPr>
          <w:rFonts w:hint="eastAsia" w:ascii="宋体" w:hAnsi="宋体" w:eastAsia="宋体" w:cs="宋体"/>
          <w:color w:val="auto"/>
          <w:szCs w:val="21"/>
          <w:highlight w:val="none"/>
          <w:u w:val="single"/>
          <w:lang w:val="en-US" w:eastAsia="zh-CN"/>
        </w:rPr>
        <w:t>(3)竣工结算资料报送招标人并完成竣工结算后，支付至双方认可的竣工结算价款的</w:t>
      </w:r>
      <w:r>
        <w:rPr>
          <w:rFonts w:hint="eastAsia" w:ascii="宋体" w:hAnsi="宋体" w:cs="宋体"/>
          <w:color w:val="auto"/>
          <w:szCs w:val="21"/>
          <w:highlight w:val="none"/>
          <w:u w:val="single"/>
          <w:lang w:val="en-US" w:eastAsia="zh-CN"/>
        </w:rPr>
        <w:t>100</w:t>
      </w:r>
      <w:r>
        <w:rPr>
          <w:rFonts w:hint="eastAsia" w:ascii="宋体" w:hAnsi="宋体" w:eastAsia="宋体" w:cs="宋体"/>
          <w:color w:val="auto"/>
          <w:szCs w:val="21"/>
          <w:highlight w:val="none"/>
          <w:u w:val="single"/>
          <w:lang w:val="en-US" w:eastAsia="zh-CN"/>
        </w:rPr>
        <w:t>%；</w:t>
      </w:r>
    </w:p>
    <w:p>
      <w:pPr>
        <w:spacing w:line="360" w:lineRule="auto"/>
        <w:ind w:firstLine="630" w:firstLineChars="3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支付程序遵循徐州市城建重点工程付款程序。</w:t>
      </w:r>
    </w:p>
    <w:p>
      <w:pPr>
        <w:spacing w:line="360" w:lineRule="auto"/>
        <w:ind w:firstLine="630" w:firstLineChars="3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根据徐州市住房和城乡建设局徐建发〔2019〕4 号文件，严格按照此文件执行。按照工程承包合同约定的比例的人工费数额，按进度款支付次数将人工费（不低于当月进度款的20%）存入农民工工资专户，并从每次支付工程款中相应扣除。</w:t>
      </w:r>
      <w:r>
        <w:rPr>
          <w:rFonts w:hint="eastAsia" w:ascii="宋体" w:hAnsi="宋体" w:eastAsia="宋体" w:cs="宋体"/>
          <w:i w:val="0"/>
          <w:iCs w:val="0"/>
          <w:caps w:val="0"/>
          <w:color w:val="auto"/>
          <w:spacing w:val="0"/>
          <w:sz w:val="21"/>
          <w:szCs w:val="21"/>
          <w:highlight w:val="none"/>
          <w:u w:val="single"/>
          <w:shd w:val="clear" w:color="auto" w:fill="auto"/>
        </w:rPr>
        <w:t>农民工工资支付需按照《关于转发〈关于扎实推进房屋建筑和市政基础设施建设领域保障农民工工资支付工作的通知〉的通知》徐住建发〔2023〕119号文件严格落实</w:t>
      </w:r>
      <w:r>
        <w:rPr>
          <w:rFonts w:hint="eastAsia" w:ascii="宋体" w:hAnsi="宋体" w:eastAsia="宋体" w:cs="宋体"/>
          <w:i w:val="0"/>
          <w:iCs w:val="0"/>
          <w:caps w:val="0"/>
          <w:color w:val="auto"/>
          <w:spacing w:val="0"/>
          <w:sz w:val="21"/>
          <w:szCs w:val="21"/>
          <w:highlight w:val="none"/>
          <w:u w:val="single"/>
          <w:shd w:val="clear" w:color="auto" w:fill="auto"/>
          <w:lang w:eastAsia="zh-CN"/>
        </w:rPr>
        <w:t>。</w:t>
      </w:r>
    </w:p>
    <w:p>
      <w:pPr>
        <w:spacing w:line="360" w:lineRule="auto"/>
        <w:ind w:firstLine="630" w:firstLineChars="3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进度款与质量挂钩，如果所完成工程的质量达不到验收规范要求，发包人有权暂缓支付该部分工程款。待承包人整改完成符合验收规范要求后再行支付。每次支付工程款时，承包人需向发包人提供合法有效的增值税发票，否则原则上不得支付工程款。</w:t>
      </w:r>
    </w:p>
    <w:p>
      <w:pPr>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注：</w:t>
      </w:r>
      <w:r>
        <w:rPr>
          <w:rFonts w:hint="eastAsia" w:ascii="宋体" w:hAnsi="宋体" w:eastAsia="宋体" w:cs="宋体"/>
          <w:color w:val="auto"/>
          <w:szCs w:val="21"/>
          <w:highlight w:val="none"/>
          <w:u w:val="single"/>
          <w:lang w:val="en-US" w:eastAsia="zh-CN"/>
        </w:rPr>
        <w:t>(1)每次进度款支付(施工进度款)，由承包人在项目所在地税务部门开具增值税发票，未提供增值税发票的发包人拒绝支付。</w:t>
      </w:r>
    </w:p>
    <w:p>
      <w:pPr>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u w:val="single"/>
          <w:lang w:val="en-US" w:eastAsia="zh-CN"/>
        </w:rPr>
        <w:t>(2)根据《建设工程质量管理条例》规定,双方认可的竣工结算价款3%的工程质量保修金，自工程竣工验收合格之日起，2年后视工程质量情况予以支付(不计利息)。</w:t>
      </w:r>
    </w:p>
    <w:p>
      <w:pPr>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u w:val="single"/>
          <w:lang w:val="en-US" w:eastAsia="zh-CN"/>
        </w:rPr>
        <w:t>(3)在建设工程质量的保修期限内，经发包人书面通知，承包人不积极履行保修义务或者拖延履行保修义务的，发包人有权处10万元/次的罚款(或承包人承担10万元/次的违约金)；承包人缴纳罚款(或承担违约金)并承担相应费用后(含维修费用)，不免除对工程的损失赔偿责任</w:t>
      </w:r>
      <w:r>
        <w:rPr>
          <w:rFonts w:hint="eastAsia" w:ascii="宋体" w:hAnsi="宋体" w:eastAsia="宋体" w:cs="宋体"/>
          <w:color w:val="auto"/>
          <w:szCs w:val="21"/>
          <w:highlight w:val="none"/>
          <w:u w:val="none"/>
          <w:lang w:val="en-US" w:eastAsia="zh-CN"/>
        </w:rPr>
        <w:t>。</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 xml:space="preserve">（4）合同约定的承包人应承担的违约金及各项费用，发包人有权从工程款中直接扣除。 </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（5）进度款与质量挂钩，如果所完成工程的质量达不到验收规范要求，发包人有权暂缓支付该部分工程款，待承包人整改完成符合验收规范要求后再行支付</w:t>
      </w:r>
      <w:r>
        <w:rPr>
          <w:rFonts w:hint="eastAsia" w:ascii="宋体" w:hAnsi="宋体" w:eastAsia="宋体" w:cs="宋体"/>
          <w:color w:val="auto"/>
          <w:szCs w:val="21"/>
          <w:highlight w:val="none"/>
          <w:u w:val="none"/>
          <w:lang w:val="en-US" w:eastAsia="zh-CN"/>
        </w:rPr>
        <w:t xml:space="preserve">。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宋体" w:hAnsi="宋体" w:eastAsia="宋体" w:cs="宋体"/>
          <w:color w:val="auto"/>
          <w:szCs w:val="21"/>
          <w:highlight w:val="none"/>
        </w:rPr>
        <w:t>2.4.3 进度付款申请单的提交</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b/>
          <w:bCs/>
          <w:color w:val="auto"/>
          <w:szCs w:val="21"/>
          <w:highlight w:val="none"/>
          <w:u w:val="single"/>
        </w:rPr>
        <w:t>按发包人企业工程款支付管理规定和本合同约定执行</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pPr>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b/>
          <w:bCs/>
          <w:color w:val="auto"/>
          <w:szCs w:val="21"/>
          <w:highlight w:val="none"/>
          <w:u w:val="single"/>
        </w:rPr>
        <w:t xml:space="preserve">收到承包人修正后的进度付款申请单及发票后 3 个工作日内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b/>
          <w:bCs/>
          <w:color w:val="auto"/>
          <w:szCs w:val="21"/>
          <w:highlight w:val="none"/>
          <w:u w:val="single"/>
          <w:lang w:val="en-US" w:eastAsia="zh-CN"/>
        </w:rPr>
        <w:t>执行通用条款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进度款支付证书签发后10个工作日内完成支付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pPr>
        <w:spacing w:line="440" w:lineRule="exact"/>
        <w:ind w:left="4200" w:leftChars="200" w:hanging="3780" w:hanging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516" w:name="_Toc351203645"/>
      <w:bookmarkStart w:id="517" w:name="_Toc30534_WPSOffice_Level2"/>
      <w:bookmarkStart w:id="518" w:name="_Toc3494_WPSOffice_Level2"/>
      <w:bookmarkStart w:id="519" w:name="_Toc297048405"/>
      <w:bookmarkStart w:id="520" w:name="_Toc296503219"/>
      <w:bookmarkStart w:id="521" w:name="_Toc304295593"/>
      <w:bookmarkStart w:id="522" w:name="_Toc297120519"/>
      <w:bookmarkStart w:id="523" w:name="_Toc303539172"/>
      <w:bookmarkStart w:id="524" w:name="_Toc296347218"/>
      <w:bookmarkStart w:id="525" w:name="_Toc297216223"/>
      <w:bookmarkStart w:id="526" w:name="_Toc296891047"/>
      <w:bookmarkStart w:id="527" w:name="_Toc296944558"/>
      <w:bookmarkStart w:id="528" w:name="_Toc300935015"/>
      <w:bookmarkStart w:id="529" w:name="_Toc292559929"/>
      <w:bookmarkStart w:id="530" w:name="_Toc312678053"/>
      <w:bookmarkStart w:id="531" w:name="_Toc292559424"/>
      <w:bookmarkStart w:id="532" w:name="_Toc297123564"/>
      <w:bookmarkStart w:id="533" w:name="_Toc296891259"/>
      <w:bookmarkStart w:id="534" w:name="_Toc296346720"/>
      <w:r>
        <w:rPr>
          <w:rFonts w:hint="eastAsia" w:ascii="宋体" w:hAnsi="宋体" w:eastAsia="宋体" w:cs="宋体"/>
          <w:bCs w:val="0"/>
          <w:color w:val="auto"/>
          <w:szCs w:val="32"/>
          <w:highlight w:val="none"/>
        </w:rPr>
        <w:t>13. 验收和工程试车</w:t>
      </w:r>
      <w:bookmarkEnd w:id="516"/>
      <w:bookmarkEnd w:id="517"/>
      <w:bookmarkEnd w:id="518"/>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13.1 分部分项工程验收</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13.1.2监理人不能按时进行验收时，应提前</w:t>
      </w:r>
      <w:r>
        <w:rPr>
          <w:rFonts w:hint="eastAsia" w:ascii="宋体" w:hAnsi="宋体" w:eastAsia="宋体" w:cs="宋体"/>
          <w:color w:val="auto"/>
          <w:szCs w:val="32"/>
          <w:highlight w:val="none"/>
          <w:u w:val="single"/>
        </w:rPr>
        <w:t xml:space="preserve">24 </w:t>
      </w:r>
      <w:r>
        <w:rPr>
          <w:rFonts w:hint="eastAsia" w:ascii="宋体" w:hAnsi="宋体" w:eastAsia="宋体" w:cs="宋体"/>
          <w:color w:val="auto"/>
          <w:szCs w:val="32"/>
          <w:highlight w:val="none"/>
        </w:rPr>
        <w:t>小时提交书面延期要求。</w:t>
      </w:r>
    </w:p>
    <w:p>
      <w:pPr>
        <w:spacing w:line="440" w:lineRule="exact"/>
        <w:ind w:firstLine="420" w:firstLineChars="200"/>
        <w:jc w:val="left"/>
        <w:rPr>
          <w:rFonts w:hint="eastAsia" w:ascii="宋体" w:hAnsi="宋体" w:eastAsia="宋体" w:cs="宋体"/>
          <w:b/>
          <w:color w:val="auto"/>
          <w:szCs w:val="32"/>
          <w:highlight w:val="none"/>
        </w:rPr>
      </w:pPr>
      <w:r>
        <w:rPr>
          <w:rFonts w:hint="eastAsia" w:ascii="宋体" w:hAnsi="宋体" w:eastAsia="宋体" w:cs="宋体"/>
          <w:color w:val="auto"/>
          <w:szCs w:val="32"/>
          <w:highlight w:val="none"/>
        </w:rPr>
        <w:t>关于延期最长不得超过：</w:t>
      </w:r>
      <w:r>
        <w:rPr>
          <w:rFonts w:hint="eastAsia" w:ascii="宋体" w:hAnsi="宋体" w:eastAsia="宋体" w:cs="宋体"/>
          <w:color w:val="auto"/>
          <w:szCs w:val="32"/>
          <w:highlight w:val="none"/>
          <w:u w:val="single"/>
        </w:rPr>
        <w:t xml:space="preserve">  48  </w:t>
      </w:r>
      <w:r>
        <w:rPr>
          <w:rFonts w:hint="eastAsia" w:ascii="宋体" w:hAnsi="宋体" w:eastAsia="宋体" w:cs="宋体"/>
          <w:color w:val="auto"/>
          <w:szCs w:val="32"/>
          <w:highlight w:val="none"/>
        </w:rPr>
        <w:t>小时。</w:t>
      </w:r>
    </w:p>
    <w:p>
      <w:pPr>
        <w:spacing w:after="120" w:line="440" w:lineRule="exact"/>
        <w:ind w:firstLine="420" w:firstLineChars="200"/>
        <w:rPr>
          <w:rFonts w:hint="eastAsia" w:ascii="宋体" w:hAnsi="宋体" w:eastAsia="宋体" w:cs="宋体"/>
          <w:color w:val="auto"/>
          <w:szCs w:val="32"/>
          <w:highlight w:val="none"/>
        </w:rPr>
      </w:pPr>
      <w:bookmarkStart w:id="535" w:name="_Toc297120523"/>
      <w:bookmarkStart w:id="536" w:name="_Toc304295596"/>
      <w:bookmarkStart w:id="537" w:name="_Toc312678056"/>
      <w:bookmarkStart w:id="538" w:name="_Toc296891051"/>
      <w:bookmarkStart w:id="539" w:name="_Toc296503223"/>
      <w:bookmarkStart w:id="540" w:name="_Toc292559428"/>
      <w:bookmarkStart w:id="541" w:name="_Toc297123565"/>
      <w:bookmarkStart w:id="542" w:name="_Toc296944562"/>
      <w:bookmarkStart w:id="543" w:name="_Toc296891263"/>
      <w:bookmarkStart w:id="544" w:name="_Toc297216224"/>
      <w:bookmarkStart w:id="545" w:name="_Toc296347222"/>
      <w:bookmarkStart w:id="546" w:name="_Toc292559933"/>
      <w:bookmarkStart w:id="547" w:name="_Toc297048409"/>
      <w:bookmarkStart w:id="548" w:name="_Toc296346724"/>
      <w:bookmarkStart w:id="549" w:name="_Toc303539173"/>
      <w:bookmarkStart w:id="550" w:name="_Toc300935016"/>
      <w:bookmarkStart w:id="551" w:name="_Toc267251471"/>
      <w:bookmarkStart w:id="552" w:name="_Toc267251475"/>
      <w:bookmarkStart w:id="553" w:name="_Toc267251470"/>
      <w:bookmarkStart w:id="554" w:name="_Toc267251474"/>
      <w:bookmarkStart w:id="555" w:name="_Toc267251473"/>
      <w:bookmarkStart w:id="556" w:name="_Toc267251472"/>
      <w:bookmarkStart w:id="557" w:name="_Toc267251476"/>
      <w:r>
        <w:rPr>
          <w:rFonts w:hint="eastAsia" w:ascii="宋体" w:hAnsi="宋体" w:eastAsia="宋体" w:cs="宋体"/>
          <w:color w:val="auto"/>
          <w:szCs w:val="32"/>
          <w:highlight w:val="none"/>
        </w:rPr>
        <w:t>13.2 竣工验收</w:t>
      </w:r>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Pr>
        <w:spacing w:line="440" w:lineRule="exact"/>
        <w:ind w:firstLine="420" w:firstLineChars="200"/>
        <w:jc w:val="left"/>
        <w:rPr>
          <w:rFonts w:hint="eastAsia" w:ascii="宋体" w:hAnsi="宋体" w:eastAsia="宋体" w:cs="宋体"/>
          <w:color w:val="auto"/>
          <w:szCs w:val="32"/>
          <w:highlight w:val="none"/>
        </w:rPr>
      </w:pPr>
      <w:bookmarkStart w:id="558" w:name="_Toc280868704"/>
      <w:bookmarkStart w:id="559" w:name="_Toc280868705"/>
      <w:bookmarkStart w:id="560" w:name="_Toc280868706"/>
      <w:bookmarkStart w:id="561" w:name="_Toc280868707"/>
      <w:bookmarkStart w:id="562" w:name="_Toc280868708"/>
      <w:bookmarkStart w:id="563" w:name="_Toc280868709"/>
      <w:r>
        <w:rPr>
          <w:rFonts w:hint="eastAsia" w:ascii="宋体" w:hAnsi="宋体" w:eastAsia="宋体" w:cs="宋体"/>
          <w:color w:val="auto"/>
          <w:szCs w:val="32"/>
          <w:highlight w:val="none"/>
        </w:rPr>
        <w:t>13.2.2竣工验收程序</w:t>
      </w:r>
    </w:p>
    <w:bookmarkEnd w:id="558"/>
    <w:p>
      <w:pPr>
        <w:spacing w:line="440" w:lineRule="exact"/>
        <w:ind w:left="4200" w:leftChars="200" w:hanging="3780" w:hangingChars="1800"/>
        <w:jc w:val="left"/>
        <w:rPr>
          <w:rFonts w:hint="eastAsia" w:ascii="宋体" w:hAnsi="宋体" w:eastAsia="宋体" w:cs="宋体"/>
          <w:color w:val="auto"/>
          <w:szCs w:val="32"/>
          <w:highlight w:val="none"/>
          <w:u w:val="single"/>
        </w:rPr>
      </w:pPr>
      <w:r>
        <w:rPr>
          <w:rFonts w:hint="eastAsia" w:ascii="宋体" w:hAnsi="宋体" w:eastAsia="宋体" w:cs="宋体"/>
          <w:color w:val="auto"/>
          <w:kern w:val="0"/>
          <w:szCs w:val="32"/>
          <w:highlight w:val="none"/>
        </w:rPr>
        <w:t>关于竣工验收程序的约定：</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kern w:val="0"/>
          <w:szCs w:val="32"/>
          <w:highlight w:val="none"/>
        </w:rPr>
        <w:t>发包人不按照本项约定组织竣工验收、颁发工程接收证书的违约金的计算方法：</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bookmarkEnd w:id="559"/>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13.2.5移交、接收全部与部分工程</w:t>
      </w:r>
    </w:p>
    <w:bookmarkEnd w:id="560"/>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承包人向发包人移交工程的期限：</w:t>
      </w:r>
      <w:r>
        <w:rPr>
          <w:rFonts w:hint="eastAsia" w:ascii="宋体" w:hAnsi="宋体" w:eastAsia="宋体" w:cs="宋体"/>
          <w:b/>
          <w:bCs/>
          <w:color w:val="auto"/>
          <w:szCs w:val="32"/>
          <w:highlight w:val="none"/>
          <w:u w:val="single"/>
        </w:rPr>
        <w:t xml:space="preserve">发包人收到《工程移交证书》并签发《工程接收证书》后10个工作日内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kern w:val="0"/>
          <w:szCs w:val="32"/>
          <w:highlight w:val="none"/>
        </w:rPr>
        <w:t>发包人未按本合同约定接收全部或部分工程的，违约金的计算方法为：</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bookmarkEnd w:id="561"/>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承包人未按时移交工程的，违约金的计算方法为：</w:t>
      </w:r>
      <w:r>
        <w:rPr>
          <w:rFonts w:hint="eastAsia" w:ascii="宋体" w:hAnsi="宋体" w:eastAsia="宋体" w:cs="宋体"/>
          <w:b/>
          <w:bCs/>
          <w:color w:val="auto"/>
          <w:szCs w:val="32"/>
          <w:highlight w:val="none"/>
          <w:u w:val="single"/>
        </w:rPr>
        <w:t xml:space="preserve">  /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13.3 工程试车</w:t>
      </w:r>
    </w:p>
    <w:bookmarkEnd w:id="562"/>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13.3.1 试车程序</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工程试车内容：</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（1）单机无负荷试车费用由</w:t>
      </w:r>
      <w:r>
        <w:rPr>
          <w:rFonts w:hint="eastAsia" w:ascii="宋体" w:hAnsi="宋体" w:eastAsia="宋体" w:cs="宋体"/>
          <w:b/>
          <w:bCs/>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 xml:space="preserve">承包人 </w:t>
      </w:r>
      <w:r>
        <w:rPr>
          <w:rFonts w:hint="eastAsia" w:ascii="宋体" w:hAnsi="宋体" w:eastAsia="宋体" w:cs="宋体"/>
          <w:color w:val="auto"/>
          <w:kern w:val="0"/>
          <w:szCs w:val="32"/>
          <w:highlight w:val="none"/>
        </w:rPr>
        <w:t>承担；</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（2）无负荷联动试车费用由</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承包人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kern w:val="0"/>
          <w:szCs w:val="32"/>
          <w:highlight w:val="none"/>
        </w:rPr>
        <w:t>承担。</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13.3.3 投料试车</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关于投料试车相关事项的约定：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13.6 竣工退场</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13.6.1 竣工退场</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承包人完成竣工退场的期限：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验收合格后7日内</w:t>
      </w:r>
      <w:r>
        <w:rPr>
          <w:rFonts w:hint="eastAsia" w:ascii="宋体" w:hAnsi="宋体" w:eastAsia="宋体" w:cs="宋体"/>
          <w:color w:val="auto"/>
          <w:kern w:val="0"/>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564" w:name="_Toc30650_WPSOffice_Level2"/>
      <w:bookmarkStart w:id="565" w:name="_Toc16551_WPSOffice_Level2"/>
      <w:bookmarkStart w:id="566" w:name="_Toc351203646"/>
      <w:r>
        <w:rPr>
          <w:rFonts w:hint="eastAsia" w:ascii="宋体" w:hAnsi="宋体" w:eastAsia="宋体" w:cs="宋体"/>
          <w:bCs w:val="0"/>
          <w:color w:val="auto"/>
          <w:szCs w:val="32"/>
          <w:highlight w:val="none"/>
        </w:rPr>
        <w:t>14. 竣工结算</w:t>
      </w:r>
      <w:bookmarkEnd w:id="564"/>
      <w:bookmarkEnd w:id="565"/>
      <w:bookmarkEnd w:id="566"/>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14.1 竣工结算申请</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承包人提交竣工结算申请单的期限：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收到竣工付款申请单后15个工作日内 </w:t>
      </w:r>
      <w:r>
        <w:rPr>
          <w:rFonts w:hint="eastAsia" w:ascii="宋体" w:hAnsi="宋体" w:eastAsia="宋体" w:cs="宋体"/>
          <w:color w:val="auto"/>
          <w:szCs w:val="32"/>
          <w:highlight w:val="none"/>
        </w:rPr>
        <w:t>。</w:t>
      </w:r>
    </w:p>
    <w:p>
      <w:pPr>
        <w:spacing w:before="231" w:line="387" w:lineRule="auto"/>
        <w:ind w:right="76" w:firstLine="420"/>
        <w:rPr>
          <w:rFonts w:hint="eastAsia" w:ascii="宋体" w:hAnsi="宋体" w:eastAsia="宋体" w:cs="宋体"/>
          <w:b/>
          <w:bCs/>
          <w:color w:val="auto"/>
          <w:szCs w:val="32"/>
          <w:highlight w:val="none"/>
          <w:u w:val="single"/>
        </w:rPr>
      </w:pPr>
      <w:r>
        <w:rPr>
          <w:rFonts w:hint="eastAsia" w:ascii="宋体" w:hAnsi="宋体" w:eastAsia="宋体" w:cs="宋体"/>
          <w:color w:val="auto"/>
          <w:szCs w:val="32"/>
          <w:highlight w:val="none"/>
        </w:rPr>
        <w:t>竣工结算申请单应包括的内容：</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工程验收合格证书、工程移交单、工程竣工图（施工、设计、监理等单位签字盖章）、工程结算书（含现场签证）、接收甲供材料数量一览表并附相关凭证（含供货单位、甲方、乙方、监理单位签字盖章）、工程中标通知书（复印件）、工程投标书及其附件和其它报财政评审需要的资料，一式肆份。</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14.2 竣工结算审核</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发包人审批竣工付款申请单的期限：</w:t>
      </w:r>
      <w:r>
        <w:rPr>
          <w:rFonts w:hint="eastAsia" w:ascii="宋体" w:hAnsi="宋体" w:eastAsia="宋体" w:cs="宋体"/>
          <w:b/>
          <w:bCs/>
          <w:color w:val="auto"/>
          <w:szCs w:val="32"/>
          <w:highlight w:val="none"/>
          <w:u w:val="single"/>
        </w:rPr>
        <w:t xml:space="preserve"> 收到竣工付款申请单后15个工作日内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发包人完成竣工付款的期限：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 签发竣工付款申请单后15 个工作日内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关于竣工付款证书异议部分复核的方式和程序：</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 xml:space="preserve">执行通用条款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14.4 最终结清</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14.4.1 最终结清申请单</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承包人提交最终结清申请单的份数：</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四份</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kern w:val="0"/>
          <w:szCs w:val="32"/>
          <w:highlight w:val="none"/>
        </w:rPr>
        <w:t>承包人提交最终结算申请单的期限：</w:t>
      </w:r>
      <w:r>
        <w:rPr>
          <w:rFonts w:hint="eastAsia" w:ascii="宋体" w:hAnsi="宋体" w:eastAsia="宋体" w:cs="宋体"/>
          <w:b/>
          <w:bCs/>
          <w:color w:val="auto"/>
          <w:szCs w:val="32"/>
          <w:highlight w:val="none"/>
          <w:u w:val="single"/>
        </w:rPr>
        <w:t>缺陷责任期届满后</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14.4.2 最终结清证书和支付</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（1）发包人完成最终结清申请单的审批并颁发最终结清证书的期限：</w:t>
      </w:r>
      <w:r>
        <w:rPr>
          <w:rFonts w:hint="eastAsia" w:ascii="宋体" w:hAnsi="宋体" w:eastAsia="宋体" w:cs="宋体"/>
          <w:b/>
          <w:bCs/>
          <w:color w:val="auto"/>
          <w:szCs w:val="32"/>
          <w:highlight w:val="none"/>
          <w:u w:val="single"/>
        </w:rPr>
        <w:t xml:space="preserve">收到申请后15个工作日内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（2）发包人完成支付的期限：</w:t>
      </w:r>
      <w:r>
        <w:rPr>
          <w:rFonts w:hint="eastAsia" w:ascii="宋体" w:hAnsi="宋体" w:eastAsia="宋体" w:cs="宋体"/>
          <w:b/>
          <w:bCs/>
          <w:color w:val="auto"/>
          <w:szCs w:val="32"/>
          <w:highlight w:val="none"/>
          <w:u w:val="single"/>
        </w:rPr>
        <w:t>申请签发后15个工作日内</w:t>
      </w:r>
      <w:r>
        <w:rPr>
          <w:rFonts w:hint="eastAsia" w:ascii="宋体" w:hAnsi="宋体" w:eastAsia="宋体" w:cs="宋体"/>
          <w:color w:val="auto"/>
          <w:szCs w:val="32"/>
          <w:highlight w:val="none"/>
        </w:rPr>
        <w:t>。</w:t>
      </w:r>
    </w:p>
    <w:bookmarkEnd w:id="551"/>
    <w:bookmarkEnd w:id="552"/>
    <w:bookmarkEnd w:id="553"/>
    <w:bookmarkEnd w:id="554"/>
    <w:bookmarkEnd w:id="555"/>
    <w:bookmarkEnd w:id="556"/>
    <w:bookmarkEnd w:id="557"/>
    <w:bookmarkEnd w:id="563"/>
    <w:p>
      <w:pPr>
        <w:pStyle w:val="8"/>
        <w:spacing w:before="120" w:after="120" w:line="440" w:lineRule="exact"/>
        <w:rPr>
          <w:rFonts w:hint="eastAsia" w:ascii="宋体" w:hAnsi="宋体" w:eastAsia="宋体" w:cs="宋体"/>
          <w:bCs w:val="0"/>
          <w:color w:val="auto"/>
          <w:szCs w:val="32"/>
          <w:highlight w:val="none"/>
        </w:rPr>
      </w:pPr>
      <w:bookmarkStart w:id="567" w:name="_Toc351203647"/>
      <w:bookmarkStart w:id="568" w:name="_Toc2805_WPSOffice_Level2"/>
      <w:bookmarkStart w:id="569" w:name="_Toc22729_WPSOffice_Level2"/>
      <w:bookmarkStart w:id="570" w:name="_Toc267251483"/>
      <w:r>
        <w:rPr>
          <w:rFonts w:hint="eastAsia" w:ascii="宋体" w:hAnsi="宋体" w:eastAsia="宋体" w:cs="宋体"/>
          <w:bCs w:val="0"/>
          <w:color w:val="auto"/>
          <w:szCs w:val="32"/>
          <w:highlight w:val="none"/>
        </w:rPr>
        <w:t>15. 缺陷责任期与保修</w:t>
      </w:r>
      <w:bookmarkEnd w:id="567"/>
      <w:bookmarkEnd w:id="568"/>
      <w:bookmarkEnd w:id="569"/>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15.</w:t>
      </w:r>
      <w:r>
        <w:rPr>
          <w:rFonts w:hint="eastAsia" w:ascii="宋体" w:hAnsi="宋体" w:cs="宋体"/>
          <w:color w:val="auto"/>
          <w:szCs w:val="32"/>
          <w:highlight w:val="none"/>
          <w:lang w:val="en-US" w:eastAsia="zh-CN"/>
        </w:rPr>
        <w:t>1</w:t>
      </w:r>
      <w:r>
        <w:rPr>
          <w:rFonts w:hint="eastAsia" w:ascii="宋体" w:hAnsi="宋体" w:eastAsia="宋体" w:cs="宋体"/>
          <w:color w:val="auto"/>
          <w:szCs w:val="32"/>
          <w:highlight w:val="none"/>
        </w:rPr>
        <w:t>缺陷责任期</w:t>
      </w:r>
      <w:bookmarkEnd w:id="570"/>
    </w:p>
    <w:p>
      <w:pPr>
        <w:keepNext w:val="0"/>
        <w:keepLines w:val="0"/>
        <w:widowControl/>
        <w:suppressLineNumbers w:val="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缺陷责任期的具体期限：</w:t>
      </w:r>
      <w:r>
        <w:rPr>
          <w:rFonts w:hint="eastAsia" w:ascii="宋体" w:hAnsi="宋体" w:eastAsia="宋体" w:cs="宋体"/>
          <w:b/>
          <w:bCs/>
          <w:color w:val="auto"/>
          <w:szCs w:val="32"/>
          <w:highlight w:val="none"/>
          <w:u w:val="single"/>
          <w:lang w:val="en-US" w:eastAsia="zh-CN"/>
        </w:rPr>
        <w:t>工程竣工验收合格之日起</w:t>
      </w:r>
      <w:r>
        <w:rPr>
          <w:rFonts w:hint="eastAsia" w:ascii="宋体" w:hAnsi="宋体" w:eastAsia="宋体" w:cs="宋体"/>
          <w:b/>
          <w:bCs/>
          <w:color w:val="auto"/>
          <w:szCs w:val="32"/>
          <w:highlight w:val="none"/>
          <w:u w:val="single"/>
        </w:rPr>
        <w:t xml:space="preserve">24个月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15.</w:t>
      </w:r>
      <w:r>
        <w:rPr>
          <w:rFonts w:hint="eastAsia" w:ascii="宋体" w:hAnsi="宋体" w:cs="宋体"/>
          <w:color w:val="auto"/>
          <w:szCs w:val="32"/>
          <w:highlight w:val="none"/>
          <w:lang w:val="en-US" w:eastAsia="zh-CN"/>
        </w:rPr>
        <w:t>2</w:t>
      </w:r>
      <w:r>
        <w:rPr>
          <w:rFonts w:hint="eastAsia" w:ascii="宋体" w:hAnsi="宋体" w:eastAsia="宋体" w:cs="宋体"/>
          <w:color w:val="auto"/>
          <w:szCs w:val="32"/>
          <w:highlight w:val="none"/>
        </w:rPr>
        <w:t>保修</w:t>
      </w:r>
    </w:p>
    <w:p>
      <w:pPr>
        <w:spacing w:line="440" w:lineRule="exact"/>
        <w:ind w:firstLine="409" w:firstLineChars="195"/>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15.</w:t>
      </w:r>
      <w:r>
        <w:rPr>
          <w:rFonts w:hint="eastAsia" w:ascii="宋体" w:hAnsi="宋体" w:cs="宋体"/>
          <w:color w:val="auto"/>
          <w:szCs w:val="32"/>
          <w:highlight w:val="none"/>
          <w:lang w:val="en-US" w:eastAsia="zh-CN"/>
        </w:rPr>
        <w:t>2</w:t>
      </w:r>
      <w:r>
        <w:rPr>
          <w:rFonts w:hint="eastAsia" w:ascii="宋体" w:hAnsi="宋体" w:eastAsia="宋体" w:cs="宋体"/>
          <w:color w:val="auto"/>
          <w:szCs w:val="32"/>
          <w:highlight w:val="none"/>
        </w:rPr>
        <w:t>.1 保修责任</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szCs w:val="32"/>
          <w:highlight w:val="none"/>
        </w:rPr>
        <w:t xml:space="preserve">工程保修期为： </w:t>
      </w:r>
      <w:r>
        <w:rPr>
          <w:rFonts w:hint="eastAsia" w:ascii="宋体" w:hAnsi="宋体" w:eastAsia="宋体" w:cs="宋体"/>
          <w:color w:val="auto"/>
          <w:szCs w:val="32"/>
          <w:highlight w:val="none"/>
          <w:u w:val="single"/>
          <w:lang w:val="en-US" w:eastAsia="zh-CN"/>
        </w:rPr>
        <w:t>自工程竣工验收合格之日起计算，具体期限详见《工程质量保修书》。</w:t>
      </w:r>
    </w:p>
    <w:p>
      <w:pPr>
        <w:spacing w:line="440" w:lineRule="exact"/>
        <w:ind w:firstLine="409" w:firstLineChars="195"/>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15.</w:t>
      </w:r>
      <w:r>
        <w:rPr>
          <w:rFonts w:hint="eastAsia" w:ascii="宋体" w:hAnsi="宋体" w:cs="宋体"/>
          <w:color w:val="auto"/>
          <w:szCs w:val="32"/>
          <w:highlight w:val="none"/>
          <w:lang w:val="en-US" w:eastAsia="zh-CN"/>
        </w:rPr>
        <w:t>2</w:t>
      </w:r>
      <w:r>
        <w:rPr>
          <w:rFonts w:hint="eastAsia" w:ascii="宋体" w:hAnsi="宋体" w:eastAsia="宋体" w:cs="宋体"/>
          <w:color w:val="auto"/>
          <w:szCs w:val="32"/>
          <w:highlight w:val="none"/>
        </w:rPr>
        <w:t>.</w:t>
      </w:r>
      <w:r>
        <w:rPr>
          <w:rFonts w:hint="eastAsia" w:ascii="宋体" w:hAnsi="宋体" w:cs="宋体"/>
          <w:color w:val="auto"/>
          <w:szCs w:val="32"/>
          <w:highlight w:val="none"/>
          <w:lang w:val="en-US" w:eastAsia="zh-CN"/>
        </w:rPr>
        <w:t>2</w:t>
      </w:r>
      <w:r>
        <w:rPr>
          <w:rFonts w:hint="eastAsia" w:ascii="宋体" w:hAnsi="宋体" w:eastAsia="宋体" w:cs="宋体"/>
          <w:color w:val="auto"/>
          <w:szCs w:val="32"/>
          <w:highlight w:val="none"/>
        </w:rPr>
        <w:t xml:space="preserve"> 修复通知</w:t>
      </w:r>
    </w:p>
    <w:p>
      <w:pPr>
        <w:spacing w:line="440" w:lineRule="exact"/>
        <w:ind w:firstLine="409" w:firstLineChars="195"/>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承包人收到</w:t>
      </w:r>
      <w:bookmarkStart w:id="593" w:name="_GoBack"/>
      <w:bookmarkEnd w:id="593"/>
      <w:r>
        <w:rPr>
          <w:rFonts w:hint="eastAsia" w:ascii="宋体" w:hAnsi="宋体" w:eastAsia="宋体" w:cs="宋体"/>
          <w:color w:val="auto"/>
          <w:kern w:val="0"/>
          <w:szCs w:val="32"/>
          <w:highlight w:val="none"/>
        </w:rPr>
        <w:t>保修通知并到达工程现场的合理时间：</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24小时</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571" w:name="_Toc1316_WPSOffice_Level2"/>
      <w:bookmarkStart w:id="572" w:name="_Toc351203648"/>
      <w:bookmarkStart w:id="573" w:name="_Toc20147_WPSOffice_Level2"/>
      <w:bookmarkStart w:id="574" w:name="_Toc280868717"/>
      <w:bookmarkStart w:id="575" w:name="_Toc280868718"/>
      <w:r>
        <w:rPr>
          <w:rFonts w:hint="eastAsia" w:ascii="宋体" w:hAnsi="宋体" w:eastAsia="宋体" w:cs="宋体"/>
          <w:bCs w:val="0"/>
          <w:color w:val="auto"/>
          <w:szCs w:val="32"/>
          <w:highlight w:val="none"/>
        </w:rPr>
        <w:t>16. 违约</w:t>
      </w:r>
      <w:bookmarkEnd w:id="571"/>
      <w:bookmarkEnd w:id="572"/>
      <w:bookmarkEnd w:id="573"/>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16.1 发包人违约</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16.1.1发包人违约的情形</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发包人违约的其他情形：</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line="440" w:lineRule="exact"/>
        <w:ind w:left="1050" w:hanging="1050" w:hangingChars="5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 xml:space="preserve">    16.1.2 发包人违约的责任</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发包人违约责任的承担方式和计算方法：</w:t>
      </w:r>
    </w:p>
    <w:p>
      <w:pPr>
        <w:spacing w:line="440" w:lineRule="exact"/>
        <w:ind w:firstLine="420" w:firstLineChars="200"/>
        <w:jc w:val="left"/>
        <w:rPr>
          <w:rFonts w:hint="eastAsia" w:ascii="宋体" w:hAnsi="宋体" w:eastAsia="宋体" w:cs="宋体"/>
          <w:color w:val="auto"/>
          <w:kern w:val="0"/>
          <w:szCs w:val="32"/>
          <w:highlight w:val="none"/>
          <w:u w:val="single"/>
        </w:rPr>
      </w:pPr>
      <w:r>
        <w:rPr>
          <w:rFonts w:hint="eastAsia" w:ascii="宋体" w:hAnsi="宋体" w:eastAsia="宋体" w:cs="宋体"/>
          <w:color w:val="auto"/>
          <w:kern w:val="0"/>
          <w:szCs w:val="32"/>
          <w:highlight w:val="none"/>
        </w:rPr>
        <w:t>（1）因发包人原因未能在计划开工日期前7天内下达开工通知的违约责任：</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工期顺延</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（2）因发包人原因未能按合同约定支付合同价款的违约责任：</w:t>
      </w:r>
      <w:r>
        <w:rPr>
          <w:rFonts w:hint="eastAsia" w:ascii="宋体" w:hAnsi="宋体" w:eastAsia="宋体" w:cs="宋体"/>
          <w:b/>
          <w:bCs/>
          <w:color w:val="auto"/>
          <w:szCs w:val="32"/>
          <w:highlight w:val="none"/>
          <w:u w:val="single"/>
        </w:rPr>
        <w:t xml:space="preserve"> 执行通用条款</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（3）发包人违反第10.1款〔变更的范围〕第（2）项约定，自行实施被取消的工作或转由他人实施的违约责任：</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执行通用条款</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 xml:space="preserve">执行通用条款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u w:val="single"/>
        </w:rPr>
      </w:pPr>
      <w:r>
        <w:rPr>
          <w:rFonts w:hint="eastAsia" w:ascii="宋体" w:hAnsi="宋体" w:eastAsia="宋体" w:cs="宋体"/>
          <w:color w:val="auto"/>
          <w:kern w:val="0"/>
          <w:szCs w:val="32"/>
          <w:highlight w:val="none"/>
        </w:rPr>
        <w:t>（5）因发包人违反合同约定造成暂停施工的违约责任：</w:t>
      </w:r>
    </w:p>
    <w:p>
      <w:pPr>
        <w:spacing w:line="440" w:lineRule="exact"/>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执行通用条款</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（6）发包人无正当理由没有在约定期限内发出复工指示，导致承包人无法复工的违约责任：</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 xml:space="preserve">执行通用条款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（7）其他：</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16.1.3 因发包人违约解除合同</w:t>
      </w:r>
    </w:p>
    <w:p>
      <w:pPr>
        <w:autoSpaceDE w:val="0"/>
        <w:autoSpaceDN w:val="0"/>
        <w:adjustRightInd w:val="0"/>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承包人按16.1.1项〔发包人违约的情形〕约定暂停施工满</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天后发包人仍不纠正其违约行为并致使合同目的不能实现的，承包人有权解除合同。</w:t>
      </w:r>
    </w:p>
    <w:p>
      <w:pPr>
        <w:spacing w:after="120" w:line="440" w:lineRule="exact"/>
        <w:ind w:firstLine="420" w:firstLineChars="200"/>
        <w:outlineLvl w:val="0"/>
        <w:rPr>
          <w:rFonts w:hint="eastAsia" w:ascii="宋体" w:hAnsi="宋体" w:eastAsia="宋体" w:cs="宋体"/>
          <w:color w:val="auto"/>
          <w:szCs w:val="32"/>
          <w:highlight w:val="none"/>
        </w:rPr>
      </w:pPr>
      <w:bookmarkStart w:id="576" w:name="_Toc27550109"/>
      <w:r>
        <w:rPr>
          <w:rFonts w:hint="eastAsia" w:ascii="宋体" w:hAnsi="宋体" w:eastAsia="宋体" w:cs="宋体"/>
          <w:color w:val="auto"/>
          <w:szCs w:val="32"/>
          <w:highlight w:val="none"/>
        </w:rPr>
        <w:t>16.2 承包人违约</w:t>
      </w:r>
      <w:bookmarkEnd w:id="576"/>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16.2.1 承包人违约的情形</w:t>
      </w:r>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承包人违约的其他情形：</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① 承包人中标后，未能按规定的时间办理相关手续、缴纳相关费用，影响办理施工许可证；</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②没有合理的原因而未能按期开工；</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③承包人无正当理由停工；</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④拒绝或不遵照发包人要求整改、更换或拆除有缺陷的工程，或执行（整改）不力的。</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⑤中标后被发现有出卖资质、非法挂靠行为的。</w:t>
      </w:r>
    </w:p>
    <w:p>
      <w:pPr>
        <w:spacing w:line="440" w:lineRule="exact"/>
        <w:ind w:firstLine="422" w:firstLineChars="200"/>
        <w:jc w:val="left"/>
        <w:rPr>
          <w:rFonts w:hint="eastAsia" w:ascii="宋体" w:hAnsi="宋体" w:eastAsia="宋体" w:cs="宋体"/>
          <w:color w:val="auto"/>
          <w:kern w:val="0"/>
          <w:szCs w:val="32"/>
          <w:highlight w:val="none"/>
        </w:rPr>
      </w:pPr>
      <w:r>
        <w:rPr>
          <w:rFonts w:hint="eastAsia" w:ascii="宋体" w:hAnsi="宋体" w:eastAsia="宋体" w:cs="宋体"/>
          <w:b/>
          <w:bCs/>
          <w:color w:val="auto"/>
          <w:szCs w:val="21"/>
          <w:highlight w:val="none"/>
          <w:u w:val="single"/>
        </w:rPr>
        <w:t>⑥其他执行通用条款和专用条款约定。</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pPr>
        <w:spacing w:line="44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b/>
          <w:bCs/>
          <w:color w:val="auto"/>
          <w:szCs w:val="21"/>
          <w:highlight w:val="none"/>
          <w:u w:val="single"/>
        </w:rPr>
        <w:t>（1）承包人违反合同约定进行转包或违法分包的：转包或分包合同无效，承包人应向发包人承担转包或分包合同金额 30%的违约金，并继续履行本合同；发包人也有权选择单方解除施工合同，清退施工人员并按合同总价的 20%收取违约金，在这种情况下，承包人必须在 10 日内退场，并且不得提出任何对发包人不利的要求。发包人若选择接受转包或分包行为的，承包人应当与实际施工人就分包和转包工程向发包人承担连带责任。</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（2）因承包人原因导致工程质量不符合合同要求的：承包人应无条件整改直至满足合同要求，并承担因此所产生的一切费用和损失。整改所需时间计算在合同总工期内，因此造成的工期延误按照合同专用条款 7.5.2 执行。</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（3）承包人未能按施工进度计划及时完成合同约定的工作，造成工期延误的，按照合同专用条款 7.5 条执行。</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（4）承包人明确表示或者以其行为表明不履行合同主要义务的：发包人有权单方解除合同并不再对承包人已完工程量进行结算，承包人应承担因此造成的一切损失。</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（5）承包人在中标后，未能按规定的时间办理相关手续、缴纳相关费用：视为放弃本次中标资格。</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（6）没有合理的原因而未能按期开工：延迟一天承包人向发包人支付违约金 2 万/天，延迟超过 30 天，发包人有权单方解除合同。</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7）承包人无正当理由停工，发包方有权将承包方未完成工作量全部或部分发包给其他承包人进行施工，发包方与其它承包人的结算价款直接从承包人结算总价中扣除，不足部分仍由承包人承担，且承包人须无条件认可。由此造成的一切损失由承包人承担。</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（8）拒绝或不遵照发包人要求整改、更换或拆除有缺陷的工程，或执行（整改）不力的：发包人有权对承包人处以一次性经济处罚，处罚数额为该缺陷部位工程造价的1-3 倍；该经济处罚并不免除承包人的整改、更换工拆除责任及因此缺陷给发包人造成损失的赔偿责任。</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（9）承包人未能按照合同约定履行其他义务的：发包人有权单方解除合同并不再对承包人已完工程量进行结算，承包人应承担因此造成的一切损失。</w:t>
      </w:r>
    </w:p>
    <w:p>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（10）如承包人因大气污染防控措施落实不到位被上级部门督办而停工整顿的， 工期不予延长；延误工期造成经济损失的，承包人负责赔偿。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pPr>
        <w:spacing w:before="120" w:after="120" w:line="44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color w:val="auto"/>
          <w:kern w:val="0"/>
          <w:szCs w:val="21"/>
          <w:highlight w:val="none"/>
        </w:rPr>
        <w:t>。</w:t>
      </w:r>
    </w:p>
    <w:p>
      <w:pPr>
        <w:spacing w:before="120" w:after="120"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lang w:val="en-US" w:eastAsia="zh-CN"/>
        </w:rPr>
        <w:t>由承包人承担</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kern w:val="0"/>
          <w:szCs w:val="21"/>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577" w:name="_Toc351203649"/>
      <w:bookmarkStart w:id="578" w:name="_Toc6550_WPSOffice_Level2"/>
      <w:bookmarkStart w:id="579" w:name="_Toc18746_WPSOffice_Level2"/>
      <w:r>
        <w:rPr>
          <w:rFonts w:hint="eastAsia" w:ascii="宋体" w:hAnsi="宋体" w:eastAsia="宋体" w:cs="宋体"/>
          <w:bCs w:val="0"/>
          <w:color w:val="auto"/>
          <w:szCs w:val="32"/>
          <w:highlight w:val="none"/>
        </w:rPr>
        <w:t>17. 不可抗力</w:t>
      </w:r>
      <w:bookmarkEnd w:id="577"/>
      <w:bookmarkEnd w:id="578"/>
      <w:bookmarkEnd w:id="579"/>
      <w:r>
        <w:rPr>
          <w:rFonts w:hint="eastAsia" w:ascii="宋体" w:hAnsi="宋体" w:eastAsia="宋体" w:cs="宋体"/>
          <w:bCs w:val="0"/>
          <w:color w:val="auto"/>
          <w:szCs w:val="32"/>
          <w:highlight w:val="none"/>
        </w:rPr>
        <w:t xml:space="preserve"> </w:t>
      </w:r>
      <w:bookmarkEnd w:id="574"/>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17.1 不可抗力的确认</w:t>
      </w:r>
    </w:p>
    <w:p>
      <w:pPr>
        <w:spacing w:line="440" w:lineRule="exact"/>
        <w:ind w:firstLine="420" w:firstLineChars="200"/>
        <w:jc w:val="left"/>
        <w:rPr>
          <w:rFonts w:hint="eastAsia" w:ascii="宋体" w:hAnsi="宋体" w:eastAsia="宋体" w:cs="宋体"/>
          <w:color w:val="auto"/>
          <w:kern w:val="0"/>
          <w:szCs w:val="32"/>
          <w:highlight w:val="none"/>
          <w:u w:val="single"/>
        </w:rPr>
      </w:pPr>
      <w:r>
        <w:rPr>
          <w:rFonts w:hint="eastAsia" w:ascii="宋体" w:hAnsi="宋体" w:eastAsia="宋体" w:cs="宋体"/>
          <w:color w:val="auto"/>
          <w:szCs w:val="32"/>
          <w:highlight w:val="none"/>
        </w:rPr>
        <w:t xml:space="preserve">除通用合同条款约定的不可抗力事件之外，视为不可抗力的其他情形： </w:t>
      </w:r>
      <w:r>
        <w:rPr>
          <w:rFonts w:hint="eastAsia" w:ascii="宋体" w:hAnsi="宋体" w:eastAsia="宋体" w:cs="宋体"/>
          <w:b/>
          <w:bCs/>
          <w:color w:val="auto"/>
          <w:kern w:val="0"/>
          <w:szCs w:val="32"/>
          <w:highlight w:val="none"/>
          <w:u w:val="single"/>
        </w:rPr>
        <w:t xml:space="preserve"> </w:t>
      </w:r>
      <w:r>
        <w:rPr>
          <w:rFonts w:hint="eastAsia" w:ascii="宋体" w:hAnsi="宋体" w:eastAsia="宋体" w:cs="宋体"/>
          <w:b/>
          <w:bCs/>
          <w:color w:val="auto"/>
          <w:szCs w:val="32"/>
          <w:highlight w:val="none"/>
          <w:u w:val="single"/>
        </w:rPr>
        <w:t>政策调整，取消全 部或部分工程内容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580" w:name="_Toc27550110"/>
      <w:r>
        <w:rPr>
          <w:rFonts w:hint="eastAsia" w:ascii="宋体" w:hAnsi="宋体" w:eastAsia="宋体" w:cs="宋体"/>
          <w:color w:val="auto"/>
          <w:szCs w:val="32"/>
          <w:highlight w:val="none"/>
        </w:rPr>
        <w:t>17.4 因不可抗力解除合同</w:t>
      </w:r>
      <w:bookmarkEnd w:id="580"/>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合同解除后，发包人应在商定或确定发包人应支付款项后</w:t>
      </w:r>
      <w:r>
        <w:rPr>
          <w:rFonts w:hint="eastAsia" w:ascii="宋体" w:hAnsi="宋体" w:eastAsia="宋体" w:cs="宋体"/>
          <w:b/>
          <w:bCs/>
          <w:color w:val="auto"/>
          <w:szCs w:val="32"/>
          <w:highlight w:val="none"/>
          <w:u w:val="single"/>
        </w:rPr>
        <w:t xml:space="preserve"> </w:t>
      </w:r>
      <w:r>
        <w:rPr>
          <w:rFonts w:hint="eastAsia" w:ascii="宋体" w:hAnsi="宋体" w:eastAsia="宋体" w:cs="宋体"/>
          <w:b/>
          <w:bCs/>
          <w:color w:val="auto"/>
          <w:szCs w:val="32"/>
          <w:highlight w:val="none"/>
          <w:u w:val="single"/>
          <w:lang w:val="en-US" w:eastAsia="zh-CN"/>
        </w:rPr>
        <w:t>56</w:t>
      </w:r>
      <w:r>
        <w:rPr>
          <w:rFonts w:hint="eastAsia" w:ascii="宋体" w:hAnsi="宋体" w:eastAsia="宋体" w:cs="宋体"/>
          <w:b/>
          <w:bCs/>
          <w:color w:val="auto"/>
          <w:szCs w:val="32"/>
          <w:highlight w:val="none"/>
          <w:u w:val="single"/>
        </w:rPr>
        <w:t xml:space="preserve">  </w:t>
      </w:r>
      <w:r>
        <w:rPr>
          <w:rFonts w:hint="eastAsia" w:ascii="宋体" w:hAnsi="宋体" w:eastAsia="宋体" w:cs="宋体"/>
          <w:color w:val="auto"/>
          <w:szCs w:val="32"/>
          <w:highlight w:val="none"/>
        </w:rPr>
        <w:t>天内完成款项的支付。</w:t>
      </w:r>
    </w:p>
    <w:p>
      <w:pPr>
        <w:pStyle w:val="8"/>
        <w:spacing w:before="120" w:after="120" w:line="440" w:lineRule="exact"/>
        <w:rPr>
          <w:rFonts w:hint="eastAsia" w:ascii="宋体" w:hAnsi="宋体" w:eastAsia="宋体" w:cs="宋体"/>
          <w:bCs w:val="0"/>
          <w:color w:val="auto"/>
          <w:szCs w:val="32"/>
          <w:highlight w:val="none"/>
        </w:rPr>
      </w:pPr>
      <w:bookmarkStart w:id="581" w:name="_Toc27444_WPSOffice_Level2"/>
      <w:bookmarkStart w:id="582" w:name="_Toc2885_WPSOffice_Level2"/>
      <w:bookmarkStart w:id="583" w:name="_Toc351203650"/>
      <w:r>
        <w:rPr>
          <w:rFonts w:hint="eastAsia" w:ascii="宋体" w:hAnsi="宋体" w:eastAsia="宋体" w:cs="宋体"/>
          <w:bCs w:val="0"/>
          <w:color w:val="auto"/>
          <w:szCs w:val="32"/>
          <w:highlight w:val="none"/>
        </w:rPr>
        <w:t>18. 保险</w:t>
      </w:r>
      <w:bookmarkEnd w:id="581"/>
      <w:bookmarkEnd w:id="582"/>
      <w:bookmarkEnd w:id="583"/>
    </w:p>
    <w:bookmarkEnd w:id="575"/>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18.1 工程保险</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关于工程保险的特别约定：</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after="120" w:line="440" w:lineRule="exact"/>
        <w:ind w:firstLine="420" w:firstLineChars="200"/>
        <w:outlineLvl w:val="0"/>
        <w:rPr>
          <w:rFonts w:hint="eastAsia" w:ascii="宋体" w:hAnsi="宋体" w:eastAsia="宋体" w:cs="宋体"/>
          <w:color w:val="auto"/>
          <w:szCs w:val="32"/>
          <w:highlight w:val="none"/>
        </w:rPr>
      </w:pPr>
      <w:bookmarkStart w:id="584" w:name="_Toc27550111"/>
      <w:r>
        <w:rPr>
          <w:rFonts w:hint="eastAsia" w:ascii="宋体" w:hAnsi="宋体" w:eastAsia="宋体" w:cs="宋体"/>
          <w:color w:val="auto"/>
          <w:szCs w:val="32"/>
          <w:highlight w:val="none"/>
        </w:rPr>
        <w:t>18.3 其他保险</w:t>
      </w:r>
      <w:bookmarkEnd w:id="584"/>
    </w:p>
    <w:p>
      <w:pPr>
        <w:spacing w:line="440" w:lineRule="exact"/>
        <w:ind w:firstLine="420" w:firstLineChars="200"/>
        <w:jc w:val="left"/>
        <w:rPr>
          <w:rFonts w:hint="eastAsia" w:ascii="宋体" w:hAnsi="宋体" w:eastAsia="宋体" w:cs="宋体"/>
          <w:color w:val="auto"/>
          <w:kern w:val="0"/>
          <w:szCs w:val="32"/>
          <w:highlight w:val="none"/>
        </w:rPr>
      </w:pPr>
      <w:r>
        <w:rPr>
          <w:rFonts w:hint="eastAsia" w:ascii="宋体" w:hAnsi="宋体" w:eastAsia="宋体" w:cs="宋体"/>
          <w:color w:val="auto"/>
          <w:szCs w:val="32"/>
          <w:highlight w:val="none"/>
        </w:rPr>
        <w:t>关于其他保险的约定：</w:t>
      </w:r>
      <w:r>
        <w:rPr>
          <w:rFonts w:hint="eastAsia" w:ascii="宋体" w:hAnsi="宋体" w:eastAsia="宋体" w:cs="宋体"/>
          <w:color w:val="auto"/>
          <w:kern w:val="0"/>
          <w:szCs w:val="32"/>
          <w:highlight w:val="none"/>
          <w:u w:val="single"/>
        </w:rPr>
        <w:t xml:space="preserve"> </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kern w:val="0"/>
          <w:szCs w:val="32"/>
          <w:highlight w:val="none"/>
        </w:rPr>
        <w:t>。</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承包人是否应为其施工设备等办理财产保险：</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18.7 通知义务</w:t>
      </w:r>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kern w:val="0"/>
          <w:szCs w:val="32"/>
          <w:highlight w:val="none"/>
        </w:rPr>
        <w:t>关于变更保险合同时的通知义务的约定：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按通用条款执行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pStyle w:val="8"/>
        <w:spacing w:before="120" w:after="120" w:line="440" w:lineRule="exact"/>
        <w:rPr>
          <w:rFonts w:hint="eastAsia" w:ascii="宋体" w:hAnsi="宋体" w:eastAsia="宋体" w:cs="宋体"/>
          <w:bCs w:val="0"/>
          <w:color w:val="auto"/>
          <w:szCs w:val="32"/>
          <w:highlight w:val="none"/>
        </w:rPr>
      </w:pPr>
      <w:bookmarkStart w:id="585" w:name="_Toc351203651"/>
      <w:r>
        <w:rPr>
          <w:rFonts w:hint="eastAsia" w:ascii="宋体" w:hAnsi="宋体" w:eastAsia="宋体" w:cs="宋体"/>
          <w:bCs w:val="0"/>
          <w:color w:val="auto"/>
          <w:szCs w:val="32"/>
          <w:highlight w:val="none"/>
        </w:rPr>
        <w:t>20. 争议解决</w:t>
      </w:r>
      <w:bookmarkEnd w:id="585"/>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20.3 争议评审</w:t>
      </w:r>
    </w:p>
    <w:p>
      <w:pPr>
        <w:spacing w:line="440" w:lineRule="exact"/>
        <w:ind w:left="149" w:leftChars="71" w:firstLine="315" w:firstLineChars="15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合同当事人是否同意将工程争议提交争议评审小组决定：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pPr>
        <w:spacing w:line="440" w:lineRule="exact"/>
        <w:ind w:firstLine="420" w:firstLineChars="200"/>
        <w:jc w:val="left"/>
        <w:outlineLvl w:val="0"/>
        <w:rPr>
          <w:rFonts w:hint="eastAsia" w:ascii="宋体" w:hAnsi="宋体" w:eastAsia="宋体" w:cs="宋体"/>
          <w:color w:val="auto"/>
          <w:szCs w:val="32"/>
          <w:highlight w:val="none"/>
        </w:rPr>
      </w:pPr>
      <w:bookmarkStart w:id="586" w:name="_Toc27550112"/>
      <w:r>
        <w:rPr>
          <w:rFonts w:hint="eastAsia" w:ascii="宋体" w:hAnsi="宋体" w:eastAsia="宋体" w:cs="宋体"/>
          <w:color w:val="auto"/>
          <w:szCs w:val="32"/>
          <w:highlight w:val="none"/>
        </w:rPr>
        <w:t>20.3.1 争议评审小组的确定</w:t>
      </w:r>
      <w:bookmarkEnd w:id="586"/>
    </w:p>
    <w:p>
      <w:pPr>
        <w:spacing w:line="440" w:lineRule="exact"/>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争议评审小组成员的确定：</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选定争议评审员的期限：</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争议评审小组成员的报酬承担方式：</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其他事项的约定：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autoSpaceDE w:val="0"/>
        <w:autoSpaceDN w:val="0"/>
        <w:adjustRightInd w:val="0"/>
        <w:spacing w:line="440" w:lineRule="exact"/>
        <w:ind w:firstLine="420" w:firstLineChars="200"/>
        <w:jc w:val="left"/>
        <w:outlineLvl w:val="0"/>
        <w:rPr>
          <w:rFonts w:hint="eastAsia" w:ascii="宋体" w:hAnsi="宋体" w:eastAsia="宋体" w:cs="宋体"/>
          <w:color w:val="auto"/>
          <w:kern w:val="0"/>
          <w:szCs w:val="32"/>
          <w:highlight w:val="none"/>
        </w:rPr>
      </w:pPr>
      <w:bookmarkStart w:id="587" w:name="_Toc27550113"/>
      <w:r>
        <w:rPr>
          <w:rFonts w:hint="eastAsia" w:ascii="宋体" w:hAnsi="宋体" w:eastAsia="宋体" w:cs="宋体"/>
          <w:color w:val="auto"/>
          <w:kern w:val="0"/>
          <w:szCs w:val="32"/>
          <w:highlight w:val="none"/>
        </w:rPr>
        <w:t>20.3.2 争议评审小组的决定</w:t>
      </w:r>
      <w:bookmarkEnd w:id="587"/>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合同当事人关于本项的约定：</w:t>
      </w:r>
      <w:r>
        <w:rPr>
          <w:rFonts w:hint="eastAsia" w:ascii="宋体" w:hAnsi="宋体" w:eastAsia="宋体" w:cs="宋体"/>
          <w:color w:val="auto"/>
          <w:szCs w:val="32"/>
          <w:highlight w:val="none"/>
          <w:u w:val="single"/>
        </w:rPr>
        <w:t xml:space="preserve"> </w:t>
      </w:r>
      <w:r>
        <w:rPr>
          <w:rFonts w:hint="eastAsia" w:ascii="宋体" w:hAnsi="宋体" w:eastAsia="宋体" w:cs="宋体"/>
          <w:b/>
          <w:bCs/>
          <w:color w:val="auto"/>
          <w:szCs w:val="32"/>
          <w:highlight w:val="none"/>
          <w:u w:val="single"/>
        </w:rPr>
        <w:t>/</w:t>
      </w:r>
      <w:r>
        <w:rPr>
          <w:rFonts w:hint="eastAsia" w:ascii="宋体" w:hAnsi="宋体" w:eastAsia="宋体" w:cs="宋体"/>
          <w:color w:val="auto"/>
          <w:kern w:val="0"/>
          <w:szCs w:val="32"/>
          <w:highlight w:val="none"/>
          <w:u w:val="singl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after="120" w:line="44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20.4仲裁或诉讼</w:t>
      </w:r>
    </w:p>
    <w:p>
      <w:pPr>
        <w:spacing w:after="120"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2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工程所在地  </w:t>
      </w:r>
      <w:r>
        <w:rPr>
          <w:rFonts w:hint="eastAsia" w:ascii="宋体" w:hAnsi="宋体" w:eastAsia="宋体" w:cs="宋体"/>
          <w:color w:val="auto"/>
          <w:szCs w:val="21"/>
          <w:highlight w:val="none"/>
        </w:rPr>
        <w:t>人民法院起诉。</w:t>
      </w:r>
    </w:p>
    <w:p>
      <w:pPr>
        <w:pStyle w:val="462"/>
        <w:rPr>
          <w:rFonts w:hint="eastAsia" w:ascii="宋体" w:hAnsi="宋体" w:eastAsia="宋体" w:cs="宋体"/>
          <w:color w:val="000000"/>
          <w:highlight w:val="none"/>
        </w:rPr>
      </w:pPr>
      <w:r>
        <w:rPr>
          <w:rFonts w:hint="eastAsia" w:ascii="宋体" w:hAnsi="宋体" w:eastAsia="宋体" w:cs="宋体"/>
          <w:color w:val="000000"/>
          <w:highlight w:val="none"/>
        </w:rPr>
        <w:t>21.补充条款</w:t>
      </w:r>
    </w:p>
    <w:p>
      <w:pPr>
        <w:spacing w:line="440" w:lineRule="exact"/>
        <w:ind w:firstLine="420" w:firstLineChars="200"/>
        <w:jc w:val="left"/>
        <w:rPr>
          <w:rFonts w:hint="eastAsia" w:ascii="宋体" w:hAnsi="宋体" w:eastAsia="宋体" w:cs="宋体"/>
          <w:color w:val="auto"/>
          <w:szCs w:val="32"/>
          <w:highlight w:val="none"/>
        </w:rPr>
      </w:pPr>
      <w:bookmarkStart w:id="588" w:name="_Toc351203652"/>
      <w:r>
        <w:rPr>
          <w:rFonts w:hint="eastAsia" w:ascii="宋体" w:hAnsi="宋体" w:eastAsia="宋体" w:cs="宋体"/>
          <w:color w:val="auto"/>
          <w:szCs w:val="32"/>
          <w:highlight w:val="none"/>
        </w:rPr>
        <w:t>（1）承包人不得拖欠工人工资，如发生因拖欠工资上访、闹事等情况，发包人有权采取一切必要的措施来保证自身权益，承包人不得提出异议。</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（2）工程审计：工程竣工验收后，承包人应及时将工程结算资料报送发包人，承包人应充分考虑审计过程及审计时间。</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（3）农忙季节不得停工。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（4）除项目经理以外的人员不按发包人要求参加施工期间各种会议的，每人次扣2000元违约金，迟到的每人次扣1000元违约金。建造师缺席的按16.2.1条处理。</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（5）廉洁管理条款：承包人不得对发包人、监理人的工作人员有吃请、送礼行为。如有违反此规定除按有关法律规定送交有关国家机关处理外，发包人将按下列标准扣减中标人应得的工程款。</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（6）施工过程中，承包人无条件配合发包人处理周围相关事宜及相关发包人指定分包工程的施工。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（7）承包人必须遵守发包人现场的管理制度和规定，服从发包人及监理人的管理和监督检查。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（8）施工过程中，承包人如违反现场管理制度和规定，发包人有权对承包人进行经济索赔，违约金必须3日内缴纳，若未按期缴纳，发包人有权暂缓支付工程款直至缴纳违约金。</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9）工程进度款与工程质量挂钩，承包人施工的工程质量若达不到验收规范标准，发包人有权暂缓支付该期工程款，直至符合要求。根据发包方总进度要求,承包方必须配合发包方进度节点安排,如承包方不配合或未按发包方进度节点时间施工或不组织施工的应按 5000-10000元/天赔偿发包方损失.延误7天发包方予以采取措施，安排其他分包单位施工。如承包方在未经发包方书面同意的情况下擅自停工7天以上,则发包方有权清场,承包方无条件退场,同时承包方赔偿由此给发包方造成的直接和间接损失。</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(10)对关键工序、主要原材料，发包人有权请权威机构或部门进行复核或检验，复核或检验结果合格则发包人承担相应费用；如不合格则承包人承担相应费用及造成的一切损失。</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(11)如承包人未按设计图纸、国家规范及合同要求施工，发包人可勒令承包人暂停施工，待承包人整改完毕并报经监理人、发包人验收同意后方可复工，由此造成的损失由承包人负责。</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(12)如承包人拒绝执行发包人的合理指令，发包人有权另行委托第三方执行指令，并视情节轻重支付发包人1000-5000元/次的违约金，且执行指令的费用由承包人支付；若承包人拒绝支付，则发包人有权从承包人工程款中扣除。</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(13)承包人应按月足额支付工人工资，对发包人支付的工程款，承包人应优先用于支付工人劳动报酬；承包人如有拖欠、克扣工人劳动报酬的行为，发包人有权在承包人工程款中扣除相应款项，同时承包人还应赔偿因此给发包人造成的一切损失。发生农民工群访事件的（5人以上），每次向发包人支付5万元的违约金。</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(14)承包人收到设计施工图后，应在7天内做出详细的施工组织设计，报总监及发包人审批；施工组织设计应包括施工进度计划、施工部署、施工方案、工艺与措施、设备材料进场计划、劳动力计划、安全文明施工措施、施工机械设备配置以及施工现场优化布置等内容。总监及发包人在收到施工组织设计后7日内进行审核批准或提出修改意见；承包人不按时送审符合要求的施工组织设计，造成总监及发包人无法判断工程施工顺利与否，需向发包人支付1000-5000元的违约金，发包人可暂缓支付相应部分的工程进度款，直至符合要求，责任由承包人承担。</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发包人对施工组织设计方案的确认是对其可行性的确认，并不是对所涉及费用的确认；施工组织设计方案属承包人自身的施工措施，所增加的人工、材料、机械等费用均由承包人自行承担。</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(15)施工期间，承包人不得辱骂、殴打、威胁发包人、监理人及审计人员，如若发生将支付发包人5万元/次的违约金，停止支付工程款，并追究其法律责任，直至承包人向发包人保证此类事件不再发生。</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(16)承包人在招投标时已详细勘察了施工现场及周围的环境状况，掌握了所有与工程施工有关或对施工有影响的情况；发包人将施工场地移交给承包人后，承包人有责任和义务保护自身合法权益，应对施工现场发生的一切负责；施工过程中若发生非政府原因（如其他势力的干扰等）或非发包人原因而影响施工导致工期拖延和财产损失的，发包人概不负责，由承包人自行解决。</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(17)保修期内因承包人原因造成的工程质量问题给发包人、业主或他人造成财产损失和人身伤害的，由承包人承担一切责任。</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(18)监理人及发包人有权对承包人的违章现象与安全文明情况进行检查并提出整改意见，承包人接到通知后在规定时间内未采取相应措施进行整改的，发包人将按照现场管理规定进行索赔。</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(19)因承包人原因造成工期延误而产生的赔付费用由承包人承担。</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(20)本合同履行期间，承包人与第三方产生的债权、债务均由承包人自行解决，与发包人无关。</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(21)本工程合同备案手续由承包人办理，发包人配合。</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(22)中标后被发现有出卖资质、非法挂靠行为的中标人（承包人）,发包人有权单方解除施工合同，清退施工人员并按合同总价的5%收取违约金，在这种情况下，承包人必须在10日内退场，并且不得提出任何对发包人不利的要求。</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(23)开工前承包方对施工图纸认真核查，积极配合发包方组织的施工图纸交底及会审工作，指出图纸上任何不符施工常规、惯例或规范之处，以及设计图纸中错、漏、碰问题，并做好各系统管线的综合平衡工作。</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(24)承包方必须配备专职的预结算人员满足发包方的工作。每月二十五日向发包人书面报送《下月施工计划》和《本月完成工程月报》，下月施工计划必须具体、详细，包括人力安排、增加人力的来源、工程量等。如不按时、按要求报送，发包方有权不予支付进度款或支付时间顺延。</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(25)当工程到达某一付款节点，而发包人资金尚未拨付下来，承包人在施工期间保证不得以资金等任何原因为借口，拖延工期或擅自停工。否则，每拖延一天承包人愿承担合同总价1‰的违约金。</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(26)工地实行周报制度，周报在每周例会前一天报送发包方和监理，周报包括本周计划和上周完成工作、未完成情况说明（包括拟采取措施、最终完成时间）。参加各类施工协调、配合会，由于工地交叉施工引起的问题，有义务进行配合协商解决，服从发包方及监理现场总协调作出</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(27)在施工过程中必须配合建设单位、发包方工期要求并按发包方指令时限完成。</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(28)遵守政府主管部门对施工场地交通、施工噪音以及和安全生产有关的管理规定，按规定办理有关手续，并以书面形式知会发包方、监理，严格遵守有关环境保护法律法规，并严格按照环境检查审核要求，加强施工现场的环境管理，在施工过程中严格落实粉尘、废水等污染防治措施及生态保护、水土保持措施。并且由此发生的费用及罚款由承包方负责。施工过程所需一切证件（包括夜间施工证）由承包方及时自行办理。如发生扰民和民扰自行妥善处理。</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(29)为保证施工质量，施工难点以及容易发生质量通病的地方，承包方应先报施工方案经建设单位、发包方、监理确认，发包方根据实际情况要求承包方无偿做施工样板，样板经发包方验收合格后承包方方可按样板进行大面积施工。</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(30)承包人发生转包、分包及借用资质的行为，承包人应承担工程合同价的5%违约金，发包人有权责令承包人其限期整改，对整改确无实质进展的，发包人将终止合同，并将承包人清退出场，由此给发包人造成损失的，由承包人无条件承担。因承包人原因，造成发包人的银行账户被冻结、查封及涉案、涉诉的，应由承包人及时消除对发包人的影响，若造成实质性影响，包括但不限于发包人经济损失、银行信誉等，除赔偿发包人经济损失外，承包人承担合同价的5%的违约金。</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（31）关于违法分包，由于乙方违法分包、转包等原因造成甲方被起诉到法院的，视为乙方违约，并由乙方承担合同价10%的违约金，在支付工程款时甲方一并扣除。</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（32）履约保证金的返还（无息）：承包人在无违法、违纪现象的情况下，工程完工之后28日内，全额返还。</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33）质保金，在约定的质保期满后发包人视工程质量情况予以支付[不计利息；到期后由承包人提出书面支付申请，发包人组织保修期工程质量验收，验收通过后予以支付，如有代为维修费用等，应先行扣除后再支付，如承包人对保修期内出现的质量问题不积极予以解决，按发包人代为（或预计将发生）维修费用的双倍扣除]。发包人在每次付款前，承包人应提交符合税务要求的合法合规票据，否则发包人有权拒付，由此造成的法律后果由承包人承担。</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34）本工程由徐州市泉山区审计部门（或发包人）委托中介机构进行结算审计，工程竣工验收后，承包人应及时将工程结算资料报发包人送审，承包人应充分考虑审计过程及审计时间，审计费用由承包人承担。发包人承诺会组织好人员尽最快速度完成审计，因双方存在具体争议或承包人不积极配合导致发包人未能在规定或约定时间内对承包人递交的结算资料审核完成，并不视为发包人对该结算报告认可。发包人收到承包人递交的竣工结算报告及完整的结算资料后委托相应资质的工程造价咨询企业积极进行核实，承包人不得以“不予答复、故意拖延审计”等理由另行提起诉讼。承包人不得虚报工程量和结算，审减额超过7%（不含7%），超出部分按审减额的5%给予罚款，发包人将直接从工程款中扣除，审减额以审计报告为准。</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（35）承包方上报的工程决算不应续报，工程决算不得任意放大数额。根据工程变更增加造价签</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证权限备齐全部工程变更资料，否则不予受理结算审计工作。结算时，承包人需提供招投标文件</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的原始标书，包括中标通知书、结算、图纸、签证资料原件，否则不予审计。</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（36）在一审定案的基础上，徐州市泉山区审计部门（或发包人）有权再次委托中介机构对工程决算进行复审，承包人应积极配合复审工作，并以复审结果作为工程价款的最终结算依据。</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37）现场签证须有监理工程师和发包人项目负责人及现场跟踪审计人员的签字，项目变更现场签证单应严格执行《关于印发国有建设工程项目变更管理办法的通知》，不符合该管理办法的签证，发包人不予认可。</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（38）施工单位结算工程款时一律凭施工单位增值税发票和泉山区完税凭证结算，未提供泉山区增值税发票和完税凭证的原则上不得支付工程款。</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39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40）工地扬尘污染防治费执行江苏省住房和城乡建设厅【2018】24号公告文件规定费率，施工期间，发承包双方应积极主动按照大气污染防治监管部门的要求，采取必要防治措施，对发生的费用单独计量和核算，费用从工地扬尘污染防治费中列支。下列费用内容已包含在现场安全文明施工措施费中，不应计入工地扬尘污染防治费用，具体是：工程防扬尘洒水费用；土石方、建渣外运车辆冲洗、防撒漏等费用；现场污染源的控制、生活垃圾清理外运、场地排水排污措施的费用；生活用清洁燃料费用；施工现场操作场地硬化的费用；现场电子监控设备费用；建筑垃圾分类收集及回收利用费用；冲洗设备用水回收利用设施增加费用；其他费用。</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(41)工程施工中土石方转运(1公里以内套定额)、顶管、拉管、爆碳、垃圾清运工程参照市场价执行。(市场价为发包方优先参考经开区近三年工程项目的核定价格,如存在多个价格,执行就低不就高原则,甲方另行指定的除外。如近三年无参考价格,由发包方组织市场认价。市场价不参与下浮)。</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(42)获取中标通知书后，由承包人负责尽快办理施工合同备案、施工相关手续，监理方、发包人做相应配合。办理手续过程中，承包人若有推诿、不及时办理等情况，在进度款中扣 10000元/次。</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（43）发包人有权要求承包人在指定的银行开立工程款共管账户，发包人通过加盖预留印鉴、保管银行复核U盾等方式对工程款的使用进行监管，承包人不得以任何理由、方式逃避发包人的监管。</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（44）承包方需开设农民工工资专用账户，保障农民工工资支付。发包人按照工程实际进度，按月拨付已完成工程款的20%以上到总包单位工资存储专户。</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（45）办理合同备案及其他施工手续时需发包人缴纳费用均在投标总价中，具体办理合同备案及其他施工手续时发生费用均由承包人承担。</w:t>
      </w:r>
    </w:p>
    <w:p>
      <w:pPr>
        <w:spacing w:line="440" w:lineRule="exact"/>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（46）安全施工。施工中承包人应作好安全防护，文明施工（文明施工防护措施费已包含在合同总价中）。若发生事故承包人应按有关规定立即上报有关部门，同时要按有关部门要求处理，费用由承包人承担. </w:t>
      </w:r>
    </w:p>
    <w:p>
      <w:pPr>
        <w:spacing w:line="44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Cs w:val="32"/>
          <w:highlight w:val="none"/>
        </w:rPr>
        <w:t>（4</w:t>
      </w:r>
      <w:r>
        <w:rPr>
          <w:rFonts w:hint="eastAsia" w:ascii="宋体" w:hAnsi="宋体" w:eastAsia="宋体" w:cs="宋体"/>
          <w:color w:val="auto"/>
          <w:szCs w:val="32"/>
          <w:highlight w:val="none"/>
          <w:lang w:val="en-US" w:eastAsia="zh-CN"/>
        </w:rPr>
        <w:t>7</w:t>
      </w:r>
      <w:r>
        <w:rPr>
          <w:rFonts w:hint="eastAsia" w:ascii="宋体" w:hAnsi="宋体" w:eastAsia="宋体" w:cs="宋体"/>
          <w:color w:val="auto"/>
          <w:szCs w:val="32"/>
          <w:highlight w:val="none"/>
        </w:rPr>
        <w:t>）工程竣工验收完成后，承包人负责把该工程合同所含道路、排水、路灯、绿化、交通设施等全部项目分别移交至相应管理部门并办理移交手续，发包人予以配合，所需费用由承包人承担。未完成移交手续办理，原则上不得支付工程款。</w:t>
      </w:r>
      <w:bookmarkEnd w:id="588"/>
    </w:p>
    <w:p>
      <w:pPr>
        <w:spacing w:before="69" w:line="184" w:lineRule="auto"/>
        <w:rPr>
          <w:rFonts w:hint="eastAsia" w:ascii="宋体" w:hAnsi="宋体" w:eastAsia="宋体" w:cs="宋体"/>
          <w:color w:val="auto"/>
          <w:spacing w:val="-13"/>
          <w:position w:val="17"/>
          <w:sz w:val="21"/>
          <w:szCs w:val="21"/>
          <w:highlight w:val="none"/>
          <w:lang w:val="en-US" w:eastAsia="zh-CN"/>
        </w:rPr>
      </w:pPr>
    </w:p>
    <w:p>
      <w:pPr>
        <w:spacing w:before="69" w:line="184" w:lineRule="auto"/>
        <w:rPr>
          <w:rFonts w:hint="eastAsia" w:ascii="宋体" w:hAnsi="宋体" w:eastAsia="宋体" w:cs="宋体"/>
          <w:color w:val="auto"/>
          <w:spacing w:val="-13"/>
          <w:position w:val="17"/>
          <w:sz w:val="21"/>
          <w:szCs w:val="21"/>
          <w:highlight w:val="none"/>
          <w:lang w:val="en-US" w:eastAsia="zh-CN"/>
        </w:rPr>
      </w:pPr>
    </w:p>
    <w:p>
      <w:pPr>
        <w:spacing w:before="69" w:line="184" w:lineRule="auto"/>
        <w:rPr>
          <w:rFonts w:hint="eastAsia" w:ascii="宋体" w:hAnsi="宋体" w:eastAsia="宋体" w:cs="宋体"/>
          <w:color w:val="auto"/>
          <w:spacing w:val="-13"/>
          <w:position w:val="17"/>
          <w:sz w:val="21"/>
          <w:szCs w:val="21"/>
          <w:highlight w:val="none"/>
          <w:lang w:val="en-US" w:eastAsia="zh-CN"/>
        </w:rPr>
      </w:pPr>
    </w:p>
    <w:p>
      <w:pPr>
        <w:spacing w:before="69" w:line="184" w:lineRule="auto"/>
        <w:rPr>
          <w:rFonts w:hint="eastAsia" w:ascii="仿宋" w:hAnsi="仿宋" w:eastAsia="仿宋" w:cs="仿宋"/>
          <w:color w:val="auto"/>
          <w:spacing w:val="-13"/>
          <w:position w:val="17"/>
          <w:sz w:val="21"/>
          <w:szCs w:val="21"/>
          <w:highlight w:val="none"/>
          <w:lang w:val="en-US" w:eastAsia="zh-CN"/>
        </w:rPr>
      </w:pPr>
    </w:p>
    <w:p>
      <w:pPr>
        <w:spacing w:before="69" w:line="184" w:lineRule="auto"/>
        <w:rPr>
          <w:rFonts w:hint="eastAsia" w:ascii="仿宋" w:hAnsi="仿宋" w:eastAsia="仿宋" w:cs="仿宋"/>
          <w:color w:val="auto"/>
          <w:spacing w:val="-13"/>
          <w:position w:val="17"/>
          <w:sz w:val="21"/>
          <w:szCs w:val="21"/>
          <w:highlight w:val="none"/>
          <w:lang w:val="en-US" w:eastAsia="zh-CN"/>
        </w:rPr>
      </w:pPr>
    </w:p>
    <w:p>
      <w:pPr>
        <w:spacing w:before="69" w:line="184" w:lineRule="auto"/>
        <w:rPr>
          <w:rFonts w:hint="eastAsia" w:ascii="仿宋" w:hAnsi="仿宋" w:eastAsia="仿宋" w:cs="仿宋"/>
          <w:color w:val="auto"/>
          <w:spacing w:val="-13"/>
          <w:position w:val="17"/>
          <w:sz w:val="21"/>
          <w:szCs w:val="21"/>
          <w:highlight w:val="none"/>
          <w:lang w:val="en-US" w:eastAsia="zh-CN"/>
        </w:rPr>
      </w:pPr>
    </w:p>
    <w:bookmarkEnd w:id="13"/>
    <w:bookmarkEnd w:id="14"/>
    <w:bookmarkEnd w:id="15"/>
    <w:bookmarkEnd w:id="16"/>
    <w:bookmarkEnd w:id="17"/>
    <w:bookmarkEnd w:id="18"/>
    <w:p>
      <w:pPr>
        <w:rPr>
          <w:rFonts w:hint="eastAsia" w:ascii="仿宋" w:hAnsi="仿宋" w:eastAsia="仿宋" w:cs="仿宋"/>
          <w:highlight w:val="none"/>
        </w:rPr>
      </w:pPr>
    </w:p>
    <w:p>
      <w:pPr>
        <w:rPr>
          <w:rFonts w:hint="eastAsia" w:ascii="宋体" w:hAnsi="宋体" w:cs="宋体"/>
          <w:b/>
          <w:sz w:val="36"/>
          <w:highlight w:val="none"/>
          <w:lang w:val="en-US" w:eastAsia="zh-CN"/>
        </w:rPr>
      </w:pPr>
      <w:r>
        <w:rPr>
          <w:rFonts w:hint="eastAsia" w:ascii="宋体" w:hAnsi="宋体" w:cs="宋体"/>
          <w:b/>
          <w:sz w:val="36"/>
          <w:highlight w:val="none"/>
          <w:lang w:val="en-US" w:eastAsia="zh-CN"/>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附件1：</w:t>
      </w:r>
    </w:p>
    <w:p>
      <w:pPr>
        <w:spacing w:before="156" w:after="156"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发包人供应材料设备一览表</w:t>
      </w:r>
    </w:p>
    <w:tbl>
      <w:tblPr>
        <w:tblStyle w:val="60"/>
        <w:tblW w:w="1070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851"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6"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材料、</w:t>
            </w:r>
          </w:p>
          <w:p>
            <w:pPr>
              <w:pStyle w:val="85"/>
              <w:keepNext/>
              <w:ind w:right="63"/>
              <w:jc w:val="center"/>
              <w:rPr>
                <w:rFonts w:ascii="宋体" w:hAnsi="宋体" w:cs="宋体"/>
                <w:color w:val="auto"/>
                <w:sz w:val="24"/>
                <w:highlight w:val="none"/>
              </w:rPr>
            </w:pPr>
            <w:r>
              <w:rPr>
                <w:rFonts w:hint="eastAsia" w:ascii="宋体" w:hAnsi="宋体" w:cs="宋体"/>
                <w:color w:val="auto"/>
                <w:sz w:val="24"/>
                <w:highlight w:val="none"/>
              </w:rPr>
              <w:t>设备品种</w:t>
            </w:r>
          </w:p>
        </w:tc>
        <w:tc>
          <w:tcPr>
            <w:tcW w:w="1418"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94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44"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992"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质量等级</w:t>
            </w:r>
          </w:p>
        </w:tc>
        <w:tc>
          <w:tcPr>
            <w:tcW w:w="851"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供应时间</w:t>
            </w:r>
          </w:p>
        </w:tc>
        <w:tc>
          <w:tcPr>
            <w:tcW w:w="1487"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992"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5"/>
              <w:keepNext/>
              <w:ind w:left="63" w:right="63"/>
              <w:jc w:val="center"/>
              <w:rPr>
                <w:rFonts w:ascii="宋体" w:hAnsi="宋体" w:cs="宋体"/>
                <w:color w:val="auto"/>
                <w:sz w:val="24"/>
                <w:highlight w:val="none"/>
              </w:rPr>
            </w:pPr>
          </w:p>
        </w:tc>
        <w:tc>
          <w:tcPr>
            <w:tcW w:w="1276"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940"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044"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c>
          <w:tcPr>
            <w:tcW w:w="851" w:type="dxa"/>
            <w:vAlign w:val="center"/>
          </w:tcPr>
          <w:p>
            <w:pPr>
              <w:pStyle w:val="85"/>
              <w:keepNext/>
              <w:ind w:left="63" w:right="63"/>
              <w:jc w:val="center"/>
              <w:rPr>
                <w:rFonts w:ascii="宋体" w:hAnsi="宋体" w:cs="宋体"/>
                <w:color w:val="auto"/>
                <w:sz w:val="24"/>
                <w:highlight w:val="none"/>
              </w:rPr>
            </w:pPr>
          </w:p>
        </w:tc>
        <w:tc>
          <w:tcPr>
            <w:tcW w:w="1487" w:type="dxa"/>
            <w:vAlign w:val="center"/>
          </w:tcPr>
          <w:p>
            <w:pPr>
              <w:pStyle w:val="85"/>
              <w:keepNext/>
              <w:ind w:left="63" w:right="63"/>
              <w:jc w:val="center"/>
              <w:rPr>
                <w:rFonts w:ascii="宋体" w:hAnsi="宋体" w:cs="宋体"/>
                <w:color w:val="auto"/>
                <w:sz w:val="24"/>
                <w:highlight w:val="none"/>
              </w:rPr>
            </w:pPr>
          </w:p>
        </w:tc>
        <w:tc>
          <w:tcPr>
            <w:tcW w:w="992"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none"/>
              </w:rPr>
            </w:pPr>
          </w:p>
        </w:tc>
        <w:tc>
          <w:tcPr>
            <w:tcW w:w="1276"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940"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044"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c>
          <w:tcPr>
            <w:tcW w:w="851" w:type="dxa"/>
            <w:vAlign w:val="center"/>
          </w:tcPr>
          <w:p>
            <w:pPr>
              <w:jc w:val="center"/>
              <w:rPr>
                <w:rFonts w:ascii="宋体" w:hAnsi="宋体" w:cs="宋体"/>
                <w:color w:val="auto"/>
                <w:sz w:val="24"/>
                <w:highlight w:val="none"/>
              </w:rPr>
            </w:pPr>
          </w:p>
        </w:tc>
        <w:tc>
          <w:tcPr>
            <w:tcW w:w="1487" w:type="dxa"/>
            <w:vAlign w:val="center"/>
          </w:tcPr>
          <w:p>
            <w:pPr>
              <w:jc w:val="center"/>
              <w:rPr>
                <w:rFonts w:ascii="宋体" w:hAnsi="宋体" w:cs="宋体"/>
                <w:color w:val="auto"/>
                <w:sz w:val="24"/>
                <w:highlight w:val="none"/>
              </w:rPr>
            </w:pPr>
          </w:p>
        </w:tc>
        <w:tc>
          <w:tcPr>
            <w:tcW w:w="992" w:type="dxa"/>
            <w:vAlign w:val="center"/>
          </w:tcPr>
          <w:p>
            <w:pPr>
              <w:jc w:val="center"/>
              <w:rPr>
                <w:rFonts w:ascii="宋体" w:hAnsi="宋体" w:cs="宋体"/>
                <w:color w:val="auto"/>
                <w:sz w:val="24"/>
                <w:highlight w:val="none"/>
              </w:rPr>
            </w:pPr>
          </w:p>
        </w:tc>
      </w:tr>
    </w:tbl>
    <w:p>
      <w:pPr>
        <w:spacing w:line="440" w:lineRule="exact"/>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24"/>
          <w:highlight w:val="none"/>
        </w:rPr>
        <w:t xml:space="preserve">附件2：    </w:t>
      </w:r>
    </w:p>
    <w:p>
      <w:pPr>
        <w:spacing w:before="156" w:after="156"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工程质量保修书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发包人和承包人根据</w:t>
      </w:r>
      <w:r>
        <w:rPr>
          <w:rFonts w:hint="eastAsia" w:ascii="宋体" w:hAnsi="宋体" w:cs="宋体"/>
          <w:color w:val="auto"/>
          <w:sz w:val="24"/>
          <w:highlight w:val="none"/>
          <w:u w:val="single"/>
        </w:rPr>
        <w:t>《中华人民共和国建筑法》和《建设工程质量管理条例》</w:t>
      </w:r>
      <w:r>
        <w:rPr>
          <w:rFonts w:hint="eastAsia" w:ascii="宋体" w:hAnsi="宋体" w:cs="宋体"/>
          <w:color w:val="auto"/>
          <w:sz w:val="24"/>
          <w:highlight w:val="none"/>
        </w:rPr>
        <w:t>，经协商一致就</w:t>
      </w:r>
      <w:r>
        <w:rPr>
          <w:rFonts w:hint="eastAsia" w:ascii="宋体" w:hAnsi="宋体" w:cs="宋体"/>
          <w:color w:val="auto"/>
          <w:sz w:val="24"/>
          <w:highlight w:val="none"/>
          <w:u w:val="single"/>
          <w:lang w:val="en-US" w:eastAsia="zh-CN"/>
        </w:rPr>
        <w:t>2025年泉山区嘉美路维修工程</w:t>
      </w:r>
      <w:r>
        <w:rPr>
          <w:rFonts w:hint="eastAsia" w:ascii="宋体" w:hAnsi="宋体" w:cs="宋体"/>
          <w:color w:val="auto"/>
          <w:sz w:val="24"/>
          <w:highlight w:val="none"/>
        </w:rPr>
        <w:t>项目（工程全称）签订工程质量保修书。</w:t>
      </w:r>
    </w:p>
    <w:p>
      <w:pPr>
        <w:spacing w:line="360" w:lineRule="auto"/>
        <w:rPr>
          <w:rFonts w:ascii="宋体" w:hAnsi="宋体" w:cs="宋体"/>
          <w:color w:val="auto"/>
          <w:sz w:val="24"/>
          <w:highlight w:val="none"/>
        </w:rPr>
      </w:pPr>
      <w:r>
        <w:rPr>
          <w:rFonts w:hint="eastAsia" w:ascii="宋体" w:hAnsi="宋体" w:cs="宋体"/>
          <w:color w:val="auto"/>
          <w:sz w:val="24"/>
          <w:highlight w:val="none"/>
        </w:rPr>
        <w:t>　一、工程质量保修范围和内容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　　承包人在质量保修期内，按照有关法律规定和合同约定，承担工程质量保修责任。</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none"/>
          <w:u w:val="single"/>
        </w:rPr>
        <w:t>由承包人承担的施工全部内容。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二、质量保修期</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pPr>
        <w:numPr>
          <w:ilvl w:val="0"/>
          <w:numId w:val="11"/>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地基基础工程和主体结构工程为设计文件规定的工程合理使用年限；</w:t>
      </w:r>
    </w:p>
    <w:p>
      <w:pPr>
        <w:numPr>
          <w:ilvl w:val="0"/>
          <w:numId w:val="12"/>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屋面防水工程、有防水要求的卫生间、房间和外墙面的防渗为</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年；</w:t>
      </w:r>
    </w:p>
    <w:p>
      <w:pPr>
        <w:numPr>
          <w:ilvl w:val="0"/>
          <w:numId w:val="13"/>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装修工程为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numPr>
          <w:ilvl w:val="0"/>
          <w:numId w:val="14"/>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电气管线、给排水管道、设备安装工程为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numPr>
          <w:ilvl w:val="0"/>
          <w:numId w:val="15"/>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供热与供冷系统为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个采暖期、供冷期；</w:t>
      </w:r>
    </w:p>
    <w:p>
      <w:pPr>
        <w:numPr>
          <w:ilvl w:val="0"/>
          <w:numId w:val="16"/>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住宅小区内的给排水设施、道路等配套工程为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7．其他项目保修期限约定如下：</w:t>
      </w:r>
      <w:r>
        <w:rPr>
          <w:rFonts w:hint="eastAsia" w:ascii="宋体" w:hAnsi="宋体"/>
          <w:color w:val="auto"/>
          <w:sz w:val="24"/>
          <w:highlight w:val="none"/>
          <w:u w:val="single"/>
        </w:rPr>
        <w:t xml:space="preserve">   2年   </w:t>
      </w:r>
    </w:p>
    <w:p>
      <w:pPr>
        <w:spacing w:line="360" w:lineRule="auto"/>
        <w:rPr>
          <w:rFonts w:ascii="宋体" w:hAnsi="宋体" w:cs="宋体"/>
          <w:color w:val="auto"/>
          <w:sz w:val="24"/>
          <w:highlight w:val="none"/>
        </w:rPr>
      </w:pPr>
      <w:r>
        <w:rPr>
          <w:rFonts w:hint="eastAsia" w:ascii="宋体" w:hAnsi="宋体" w:cs="宋体"/>
          <w:color w:val="auto"/>
          <w:sz w:val="24"/>
          <w:highlight w:val="none"/>
        </w:rPr>
        <w:t>　　质量保修期自工程竣工验收合格之日起计算。</w:t>
      </w:r>
    </w:p>
    <w:p>
      <w:pPr>
        <w:spacing w:line="360" w:lineRule="auto"/>
        <w:rPr>
          <w:rFonts w:ascii="宋体" w:hAnsi="宋体" w:cs="宋体"/>
          <w:color w:val="auto"/>
          <w:sz w:val="24"/>
          <w:highlight w:val="none"/>
        </w:rPr>
      </w:pPr>
      <w:r>
        <w:rPr>
          <w:rFonts w:hint="eastAsia" w:ascii="宋体" w:hAnsi="宋体" w:cs="宋体"/>
          <w:color w:val="auto"/>
          <w:sz w:val="24"/>
          <w:highlight w:val="none"/>
        </w:rPr>
        <w:t>三、缺陷责任期</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24 </w:t>
      </w:r>
      <w:r>
        <w:rPr>
          <w:rFonts w:hint="eastAsia" w:ascii="宋体" w:hAnsi="宋体" w:cs="宋体"/>
          <w:color w:val="auto"/>
          <w:sz w:val="24"/>
          <w:highlight w:val="none"/>
        </w:rPr>
        <w:t>个月，缺陷责任期自工程实际竣工之日起计算。单位工程先于全部工程进行验收，单位工程缺陷责任期自单位工程验收合格之日起算。</w:t>
      </w:r>
    </w:p>
    <w:p>
      <w:pPr>
        <w:spacing w:line="360" w:lineRule="auto"/>
        <w:rPr>
          <w:rFonts w:ascii="宋体" w:hAnsi="宋体" w:cs="宋体"/>
          <w:color w:val="auto"/>
          <w:sz w:val="24"/>
          <w:highlight w:val="none"/>
        </w:rPr>
      </w:pPr>
      <w:r>
        <w:rPr>
          <w:rFonts w:hint="eastAsia" w:ascii="宋体" w:hAnsi="宋体" w:cs="宋体"/>
          <w:color w:val="auto"/>
          <w:sz w:val="24"/>
          <w:highlight w:val="none"/>
        </w:rPr>
        <w:t>四、质量保修责任</w:t>
      </w:r>
    </w:p>
    <w:p>
      <w:pPr>
        <w:spacing w:line="360" w:lineRule="auto"/>
        <w:ind w:left="105" w:firstLine="491"/>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1．属于保修范围、内容的项目，承包人应当在接到保修通知之日起48小时内派人保修。承包人不在约定期限内派人保修的，发包人可以委托他人修理。</w:t>
      </w:r>
    </w:p>
    <w:p>
      <w:pPr>
        <w:spacing w:line="360" w:lineRule="auto"/>
        <w:ind w:left="105" w:firstLine="491"/>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pPr>
        <w:spacing w:line="360" w:lineRule="auto"/>
        <w:ind w:left="105" w:firstLine="491"/>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firstLine="120"/>
        <w:rPr>
          <w:rFonts w:ascii="宋体" w:hAnsi="宋体" w:cs="宋体"/>
          <w:color w:val="auto"/>
          <w:sz w:val="24"/>
          <w:highlight w:val="none"/>
        </w:rPr>
      </w:pPr>
      <w:r>
        <w:rPr>
          <w:rFonts w:hint="eastAsia" w:ascii="宋体" w:hAnsi="宋体" w:cs="宋体"/>
          <w:color w:val="auto"/>
          <w:sz w:val="24"/>
          <w:highlight w:val="none"/>
        </w:rPr>
        <w:t>4．质量保修完成后，由发包人组织验收。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五、保修费用</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pPr>
        <w:spacing w:line="360" w:lineRule="auto"/>
        <w:ind w:firstLine="480"/>
        <w:rPr>
          <w:rFonts w:ascii="宋体" w:hAnsi="宋体"/>
          <w:color w:val="auto"/>
          <w:sz w:val="24"/>
          <w:highlight w:val="none"/>
        </w:rPr>
      </w:pPr>
      <w:r>
        <w:rPr>
          <w:rFonts w:hint="eastAsia" w:ascii="宋体" w:hAnsi="宋体"/>
          <w:color w:val="auto"/>
          <w:sz w:val="24"/>
          <w:highlight w:val="none"/>
        </w:rPr>
        <w:t>工程保修金返还约定：缺陷责任期满后28天内在确认承包人已完成保修期内的责任和相关工作后，发包人在扣除该保修期间的有关费用支出后，一次性结清全部保修余款，保修金不计取利息。</w:t>
      </w:r>
    </w:p>
    <w:p>
      <w:pPr>
        <w:spacing w:line="360" w:lineRule="auto"/>
        <w:rPr>
          <w:rFonts w:ascii="宋体" w:hAnsi="宋体" w:cs="宋体"/>
          <w:color w:val="auto"/>
          <w:sz w:val="24"/>
          <w:highlight w:val="none"/>
        </w:rPr>
      </w:pPr>
      <w:r>
        <w:rPr>
          <w:rFonts w:hint="eastAsia" w:ascii="宋体" w:hAnsi="宋体"/>
          <w:color w:val="auto"/>
          <w:sz w:val="24"/>
          <w:highlight w:val="none"/>
        </w:rPr>
        <w:t xml:space="preserve">    保修期间保修费用由承包方承担。但在保修期内确属人为因素而非材料或工程质量问题造成的破损，承包人负责维修，发包人支付维修所需材料费用。</w:t>
      </w:r>
    </w:p>
    <w:p>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六、双方约定的其他工程质量保修事项：</w:t>
      </w: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    1.</w:t>
      </w:r>
      <w:r>
        <w:rPr>
          <w:rFonts w:hint="eastAsia" w:ascii="宋体" w:hAnsi="宋体" w:cs="宋体"/>
          <w:color w:val="auto"/>
          <w:sz w:val="24"/>
          <w:highlight w:val="none"/>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2.如因承包人的责任，造成直接或间接损失，由承包人负责赔偿，费用从质保金中扣除。 </w:t>
      </w:r>
    </w:p>
    <w:p>
      <w:pPr>
        <w:spacing w:line="360" w:lineRule="auto"/>
        <w:ind w:firstLine="456"/>
        <w:rPr>
          <w:rFonts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pPr>
        <w:spacing w:line="360" w:lineRule="auto"/>
        <w:ind w:firstLine="42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发包人(公章)：</w:t>
      </w:r>
      <w:r>
        <w:rPr>
          <w:rFonts w:hint="eastAsia" w:ascii="宋体" w:hAnsi="宋体" w:cs="宋体"/>
          <w:color w:val="auto"/>
          <w:sz w:val="24"/>
          <w:highlight w:val="none"/>
          <w:u w:val="single"/>
        </w:rPr>
        <w:t xml:space="preserve">  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承包人(公章)：</w:t>
      </w:r>
      <w:r>
        <w:rPr>
          <w:rFonts w:hint="eastAsia" w:ascii="宋体" w:hAnsi="宋体" w:cs="宋体"/>
          <w:color w:val="auto"/>
          <w:sz w:val="24"/>
          <w:highlight w:val="none"/>
          <w:u w:val="single"/>
        </w:rPr>
        <w:t xml:space="preserve">           </w:t>
      </w:r>
    </w:p>
    <w:p>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   </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pPr>
        <w:spacing w:line="360" w:lineRule="auto"/>
        <w:rPr>
          <w:rFonts w:ascii="宋体" w:hAnsi="宋体" w:cs="宋体"/>
          <w:b/>
          <w:bCs/>
          <w:color w:val="auto"/>
          <w:sz w:val="24"/>
          <w:highlight w:val="none"/>
        </w:rPr>
      </w:pPr>
      <w:r>
        <w:rPr>
          <w:rFonts w:hint="eastAsia" w:ascii="宋体" w:hAnsi="宋体" w:cs="宋体"/>
          <w:b/>
          <w:color w:val="auto"/>
          <w:sz w:val="24"/>
          <w:highlight w:val="none"/>
        </w:rPr>
        <w:br w:type="page" w:clear="all"/>
      </w:r>
      <w:r>
        <w:rPr>
          <w:rFonts w:hint="eastAsia" w:ascii="宋体" w:hAnsi="宋体" w:cs="宋体"/>
          <w:b/>
          <w:bCs/>
          <w:color w:val="auto"/>
          <w:sz w:val="24"/>
          <w:highlight w:val="none"/>
        </w:rPr>
        <w:t>附件3：</w:t>
      </w:r>
    </w:p>
    <w:p>
      <w:pPr>
        <w:spacing w:before="156" w:after="156"/>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承包人用于本工程施工的机械设备表</w:t>
      </w:r>
    </w:p>
    <w:tbl>
      <w:tblPr>
        <w:tblStyle w:val="60"/>
        <w:tblW w:w="980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162"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机械或设备名称</w:t>
            </w:r>
          </w:p>
        </w:tc>
        <w:tc>
          <w:tcPr>
            <w:tcW w:w="85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058"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数量</w:t>
            </w:r>
          </w:p>
        </w:tc>
        <w:tc>
          <w:tcPr>
            <w:tcW w:w="88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产地</w:t>
            </w:r>
          </w:p>
        </w:tc>
        <w:tc>
          <w:tcPr>
            <w:tcW w:w="102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48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1020"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生产能力</w:t>
            </w:r>
          </w:p>
        </w:tc>
        <w:tc>
          <w:tcPr>
            <w:tcW w:w="921" w:type="dxa"/>
            <w:vAlign w:val="center"/>
          </w:tcPr>
          <w:p>
            <w:pPr>
              <w:pStyle w:val="85"/>
              <w:keepNext/>
              <w:ind w:left="63" w:right="63"/>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5"/>
              <w:keepNext/>
              <w:ind w:left="63" w:right="63"/>
              <w:jc w:val="center"/>
              <w:rPr>
                <w:rFonts w:ascii="宋体" w:hAnsi="宋体" w:cs="宋体"/>
                <w:color w:val="auto"/>
                <w:sz w:val="24"/>
                <w:highlight w:val="none"/>
              </w:rPr>
            </w:pPr>
          </w:p>
        </w:tc>
        <w:tc>
          <w:tcPr>
            <w:tcW w:w="1418" w:type="dxa"/>
            <w:vAlign w:val="center"/>
          </w:tcPr>
          <w:p>
            <w:pPr>
              <w:pStyle w:val="85"/>
              <w:keepNext/>
              <w:ind w:left="63" w:right="63"/>
              <w:jc w:val="center"/>
              <w:rPr>
                <w:rFonts w:ascii="宋体" w:hAnsi="宋体" w:cs="宋体"/>
                <w:color w:val="auto"/>
                <w:sz w:val="24"/>
                <w:highlight w:val="none"/>
              </w:rPr>
            </w:pPr>
          </w:p>
        </w:tc>
        <w:tc>
          <w:tcPr>
            <w:tcW w:w="850" w:type="dxa"/>
            <w:vAlign w:val="center"/>
          </w:tcPr>
          <w:p>
            <w:pPr>
              <w:pStyle w:val="85"/>
              <w:keepNext/>
              <w:ind w:left="63" w:right="63"/>
              <w:jc w:val="center"/>
              <w:rPr>
                <w:rFonts w:ascii="宋体" w:hAnsi="宋体" w:cs="宋体"/>
                <w:color w:val="auto"/>
                <w:sz w:val="24"/>
                <w:highlight w:val="none"/>
              </w:rPr>
            </w:pPr>
          </w:p>
        </w:tc>
        <w:tc>
          <w:tcPr>
            <w:tcW w:w="1058" w:type="dxa"/>
            <w:vAlign w:val="center"/>
          </w:tcPr>
          <w:p>
            <w:pPr>
              <w:pStyle w:val="85"/>
              <w:keepNext/>
              <w:ind w:left="63" w:right="63"/>
              <w:jc w:val="center"/>
              <w:rPr>
                <w:rFonts w:ascii="宋体" w:hAnsi="宋体" w:cs="宋体"/>
                <w:color w:val="auto"/>
                <w:sz w:val="24"/>
                <w:highlight w:val="none"/>
              </w:rPr>
            </w:pPr>
          </w:p>
        </w:tc>
        <w:tc>
          <w:tcPr>
            <w:tcW w:w="8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1480" w:type="dxa"/>
            <w:vAlign w:val="center"/>
          </w:tcPr>
          <w:p>
            <w:pPr>
              <w:pStyle w:val="85"/>
              <w:keepNext/>
              <w:ind w:left="63" w:right="63"/>
              <w:jc w:val="center"/>
              <w:rPr>
                <w:rFonts w:ascii="宋体" w:hAnsi="宋体" w:cs="宋体"/>
                <w:color w:val="auto"/>
                <w:sz w:val="24"/>
                <w:highlight w:val="none"/>
              </w:rPr>
            </w:pPr>
          </w:p>
        </w:tc>
        <w:tc>
          <w:tcPr>
            <w:tcW w:w="1020" w:type="dxa"/>
            <w:vAlign w:val="center"/>
          </w:tcPr>
          <w:p>
            <w:pPr>
              <w:pStyle w:val="85"/>
              <w:keepNext/>
              <w:ind w:left="63" w:right="63"/>
              <w:jc w:val="center"/>
              <w:rPr>
                <w:rFonts w:ascii="宋体" w:hAnsi="宋体" w:cs="宋体"/>
                <w:color w:val="auto"/>
                <w:sz w:val="24"/>
                <w:highlight w:val="none"/>
              </w:rPr>
            </w:pPr>
          </w:p>
        </w:tc>
        <w:tc>
          <w:tcPr>
            <w:tcW w:w="921" w:type="dxa"/>
            <w:vAlign w:val="center"/>
          </w:tcPr>
          <w:p>
            <w:pPr>
              <w:pStyle w:val="85"/>
              <w:keepNext/>
              <w:ind w:left="63" w:right="63"/>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none"/>
              </w:rPr>
            </w:pPr>
          </w:p>
        </w:tc>
        <w:tc>
          <w:tcPr>
            <w:tcW w:w="1418" w:type="dxa"/>
            <w:vAlign w:val="center"/>
          </w:tcPr>
          <w:p>
            <w:pPr>
              <w:jc w:val="center"/>
              <w:rPr>
                <w:rFonts w:ascii="宋体" w:hAnsi="宋体" w:cs="宋体"/>
                <w:color w:val="auto"/>
                <w:sz w:val="24"/>
                <w:highlight w:val="none"/>
              </w:rPr>
            </w:pPr>
          </w:p>
        </w:tc>
        <w:tc>
          <w:tcPr>
            <w:tcW w:w="850" w:type="dxa"/>
            <w:vAlign w:val="center"/>
          </w:tcPr>
          <w:p>
            <w:pPr>
              <w:jc w:val="center"/>
              <w:rPr>
                <w:rFonts w:ascii="宋体" w:hAnsi="宋体" w:cs="宋体"/>
                <w:color w:val="auto"/>
                <w:sz w:val="24"/>
                <w:highlight w:val="none"/>
              </w:rPr>
            </w:pPr>
          </w:p>
        </w:tc>
        <w:tc>
          <w:tcPr>
            <w:tcW w:w="1058" w:type="dxa"/>
            <w:vAlign w:val="center"/>
          </w:tcPr>
          <w:p>
            <w:pPr>
              <w:jc w:val="center"/>
              <w:rPr>
                <w:rFonts w:ascii="宋体" w:hAnsi="宋体" w:cs="宋体"/>
                <w:color w:val="auto"/>
                <w:sz w:val="24"/>
                <w:highlight w:val="none"/>
              </w:rPr>
            </w:pPr>
          </w:p>
        </w:tc>
        <w:tc>
          <w:tcPr>
            <w:tcW w:w="8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1480" w:type="dxa"/>
            <w:vAlign w:val="center"/>
          </w:tcPr>
          <w:p>
            <w:pPr>
              <w:jc w:val="center"/>
              <w:rPr>
                <w:rFonts w:ascii="宋体" w:hAnsi="宋体" w:cs="宋体"/>
                <w:color w:val="auto"/>
                <w:sz w:val="24"/>
                <w:highlight w:val="none"/>
              </w:rPr>
            </w:pPr>
          </w:p>
        </w:tc>
        <w:tc>
          <w:tcPr>
            <w:tcW w:w="1020" w:type="dxa"/>
            <w:vAlign w:val="center"/>
          </w:tcPr>
          <w:p>
            <w:pPr>
              <w:jc w:val="center"/>
              <w:rPr>
                <w:rFonts w:ascii="宋体" w:hAnsi="宋体" w:cs="宋体"/>
                <w:color w:val="auto"/>
                <w:sz w:val="24"/>
                <w:highlight w:val="none"/>
              </w:rPr>
            </w:pPr>
          </w:p>
        </w:tc>
        <w:tc>
          <w:tcPr>
            <w:tcW w:w="921" w:type="dxa"/>
            <w:vAlign w:val="center"/>
          </w:tcPr>
          <w:p>
            <w:pPr>
              <w:jc w:val="center"/>
              <w:rPr>
                <w:rFonts w:ascii="宋体" w:hAnsi="宋体" w:cs="宋体"/>
                <w:color w:val="auto"/>
                <w:sz w:val="24"/>
                <w:highlight w:val="none"/>
              </w:rPr>
            </w:pPr>
          </w:p>
        </w:tc>
      </w:tr>
    </w:tbl>
    <w:p>
      <w:pPr>
        <w:spacing w:line="360" w:lineRule="auto"/>
        <w:rPr>
          <w:rFonts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24"/>
          <w:highlight w:val="none"/>
        </w:rPr>
        <w:t>附件4：</w:t>
      </w:r>
    </w:p>
    <w:p>
      <w:pPr>
        <w:spacing w:before="156" w:after="156"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承包人主要施工管理人员表</w:t>
      </w:r>
    </w:p>
    <w:tbl>
      <w:tblPr>
        <w:tblStyle w:val="60"/>
        <w:tblW w:w="980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jc w:val="center"/>
              <w:rPr>
                <w:rFonts w:ascii="宋体" w:hAnsi="宋体" w:cs="宋体"/>
                <w:color w:val="auto"/>
                <w:sz w:val="24"/>
                <w:highlight w:val="none"/>
              </w:rPr>
            </w:pPr>
            <w:r>
              <w:rPr>
                <w:rFonts w:hint="eastAsia" w:ascii="宋体" w:hAnsi="宋体" w:cs="宋体"/>
                <w:color w:val="auto"/>
                <w:sz w:val="24"/>
                <w:highlight w:val="none"/>
              </w:rPr>
              <w:t>名 称</w:t>
            </w:r>
          </w:p>
        </w:tc>
        <w:tc>
          <w:tcPr>
            <w:tcW w:w="1418" w:type="dxa"/>
            <w:vAlign w:val="center"/>
          </w:tcPr>
          <w:p>
            <w:pPr>
              <w:pStyle w:val="85"/>
              <w:keepNext/>
              <w:spacing w:line="440" w:lineRule="exact"/>
              <w:ind w:left="63" w:right="63"/>
              <w:jc w:val="center"/>
              <w:rPr>
                <w:rFonts w:ascii="宋体" w:hAnsi="宋体" w:cs="宋体"/>
                <w:color w:val="auto"/>
                <w:sz w:val="24"/>
                <w:highlight w:val="none"/>
              </w:rPr>
            </w:pPr>
            <w:r>
              <w:rPr>
                <w:rFonts w:hint="eastAsia" w:ascii="宋体" w:hAnsi="宋体" w:cs="宋体"/>
                <w:color w:val="auto"/>
                <w:sz w:val="24"/>
                <w:highlight w:val="none"/>
              </w:rPr>
              <w:t>姓名</w:t>
            </w:r>
          </w:p>
        </w:tc>
        <w:tc>
          <w:tcPr>
            <w:tcW w:w="1134" w:type="dxa"/>
            <w:vAlign w:val="center"/>
          </w:tcPr>
          <w:p>
            <w:pPr>
              <w:pStyle w:val="85"/>
              <w:keepNext/>
              <w:spacing w:line="440" w:lineRule="exact"/>
              <w:ind w:left="63" w:right="63"/>
              <w:jc w:val="center"/>
              <w:rPr>
                <w:rFonts w:ascii="宋体" w:hAnsi="宋体" w:cs="宋体"/>
                <w:color w:val="auto"/>
                <w:sz w:val="24"/>
                <w:highlight w:val="none"/>
              </w:rPr>
            </w:pPr>
            <w:r>
              <w:rPr>
                <w:rFonts w:hint="eastAsia" w:ascii="宋体" w:hAnsi="宋体" w:cs="宋体"/>
                <w:color w:val="auto"/>
                <w:sz w:val="24"/>
                <w:highlight w:val="none"/>
              </w:rPr>
              <w:t>职务</w:t>
            </w:r>
          </w:p>
        </w:tc>
        <w:tc>
          <w:tcPr>
            <w:tcW w:w="1134" w:type="dxa"/>
            <w:vAlign w:val="center"/>
          </w:tcPr>
          <w:p>
            <w:pPr>
              <w:pStyle w:val="85"/>
              <w:keepNext/>
              <w:spacing w:line="440" w:lineRule="exact"/>
              <w:ind w:left="63" w:right="63"/>
              <w:jc w:val="center"/>
              <w:rPr>
                <w:rFonts w:ascii="宋体" w:hAnsi="宋体" w:cs="宋体"/>
                <w:color w:val="auto"/>
                <w:sz w:val="24"/>
                <w:highlight w:val="none"/>
              </w:rPr>
            </w:pPr>
            <w:r>
              <w:rPr>
                <w:rFonts w:hint="eastAsia" w:ascii="宋体" w:hAnsi="宋体" w:cs="宋体"/>
                <w:color w:val="auto"/>
                <w:sz w:val="24"/>
                <w:highlight w:val="none"/>
              </w:rPr>
              <w:t>职称</w:t>
            </w:r>
          </w:p>
        </w:tc>
        <w:tc>
          <w:tcPr>
            <w:tcW w:w="4252" w:type="dxa"/>
            <w:vAlign w:val="center"/>
          </w:tcPr>
          <w:p>
            <w:pPr>
              <w:pStyle w:val="85"/>
              <w:keepNext/>
              <w:spacing w:line="440" w:lineRule="exact"/>
              <w:ind w:left="63" w:right="63"/>
              <w:jc w:val="center"/>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9809" w:type="dxa"/>
            <w:gridSpan w:val="5"/>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9809" w:type="dxa"/>
            <w:gridSpan w:val="5"/>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施工管理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restart"/>
            <w:vAlign w:val="center"/>
          </w:tcPr>
          <w:p>
            <w:pPr>
              <w:pStyle w:val="85"/>
              <w:keepNext/>
              <w:spacing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5"/>
              <w:keepNext/>
              <w:spacing w:line="440" w:lineRule="exact"/>
              <w:ind w:left="63" w:right="63"/>
              <w:rPr>
                <w:rFonts w:ascii="宋体" w:hAnsi="宋体" w:cs="宋体"/>
                <w:color w:val="auto"/>
                <w:sz w:val="24"/>
                <w:highlight w:val="none"/>
              </w:rPr>
            </w:pPr>
          </w:p>
        </w:tc>
        <w:tc>
          <w:tcPr>
            <w:tcW w:w="1418"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1134" w:type="dxa"/>
            <w:vAlign w:val="center"/>
          </w:tcPr>
          <w:p>
            <w:pPr>
              <w:pStyle w:val="85"/>
              <w:keepNext/>
              <w:spacing w:line="440" w:lineRule="exact"/>
              <w:ind w:left="63" w:right="63"/>
              <w:rPr>
                <w:rFonts w:ascii="宋体" w:hAnsi="宋体" w:cs="宋体"/>
                <w:color w:val="auto"/>
                <w:sz w:val="24"/>
                <w:highlight w:val="none"/>
              </w:rPr>
            </w:pPr>
          </w:p>
        </w:tc>
        <w:tc>
          <w:tcPr>
            <w:tcW w:w="4252" w:type="dxa"/>
            <w:vAlign w:val="center"/>
          </w:tcPr>
          <w:p>
            <w:pPr>
              <w:pStyle w:val="85"/>
              <w:keepNext/>
              <w:spacing w:line="440" w:lineRule="exact"/>
              <w:ind w:left="63" w:right="63"/>
              <w:rPr>
                <w:rFonts w:ascii="宋体" w:hAnsi="宋体" w:cs="宋体"/>
                <w:color w:val="auto"/>
                <w:sz w:val="24"/>
                <w:highlight w:val="none"/>
              </w:rPr>
            </w:pPr>
          </w:p>
        </w:tc>
      </w:tr>
    </w:tbl>
    <w:p>
      <w:pPr>
        <w:pStyle w:val="18"/>
        <w:rPr>
          <w:rFonts w:hint="eastAsia"/>
          <w:highlight w:val="none"/>
          <w:lang w:val="en-US" w:eastAsia="zh-CN"/>
        </w:rPr>
      </w:pPr>
    </w:p>
    <w:p>
      <w:pPr>
        <w:spacing w:line="360" w:lineRule="auto"/>
        <w:ind w:firstLine="420"/>
        <w:jc w:val="center"/>
        <w:rPr>
          <w:rFonts w:ascii="宋体" w:hAnsi="宋体" w:cs="宋体"/>
          <w:b/>
          <w:sz w:val="36"/>
          <w:highlight w:val="none"/>
        </w:rPr>
      </w:pPr>
      <w:r>
        <w:rPr>
          <w:rFonts w:hint="eastAsia" w:ascii="宋体" w:hAnsi="宋体" w:cs="宋体"/>
          <w:b/>
          <w:sz w:val="36"/>
          <w:highlight w:val="none"/>
          <w:lang w:val="en-US" w:eastAsia="zh-CN"/>
        </w:rPr>
        <w:t>7</w:t>
      </w:r>
      <w:r>
        <w:rPr>
          <w:rFonts w:hint="eastAsia" w:ascii="宋体" w:hAnsi="宋体" w:cs="宋体"/>
          <w:b/>
          <w:sz w:val="36"/>
          <w:highlight w:val="none"/>
        </w:rPr>
        <w:t>、承诺书</w:t>
      </w:r>
    </w:p>
    <w:p>
      <w:pPr>
        <w:spacing w:line="312" w:lineRule="auto"/>
        <w:jc w:val="left"/>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lang w:eastAsia="zh-CN"/>
        </w:rPr>
        <w:t>徐州市泉山区城市管理局</w:t>
      </w:r>
      <w:r>
        <w:rPr>
          <w:rFonts w:hint="eastAsia" w:ascii="宋体" w:hAnsi="宋体" w:cs="宋体"/>
          <w:szCs w:val="21"/>
          <w:highlight w:val="none"/>
        </w:rPr>
        <w:t>：</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根据贵方《</w:t>
      </w:r>
      <w:r>
        <w:rPr>
          <w:rFonts w:hint="eastAsia" w:ascii="宋体" w:hAnsi="宋体" w:cs="宋体"/>
          <w:bCs/>
          <w:sz w:val="21"/>
          <w:szCs w:val="21"/>
          <w:highlight w:val="none"/>
        </w:rPr>
        <w:t>磋商文件</w:t>
      </w:r>
      <w:r>
        <w:rPr>
          <w:rFonts w:hint="eastAsia" w:ascii="宋体" w:hAnsi="宋体" w:cs="宋体"/>
          <w:sz w:val="21"/>
          <w:szCs w:val="21"/>
          <w:highlight w:val="none"/>
        </w:rPr>
        <w:t>》（项目编号：</w:t>
      </w:r>
      <w:r>
        <w:rPr>
          <w:rFonts w:hint="eastAsia" w:ascii="宋体" w:hAnsi="宋体" w:cs="宋体"/>
          <w:sz w:val="21"/>
          <w:szCs w:val="21"/>
          <w:highlight w:val="none"/>
          <w:u w:val="single"/>
          <w:lang w:eastAsia="zh-CN"/>
        </w:rPr>
        <w:t>JSZC-320311-ZJZB-C2025-0172</w:t>
      </w:r>
      <w:r>
        <w:rPr>
          <w:rFonts w:hint="eastAsia" w:ascii="宋体" w:hAnsi="宋体" w:cs="宋体"/>
          <w:sz w:val="21"/>
          <w:szCs w:val="21"/>
          <w:highlight w:val="none"/>
        </w:rPr>
        <w:t>）要求，本供应商正式提交以下首次响应文件。</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 xml:space="preserve">（1）承诺书； </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 xml:space="preserve">（2）磋商报价表； </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（3）偏离表；</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（4）磋商</w:t>
      </w:r>
      <w:r>
        <w:rPr>
          <w:rFonts w:hint="eastAsia" w:ascii="宋体" w:hAnsi="宋体" w:cs="宋体"/>
          <w:bCs/>
          <w:sz w:val="21"/>
          <w:szCs w:val="21"/>
          <w:highlight w:val="none"/>
        </w:rPr>
        <w:t>文件</w:t>
      </w:r>
      <w:r>
        <w:rPr>
          <w:rFonts w:hint="eastAsia" w:ascii="宋体" w:hAnsi="宋体" w:cs="宋体"/>
          <w:sz w:val="21"/>
          <w:szCs w:val="21"/>
          <w:highlight w:val="none"/>
        </w:rPr>
        <w:t>要求提供的其他响应文件。</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我单位符合《中华人民共和国政府采购法》第二十二条的规定，符合本项目供应商资格要求。</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我单位按照磋商文件的要求编制响应文件，并对其提交的响应文件的真实性、合法性承担法律责任。</w:t>
      </w:r>
    </w:p>
    <w:p>
      <w:pPr>
        <w:spacing w:line="312" w:lineRule="auto"/>
        <w:ind w:firstLine="480"/>
        <w:jc w:val="left"/>
        <w:rPr>
          <w:rFonts w:ascii="宋体" w:hAnsi="宋体" w:cs="宋体"/>
          <w:szCs w:val="21"/>
          <w:highlight w:val="none"/>
        </w:rPr>
      </w:pPr>
      <w:r>
        <w:rPr>
          <w:rFonts w:hint="eastAsia" w:ascii="宋体" w:hAnsi="宋体" w:cs="宋体"/>
          <w:szCs w:val="21"/>
          <w:highlight w:val="none"/>
        </w:rPr>
        <w:t xml:space="preserve">供应商兹宣布同意如下： </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一、完全承担根据《磋商文件》规定完成合同的责任和义务（如有偏离，将全部填写在偏离表中）。</w:t>
      </w:r>
    </w:p>
    <w:p>
      <w:pPr>
        <w:pStyle w:val="258"/>
        <w:spacing w:line="312" w:lineRule="auto"/>
        <w:ind w:firstLine="480"/>
        <w:rPr>
          <w:rFonts w:ascii="宋体" w:hAnsi="宋体" w:cs="宋体"/>
          <w:sz w:val="21"/>
          <w:szCs w:val="21"/>
          <w:highlight w:val="none"/>
        </w:rPr>
      </w:pPr>
      <w:r>
        <w:rPr>
          <w:rFonts w:hint="eastAsia" w:ascii="宋体" w:hAnsi="宋体" w:cs="宋体"/>
          <w:sz w:val="21"/>
          <w:szCs w:val="21"/>
          <w:highlight w:val="none"/>
        </w:rPr>
        <w:t>二、保证所提供的响应文件及所有材料的真实、合法、有效，并对其负责。</w:t>
      </w:r>
    </w:p>
    <w:p>
      <w:pPr>
        <w:spacing w:line="312" w:lineRule="auto"/>
        <w:ind w:firstLine="480"/>
        <w:jc w:val="left"/>
        <w:rPr>
          <w:rFonts w:ascii="宋体" w:hAnsi="宋体" w:cs="宋体"/>
          <w:szCs w:val="21"/>
          <w:highlight w:val="none"/>
        </w:rPr>
      </w:pPr>
      <w:r>
        <w:rPr>
          <w:rFonts w:hint="eastAsia" w:ascii="宋体" w:hAnsi="宋体" w:cs="宋体"/>
          <w:szCs w:val="21"/>
          <w:highlight w:val="none"/>
        </w:rPr>
        <w:t>三、已详细审核竞争性磋商文件（含竞争性磋商文件的澄清或者修改），本供应商完全理解并同意放弃对这方面不明及误解的权利。</w:t>
      </w:r>
    </w:p>
    <w:p>
      <w:pPr>
        <w:spacing w:line="312" w:lineRule="auto"/>
        <w:ind w:firstLine="480"/>
        <w:jc w:val="left"/>
        <w:rPr>
          <w:rFonts w:ascii="宋体" w:hAnsi="宋体" w:cs="宋体"/>
          <w:szCs w:val="21"/>
          <w:highlight w:val="none"/>
        </w:rPr>
      </w:pPr>
      <w:r>
        <w:rPr>
          <w:rFonts w:hint="eastAsia" w:ascii="宋体" w:hAnsi="宋体" w:cs="宋体"/>
          <w:szCs w:val="21"/>
          <w:highlight w:val="none"/>
        </w:rPr>
        <w:t>四、所供货物保证符合国家有关产品质量、性能和安全标准，无权利瑕疵。</w:t>
      </w:r>
    </w:p>
    <w:p>
      <w:pPr>
        <w:spacing w:line="312" w:lineRule="auto"/>
        <w:ind w:firstLine="480"/>
        <w:jc w:val="left"/>
        <w:rPr>
          <w:rFonts w:ascii="宋体" w:hAnsi="宋体" w:cs="宋体"/>
          <w:szCs w:val="21"/>
          <w:highlight w:val="none"/>
        </w:rPr>
      </w:pPr>
      <w:r>
        <w:rPr>
          <w:rFonts w:hint="eastAsia" w:ascii="宋体" w:hAnsi="宋体" w:cs="宋体"/>
          <w:szCs w:val="21"/>
          <w:highlight w:val="none"/>
        </w:rPr>
        <w:t>五、报价有效期为30个工作日。</w:t>
      </w:r>
    </w:p>
    <w:p>
      <w:pPr>
        <w:spacing w:line="312" w:lineRule="auto"/>
        <w:ind w:firstLine="480"/>
        <w:jc w:val="left"/>
        <w:rPr>
          <w:rFonts w:ascii="宋体" w:hAnsi="宋体" w:cs="宋体"/>
          <w:szCs w:val="21"/>
          <w:highlight w:val="none"/>
        </w:rPr>
      </w:pPr>
      <w:r>
        <w:rPr>
          <w:rFonts w:hint="eastAsia" w:ascii="宋体" w:hAnsi="宋体" w:cs="宋体"/>
          <w:szCs w:val="21"/>
          <w:highlight w:val="none"/>
        </w:rPr>
        <w:t>六、同意向贵方提供贵方可能要求的与本次磋商采购有关的任何证据或资料。</w:t>
      </w:r>
    </w:p>
    <w:p>
      <w:pPr>
        <w:spacing w:line="312" w:lineRule="auto"/>
        <w:ind w:firstLine="480"/>
        <w:jc w:val="left"/>
        <w:rPr>
          <w:rFonts w:ascii="宋体" w:hAnsi="宋体" w:cs="宋体"/>
          <w:szCs w:val="21"/>
          <w:highlight w:val="none"/>
        </w:rPr>
      </w:pPr>
      <w:r>
        <w:rPr>
          <w:rFonts w:hint="eastAsia" w:ascii="宋体" w:hAnsi="宋体" w:cs="宋体"/>
          <w:szCs w:val="21"/>
          <w:highlight w:val="none"/>
        </w:rPr>
        <w:t>七、完全理解贵方不一定要接受最低的报价或收到的任何报价。</w:t>
      </w:r>
    </w:p>
    <w:p>
      <w:pPr>
        <w:spacing w:line="312" w:lineRule="auto"/>
        <w:ind w:firstLine="480"/>
        <w:jc w:val="left"/>
        <w:rPr>
          <w:rFonts w:ascii="宋体" w:hAnsi="宋体" w:cs="宋体"/>
          <w:szCs w:val="21"/>
          <w:highlight w:val="none"/>
        </w:rPr>
      </w:pPr>
      <w:r>
        <w:rPr>
          <w:rFonts w:hint="eastAsia" w:ascii="宋体" w:hAnsi="宋体" w:cs="宋体"/>
          <w:szCs w:val="21"/>
          <w:highlight w:val="none"/>
        </w:rPr>
        <w:t>八、采购人或采购代理机构有权将我单位本项目的《磋商报价表》和《分项价格表》予以公示，公示的方式由江苏中际招标代理有限公司确定。</w:t>
      </w:r>
    </w:p>
    <w:p>
      <w:pPr>
        <w:spacing w:line="312" w:lineRule="auto"/>
        <w:ind w:firstLine="480"/>
        <w:jc w:val="left"/>
        <w:rPr>
          <w:rFonts w:ascii="宋体" w:hAnsi="宋体" w:cs="宋体"/>
          <w:szCs w:val="21"/>
          <w:highlight w:val="none"/>
        </w:rPr>
      </w:pPr>
      <w:r>
        <w:rPr>
          <w:rFonts w:hint="eastAsia" w:ascii="宋体" w:hAnsi="宋体" w:cs="宋体"/>
          <w:szCs w:val="21"/>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pPr>
        <w:spacing w:line="312" w:lineRule="auto"/>
        <w:ind w:firstLine="480"/>
        <w:jc w:val="left"/>
        <w:rPr>
          <w:rFonts w:ascii="宋体" w:hAnsi="宋体" w:cs="宋体"/>
          <w:szCs w:val="21"/>
          <w:highlight w:val="none"/>
        </w:rPr>
      </w:pPr>
    </w:p>
    <w:p>
      <w:pPr>
        <w:spacing w:line="312" w:lineRule="auto"/>
        <w:ind w:firstLine="1920"/>
        <w:jc w:val="lef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4"/>
          <w:highlight w:val="none"/>
        </w:rPr>
        <w:t>电子签章</w:t>
      </w:r>
      <w:r>
        <w:rPr>
          <w:rFonts w:hint="eastAsia" w:ascii="宋体" w:hAnsi="宋体" w:cs="宋体"/>
          <w:szCs w:val="21"/>
          <w:highlight w:val="none"/>
        </w:rPr>
        <w:t>）：</w:t>
      </w:r>
    </w:p>
    <w:p>
      <w:pPr>
        <w:spacing w:line="312" w:lineRule="auto"/>
        <w:ind w:firstLine="1920"/>
        <w:jc w:val="left"/>
        <w:rPr>
          <w:rFonts w:ascii="宋体" w:hAnsi="宋体" w:cs="宋体"/>
          <w:szCs w:val="21"/>
          <w:highlight w:val="none"/>
        </w:rPr>
      </w:pPr>
      <w:r>
        <w:rPr>
          <w:rFonts w:hint="eastAsia" w:ascii="宋体" w:hAnsi="宋体" w:cs="宋体"/>
          <w:szCs w:val="21"/>
          <w:highlight w:val="none"/>
        </w:rPr>
        <w:t xml:space="preserve">法定代表人（负责人)或授权代表（签字或盖章）：  </w:t>
      </w:r>
    </w:p>
    <w:p>
      <w:pPr>
        <w:spacing w:line="312" w:lineRule="auto"/>
        <w:ind w:firstLine="1920"/>
        <w:jc w:val="left"/>
        <w:rPr>
          <w:rFonts w:ascii="宋体" w:hAnsi="宋体" w:cs="宋体"/>
          <w:szCs w:val="21"/>
          <w:highlight w:val="none"/>
        </w:rPr>
      </w:pPr>
      <w:r>
        <w:rPr>
          <w:rFonts w:hint="eastAsia" w:ascii="宋体" w:hAnsi="宋体" w:cs="宋体"/>
          <w:szCs w:val="21"/>
          <w:highlight w:val="none"/>
        </w:rPr>
        <w:t>联系电话：</w:t>
      </w:r>
    </w:p>
    <w:p>
      <w:pPr>
        <w:spacing w:line="312" w:lineRule="auto"/>
        <w:ind w:firstLine="1920"/>
        <w:jc w:val="left"/>
        <w:rPr>
          <w:rFonts w:ascii="宋体" w:hAnsi="宋体" w:cs="宋体"/>
          <w:szCs w:val="21"/>
          <w:highlight w:val="none"/>
        </w:rPr>
      </w:pPr>
      <w:r>
        <w:rPr>
          <w:rFonts w:hint="eastAsia" w:ascii="宋体" w:hAnsi="宋体" w:cs="宋体"/>
          <w:szCs w:val="21"/>
          <w:highlight w:val="none"/>
        </w:rPr>
        <w:t>移动电话：</w:t>
      </w:r>
    </w:p>
    <w:p>
      <w:pPr>
        <w:spacing w:line="312" w:lineRule="auto"/>
        <w:ind w:firstLine="1920"/>
        <w:jc w:val="left"/>
        <w:rPr>
          <w:rFonts w:ascii="宋体" w:hAnsi="宋体" w:cs="宋体"/>
          <w:szCs w:val="21"/>
          <w:highlight w:val="none"/>
        </w:rPr>
      </w:pPr>
      <w:r>
        <w:rPr>
          <w:rFonts w:hint="eastAsia" w:ascii="宋体" w:hAnsi="宋体" w:cs="宋体"/>
          <w:szCs w:val="21"/>
          <w:highlight w:val="none"/>
        </w:rPr>
        <w:t>日期：</w:t>
      </w:r>
    </w:p>
    <w:p>
      <w:pPr>
        <w:jc w:val="center"/>
        <w:rPr>
          <w:rFonts w:ascii="宋体" w:hAnsi="宋体" w:cs="宋体"/>
          <w:b/>
          <w:sz w:val="36"/>
          <w:highlight w:val="none"/>
        </w:rPr>
      </w:pPr>
      <w:r>
        <w:rPr>
          <w:rFonts w:hint="eastAsia" w:ascii="宋体" w:hAnsi="宋体" w:cs="宋体"/>
          <w:b/>
          <w:bCs/>
          <w:sz w:val="28"/>
          <w:highlight w:val="none"/>
        </w:rPr>
        <w:br w:type="page" w:clear="all"/>
      </w:r>
      <w:r>
        <w:rPr>
          <w:rFonts w:hint="eastAsia" w:ascii="宋体" w:hAnsi="宋体" w:cs="宋体"/>
          <w:b/>
          <w:sz w:val="36"/>
          <w:highlight w:val="none"/>
          <w:lang w:val="en-US" w:eastAsia="zh-CN"/>
        </w:rPr>
        <w:t>8</w:t>
      </w:r>
      <w:r>
        <w:rPr>
          <w:rFonts w:hint="eastAsia" w:ascii="宋体" w:hAnsi="宋体" w:cs="宋体"/>
          <w:b/>
          <w:sz w:val="36"/>
          <w:highlight w:val="none"/>
        </w:rPr>
        <w:t>、授权委托书</w:t>
      </w:r>
    </w:p>
    <w:p>
      <w:pPr>
        <w:spacing w:line="500" w:lineRule="exact"/>
        <w:rPr>
          <w:rFonts w:ascii="宋体" w:hAnsi="宋体" w:cs="宋体"/>
          <w:sz w:val="24"/>
          <w:highlight w:val="none"/>
        </w:rPr>
      </w:pPr>
      <w:r>
        <w:rPr>
          <w:rFonts w:hint="eastAsia" w:ascii="宋体" w:hAnsi="宋体" w:cs="宋体"/>
          <w:sz w:val="24"/>
          <w:highlight w:val="none"/>
        </w:rPr>
        <w:t>委托人（全称）：</w:t>
      </w:r>
    </w:p>
    <w:p>
      <w:pPr>
        <w:spacing w:line="500" w:lineRule="exact"/>
        <w:rPr>
          <w:rFonts w:ascii="宋体" w:hAnsi="宋体" w:cs="宋体"/>
          <w:sz w:val="24"/>
          <w:highlight w:val="none"/>
        </w:rPr>
      </w:pPr>
      <w:r>
        <w:rPr>
          <w:rFonts w:hint="eastAsia" w:ascii="宋体" w:hAnsi="宋体" w:cs="宋体"/>
          <w:sz w:val="24"/>
          <w:highlight w:val="none"/>
        </w:rPr>
        <w:t>地  址：</w:t>
      </w:r>
    </w:p>
    <w:p>
      <w:pPr>
        <w:spacing w:line="500" w:lineRule="exact"/>
        <w:rPr>
          <w:rFonts w:ascii="宋体" w:hAnsi="宋体" w:cs="宋体"/>
          <w:sz w:val="24"/>
          <w:highlight w:val="none"/>
        </w:rPr>
      </w:pPr>
      <w:r>
        <w:rPr>
          <w:rFonts w:hint="eastAsia" w:ascii="宋体" w:hAnsi="宋体" w:cs="宋体"/>
          <w:sz w:val="24"/>
          <w:highlight w:val="none"/>
        </w:rPr>
        <w:t xml:space="preserve">法定代表人（负责人）：               </w:t>
      </w:r>
    </w:p>
    <w:p>
      <w:pPr>
        <w:spacing w:line="500" w:lineRule="exact"/>
        <w:rPr>
          <w:rFonts w:ascii="宋体" w:hAnsi="宋体" w:cs="宋体"/>
          <w:sz w:val="24"/>
          <w:highlight w:val="none"/>
        </w:rPr>
      </w:pPr>
      <w:r>
        <w:rPr>
          <w:rFonts w:hint="eastAsia" w:ascii="宋体" w:hAnsi="宋体" w:cs="宋体"/>
          <w:sz w:val="24"/>
          <w:highlight w:val="none"/>
        </w:rPr>
        <w:t>统一社会信用代码：</w:t>
      </w:r>
    </w:p>
    <w:p>
      <w:pPr>
        <w:spacing w:line="500" w:lineRule="exact"/>
        <w:rPr>
          <w:rFonts w:ascii="宋体" w:hAnsi="宋体" w:cs="宋体"/>
          <w:sz w:val="24"/>
          <w:highlight w:val="none"/>
        </w:rPr>
      </w:pPr>
    </w:p>
    <w:p>
      <w:pPr>
        <w:spacing w:line="500" w:lineRule="exact"/>
        <w:rPr>
          <w:rFonts w:ascii="宋体" w:hAnsi="宋体" w:cs="宋体"/>
          <w:sz w:val="24"/>
          <w:highlight w:val="none"/>
        </w:rPr>
      </w:pPr>
      <w:r>
        <w:rPr>
          <w:rFonts w:hint="eastAsia" w:ascii="宋体" w:hAnsi="宋体" w:cs="宋体"/>
          <w:sz w:val="24"/>
          <w:highlight w:val="none"/>
        </w:rPr>
        <w:t>受托人：                  先生（女士）</w:t>
      </w:r>
    </w:p>
    <w:p>
      <w:pPr>
        <w:spacing w:line="500" w:lineRule="exact"/>
        <w:rPr>
          <w:rFonts w:ascii="宋体" w:hAnsi="宋体" w:cs="宋体"/>
          <w:sz w:val="24"/>
          <w:highlight w:val="none"/>
        </w:rPr>
      </w:pPr>
      <w:r>
        <w:rPr>
          <w:rFonts w:hint="eastAsia" w:ascii="宋体" w:hAnsi="宋体" w:cs="宋体"/>
          <w:sz w:val="24"/>
          <w:highlight w:val="none"/>
        </w:rPr>
        <w:t>身份证号：</w:t>
      </w:r>
    </w:p>
    <w:p>
      <w:pPr>
        <w:spacing w:line="0" w:lineRule="atLeast"/>
        <w:jc w:val="center"/>
        <w:rPr>
          <w:rFonts w:ascii="宋体" w:hAnsi="宋体" w:cs="宋体"/>
          <w:sz w:val="24"/>
          <w:highlight w:val="none"/>
        </w:rPr>
      </w:pPr>
    </w:p>
    <w:p>
      <w:pPr>
        <w:spacing w:line="500" w:lineRule="exact"/>
        <w:rPr>
          <w:rFonts w:ascii="宋体" w:hAnsi="宋体" w:cs="宋体"/>
          <w:sz w:val="24"/>
          <w:highlight w:val="none"/>
        </w:rPr>
      </w:pPr>
    </w:p>
    <w:p>
      <w:pPr>
        <w:spacing w:line="360" w:lineRule="auto"/>
        <w:ind w:firstLine="480"/>
        <w:rPr>
          <w:rFonts w:ascii="宋体" w:hAnsi="宋体" w:cs="宋体"/>
          <w:sz w:val="24"/>
          <w:highlight w:val="none"/>
        </w:rPr>
      </w:pPr>
      <w:r>
        <w:rPr>
          <w:rFonts w:hint="eastAsia" w:ascii="宋体" w:hAnsi="宋体" w:cs="宋体"/>
          <w:sz w:val="24"/>
          <w:highlight w:val="none"/>
        </w:rPr>
        <w:t>兹委托（            ）全权代表我企业（公司）参与</w:t>
      </w:r>
      <w:r>
        <w:rPr>
          <w:rFonts w:hint="eastAsia" w:ascii="宋体" w:hAnsi="宋体" w:cs="宋体"/>
          <w:sz w:val="24"/>
          <w:highlight w:val="none"/>
          <w:lang w:eastAsia="zh-CN"/>
        </w:rPr>
        <w:t>2025年泉山区嘉美路维修工程</w:t>
      </w:r>
      <w:r>
        <w:rPr>
          <w:rFonts w:hint="eastAsia" w:ascii="宋体" w:hAnsi="宋体" w:cs="宋体"/>
          <w:sz w:val="24"/>
          <w:highlight w:val="none"/>
        </w:rPr>
        <w:t>[项目编号：</w:t>
      </w:r>
      <w:r>
        <w:rPr>
          <w:rFonts w:hint="eastAsia" w:ascii="宋体" w:hAnsi="宋体" w:cs="宋体"/>
          <w:sz w:val="24"/>
          <w:highlight w:val="none"/>
          <w:lang w:eastAsia="zh-CN"/>
        </w:rPr>
        <w:t>JSZC-320311-ZJZB-C2025-0172</w:t>
      </w:r>
      <w:r>
        <w:rPr>
          <w:rFonts w:hint="eastAsia" w:ascii="宋体" w:hAnsi="宋体" w:cs="宋体"/>
          <w:sz w:val="24"/>
          <w:highlight w:val="none"/>
        </w:rPr>
        <w:t>]的磋商活动及签订合同。（         ）以我企业（公司）名义所为的行为及签署的文件，我企业（公司）均予以认可。有关法律责任均由我企业（公司）承担。（         ）无转委托权。委托期限自    年  月   日起至    年  月    日止。</w:t>
      </w:r>
    </w:p>
    <w:p>
      <w:pPr>
        <w:spacing w:line="500" w:lineRule="exact"/>
        <w:rPr>
          <w:rFonts w:ascii="宋体" w:hAnsi="宋体" w:cs="宋体"/>
          <w:sz w:val="24"/>
          <w:highlight w:val="none"/>
        </w:rPr>
      </w:pPr>
    </w:p>
    <w:p>
      <w:pPr>
        <w:spacing w:line="500" w:lineRule="exact"/>
        <w:rPr>
          <w:rFonts w:ascii="宋体" w:hAnsi="宋体" w:cs="宋体"/>
          <w:sz w:val="24"/>
          <w:highlight w:val="none"/>
        </w:rPr>
      </w:pPr>
      <w:r>
        <w:rPr>
          <w:rFonts w:hint="eastAsia" w:ascii="宋体" w:hAnsi="宋体" w:cs="宋体"/>
          <w:sz w:val="24"/>
          <w:highlight w:val="none"/>
        </w:rPr>
        <w:t>委托人（电子签章）：</w:t>
      </w:r>
    </w:p>
    <w:p>
      <w:pPr>
        <w:spacing w:line="500" w:lineRule="exact"/>
        <w:rPr>
          <w:rFonts w:ascii="宋体" w:hAnsi="宋体" w:cs="宋体"/>
          <w:sz w:val="24"/>
          <w:highlight w:val="none"/>
        </w:rPr>
      </w:pPr>
    </w:p>
    <w:p>
      <w:pPr>
        <w:spacing w:line="500" w:lineRule="exact"/>
        <w:rPr>
          <w:rFonts w:ascii="宋体" w:hAnsi="宋体" w:cs="宋体"/>
          <w:sz w:val="24"/>
          <w:highlight w:val="none"/>
        </w:rPr>
      </w:pPr>
      <w:r>
        <w:rPr>
          <w:rFonts w:hint="eastAsia" w:ascii="宋体" w:hAnsi="宋体" w:cs="宋体"/>
          <w:sz w:val="24"/>
          <w:highlight w:val="none"/>
        </w:rPr>
        <w:t>法定代表人（负责人）（签字或盖章）：</w:t>
      </w:r>
    </w:p>
    <w:p>
      <w:pPr>
        <w:spacing w:line="500" w:lineRule="exact"/>
        <w:rPr>
          <w:rFonts w:ascii="宋体" w:hAnsi="宋体" w:cs="宋体"/>
          <w:sz w:val="24"/>
          <w:highlight w:val="none"/>
        </w:rPr>
      </w:pPr>
      <w:r>
        <w:rPr>
          <w:rFonts w:hint="eastAsia" w:ascii="宋体" w:hAnsi="宋体" w:cs="宋体"/>
          <w:sz w:val="24"/>
          <w:highlight w:val="none"/>
        </w:rPr>
        <w:t>受托人（签字或盖章）：</w:t>
      </w:r>
    </w:p>
    <w:p>
      <w:pPr>
        <w:spacing w:line="500" w:lineRule="exact"/>
        <w:ind w:firstLine="3561"/>
        <w:rPr>
          <w:rFonts w:ascii="宋体" w:hAnsi="宋体" w:cs="宋体"/>
          <w:sz w:val="24"/>
          <w:highlight w:val="none"/>
        </w:rPr>
      </w:pPr>
      <w:r>
        <w:rPr>
          <w:rFonts w:hint="eastAsia" w:ascii="宋体" w:hAnsi="宋体" w:cs="宋体"/>
          <w:sz w:val="24"/>
          <w:highlight w:val="none"/>
        </w:rPr>
        <w:t xml:space="preserve">                   年   月   日</w:t>
      </w: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b/>
          <w:bCs/>
          <w:sz w:val="24"/>
          <w:highlight w:val="none"/>
        </w:rPr>
      </w:pPr>
      <w:r>
        <w:rPr>
          <w:rFonts w:hint="eastAsia" w:ascii="宋体" w:hAnsi="宋体" w:cs="宋体"/>
          <w:b/>
          <w:bCs/>
          <w:sz w:val="24"/>
          <w:highlight w:val="none"/>
        </w:rPr>
        <w:t>（受托人身份证复印件附后)</w:t>
      </w:r>
    </w:p>
    <w:p>
      <w:pPr>
        <w:widowControl/>
        <w:spacing w:line="360" w:lineRule="auto"/>
        <w:jc w:val="center"/>
        <w:rPr>
          <w:rFonts w:ascii="宋体" w:hAnsi="宋体" w:cs="宋体"/>
          <w:b/>
          <w:sz w:val="36"/>
          <w:szCs w:val="36"/>
          <w:highlight w:val="none"/>
        </w:rPr>
      </w:pPr>
      <w:r>
        <w:rPr>
          <w:rFonts w:hint="eastAsia" w:ascii="宋体" w:hAnsi="宋体" w:cs="宋体"/>
          <w:b/>
          <w:sz w:val="36"/>
          <w:szCs w:val="36"/>
          <w:highlight w:val="none"/>
        </w:rPr>
        <w:br w:type="page" w:clear="all"/>
      </w:r>
      <w:r>
        <w:rPr>
          <w:rFonts w:hint="eastAsia" w:ascii="宋体" w:hAnsi="宋体" w:cs="宋体"/>
          <w:b/>
          <w:sz w:val="36"/>
          <w:szCs w:val="36"/>
          <w:highlight w:val="none"/>
          <w:lang w:val="en-US" w:eastAsia="zh-CN"/>
        </w:rPr>
        <w:t>9</w:t>
      </w:r>
      <w:r>
        <w:rPr>
          <w:rFonts w:hint="eastAsia" w:ascii="宋体" w:hAnsi="宋体" w:cs="宋体"/>
          <w:b/>
          <w:sz w:val="36"/>
          <w:szCs w:val="36"/>
          <w:highlight w:val="none"/>
        </w:rPr>
        <w:t>、</w:t>
      </w:r>
      <w:bookmarkStart w:id="589" w:name="_Hlk81985284"/>
      <w:r>
        <w:rPr>
          <w:rFonts w:hint="eastAsia" w:ascii="宋体" w:hAnsi="宋体" w:cs="宋体"/>
          <w:b/>
          <w:sz w:val="36"/>
          <w:szCs w:val="36"/>
          <w:highlight w:val="none"/>
        </w:rPr>
        <w:t>中小企业声明函</w:t>
      </w:r>
    </w:p>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szCs w:val="21"/>
          <w:highlight w:val="none"/>
          <w:lang w:eastAsia="zh-CN"/>
        </w:rPr>
        <w:t>JSZC-320311-ZJZB-C2025-0172</w:t>
      </w:r>
    </w:p>
    <w:p>
      <w:pPr>
        <w:spacing w:line="480" w:lineRule="exact"/>
        <w:ind w:firstLine="504"/>
        <w:rPr>
          <w:rFonts w:hint="eastAsia" w:ascii="宋体" w:hAnsi="宋体" w:eastAsia="宋体" w:cs="宋体"/>
          <w:spacing w:val="6"/>
          <w:sz w:val="24"/>
          <w:highlight w:val="none"/>
          <w:lang w:eastAsia="zh-CN"/>
        </w:rPr>
      </w:pPr>
      <w:r>
        <w:rPr>
          <w:rFonts w:hint="eastAsia" w:ascii="宋体" w:hAnsi="宋体" w:cs="宋体"/>
          <w:spacing w:val="6"/>
          <w:sz w:val="24"/>
          <w:highlight w:val="none"/>
        </w:rPr>
        <w:t>项目名称：</w:t>
      </w:r>
      <w:r>
        <w:rPr>
          <w:rFonts w:hint="eastAsia" w:ascii="宋体" w:hAnsi="宋体" w:cs="宋体"/>
          <w:spacing w:val="6"/>
          <w:sz w:val="24"/>
          <w:highlight w:val="none"/>
          <w:lang w:eastAsia="zh-CN"/>
        </w:rPr>
        <w:t>2025年泉山区嘉美路维修工程</w:t>
      </w:r>
    </w:p>
    <w:p>
      <w:pPr>
        <w:spacing w:line="480" w:lineRule="exact"/>
        <w:ind w:firstLine="504"/>
        <w:rPr>
          <w:rFonts w:hint="eastAsia" w:ascii="宋体" w:hAnsi="宋体" w:cs="宋体"/>
          <w:spacing w:val="6"/>
          <w:sz w:val="24"/>
          <w:highlight w:val="none"/>
          <w:lang w:eastAsia="zh-CN"/>
        </w:rPr>
      </w:pPr>
      <w:r>
        <w:rPr>
          <w:rFonts w:hint="eastAsia" w:ascii="宋体" w:hAnsi="宋体" w:cs="宋体"/>
          <w:spacing w:val="6"/>
          <w:sz w:val="24"/>
          <w:highlight w:val="none"/>
        </w:rPr>
        <w:t>项目编号：</w:t>
      </w:r>
      <w:r>
        <w:rPr>
          <w:rFonts w:hint="eastAsia" w:ascii="宋体" w:hAnsi="宋体" w:cs="宋体"/>
          <w:spacing w:val="6"/>
          <w:sz w:val="24"/>
          <w:highlight w:val="none"/>
          <w:lang w:eastAsia="zh-CN"/>
        </w:rPr>
        <w:t>JSZC-320311-ZJZB-C2025-0172</w:t>
      </w:r>
    </w:p>
    <w:p>
      <w:pPr>
        <w:spacing w:line="480" w:lineRule="exact"/>
        <w:ind w:firstLine="504"/>
        <w:rPr>
          <w:rFonts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本公司（联合体）郑重声明，根据《政府采购促进中小企业发展管理办法》（财库[2020]46号）的规定，本公司参加（</w:t>
      </w:r>
      <w:r>
        <w:rPr>
          <w:rFonts w:hint="eastAsia" w:ascii="宋体" w:hAnsi="宋体" w:cs="宋体"/>
          <w:spacing w:val="6"/>
          <w:sz w:val="24"/>
          <w:highlight w:val="none"/>
          <w:lang w:eastAsia="zh-CN"/>
        </w:rPr>
        <w:t>徐州市泉山区城市管理局</w:t>
      </w:r>
      <w:r>
        <w:rPr>
          <w:rFonts w:hint="eastAsia" w:ascii="宋体" w:hAnsi="宋体" w:cs="宋体"/>
          <w:spacing w:val="6"/>
          <w:sz w:val="24"/>
          <w:highlight w:val="none"/>
        </w:rPr>
        <w:t>）的（</w:t>
      </w:r>
      <w:r>
        <w:rPr>
          <w:rFonts w:hint="eastAsia" w:ascii="宋体" w:hAnsi="宋体" w:cs="宋体"/>
          <w:spacing w:val="6"/>
          <w:sz w:val="24"/>
          <w:highlight w:val="none"/>
          <w:lang w:eastAsia="zh-CN"/>
        </w:rPr>
        <w:t>2025年泉山区嘉美路维修工程</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w:t>
      </w:r>
      <w:r>
        <w:rPr>
          <w:rFonts w:hint="eastAsia" w:ascii="宋体" w:hAnsi="宋体" w:cs="宋体"/>
          <w:spacing w:val="6"/>
          <w:sz w:val="24"/>
          <w:highlight w:val="none"/>
          <w:lang w:eastAsia="zh-CN"/>
        </w:rPr>
        <w:t>2025年泉山区嘉美路维修工程</w:t>
      </w:r>
      <w:r>
        <w:rPr>
          <w:rFonts w:hint="eastAsia" w:ascii="宋体" w:hAnsi="宋体" w:cs="宋体"/>
          <w:spacing w:val="6"/>
          <w:sz w:val="24"/>
          <w:highlight w:val="none"/>
        </w:rPr>
        <w:t>），属于（</w:t>
      </w:r>
      <w:r>
        <w:rPr>
          <w:rFonts w:hint="eastAsia" w:ascii="宋体" w:hAnsi="宋体" w:cs="宋体"/>
          <w:spacing w:val="6"/>
          <w:sz w:val="24"/>
          <w:highlight w:val="none"/>
          <w:lang w:val="en-US" w:eastAsia="zh-CN"/>
        </w:rPr>
        <w:t>建筑业</w:t>
      </w:r>
      <w:r>
        <w:rPr>
          <w:rFonts w:hint="eastAsia" w:ascii="宋体" w:hAnsi="宋体" w:cs="宋体"/>
          <w:spacing w:val="6"/>
          <w:sz w:val="24"/>
          <w:highlight w:val="none"/>
        </w:rPr>
        <w:t>）；承建（承建）企业为（</w:t>
      </w:r>
      <w:r>
        <w:rPr>
          <w:rFonts w:hint="eastAsia" w:ascii="宋体" w:hAnsi="宋体" w:cs="宋体"/>
          <w:spacing w:val="6"/>
          <w:sz w:val="24"/>
          <w:highlight w:val="none"/>
          <w:u w:val="single"/>
        </w:rPr>
        <w:t>企</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single"/>
        </w:rPr>
        <w:t>业</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single"/>
        </w:rPr>
        <w:t>名</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single"/>
        </w:rPr>
        <w:t>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Wingdings 2" w:hAnsi="Wingdings 2" w:eastAsia="宋体" w:cs="Wingdings 2"/>
          <w:spacing w:val="6"/>
          <w:sz w:val="24"/>
          <w:highlight w:val="none"/>
          <w:lang w:eastAsia="zh-CN"/>
        </w:rPr>
        <w:t>□</w:t>
      </w:r>
      <w:r>
        <w:rPr>
          <w:rFonts w:hint="eastAsia" w:ascii="宋体" w:hAnsi="宋体" w:cs="宋体"/>
          <w:spacing w:val="6"/>
          <w:sz w:val="24"/>
          <w:highlight w:val="none"/>
        </w:rPr>
        <w:t>中型企业、</w:t>
      </w:r>
      <w:r>
        <w:rPr>
          <w:rFonts w:hint="eastAsia" w:ascii="Wingdings 2" w:hAnsi="Wingdings 2" w:eastAsia="宋体" w:cs="Wingdings 2"/>
          <w:spacing w:val="6"/>
          <w:sz w:val="24"/>
          <w:highlight w:val="none"/>
          <w:lang w:eastAsia="zh-CN"/>
        </w:rPr>
        <w:t>□</w:t>
      </w:r>
      <w:r>
        <w:rPr>
          <w:rFonts w:hint="eastAsia" w:ascii="宋体" w:hAnsi="宋体" w:cs="宋体"/>
          <w:spacing w:val="6"/>
          <w:sz w:val="24"/>
          <w:highlight w:val="none"/>
        </w:rPr>
        <w:t>小型企业、</w:t>
      </w:r>
      <w:r>
        <w:rPr>
          <w:rFonts w:hint="eastAsia" w:ascii="Wingdings 2" w:hAnsi="Wingdings 2" w:eastAsia="宋体" w:cs="Wingdings 2"/>
          <w:spacing w:val="6"/>
          <w:sz w:val="24"/>
          <w:highlight w:val="none"/>
          <w:lang w:eastAsia="zh-CN"/>
        </w:rPr>
        <w:t>□</w:t>
      </w:r>
      <w:r>
        <w:rPr>
          <w:rFonts w:hint="eastAsia" w:ascii="宋体" w:hAnsi="宋体" w:cs="宋体"/>
          <w:spacing w:val="6"/>
          <w:sz w:val="24"/>
          <w:highlight w:val="none"/>
        </w:rPr>
        <w:t>微型企业,</w:t>
      </w:r>
      <w:r>
        <w:rPr>
          <w:rFonts w:hint="eastAsia" w:ascii="宋体" w:hAnsi="宋体" w:cs="宋体"/>
          <w:b/>
          <w:bCs/>
          <w:spacing w:val="6"/>
          <w:sz w:val="24"/>
          <w:highlight w:val="none"/>
        </w:rPr>
        <w:t>请勾选！</w:t>
      </w:r>
      <w:r>
        <w:rPr>
          <w:rFonts w:hint="eastAsia" w:ascii="宋体" w:hAnsi="宋体" w:cs="宋体"/>
          <w:spacing w:val="6"/>
          <w:sz w:val="24"/>
          <w:highlight w:val="none"/>
        </w:rPr>
        <w:t>）；</w:t>
      </w:r>
    </w:p>
    <w:p>
      <w:pPr>
        <w:pStyle w:val="65"/>
        <w:widowControl w:val="0"/>
        <w:spacing w:line="360" w:lineRule="auto"/>
        <w:ind w:firstLine="480"/>
        <w:rPr>
          <w:rFonts w:ascii="宋体" w:hAnsi="宋体" w:cs="宋体"/>
          <w:spacing w:val="6"/>
          <w:sz w:val="24"/>
          <w:szCs w:val="24"/>
          <w:highlight w:val="none"/>
        </w:rPr>
      </w:pPr>
      <w:r>
        <w:rPr>
          <w:rFonts w:hint="eastAsia" w:ascii="宋体" w:hAnsi="宋体" w:cs="宋体"/>
          <w:spacing w:val="6"/>
          <w:sz w:val="24"/>
          <w:szCs w:val="24"/>
          <w:highlight w:val="none"/>
        </w:rPr>
        <w:t>…</w:t>
      </w:r>
    </w:p>
    <w:p>
      <w:pPr>
        <w:spacing w:line="480" w:lineRule="exact"/>
        <w:ind w:firstLine="482"/>
        <w:rPr>
          <w:rFonts w:ascii="宋体" w:hAnsi="宋体" w:cs="宋体"/>
          <w:b/>
          <w:bCs/>
          <w:spacing w:val="6"/>
          <w:sz w:val="24"/>
          <w:highlight w:val="none"/>
        </w:rPr>
      </w:pPr>
      <w:r>
        <w:rPr>
          <w:rFonts w:hint="eastAsia" w:ascii="宋体" w:hAnsi="宋体" w:cs="宋体"/>
          <w:b/>
          <w:bCs/>
          <w:sz w:val="24"/>
          <w:highlight w:val="none"/>
        </w:rPr>
        <w:t>以上企业，不属于大企业的分支机构，不存在控股股东为大企业的情形，也不存在与大企业的负责人为同一人的情形。</w:t>
      </w:r>
    </w:p>
    <w:p>
      <w:pPr>
        <w:spacing w:line="480" w:lineRule="exact"/>
        <w:ind w:firstLine="480"/>
        <w:rPr>
          <w:rFonts w:ascii="宋体" w:hAnsi="宋体" w:cs="宋体"/>
          <w:spacing w:val="6"/>
          <w:sz w:val="24"/>
          <w:highlight w:val="none"/>
        </w:rPr>
      </w:pPr>
      <w:r>
        <w:rPr>
          <w:rFonts w:hint="eastAsia" w:ascii="宋体" w:hAnsi="宋体" w:cs="宋体"/>
          <w:sz w:val="24"/>
          <w:highlight w:val="none"/>
        </w:rPr>
        <w:t>本企业对上述声明内容的真实性负责。如有虚假，将依法承担相应责任。</w:t>
      </w:r>
    </w:p>
    <w:p>
      <w:pPr>
        <w:widowControl/>
        <w:spacing w:line="480" w:lineRule="exact"/>
        <w:ind w:firstLine="600"/>
        <w:jc w:val="left"/>
        <w:rPr>
          <w:rFonts w:ascii="宋体" w:hAnsi="宋体" w:cs="宋体"/>
          <w:sz w:val="24"/>
          <w:highlight w:val="none"/>
        </w:rPr>
      </w:pPr>
    </w:p>
    <w:p>
      <w:pPr>
        <w:spacing w:line="480" w:lineRule="exact"/>
        <w:ind w:firstLine="480"/>
        <w:rPr>
          <w:rFonts w:ascii="宋体" w:hAnsi="宋体" w:cs="宋体"/>
          <w:sz w:val="24"/>
          <w:highlight w:val="none"/>
        </w:rPr>
      </w:pPr>
      <w:r>
        <w:rPr>
          <w:rFonts w:hint="eastAsia" w:ascii="宋体" w:hAnsi="宋体" w:cs="宋体"/>
          <w:sz w:val="24"/>
          <w:highlight w:val="none"/>
        </w:rPr>
        <w:t xml:space="preserve">                         供应商名称（电子签章）：</w:t>
      </w:r>
    </w:p>
    <w:p>
      <w:pPr>
        <w:spacing w:line="480" w:lineRule="exact"/>
        <w:ind w:firstLine="480"/>
        <w:rPr>
          <w:rFonts w:ascii="宋体" w:hAnsi="宋体" w:cs="宋体"/>
          <w:sz w:val="24"/>
          <w:highlight w:val="none"/>
        </w:rPr>
      </w:pPr>
      <w:r>
        <w:rPr>
          <w:rFonts w:hint="eastAsia" w:ascii="宋体" w:hAnsi="宋体" w:cs="宋体"/>
          <w:sz w:val="24"/>
          <w:highlight w:val="none"/>
        </w:rPr>
        <w:t xml:space="preserve">                         日 期：</w:t>
      </w:r>
    </w:p>
    <w:p>
      <w:pPr>
        <w:spacing w:line="480" w:lineRule="exact"/>
        <w:ind w:firstLine="482"/>
        <w:rPr>
          <w:rFonts w:ascii="宋体" w:hAnsi="宋体" w:cs="宋体"/>
          <w:b/>
          <w:color w:val="auto"/>
          <w:sz w:val="24"/>
          <w:highlight w:val="none"/>
        </w:rPr>
      </w:pPr>
      <w:r>
        <w:rPr>
          <w:rFonts w:hint="eastAsia" w:ascii="宋体" w:hAnsi="宋体" w:cs="宋体"/>
          <w:b/>
          <w:color w:val="auto"/>
          <w:sz w:val="24"/>
          <w:highlight w:val="none"/>
        </w:rPr>
        <w:t>注：本项目采购项目属性为：</w:t>
      </w:r>
      <w:r>
        <w:rPr>
          <w:rFonts w:hint="eastAsia" w:ascii="宋体" w:hAnsi="宋体" w:cs="宋体"/>
          <w:b/>
          <w:color w:val="auto"/>
          <w:sz w:val="24"/>
          <w:highlight w:val="none"/>
          <w:lang w:val="en-US" w:eastAsia="zh-CN"/>
        </w:rPr>
        <w:t>建筑业</w:t>
      </w:r>
      <w:r>
        <w:rPr>
          <w:rFonts w:hint="eastAsia" w:ascii="宋体" w:hAnsi="宋体" w:cs="宋体"/>
          <w:b/>
          <w:color w:val="auto"/>
          <w:sz w:val="24"/>
          <w:highlight w:val="none"/>
        </w:rPr>
        <w:t>。</w:t>
      </w:r>
    </w:p>
    <w:p>
      <w:pPr>
        <w:spacing w:line="480" w:lineRule="exact"/>
        <w:ind w:firstLine="482"/>
        <w:rPr>
          <w:rFonts w:ascii="宋体" w:hAnsi="宋体" w:cs="宋体"/>
          <w:sz w:val="30"/>
          <w:szCs w:val="30"/>
          <w:highlight w:val="none"/>
        </w:rPr>
      </w:pPr>
      <w:r>
        <w:rPr>
          <w:rFonts w:hint="eastAsia" w:ascii="宋体" w:hAnsi="宋体" w:cs="宋体"/>
          <w:b/>
          <w:sz w:val="24"/>
          <w:highlight w:val="none"/>
        </w:rPr>
        <w:t>备注：从业人员、营业收入、资产总额填报上一年度数据，无上一年度数据的新成立企业可不填报。</w:t>
      </w:r>
    </w:p>
    <w:bookmarkEnd w:id="589"/>
    <w:p>
      <w:pPr>
        <w:jc w:val="center"/>
        <w:rPr>
          <w:rFonts w:ascii="宋体" w:hAnsi="宋体" w:cs="宋体"/>
          <w:b/>
          <w:sz w:val="36"/>
          <w:szCs w:val="36"/>
          <w:highlight w:val="none"/>
        </w:rPr>
      </w:pPr>
      <w:r>
        <w:rPr>
          <w:rFonts w:hint="eastAsia" w:ascii="宋体" w:hAnsi="宋体" w:cs="宋体"/>
          <w:sz w:val="36"/>
          <w:szCs w:val="36"/>
          <w:highlight w:val="none"/>
        </w:rPr>
        <w:br w:type="page" w:clear="all"/>
      </w:r>
      <w:r>
        <w:rPr>
          <w:rFonts w:hint="eastAsia" w:ascii="宋体" w:hAnsi="宋体" w:cs="宋体"/>
          <w:b/>
          <w:bCs/>
          <w:sz w:val="36"/>
          <w:szCs w:val="36"/>
          <w:highlight w:val="none"/>
        </w:rPr>
        <w:t>1</w:t>
      </w:r>
      <w:r>
        <w:rPr>
          <w:rFonts w:hint="eastAsia" w:ascii="宋体" w:hAnsi="宋体" w:cs="宋体"/>
          <w:b/>
          <w:bCs/>
          <w:sz w:val="36"/>
          <w:szCs w:val="36"/>
          <w:highlight w:val="none"/>
          <w:lang w:val="en-US" w:eastAsia="zh-CN"/>
        </w:rPr>
        <w:t>0</w:t>
      </w:r>
      <w:r>
        <w:rPr>
          <w:rFonts w:hint="eastAsia" w:ascii="宋体" w:hAnsi="宋体" w:cs="宋体"/>
          <w:b/>
          <w:bCs/>
          <w:sz w:val="36"/>
          <w:szCs w:val="36"/>
          <w:highlight w:val="none"/>
        </w:rPr>
        <w:t>、</w:t>
      </w:r>
      <w:r>
        <w:rPr>
          <w:rFonts w:hint="eastAsia" w:ascii="宋体" w:hAnsi="宋体" w:cs="宋体"/>
          <w:b/>
          <w:sz w:val="36"/>
          <w:szCs w:val="36"/>
          <w:highlight w:val="none"/>
        </w:rPr>
        <w:t>供应商参加政府采购活动前3年内在经营活动中没有重大违法记录的书面声明</w:t>
      </w:r>
    </w:p>
    <w:p>
      <w:pPr>
        <w:widowControl/>
        <w:spacing w:before="100" w:beforeAutospacing="1" w:after="100" w:afterAutospacing="1" w:line="360" w:lineRule="auto"/>
        <w:ind w:firstLine="480"/>
        <w:jc w:val="left"/>
        <w:rPr>
          <w:rFonts w:ascii="宋体" w:hAnsi="宋体" w:cs="宋体"/>
          <w:sz w:val="24"/>
          <w:highlight w:val="none"/>
        </w:rPr>
      </w:pPr>
      <w:r>
        <w:rPr>
          <w:rFonts w:hint="eastAsia" w:ascii="宋体" w:hAnsi="宋体" w:cs="宋体"/>
          <w:sz w:val="24"/>
          <w:highlight w:val="none"/>
        </w:rPr>
        <w:t>我单位在</w:t>
      </w:r>
      <w:r>
        <w:rPr>
          <w:rFonts w:hint="eastAsia" w:ascii="宋体" w:hAnsi="宋体" w:cs="宋体"/>
          <w:sz w:val="24"/>
          <w:highlight w:val="none"/>
          <w:u w:val="none"/>
        </w:rPr>
        <w:t>参加</w:t>
      </w:r>
      <w:r>
        <w:rPr>
          <w:rFonts w:hint="eastAsia" w:ascii="宋体" w:hAnsi="宋体"/>
          <w:sz w:val="24"/>
          <w:highlight w:val="none"/>
          <w:u w:val="none"/>
          <w:lang w:eastAsia="zh-CN"/>
        </w:rPr>
        <w:t>2025年泉山区嘉美路维修工程</w:t>
      </w:r>
      <w:r>
        <w:rPr>
          <w:rFonts w:hint="eastAsia" w:ascii="宋体" w:hAnsi="宋体" w:cs="宋体"/>
          <w:sz w:val="24"/>
          <w:highlight w:val="none"/>
          <w:u w:val="none"/>
        </w:rPr>
        <w:t>（项目编号：</w:t>
      </w:r>
      <w:r>
        <w:rPr>
          <w:rFonts w:hint="eastAsia" w:ascii="宋体" w:hAnsi="宋体" w:cs="宋体"/>
          <w:sz w:val="24"/>
          <w:highlight w:val="none"/>
          <w:u w:val="none"/>
          <w:lang w:eastAsia="zh-CN"/>
        </w:rPr>
        <w:t>JSZC-320311-ZJZB-C2025-0172</w:t>
      </w:r>
      <w:r>
        <w:rPr>
          <w:rFonts w:hint="eastAsia" w:ascii="宋体" w:hAnsi="宋体" w:cs="宋体"/>
          <w:sz w:val="24"/>
          <w:highlight w:val="none"/>
          <w:u w:val="none"/>
        </w:rPr>
        <w:t>）政府</w:t>
      </w:r>
      <w:r>
        <w:rPr>
          <w:rFonts w:hint="eastAsia" w:ascii="宋体" w:hAnsi="宋体" w:cs="宋体"/>
          <w:sz w:val="24"/>
          <w:highlight w:val="none"/>
        </w:rPr>
        <w:t>采购活动前3年内在经营活动中没有重大违法记录。重大违法记录是指因违法经营受到刑事处罚或者责令停产停业、吊销许可证或者执照、较大数额罚款等行政处罚。</w:t>
      </w:r>
    </w:p>
    <w:p>
      <w:pPr>
        <w:widowControl/>
        <w:spacing w:before="100" w:beforeAutospacing="1" w:after="100" w:afterAutospacing="1" w:line="360" w:lineRule="auto"/>
        <w:ind w:firstLine="480"/>
        <w:jc w:val="left"/>
        <w:rPr>
          <w:rFonts w:ascii="宋体" w:hAnsi="宋体" w:cs="宋体"/>
          <w:sz w:val="24"/>
          <w:highlight w:val="none"/>
        </w:rPr>
      </w:pPr>
      <w:r>
        <w:rPr>
          <w:rFonts w:hint="eastAsia" w:ascii="宋体" w:hAnsi="宋体" w:cs="宋体"/>
          <w:sz w:val="24"/>
          <w:highlight w:val="none"/>
        </w:rPr>
        <w:t>我单位对上述声明的真实性负责。如有虚假，将依法承担相应责任。</w:t>
      </w:r>
    </w:p>
    <w:p>
      <w:pPr>
        <w:ind w:right="29"/>
        <w:rPr>
          <w:rFonts w:ascii="宋体" w:hAnsi="宋体" w:cs="宋体"/>
          <w:sz w:val="24"/>
          <w:highlight w:val="none"/>
        </w:rPr>
      </w:pPr>
    </w:p>
    <w:p>
      <w:pPr>
        <w:ind w:right="29"/>
        <w:rPr>
          <w:rFonts w:ascii="宋体" w:hAnsi="宋体" w:cs="宋体"/>
          <w:sz w:val="24"/>
          <w:highlight w:val="none"/>
        </w:rPr>
      </w:pPr>
    </w:p>
    <w:p>
      <w:pPr>
        <w:spacing w:line="360" w:lineRule="auto"/>
        <w:ind w:right="29"/>
        <w:rPr>
          <w:rFonts w:ascii="宋体" w:hAnsi="宋体" w:cs="宋体"/>
          <w:sz w:val="24"/>
          <w:highlight w:val="none"/>
        </w:rPr>
      </w:pPr>
      <w:r>
        <w:rPr>
          <w:rFonts w:hint="eastAsia" w:ascii="宋体" w:hAnsi="宋体" w:cs="宋体"/>
          <w:sz w:val="24"/>
          <w:highlight w:val="none"/>
        </w:rPr>
        <w:t xml:space="preserve">                          供应商（电子签章）：</w:t>
      </w:r>
    </w:p>
    <w:p>
      <w:pPr>
        <w:spacing w:line="360" w:lineRule="auto"/>
        <w:ind w:right="29"/>
        <w:rPr>
          <w:rFonts w:ascii="宋体" w:hAnsi="宋体" w:cs="宋体"/>
          <w:sz w:val="24"/>
          <w:highlight w:val="none"/>
        </w:rPr>
      </w:pPr>
      <w:r>
        <w:rPr>
          <w:rFonts w:hint="eastAsia" w:ascii="宋体" w:hAnsi="宋体" w:cs="宋体"/>
          <w:sz w:val="24"/>
          <w:highlight w:val="none"/>
        </w:rPr>
        <w:t xml:space="preserve">                           法定代表人（负责人)或授权代表（签字或盖章）：  </w:t>
      </w:r>
    </w:p>
    <w:p>
      <w:pPr>
        <w:spacing w:line="360" w:lineRule="auto"/>
        <w:ind w:right="29"/>
        <w:rPr>
          <w:rFonts w:ascii="宋体" w:hAnsi="宋体" w:cs="宋体"/>
          <w:sz w:val="24"/>
          <w:highlight w:val="none"/>
        </w:rPr>
      </w:pPr>
      <w:r>
        <w:rPr>
          <w:rFonts w:hint="eastAsia" w:ascii="宋体" w:hAnsi="宋体" w:cs="宋体"/>
          <w:sz w:val="24"/>
          <w:highlight w:val="none"/>
        </w:rPr>
        <w:t xml:space="preserve">                           日期：</w:t>
      </w:r>
    </w:p>
    <w:p>
      <w:pPr>
        <w:pStyle w:val="49"/>
        <w:spacing w:before="0" w:beforeAutospacing="0" w:after="0" w:afterAutospacing="0" w:line="360" w:lineRule="auto"/>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pStyle w:val="49"/>
        <w:ind w:left="239" w:firstLine="2640"/>
        <w:rPr>
          <w:rFonts w:cs="宋体"/>
          <w:highlight w:val="none"/>
        </w:rPr>
      </w:pPr>
    </w:p>
    <w:p>
      <w:pPr>
        <w:jc w:val="center"/>
        <w:rPr>
          <w:rFonts w:ascii="宋体" w:hAnsi="宋体" w:cs="宋体"/>
          <w:sz w:val="36"/>
          <w:szCs w:val="36"/>
          <w:highlight w:val="none"/>
        </w:rPr>
        <w:sectPr>
          <w:footerReference r:id="rId7" w:type="first"/>
          <w:headerReference r:id="rId5" w:type="default"/>
          <w:footerReference r:id="rId6" w:type="default"/>
          <w:pgSz w:w="11906" w:h="16838"/>
          <w:pgMar w:top="1440" w:right="1213" w:bottom="1440" w:left="1327" w:header="851" w:footer="992" w:gutter="0"/>
          <w:pgBorders>
            <w:top w:val="none" w:sz="0" w:space="0"/>
            <w:left w:val="none" w:sz="0" w:space="0"/>
            <w:bottom w:val="none" w:sz="0" w:space="0"/>
            <w:right w:val="none" w:sz="0" w:space="0"/>
          </w:pgBorders>
          <w:cols w:space="720" w:num="1"/>
          <w:titlePg/>
          <w:docGrid w:linePitch="360" w:charSpace="0"/>
        </w:sectPr>
      </w:pPr>
    </w:p>
    <w:p>
      <w:pPr>
        <w:spacing w:line="588" w:lineRule="exact"/>
        <w:jc w:val="center"/>
        <w:rPr>
          <w:rFonts w:ascii="宋体" w:hAnsi="宋体" w:cs="宋体"/>
          <w:b/>
          <w:sz w:val="36"/>
          <w:szCs w:val="36"/>
          <w:highlight w:val="none"/>
        </w:rPr>
      </w:pPr>
      <w:bookmarkStart w:id="590" w:name="OLE_LINK13"/>
      <w:bookmarkStart w:id="591" w:name="OLE_LINK14"/>
      <w:r>
        <w:rPr>
          <w:rFonts w:hint="eastAsia" w:ascii="宋体" w:hAnsi="宋体" w:cs="宋体"/>
          <w:b/>
          <w:sz w:val="36"/>
          <w:szCs w:val="36"/>
          <w:highlight w:val="none"/>
        </w:rPr>
        <w:t>1</w:t>
      </w:r>
      <w:r>
        <w:rPr>
          <w:rFonts w:hint="eastAsia" w:ascii="宋体" w:hAnsi="宋体" w:cs="宋体"/>
          <w:b/>
          <w:sz w:val="36"/>
          <w:szCs w:val="36"/>
          <w:highlight w:val="none"/>
          <w:lang w:val="en-US" w:eastAsia="zh-CN"/>
        </w:rPr>
        <w:t>1</w:t>
      </w:r>
      <w:r>
        <w:rPr>
          <w:rFonts w:hint="eastAsia" w:ascii="宋体" w:hAnsi="宋体" w:cs="宋体"/>
          <w:b/>
          <w:sz w:val="36"/>
          <w:szCs w:val="36"/>
          <w:highlight w:val="none"/>
        </w:rPr>
        <w:t>、</w:t>
      </w:r>
      <w:bookmarkStart w:id="592" w:name="_Hlk81985305"/>
      <w:r>
        <w:rPr>
          <w:rFonts w:hint="eastAsia" w:ascii="宋体" w:hAnsi="宋体" w:cs="宋体"/>
          <w:b/>
          <w:sz w:val="36"/>
          <w:szCs w:val="36"/>
          <w:highlight w:val="none"/>
        </w:rPr>
        <w:t>残疾人福利性单位声明函</w:t>
      </w:r>
      <w:bookmarkEnd w:id="590"/>
      <w:bookmarkEnd w:id="591"/>
    </w:p>
    <w:p>
      <w:pPr>
        <w:pStyle w:val="65"/>
        <w:spacing w:line="0" w:lineRule="atLeast"/>
        <w:jc w:val="center"/>
        <w:rPr>
          <w:rFonts w:ascii="宋体" w:hAnsi="宋体"/>
          <w:sz w:val="24"/>
          <w:highlight w:val="none"/>
        </w:rPr>
      </w:pPr>
      <w:r>
        <w:rPr>
          <w:rFonts w:ascii="宋体" w:hAnsi="宋体"/>
          <w:b/>
          <w:bCs/>
          <w:sz w:val="24"/>
          <w:highlight w:val="none"/>
        </w:rPr>
        <w:t>（注：如供应商不属于残疾人福利性单位，不需提供此声明函）</w:t>
      </w:r>
    </w:p>
    <w:p>
      <w:pPr>
        <w:spacing w:line="520" w:lineRule="exact"/>
        <w:jc w:val="center"/>
        <w:rPr>
          <w:rFonts w:hint="eastAsia" w:ascii="宋体" w:hAnsi="宋体" w:eastAsia="宋体" w:cs="宋体"/>
          <w:sz w:val="24"/>
          <w:highlight w:val="none"/>
          <w:lang w:eastAsia="zh-CN"/>
        </w:rPr>
      </w:pPr>
      <w:r>
        <w:rPr>
          <w:rFonts w:hint="eastAsia" w:ascii="宋体" w:hAnsi="宋体" w:cs="宋体"/>
          <w:sz w:val="24"/>
          <w:highlight w:val="none"/>
        </w:rPr>
        <w:t xml:space="preserve">项目编号： </w:t>
      </w:r>
      <w:r>
        <w:rPr>
          <w:rFonts w:hint="eastAsia" w:ascii="宋体" w:hAnsi="宋体" w:cs="宋体"/>
          <w:sz w:val="24"/>
          <w:highlight w:val="none"/>
          <w:lang w:eastAsia="zh-CN"/>
        </w:rPr>
        <w:t>JSZC-320311-ZJZB-C2025-0172</w:t>
      </w:r>
    </w:p>
    <w:p>
      <w:pPr>
        <w:spacing w:line="520" w:lineRule="exact"/>
        <w:ind w:firstLine="504"/>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20" w:lineRule="exact"/>
        <w:ind w:firstLine="504"/>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pPr>
        <w:spacing w:line="520" w:lineRule="exact"/>
        <w:ind w:firstLine="504"/>
        <w:rPr>
          <w:rFonts w:ascii="宋体" w:hAnsi="宋体" w:cs="宋体"/>
          <w:spacing w:val="6"/>
          <w:sz w:val="24"/>
          <w:highlight w:val="none"/>
        </w:rPr>
      </w:pPr>
    </w:p>
    <w:p>
      <w:pPr>
        <w:spacing w:line="520" w:lineRule="exact"/>
        <w:ind w:firstLine="504"/>
        <w:rPr>
          <w:rFonts w:ascii="宋体" w:hAnsi="宋体" w:cs="宋体"/>
          <w:spacing w:val="6"/>
          <w:sz w:val="24"/>
          <w:highlight w:val="none"/>
        </w:rPr>
      </w:pPr>
    </w:p>
    <w:p>
      <w:pPr>
        <w:tabs>
          <w:tab w:val="left" w:pos="4860"/>
        </w:tabs>
        <w:spacing w:line="520" w:lineRule="exact"/>
        <w:ind w:right="1560" w:firstLine="504"/>
        <w:jc w:val="center"/>
        <w:rPr>
          <w:rFonts w:ascii="宋体" w:hAnsi="宋体" w:cs="宋体"/>
          <w:spacing w:val="6"/>
          <w:sz w:val="24"/>
          <w:highlight w:val="none"/>
        </w:rPr>
      </w:pPr>
      <w:r>
        <w:rPr>
          <w:rFonts w:hint="eastAsia" w:ascii="宋体" w:hAnsi="宋体" w:cs="宋体"/>
          <w:spacing w:val="6"/>
          <w:sz w:val="24"/>
          <w:highlight w:val="none"/>
        </w:rPr>
        <w:t xml:space="preserve">               单位名称（</w:t>
      </w:r>
      <w:r>
        <w:rPr>
          <w:rFonts w:ascii="宋体" w:hAnsi="宋体"/>
          <w:spacing w:val="6"/>
          <w:sz w:val="24"/>
          <w:highlight w:val="none"/>
        </w:rPr>
        <w:t>电子签章</w:t>
      </w:r>
      <w:r>
        <w:rPr>
          <w:rFonts w:hint="eastAsia" w:ascii="宋体" w:hAnsi="宋体" w:cs="宋体"/>
          <w:spacing w:val="6"/>
          <w:sz w:val="24"/>
          <w:highlight w:val="none"/>
        </w:rPr>
        <w:t>）：</w:t>
      </w:r>
    </w:p>
    <w:p>
      <w:pPr>
        <w:tabs>
          <w:tab w:val="left" w:pos="4860"/>
        </w:tabs>
        <w:spacing w:line="520" w:lineRule="exact"/>
        <w:ind w:right="1560" w:firstLine="504"/>
        <w:jc w:val="center"/>
        <w:rPr>
          <w:rFonts w:ascii="宋体" w:hAnsi="宋体" w:cs="宋体"/>
          <w:spacing w:val="6"/>
          <w:sz w:val="24"/>
          <w:highlight w:val="none"/>
        </w:rPr>
      </w:pPr>
      <w:r>
        <w:rPr>
          <w:rFonts w:hint="eastAsia" w:ascii="宋体" w:hAnsi="宋体" w:cs="宋体"/>
          <w:spacing w:val="6"/>
          <w:sz w:val="24"/>
          <w:highlight w:val="none"/>
        </w:rPr>
        <w:t xml:space="preserve">       日  期：</w:t>
      </w:r>
    </w:p>
    <w:p>
      <w:pPr>
        <w:spacing w:line="520" w:lineRule="exact"/>
        <w:rPr>
          <w:rFonts w:ascii="宋体" w:hAnsi="宋体" w:cs="宋体"/>
          <w:sz w:val="24"/>
          <w:highlight w:val="none"/>
        </w:rPr>
      </w:pPr>
    </w:p>
    <w:p>
      <w:pPr>
        <w:widowControl/>
        <w:spacing w:line="520" w:lineRule="exact"/>
        <w:jc w:val="left"/>
        <w:rPr>
          <w:rFonts w:ascii="宋体" w:hAnsi="宋体" w:cs="宋体"/>
          <w:sz w:val="24"/>
          <w:highlight w:val="none"/>
        </w:rPr>
      </w:pPr>
      <w:r>
        <w:rPr>
          <w:rFonts w:hint="eastAsia" w:ascii="宋体" w:hAnsi="宋体" w:cs="宋体"/>
          <w:sz w:val="24"/>
          <w:highlight w:val="none"/>
        </w:rPr>
        <w:t>说明：</w:t>
      </w:r>
    </w:p>
    <w:p>
      <w:pPr>
        <w:widowControl/>
        <w:spacing w:line="520" w:lineRule="exact"/>
        <w:ind w:firstLine="480"/>
        <w:jc w:val="left"/>
        <w:rPr>
          <w:rFonts w:ascii="宋体" w:hAnsi="宋体" w:cs="宋体"/>
          <w:sz w:val="24"/>
          <w:highlight w:val="none"/>
        </w:rPr>
      </w:pPr>
      <w:r>
        <w:rPr>
          <w:rFonts w:hint="eastAsia" w:ascii="宋体" w:hAnsi="宋体" w:cs="宋体"/>
          <w:sz w:val="24"/>
          <w:highlight w:val="none"/>
        </w:rPr>
        <w:t>中标、成交供应商为残疾人福利性单位的，采购人或者其委托的采购代理机构应当随中标、成交结果同时公告其《残疾人福利性单位声明函》，接受社会监督。</w:t>
      </w:r>
    </w:p>
    <w:p>
      <w:pPr>
        <w:widowControl/>
        <w:spacing w:line="520" w:lineRule="exact"/>
        <w:ind w:firstLine="480"/>
        <w:jc w:val="left"/>
        <w:rPr>
          <w:rFonts w:ascii="宋体" w:hAnsi="宋体" w:cs="宋体"/>
          <w:sz w:val="24"/>
          <w:highlight w:val="none"/>
        </w:rPr>
      </w:pPr>
      <w:r>
        <w:rPr>
          <w:rFonts w:hint="eastAsia" w:ascii="宋体" w:hAnsi="宋体" w:cs="宋体"/>
          <w:sz w:val="24"/>
          <w:highlight w:val="none"/>
        </w:rPr>
        <w:t>供应商提供的《残疾人福利性单位声明函》与事实不符的，依照《政府采购法》第七十七条第一款的规定追究法律责任。</w:t>
      </w:r>
      <w:bookmarkEnd w:id="592"/>
    </w:p>
    <w:p>
      <w:pPr>
        <w:widowControl/>
        <w:ind w:firstLine="600"/>
        <w:jc w:val="left"/>
        <w:rPr>
          <w:rFonts w:ascii="宋体" w:hAnsi="宋体" w:cs="宋体"/>
          <w:sz w:val="30"/>
          <w:szCs w:val="30"/>
          <w:highlight w:val="none"/>
        </w:rPr>
      </w:pPr>
    </w:p>
    <w:p>
      <w:pPr>
        <w:jc w:val="center"/>
        <w:rPr>
          <w:rFonts w:ascii="宋体" w:hAnsi="宋体" w:cs="宋体"/>
          <w:b/>
          <w:sz w:val="36"/>
          <w:szCs w:val="36"/>
          <w:highlight w:val="none"/>
        </w:rPr>
      </w:pPr>
      <w:r>
        <w:rPr>
          <w:rFonts w:hint="eastAsia" w:ascii="宋体" w:hAnsi="宋体" w:cs="宋体"/>
          <w:sz w:val="30"/>
          <w:szCs w:val="30"/>
          <w:highlight w:val="none"/>
        </w:rPr>
        <w:br w:type="page" w:clear="all"/>
      </w:r>
      <w:r>
        <w:rPr>
          <w:rFonts w:hint="eastAsia" w:ascii="宋体" w:hAnsi="宋体" w:cs="宋体"/>
          <w:b/>
          <w:sz w:val="36"/>
          <w:szCs w:val="36"/>
          <w:highlight w:val="none"/>
          <w:lang w:val="en-US" w:eastAsia="zh-CN"/>
        </w:rPr>
        <w:t>12、</w:t>
      </w:r>
      <w:r>
        <w:rPr>
          <w:rFonts w:hint="eastAsia" w:ascii="宋体" w:hAnsi="宋体" w:cs="宋体"/>
          <w:b/>
          <w:sz w:val="36"/>
          <w:szCs w:val="36"/>
          <w:highlight w:val="none"/>
        </w:rPr>
        <w:t>预付款保函支付条款模板</w:t>
      </w:r>
    </w:p>
    <w:p>
      <w:pPr>
        <w:pStyle w:val="19"/>
        <w:spacing w:line="360" w:lineRule="auto"/>
        <w:rPr>
          <w:rFonts w:ascii="宋体" w:hAnsi="宋体" w:cs="宋体"/>
          <w:sz w:val="24"/>
          <w:highlight w:val="none"/>
        </w:rPr>
      </w:pPr>
    </w:p>
    <w:p>
      <w:pPr>
        <w:pStyle w:val="19"/>
        <w:spacing w:line="360" w:lineRule="auto"/>
        <w:ind w:firstLine="480"/>
        <w:rPr>
          <w:rFonts w:ascii="宋体" w:hAnsi="宋体" w:cs="宋体"/>
          <w:sz w:val="24"/>
          <w:highlight w:val="none"/>
        </w:rPr>
      </w:pPr>
      <w:r>
        <w:rPr>
          <w:rFonts w:hint="eastAsia" w:ascii="宋体" w:hAnsi="宋体" w:cs="宋体"/>
          <w:sz w:val="24"/>
          <w:highlight w:val="none"/>
        </w:rPr>
        <w:t>付款条件一：提交预付款保函的</w:t>
      </w:r>
    </w:p>
    <w:p>
      <w:pPr>
        <w:spacing w:line="360" w:lineRule="auto"/>
        <w:ind w:firstLine="480"/>
        <w:rPr>
          <w:rFonts w:ascii="宋体" w:hAnsi="宋体" w:cs="宋体"/>
          <w:sz w:val="24"/>
          <w:highlight w:val="none"/>
        </w:rPr>
      </w:pPr>
      <w:r>
        <w:rPr>
          <w:rFonts w:hint="eastAsia" w:ascii="宋体" w:hAnsi="宋体" w:cs="宋体"/>
          <w:sz w:val="24"/>
          <w:highlight w:val="none"/>
        </w:rPr>
        <w:t>（1）合同签订且乙方向甲方出具预付款保函后个工作日内，甲方应支付合同价款的百分之</w:t>
      </w:r>
      <w:r>
        <w:rPr>
          <w:rFonts w:hint="eastAsia" w:ascii="宋体" w:hAnsi="宋体" w:cs="宋体"/>
          <w:sz w:val="24"/>
          <w:highlight w:val="none"/>
          <w:u w:val="single"/>
        </w:rPr>
        <w:t xml:space="preserve"> xx  </w:t>
      </w:r>
      <w:r>
        <w:rPr>
          <w:rFonts w:hint="eastAsia" w:ascii="宋体" w:hAnsi="宋体" w:cs="宋体"/>
          <w:sz w:val="24"/>
          <w:highlight w:val="none"/>
        </w:rPr>
        <w:t>（</w:t>
      </w:r>
      <w:r>
        <w:rPr>
          <w:rFonts w:hint="eastAsia" w:ascii="宋体" w:hAnsi="宋体" w:cs="宋体"/>
          <w:sz w:val="24"/>
          <w:highlight w:val="none"/>
          <w:u w:val="single"/>
        </w:rPr>
        <w:t xml:space="preserve"> xx</w:t>
      </w:r>
      <w:r>
        <w:rPr>
          <w:rFonts w:hint="eastAsia" w:ascii="宋体" w:hAnsi="宋体" w:cs="宋体"/>
          <w:sz w:val="24"/>
          <w:highlight w:val="none"/>
        </w:rPr>
        <w:t>%)小写¥大写：人民币。</w:t>
      </w:r>
    </w:p>
    <w:p>
      <w:pPr>
        <w:pStyle w:val="19"/>
        <w:tabs>
          <w:tab w:val="left" w:pos="5508"/>
        </w:tabs>
        <w:spacing w:line="360" w:lineRule="auto"/>
        <w:ind w:firstLine="480"/>
        <w:rPr>
          <w:rFonts w:ascii="宋体" w:hAnsi="宋体" w:cs="宋体"/>
          <w:sz w:val="24"/>
          <w:highlight w:val="none"/>
        </w:rPr>
      </w:pPr>
      <w:r>
        <w:rPr>
          <w:rFonts w:hint="eastAsia" w:ascii="宋体" w:hAnsi="宋体" w:cs="宋体"/>
          <w:sz w:val="24"/>
          <w:highlight w:val="none"/>
        </w:rPr>
        <w:t>（2）验收合格后个工作日内，甲方应支付合同价款的百分之</w:t>
      </w:r>
      <w:r>
        <w:rPr>
          <w:rFonts w:hint="eastAsia" w:ascii="宋体" w:hAnsi="宋体" w:cs="宋体"/>
          <w:sz w:val="24"/>
          <w:highlight w:val="none"/>
          <w:u w:val="single"/>
        </w:rPr>
        <w:t xml:space="preserve"> XX </w:t>
      </w:r>
      <w:r>
        <w:rPr>
          <w:rFonts w:hint="eastAsia" w:ascii="宋体" w:hAnsi="宋体" w:cs="宋体"/>
          <w:sz w:val="24"/>
          <w:highlight w:val="none"/>
        </w:rPr>
        <w:t>（ %）小写￥大写：人民币。</w:t>
      </w:r>
    </w:p>
    <w:p>
      <w:pPr>
        <w:pStyle w:val="19"/>
        <w:spacing w:line="360" w:lineRule="auto"/>
        <w:ind w:firstLine="480"/>
        <w:rPr>
          <w:rFonts w:ascii="宋体" w:hAnsi="宋体" w:cs="宋体"/>
          <w:sz w:val="24"/>
          <w:highlight w:val="none"/>
        </w:rPr>
      </w:pPr>
      <w:r>
        <w:rPr>
          <w:rFonts w:hint="eastAsia" w:ascii="宋体" w:hAnsi="宋体" w:cs="宋体"/>
          <w:sz w:val="24"/>
          <w:highlight w:val="none"/>
        </w:rPr>
        <w:t>……</w:t>
      </w:r>
    </w:p>
    <w:p>
      <w:pPr>
        <w:pStyle w:val="19"/>
        <w:spacing w:line="360" w:lineRule="auto"/>
        <w:ind w:firstLine="480"/>
        <w:rPr>
          <w:rFonts w:ascii="宋体" w:hAnsi="宋体" w:cs="宋体"/>
          <w:sz w:val="24"/>
          <w:highlight w:val="none"/>
        </w:rPr>
      </w:pPr>
      <w:r>
        <w:rPr>
          <w:rFonts w:hint="eastAsia" w:ascii="宋体" w:hAnsi="宋体" w:cs="宋体"/>
          <w:sz w:val="24"/>
          <w:highlight w:val="none"/>
        </w:rPr>
        <w:t>付款条件二： 不提交预付款保函的</w:t>
      </w:r>
    </w:p>
    <w:p>
      <w:pPr>
        <w:pStyle w:val="19"/>
        <w:tabs>
          <w:tab w:val="left" w:pos="2017"/>
          <w:tab w:val="left" w:pos="2468"/>
          <w:tab w:val="left" w:pos="4313"/>
          <w:tab w:val="left" w:pos="5811"/>
          <w:tab w:val="left" w:pos="9007"/>
        </w:tabs>
        <w:spacing w:line="360" w:lineRule="auto"/>
        <w:ind w:firstLine="480"/>
        <w:rPr>
          <w:rFonts w:ascii="宋体" w:hAnsi="宋体" w:cs="宋体"/>
          <w:sz w:val="24"/>
          <w:highlight w:val="none"/>
        </w:rPr>
      </w:pPr>
      <w:r>
        <w:rPr>
          <w:rFonts w:hint="eastAsia" w:ascii="宋体" w:hAnsi="宋体" w:cs="宋体"/>
          <w:sz w:val="24"/>
          <w:highlight w:val="none"/>
        </w:rPr>
        <w:t>（1）合同签订后</w:t>
      </w:r>
      <w:r>
        <w:rPr>
          <w:rFonts w:hint="eastAsia" w:ascii="宋体" w:hAnsi="宋体" w:cs="宋体"/>
          <w:sz w:val="24"/>
          <w:highlight w:val="none"/>
          <w:u w:val="single"/>
        </w:rPr>
        <w:tab/>
      </w:r>
      <w:r>
        <w:rPr>
          <w:rFonts w:hint="eastAsia" w:ascii="宋体" w:hAnsi="宋体" w:cs="宋体"/>
          <w:sz w:val="24"/>
          <w:highlight w:val="none"/>
        </w:rPr>
        <w:t>个工作日内，甲方应支付合同价款的百分之</w:t>
      </w:r>
      <w:r>
        <w:rPr>
          <w:rFonts w:hint="eastAsia" w:ascii="宋体" w:hAnsi="宋体" w:cs="宋体"/>
          <w:sz w:val="24"/>
          <w:highlight w:val="none"/>
          <w:u w:val="single"/>
        </w:rPr>
        <w:t>XX</w:t>
      </w:r>
      <w:r>
        <w:rPr>
          <w:rFonts w:hint="eastAsia" w:ascii="宋体" w:hAnsi="宋体" w:cs="宋体"/>
          <w:sz w:val="24"/>
          <w:highlight w:val="none"/>
        </w:rPr>
        <w:t xml:space="preserve"> （％）小写￥大写：人民币</w:t>
      </w:r>
      <w:r>
        <w:rPr>
          <w:rFonts w:hint="eastAsia" w:ascii="宋体" w:hAnsi="宋体" w:cs="宋体"/>
          <w:sz w:val="24"/>
          <w:highlight w:val="none"/>
          <w:u w:val="single"/>
        </w:rPr>
        <w:tab/>
      </w:r>
      <w:r>
        <w:rPr>
          <w:rFonts w:hint="eastAsia" w:ascii="宋体" w:hAnsi="宋体" w:cs="宋体"/>
          <w:sz w:val="24"/>
          <w:highlight w:val="none"/>
        </w:rPr>
        <w:t>。</w:t>
      </w:r>
    </w:p>
    <w:p>
      <w:pPr>
        <w:pStyle w:val="19"/>
        <w:tabs>
          <w:tab w:val="left" w:pos="2151"/>
          <w:tab w:val="left" w:pos="4183"/>
          <w:tab w:val="left" w:pos="5500"/>
          <w:tab w:val="left" w:pos="8573"/>
        </w:tabs>
        <w:spacing w:line="360" w:lineRule="auto"/>
        <w:ind w:firstLine="480"/>
        <w:rPr>
          <w:rFonts w:ascii="宋体" w:hAnsi="宋体" w:cs="宋体"/>
          <w:sz w:val="24"/>
          <w:highlight w:val="none"/>
        </w:rPr>
      </w:pPr>
      <w:r>
        <w:rPr>
          <w:rFonts w:hint="eastAsia" w:ascii="宋体" w:hAnsi="宋体" w:cs="宋体"/>
          <w:sz w:val="24"/>
          <w:highlight w:val="none"/>
        </w:rPr>
        <w:t>（2）验收合格后个工作日内，甲方应支付合同价款的百分之</w:t>
      </w:r>
      <w:r>
        <w:rPr>
          <w:rFonts w:hint="eastAsia" w:ascii="宋体" w:hAnsi="宋体" w:cs="宋体"/>
          <w:sz w:val="24"/>
          <w:highlight w:val="none"/>
          <w:u w:val="single"/>
        </w:rPr>
        <w:t>XX</w:t>
      </w:r>
      <w:r>
        <w:rPr>
          <w:rFonts w:hint="eastAsia" w:ascii="宋体" w:hAnsi="宋体" w:cs="宋体"/>
          <w:sz w:val="24"/>
          <w:highlight w:val="none"/>
        </w:rPr>
        <w:t>（％）小写￥大写：人民币。</w:t>
      </w:r>
    </w:p>
    <w:p>
      <w:pPr>
        <w:pStyle w:val="19"/>
        <w:spacing w:line="360" w:lineRule="auto"/>
        <w:ind w:firstLine="480"/>
        <w:rPr>
          <w:rFonts w:ascii="宋体" w:hAnsi="宋体" w:cs="宋体"/>
          <w:sz w:val="24"/>
          <w:highlight w:val="none"/>
        </w:rPr>
      </w:pPr>
    </w:p>
    <w:p>
      <w:pPr>
        <w:pStyle w:val="19"/>
        <w:spacing w:line="360" w:lineRule="auto"/>
        <w:ind w:firstLine="480"/>
        <w:rPr>
          <w:rFonts w:ascii="宋体" w:hAnsi="宋体" w:cs="宋体"/>
          <w:sz w:val="24"/>
          <w:highlight w:val="none"/>
        </w:rPr>
      </w:pPr>
    </w:p>
    <w:p>
      <w:pPr>
        <w:pStyle w:val="26"/>
        <w:rPr>
          <w:rFonts w:ascii="宋体" w:hAnsi="宋体" w:cs="宋体"/>
          <w:szCs w:val="24"/>
          <w:highlight w:val="none"/>
        </w:rPr>
      </w:pPr>
      <w:r>
        <w:rPr>
          <w:rFonts w:hint="eastAsia" w:ascii="宋体" w:hAnsi="宋体" w:cs="宋体"/>
          <w:szCs w:val="24"/>
          <w:highlight w:val="none"/>
        </w:rPr>
        <w:t>注：1、付款条件一中，出具预付款保函后支付的合同款应当与保函金额一致。</w:t>
      </w:r>
    </w:p>
    <w:p>
      <w:pPr>
        <w:pStyle w:val="26"/>
        <w:rPr>
          <w:rFonts w:ascii="宋体" w:hAnsi="宋体" w:cs="宋体"/>
          <w:szCs w:val="24"/>
          <w:highlight w:val="none"/>
        </w:rPr>
      </w:pPr>
      <w:r>
        <w:rPr>
          <w:rFonts w:hint="eastAsia" w:ascii="宋体" w:hAnsi="宋体" w:cs="宋体"/>
          <w:szCs w:val="24"/>
          <w:highlight w:val="none"/>
        </w:rPr>
        <w:t>2、付款条件二中，预付款比例设定应符合《关于做好政府采购支持企业发展有关事项的通知》（苏财购（2020)52号）要求。</w:t>
      </w:r>
    </w:p>
    <w:p>
      <w:pPr>
        <w:rPr>
          <w:rFonts w:ascii="宋体" w:hAnsi="宋体" w:cs="宋体"/>
          <w:sz w:val="24"/>
          <w:highlight w:val="none"/>
        </w:rPr>
      </w:pPr>
      <w:r>
        <w:rPr>
          <w:rFonts w:hint="eastAsia" w:ascii="宋体" w:hAnsi="宋体" w:cs="宋体"/>
          <w:sz w:val="24"/>
          <w:highlight w:val="none"/>
        </w:rPr>
        <w:br w:type="page" w:clear="all"/>
      </w:r>
    </w:p>
    <w:p>
      <w:pPr>
        <w:jc w:val="center"/>
        <w:rPr>
          <w:rFonts w:ascii="宋体" w:hAnsi="宋体" w:cs="宋体"/>
          <w:b/>
          <w:sz w:val="36"/>
          <w:szCs w:val="36"/>
          <w:highlight w:val="none"/>
        </w:rPr>
      </w:pPr>
      <w:r>
        <w:rPr>
          <w:rFonts w:hint="eastAsia" w:ascii="宋体" w:hAnsi="宋体" w:cs="宋体"/>
          <w:b/>
          <w:sz w:val="36"/>
          <w:szCs w:val="36"/>
          <w:highlight w:val="none"/>
        </w:rPr>
        <w:t>1</w:t>
      </w:r>
      <w:r>
        <w:rPr>
          <w:rFonts w:hint="eastAsia" w:ascii="宋体" w:hAnsi="宋体" w:cs="宋体"/>
          <w:b/>
          <w:sz w:val="36"/>
          <w:szCs w:val="36"/>
          <w:highlight w:val="none"/>
          <w:lang w:val="en-US" w:eastAsia="zh-CN"/>
        </w:rPr>
        <w:t>3</w:t>
      </w:r>
      <w:r>
        <w:rPr>
          <w:rFonts w:hint="eastAsia" w:ascii="宋体" w:hAnsi="宋体" w:cs="宋体"/>
          <w:b/>
          <w:sz w:val="36"/>
          <w:szCs w:val="36"/>
          <w:highlight w:val="none"/>
        </w:rPr>
        <w:t>、代理服务收费标准</w:t>
      </w:r>
    </w:p>
    <w:tbl>
      <w:tblPr>
        <w:tblStyle w:val="495"/>
        <w:tblW w:w="93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6"/>
        <w:gridCol w:w="3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中标或者成交金额</w:t>
            </w:r>
          </w:p>
        </w:tc>
        <w:tc>
          <w:tcPr>
            <w:tcW w:w="3723" w:type="dxa"/>
            <w:vAlign w:val="center"/>
          </w:tcPr>
          <w:p>
            <w:pPr>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最低收费金额（每个委托项目）</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50万元以下（含50万元）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50-400万元（含400万元）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400-1000万元（含1000万元）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1000-5000万元（含5000万元）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5000-1亿元（含1亿元）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1-10亿元（含10亿元）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10-50亿元（含50亿元）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50亿元以上</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0.005%</w:t>
            </w:r>
          </w:p>
        </w:tc>
      </w:tr>
    </w:tbl>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1.按上表计算的收费为代理服务全过程的收费金额。</w:t>
      </w:r>
      <w:r>
        <w:rPr>
          <w:rFonts w:hint="eastAsia" w:ascii="宋体" w:hAnsi="宋体" w:eastAsia="宋体" w:cs="宋体"/>
          <w:sz w:val="24"/>
          <w:szCs w:val="24"/>
          <w:highlight w:val="none"/>
          <w:lang w:val="en-US" w:eastAsia="zh-CN"/>
        </w:rPr>
        <w:t>各社会代理机构</w:t>
      </w:r>
      <w:r>
        <w:rPr>
          <w:rFonts w:hint="eastAsia" w:ascii="宋体" w:hAnsi="宋体" w:eastAsia="宋体" w:cs="宋体"/>
          <w:sz w:val="24"/>
          <w:szCs w:val="24"/>
          <w:highlight w:val="none"/>
        </w:rPr>
        <w:t>不</w:t>
      </w:r>
      <w:r>
        <w:rPr>
          <w:rFonts w:hint="eastAsia" w:ascii="宋体" w:hAnsi="宋体" w:eastAsia="宋体" w:cs="宋体"/>
          <w:sz w:val="24"/>
          <w:szCs w:val="24"/>
          <w:highlight w:val="none"/>
          <w:lang w:val="en-US" w:eastAsia="zh-CN"/>
        </w:rPr>
        <w:t>再</w:t>
      </w:r>
      <w:r>
        <w:rPr>
          <w:rFonts w:hint="eastAsia" w:ascii="宋体" w:hAnsi="宋体" w:eastAsia="宋体" w:cs="宋体"/>
          <w:sz w:val="24"/>
          <w:szCs w:val="24"/>
          <w:highlight w:val="none"/>
        </w:rPr>
        <w:t>收取采购文件制作售卖费用。</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2.代理服务费按差额定率累进法计算。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3.代理服务费基准金额（按差额定率累进法计算的）=中标金额（按差额定率累进法计算的） * 费率（%）</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4.代理服务费应收取金额=代理服务费基准金额（按差额定率累进法计算的）的合计数。</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定点类等无金额或事先不能计算出价格总额的项目，按</w:t>
      </w:r>
      <w:r>
        <w:rPr>
          <w:rFonts w:hint="eastAsia" w:ascii="宋体" w:hAnsi="宋体" w:eastAsia="宋体" w:cs="宋体"/>
          <w:sz w:val="24"/>
          <w:szCs w:val="24"/>
          <w:highlight w:val="none"/>
        </w:rPr>
        <w:t>中标（成交）金额</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万元计算。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6.有分包（分标段）的按一个项目计算。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.以上价格为协会指导价，双方可</w:t>
      </w:r>
      <w:r>
        <w:rPr>
          <w:rFonts w:hint="eastAsia" w:ascii="宋体" w:hAnsi="宋体" w:eastAsia="宋体" w:cs="宋体"/>
          <w:sz w:val="24"/>
          <w:szCs w:val="24"/>
          <w:highlight w:val="none"/>
          <w:lang w:val="en-US" w:eastAsia="zh-CN"/>
        </w:rPr>
        <w:t>根据项目难易程度和优质优价原则</w:t>
      </w:r>
      <w:r>
        <w:rPr>
          <w:rFonts w:hint="eastAsia" w:ascii="宋体" w:hAnsi="宋体" w:eastAsia="宋体" w:cs="宋体"/>
          <w:sz w:val="24"/>
          <w:szCs w:val="24"/>
          <w:highlight w:val="none"/>
        </w:rPr>
        <w:t>协商</w:t>
      </w:r>
      <w:r>
        <w:rPr>
          <w:rFonts w:hint="eastAsia" w:ascii="宋体" w:hAnsi="宋体" w:eastAsia="宋体" w:cs="宋体"/>
          <w:sz w:val="24"/>
          <w:szCs w:val="24"/>
          <w:highlight w:val="none"/>
          <w:lang w:val="en-US" w:eastAsia="zh-CN"/>
        </w:rPr>
        <w:t>确</w:t>
      </w:r>
      <w:r>
        <w:rPr>
          <w:rFonts w:hint="eastAsia" w:ascii="宋体" w:hAnsi="宋体" w:eastAsia="宋体" w:cs="宋体"/>
          <w:sz w:val="24"/>
          <w:szCs w:val="24"/>
          <w:highlight w:val="none"/>
        </w:rPr>
        <w:t>定</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账户信息：</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收款人：江苏中际招标代理有限公司</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开户银行：徐州农村商业银行股份有限公司彭园支行</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账号：3203020171010000003980</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ascii="仿宋" w:hAnsi="仿宋" w:eastAsia="仿宋" w:cs="仿宋"/>
          <w:sz w:val="28"/>
          <w:szCs w:val="28"/>
          <w:highlight w:val="none"/>
        </w:rPr>
      </w:pPr>
      <w:r>
        <w:rPr>
          <w:rFonts w:hint="eastAsia" w:ascii="宋体" w:hAnsi="宋体" w:eastAsia="宋体" w:cs="宋体"/>
          <w:sz w:val="24"/>
          <w:szCs w:val="24"/>
          <w:highlight w:val="none"/>
        </w:rPr>
        <w:t>行号：314303000180</w:t>
      </w:r>
    </w:p>
    <w:p>
      <w:pPr>
        <w:spacing w:line="360" w:lineRule="auto"/>
        <w:ind w:firstLine="420"/>
        <w:rPr>
          <w:highlight w:val="none"/>
        </w:rPr>
      </w:pPr>
    </w:p>
    <w:sectPr>
      <w:pgSz w:w="11906" w:h="16838"/>
      <w:pgMar w:top="1383" w:right="1440" w:bottom="1383" w:left="1440" w:header="851" w:footer="992"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Arial Rounded MT Bold">
    <w:altName w:val="Arial"/>
    <w:panose1 w:val="020F0704030504030204"/>
    <w:charset w:val="00"/>
    <w:family w:val="swiss"/>
    <w:pitch w:val="default"/>
    <w:sig w:usb0="00000000" w:usb1="00000000" w:usb2="00000000" w:usb3="00000000" w:csb0="2000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方正楷体_GBK">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全真中明體">
    <w:altName w:val="Segoe Print"/>
    <w:panose1 w:val="00000000000000000000"/>
    <w:charset w:val="00"/>
    <w:family w:val="auto"/>
    <w:pitch w:val="default"/>
    <w:sig w:usb0="00000000" w:usb1="00000000" w:usb2="00000000" w:usb3="00000000" w:csb0="00000000" w:csb1="00000000"/>
  </w:font>
  <w:font w:name="Futura Bk">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jc w:val="center"/>
    </w:pPr>
    <w:r>
      <w:fldChar w:fldCharType="begin"/>
    </w:r>
    <w:r>
      <w:instrText xml:space="preserve"> PAGE   \* MERGEFORMAT </w:instrText>
    </w:r>
    <w:r>
      <w:fldChar w:fldCharType="separate"/>
    </w:r>
    <w:r>
      <w:rPr>
        <w:lang w:val="zh-CN"/>
      </w:rPr>
      <w:t>30</w:t>
    </w:r>
    <w:r>
      <w:rPr>
        <w:lang w:val="zh-CN"/>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8960"/>
      <w:lock w:val="sdtContentLocked"/>
    </w:sdtPr>
    <w:sdtContent>
      <w:p>
        <w:pPr>
          <w:pStyle w:val="36"/>
          <w:ind w:firstLine="360"/>
          <w:jc w:val="center"/>
        </w:pPr>
        <w:r>
          <w:fldChar w:fldCharType="begin"/>
        </w:r>
        <w:r>
          <w:instrText xml:space="preserve"> PAGE   \* MERGEFORMAT </w:instrText>
        </w:r>
        <w:r>
          <w:fldChar w:fldCharType="separate"/>
        </w:r>
        <w:r>
          <w:rPr>
            <w:lang w:val="zh-CN"/>
          </w:rPr>
          <w:t>56</w:t>
        </w:r>
        <w:r>
          <w:rPr>
            <w:lang w:val="zh-CN"/>
          </w:rPr>
          <w:fldChar w:fldCharType="end"/>
        </w:r>
      </w:p>
    </w:sdtContent>
  </w:sdt>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BnN&#10;URS2AQAAWwMAAA4AAAAAAAAAAQAgAAAAHgEAAGRycy9lMm9Eb2MueG1sUEsFBgAAAAAGAAYAWQEA&#10;AEYFAAAAAA==&#10;">
              <v:fill on="f" focussize="0,0"/>
              <v:stroke on="f"/>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Cs/>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5"/>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BF205925"/>
    <w:multiLevelType w:val="multilevel"/>
    <w:tmpl w:val="BF205925"/>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lvlText w:val="%1."/>
      <w:lvlJc w:val="left"/>
      <w:pPr>
        <w:tabs>
          <w:tab w:val="left" w:pos="720"/>
        </w:tabs>
        <w:ind w:left="720" w:hanging="360"/>
      </w:pPr>
      <w:rPr>
        <w:rFonts w:hint="default"/>
      </w:rPr>
    </w:lvl>
    <w:lvl w:ilvl="1" w:tentative="0">
      <w:start w:val="1"/>
      <w:numFmt w:val="lowerLetter"/>
      <w:pStyle w:val="278"/>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pStyle w:val="279"/>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D7F9FE59"/>
    <w:multiLevelType w:val="multilevel"/>
    <w:tmpl w:val="D7F9FE59"/>
    <w:lvl w:ilvl="0" w:tentative="0">
      <w:start w:val="4"/>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DCBA6B53"/>
    <w:multiLevelType w:val="multilevel"/>
    <w:tmpl w:val="DCBA6B53"/>
    <w:lvl w:ilvl="0" w:tentative="0">
      <w:start w:val="3"/>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DCBCA19B"/>
    <w:multiLevelType w:val="singleLevel"/>
    <w:tmpl w:val="DCBCA19B"/>
    <w:lvl w:ilvl="0" w:tentative="0">
      <w:start w:val="1"/>
      <w:numFmt w:val="decimal"/>
      <w:lvlText w:val="%1)"/>
      <w:lvlJc w:val="left"/>
      <w:pPr>
        <w:tabs>
          <w:tab w:val="left" w:pos="312"/>
        </w:tabs>
      </w:pPr>
    </w:lvl>
  </w:abstractNum>
  <w:abstractNum w:abstractNumId="6">
    <w:nsid w:val="E44073D4"/>
    <w:multiLevelType w:val="singleLevel"/>
    <w:tmpl w:val="E44073D4"/>
    <w:lvl w:ilvl="0" w:tentative="0">
      <w:start w:val="1"/>
      <w:numFmt w:val="decimal"/>
      <w:suff w:val="nothing"/>
      <w:lvlText w:val="（%1）"/>
      <w:lvlJc w:val="left"/>
      <w:pPr>
        <w:ind w:left="206"/>
      </w:pPr>
    </w:lvl>
  </w:abstractNum>
  <w:abstractNum w:abstractNumId="7">
    <w:nsid w:val="EE62D1EE"/>
    <w:multiLevelType w:val="singleLevel"/>
    <w:tmpl w:val="EE62D1EE"/>
    <w:lvl w:ilvl="0" w:tentative="0">
      <w:start w:val="1"/>
      <w:numFmt w:val="decimal"/>
      <w:lvlText w:val="(%1)"/>
      <w:lvlJc w:val="left"/>
      <w:pPr>
        <w:tabs>
          <w:tab w:val="left" w:pos="312"/>
        </w:tabs>
      </w:pPr>
    </w:lvl>
  </w:abstractNum>
  <w:abstractNum w:abstractNumId="8">
    <w:nsid w:val="F4B5D9F5"/>
    <w:multiLevelType w:val="multilevel"/>
    <w:tmpl w:val="F4B5D9F5"/>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FE8BDD6B"/>
    <w:multiLevelType w:val="singleLevel"/>
    <w:tmpl w:val="FE8BDD6B"/>
    <w:lvl w:ilvl="0" w:tentative="0">
      <w:start w:val="1"/>
      <w:numFmt w:val="decimal"/>
      <w:suff w:val="nothing"/>
      <w:lvlText w:val="（%1）"/>
      <w:lvlJc w:val="left"/>
    </w:lvl>
  </w:abstractNum>
  <w:abstractNum w:abstractNumId="10">
    <w:nsid w:val="0053208E"/>
    <w:multiLevelType w:val="multilevel"/>
    <w:tmpl w:val="0053208E"/>
    <w:lvl w:ilvl="0" w:tentative="0">
      <w:start w:val="1"/>
      <w:numFmt w:val="decimal"/>
      <w:pStyle w:val="25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470EC97"/>
    <w:multiLevelType w:val="multilevel"/>
    <w:tmpl w:val="2470EC97"/>
    <w:lvl w:ilvl="0" w:tentative="0">
      <w:start w:val="2"/>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2">
    <w:nsid w:val="4C1BAE26"/>
    <w:multiLevelType w:val="multilevel"/>
    <w:tmpl w:val="4C1BAE26"/>
    <w:lvl w:ilvl="0" w:tentative="0">
      <w:start w:val="6"/>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3">
    <w:nsid w:val="5342106A"/>
    <w:multiLevelType w:val="singleLevel"/>
    <w:tmpl w:val="5342106A"/>
    <w:lvl w:ilvl="0" w:tentative="0">
      <w:start w:val="1"/>
      <w:numFmt w:val="decimal"/>
      <w:suff w:val="space"/>
      <w:lvlText w:val="%1."/>
      <w:lvlJc w:val="left"/>
    </w:lvl>
  </w:abstractNum>
  <w:abstractNum w:abstractNumId="1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603AF1E9"/>
    <w:multiLevelType w:val="singleLevel"/>
    <w:tmpl w:val="603AF1E9"/>
    <w:lvl w:ilvl="0" w:tentative="0">
      <w:start w:val="2"/>
      <w:numFmt w:val="decimal"/>
      <w:lvlText w:val="%1."/>
      <w:lvlJc w:val="left"/>
      <w:pPr>
        <w:tabs>
          <w:tab w:val="left" w:pos="0"/>
        </w:tabs>
        <w:ind w:left="0" w:firstLine="0"/>
      </w:pPr>
      <w:rPr>
        <w:rFonts w:cs="Times New Roman"/>
      </w:rPr>
    </w:lvl>
  </w:abstractNum>
  <w:num w:numId="1">
    <w:abstractNumId w:val="10"/>
  </w:num>
  <w:num w:numId="2">
    <w:abstractNumId w:val="2"/>
  </w:num>
  <w:num w:numId="3">
    <w:abstractNumId w:val="14"/>
  </w:num>
  <w:num w:numId="4">
    <w:abstractNumId w:val="1"/>
  </w:num>
  <w:num w:numId="5">
    <w:abstractNumId w:val="13"/>
  </w:num>
  <w:num w:numId="6">
    <w:abstractNumId w:val="15"/>
  </w:num>
  <w:num w:numId="7">
    <w:abstractNumId w:val="9"/>
  </w:num>
  <w:num w:numId="8">
    <w:abstractNumId w:val="6"/>
  </w:num>
  <w:num w:numId="9">
    <w:abstractNumId w:val="5"/>
  </w:num>
  <w:num w:numId="10">
    <w:abstractNumId w:val="7"/>
  </w:num>
  <w:num w:numId="11">
    <w:abstractNumId w:val="8"/>
  </w:num>
  <w:num w:numId="12">
    <w:abstractNumId w:val="11"/>
  </w:num>
  <w:num w:numId="13">
    <w:abstractNumId w:val="4"/>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A3"/>
    <w:rsid w:val="00001930"/>
    <w:rsid w:val="00010FFE"/>
    <w:rsid w:val="000A09EA"/>
    <w:rsid w:val="000D7B09"/>
    <w:rsid w:val="000E65D3"/>
    <w:rsid w:val="000F6534"/>
    <w:rsid w:val="001017D2"/>
    <w:rsid w:val="00105B31"/>
    <w:rsid w:val="0014640A"/>
    <w:rsid w:val="00164768"/>
    <w:rsid w:val="00172473"/>
    <w:rsid w:val="00174EDF"/>
    <w:rsid w:val="00186757"/>
    <w:rsid w:val="001A2066"/>
    <w:rsid w:val="001B7926"/>
    <w:rsid w:val="001D12E4"/>
    <w:rsid w:val="002D2256"/>
    <w:rsid w:val="002F7EDA"/>
    <w:rsid w:val="00310B13"/>
    <w:rsid w:val="00317279"/>
    <w:rsid w:val="00365815"/>
    <w:rsid w:val="003833D5"/>
    <w:rsid w:val="00406E43"/>
    <w:rsid w:val="0042793B"/>
    <w:rsid w:val="004458D0"/>
    <w:rsid w:val="004D3DFD"/>
    <w:rsid w:val="00521C2E"/>
    <w:rsid w:val="005A45BF"/>
    <w:rsid w:val="005B4413"/>
    <w:rsid w:val="005F4F7A"/>
    <w:rsid w:val="006052CF"/>
    <w:rsid w:val="006109BB"/>
    <w:rsid w:val="00657485"/>
    <w:rsid w:val="00692FA7"/>
    <w:rsid w:val="006D205B"/>
    <w:rsid w:val="00741AA1"/>
    <w:rsid w:val="007C5874"/>
    <w:rsid w:val="00852771"/>
    <w:rsid w:val="008B5BA4"/>
    <w:rsid w:val="009B0425"/>
    <w:rsid w:val="009D232B"/>
    <w:rsid w:val="009F30BA"/>
    <w:rsid w:val="00A86354"/>
    <w:rsid w:val="00AC4B64"/>
    <w:rsid w:val="00B1424F"/>
    <w:rsid w:val="00B22C88"/>
    <w:rsid w:val="00BE380E"/>
    <w:rsid w:val="00C05991"/>
    <w:rsid w:val="00C43653"/>
    <w:rsid w:val="00CD003D"/>
    <w:rsid w:val="00D372CE"/>
    <w:rsid w:val="00D40AD2"/>
    <w:rsid w:val="00D7413E"/>
    <w:rsid w:val="00D76D74"/>
    <w:rsid w:val="00D808EF"/>
    <w:rsid w:val="00D8532B"/>
    <w:rsid w:val="00DA00A3"/>
    <w:rsid w:val="00DD28AA"/>
    <w:rsid w:val="00DE5743"/>
    <w:rsid w:val="00E06C8A"/>
    <w:rsid w:val="00E136F0"/>
    <w:rsid w:val="00E4679D"/>
    <w:rsid w:val="00EA099F"/>
    <w:rsid w:val="00EB58C7"/>
    <w:rsid w:val="00ED5CC4"/>
    <w:rsid w:val="00F17550"/>
    <w:rsid w:val="00F8271C"/>
    <w:rsid w:val="00FD5C65"/>
    <w:rsid w:val="00FF4A2A"/>
    <w:rsid w:val="01101F2B"/>
    <w:rsid w:val="012078E5"/>
    <w:rsid w:val="0121359D"/>
    <w:rsid w:val="014A1B86"/>
    <w:rsid w:val="014F1EC4"/>
    <w:rsid w:val="018F1182"/>
    <w:rsid w:val="019E3125"/>
    <w:rsid w:val="01A40A49"/>
    <w:rsid w:val="01AE70FE"/>
    <w:rsid w:val="01CA3BBE"/>
    <w:rsid w:val="01F114A6"/>
    <w:rsid w:val="01F40DBB"/>
    <w:rsid w:val="01F60771"/>
    <w:rsid w:val="020A3486"/>
    <w:rsid w:val="020E183A"/>
    <w:rsid w:val="0216500F"/>
    <w:rsid w:val="021A318E"/>
    <w:rsid w:val="021E7A9C"/>
    <w:rsid w:val="0236381A"/>
    <w:rsid w:val="02425FAF"/>
    <w:rsid w:val="026305F6"/>
    <w:rsid w:val="026C2ECF"/>
    <w:rsid w:val="027F5B65"/>
    <w:rsid w:val="02963AC8"/>
    <w:rsid w:val="029E5139"/>
    <w:rsid w:val="02A2351B"/>
    <w:rsid w:val="02A61DEE"/>
    <w:rsid w:val="02B2176B"/>
    <w:rsid w:val="02BA2816"/>
    <w:rsid w:val="02D92666"/>
    <w:rsid w:val="02F56A99"/>
    <w:rsid w:val="02F56D74"/>
    <w:rsid w:val="031C07A5"/>
    <w:rsid w:val="03305796"/>
    <w:rsid w:val="038340CE"/>
    <w:rsid w:val="0390648A"/>
    <w:rsid w:val="03914867"/>
    <w:rsid w:val="039F0CE1"/>
    <w:rsid w:val="03AD294D"/>
    <w:rsid w:val="03DD7B90"/>
    <w:rsid w:val="03E12216"/>
    <w:rsid w:val="03E976DD"/>
    <w:rsid w:val="03FB3D24"/>
    <w:rsid w:val="04011311"/>
    <w:rsid w:val="0409199D"/>
    <w:rsid w:val="041E4E74"/>
    <w:rsid w:val="04347520"/>
    <w:rsid w:val="043A0888"/>
    <w:rsid w:val="044A4147"/>
    <w:rsid w:val="047A241C"/>
    <w:rsid w:val="048742AD"/>
    <w:rsid w:val="049D6343"/>
    <w:rsid w:val="04AD1449"/>
    <w:rsid w:val="04B223F0"/>
    <w:rsid w:val="04B30C8A"/>
    <w:rsid w:val="04FB4646"/>
    <w:rsid w:val="050B0AA6"/>
    <w:rsid w:val="05221F2E"/>
    <w:rsid w:val="055C2A91"/>
    <w:rsid w:val="058A7437"/>
    <w:rsid w:val="059B1E55"/>
    <w:rsid w:val="05BC5CEB"/>
    <w:rsid w:val="05C50CC8"/>
    <w:rsid w:val="05DA0204"/>
    <w:rsid w:val="05EA1BBE"/>
    <w:rsid w:val="05F15F19"/>
    <w:rsid w:val="060E4989"/>
    <w:rsid w:val="0628432B"/>
    <w:rsid w:val="06437737"/>
    <w:rsid w:val="06585F98"/>
    <w:rsid w:val="066916B6"/>
    <w:rsid w:val="068723D9"/>
    <w:rsid w:val="069A5610"/>
    <w:rsid w:val="069D210B"/>
    <w:rsid w:val="06A54C59"/>
    <w:rsid w:val="06B807E5"/>
    <w:rsid w:val="06DF251F"/>
    <w:rsid w:val="07030A1F"/>
    <w:rsid w:val="0719133D"/>
    <w:rsid w:val="072D44E3"/>
    <w:rsid w:val="073D2738"/>
    <w:rsid w:val="07463A52"/>
    <w:rsid w:val="07486EFB"/>
    <w:rsid w:val="0756232B"/>
    <w:rsid w:val="076541FE"/>
    <w:rsid w:val="077523E9"/>
    <w:rsid w:val="078868C9"/>
    <w:rsid w:val="07B353A4"/>
    <w:rsid w:val="07B611C8"/>
    <w:rsid w:val="07BE007D"/>
    <w:rsid w:val="07DA68FF"/>
    <w:rsid w:val="07E01DA1"/>
    <w:rsid w:val="07E54F44"/>
    <w:rsid w:val="08103229"/>
    <w:rsid w:val="083E22E5"/>
    <w:rsid w:val="085D7896"/>
    <w:rsid w:val="085F5708"/>
    <w:rsid w:val="08701831"/>
    <w:rsid w:val="088069E6"/>
    <w:rsid w:val="08A21963"/>
    <w:rsid w:val="08A82DBC"/>
    <w:rsid w:val="090C1795"/>
    <w:rsid w:val="090F439C"/>
    <w:rsid w:val="09133574"/>
    <w:rsid w:val="09224CC6"/>
    <w:rsid w:val="092A1324"/>
    <w:rsid w:val="09371E95"/>
    <w:rsid w:val="09410F65"/>
    <w:rsid w:val="094178FF"/>
    <w:rsid w:val="095F3607"/>
    <w:rsid w:val="099979ED"/>
    <w:rsid w:val="09BA3590"/>
    <w:rsid w:val="09C12FA2"/>
    <w:rsid w:val="09D22C3F"/>
    <w:rsid w:val="09DE63FD"/>
    <w:rsid w:val="09EA65B7"/>
    <w:rsid w:val="09F16D1E"/>
    <w:rsid w:val="09F73841"/>
    <w:rsid w:val="0A0F1835"/>
    <w:rsid w:val="0A2A7C4B"/>
    <w:rsid w:val="0A2C2DB4"/>
    <w:rsid w:val="0A467A21"/>
    <w:rsid w:val="0A4D7CE5"/>
    <w:rsid w:val="0A7669ED"/>
    <w:rsid w:val="0A770770"/>
    <w:rsid w:val="0A7A7BB2"/>
    <w:rsid w:val="0A852F5B"/>
    <w:rsid w:val="0A9025E5"/>
    <w:rsid w:val="0A9F7532"/>
    <w:rsid w:val="0AA91E35"/>
    <w:rsid w:val="0AB665BB"/>
    <w:rsid w:val="0AF4047B"/>
    <w:rsid w:val="0B23497B"/>
    <w:rsid w:val="0B246449"/>
    <w:rsid w:val="0B246968"/>
    <w:rsid w:val="0B58452C"/>
    <w:rsid w:val="0B600C1E"/>
    <w:rsid w:val="0B6D6042"/>
    <w:rsid w:val="0B737F3E"/>
    <w:rsid w:val="0B883158"/>
    <w:rsid w:val="0BD15D99"/>
    <w:rsid w:val="0BDC1450"/>
    <w:rsid w:val="0BF226CE"/>
    <w:rsid w:val="0BF422BF"/>
    <w:rsid w:val="0C05627A"/>
    <w:rsid w:val="0C07427F"/>
    <w:rsid w:val="0C2C077A"/>
    <w:rsid w:val="0C2C1249"/>
    <w:rsid w:val="0C31152C"/>
    <w:rsid w:val="0C3D3E85"/>
    <w:rsid w:val="0C6D3E1F"/>
    <w:rsid w:val="0C73710A"/>
    <w:rsid w:val="0C7451AE"/>
    <w:rsid w:val="0C933B4F"/>
    <w:rsid w:val="0C945850"/>
    <w:rsid w:val="0CA807AB"/>
    <w:rsid w:val="0CA949AC"/>
    <w:rsid w:val="0CAE6912"/>
    <w:rsid w:val="0CB8441B"/>
    <w:rsid w:val="0CD9689E"/>
    <w:rsid w:val="0CEE7710"/>
    <w:rsid w:val="0CF40B1C"/>
    <w:rsid w:val="0D067D94"/>
    <w:rsid w:val="0D4676DA"/>
    <w:rsid w:val="0D7F767B"/>
    <w:rsid w:val="0D8472B6"/>
    <w:rsid w:val="0D8D14FB"/>
    <w:rsid w:val="0DBC5244"/>
    <w:rsid w:val="0DD92060"/>
    <w:rsid w:val="0DDA6F96"/>
    <w:rsid w:val="0E2D3866"/>
    <w:rsid w:val="0E556FC3"/>
    <w:rsid w:val="0E6968BE"/>
    <w:rsid w:val="0E70587E"/>
    <w:rsid w:val="0E725582"/>
    <w:rsid w:val="0E8F49CE"/>
    <w:rsid w:val="0EAB1C07"/>
    <w:rsid w:val="0EAD49A7"/>
    <w:rsid w:val="0EC33EE9"/>
    <w:rsid w:val="0ED10695"/>
    <w:rsid w:val="0EDC6472"/>
    <w:rsid w:val="0EEF2D60"/>
    <w:rsid w:val="0EF9509B"/>
    <w:rsid w:val="0F416E9B"/>
    <w:rsid w:val="0F4F163B"/>
    <w:rsid w:val="0F5B4F32"/>
    <w:rsid w:val="0F6E0BC2"/>
    <w:rsid w:val="0F92381B"/>
    <w:rsid w:val="0F9C7876"/>
    <w:rsid w:val="0F9E2D6C"/>
    <w:rsid w:val="0FA27F8D"/>
    <w:rsid w:val="0FB250C6"/>
    <w:rsid w:val="0FBE5B05"/>
    <w:rsid w:val="0FCE72CB"/>
    <w:rsid w:val="10243C12"/>
    <w:rsid w:val="10440A0C"/>
    <w:rsid w:val="10826560"/>
    <w:rsid w:val="108769BF"/>
    <w:rsid w:val="108E75DC"/>
    <w:rsid w:val="10A81B42"/>
    <w:rsid w:val="10B80611"/>
    <w:rsid w:val="10BC6DAE"/>
    <w:rsid w:val="10BE15FB"/>
    <w:rsid w:val="10C808DD"/>
    <w:rsid w:val="10D02F40"/>
    <w:rsid w:val="10D57A7C"/>
    <w:rsid w:val="10F85162"/>
    <w:rsid w:val="11167128"/>
    <w:rsid w:val="11270A41"/>
    <w:rsid w:val="112808D1"/>
    <w:rsid w:val="11302B35"/>
    <w:rsid w:val="114210B3"/>
    <w:rsid w:val="114264FB"/>
    <w:rsid w:val="11453C3B"/>
    <w:rsid w:val="11843368"/>
    <w:rsid w:val="11990A01"/>
    <w:rsid w:val="11A93B4C"/>
    <w:rsid w:val="11B147AE"/>
    <w:rsid w:val="11C61A6A"/>
    <w:rsid w:val="11C63422"/>
    <w:rsid w:val="11CF01EA"/>
    <w:rsid w:val="12057E80"/>
    <w:rsid w:val="121A0E4F"/>
    <w:rsid w:val="123777FB"/>
    <w:rsid w:val="123E1585"/>
    <w:rsid w:val="12434AE7"/>
    <w:rsid w:val="12967B20"/>
    <w:rsid w:val="129B320F"/>
    <w:rsid w:val="12B74004"/>
    <w:rsid w:val="12D0037F"/>
    <w:rsid w:val="12DE57EA"/>
    <w:rsid w:val="12F9640D"/>
    <w:rsid w:val="12FE52D4"/>
    <w:rsid w:val="1302088B"/>
    <w:rsid w:val="13135B04"/>
    <w:rsid w:val="1323747E"/>
    <w:rsid w:val="13471222"/>
    <w:rsid w:val="136C3083"/>
    <w:rsid w:val="136C6BDF"/>
    <w:rsid w:val="138015D7"/>
    <w:rsid w:val="139F28FA"/>
    <w:rsid w:val="13A1308D"/>
    <w:rsid w:val="13A30878"/>
    <w:rsid w:val="13BA43D7"/>
    <w:rsid w:val="13C912F0"/>
    <w:rsid w:val="14011A1D"/>
    <w:rsid w:val="14334AE5"/>
    <w:rsid w:val="14373707"/>
    <w:rsid w:val="144F46A3"/>
    <w:rsid w:val="14506DBC"/>
    <w:rsid w:val="14592304"/>
    <w:rsid w:val="145C34E0"/>
    <w:rsid w:val="145D39EE"/>
    <w:rsid w:val="145E10F3"/>
    <w:rsid w:val="146B4380"/>
    <w:rsid w:val="14720225"/>
    <w:rsid w:val="14787805"/>
    <w:rsid w:val="14BC6A30"/>
    <w:rsid w:val="14C02206"/>
    <w:rsid w:val="14D1602D"/>
    <w:rsid w:val="14D23C92"/>
    <w:rsid w:val="14FB2910"/>
    <w:rsid w:val="150C0E22"/>
    <w:rsid w:val="150C5A7C"/>
    <w:rsid w:val="151B6B0E"/>
    <w:rsid w:val="152852E4"/>
    <w:rsid w:val="15362F2C"/>
    <w:rsid w:val="1551792B"/>
    <w:rsid w:val="1562623F"/>
    <w:rsid w:val="15682D3A"/>
    <w:rsid w:val="158C17BA"/>
    <w:rsid w:val="15926CB6"/>
    <w:rsid w:val="15B04945"/>
    <w:rsid w:val="15C002AB"/>
    <w:rsid w:val="15C70BE9"/>
    <w:rsid w:val="15D96BA1"/>
    <w:rsid w:val="15E411C8"/>
    <w:rsid w:val="15FF36A5"/>
    <w:rsid w:val="160A3430"/>
    <w:rsid w:val="162325C5"/>
    <w:rsid w:val="164A65C0"/>
    <w:rsid w:val="164C1AF2"/>
    <w:rsid w:val="16530BB6"/>
    <w:rsid w:val="165E57D8"/>
    <w:rsid w:val="166D048D"/>
    <w:rsid w:val="16725835"/>
    <w:rsid w:val="169231A6"/>
    <w:rsid w:val="16A113EA"/>
    <w:rsid w:val="16AD0F24"/>
    <w:rsid w:val="16B17A67"/>
    <w:rsid w:val="16B72CF1"/>
    <w:rsid w:val="16CB5BD8"/>
    <w:rsid w:val="16E318AE"/>
    <w:rsid w:val="16E44668"/>
    <w:rsid w:val="16EC1986"/>
    <w:rsid w:val="16F413C5"/>
    <w:rsid w:val="16F95E52"/>
    <w:rsid w:val="16FC653C"/>
    <w:rsid w:val="170830C2"/>
    <w:rsid w:val="171C221B"/>
    <w:rsid w:val="171D03AA"/>
    <w:rsid w:val="17216875"/>
    <w:rsid w:val="17284570"/>
    <w:rsid w:val="17416879"/>
    <w:rsid w:val="1752069E"/>
    <w:rsid w:val="17605C93"/>
    <w:rsid w:val="17810ECD"/>
    <w:rsid w:val="178409E2"/>
    <w:rsid w:val="17942BA8"/>
    <w:rsid w:val="17946D20"/>
    <w:rsid w:val="17A950A6"/>
    <w:rsid w:val="17B7422B"/>
    <w:rsid w:val="17BB2B59"/>
    <w:rsid w:val="17C23271"/>
    <w:rsid w:val="17C64584"/>
    <w:rsid w:val="17C97CBE"/>
    <w:rsid w:val="17DC225E"/>
    <w:rsid w:val="17E40A5B"/>
    <w:rsid w:val="17EF2CE7"/>
    <w:rsid w:val="18262292"/>
    <w:rsid w:val="18320F7E"/>
    <w:rsid w:val="1836587B"/>
    <w:rsid w:val="1837154E"/>
    <w:rsid w:val="18493992"/>
    <w:rsid w:val="1862407D"/>
    <w:rsid w:val="186601EA"/>
    <w:rsid w:val="1868266B"/>
    <w:rsid w:val="188B0585"/>
    <w:rsid w:val="18AB72C3"/>
    <w:rsid w:val="18AE1A47"/>
    <w:rsid w:val="18B62303"/>
    <w:rsid w:val="19033B41"/>
    <w:rsid w:val="19131154"/>
    <w:rsid w:val="19385B02"/>
    <w:rsid w:val="19591F83"/>
    <w:rsid w:val="19721443"/>
    <w:rsid w:val="198B6FF9"/>
    <w:rsid w:val="199C7686"/>
    <w:rsid w:val="19A00992"/>
    <w:rsid w:val="19D308B1"/>
    <w:rsid w:val="1A0A57E5"/>
    <w:rsid w:val="1A0F75FA"/>
    <w:rsid w:val="1A206975"/>
    <w:rsid w:val="1A251C6C"/>
    <w:rsid w:val="1A3461FC"/>
    <w:rsid w:val="1A540EA1"/>
    <w:rsid w:val="1A6376A0"/>
    <w:rsid w:val="1A7A7E07"/>
    <w:rsid w:val="1A7B187D"/>
    <w:rsid w:val="1A7C170B"/>
    <w:rsid w:val="1AA05C8C"/>
    <w:rsid w:val="1ACB1168"/>
    <w:rsid w:val="1ACF18C1"/>
    <w:rsid w:val="1AD551C3"/>
    <w:rsid w:val="1B153EAE"/>
    <w:rsid w:val="1B3329AA"/>
    <w:rsid w:val="1B553462"/>
    <w:rsid w:val="1B5A04CC"/>
    <w:rsid w:val="1B612D7A"/>
    <w:rsid w:val="1B68353B"/>
    <w:rsid w:val="1B6F6C5B"/>
    <w:rsid w:val="1B713212"/>
    <w:rsid w:val="1B7F7ABE"/>
    <w:rsid w:val="1B813443"/>
    <w:rsid w:val="1B8D0E6E"/>
    <w:rsid w:val="1BB8039F"/>
    <w:rsid w:val="1BBB7DF2"/>
    <w:rsid w:val="1BC36F0D"/>
    <w:rsid w:val="1BC53330"/>
    <w:rsid w:val="1BD70CD9"/>
    <w:rsid w:val="1BDF2253"/>
    <w:rsid w:val="1BED33C4"/>
    <w:rsid w:val="1BF261F2"/>
    <w:rsid w:val="1C1E2137"/>
    <w:rsid w:val="1C550957"/>
    <w:rsid w:val="1C753C4C"/>
    <w:rsid w:val="1C8F2D15"/>
    <w:rsid w:val="1C915908"/>
    <w:rsid w:val="1C9A5D59"/>
    <w:rsid w:val="1CA613B3"/>
    <w:rsid w:val="1CCF13B9"/>
    <w:rsid w:val="1D0019E7"/>
    <w:rsid w:val="1D113589"/>
    <w:rsid w:val="1D424C2B"/>
    <w:rsid w:val="1D634902"/>
    <w:rsid w:val="1D7E2348"/>
    <w:rsid w:val="1D7F20F3"/>
    <w:rsid w:val="1D8A3694"/>
    <w:rsid w:val="1D8E6272"/>
    <w:rsid w:val="1DA25931"/>
    <w:rsid w:val="1DA91AE3"/>
    <w:rsid w:val="1DBC7817"/>
    <w:rsid w:val="1DDD1AB1"/>
    <w:rsid w:val="1E0F2F88"/>
    <w:rsid w:val="1E2377AF"/>
    <w:rsid w:val="1E37428D"/>
    <w:rsid w:val="1E3E7161"/>
    <w:rsid w:val="1E4545D0"/>
    <w:rsid w:val="1E4C5F8A"/>
    <w:rsid w:val="1E502E07"/>
    <w:rsid w:val="1E77548A"/>
    <w:rsid w:val="1E8F5018"/>
    <w:rsid w:val="1E940002"/>
    <w:rsid w:val="1E9B3D69"/>
    <w:rsid w:val="1EB01390"/>
    <w:rsid w:val="1EBF050A"/>
    <w:rsid w:val="1EDC2E3C"/>
    <w:rsid w:val="1F204760"/>
    <w:rsid w:val="1F2476B2"/>
    <w:rsid w:val="1F294887"/>
    <w:rsid w:val="1F63358C"/>
    <w:rsid w:val="1F7A422C"/>
    <w:rsid w:val="1F8F6F6A"/>
    <w:rsid w:val="1FA140B4"/>
    <w:rsid w:val="1FE10954"/>
    <w:rsid w:val="1FF41E6F"/>
    <w:rsid w:val="200E00AB"/>
    <w:rsid w:val="202C28CF"/>
    <w:rsid w:val="202C717C"/>
    <w:rsid w:val="2042255A"/>
    <w:rsid w:val="20443955"/>
    <w:rsid w:val="20453801"/>
    <w:rsid w:val="205214D2"/>
    <w:rsid w:val="20636DAD"/>
    <w:rsid w:val="206C104B"/>
    <w:rsid w:val="2073380F"/>
    <w:rsid w:val="20826A2C"/>
    <w:rsid w:val="208D62D5"/>
    <w:rsid w:val="20AB5673"/>
    <w:rsid w:val="20BF4537"/>
    <w:rsid w:val="20C4005A"/>
    <w:rsid w:val="20CC6F0F"/>
    <w:rsid w:val="20D44015"/>
    <w:rsid w:val="21034233"/>
    <w:rsid w:val="21141E92"/>
    <w:rsid w:val="211A5F7A"/>
    <w:rsid w:val="211F6A5E"/>
    <w:rsid w:val="2167658A"/>
    <w:rsid w:val="21690C84"/>
    <w:rsid w:val="216F1EDA"/>
    <w:rsid w:val="21791A09"/>
    <w:rsid w:val="219678FA"/>
    <w:rsid w:val="219F08D6"/>
    <w:rsid w:val="21AD0C61"/>
    <w:rsid w:val="21DD6EFA"/>
    <w:rsid w:val="21F30688"/>
    <w:rsid w:val="21F41FC8"/>
    <w:rsid w:val="222A7914"/>
    <w:rsid w:val="222D5234"/>
    <w:rsid w:val="223011CA"/>
    <w:rsid w:val="223A4FFA"/>
    <w:rsid w:val="2245341D"/>
    <w:rsid w:val="226349FA"/>
    <w:rsid w:val="226B49CA"/>
    <w:rsid w:val="226C4672"/>
    <w:rsid w:val="227946DA"/>
    <w:rsid w:val="22864DA7"/>
    <w:rsid w:val="22947F00"/>
    <w:rsid w:val="22A14387"/>
    <w:rsid w:val="22AA1E81"/>
    <w:rsid w:val="22CD3AFB"/>
    <w:rsid w:val="22EF37E0"/>
    <w:rsid w:val="22F44E48"/>
    <w:rsid w:val="23092E66"/>
    <w:rsid w:val="23243FA3"/>
    <w:rsid w:val="232E6D63"/>
    <w:rsid w:val="235E2E1D"/>
    <w:rsid w:val="238771E8"/>
    <w:rsid w:val="23893F65"/>
    <w:rsid w:val="238E494F"/>
    <w:rsid w:val="23925E93"/>
    <w:rsid w:val="2397004A"/>
    <w:rsid w:val="23A21AB3"/>
    <w:rsid w:val="23AB0361"/>
    <w:rsid w:val="23B93F1A"/>
    <w:rsid w:val="23C45B1D"/>
    <w:rsid w:val="23E65E56"/>
    <w:rsid w:val="23EA4C3F"/>
    <w:rsid w:val="23ED1120"/>
    <w:rsid w:val="24084702"/>
    <w:rsid w:val="241F600D"/>
    <w:rsid w:val="244F40DF"/>
    <w:rsid w:val="24630F0E"/>
    <w:rsid w:val="24644F52"/>
    <w:rsid w:val="2468352A"/>
    <w:rsid w:val="24734703"/>
    <w:rsid w:val="247973AD"/>
    <w:rsid w:val="249828B8"/>
    <w:rsid w:val="24A50216"/>
    <w:rsid w:val="24B60663"/>
    <w:rsid w:val="24D2438C"/>
    <w:rsid w:val="24DC5EAC"/>
    <w:rsid w:val="24EF7A86"/>
    <w:rsid w:val="25134DB5"/>
    <w:rsid w:val="254A2966"/>
    <w:rsid w:val="254D4012"/>
    <w:rsid w:val="25596CEC"/>
    <w:rsid w:val="257638ED"/>
    <w:rsid w:val="259E77CC"/>
    <w:rsid w:val="259F62EC"/>
    <w:rsid w:val="25CB19F7"/>
    <w:rsid w:val="26062EC3"/>
    <w:rsid w:val="261B05AA"/>
    <w:rsid w:val="261F3657"/>
    <w:rsid w:val="26396B2E"/>
    <w:rsid w:val="264F479C"/>
    <w:rsid w:val="267A6F2F"/>
    <w:rsid w:val="269D2F74"/>
    <w:rsid w:val="269D7C58"/>
    <w:rsid w:val="26AD3249"/>
    <w:rsid w:val="26BD5C77"/>
    <w:rsid w:val="26C23846"/>
    <w:rsid w:val="26D86850"/>
    <w:rsid w:val="26F70A5D"/>
    <w:rsid w:val="27030862"/>
    <w:rsid w:val="271541BE"/>
    <w:rsid w:val="27280C17"/>
    <w:rsid w:val="272F6449"/>
    <w:rsid w:val="276B0254"/>
    <w:rsid w:val="2776335B"/>
    <w:rsid w:val="278745BA"/>
    <w:rsid w:val="27944CB8"/>
    <w:rsid w:val="279B4AB6"/>
    <w:rsid w:val="27B6438F"/>
    <w:rsid w:val="27B727FA"/>
    <w:rsid w:val="27BE5B16"/>
    <w:rsid w:val="27C60B5C"/>
    <w:rsid w:val="27E82260"/>
    <w:rsid w:val="27F30B2B"/>
    <w:rsid w:val="27FB2F93"/>
    <w:rsid w:val="28100855"/>
    <w:rsid w:val="28192A17"/>
    <w:rsid w:val="284D5349"/>
    <w:rsid w:val="2858722A"/>
    <w:rsid w:val="28615DEC"/>
    <w:rsid w:val="287162EA"/>
    <w:rsid w:val="288165E9"/>
    <w:rsid w:val="28886378"/>
    <w:rsid w:val="289724F8"/>
    <w:rsid w:val="28A77B19"/>
    <w:rsid w:val="28C908C0"/>
    <w:rsid w:val="28D52B65"/>
    <w:rsid w:val="28E74E15"/>
    <w:rsid w:val="28EE04A6"/>
    <w:rsid w:val="28F1138A"/>
    <w:rsid w:val="28F769AE"/>
    <w:rsid w:val="292462B9"/>
    <w:rsid w:val="29315F52"/>
    <w:rsid w:val="293759A0"/>
    <w:rsid w:val="295660CE"/>
    <w:rsid w:val="2959595C"/>
    <w:rsid w:val="29641295"/>
    <w:rsid w:val="2975469E"/>
    <w:rsid w:val="297C07F2"/>
    <w:rsid w:val="29AE12D2"/>
    <w:rsid w:val="29C87697"/>
    <w:rsid w:val="29CD1B05"/>
    <w:rsid w:val="29D964A6"/>
    <w:rsid w:val="29D97A92"/>
    <w:rsid w:val="29F5028D"/>
    <w:rsid w:val="2A185D3F"/>
    <w:rsid w:val="2A1D3A7D"/>
    <w:rsid w:val="2A26732D"/>
    <w:rsid w:val="2A2D5C4C"/>
    <w:rsid w:val="2A4408F7"/>
    <w:rsid w:val="2A720EA9"/>
    <w:rsid w:val="2A9500CA"/>
    <w:rsid w:val="2A952A67"/>
    <w:rsid w:val="2A9D1C03"/>
    <w:rsid w:val="2A9D7877"/>
    <w:rsid w:val="2AA848F2"/>
    <w:rsid w:val="2AB47B85"/>
    <w:rsid w:val="2AB96874"/>
    <w:rsid w:val="2AC14F3B"/>
    <w:rsid w:val="2AC423CC"/>
    <w:rsid w:val="2AC837DC"/>
    <w:rsid w:val="2ACB6489"/>
    <w:rsid w:val="2AE77C0D"/>
    <w:rsid w:val="2AEA2DB3"/>
    <w:rsid w:val="2B0175A7"/>
    <w:rsid w:val="2B0807F9"/>
    <w:rsid w:val="2B3039D2"/>
    <w:rsid w:val="2B383565"/>
    <w:rsid w:val="2B4A3C9A"/>
    <w:rsid w:val="2B4F0E68"/>
    <w:rsid w:val="2B60145E"/>
    <w:rsid w:val="2B786611"/>
    <w:rsid w:val="2B7D7A02"/>
    <w:rsid w:val="2B80325D"/>
    <w:rsid w:val="2B90763A"/>
    <w:rsid w:val="2BCF0178"/>
    <w:rsid w:val="2BD75101"/>
    <w:rsid w:val="2BF43692"/>
    <w:rsid w:val="2BF71981"/>
    <w:rsid w:val="2C222A41"/>
    <w:rsid w:val="2C436A39"/>
    <w:rsid w:val="2C4D7B97"/>
    <w:rsid w:val="2C554341"/>
    <w:rsid w:val="2C7D10B1"/>
    <w:rsid w:val="2C872E8E"/>
    <w:rsid w:val="2C9A7B7D"/>
    <w:rsid w:val="2CB012A3"/>
    <w:rsid w:val="2CC969F8"/>
    <w:rsid w:val="2CD904EC"/>
    <w:rsid w:val="2CDE6947"/>
    <w:rsid w:val="2CE140A6"/>
    <w:rsid w:val="2CF0510A"/>
    <w:rsid w:val="2D116D71"/>
    <w:rsid w:val="2D5372AF"/>
    <w:rsid w:val="2D681A1B"/>
    <w:rsid w:val="2D8A00DA"/>
    <w:rsid w:val="2D922935"/>
    <w:rsid w:val="2DAA0F4E"/>
    <w:rsid w:val="2DAF2728"/>
    <w:rsid w:val="2DC25921"/>
    <w:rsid w:val="2DC746AE"/>
    <w:rsid w:val="2DD0600F"/>
    <w:rsid w:val="2DF86F1F"/>
    <w:rsid w:val="2DFF720C"/>
    <w:rsid w:val="2E0A12D4"/>
    <w:rsid w:val="2E245EDA"/>
    <w:rsid w:val="2E485DE4"/>
    <w:rsid w:val="2E4907E6"/>
    <w:rsid w:val="2E5D389C"/>
    <w:rsid w:val="2E610ABA"/>
    <w:rsid w:val="2E6959C8"/>
    <w:rsid w:val="2E916AE5"/>
    <w:rsid w:val="2EB11281"/>
    <w:rsid w:val="2EC66C39"/>
    <w:rsid w:val="2EED1BB7"/>
    <w:rsid w:val="2EED4AA9"/>
    <w:rsid w:val="2EF330DB"/>
    <w:rsid w:val="2EF40B07"/>
    <w:rsid w:val="2EF5116C"/>
    <w:rsid w:val="2F012CC0"/>
    <w:rsid w:val="2F1B6A28"/>
    <w:rsid w:val="2F2258FB"/>
    <w:rsid w:val="2F394A11"/>
    <w:rsid w:val="2F3E59BD"/>
    <w:rsid w:val="2F733F38"/>
    <w:rsid w:val="2F854E58"/>
    <w:rsid w:val="2FA648AA"/>
    <w:rsid w:val="2FAD3359"/>
    <w:rsid w:val="2FC322C4"/>
    <w:rsid w:val="2FCB6783"/>
    <w:rsid w:val="2FDC09DF"/>
    <w:rsid w:val="2FED29FE"/>
    <w:rsid w:val="2FFF7217"/>
    <w:rsid w:val="300035BD"/>
    <w:rsid w:val="30003A8F"/>
    <w:rsid w:val="3005137D"/>
    <w:rsid w:val="303B502E"/>
    <w:rsid w:val="30465759"/>
    <w:rsid w:val="306B76A5"/>
    <w:rsid w:val="308038A1"/>
    <w:rsid w:val="3094146B"/>
    <w:rsid w:val="30A01CB2"/>
    <w:rsid w:val="30B51653"/>
    <w:rsid w:val="30BB0548"/>
    <w:rsid w:val="30BF6215"/>
    <w:rsid w:val="30CC4C3C"/>
    <w:rsid w:val="30F44813"/>
    <w:rsid w:val="30F6385F"/>
    <w:rsid w:val="31006717"/>
    <w:rsid w:val="310567D7"/>
    <w:rsid w:val="310754C2"/>
    <w:rsid w:val="31112D6F"/>
    <w:rsid w:val="311539E2"/>
    <w:rsid w:val="311E37B6"/>
    <w:rsid w:val="314D4665"/>
    <w:rsid w:val="316134CC"/>
    <w:rsid w:val="31684A32"/>
    <w:rsid w:val="31745184"/>
    <w:rsid w:val="31825CFF"/>
    <w:rsid w:val="318B3E12"/>
    <w:rsid w:val="319A4A3A"/>
    <w:rsid w:val="31AD68E8"/>
    <w:rsid w:val="31B518C2"/>
    <w:rsid w:val="31D863B4"/>
    <w:rsid w:val="32006A6C"/>
    <w:rsid w:val="320F5998"/>
    <w:rsid w:val="321F7E68"/>
    <w:rsid w:val="3265401C"/>
    <w:rsid w:val="32C07C44"/>
    <w:rsid w:val="32C43F07"/>
    <w:rsid w:val="32D654EF"/>
    <w:rsid w:val="32D837EB"/>
    <w:rsid w:val="32E37C99"/>
    <w:rsid w:val="330937A5"/>
    <w:rsid w:val="330D75C9"/>
    <w:rsid w:val="331B4778"/>
    <w:rsid w:val="331E0D57"/>
    <w:rsid w:val="3323156E"/>
    <w:rsid w:val="332C331D"/>
    <w:rsid w:val="338D077F"/>
    <w:rsid w:val="33925D96"/>
    <w:rsid w:val="33B60D2F"/>
    <w:rsid w:val="33DC1707"/>
    <w:rsid w:val="33EB6199"/>
    <w:rsid w:val="33ED121E"/>
    <w:rsid w:val="33F27C51"/>
    <w:rsid w:val="341323B2"/>
    <w:rsid w:val="34214EEC"/>
    <w:rsid w:val="34341CBB"/>
    <w:rsid w:val="34402DAE"/>
    <w:rsid w:val="344E0026"/>
    <w:rsid w:val="3477200C"/>
    <w:rsid w:val="34853B4C"/>
    <w:rsid w:val="34A57D4B"/>
    <w:rsid w:val="34A83E38"/>
    <w:rsid w:val="34AB6090"/>
    <w:rsid w:val="34D53480"/>
    <w:rsid w:val="34DA7AA8"/>
    <w:rsid w:val="34E279DF"/>
    <w:rsid w:val="34ED738B"/>
    <w:rsid w:val="34F5239D"/>
    <w:rsid w:val="35192CF4"/>
    <w:rsid w:val="356F72EA"/>
    <w:rsid w:val="35A76C80"/>
    <w:rsid w:val="35AF0EB2"/>
    <w:rsid w:val="35D2735F"/>
    <w:rsid w:val="35E31544"/>
    <w:rsid w:val="35F10F6E"/>
    <w:rsid w:val="36047B3C"/>
    <w:rsid w:val="36173520"/>
    <w:rsid w:val="36186A94"/>
    <w:rsid w:val="36194EAD"/>
    <w:rsid w:val="36370E76"/>
    <w:rsid w:val="36372C24"/>
    <w:rsid w:val="364004CF"/>
    <w:rsid w:val="364D5831"/>
    <w:rsid w:val="365706EB"/>
    <w:rsid w:val="36642818"/>
    <w:rsid w:val="36A73CE1"/>
    <w:rsid w:val="36B16684"/>
    <w:rsid w:val="36D84407"/>
    <w:rsid w:val="36F04993"/>
    <w:rsid w:val="36F249E4"/>
    <w:rsid w:val="36F81794"/>
    <w:rsid w:val="37007CBF"/>
    <w:rsid w:val="37050A6C"/>
    <w:rsid w:val="37220A8C"/>
    <w:rsid w:val="374817EB"/>
    <w:rsid w:val="374A05C5"/>
    <w:rsid w:val="37507E96"/>
    <w:rsid w:val="37910BEA"/>
    <w:rsid w:val="379F489D"/>
    <w:rsid w:val="37A46777"/>
    <w:rsid w:val="37AC53FB"/>
    <w:rsid w:val="37AD1F7F"/>
    <w:rsid w:val="37B3706C"/>
    <w:rsid w:val="37E8022A"/>
    <w:rsid w:val="37EF7C5B"/>
    <w:rsid w:val="37F86FC6"/>
    <w:rsid w:val="381F1B71"/>
    <w:rsid w:val="3854636E"/>
    <w:rsid w:val="386B4FF1"/>
    <w:rsid w:val="386F48F8"/>
    <w:rsid w:val="387F654B"/>
    <w:rsid w:val="38825603"/>
    <w:rsid w:val="389B6611"/>
    <w:rsid w:val="389D1B08"/>
    <w:rsid w:val="38C74780"/>
    <w:rsid w:val="38F75BFF"/>
    <w:rsid w:val="391D104D"/>
    <w:rsid w:val="394E78CE"/>
    <w:rsid w:val="39564FDC"/>
    <w:rsid w:val="39641C0B"/>
    <w:rsid w:val="3975649E"/>
    <w:rsid w:val="397E2F6A"/>
    <w:rsid w:val="39A72EFD"/>
    <w:rsid w:val="39B70B9F"/>
    <w:rsid w:val="39BD5DC0"/>
    <w:rsid w:val="39E939C0"/>
    <w:rsid w:val="3A045513"/>
    <w:rsid w:val="3A68613A"/>
    <w:rsid w:val="3A740FBC"/>
    <w:rsid w:val="3A7A6FA6"/>
    <w:rsid w:val="3A7E0836"/>
    <w:rsid w:val="3A835D79"/>
    <w:rsid w:val="3A873B57"/>
    <w:rsid w:val="3A897DFB"/>
    <w:rsid w:val="3A8F08DF"/>
    <w:rsid w:val="3A9E5CAC"/>
    <w:rsid w:val="3AA1662D"/>
    <w:rsid w:val="3AB42A96"/>
    <w:rsid w:val="3AC46B3D"/>
    <w:rsid w:val="3ACB07C3"/>
    <w:rsid w:val="3AD2453D"/>
    <w:rsid w:val="3AE73729"/>
    <w:rsid w:val="3AF94295"/>
    <w:rsid w:val="3AFA0DF0"/>
    <w:rsid w:val="3B006271"/>
    <w:rsid w:val="3B2779D0"/>
    <w:rsid w:val="3B520A34"/>
    <w:rsid w:val="3B5A5C74"/>
    <w:rsid w:val="3B6754DA"/>
    <w:rsid w:val="3B6E0A49"/>
    <w:rsid w:val="3B8179BC"/>
    <w:rsid w:val="3B8267E4"/>
    <w:rsid w:val="3B9911FD"/>
    <w:rsid w:val="3B9F3746"/>
    <w:rsid w:val="3BAA37AE"/>
    <w:rsid w:val="3BBB2CC5"/>
    <w:rsid w:val="3BBD2AB7"/>
    <w:rsid w:val="3BCF1236"/>
    <w:rsid w:val="3BE856D6"/>
    <w:rsid w:val="3BE949C1"/>
    <w:rsid w:val="3BFE17B5"/>
    <w:rsid w:val="3C047077"/>
    <w:rsid w:val="3C1E511C"/>
    <w:rsid w:val="3C447CF8"/>
    <w:rsid w:val="3C9237D5"/>
    <w:rsid w:val="3CA64660"/>
    <w:rsid w:val="3CA8500A"/>
    <w:rsid w:val="3CAE6C43"/>
    <w:rsid w:val="3CC539B0"/>
    <w:rsid w:val="3CD35210"/>
    <w:rsid w:val="3D11586A"/>
    <w:rsid w:val="3D163AE0"/>
    <w:rsid w:val="3D1B181B"/>
    <w:rsid w:val="3D2C5AD9"/>
    <w:rsid w:val="3D4520CB"/>
    <w:rsid w:val="3D4F46B9"/>
    <w:rsid w:val="3D54785B"/>
    <w:rsid w:val="3D8A23EB"/>
    <w:rsid w:val="3DAE1120"/>
    <w:rsid w:val="3DD45465"/>
    <w:rsid w:val="3DEB4F80"/>
    <w:rsid w:val="3DEC6007"/>
    <w:rsid w:val="3DF81041"/>
    <w:rsid w:val="3E2E1510"/>
    <w:rsid w:val="3E2F0BB9"/>
    <w:rsid w:val="3E314312"/>
    <w:rsid w:val="3E37085D"/>
    <w:rsid w:val="3E5E3444"/>
    <w:rsid w:val="3E721B7E"/>
    <w:rsid w:val="3E7E2C54"/>
    <w:rsid w:val="3E9214F4"/>
    <w:rsid w:val="3E993C28"/>
    <w:rsid w:val="3EA32363"/>
    <w:rsid w:val="3EAA0773"/>
    <w:rsid w:val="3EBA270F"/>
    <w:rsid w:val="3EC84D62"/>
    <w:rsid w:val="3ED876A0"/>
    <w:rsid w:val="3F021E95"/>
    <w:rsid w:val="3F184EF0"/>
    <w:rsid w:val="3F203EE3"/>
    <w:rsid w:val="3F277CDA"/>
    <w:rsid w:val="3F2B0F83"/>
    <w:rsid w:val="3F411F66"/>
    <w:rsid w:val="3F5D7BA0"/>
    <w:rsid w:val="3F606D22"/>
    <w:rsid w:val="3F620C9C"/>
    <w:rsid w:val="3F704AC4"/>
    <w:rsid w:val="3F741C8F"/>
    <w:rsid w:val="3F8E3869"/>
    <w:rsid w:val="3F9966FE"/>
    <w:rsid w:val="3FA12003"/>
    <w:rsid w:val="3FA93F33"/>
    <w:rsid w:val="3FC737A7"/>
    <w:rsid w:val="3FD50A6D"/>
    <w:rsid w:val="40211C47"/>
    <w:rsid w:val="40485FC4"/>
    <w:rsid w:val="405368AD"/>
    <w:rsid w:val="405526CA"/>
    <w:rsid w:val="406311E6"/>
    <w:rsid w:val="406A5899"/>
    <w:rsid w:val="407177E5"/>
    <w:rsid w:val="4078772F"/>
    <w:rsid w:val="408825A6"/>
    <w:rsid w:val="40883F15"/>
    <w:rsid w:val="40916BEC"/>
    <w:rsid w:val="409D2FB8"/>
    <w:rsid w:val="40BE466E"/>
    <w:rsid w:val="40C51EAF"/>
    <w:rsid w:val="40E045E4"/>
    <w:rsid w:val="40EA12CE"/>
    <w:rsid w:val="40F51065"/>
    <w:rsid w:val="41057CFE"/>
    <w:rsid w:val="41073109"/>
    <w:rsid w:val="410D140C"/>
    <w:rsid w:val="41574284"/>
    <w:rsid w:val="41655590"/>
    <w:rsid w:val="416A2100"/>
    <w:rsid w:val="416E48FA"/>
    <w:rsid w:val="4173169E"/>
    <w:rsid w:val="4177481D"/>
    <w:rsid w:val="41AB0BB6"/>
    <w:rsid w:val="41AC2E67"/>
    <w:rsid w:val="41CC4C8D"/>
    <w:rsid w:val="41D63C39"/>
    <w:rsid w:val="41D669D4"/>
    <w:rsid w:val="41EE16F1"/>
    <w:rsid w:val="41F44C7B"/>
    <w:rsid w:val="420874F0"/>
    <w:rsid w:val="420C3BC9"/>
    <w:rsid w:val="42217A99"/>
    <w:rsid w:val="422C6A21"/>
    <w:rsid w:val="42337E3D"/>
    <w:rsid w:val="42356B00"/>
    <w:rsid w:val="42474A6A"/>
    <w:rsid w:val="425129B5"/>
    <w:rsid w:val="425B35E7"/>
    <w:rsid w:val="425F082C"/>
    <w:rsid w:val="4262496A"/>
    <w:rsid w:val="42666D6B"/>
    <w:rsid w:val="426C705B"/>
    <w:rsid w:val="428C63EA"/>
    <w:rsid w:val="429221EC"/>
    <w:rsid w:val="42AD04BA"/>
    <w:rsid w:val="42BA57B5"/>
    <w:rsid w:val="42CC3C57"/>
    <w:rsid w:val="42D143F8"/>
    <w:rsid w:val="42F51E0E"/>
    <w:rsid w:val="430420E0"/>
    <w:rsid w:val="431467C7"/>
    <w:rsid w:val="43222AC3"/>
    <w:rsid w:val="433F015B"/>
    <w:rsid w:val="43456981"/>
    <w:rsid w:val="438B7EF8"/>
    <w:rsid w:val="439B17AF"/>
    <w:rsid w:val="43AC4BEC"/>
    <w:rsid w:val="43AE5090"/>
    <w:rsid w:val="43B15FA6"/>
    <w:rsid w:val="43B856CC"/>
    <w:rsid w:val="43C22454"/>
    <w:rsid w:val="43E74F97"/>
    <w:rsid w:val="43F9776B"/>
    <w:rsid w:val="440525B4"/>
    <w:rsid w:val="44080300"/>
    <w:rsid w:val="4416264E"/>
    <w:rsid w:val="44233A98"/>
    <w:rsid w:val="44256CBD"/>
    <w:rsid w:val="442E636D"/>
    <w:rsid w:val="44A2710B"/>
    <w:rsid w:val="44B84405"/>
    <w:rsid w:val="44BC30F6"/>
    <w:rsid w:val="44C9538F"/>
    <w:rsid w:val="44D737A7"/>
    <w:rsid w:val="44EA4D13"/>
    <w:rsid w:val="44EF43B4"/>
    <w:rsid w:val="44FC4C69"/>
    <w:rsid w:val="451707F1"/>
    <w:rsid w:val="452E06C3"/>
    <w:rsid w:val="456D6F2D"/>
    <w:rsid w:val="4570269B"/>
    <w:rsid w:val="458F482B"/>
    <w:rsid w:val="459E4A6E"/>
    <w:rsid w:val="45A04342"/>
    <w:rsid w:val="45B63BDE"/>
    <w:rsid w:val="45FF55BE"/>
    <w:rsid w:val="46192347"/>
    <w:rsid w:val="4621064D"/>
    <w:rsid w:val="46224CA6"/>
    <w:rsid w:val="463A7E4F"/>
    <w:rsid w:val="46463357"/>
    <w:rsid w:val="467852BF"/>
    <w:rsid w:val="4686449D"/>
    <w:rsid w:val="4697468C"/>
    <w:rsid w:val="469D423C"/>
    <w:rsid w:val="46B96F7D"/>
    <w:rsid w:val="46E51F5D"/>
    <w:rsid w:val="46F81F5C"/>
    <w:rsid w:val="46FD5717"/>
    <w:rsid w:val="47375C3A"/>
    <w:rsid w:val="475D1D74"/>
    <w:rsid w:val="477B36F0"/>
    <w:rsid w:val="479041F4"/>
    <w:rsid w:val="47987C43"/>
    <w:rsid w:val="479A1C4D"/>
    <w:rsid w:val="479B1265"/>
    <w:rsid w:val="479C322F"/>
    <w:rsid w:val="47D06A35"/>
    <w:rsid w:val="484853C1"/>
    <w:rsid w:val="485729A0"/>
    <w:rsid w:val="485D607A"/>
    <w:rsid w:val="48754FA7"/>
    <w:rsid w:val="48A92C30"/>
    <w:rsid w:val="48DF33D4"/>
    <w:rsid w:val="48E40D16"/>
    <w:rsid w:val="48F8674B"/>
    <w:rsid w:val="4901088E"/>
    <w:rsid w:val="49221512"/>
    <w:rsid w:val="49223013"/>
    <w:rsid w:val="494476DB"/>
    <w:rsid w:val="49675177"/>
    <w:rsid w:val="49682B8C"/>
    <w:rsid w:val="498B355B"/>
    <w:rsid w:val="499265C9"/>
    <w:rsid w:val="49BD4202"/>
    <w:rsid w:val="49D53D3B"/>
    <w:rsid w:val="4A006C7B"/>
    <w:rsid w:val="4A190B67"/>
    <w:rsid w:val="4A24454F"/>
    <w:rsid w:val="4A291B53"/>
    <w:rsid w:val="4A38282F"/>
    <w:rsid w:val="4A520FD4"/>
    <w:rsid w:val="4A541735"/>
    <w:rsid w:val="4A5546EB"/>
    <w:rsid w:val="4ACC0559"/>
    <w:rsid w:val="4AEB4515"/>
    <w:rsid w:val="4B0C679E"/>
    <w:rsid w:val="4B26353C"/>
    <w:rsid w:val="4B396C83"/>
    <w:rsid w:val="4B5C0D0B"/>
    <w:rsid w:val="4B801BE0"/>
    <w:rsid w:val="4B8F63C2"/>
    <w:rsid w:val="4B977F95"/>
    <w:rsid w:val="4BB90C5F"/>
    <w:rsid w:val="4BD20E9C"/>
    <w:rsid w:val="4BD60E38"/>
    <w:rsid w:val="4C0645E9"/>
    <w:rsid w:val="4C227601"/>
    <w:rsid w:val="4C5A5F9D"/>
    <w:rsid w:val="4C614574"/>
    <w:rsid w:val="4C653BF0"/>
    <w:rsid w:val="4C66226F"/>
    <w:rsid w:val="4C673101"/>
    <w:rsid w:val="4C6C09F2"/>
    <w:rsid w:val="4C794FBA"/>
    <w:rsid w:val="4C7B1507"/>
    <w:rsid w:val="4C87625C"/>
    <w:rsid w:val="4C934C01"/>
    <w:rsid w:val="4CC60AD4"/>
    <w:rsid w:val="4CE865CF"/>
    <w:rsid w:val="4D021D86"/>
    <w:rsid w:val="4D0911F8"/>
    <w:rsid w:val="4D1027D2"/>
    <w:rsid w:val="4D105759"/>
    <w:rsid w:val="4D155616"/>
    <w:rsid w:val="4D27091A"/>
    <w:rsid w:val="4D513D59"/>
    <w:rsid w:val="4D5619CE"/>
    <w:rsid w:val="4D590236"/>
    <w:rsid w:val="4D595E6D"/>
    <w:rsid w:val="4D603B1A"/>
    <w:rsid w:val="4D697710"/>
    <w:rsid w:val="4D920419"/>
    <w:rsid w:val="4DAE0F4C"/>
    <w:rsid w:val="4DB50C55"/>
    <w:rsid w:val="4DBF1705"/>
    <w:rsid w:val="4DCF06D0"/>
    <w:rsid w:val="4DD147BB"/>
    <w:rsid w:val="4DF36B7B"/>
    <w:rsid w:val="4E8B7C91"/>
    <w:rsid w:val="4EA41060"/>
    <w:rsid w:val="4EAB35CF"/>
    <w:rsid w:val="4EBE7571"/>
    <w:rsid w:val="4ED657DD"/>
    <w:rsid w:val="4F006C46"/>
    <w:rsid w:val="4F01088D"/>
    <w:rsid w:val="4F315D99"/>
    <w:rsid w:val="4F365238"/>
    <w:rsid w:val="4F41215A"/>
    <w:rsid w:val="4F450C4C"/>
    <w:rsid w:val="4F461FF9"/>
    <w:rsid w:val="4F4E12B3"/>
    <w:rsid w:val="4F5B28E5"/>
    <w:rsid w:val="4F691720"/>
    <w:rsid w:val="4F6B0437"/>
    <w:rsid w:val="4F9A0B80"/>
    <w:rsid w:val="4F9E6DE7"/>
    <w:rsid w:val="4F9F1B0F"/>
    <w:rsid w:val="4FA17E1F"/>
    <w:rsid w:val="4FA709C3"/>
    <w:rsid w:val="4FD337AC"/>
    <w:rsid w:val="4FD44F51"/>
    <w:rsid w:val="4FE56C1C"/>
    <w:rsid w:val="4FFA48F9"/>
    <w:rsid w:val="50286903"/>
    <w:rsid w:val="502F7082"/>
    <w:rsid w:val="503F0BFC"/>
    <w:rsid w:val="504674EF"/>
    <w:rsid w:val="504A235C"/>
    <w:rsid w:val="505C0F07"/>
    <w:rsid w:val="507D6905"/>
    <w:rsid w:val="508876F2"/>
    <w:rsid w:val="50D039FC"/>
    <w:rsid w:val="50D1304F"/>
    <w:rsid w:val="50E5611F"/>
    <w:rsid w:val="50EA32CA"/>
    <w:rsid w:val="50ED379D"/>
    <w:rsid w:val="510617E0"/>
    <w:rsid w:val="511A59D4"/>
    <w:rsid w:val="514E0B19"/>
    <w:rsid w:val="51684AF0"/>
    <w:rsid w:val="5169414C"/>
    <w:rsid w:val="516C71D3"/>
    <w:rsid w:val="517C7C06"/>
    <w:rsid w:val="5188209F"/>
    <w:rsid w:val="51AF4B34"/>
    <w:rsid w:val="51AF75B1"/>
    <w:rsid w:val="51B730D7"/>
    <w:rsid w:val="51CB2747"/>
    <w:rsid w:val="51DF5FA9"/>
    <w:rsid w:val="51EA64E7"/>
    <w:rsid w:val="51F21535"/>
    <w:rsid w:val="51FC1E67"/>
    <w:rsid w:val="522D1ECB"/>
    <w:rsid w:val="522D6A48"/>
    <w:rsid w:val="522F00D9"/>
    <w:rsid w:val="52391DA6"/>
    <w:rsid w:val="524F7451"/>
    <w:rsid w:val="52A85527"/>
    <w:rsid w:val="52A93202"/>
    <w:rsid w:val="52A9385F"/>
    <w:rsid w:val="52BC7379"/>
    <w:rsid w:val="52FC6F25"/>
    <w:rsid w:val="53032D18"/>
    <w:rsid w:val="530F4B4B"/>
    <w:rsid w:val="5315666E"/>
    <w:rsid w:val="533B575A"/>
    <w:rsid w:val="533C785F"/>
    <w:rsid w:val="534970C9"/>
    <w:rsid w:val="534C3D5B"/>
    <w:rsid w:val="53511BB4"/>
    <w:rsid w:val="53543403"/>
    <w:rsid w:val="536610CD"/>
    <w:rsid w:val="536C0189"/>
    <w:rsid w:val="539077D7"/>
    <w:rsid w:val="53915291"/>
    <w:rsid w:val="539408D9"/>
    <w:rsid w:val="5394374B"/>
    <w:rsid w:val="53D66A77"/>
    <w:rsid w:val="53DF5FCE"/>
    <w:rsid w:val="53E045DC"/>
    <w:rsid w:val="53EC6CAC"/>
    <w:rsid w:val="54011BE0"/>
    <w:rsid w:val="541D6536"/>
    <w:rsid w:val="545852F9"/>
    <w:rsid w:val="548E3C61"/>
    <w:rsid w:val="54B229A2"/>
    <w:rsid w:val="54B77B82"/>
    <w:rsid w:val="54BC0B54"/>
    <w:rsid w:val="54C067AF"/>
    <w:rsid w:val="54C16D1C"/>
    <w:rsid w:val="54D166FF"/>
    <w:rsid w:val="551747D1"/>
    <w:rsid w:val="55411670"/>
    <w:rsid w:val="556634C2"/>
    <w:rsid w:val="55700F47"/>
    <w:rsid w:val="557E61A4"/>
    <w:rsid w:val="559378C1"/>
    <w:rsid w:val="559739F7"/>
    <w:rsid w:val="55B34B37"/>
    <w:rsid w:val="55C01C2B"/>
    <w:rsid w:val="55C76503"/>
    <w:rsid w:val="55DF4A13"/>
    <w:rsid w:val="55E92DC8"/>
    <w:rsid w:val="56051FA0"/>
    <w:rsid w:val="560A6F21"/>
    <w:rsid w:val="56964B67"/>
    <w:rsid w:val="56A2254A"/>
    <w:rsid w:val="56B84777"/>
    <w:rsid w:val="56C4359A"/>
    <w:rsid w:val="56CA70CB"/>
    <w:rsid w:val="56CE7DF0"/>
    <w:rsid w:val="56DC6D19"/>
    <w:rsid w:val="56EA2F22"/>
    <w:rsid w:val="5709458C"/>
    <w:rsid w:val="572C203E"/>
    <w:rsid w:val="57345040"/>
    <w:rsid w:val="574562CB"/>
    <w:rsid w:val="574D1DD1"/>
    <w:rsid w:val="5753316B"/>
    <w:rsid w:val="575A1565"/>
    <w:rsid w:val="575B2FCE"/>
    <w:rsid w:val="57607DD5"/>
    <w:rsid w:val="57621649"/>
    <w:rsid w:val="57825E7B"/>
    <w:rsid w:val="57891DE8"/>
    <w:rsid w:val="57911D3D"/>
    <w:rsid w:val="57AC4DC9"/>
    <w:rsid w:val="57D21D2E"/>
    <w:rsid w:val="57D460CD"/>
    <w:rsid w:val="580D60EF"/>
    <w:rsid w:val="58144F7F"/>
    <w:rsid w:val="58220099"/>
    <w:rsid w:val="582212D0"/>
    <w:rsid w:val="5822393B"/>
    <w:rsid w:val="582F689A"/>
    <w:rsid w:val="5834365A"/>
    <w:rsid w:val="583F222A"/>
    <w:rsid w:val="58434840"/>
    <w:rsid w:val="585128D8"/>
    <w:rsid w:val="58546D68"/>
    <w:rsid w:val="58560C96"/>
    <w:rsid w:val="585A2A77"/>
    <w:rsid w:val="58614B4A"/>
    <w:rsid w:val="586A6CFD"/>
    <w:rsid w:val="586B56D6"/>
    <w:rsid w:val="586E207E"/>
    <w:rsid w:val="587F24DD"/>
    <w:rsid w:val="588C0315"/>
    <w:rsid w:val="58A845BD"/>
    <w:rsid w:val="58A957AC"/>
    <w:rsid w:val="58C148A4"/>
    <w:rsid w:val="58C74E74"/>
    <w:rsid w:val="58D46A78"/>
    <w:rsid w:val="58D95FFF"/>
    <w:rsid w:val="58DB106B"/>
    <w:rsid w:val="59017DBF"/>
    <w:rsid w:val="590B4D1E"/>
    <w:rsid w:val="59142657"/>
    <w:rsid w:val="59162B61"/>
    <w:rsid w:val="5923542B"/>
    <w:rsid w:val="592436C3"/>
    <w:rsid w:val="593B64CB"/>
    <w:rsid w:val="594504DD"/>
    <w:rsid w:val="594B4072"/>
    <w:rsid w:val="59830A02"/>
    <w:rsid w:val="59860AFD"/>
    <w:rsid w:val="5992528F"/>
    <w:rsid w:val="599E7122"/>
    <w:rsid w:val="59AF71C9"/>
    <w:rsid w:val="59B11638"/>
    <w:rsid w:val="59BF2B36"/>
    <w:rsid w:val="59CE54CA"/>
    <w:rsid w:val="59D96BC8"/>
    <w:rsid w:val="59DD4368"/>
    <w:rsid w:val="59F91E1B"/>
    <w:rsid w:val="5A0652BD"/>
    <w:rsid w:val="5A13112F"/>
    <w:rsid w:val="5A185CF5"/>
    <w:rsid w:val="5A227F12"/>
    <w:rsid w:val="5A3A51AE"/>
    <w:rsid w:val="5A3F5976"/>
    <w:rsid w:val="5A456002"/>
    <w:rsid w:val="5A4F531A"/>
    <w:rsid w:val="5A6B7581"/>
    <w:rsid w:val="5A85259E"/>
    <w:rsid w:val="5AA42833"/>
    <w:rsid w:val="5AC42429"/>
    <w:rsid w:val="5AD35C0B"/>
    <w:rsid w:val="5AD44EBF"/>
    <w:rsid w:val="5AE13698"/>
    <w:rsid w:val="5B260122"/>
    <w:rsid w:val="5B266B9A"/>
    <w:rsid w:val="5B4C5C4B"/>
    <w:rsid w:val="5B51551C"/>
    <w:rsid w:val="5B600D8D"/>
    <w:rsid w:val="5B7A5359"/>
    <w:rsid w:val="5B8B0791"/>
    <w:rsid w:val="5B8C432B"/>
    <w:rsid w:val="5BA35C9D"/>
    <w:rsid w:val="5BAA3498"/>
    <w:rsid w:val="5BB50481"/>
    <w:rsid w:val="5BC3784B"/>
    <w:rsid w:val="5BCE7A03"/>
    <w:rsid w:val="5C1E3DBB"/>
    <w:rsid w:val="5C1F0BC9"/>
    <w:rsid w:val="5C2C3843"/>
    <w:rsid w:val="5C3515C2"/>
    <w:rsid w:val="5C4221AB"/>
    <w:rsid w:val="5C5F50E3"/>
    <w:rsid w:val="5C782EE4"/>
    <w:rsid w:val="5C9D73D6"/>
    <w:rsid w:val="5CA521C4"/>
    <w:rsid w:val="5D0C2109"/>
    <w:rsid w:val="5D0C411C"/>
    <w:rsid w:val="5D246911"/>
    <w:rsid w:val="5D292915"/>
    <w:rsid w:val="5D2B38BA"/>
    <w:rsid w:val="5D3129CD"/>
    <w:rsid w:val="5D3267AF"/>
    <w:rsid w:val="5D3513BC"/>
    <w:rsid w:val="5D4627A7"/>
    <w:rsid w:val="5D634476"/>
    <w:rsid w:val="5D7B2742"/>
    <w:rsid w:val="5D8460BF"/>
    <w:rsid w:val="5D8A387C"/>
    <w:rsid w:val="5D8B493B"/>
    <w:rsid w:val="5DBC02DA"/>
    <w:rsid w:val="5DCA6B4B"/>
    <w:rsid w:val="5DCB10F0"/>
    <w:rsid w:val="5DD8714F"/>
    <w:rsid w:val="5E191A6D"/>
    <w:rsid w:val="5E2176CC"/>
    <w:rsid w:val="5E377A23"/>
    <w:rsid w:val="5E3F3A28"/>
    <w:rsid w:val="5E595CB3"/>
    <w:rsid w:val="5E647751"/>
    <w:rsid w:val="5E6957C1"/>
    <w:rsid w:val="5E7E7E8C"/>
    <w:rsid w:val="5E7F3CBF"/>
    <w:rsid w:val="5ED96808"/>
    <w:rsid w:val="5EED6951"/>
    <w:rsid w:val="5F0320C8"/>
    <w:rsid w:val="5F0B60E8"/>
    <w:rsid w:val="5F1073D0"/>
    <w:rsid w:val="5F83375F"/>
    <w:rsid w:val="5F9E71A9"/>
    <w:rsid w:val="5FA00B90"/>
    <w:rsid w:val="5FDE07FD"/>
    <w:rsid w:val="5FE362E1"/>
    <w:rsid w:val="600259A6"/>
    <w:rsid w:val="602848E2"/>
    <w:rsid w:val="603E7FC9"/>
    <w:rsid w:val="60443056"/>
    <w:rsid w:val="60782C74"/>
    <w:rsid w:val="60860445"/>
    <w:rsid w:val="608F5287"/>
    <w:rsid w:val="60D87477"/>
    <w:rsid w:val="60E64C7B"/>
    <w:rsid w:val="60E93664"/>
    <w:rsid w:val="60F47402"/>
    <w:rsid w:val="610F692E"/>
    <w:rsid w:val="611E5077"/>
    <w:rsid w:val="61234F51"/>
    <w:rsid w:val="61453B98"/>
    <w:rsid w:val="614B7400"/>
    <w:rsid w:val="615D0EE2"/>
    <w:rsid w:val="616169C0"/>
    <w:rsid w:val="6169571C"/>
    <w:rsid w:val="6175447D"/>
    <w:rsid w:val="61A257FA"/>
    <w:rsid w:val="61A55D4C"/>
    <w:rsid w:val="61CE53CF"/>
    <w:rsid w:val="61D278AE"/>
    <w:rsid w:val="621C6FEF"/>
    <w:rsid w:val="62461751"/>
    <w:rsid w:val="624E45E5"/>
    <w:rsid w:val="62535A2F"/>
    <w:rsid w:val="62602B25"/>
    <w:rsid w:val="626D3597"/>
    <w:rsid w:val="62A03E07"/>
    <w:rsid w:val="62B114E5"/>
    <w:rsid w:val="62E80629"/>
    <w:rsid w:val="62F0650D"/>
    <w:rsid w:val="63074414"/>
    <w:rsid w:val="630E2097"/>
    <w:rsid w:val="63122B6A"/>
    <w:rsid w:val="634560D1"/>
    <w:rsid w:val="635166A7"/>
    <w:rsid w:val="63814352"/>
    <w:rsid w:val="638A782D"/>
    <w:rsid w:val="63901A42"/>
    <w:rsid w:val="63D03D5B"/>
    <w:rsid w:val="641712FC"/>
    <w:rsid w:val="642F1536"/>
    <w:rsid w:val="64532AD9"/>
    <w:rsid w:val="64595ED5"/>
    <w:rsid w:val="646F25FA"/>
    <w:rsid w:val="646F78AA"/>
    <w:rsid w:val="64895B91"/>
    <w:rsid w:val="648B2A83"/>
    <w:rsid w:val="6495559B"/>
    <w:rsid w:val="64AC10B8"/>
    <w:rsid w:val="64B4350F"/>
    <w:rsid w:val="64B71D07"/>
    <w:rsid w:val="64C04C8C"/>
    <w:rsid w:val="64C84C5C"/>
    <w:rsid w:val="64D17DD1"/>
    <w:rsid w:val="64D80DB1"/>
    <w:rsid w:val="64DC16C8"/>
    <w:rsid w:val="64DC5E21"/>
    <w:rsid w:val="64E32150"/>
    <w:rsid w:val="64E40ACE"/>
    <w:rsid w:val="650E1B0B"/>
    <w:rsid w:val="653B37BB"/>
    <w:rsid w:val="654A47F3"/>
    <w:rsid w:val="6558033E"/>
    <w:rsid w:val="65623F80"/>
    <w:rsid w:val="656E190F"/>
    <w:rsid w:val="657A35A6"/>
    <w:rsid w:val="6587477F"/>
    <w:rsid w:val="659A44AE"/>
    <w:rsid w:val="65D368FC"/>
    <w:rsid w:val="66317058"/>
    <w:rsid w:val="664650BE"/>
    <w:rsid w:val="665054B9"/>
    <w:rsid w:val="666957D1"/>
    <w:rsid w:val="666A4D1C"/>
    <w:rsid w:val="6679234D"/>
    <w:rsid w:val="66837D1D"/>
    <w:rsid w:val="66943C7B"/>
    <w:rsid w:val="66B95AD4"/>
    <w:rsid w:val="66D6728A"/>
    <w:rsid w:val="66DB1056"/>
    <w:rsid w:val="66EA5A65"/>
    <w:rsid w:val="67011FD3"/>
    <w:rsid w:val="670E33AA"/>
    <w:rsid w:val="671B7875"/>
    <w:rsid w:val="672E677F"/>
    <w:rsid w:val="67825B2C"/>
    <w:rsid w:val="67AF60B8"/>
    <w:rsid w:val="67B137E4"/>
    <w:rsid w:val="67B8479D"/>
    <w:rsid w:val="67BD21FD"/>
    <w:rsid w:val="67CF6E75"/>
    <w:rsid w:val="67EA47F4"/>
    <w:rsid w:val="682E4A70"/>
    <w:rsid w:val="68353089"/>
    <w:rsid w:val="68466C39"/>
    <w:rsid w:val="68725BBA"/>
    <w:rsid w:val="68790EDB"/>
    <w:rsid w:val="68855699"/>
    <w:rsid w:val="68A67612"/>
    <w:rsid w:val="68DE2089"/>
    <w:rsid w:val="68DE39F7"/>
    <w:rsid w:val="68DE5F84"/>
    <w:rsid w:val="691019BF"/>
    <w:rsid w:val="691731DA"/>
    <w:rsid w:val="691B0000"/>
    <w:rsid w:val="69204C38"/>
    <w:rsid w:val="6931180C"/>
    <w:rsid w:val="6938751F"/>
    <w:rsid w:val="696B3B4F"/>
    <w:rsid w:val="69995856"/>
    <w:rsid w:val="699F0F06"/>
    <w:rsid w:val="69C41078"/>
    <w:rsid w:val="69D349AA"/>
    <w:rsid w:val="69E87969"/>
    <w:rsid w:val="69F85DF2"/>
    <w:rsid w:val="6A3D506A"/>
    <w:rsid w:val="6A4740D2"/>
    <w:rsid w:val="6A6E074E"/>
    <w:rsid w:val="6A725F96"/>
    <w:rsid w:val="6A736AB3"/>
    <w:rsid w:val="6A7E2C0A"/>
    <w:rsid w:val="6A897F56"/>
    <w:rsid w:val="6A8D457E"/>
    <w:rsid w:val="6A9717F6"/>
    <w:rsid w:val="6AA5575B"/>
    <w:rsid w:val="6AAD6502"/>
    <w:rsid w:val="6ACC7765"/>
    <w:rsid w:val="6AFF71B1"/>
    <w:rsid w:val="6B1464AA"/>
    <w:rsid w:val="6B1E7EE9"/>
    <w:rsid w:val="6B21445B"/>
    <w:rsid w:val="6B216FED"/>
    <w:rsid w:val="6B2759B5"/>
    <w:rsid w:val="6B2F7F97"/>
    <w:rsid w:val="6B3A38CE"/>
    <w:rsid w:val="6B3A506B"/>
    <w:rsid w:val="6B581098"/>
    <w:rsid w:val="6B770E23"/>
    <w:rsid w:val="6B88697B"/>
    <w:rsid w:val="6B8F490E"/>
    <w:rsid w:val="6BBF1155"/>
    <w:rsid w:val="6BD050D2"/>
    <w:rsid w:val="6BD503E6"/>
    <w:rsid w:val="6BED6185"/>
    <w:rsid w:val="6BF410FA"/>
    <w:rsid w:val="6C023D61"/>
    <w:rsid w:val="6C075B42"/>
    <w:rsid w:val="6C0C0D4D"/>
    <w:rsid w:val="6C0F1C8A"/>
    <w:rsid w:val="6C3F47DE"/>
    <w:rsid w:val="6C503210"/>
    <w:rsid w:val="6C5702B1"/>
    <w:rsid w:val="6C692CEB"/>
    <w:rsid w:val="6C6E4B05"/>
    <w:rsid w:val="6C7523ED"/>
    <w:rsid w:val="6CD554E6"/>
    <w:rsid w:val="6CD60DD1"/>
    <w:rsid w:val="6CEC0B5E"/>
    <w:rsid w:val="6D1B278C"/>
    <w:rsid w:val="6D284A9A"/>
    <w:rsid w:val="6D2F1A5D"/>
    <w:rsid w:val="6D30394E"/>
    <w:rsid w:val="6D386D66"/>
    <w:rsid w:val="6D4C121A"/>
    <w:rsid w:val="6D656D81"/>
    <w:rsid w:val="6D7972C8"/>
    <w:rsid w:val="6DCB5A70"/>
    <w:rsid w:val="6DCF3AE2"/>
    <w:rsid w:val="6DEF7181"/>
    <w:rsid w:val="6E071ED6"/>
    <w:rsid w:val="6E0D284E"/>
    <w:rsid w:val="6E104367"/>
    <w:rsid w:val="6E11230D"/>
    <w:rsid w:val="6E162B44"/>
    <w:rsid w:val="6E1E604B"/>
    <w:rsid w:val="6E290E64"/>
    <w:rsid w:val="6E3B1397"/>
    <w:rsid w:val="6E63741A"/>
    <w:rsid w:val="6E6830FB"/>
    <w:rsid w:val="6E68350C"/>
    <w:rsid w:val="6E716AEE"/>
    <w:rsid w:val="6E772537"/>
    <w:rsid w:val="6E8040D2"/>
    <w:rsid w:val="6E851588"/>
    <w:rsid w:val="6E852353"/>
    <w:rsid w:val="6E8E2F67"/>
    <w:rsid w:val="6EA014E6"/>
    <w:rsid w:val="6EA13418"/>
    <w:rsid w:val="6EAE7AE0"/>
    <w:rsid w:val="6ED755A9"/>
    <w:rsid w:val="6EDF4884"/>
    <w:rsid w:val="6EEA57B8"/>
    <w:rsid w:val="6F03756C"/>
    <w:rsid w:val="6F095E2A"/>
    <w:rsid w:val="6F157A2C"/>
    <w:rsid w:val="6F1E740C"/>
    <w:rsid w:val="6F271EE9"/>
    <w:rsid w:val="6F572C2C"/>
    <w:rsid w:val="6F6C1D87"/>
    <w:rsid w:val="6F7030F9"/>
    <w:rsid w:val="6F7A73BA"/>
    <w:rsid w:val="6F8662FD"/>
    <w:rsid w:val="6FBF44DB"/>
    <w:rsid w:val="6FC62D96"/>
    <w:rsid w:val="6FCD4F5D"/>
    <w:rsid w:val="6FCD529E"/>
    <w:rsid w:val="6FD42CB7"/>
    <w:rsid w:val="6FEC0000"/>
    <w:rsid w:val="702418E1"/>
    <w:rsid w:val="70330C68"/>
    <w:rsid w:val="70580A3B"/>
    <w:rsid w:val="70BA5A54"/>
    <w:rsid w:val="70CC0A23"/>
    <w:rsid w:val="70CD1D09"/>
    <w:rsid w:val="70E13B09"/>
    <w:rsid w:val="70E46F2A"/>
    <w:rsid w:val="7140531D"/>
    <w:rsid w:val="714D548A"/>
    <w:rsid w:val="714E7954"/>
    <w:rsid w:val="7150636D"/>
    <w:rsid w:val="717029E6"/>
    <w:rsid w:val="718F50E7"/>
    <w:rsid w:val="71CC633B"/>
    <w:rsid w:val="71D26F5D"/>
    <w:rsid w:val="71EF3DD8"/>
    <w:rsid w:val="71F87130"/>
    <w:rsid w:val="721A0D22"/>
    <w:rsid w:val="721D1E46"/>
    <w:rsid w:val="722375B8"/>
    <w:rsid w:val="725D3B65"/>
    <w:rsid w:val="729358D3"/>
    <w:rsid w:val="72966BA3"/>
    <w:rsid w:val="72A42D4E"/>
    <w:rsid w:val="72BA6194"/>
    <w:rsid w:val="72C161CC"/>
    <w:rsid w:val="72E00EF7"/>
    <w:rsid w:val="72E15FF3"/>
    <w:rsid w:val="72F94DFA"/>
    <w:rsid w:val="730258AB"/>
    <w:rsid w:val="73154033"/>
    <w:rsid w:val="73172331"/>
    <w:rsid w:val="73201226"/>
    <w:rsid w:val="7333121B"/>
    <w:rsid w:val="73463038"/>
    <w:rsid w:val="73530396"/>
    <w:rsid w:val="73735696"/>
    <w:rsid w:val="7392260C"/>
    <w:rsid w:val="73945C2F"/>
    <w:rsid w:val="73B72552"/>
    <w:rsid w:val="73C766B8"/>
    <w:rsid w:val="73EB10DD"/>
    <w:rsid w:val="7406079E"/>
    <w:rsid w:val="741A58FA"/>
    <w:rsid w:val="743E311B"/>
    <w:rsid w:val="7456325D"/>
    <w:rsid w:val="74692244"/>
    <w:rsid w:val="747D2B93"/>
    <w:rsid w:val="74885AAD"/>
    <w:rsid w:val="74C4154C"/>
    <w:rsid w:val="74C81948"/>
    <w:rsid w:val="74D0445D"/>
    <w:rsid w:val="74D87850"/>
    <w:rsid w:val="74F55BA9"/>
    <w:rsid w:val="74F75621"/>
    <w:rsid w:val="75370A04"/>
    <w:rsid w:val="75391810"/>
    <w:rsid w:val="753E0071"/>
    <w:rsid w:val="756724E8"/>
    <w:rsid w:val="759D76A9"/>
    <w:rsid w:val="759E1D9D"/>
    <w:rsid w:val="75B1579A"/>
    <w:rsid w:val="75BB006A"/>
    <w:rsid w:val="75E46A78"/>
    <w:rsid w:val="75E6724E"/>
    <w:rsid w:val="75F36077"/>
    <w:rsid w:val="76004806"/>
    <w:rsid w:val="7610425A"/>
    <w:rsid w:val="76133997"/>
    <w:rsid w:val="76180CC7"/>
    <w:rsid w:val="763821F5"/>
    <w:rsid w:val="7658102A"/>
    <w:rsid w:val="765E3B99"/>
    <w:rsid w:val="76605D02"/>
    <w:rsid w:val="766C01D6"/>
    <w:rsid w:val="76700017"/>
    <w:rsid w:val="76953EE6"/>
    <w:rsid w:val="76992658"/>
    <w:rsid w:val="76B50C80"/>
    <w:rsid w:val="76CA3160"/>
    <w:rsid w:val="76F65D7E"/>
    <w:rsid w:val="771B31E3"/>
    <w:rsid w:val="773F4F6B"/>
    <w:rsid w:val="774D0A2A"/>
    <w:rsid w:val="77607C50"/>
    <w:rsid w:val="777E3CCB"/>
    <w:rsid w:val="778C3262"/>
    <w:rsid w:val="77DA706D"/>
    <w:rsid w:val="77DC2819"/>
    <w:rsid w:val="77E64391"/>
    <w:rsid w:val="77EF2DC0"/>
    <w:rsid w:val="77F70BAE"/>
    <w:rsid w:val="78101035"/>
    <w:rsid w:val="78195E62"/>
    <w:rsid w:val="782E5568"/>
    <w:rsid w:val="78395A9A"/>
    <w:rsid w:val="7851283E"/>
    <w:rsid w:val="7876225B"/>
    <w:rsid w:val="78803D54"/>
    <w:rsid w:val="788413AD"/>
    <w:rsid w:val="789F6A46"/>
    <w:rsid w:val="78F50A34"/>
    <w:rsid w:val="78F57389"/>
    <w:rsid w:val="792957B1"/>
    <w:rsid w:val="792F2D26"/>
    <w:rsid w:val="793770A4"/>
    <w:rsid w:val="795219CF"/>
    <w:rsid w:val="797806EA"/>
    <w:rsid w:val="799B0513"/>
    <w:rsid w:val="79F92727"/>
    <w:rsid w:val="7A3D1674"/>
    <w:rsid w:val="7A497587"/>
    <w:rsid w:val="7A6A04A0"/>
    <w:rsid w:val="7A6E2D7D"/>
    <w:rsid w:val="7A9279F6"/>
    <w:rsid w:val="7A9D2504"/>
    <w:rsid w:val="7AEA338E"/>
    <w:rsid w:val="7AFC0EE0"/>
    <w:rsid w:val="7B15448E"/>
    <w:rsid w:val="7B230C5F"/>
    <w:rsid w:val="7B2A5E81"/>
    <w:rsid w:val="7B3A53FB"/>
    <w:rsid w:val="7B3F18F7"/>
    <w:rsid w:val="7B561C29"/>
    <w:rsid w:val="7BBD6A93"/>
    <w:rsid w:val="7BC0386C"/>
    <w:rsid w:val="7BC113F6"/>
    <w:rsid w:val="7BC67ED7"/>
    <w:rsid w:val="7BDD7FDE"/>
    <w:rsid w:val="7C057332"/>
    <w:rsid w:val="7C2A7BFD"/>
    <w:rsid w:val="7C2D61D5"/>
    <w:rsid w:val="7C2E1650"/>
    <w:rsid w:val="7C3021B9"/>
    <w:rsid w:val="7C625DF1"/>
    <w:rsid w:val="7C701FB9"/>
    <w:rsid w:val="7C7321D2"/>
    <w:rsid w:val="7C9B6B5E"/>
    <w:rsid w:val="7CAF4890"/>
    <w:rsid w:val="7CAF663E"/>
    <w:rsid w:val="7CBD01A2"/>
    <w:rsid w:val="7CD835C2"/>
    <w:rsid w:val="7CF80CD5"/>
    <w:rsid w:val="7D170583"/>
    <w:rsid w:val="7D487F9F"/>
    <w:rsid w:val="7D520D44"/>
    <w:rsid w:val="7D5B7532"/>
    <w:rsid w:val="7D5F6C9A"/>
    <w:rsid w:val="7D6940CE"/>
    <w:rsid w:val="7D6A320E"/>
    <w:rsid w:val="7D7B7870"/>
    <w:rsid w:val="7DAE3F66"/>
    <w:rsid w:val="7DC65BA4"/>
    <w:rsid w:val="7DC73E5B"/>
    <w:rsid w:val="7DC824EB"/>
    <w:rsid w:val="7DDB5D94"/>
    <w:rsid w:val="7DFF4D7D"/>
    <w:rsid w:val="7E0A5148"/>
    <w:rsid w:val="7E251C22"/>
    <w:rsid w:val="7E426B40"/>
    <w:rsid w:val="7E456601"/>
    <w:rsid w:val="7E4F7E82"/>
    <w:rsid w:val="7E5F6591"/>
    <w:rsid w:val="7E687DF4"/>
    <w:rsid w:val="7E6F2EC0"/>
    <w:rsid w:val="7E816252"/>
    <w:rsid w:val="7E921B74"/>
    <w:rsid w:val="7E952BC4"/>
    <w:rsid w:val="7E970E36"/>
    <w:rsid w:val="7EC113B9"/>
    <w:rsid w:val="7ED9666F"/>
    <w:rsid w:val="7EDC1B88"/>
    <w:rsid w:val="7EDE14C8"/>
    <w:rsid w:val="7EDE3940"/>
    <w:rsid w:val="7EF35CFE"/>
    <w:rsid w:val="7F076C05"/>
    <w:rsid w:val="7F23582A"/>
    <w:rsid w:val="7F291956"/>
    <w:rsid w:val="7F2C29D0"/>
    <w:rsid w:val="7F2E24C0"/>
    <w:rsid w:val="7F362A90"/>
    <w:rsid w:val="7F364528"/>
    <w:rsid w:val="7F377A3D"/>
    <w:rsid w:val="7F4D3105"/>
    <w:rsid w:val="7F5E434B"/>
    <w:rsid w:val="7F736048"/>
    <w:rsid w:val="7F7B6E60"/>
    <w:rsid w:val="7F8964DD"/>
    <w:rsid w:val="7F8A6D48"/>
    <w:rsid w:val="7FA16611"/>
    <w:rsid w:val="7FA77F46"/>
    <w:rsid w:val="7FAE0E2E"/>
    <w:rsid w:val="7FD50AB1"/>
    <w:rsid w:val="7FD9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nhideWhenUsed="0" w:uiPriority="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6" w:semiHidden="0"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5">
    <w:name w:val="heading 1"/>
    <w:basedOn w:val="1"/>
    <w:next w:val="1"/>
    <w:link w:val="293"/>
    <w:qFormat/>
    <w:uiPriority w:val="99"/>
    <w:pPr>
      <w:keepNext/>
      <w:keepLines/>
      <w:spacing w:before="340" w:after="330" w:line="578" w:lineRule="atLeast"/>
      <w:outlineLvl w:val="0"/>
    </w:pPr>
    <w:rPr>
      <w:rFonts w:eastAsia="方正仿宋_GBK"/>
      <w:b/>
      <w:sz w:val="44"/>
      <w:szCs w:val="20"/>
    </w:rPr>
  </w:style>
  <w:style w:type="paragraph" w:styleId="6">
    <w:name w:val="heading 2"/>
    <w:basedOn w:val="1"/>
    <w:next w:val="1"/>
    <w:link w:val="285"/>
    <w:qFormat/>
    <w:uiPriority w:val="99"/>
    <w:pPr>
      <w:keepNext/>
      <w:keepLines/>
      <w:spacing w:before="260" w:after="260" w:line="360" w:lineRule="auto"/>
      <w:ind w:firstLine="200"/>
      <w:jc w:val="center"/>
      <w:outlineLvl w:val="1"/>
    </w:pPr>
    <w:rPr>
      <w:rFonts w:ascii="Cambria" w:hAnsi="Cambria"/>
      <w:b/>
      <w:bCs/>
      <w:sz w:val="32"/>
      <w:szCs w:val="32"/>
    </w:rPr>
  </w:style>
  <w:style w:type="paragraph" w:styleId="7">
    <w:name w:val="heading 3"/>
    <w:basedOn w:val="1"/>
    <w:next w:val="1"/>
    <w:link w:val="292"/>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294"/>
    <w:qFormat/>
    <w:uiPriority w:val="9"/>
    <w:pPr>
      <w:keepNext/>
      <w:keepLines/>
      <w:spacing w:before="280" w:after="290" w:line="376" w:lineRule="auto"/>
      <w:outlineLvl w:val="3"/>
    </w:pPr>
    <w:rPr>
      <w:rFonts w:ascii="Cambria" w:hAnsi="Cambria"/>
      <w:b/>
      <w:bCs/>
      <w:sz w:val="28"/>
      <w:szCs w:val="28"/>
    </w:rPr>
  </w:style>
  <w:style w:type="paragraph" w:styleId="9">
    <w:name w:val="heading 5"/>
    <w:basedOn w:val="1"/>
    <w:next w:val="1"/>
    <w:link w:val="295"/>
    <w:qFormat/>
    <w:uiPriority w:val="99"/>
    <w:pPr>
      <w:keepNext/>
      <w:keepLines/>
      <w:spacing w:before="280" w:after="290" w:line="376" w:lineRule="auto"/>
      <w:outlineLvl w:val="4"/>
    </w:pPr>
    <w:rPr>
      <w:b/>
      <w:bCs/>
      <w:sz w:val="28"/>
      <w:szCs w:val="28"/>
    </w:rPr>
  </w:style>
  <w:style w:type="paragraph" w:styleId="10">
    <w:name w:val="heading 6"/>
    <w:basedOn w:val="1"/>
    <w:next w:val="1"/>
    <w:link w:val="296"/>
    <w:qFormat/>
    <w:uiPriority w:val="0"/>
    <w:pPr>
      <w:keepNext/>
      <w:keepLines/>
      <w:tabs>
        <w:tab w:val="left" w:pos="2520"/>
      </w:tabs>
      <w:spacing w:before="240" w:after="64" w:line="320" w:lineRule="auto"/>
      <w:ind w:left="2520" w:hanging="420"/>
      <w:outlineLvl w:val="5"/>
    </w:pPr>
    <w:rPr>
      <w:rFonts w:ascii="Arial" w:hAnsi="Arial" w:eastAsia="黑体"/>
      <w:b/>
      <w:bCs/>
      <w:sz w:val="24"/>
      <w:lang w:val="zh-CN"/>
    </w:rPr>
  </w:style>
  <w:style w:type="paragraph" w:styleId="11">
    <w:name w:val="heading 7"/>
    <w:basedOn w:val="1"/>
    <w:next w:val="1"/>
    <w:link w:val="297"/>
    <w:qFormat/>
    <w:uiPriority w:val="0"/>
    <w:pPr>
      <w:keepNext/>
      <w:keepLines/>
      <w:tabs>
        <w:tab w:val="left" w:pos="2940"/>
      </w:tabs>
      <w:spacing w:before="240" w:after="64" w:line="320" w:lineRule="auto"/>
      <w:ind w:left="2940" w:hanging="420"/>
      <w:outlineLvl w:val="6"/>
    </w:pPr>
    <w:rPr>
      <w:b/>
      <w:bCs/>
      <w:sz w:val="24"/>
      <w:lang w:val="zh-CN"/>
    </w:rPr>
  </w:style>
  <w:style w:type="paragraph" w:styleId="12">
    <w:name w:val="heading 8"/>
    <w:basedOn w:val="1"/>
    <w:next w:val="1"/>
    <w:link w:val="298"/>
    <w:qFormat/>
    <w:uiPriority w:val="0"/>
    <w:pPr>
      <w:keepNext/>
      <w:keepLines/>
      <w:tabs>
        <w:tab w:val="left" w:pos="3360"/>
      </w:tabs>
      <w:spacing w:before="240" w:after="64" w:line="320" w:lineRule="auto"/>
      <w:ind w:left="3360" w:hanging="420"/>
      <w:outlineLvl w:val="7"/>
    </w:pPr>
    <w:rPr>
      <w:rFonts w:ascii="Arial" w:hAnsi="Arial" w:eastAsia="黑体"/>
      <w:sz w:val="24"/>
      <w:lang w:val="zh-CN"/>
    </w:rPr>
  </w:style>
  <w:style w:type="paragraph" w:styleId="13">
    <w:name w:val="heading 9"/>
    <w:basedOn w:val="1"/>
    <w:next w:val="1"/>
    <w:link w:val="299"/>
    <w:qFormat/>
    <w:uiPriority w:val="0"/>
    <w:pPr>
      <w:keepNext/>
      <w:keepLines/>
      <w:tabs>
        <w:tab w:val="left" w:pos="3780"/>
      </w:tabs>
      <w:spacing w:before="240" w:after="64" w:line="320" w:lineRule="auto"/>
      <w:ind w:left="3780" w:hanging="420"/>
      <w:outlineLvl w:val="8"/>
    </w:pPr>
    <w:rPr>
      <w:rFonts w:ascii="Arial" w:hAnsi="Arial" w:eastAsia="黑体"/>
      <w:szCs w:val="21"/>
      <w:lang w:val="zh-CN"/>
    </w:rPr>
  </w:style>
  <w:style w:type="character" w:default="1" w:styleId="51">
    <w:name w:val="Default Paragraph Font"/>
    <w:semiHidden/>
    <w:unhideWhenUsed/>
    <w:qFormat/>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345"/>
    <w:qFormat/>
    <w:uiPriority w:val="99"/>
    <w:pPr>
      <w:spacing w:after="0" w:line="360" w:lineRule="auto"/>
      <w:ind w:left="0" w:firstLine="420"/>
    </w:pPr>
    <w:rPr>
      <w:rFonts w:ascii="宋体" w:hAnsi="宋体"/>
    </w:rPr>
  </w:style>
  <w:style w:type="paragraph" w:styleId="3">
    <w:name w:val="Body Text Indent"/>
    <w:basedOn w:val="1"/>
    <w:next w:val="4"/>
    <w:link w:val="368"/>
    <w:qFormat/>
    <w:uiPriority w:val="99"/>
    <w:pPr>
      <w:spacing w:after="120"/>
      <w:ind w:left="420"/>
    </w:pPr>
  </w:style>
  <w:style w:type="paragraph" w:styleId="4">
    <w:name w:val="envelope return"/>
    <w:basedOn w:val="1"/>
    <w:qFormat/>
    <w:uiPriority w:val="0"/>
    <w:rPr>
      <w:rFonts w:ascii="Arial" w:hAnsi="Arial"/>
    </w:rPr>
  </w:style>
  <w:style w:type="paragraph" w:styleId="14">
    <w:name w:val="List 3"/>
    <w:basedOn w:val="1"/>
    <w:link w:val="351"/>
    <w:qFormat/>
    <w:uiPriority w:val="0"/>
    <w:pPr>
      <w:ind w:left="100" w:hanging="200"/>
    </w:pPr>
    <w:rPr>
      <w:bCs/>
      <w:sz w:val="24"/>
      <w:szCs w:val="32"/>
    </w:rPr>
  </w:style>
  <w:style w:type="paragraph" w:styleId="15">
    <w:name w:val="annotation subject"/>
    <w:basedOn w:val="16"/>
    <w:next w:val="16"/>
    <w:link w:val="264"/>
    <w:qFormat/>
    <w:uiPriority w:val="99"/>
    <w:rPr>
      <w:b/>
      <w:bCs/>
    </w:rPr>
  </w:style>
  <w:style w:type="paragraph" w:styleId="16">
    <w:name w:val="annotation text"/>
    <w:basedOn w:val="1"/>
    <w:link w:val="260"/>
    <w:qFormat/>
    <w:uiPriority w:val="99"/>
    <w:pPr>
      <w:jc w:val="left"/>
    </w:pPr>
  </w:style>
  <w:style w:type="paragraph" w:styleId="17">
    <w:name w:val="toc 7"/>
    <w:basedOn w:val="1"/>
    <w:next w:val="1"/>
    <w:unhideWhenUsed/>
    <w:qFormat/>
    <w:uiPriority w:val="39"/>
    <w:pPr>
      <w:spacing w:after="57"/>
      <w:ind w:left="1701"/>
    </w:pPr>
  </w:style>
  <w:style w:type="paragraph" w:styleId="18">
    <w:name w:val="Body Text First Indent"/>
    <w:basedOn w:val="19"/>
    <w:link w:val="380"/>
    <w:qFormat/>
    <w:uiPriority w:val="0"/>
    <w:pPr>
      <w:spacing w:line="360" w:lineRule="auto"/>
      <w:ind w:firstLine="200"/>
    </w:pPr>
    <w:rPr>
      <w:rFonts w:ascii="仿宋_GB2312" w:eastAsia="仿宋_GB2312"/>
      <w:sz w:val="30"/>
      <w:szCs w:val="30"/>
    </w:rPr>
  </w:style>
  <w:style w:type="paragraph" w:styleId="19">
    <w:name w:val="Body Text"/>
    <w:basedOn w:val="1"/>
    <w:link w:val="434"/>
    <w:qFormat/>
    <w:uiPriority w:val="0"/>
    <w:pPr>
      <w:spacing w:after="120"/>
    </w:pPr>
  </w:style>
  <w:style w:type="paragraph" w:styleId="20">
    <w:name w:val="Normal Indent"/>
    <w:basedOn w:val="1"/>
    <w:link w:val="386"/>
    <w:qFormat/>
    <w:uiPriority w:val="99"/>
    <w:pPr>
      <w:ind w:firstLine="420"/>
    </w:pPr>
  </w:style>
  <w:style w:type="paragraph" w:styleId="21">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2">
    <w:name w:val="index 5"/>
    <w:basedOn w:val="1"/>
    <w:next w:val="1"/>
    <w:qFormat/>
    <w:uiPriority w:val="0"/>
    <w:pPr>
      <w:ind w:left="798"/>
      <w:jc w:val="left"/>
    </w:pPr>
    <w:rPr>
      <w:rFonts w:ascii="Calibri" w:hAnsi="Calibri"/>
    </w:rPr>
  </w:style>
  <w:style w:type="paragraph" w:styleId="23">
    <w:name w:val="List Bullet"/>
    <w:basedOn w:val="1"/>
    <w:unhideWhenUsed/>
    <w:qFormat/>
    <w:uiPriority w:val="99"/>
    <w:pPr>
      <w:tabs>
        <w:tab w:val="left" w:pos="360"/>
        <w:tab w:val="left" w:pos="720"/>
      </w:tabs>
      <w:ind w:left="720" w:firstLine="200"/>
    </w:pPr>
    <w:rPr>
      <w:sz w:val="20"/>
      <w:szCs w:val="20"/>
    </w:rPr>
  </w:style>
  <w:style w:type="paragraph" w:styleId="24">
    <w:name w:val="Document Map"/>
    <w:basedOn w:val="1"/>
    <w:link w:val="361"/>
    <w:unhideWhenUsed/>
    <w:qFormat/>
    <w:uiPriority w:val="99"/>
    <w:rPr>
      <w:rFonts w:ascii="宋体"/>
      <w:sz w:val="18"/>
      <w:szCs w:val="18"/>
    </w:rPr>
  </w:style>
  <w:style w:type="paragraph" w:styleId="25">
    <w:name w:val="Body Text 3"/>
    <w:basedOn w:val="1"/>
    <w:link w:val="342"/>
    <w:qFormat/>
    <w:uiPriority w:val="0"/>
    <w:rPr>
      <w:rFonts w:ascii="仿宋_GB2312" w:hAnsi="Arial" w:eastAsia="仿宋_GB2312"/>
      <w:sz w:val="32"/>
      <w:szCs w:val="32"/>
    </w:rPr>
  </w:style>
  <w:style w:type="paragraph" w:styleId="26">
    <w:name w:val="Block Text"/>
    <w:basedOn w:val="1"/>
    <w:next w:val="1"/>
    <w:qFormat/>
    <w:uiPriority w:val="6"/>
    <w:pPr>
      <w:ind w:left="420" w:right="33"/>
      <w:jc w:val="left"/>
    </w:pPr>
    <w:rPr>
      <w:sz w:val="24"/>
      <w:szCs w:val="20"/>
    </w:rPr>
  </w:style>
  <w:style w:type="paragraph" w:styleId="27">
    <w:name w:val="HTML Address"/>
    <w:basedOn w:val="1"/>
    <w:link w:val="382"/>
    <w:qFormat/>
    <w:uiPriority w:val="0"/>
    <w:rPr>
      <w:rFonts w:ascii="宋体"/>
      <w:i/>
      <w:iCs/>
      <w:sz w:val="20"/>
      <w:szCs w:val="21"/>
    </w:rPr>
  </w:style>
  <w:style w:type="paragraph" w:styleId="28">
    <w:name w:val="toc 5"/>
    <w:basedOn w:val="1"/>
    <w:next w:val="1"/>
    <w:unhideWhenUsed/>
    <w:qFormat/>
    <w:uiPriority w:val="39"/>
    <w:pPr>
      <w:spacing w:after="57"/>
      <w:ind w:left="1134"/>
    </w:pPr>
  </w:style>
  <w:style w:type="paragraph" w:styleId="29">
    <w:name w:val="toc 3"/>
    <w:basedOn w:val="1"/>
    <w:next w:val="1"/>
    <w:unhideWhenUsed/>
    <w:qFormat/>
    <w:uiPriority w:val="39"/>
    <w:pPr>
      <w:spacing w:after="57"/>
      <w:ind w:left="567"/>
    </w:pPr>
  </w:style>
  <w:style w:type="paragraph" w:styleId="30">
    <w:name w:val="Plain Text"/>
    <w:basedOn w:val="1"/>
    <w:link w:val="261"/>
    <w:qFormat/>
    <w:uiPriority w:val="0"/>
    <w:rPr>
      <w:rFonts w:ascii="宋体" w:hAnsi="Courier New"/>
      <w:szCs w:val="21"/>
    </w:rPr>
  </w:style>
  <w:style w:type="paragraph" w:styleId="31">
    <w:name w:val="toc 8"/>
    <w:basedOn w:val="1"/>
    <w:next w:val="1"/>
    <w:unhideWhenUsed/>
    <w:qFormat/>
    <w:uiPriority w:val="39"/>
    <w:pPr>
      <w:spacing w:after="57"/>
      <w:ind w:left="1984"/>
    </w:pPr>
  </w:style>
  <w:style w:type="paragraph" w:styleId="32">
    <w:name w:val="Date"/>
    <w:basedOn w:val="1"/>
    <w:next w:val="1"/>
    <w:link w:val="338"/>
    <w:qFormat/>
    <w:uiPriority w:val="99"/>
    <w:rPr>
      <w:sz w:val="24"/>
    </w:rPr>
  </w:style>
  <w:style w:type="paragraph" w:styleId="33">
    <w:name w:val="Body Text Indent 2"/>
    <w:basedOn w:val="1"/>
    <w:link w:val="315"/>
    <w:qFormat/>
    <w:uiPriority w:val="99"/>
    <w:pPr>
      <w:ind w:left="630" w:firstLine="645"/>
    </w:pPr>
    <w:rPr>
      <w:rFonts w:ascii="Arial" w:hAnsi="Arial" w:eastAsia="仿宋_GB2312"/>
      <w:sz w:val="32"/>
      <w:szCs w:val="32"/>
    </w:rPr>
  </w:style>
  <w:style w:type="paragraph" w:styleId="34">
    <w:name w:val="endnote text"/>
    <w:basedOn w:val="1"/>
    <w:link w:val="254"/>
    <w:unhideWhenUsed/>
    <w:qFormat/>
    <w:uiPriority w:val="0"/>
    <w:rPr>
      <w:sz w:val="20"/>
    </w:rPr>
  </w:style>
  <w:style w:type="paragraph" w:styleId="35">
    <w:name w:val="Balloon Text"/>
    <w:basedOn w:val="1"/>
    <w:link w:val="262"/>
    <w:qFormat/>
    <w:uiPriority w:val="99"/>
    <w:rPr>
      <w:sz w:val="18"/>
      <w:szCs w:val="18"/>
    </w:rPr>
  </w:style>
  <w:style w:type="paragraph" w:styleId="36">
    <w:name w:val="footer"/>
    <w:basedOn w:val="1"/>
    <w:link w:val="289"/>
    <w:unhideWhenUsed/>
    <w:qFormat/>
    <w:uiPriority w:val="99"/>
    <w:pPr>
      <w:tabs>
        <w:tab w:val="center" w:pos="4153"/>
        <w:tab w:val="right" w:pos="8306"/>
      </w:tabs>
      <w:jc w:val="left"/>
    </w:pPr>
    <w:rPr>
      <w:sz w:val="18"/>
      <w:szCs w:val="18"/>
    </w:rPr>
  </w:style>
  <w:style w:type="paragraph" w:styleId="37">
    <w:name w:val="header"/>
    <w:basedOn w:val="1"/>
    <w:link w:val="288"/>
    <w:unhideWhenUsed/>
    <w:qFormat/>
    <w:uiPriority w:val="99"/>
    <w:pPr>
      <w:pBdr>
        <w:bottom w:val="single" w:color="auto" w:sz="6" w:space="1"/>
      </w:pBdr>
      <w:tabs>
        <w:tab w:val="center" w:pos="4153"/>
        <w:tab w:val="right" w:pos="8306"/>
      </w:tabs>
      <w:jc w:val="center"/>
    </w:pPr>
    <w:rPr>
      <w:sz w:val="18"/>
      <w:szCs w:val="18"/>
    </w:rPr>
  </w:style>
  <w:style w:type="paragraph" w:styleId="38">
    <w:name w:val="toc 1"/>
    <w:basedOn w:val="1"/>
    <w:next w:val="1"/>
    <w:unhideWhenUsed/>
    <w:qFormat/>
    <w:uiPriority w:val="39"/>
    <w:pPr>
      <w:spacing w:after="57"/>
    </w:pPr>
  </w:style>
  <w:style w:type="paragraph" w:styleId="39">
    <w:name w:val="toc 4"/>
    <w:basedOn w:val="1"/>
    <w:next w:val="1"/>
    <w:unhideWhenUsed/>
    <w:qFormat/>
    <w:uiPriority w:val="39"/>
    <w:pPr>
      <w:spacing w:after="57"/>
      <w:ind w:left="850"/>
    </w:pPr>
  </w:style>
  <w:style w:type="paragraph" w:styleId="40">
    <w:name w:val="Subtitle"/>
    <w:basedOn w:val="1"/>
    <w:next w:val="1"/>
    <w:link w:val="118"/>
    <w:qFormat/>
    <w:uiPriority w:val="11"/>
    <w:pPr>
      <w:spacing w:before="200" w:after="200"/>
    </w:pPr>
    <w:rPr>
      <w:sz w:val="24"/>
    </w:rPr>
  </w:style>
  <w:style w:type="paragraph" w:styleId="41">
    <w:name w:val="footnote text"/>
    <w:basedOn w:val="1"/>
    <w:next w:val="22"/>
    <w:link w:val="253"/>
    <w:unhideWhenUsed/>
    <w:qFormat/>
    <w:uiPriority w:val="0"/>
    <w:pPr>
      <w:spacing w:after="40"/>
    </w:pPr>
    <w:rPr>
      <w:sz w:val="18"/>
    </w:rPr>
  </w:style>
  <w:style w:type="paragraph" w:styleId="42">
    <w:name w:val="toc 6"/>
    <w:basedOn w:val="1"/>
    <w:next w:val="1"/>
    <w:unhideWhenUsed/>
    <w:qFormat/>
    <w:uiPriority w:val="39"/>
    <w:pPr>
      <w:spacing w:after="57"/>
      <w:ind w:left="1417"/>
    </w:pPr>
  </w:style>
  <w:style w:type="paragraph" w:styleId="43">
    <w:name w:val="Body Text Indent 3"/>
    <w:basedOn w:val="1"/>
    <w:link w:val="317"/>
    <w:qFormat/>
    <w:uiPriority w:val="0"/>
    <w:pPr>
      <w:ind w:left="645" w:firstLine="645"/>
    </w:pPr>
    <w:rPr>
      <w:rFonts w:ascii="Arial" w:hAnsi="Arial" w:eastAsia="仿宋_GB2312"/>
      <w:color w:val="FFFF00"/>
      <w:sz w:val="32"/>
      <w:szCs w:val="32"/>
    </w:rPr>
  </w:style>
  <w:style w:type="paragraph" w:styleId="44">
    <w:name w:val="table of figures"/>
    <w:basedOn w:val="1"/>
    <w:next w:val="1"/>
    <w:unhideWhenUsed/>
    <w:qFormat/>
    <w:uiPriority w:val="99"/>
  </w:style>
  <w:style w:type="paragraph" w:styleId="45">
    <w:name w:val="toc 2"/>
    <w:basedOn w:val="1"/>
    <w:next w:val="1"/>
    <w:unhideWhenUsed/>
    <w:qFormat/>
    <w:uiPriority w:val="39"/>
    <w:pPr>
      <w:spacing w:after="57"/>
      <w:ind w:left="283"/>
    </w:pPr>
  </w:style>
  <w:style w:type="paragraph" w:styleId="46">
    <w:name w:val="toc 9"/>
    <w:basedOn w:val="1"/>
    <w:next w:val="1"/>
    <w:unhideWhenUsed/>
    <w:qFormat/>
    <w:uiPriority w:val="39"/>
    <w:pPr>
      <w:spacing w:after="57"/>
      <w:ind w:left="2268"/>
    </w:pPr>
  </w:style>
  <w:style w:type="paragraph" w:styleId="47">
    <w:name w:val="Body Text 2"/>
    <w:basedOn w:val="1"/>
    <w:link w:val="323"/>
    <w:qFormat/>
    <w:uiPriority w:val="0"/>
    <w:pPr>
      <w:widowControl/>
      <w:jc w:val="center"/>
    </w:pPr>
    <w:rPr>
      <w:rFonts w:ascii="楷体_GB2312" w:eastAsia="楷体_GB2312"/>
      <w:sz w:val="28"/>
      <w:szCs w:val="28"/>
    </w:rPr>
  </w:style>
  <w:style w:type="paragraph" w:styleId="48">
    <w:name w:val="HTML Preformatted"/>
    <w:basedOn w:val="1"/>
    <w:link w:val="4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9">
    <w:name w:val="Normal (Web)"/>
    <w:basedOn w:val="1"/>
    <w:link w:val="263"/>
    <w:qFormat/>
    <w:uiPriority w:val="0"/>
    <w:pPr>
      <w:widowControl/>
      <w:spacing w:before="100" w:beforeAutospacing="1" w:after="100" w:afterAutospacing="1"/>
      <w:jc w:val="left"/>
    </w:pPr>
    <w:rPr>
      <w:rFonts w:ascii="宋体" w:hAnsi="宋体"/>
      <w:sz w:val="24"/>
    </w:rPr>
  </w:style>
  <w:style w:type="paragraph" w:styleId="50">
    <w:name w:val="Title"/>
    <w:basedOn w:val="1"/>
    <w:next w:val="1"/>
    <w:link w:val="117"/>
    <w:qFormat/>
    <w:uiPriority w:val="10"/>
    <w:pPr>
      <w:spacing w:before="300" w:after="200"/>
      <w:contextualSpacing/>
    </w:pPr>
    <w:rPr>
      <w:sz w:val="48"/>
      <w:szCs w:val="48"/>
    </w:rPr>
  </w:style>
  <w:style w:type="character" w:styleId="52">
    <w:name w:val="Strong"/>
    <w:qFormat/>
    <w:uiPriority w:val="22"/>
    <w:rPr>
      <w:b/>
      <w:sz w:val="21"/>
    </w:rPr>
  </w:style>
  <w:style w:type="character" w:styleId="53">
    <w:name w:val="endnote reference"/>
    <w:basedOn w:val="51"/>
    <w:semiHidden/>
    <w:unhideWhenUsed/>
    <w:qFormat/>
    <w:uiPriority w:val="99"/>
    <w:rPr>
      <w:vertAlign w:val="superscript"/>
    </w:rPr>
  </w:style>
  <w:style w:type="character" w:styleId="54">
    <w:name w:val="page number"/>
    <w:basedOn w:val="51"/>
    <w:qFormat/>
    <w:uiPriority w:val="0"/>
  </w:style>
  <w:style w:type="character" w:styleId="55">
    <w:name w:val="FollowedHyperlink"/>
    <w:basedOn w:val="51"/>
    <w:semiHidden/>
    <w:unhideWhenUsed/>
    <w:qFormat/>
    <w:uiPriority w:val="99"/>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unhideWhenUsed/>
    <w:qFormat/>
    <w:uiPriority w:val="0"/>
    <w:rPr>
      <w:color w:val="0563C1" w:themeColor="hyperlink"/>
      <w:u w:val="single"/>
      <w14:textFill>
        <w14:solidFill>
          <w14:schemeClr w14:val="hlink"/>
        </w14:solidFill>
      </w14:textFill>
    </w:rPr>
  </w:style>
  <w:style w:type="character" w:styleId="58">
    <w:name w:val="annotation reference"/>
    <w:qFormat/>
    <w:uiPriority w:val="0"/>
    <w:rPr>
      <w:sz w:val="21"/>
      <w:szCs w:val="21"/>
    </w:rPr>
  </w:style>
  <w:style w:type="character" w:styleId="59">
    <w:name w:val="footnote reference"/>
    <w:basedOn w:val="51"/>
    <w:unhideWhenUsed/>
    <w:qFormat/>
    <w:uiPriority w:val="99"/>
    <w:rPr>
      <w:vertAlign w:val="superscript"/>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62">
    <w:name w:val="一级条标题"/>
    <w:basedOn w:val="63"/>
    <w:next w:val="64"/>
    <w:link w:val="34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3">
    <w:name w:val="章标题"/>
    <w:next w:val="1"/>
    <w:link w:val="413"/>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64">
    <w:name w:val="段"/>
    <w:basedOn w:val="65"/>
    <w:next w:val="1"/>
    <w:qFormat/>
    <w:uiPriority w:val="0"/>
    <w:pPr>
      <w:ind w:firstLine="200"/>
    </w:pPr>
    <w:rPr>
      <w:rFonts w:hint="eastAsia" w:ascii="宋体"/>
    </w:rPr>
  </w:style>
  <w:style w:type="paragraph" w:customStyle="1" w:styleId="65">
    <w:name w:val="正文11"/>
    <w:next w:val="1"/>
    <w:link w:val="489"/>
    <w:qFormat/>
    <w:uiPriority w:val="0"/>
    <w:pPr>
      <w:jc w:val="both"/>
    </w:pPr>
    <w:rPr>
      <w:rFonts w:ascii="Times New Roman" w:hAnsi="Times New Roman" w:eastAsia="宋体" w:cs="Times New Roman"/>
      <w:lang w:val="en-US" w:eastAsia="zh-CN" w:bidi="ar-SA"/>
    </w:rPr>
  </w:style>
  <w:style w:type="paragraph" w:customStyle="1" w:styleId="66">
    <w:name w:val="正文文本1"/>
    <w:basedOn w:val="67"/>
    <w:next w:val="62"/>
    <w:qFormat/>
    <w:uiPriority w:val="0"/>
    <w:pPr>
      <w:spacing w:after="120"/>
    </w:pPr>
    <w:rPr>
      <w:lang w:eastAsia="en-US"/>
    </w:rPr>
  </w:style>
  <w:style w:type="paragraph" w:customStyle="1" w:styleId="67">
    <w:name w:val="正文1"/>
    <w:basedOn w:val="65"/>
    <w:next w:val="66"/>
    <w:link w:val="488"/>
    <w:qFormat/>
    <w:uiPriority w:val="0"/>
    <w:pPr>
      <w:spacing w:line="360" w:lineRule="auto"/>
      <w:ind w:firstLine="361"/>
    </w:pPr>
    <w:rPr>
      <w:rFonts w:ascii="宋体" w:hAnsi="宋体" w:eastAsia="仿宋_GB2312"/>
      <w:sz w:val="24"/>
    </w:rPr>
  </w:style>
  <w:style w:type="paragraph" w:customStyle="1" w:styleId="68">
    <w:name w:val="脚注文本1"/>
    <w:basedOn w:val="69"/>
    <w:next w:val="70"/>
    <w:qFormat/>
    <w:uiPriority w:val="0"/>
    <w:rPr>
      <w:sz w:val="18"/>
      <w:szCs w:val="18"/>
    </w:rPr>
  </w:style>
  <w:style w:type="paragraph" w:customStyle="1" w:styleId="69">
    <w:name w:val="正文12"/>
    <w:next w:val="68"/>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70">
    <w:name w:val="索引 51"/>
    <w:basedOn w:val="69"/>
    <w:next w:val="67"/>
    <w:qFormat/>
    <w:uiPriority w:val="0"/>
    <w:pPr>
      <w:ind w:left="798"/>
      <w:jc w:val="left"/>
    </w:pPr>
  </w:style>
  <w:style w:type="paragraph" w:customStyle="1" w:styleId="71">
    <w:name w:val="文本块11"/>
    <w:basedOn w:val="72"/>
    <w:qFormat/>
    <w:uiPriority w:val="0"/>
    <w:pPr>
      <w:widowControl/>
      <w:ind w:left="567" w:right="454" w:firstLine="498"/>
      <w:jc w:val="left"/>
    </w:pPr>
    <w:rPr>
      <w:rFonts w:ascii="仿宋_GB2312" w:eastAsia="仿宋_GB2312"/>
      <w:sz w:val="30"/>
      <w:szCs w:val="20"/>
    </w:rPr>
  </w:style>
  <w:style w:type="paragraph" w:customStyle="1" w:styleId="72">
    <w:name w:val="正文1111"/>
    <w:next w:val="7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3">
    <w:name w:val="标题 211"/>
    <w:basedOn w:val="65"/>
    <w:next w:val="72"/>
    <w:qFormat/>
    <w:uiPriority w:val="0"/>
    <w:pPr>
      <w:keepNext/>
      <w:keepLines/>
      <w:spacing w:before="260" w:after="260" w:line="416" w:lineRule="auto"/>
      <w:outlineLvl w:val="1"/>
    </w:pPr>
    <w:rPr>
      <w:rFonts w:ascii="Calibri Light" w:hAnsi="Calibri Light"/>
      <w:b/>
      <w:bCs/>
      <w:sz w:val="32"/>
      <w:szCs w:val="32"/>
    </w:rPr>
  </w:style>
  <w:style w:type="paragraph" w:customStyle="1" w:styleId="74">
    <w:name w:val="文本块1"/>
    <w:basedOn w:val="75"/>
    <w:next w:val="76"/>
    <w:qFormat/>
    <w:uiPriority w:val="0"/>
    <w:pPr>
      <w:ind w:left="256" w:right="6" w:firstLine="624"/>
    </w:pPr>
    <w:rPr>
      <w:rFonts w:eastAsia="仿宋_GB2312"/>
      <w:sz w:val="28"/>
      <w:szCs w:val="20"/>
    </w:rPr>
  </w:style>
  <w:style w:type="paragraph" w:customStyle="1" w:styleId="75">
    <w:name w:val="正文111"/>
    <w:next w:val="7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6">
    <w:name w:val="标题 41"/>
    <w:basedOn w:val="72"/>
    <w:next w:val="1"/>
    <w:link w:val="105"/>
    <w:qFormat/>
    <w:uiPriority w:val="0"/>
    <w:pPr>
      <w:keepNext/>
      <w:keepLines/>
      <w:spacing w:before="280" w:after="290" w:line="376" w:lineRule="auto"/>
      <w:outlineLvl w:val="3"/>
    </w:pPr>
    <w:rPr>
      <w:rFonts w:ascii="Arial" w:hAnsi="Arial" w:eastAsia="黑体"/>
      <w:b/>
      <w:bCs/>
      <w:sz w:val="28"/>
      <w:szCs w:val="28"/>
    </w:rPr>
  </w:style>
  <w:style w:type="paragraph" w:customStyle="1" w:styleId="77">
    <w:name w:val="正文文本111"/>
    <w:basedOn w:val="78"/>
    <w:next w:val="69"/>
    <w:qFormat/>
    <w:uiPriority w:val="0"/>
  </w:style>
  <w:style w:type="paragraph" w:customStyle="1" w:styleId="78">
    <w:name w:val="正文1121"/>
    <w:next w:val="7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79">
    <w:name w:val="目录 11"/>
    <w:basedOn w:val="69"/>
    <w:next w:val="65"/>
    <w:qFormat/>
    <w:uiPriority w:val="0"/>
  </w:style>
  <w:style w:type="paragraph" w:customStyle="1" w:styleId="80">
    <w:name w:val="脚注文本11"/>
    <w:basedOn w:val="1"/>
    <w:next w:val="81"/>
    <w:unhideWhenUsed/>
    <w:qFormat/>
    <w:uiPriority w:val="0"/>
    <w:pPr>
      <w:spacing w:after="40"/>
    </w:pPr>
    <w:rPr>
      <w:sz w:val="18"/>
    </w:rPr>
  </w:style>
  <w:style w:type="paragraph" w:customStyle="1" w:styleId="81">
    <w:name w:val="索引 511"/>
    <w:basedOn w:val="1"/>
    <w:next w:val="1"/>
    <w:qFormat/>
    <w:uiPriority w:val="0"/>
    <w:pPr>
      <w:ind w:left="798"/>
      <w:jc w:val="left"/>
    </w:pPr>
    <w:rPr>
      <w:rFonts w:ascii="Calibri" w:hAnsi="Calibri"/>
    </w:rPr>
  </w:style>
  <w:style w:type="paragraph" w:customStyle="1" w:styleId="82">
    <w:name w:val="正文文本缩进1"/>
    <w:basedOn w:val="65"/>
    <w:next w:val="83"/>
    <w:qFormat/>
    <w:uiPriority w:val="0"/>
    <w:pPr>
      <w:spacing w:after="120"/>
      <w:ind w:left="420"/>
    </w:pPr>
  </w:style>
  <w:style w:type="paragraph" w:customStyle="1" w:styleId="83">
    <w:name w:val="寄信人地址1"/>
    <w:basedOn w:val="65"/>
    <w:qFormat/>
    <w:uiPriority w:val="0"/>
    <w:rPr>
      <w:rFonts w:ascii="Arial" w:hAnsi="Arial"/>
    </w:rPr>
  </w:style>
  <w:style w:type="paragraph" w:customStyle="1" w:styleId="84">
    <w:name w:val="正文首行缩进1"/>
    <w:basedOn w:val="85"/>
    <w:next w:val="87"/>
    <w:qFormat/>
    <w:uiPriority w:val="0"/>
    <w:pPr>
      <w:ind w:firstLine="420"/>
    </w:pPr>
    <w:rPr>
      <w:rFonts w:ascii="仿宋_GB2312" w:eastAsia="仿宋_GB2312"/>
      <w:sz w:val="30"/>
      <w:szCs w:val="30"/>
    </w:rPr>
  </w:style>
  <w:style w:type="paragraph" w:customStyle="1" w:styleId="85">
    <w:name w:val="正文文本11"/>
    <w:basedOn w:val="86"/>
    <w:next w:val="1"/>
    <w:qFormat/>
    <w:uiPriority w:val="0"/>
    <w:pPr>
      <w:spacing w:after="120"/>
    </w:pPr>
  </w:style>
  <w:style w:type="paragraph" w:customStyle="1" w:styleId="86">
    <w:name w:val="正文112"/>
    <w:next w:val="8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正文首行缩进 21"/>
    <w:basedOn w:val="82"/>
    <w:next w:val="75"/>
    <w:qFormat/>
    <w:uiPriority w:val="0"/>
    <w:pPr>
      <w:ind w:firstLine="420"/>
    </w:pPr>
    <w:rPr>
      <w:rFonts w:ascii="仿宋_GB2312" w:eastAsia="仿宋_GB2312"/>
      <w:color w:val="FF6600"/>
      <w:sz w:val="21"/>
    </w:rPr>
  </w:style>
  <w:style w:type="paragraph" w:customStyle="1" w:styleId="88">
    <w:name w:val="正文首行缩进11"/>
    <w:basedOn w:val="85"/>
    <w:next w:val="89"/>
    <w:qFormat/>
    <w:uiPriority w:val="0"/>
    <w:pPr>
      <w:ind w:firstLine="420"/>
    </w:pPr>
    <w:rPr>
      <w:rFonts w:ascii="仿宋_GB2312" w:eastAsia="仿宋_GB2312"/>
      <w:sz w:val="30"/>
      <w:szCs w:val="30"/>
    </w:rPr>
  </w:style>
  <w:style w:type="paragraph" w:customStyle="1" w:styleId="89">
    <w:name w:val="正文首行缩进 211"/>
    <w:basedOn w:val="90"/>
    <w:qFormat/>
    <w:uiPriority w:val="0"/>
    <w:pPr>
      <w:ind w:firstLine="420"/>
    </w:pPr>
  </w:style>
  <w:style w:type="paragraph" w:customStyle="1" w:styleId="90">
    <w:name w:val="正文文本缩进2"/>
    <w:basedOn w:val="1"/>
    <w:next w:val="91"/>
    <w:qFormat/>
    <w:uiPriority w:val="99"/>
    <w:pPr>
      <w:spacing w:after="120"/>
      <w:ind w:left="420"/>
    </w:pPr>
  </w:style>
  <w:style w:type="paragraph" w:customStyle="1" w:styleId="91">
    <w:name w:val="寄信人地址2"/>
    <w:basedOn w:val="1"/>
    <w:qFormat/>
    <w:uiPriority w:val="0"/>
    <w:rPr>
      <w:rFonts w:ascii="Arial" w:hAnsi="Arial"/>
    </w:rPr>
  </w:style>
  <w:style w:type="paragraph" w:customStyle="1" w:styleId="92">
    <w:name w:val="TOC 标题1"/>
    <w:unhideWhenUsed/>
    <w:qFormat/>
    <w:uiPriority w:val="39"/>
    <w:rPr>
      <w:rFonts w:ascii="Times New Roman" w:hAnsi="Times New Roman" w:eastAsia="宋体" w:cs="Times New Roman"/>
      <w:lang w:val="en-US" w:eastAsia="zh-CN" w:bidi="ar-SA"/>
    </w:rPr>
  </w:style>
  <w:style w:type="character" w:customStyle="1" w:styleId="93">
    <w:name w:val="Title Char"/>
    <w:basedOn w:val="51"/>
    <w:qFormat/>
    <w:uiPriority w:val="10"/>
    <w:rPr>
      <w:sz w:val="48"/>
      <w:szCs w:val="48"/>
    </w:rPr>
  </w:style>
  <w:style w:type="character" w:customStyle="1" w:styleId="94">
    <w:name w:val="Subtitle Char"/>
    <w:basedOn w:val="51"/>
    <w:qFormat/>
    <w:uiPriority w:val="11"/>
    <w:rPr>
      <w:sz w:val="24"/>
      <w:szCs w:val="24"/>
    </w:rPr>
  </w:style>
  <w:style w:type="character" w:customStyle="1" w:styleId="95">
    <w:name w:val="Quote Char"/>
    <w:qFormat/>
    <w:uiPriority w:val="29"/>
    <w:rPr>
      <w:i/>
    </w:rPr>
  </w:style>
  <w:style w:type="character" w:customStyle="1" w:styleId="96">
    <w:name w:val="Intense Quote Char"/>
    <w:qFormat/>
    <w:uiPriority w:val="30"/>
    <w:rPr>
      <w:i/>
    </w:rPr>
  </w:style>
  <w:style w:type="character" w:customStyle="1" w:styleId="97">
    <w:name w:val="Footnote Text Char"/>
    <w:qFormat/>
    <w:uiPriority w:val="99"/>
    <w:rPr>
      <w:sz w:val="18"/>
    </w:rPr>
  </w:style>
  <w:style w:type="character" w:customStyle="1" w:styleId="98">
    <w:name w:val="Endnote Text Char"/>
    <w:qFormat/>
    <w:uiPriority w:val="99"/>
    <w:rPr>
      <w:sz w:val="20"/>
    </w:rPr>
  </w:style>
  <w:style w:type="paragraph" w:customStyle="1" w:styleId="99">
    <w:name w:val="TOC 标题111"/>
    <w:unhideWhenUsed/>
    <w:qFormat/>
    <w:uiPriority w:val="39"/>
    <w:rPr>
      <w:rFonts w:ascii="Times New Roman" w:hAnsi="Times New Roman" w:eastAsia="宋体" w:cs="Times New Roman"/>
      <w:lang w:val="en-US" w:eastAsia="zh-CN" w:bidi="ar-SA"/>
    </w:rPr>
  </w:style>
  <w:style w:type="character" w:customStyle="1" w:styleId="100">
    <w:name w:val="Heading 1 Char"/>
    <w:basedOn w:val="51"/>
    <w:link w:val="101"/>
    <w:qFormat/>
    <w:uiPriority w:val="9"/>
    <w:rPr>
      <w:rFonts w:ascii="Arial" w:hAnsi="Arial" w:eastAsia="Arial" w:cs="Arial"/>
      <w:sz w:val="40"/>
      <w:szCs w:val="40"/>
    </w:rPr>
  </w:style>
  <w:style w:type="paragraph" w:customStyle="1" w:styleId="101">
    <w:name w:val="标题 11"/>
    <w:basedOn w:val="1"/>
    <w:next w:val="1"/>
    <w:link w:val="100"/>
    <w:qFormat/>
    <w:uiPriority w:val="0"/>
    <w:pPr>
      <w:keepNext/>
      <w:keepLines/>
      <w:spacing w:before="340" w:after="330" w:line="578" w:lineRule="auto"/>
      <w:jc w:val="center"/>
      <w:outlineLvl w:val="0"/>
    </w:pPr>
    <w:rPr>
      <w:rFonts w:eastAsia="仿宋"/>
      <w:bCs/>
      <w:sz w:val="30"/>
      <w:szCs w:val="44"/>
    </w:rPr>
  </w:style>
  <w:style w:type="character" w:customStyle="1" w:styleId="102">
    <w:name w:val="Heading 2 Char"/>
    <w:basedOn w:val="51"/>
    <w:qFormat/>
    <w:uiPriority w:val="9"/>
    <w:rPr>
      <w:rFonts w:ascii="Arial" w:hAnsi="Arial" w:eastAsia="Arial" w:cs="Arial"/>
      <w:sz w:val="34"/>
    </w:rPr>
  </w:style>
  <w:style w:type="paragraph" w:customStyle="1" w:styleId="103">
    <w:name w:val="标题 31"/>
    <w:basedOn w:val="65"/>
    <w:next w:val="1"/>
    <w:link w:val="104"/>
    <w:unhideWhenUsed/>
    <w:qFormat/>
    <w:uiPriority w:val="9"/>
    <w:pPr>
      <w:keepNext/>
      <w:keepLines/>
      <w:spacing w:before="320" w:after="200"/>
      <w:outlineLvl w:val="2"/>
    </w:pPr>
    <w:rPr>
      <w:rFonts w:ascii="Arial" w:hAnsi="Arial" w:eastAsia="Arial" w:cs="Arial"/>
      <w:sz w:val="30"/>
      <w:szCs w:val="30"/>
    </w:rPr>
  </w:style>
  <w:style w:type="character" w:customStyle="1" w:styleId="104">
    <w:name w:val="Heading 3 Char"/>
    <w:basedOn w:val="51"/>
    <w:link w:val="103"/>
    <w:qFormat/>
    <w:uiPriority w:val="9"/>
    <w:rPr>
      <w:rFonts w:ascii="Arial" w:hAnsi="Arial" w:eastAsia="Arial" w:cs="Arial"/>
      <w:sz w:val="30"/>
      <w:szCs w:val="30"/>
    </w:rPr>
  </w:style>
  <w:style w:type="character" w:customStyle="1" w:styleId="105">
    <w:name w:val="Heading 4 Char"/>
    <w:basedOn w:val="51"/>
    <w:link w:val="76"/>
    <w:qFormat/>
    <w:uiPriority w:val="9"/>
    <w:rPr>
      <w:rFonts w:ascii="Arial" w:hAnsi="Arial" w:eastAsia="Arial" w:cs="Arial"/>
      <w:b/>
      <w:bCs/>
      <w:sz w:val="26"/>
      <w:szCs w:val="26"/>
    </w:rPr>
  </w:style>
  <w:style w:type="character" w:customStyle="1" w:styleId="106">
    <w:name w:val="Heading 5 Char"/>
    <w:basedOn w:val="51"/>
    <w:qFormat/>
    <w:uiPriority w:val="9"/>
    <w:rPr>
      <w:rFonts w:ascii="Arial" w:hAnsi="Arial" w:eastAsia="Arial" w:cs="Arial"/>
      <w:b/>
      <w:bCs/>
      <w:sz w:val="24"/>
      <w:szCs w:val="24"/>
    </w:rPr>
  </w:style>
  <w:style w:type="paragraph" w:customStyle="1" w:styleId="107">
    <w:name w:val="标题 61"/>
    <w:basedOn w:val="1"/>
    <w:next w:val="1"/>
    <w:link w:val="108"/>
    <w:unhideWhenUsed/>
    <w:qFormat/>
    <w:uiPriority w:val="9"/>
    <w:pPr>
      <w:keepNext/>
      <w:keepLines/>
      <w:spacing w:before="320" w:after="200"/>
      <w:outlineLvl w:val="5"/>
    </w:pPr>
    <w:rPr>
      <w:rFonts w:ascii="Arial" w:hAnsi="Arial" w:eastAsia="Arial" w:cs="Arial"/>
      <w:b/>
      <w:bCs/>
      <w:sz w:val="22"/>
      <w:szCs w:val="22"/>
    </w:rPr>
  </w:style>
  <w:style w:type="character" w:customStyle="1" w:styleId="108">
    <w:name w:val="Heading 6 Char"/>
    <w:basedOn w:val="51"/>
    <w:link w:val="107"/>
    <w:qFormat/>
    <w:uiPriority w:val="9"/>
    <w:rPr>
      <w:rFonts w:ascii="Arial" w:hAnsi="Arial" w:eastAsia="Arial" w:cs="Arial"/>
      <w:b/>
      <w:bCs/>
      <w:sz w:val="22"/>
      <w:szCs w:val="22"/>
    </w:rPr>
  </w:style>
  <w:style w:type="paragraph" w:customStyle="1" w:styleId="109">
    <w:name w:val="标题 71"/>
    <w:basedOn w:val="1"/>
    <w:next w:val="1"/>
    <w:link w:val="110"/>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110">
    <w:name w:val="Heading 7 Char"/>
    <w:basedOn w:val="51"/>
    <w:link w:val="109"/>
    <w:qFormat/>
    <w:uiPriority w:val="9"/>
    <w:rPr>
      <w:rFonts w:ascii="Arial" w:hAnsi="Arial" w:eastAsia="Arial" w:cs="Arial"/>
      <w:b/>
      <w:bCs/>
      <w:i/>
      <w:iCs/>
      <w:sz w:val="22"/>
      <w:szCs w:val="22"/>
    </w:rPr>
  </w:style>
  <w:style w:type="paragraph" w:customStyle="1" w:styleId="111">
    <w:name w:val="标题 81"/>
    <w:basedOn w:val="1"/>
    <w:next w:val="1"/>
    <w:link w:val="112"/>
    <w:unhideWhenUsed/>
    <w:qFormat/>
    <w:uiPriority w:val="9"/>
    <w:pPr>
      <w:keepNext/>
      <w:keepLines/>
      <w:spacing w:before="320" w:after="200"/>
      <w:outlineLvl w:val="7"/>
    </w:pPr>
    <w:rPr>
      <w:rFonts w:ascii="Arial" w:hAnsi="Arial" w:eastAsia="Arial" w:cs="Arial"/>
      <w:i/>
      <w:iCs/>
      <w:sz w:val="22"/>
      <w:szCs w:val="22"/>
    </w:rPr>
  </w:style>
  <w:style w:type="character" w:customStyle="1" w:styleId="112">
    <w:name w:val="Heading 8 Char"/>
    <w:basedOn w:val="51"/>
    <w:link w:val="111"/>
    <w:qFormat/>
    <w:uiPriority w:val="9"/>
    <w:rPr>
      <w:rFonts w:ascii="Arial" w:hAnsi="Arial" w:eastAsia="Arial" w:cs="Arial"/>
      <w:i/>
      <w:iCs/>
      <w:sz w:val="22"/>
      <w:szCs w:val="22"/>
    </w:rPr>
  </w:style>
  <w:style w:type="paragraph" w:customStyle="1" w:styleId="113">
    <w:name w:val="标题 91"/>
    <w:basedOn w:val="1"/>
    <w:next w:val="1"/>
    <w:link w:val="114"/>
    <w:unhideWhenUsed/>
    <w:qFormat/>
    <w:uiPriority w:val="9"/>
    <w:pPr>
      <w:keepNext/>
      <w:keepLines/>
      <w:spacing w:before="320" w:after="200"/>
      <w:outlineLvl w:val="8"/>
    </w:pPr>
    <w:rPr>
      <w:rFonts w:ascii="Arial" w:hAnsi="Arial" w:eastAsia="Arial" w:cs="Arial"/>
      <w:i/>
      <w:iCs/>
      <w:szCs w:val="21"/>
    </w:rPr>
  </w:style>
  <w:style w:type="character" w:customStyle="1" w:styleId="114">
    <w:name w:val="Heading 9 Char"/>
    <w:basedOn w:val="51"/>
    <w:link w:val="113"/>
    <w:qFormat/>
    <w:uiPriority w:val="9"/>
    <w:rPr>
      <w:rFonts w:ascii="Arial" w:hAnsi="Arial" w:eastAsia="Arial" w:cs="Arial"/>
      <w:i/>
      <w:iCs/>
      <w:sz w:val="21"/>
      <w:szCs w:val="21"/>
    </w:rPr>
  </w:style>
  <w:style w:type="paragraph" w:styleId="115">
    <w:name w:val="List Paragraph"/>
    <w:basedOn w:val="1"/>
    <w:link w:val="286"/>
    <w:qFormat/>
    <w:uiPriority w:val="0"/>
    <w:pPr>
      <w:ind w:left="720"/>
      <w:contextualSpacing/>
    </w:pPr>
  </w:style>
  <w:style w:type="paragraph" w:styleId="116">
    <w:name w:val="No Spacing"/>
    <w:qFormat/>
    <w:uiPriority w:val="1"/>
    <w:rPr>
      <w:rFonts w:ascii="Times New Roman" w:hAnsi="Times New Roman" w:eastAsia="宋体" w:cs="Times New Roman"/>
      <w:lang w:val="en-US" w:eastAsia="zh-CN" w:bidi="ar-SA"/>
    </w:rPr>
  </w:style>
  <w:style w:type="character" w:customStyle="1" w:styleId="117">
    <w:name w:val="标题 字符1"/>
    <w:basedOn w:val="51"/>
    <w:link w:val="50"/>
    <w:qFormat/>
    <w:uiPriority w:val="10"/>
    <w:rPr>
      <w:sz w:val="48"/>
      <w:szCs w:val="48"/>
    </w:rPr>
  </w:style>
  <w:style w:type="character" w:customStyle="1" w:styleId="118">
    <w:name w:val="副标题 字符"/>
    <w:basedOn w:val="51"/>
    <w:link w:val="40"/>
    <w:qFormat/>
    <w:uiPriority w:val="11"/>
    <w:rPr>
      <w:sz w:val="24"/>
      <w:szCs w:val="24"/>
    </w:rPr>
  </w:style>
  <w:style w:type="paragraph" w:styleId="119">
    <w:name w:val="Quote"/>
    <w:basedOn w:val="1"/>
    <w:next w:val="1"/>
    <w:link w:val="120"/>
    <w:qFormat/>
    <w:uiPriority w:val="29"/>
    <w:pPr>
      <w:ind w:left="720" w:right="720"/>
    </w:pPr>
    <w:rPr>
      <w:i/>
    </w:rPr>
  </w:style>
  <w:style w:type="character" w:customStyle="1" w:styleId="120">
    <w:name w:val="引用 字符"/>
    <w:link w:val="119"/>
    <w:qFormat/>
    <w:uiPriority w:val="29"/>
    <w:rPr>
      <w:i/>
    </w:rPr>
  </w:style>
  <w:style w:type="paragraph" w:styleId="121">
    <w:name w:val="Intense Quote"/>
    <w:basedOn w:val="1"/>
    <w:next w:val="1"/>
    <w:link w:val="12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2">
    <w:name w:val="明显引用 字符"/>
    <w:link w:val="121"/>
    <w:qFormat/>
    <w:uiPriority w:val="30"/>
    <w:rPr>
      <w:i/>
    </w:rPr>
  </w:style>
  <w:style w:type="character" w:customStyle="1" w:styleId="123">
    <w:name w:val="Header Char"/>
    <w:basedOn w:val="51"/>
    <w:link w:val="124"/>
    <w:qFormat/>
    <w:uiPriority w:val="99"/>
  </w:style>
  <w:style w:type="paragraph" w:customStyle="1" w:styleId="124">
    <w:name w:val="页眉1"/>
    <w:basedOn w:val="1"/>
    <w:link w:val="123"/>
    <w:qFormat/>
    <w:uiPriority w:val="0"/>
    <w:pPr>
      <w:pBdr>
        <w:bottom w:val="single" w:color="auto" w:sz="6" w:space="1"/>
      </w:pBdr>
      <w:tabs>
        <w:tab w:val="center" w:pos="4153"/>
        <w:tab w:val="right" w:pos="8306"/>
      </w:tabs>
      <w:jc w:val="center"/>
    </w:pPr>
    <w:rPr>
      <w:sz w:val="18"/>
      <w:szCs w:val="18"/>
    </w:rPr>
  </w:style>
  <w:style w:type="character" w:customStyle="1" w:styleId="125">
    <w:name w:val="Footer Char"/>
    <w:basedOn w:val="51"/>
    <w:qFormat/>
    <w:uiPriority w:val="99"/>
  </w:style>
  <w:style w:type="paragraph" w:customStyle="1" w:styleId="126">
    <w:name w:val="题注1"/>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character" w:customStyle="1" w:styleId="127">
    <w:name w:val="Caption Char"/>
    <w:qFormat/>
    <w:uiPriority w:val="99"/>
  </w:style>
  <w:style w:type="table" w:customStyle="1" w:styleId="128">
    <w:name w:val="Table Grid Light"/>
    <w:basedOn w:val="6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style>
  <w:style w:type="table" w:customStyle="1" w:styleId="129">
    <w:name w:val="无格式表格 11"/>
    <w:basedOn w:val="6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30">
    <w:name w:val="无格式表格 21"/>
    <w:basedOn w:val="6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31">
    <w:name w:val="无格式表格 31"/>
    <w:basedOn w:val="6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2">
    <w:name w:val="无格式表格 41"/>
    <w:basedOn w:val="6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3">
    <w:name w:val="无格式表格 51"/>
    <w:basedOn w:val="6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4">
    <w:name w:val="网格表 1 浅色1"/>
    <w:basedOn w:val="6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35">
    <w:name w:val="Grid Table 1 Light - Accent 1"/>
    <w:basedOn w:val="60"/>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Layout w:type="fixed"/>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36">
    <w:name w:val="Grid Table 1 Light - Accent 2"/>
    <w:basedOn w:val="6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37">
    <w:name w:val="Grid Table 1 Light - Accent 3"/>
    <w:basedOn w:val="6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38">
    <w:name w:val="Grid Table 1 Light - Accent 4"/>
    <w:basedOn w:val="6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39">
    <w:name w:val="Grid Table 1 Light - Accent 5"/>
    <w:basedOn w:val="60"/>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Layout w:type="fixed"/>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40">
    <w:name w:val="Grid Table 1 Light - Accent 6"/>
    <w:basedOn w:val="6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41">
    <w:name w:val="网格表 21"/>
    <w:basedOn w:val="6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2">
    <w:name w:val="Grid Table 2 - Accent 1"/>
    <w:basedOn w:val="60"/>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Layout w:type="fixed"/>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43">
    <w:name w:val="Grid Table 2 - Accent 2"/>
    <w:basedOn w:val="6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44">
    <w:name w:val="Grid Table 2 - Accent 3"/>
    <w:basedOn w:val="6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45">
    <w:name w:val="Grid Table 2 - Accent 4"/>
    <w:basedOn w:val="6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46">
    <w:name w:val="Grid Table 2 - Accent 5"/>
    <w:basedOn w:val="60"/>
    <w:qFormat/>
    <w:uiPriority w:val="99"/>
    <w:tblPr>
      <w:tblBorders>
        <w:bottom w:val="single" w:color="5B9BD5" w:themeColor="accent5" w:sz="4" w:space="0"/>
        <w:insideH w:val="single" w:color="5B9BD5" w:themeColor="accent5" w:sz="4" w:space="0"/>
        <w:insideV w:val="single" w:color="5B9BD5" w:themeColor="accent5" w:sz="4" w:space="0"/>
      </w:tblBorders>
      <w:tblLayout w:type="fixed"/>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47">
    <w:name w:val="Grid Table 2 - Accent 6"/>
    <w:basedOn w:val="60"/>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8">
    <w:name w:val="网格表 31"/>
    <w:basedOn w:val="6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9">
    <w:name w:val="Grid Table 3 - Accent 1"/>
    <w:basedOn w:val="60"/>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50">
    <w:name w:val="Grid Table 3 - Accent 2"/>
    <w:basedOn w:val="6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1">
    <w:name w:val="Grid Table 3 - Accent 3"/>
    <w:basedOn w:val="6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2">
    <w:name w:val="Grid Table 3 - Accent 4"/>
    <w:basedOn w:val="6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53">
    <w:name w:val="Grid Table 3 - Accent 5"/>
    <w:basedOn w:val="60"/>
    <w:qFormat/>
    <w:uiPriority w:val="99"/>
    <w:tblPr>
      <w:tblBorders>
        <w:bottom w:val="single" w:color="5B9BD5" w:themeColor="accent5" w:sz="4" w:space="0"/>
        <w:insideH w:val="single" w:color="5B9BD5" w:themeColor="accent5" w:sz="4" w:space="0"/>
        <w:insideV w:val="single" w:color="5B9BD5"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54">
    <w:name w:val="Grid Table 3 - Accent 6"/>
    <w:basedOn w:val="60"/>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55">
    <w:name w:val="网格表 41"/>
    <w:basedOn w:val="6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6">
    <w:name w:val="Grid Table 4 - Accent 1"/>
    <w:basedOn w:val="60"/>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Layout w:type="fixed"/>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57">
    <w:name w:val="Grid Table 4 - Accent 2"/>
    <w:basedOn w:val="60"/>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Layout w:type="fixed"/>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8">
    <w:name w:val="Grid Table 4 - Accent 3"/>
    <w:basedOn w:val="60"/>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Layout w:type="fixed"/>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9">
    <w:name w:val="Grid Table 4 - Accent 4"/>
    <w:basedOn w:val="60"/>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Layout w:type="fixed"/>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60">
    <w:name w:val="Grid Table 4 - Accent 5"/>
    <w:basedOn w:val="60"/>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Layout w:type="fixed"/>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61">
    <w:name w:val="Grid Table 4 - Accent 6"/>
    <w:basedOn w:val="60"/>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62">
    <w:name w:val="网格表 5 深色1"/>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3">
    <w:name w:val="Grid Table 5 Dark- Accent 1"/>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64">
    <w:name w:val="Grid Table 5 Dark - Accent 2"/>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65">
    <w:name w:val="Grid Table 5 Dark - Accent 3"/>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66">
    <w:name w:val="Grid Table 5 Dark- Accent 4"/>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67">
    <w:name w:val="Grid Table 5 Dark - Accent 5"/>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68">
    <w:name w:val="Grid Table 5 Dark - Accent 6"/>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69">
    <w:name w:val="网格表 6 彩色1"/>
    <w:basedOn w:val="6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Grid Table 6 Colorful - Accent 1"/>
    <w:basedOn w:val="60"/>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Layout w:type="fixed"/>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71">
    <w:name w:val="Grid Table 6 Colorful - Accent 2"/>
    <w:basedOn w:val="6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2">
    <w:name w:val="Grid Table 6 Colorful - Accent 3"/>
    <w:basedOn w:val="60"/>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73">
    <w:name w:val="Grid Table 6 Colorful - Accent 4"/>
    <w:basedOn w:val="6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4">
    <w:name w:val="Grid Table 6 Colorful - Accent 5"/>
    <w:basedOn w:val="60"/>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Layout w:type="fixed"/>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75">
    <w:name w:val="Grid Table 6 Colorful - Accent 6"/>
    <w:basedOn w:val="60"/>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Layout w:type="fixed"/>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76">
    <w:name w:val="网格表 7 彩色1"/>
    <w:basedOn w:val="6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Grid Table 7 Colorful - Accent 1"/>
    <w:basedOn w:val="60"/>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Layout w:type="fixed"/>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78">
    <w:name w:val="Grid Table 7 Colorful - Accent 2"/>
    <w:basedOn w:val="60"/>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9">
    <w:name w:val="Grid Table 7 Colorful - Accent 3"/>
    <w:basedOn w:val="60"/>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80">
    <w:name w:val="Grid Table 7 Colorful - Accent 4"/>
    <w:basedOn w:val="60"/>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1">
    <w:name w:val="Grid Table 7 Colorful - Accent 5"/>
    <w:basedOn w:val="60"/>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Layout w:type="fixed"/>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82">
    <w:name w:val="Grid Table 7 Colorful - Accent 6"/>
    <w:basedOn w:val="60"/>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83">
    <w:name w:val="清单表 1 浅色1"/>
    <w:basedOn w:val="6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84">
    <w:name w:val="List Table 1 Light - Accent 1"/>
    <w:basedOn w:val="60"/>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85">
    <w:name w:val="List Table 1 Light - Accent 2"/>
    <w:basedOn w:val="60"/>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86">
    <w:name w:val="List Table 1 Light - Accent 3"/>
    <w:basedOn w:val="60"/>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87">
    <w:name w:val="List Table 1 Light - Accent 4"/>
    <w:basedOn w:val="60"/>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88">
    <w:name w:val="List Table 1 Light - Accent 5"/>
    <w:basedOn w:val="60"/>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89">
    <w:name w:val="List Table 1 Light - Accent 6"/>
    <w:basedOn w:val="60"/>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90">
    <w:name w:val="清单表 21"/>
    <w:basedOn w:val="6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1">
    <w:name w:val="List Table 2 - Accent 1"/>
    <w:basedOn w:val="60"/>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Layout w:type="fixed"/>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92">
    <w:name w:val="List Table 2 - Accent 2"/>
    <w:basedOn w:val="60"/>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Layout w:type="fixed"/>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93">
    <w:name w:val="List Table 2 - Accent 3"/>
    <w:basedOn w:val="60"/>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Layout w:type="fixed"/>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94">
    <w:name w:val="List Table 2 - Accent 4"/>
    <w:basedOn w:val="60"/>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Layout w:type="fixed"/>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95">
    <w:name w:val="List Table 2 - Accent 5"/>
    <w:basedOn w:val="60"/>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Layout w:type="fixed"/>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96">
    <w:name w:val="List Table 2 - Accent 6"/>
    <w:basedOn w:val="60"/>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Layout w:type="fixed"/>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97">
    <w:name w:val="清单表 31"/>
    <w:basedOn w:val="6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8">
    <w:name w:val="List Table 3 - Accent 1"/>
    <w:basedOn w:val="60"/>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Layout w:type="fixed"/>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99">
    <w:name w:val="List Table 3 - Accent 2"/>
    <w:basedOn w:val="6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Layout w:type="fixed"/>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200">
    <w:name w:val="List Table 3 - Accent 3"/>
    <w:basedOn w:val="60"/>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Layout w:type="fixed"/>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201">
    <w:name w:val="List Table 3 - Accent 4"/>
    <w:basedOn w:val="6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Layout w:type="fixed"/>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202">
    <w:name w:val="List Table 3 - Accent 5"/>
    <w:basedOn w:val="60"/>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Layout w:type="fixed"/>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203">
    <w:name w:val="List Table 3 - Accent 6"/>
    <w:basedOn w:val="60"/>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Layout w:type="fixed"/>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204">
    <w:name w:val="清单表 41"/>
    <w:basedOn w:val="6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5">
    <w:name w:val="List Table 4 - Accent 1"/>
    <w:basedOn w:val="60"/>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Layout w:type="fixed"/>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206">
    <w:name w:val="List Table 4 - Accent 2"/>
    <w:basedOn w:val="60"/>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07">
    <w:name w:val="List Table 4 - Accent 3"/>
    <w:basedOn w:val="60"/>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08">
    <w:name w:val="List Table 4 - Accent 4"/>
    <w:basedOn w:val="60"/>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09">
    <w:name w:val="List Table 4 - Accent 5"/>
    <w:basedOn w:val="60"/>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Layout w:type="fixed"/>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210">
    <w:name w:val="List Table 4 - Accent 6"/>
    <w:basedOn w:val="60"/>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11">
    <w:name w:val="清单表 5 深色1"/>
    <w:basedOn w:val="6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12">
    <w:name w:val="List Table 5 Dark - Accent 1"/>
    <w:basedOn w:val="60"/>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213">
    <w:name w:val="List Table 5 Dark - Accent 2"/>
    <w:basedOn w:val="60"/>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14">
    <w:name w:val="List Table 5 Dark - Accent 3"/>
    <w:basedOn w:val="60"/>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15">
    <w:name w:val="List Table 5 Dark - Accent 4"/>
    <w:basedOn w:val="60"/>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16">
    <w:name w:val="List Table 5 Dark - Accent 5"/>
    <w:basedOn w:val="60"/>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217">
    <w:name w:val="List Table 5 Dark - Accent 6"/>
    <w:basedOn w:val="60"/>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18">
    <w:name w:val="清单表 6 彩色1"/>
    <w:basedOn w:val="60"/>
    <w:qFormat/>
    <w:uiPriority w:val="99"/>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9">
    <w:name w:val="List Table 6 Colorful - Accent 1"/>
    <w:basedOn w:val="60"/>
    <w:qFormat/>
    <w:uiPriority w:val="99"/>
    <w:tblPr>
      <w:tblBorders>
        <w:top w:val="single" w:color="4472C4" w:themeColor="accent1" w:sz="4" w:space="0"/>
        <w:bottom w:val="single" w:color="4472C4" w:themeColor="accent1" w:sz="4" w:space="0"/>
      </w:tblBorders>
      <w:tblLayout w:type="fixed"/>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20">
    <w:name w:val="List Table 6 Colorful - Accent 2"/>
    <w:basedOn w:val="60"/>
    <w:qFormat/>
    <w:uiPriority w:val="99"/>
    <w:tblPr>
      <w:tblBorders>
        <w:top w:val="single" w:color="F4B285" w:themeColor="accent2" w:themeTint="97" w:sz="4" w:space="0"/>
        <w:bottom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1">
    <w:name w:val="List Table 6 Colorful - Accent 3"/>
    <w:basedOn w:val="60"/>
    <w:qFormat/>
    <w:uiPriority w:val="99"/>
    <w:tblPr>
      <w:tblBorders>
        <w:top w:val="single" w:color="C9C9C9" w:themeColor="accent3" w:themeTint="98" w:sz="4" w:space="0"/>
        <w:bottom w:val="single" w:color="C9C9C9" w:themeColor="accent3" w:themeTint="98" w:sz="4" w:space="0"/>
      </w:tblBorders>
      <w:tblLayout w:type="fixed"/>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2">
    <w:name w:val="List Table 6 Colorful - Accent 4"/>
    <w:basedOn w:val="60"/>
    <w:qFormat/>
    <w:uiPriority w:val="99"/>
    <w:tblPr>
      <w:tblBorders>
        <w:top w:val="single" w:color="FFD864" w:themeColor="accent4" w:themeTint="9A" w:sz="4" w:space="0"/>
        <w:bottom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23">
    <w:name w:val="List Table 6 Colorful - Accent 5"/>
    <w:basedOn w:val="60"/>
    <w:qFormat/>
    <w:uiPriority w:val="99"/>
    <w:tblPr>
      <w:tblBorders>
        <w:top w:val="single" w:color="9BC2E5" w:themeColor="accent5" w:themeTint="9A" w:sz="4" w:space="0"/>
        <w:bottom w:val="single" w:color="9BC2E5" w:themeColor="accent5" w:themeTint="9A" w:sz="4" w:space="0"/>
      </w:tblBorders>
      <w:tblLayout w:type="fixed"/>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24">
    <w:name w:val="List Table 6 Colorful - Accent 6"/>
    <w:basedOn w:val="60"/>
    <w:qFormat/>
    <w:uiPriority w:val="99"/>
    <w:tblPr>
      <w:tblBorders>
        <w:top w:val="single" w:color="A9D08E" w:themeColor="accent6" w:themeTint="98" w:sz="4" w:space="0"/>
        <w:bottom w:val="single" w:color="A9D08E" w:themeColor="accent6" w:themeTint="98" w:sz="4" w:space="0"/>
      </w:tblBorders>
      <w:tblLayout w:type="fixed"/>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25">
    <w:name w:val="清单表 7 彩色1"/>
    <w:basedOn w:val="60"/>
    <w:qFormat/>
    <w:uiPriority w:val="99"/>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26">
    <w:name w:val="List Table 7 Colorful - Accent 1"/>
    <w:basedOn w:val="60"/>
    <w:qFormat/>
    <w:uiPriority w:val="99"/>
    <w:tblPr>
      <w:tblBorders>
        <w:right w:val="single" w:color="4472C4" w:themeColor="accent1" w:sz="4" w:space="0"/>
      </w:tblBorders>
      <w:tblLayout w:type="fixed"/>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27">
    <w:name w:val="List Table 7 Colorful - Accent 2"/>
    <w:basedOn w:val="60"/>
    <w:qFormat/>
    <w:uiPriority w:val="99"/>
    <w:tblPr>
      <w:tblBorders>
        <w:right w:val="single" w:color="F4B285" w:themeColor="accent2" w:themeTint="97" w:sz="4" w:space="0"/>
      </w:tblBorders>
      <w:tblLayout w:type="fixed"/>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8">
    <w:name w:val="List Table 7 Colorful - Accent 3"/>
    <w:basedOn w:val="60"/>
    <w:qFormat/>
    <w:uiPriority w:val="99"/>
    <w:tblPr>
      <w:tblBorders>
        <w:right w:val="single" w:color="C9C9C9" w:themeColor="accent3" w:themeTint="98" w:sz="4" w:space="0"/>
      </w:tblBorders>
      <w:tblLayout w:type="fixed"/>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9">
    <w:name w:val="List Table 7 Colorful - Accent 4"/>
    <w:basedOn w:val="60"/>
    <w:qFormat/>
    <w:uiPriority w:val="99"/>
    <w:tblPr>
      <w:tblBorders>
        <w:right w:val="single" w:color="FFD864" w:themeColor="accent4" w:themeTint="9A" w:sz="4" w:space="0"/>
      </w:tblBorders>
      <w:tblLayout w:type="fixed"/>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30">
    <w:name w:val="List Table 7 Colorful - Accent 5"/>
    <w:basedOn w:val="60"/>
    <w:qFormat/>
    <w:uiPriority w:val="99"/>
    <w:tblPr>
      <w:tblBorders>
        <w:right w:val="single" w:color="9BC2E5" w:themeColor="accent5" w:themeTint="9A" w:sz="4" w:space="0"/>
      </w:tblBorders>
      <w:tblLayout w:type="fixed"/>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31">
    <w:name w:val="List Table 7 Colorful - Accent 6"/>
    <w:basedOn w:val="60"/>
    <w:qFormat/>
    <w:uiPriority w:val="99"/>
    <w:tblPr>
      <w:tblBorders>
        <w:right w:val="single" w:color="A9D08E" w:themeColor="accent6" w:themeTint="98" w:sz="4" w:space="0"/>
      </w:tblBorders>
      <w:tblLayout w:type="fixed"/>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32">
    <w:name w:val="Lined - Accent"/>
    <w:basedOn w:val="6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Lined - Accent 1"/>
    <w:basedOn w:val="60"/>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34">
    <w:name w:val="Lined - Accent 2"/>
    <w:basedOn w:val="60"/>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35">
    <w:name w:val="Lined - Accent 3"/>
    <w:basedOn w:val="60"/>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36">
    <w:name w:val="Lined - Accent 4"/>
    <w:basedOn w:val="60"/>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7">
    <w:name w:val="Lined - Accent 5"/>
    <w:basedOn w:val="60"/>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38">
    <w:name w:val="Lined - Accent 6"/>
    <w:basedOn w:val="60"/>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39">
    <w:name w:val="Bordered &amp; Lined - Accent"/>
    <w:basedOn w:val="6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0">
    <w:name w:val="Bordered &amp; Lined - Accent 1"/>
    <w:basedOn w:val="60"/>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Layout w:type="fixed"/>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41">
    <w:name w:val="Bordered &amp; Lined - Accent 2"/>
    <w:basedOn w:val="60"/>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Layout w:type="fixed"/>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42">
    <w:name w:val="Bordered &amp; Lined - Accent 3"/>
    <w:basedOn w:val="60"/>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Layout w:type="fixed"/>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43">
    <w:name w:val="Bordered &amp; Lined - Accent 4"/>
    <w:basedOn w:val="60"/>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Layout w:type="fixed"/>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44">
    <w:name w:val="Bordered &amp; Lined - Accent 5"/>
    <w:basedOn w:val="60"/>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Layout w:type="fixed"/>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45">
    <w:name w:val="Bordered &amp; Lined - Accent 6"/>
    <w:basedOn w:val="60"/>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Layout w:type="fixed"/>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46">
    <w:name w:val="Bordered"/>
    <w:basedOn w:val="6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7">
    <w:name w:val="Bordered - Accent 1"/>
    <w:basedOn w:val="60"/>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Layout w:type="fixed"/>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48">
    <w:name w:val="Bordered - Accent 2"/>
    <w:basedOn w:val="6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49">
    <w:name w:val="Bordered - Accent 3"/>
    <w:basedOn w:val="6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50">
    <w:name w:val="Bordered - Accent 4"/>
    <w:basedOn w:val="6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51">
    <w:name w:val="Bordered - Accent 5"/>
    <w:basedOn w:val="60"/>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Layout w:type="fixed"/>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52">
    <w:name w:val="Bordered - Accent 6"/>
    <w:basedOn w:val="6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53">
    <w:name w:val="脚注文本 字符"/>
    <w:link w:val="41"/>
    <w:qFormat/>
    <w:uiPriority w:val="99"/>
    <w:rPr>
      <w:sz w:val="18"/>
    </w:rPr>
  </w:style>
  <w:style w:type="character" w:customStyle="1" w:styleId="254">
    <w:name w:val="尾注文本 字符1"/>
    <w:link w:val="34"/>
    <w:qFormat/>
    <w:uiPriority w:val="0"/>
    <w:rPr>
      <w:sz w:val="20"/>
    </w:rPr>
  </w:style>
  <w:style w:type="paragraph" w:customStyle="1" w:styleId="255">
    <w:name w:val="TOC 标题11"/>
    <w:unhideWhenUsed/>
    <w:qFormat/>
    <w:uiPriority w:val="39"/>
    <w:rPr>
      <w:rFonts w:ascii="Times New Roman" w:hAnsi="Times New Roman" w:eastAsia="宋体" w:cs="Times New Roman"/>
      <w:lang w:val="en-US" w:eastAsia="zh-CN" w:bidi="ar-SA"/>
    </w:rPr>
  </w:style>
  <w:style w:type="paragraph" w:customStyle="1" w:styleId="256">
    <w:name w:val="标题 21"/>
    <w:basedOn w:val="1"/>
    <w:next w:val="67"/>
    <w:link w:val="259"/>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257">
    <w:name w:val="标题 51"/>
    <w:basedOn w:val="1"/>
    <w:next w:val="1"/>
    <w:link w:val="280"/>
    <w:semiHidden/>
    <w:unhideWhenUsed/>
    <w:qFormat/>
    <w:uiPriority w:val="0"/>
    <w:pPr>
      <w:keepNext/>
      <w:keepLines/>
      <w:spacing w:before="280" w:after="290" w:line="376" w:lineRule="auto"/>
      <w:outlineLvl w:val="4"/>
    </w:pPr>
    <w:rPr>
      <w:b/>
      <w:bCs/>
      <w:sz w:val="28"/>
      <w:szCs w:val="28"/>
    </w:rPr>
  </w:style>
  <w:style w:type="paragraph" w:customStyle="1" w:styleId="258">
    <w:name w:val="页脚1"/>
    <w:basedOn w:val="1"/>
    <w:link w:val="281"/>
    <w:qFormat/>
    <w:uiPriority w:val="99"/>
    <w:pPr>
      <w:tabs>
        <w:tab w:val="center" w:pos="4153"/>
        <w:tab w:val="right" w:pos="8306"/>
      </w:tabs>
      <w:jc w:val="left"/>
    </w:pPr>
    <w:rPr>
      <w:sz w:val="18"/>
      <w:szCs w:val="18"/>
    </w:rPr>
  </w:style>
  <w:style w:type="character" w:customStyle="1" w:styleId="259">
    <w:name w:val="标题 2 字符"/>
    <w:link w:val="256"/>
    <w:qFormat/>
    <w:uiPriority w:val="0"/>
    <w:rPr>
      <w:rFonts w:ascii="Cambria" w:hAnsi="Cambria"/>
      <w:b/>
      <w:bCs/>
      <w:sz w:val="28"/>
      <w:szCs w:val="32"/>
    </w:rPr>
  </w:style>
  <w:style w:type="character" w:customStyle="1" w:styleId="260">
    <w:name w:val="批注文字 字符1"/>
    <w:link w:val="16"/>
    <w:qFormat/>
    <w:uiPriority w:val="99"/>
    <w:rPr>
      <w:sz w:val="21"/>
      <w:szCs w:val="24"/>
    </w:rPr>
  </w:style>
  <w:style w:type="character" w:customStyle="1" w:styleId="261">
    <w:name w:val="纯文本 字符1"/>
    <w:link w:val="30"/>
    <w:qFormat/>
    <w:uiPriority w:val="0"/>
    <w:rPr>
      <w:rFonts w:ascii="宋体" w:hAnsi="Courier New" w:eastAsia="宋体"/>
      <w:sz w:val="21"/>
      <w:szCs w:val="21"/>
      <w:lang w:bidi="ar-SA"/>
    </w:rPr>
  </w:style>
  <w:style w:type="character" w:customStyle="1" w:styleId="262">
    <w:name w:val="批注框文本 字符1"/>
    <w:link w:val="35"/>
    <w:qFormat/>
    <w:uiPriority w:val="99"/>
    <w:rPr>
      <w:sz w:val="18"/>
      <w:szCs w:val="18"/>
    </w:rPr>
  </w:style>
  <w:style w:type="character" w:customStyle="1" w:styleId="263">
    <w:name w:val="普通(网站) 字符"/>
    <w:link w:val="49"/>
    <w:qFormat/>
    <w:uiPriority w:val="99"/>
    <w:rPr>
      <w:rFonts w:ascii="宋体" w:hAnsi="宋体" w:cs="宋体"/>
      <w:sz w:val="24"/>
      <w:szCs w:val="24"/>
    </w:rPr>
  </w:style>
  <w:style w:type="character" w:customStyle="1" w:styleId="264">
    <w:name w:val="批注主题 字符1"/>
    <w:link w:val="15"/>
    <w:qFormat/>
    <w:uiPriority w:val="99"/>
    <w:rPr>
      <w:b/>
      <w:bCs/>
      <w:sz w:val="21"/>
      <w:szCs w:val="24"/>
    </w:rPr>
  </w:style>
  <w:style w:type="character" w:customStyle="1" w:styleId="265">
    <w:name w:val="font112"/>
    <w:qFormat/>
    <w:uiPriority w:val="0"/>
    <w:rPr>
      <w:rFonts w:hint="eastAsia" w:ascii="宋体" w:hAnsi="宋体" w:eastAsia="宋体" w:cs="宋体"/>
      <w:b/>
      <w:color w:val="000000"/>
      <w:sz w:val="20"/>
      <w:szCs w:val="20"/>
      <w:u w:val="none"/>
    </w:rPr>
  </w:style>
  <w:style w:type="character" w:customStyle="1" w:styleId="266">
    <w:name w:val="10"/>
    <w:qFormat/>
    <w:uiPriority w:val="0"/>
  </w:style>
  <w:style w:type="character" w:customStyle="1" w:styleId="267">
    <w:name w:val="font101"/>
    <w:qFormat/>
    <w:uiPriority w:val="99"/>
    <w:rPr>
      <w:rFonts w:hint="eastAsia" w:ascii="宋体" w:hAnsi="宋体" w:eastAsia="宋体" w:cs="宋体"/>
      <w:b/>
      <w:color w:val="000000"/>
      <w:sz w:val="20"/>
      <w:szCs w:val="20"/>
      <w:u w:val="none"/>
    </w:rPr>
  </w:style>
  <w:style w:type="paragraph" w:customStyle="1" w:styleId="268">
    <w:name w:val="默认段落字体 Para Char Char Char Char Char Char Char"/>
    <w:basedOn w:val="1"/>
    <w:qFormat/>
    <w:uiPriority w:val="0"/>
    <w:rPr>
      <w:rFonts w:ascii="Tahoma" w:hAnsi="Tahoma"/>
      <w:sz w:val="24"/>
      <w:szCs w:val="20"/>
    </w:rPr>
  </w:style>
  <w:style w:type="paragraph" w:customStyle="1" w:styleId="269">
    <w:name w:val="正文缩进2字符"/>
    <w:basedOn w:val="1"/>
    <w:qFormat/>
    <w:uiPriority w:val="0"/>
    <w:pPr>
      <w:spacing w:line="360" w:lineRule="auto"/>
      <w:ind w:firstLine="200"/>
      <w:jc w:val="left"/>
    </w:pPr>
    <w:rPr>
      <w:sz w:val="24"/>
      <w:szCs w:val="20"/>
    </w:rPr>
  </w:style>
  <w:style w:type="paragraph" w:customStyle="1" w:styleId="270">
    <w:name w:val="BodyText"/>
    <w:basedOn w:val="1"/>
    <w:qFormat/>
    <w:uiPriority w:val="0"/>
    <w:pPr>
      <w:spacing w:line="380" w:lineRule="exact"/>
    </w:pPr>
  </w:style>
  <w:style w:type="paragraph" w:customStyle="1" w:styleId="271">
    <w:name w:val="p0"/>
    <w:basedOn w:val="67"/>
    <w:qFormat/>
    <w:uiPriority w:val="0"/>
    <w:pPr>
      <w:widowControl/>
    </w:pPr>
    <w:rPr>
      <w:szCs w:val="21"/>
    </w:rPr>
  </w:style>
  <w:style w:type="paragraph" w:customStyle="1" w:styleId="272">
    <w:name w:val="并列样式"/>
    <w:basedOn w:val="1"/>
    <w:qFormat/>
    <w:uiPriority w:val="0"/>
    <w:pPr>
      <w:spacing w:before="60" w:after="60"/>
    </w:pPr>
    <w:rPr>
      <w:sz w:val="24"/>
      <w:szCs w:val="20"/>
    </w:rPr>
  </w:style>
  <w:style w:type="paragraph" w:customStyle="1" w:styleId="273">
    <w:name w:val="正文 A"/>
    <w:qFormat/>
    <w:uiPriority w:val="0"/>
    <w:pPr>
      <w:widowControl w:val="0"/>
      <w:jc w:val="both"/>
    </w:pPr>
    <w:rPr>
      <w:rFonts w:ascii="Times New Roman" w:hAnsi="Times New Roman" w:eastAsia="Arial Unicode MS" w:cs="Arial Unicode MS"/>
      <w:color w:val="000000"/>
      <w:sz w:val="32"/>
      <w:szCs w:val="32"/>
      <w:lang w:val="en-US" w:eastAsia="zh-CN" w:bidi="ar-SA"/>
    </w:rPr>
  </w:style>
  <w:style w:type="paragraph" w:customStyle="1" w:styleId="274">
    <w:name w:val="Blockquote"/>
    <w:basedOn w:val="1"/>
    <w:qFormat/>
    <w:uiPriority w:val="0"/>
    <w:pPr>
      <w:spacing w:before="100" w:after="100"/>
      <w:ind w:left="764" w:right="567"/>
      <w:jc w:val="left"/>
    </w:pPr>
    <w:rPr>
      <w:sz w:val="24"/>
    </w:rPr>
  </w:style>
  <w:style w:type="paragraph" w:customStyle="1" w:styleId="275">
    <w:name w:val="修订1"/>
    <w:unhideWhenUsed/>
    <w:qFormat/>
    <w:uiPriority w:val="99"/>
    <w:rPr>
      <w:rFonts w:ascii="Times New Roman" w:hAnsi="Times New Roman" w:eastAsia="宋体" w:cs="Times New Roman"/>
      <w:sz w:val="21"/>
      <w:szCs w:val="24"/>
      <w:lang w:val="en-US" w:eastAsia="zh-CN" w:bidi="ar-SA"/>
    </w:rPr>
  </w:style>
  <w:style w:type="paragraph" w:customStyle="1" w:styleId="276">
    <w:name w:val="表格3"/>
    <w:basedOn w:val="1"/>
    <w:qFormat/>
    <w:uiPriority w:val="0"/>
    <w:pPr>
      <w:jc w:val="center"/>
    </w:pPr>
  </w:style>
  <w:style w:type="paragraph" w:customStyle="1" w:styleId="277">
    <w:name w:val="Char"/>
    <w:basedOn w:val="1"/>
    <w:qFormat/>
    <w:uiPriority w:val="0"/>
    <w:pPr>
      <w:tabs>
        <w:tab w:val="left" w:pos="360"/>
      </w:tabs>
    </w:pPr>
    <w:rPr>
      <w:sz w:val="24"/>
    </w:rPr>
  </w:style>
  <w:style w:type="paragraph" w:customStyle="1" w:styleId="278">
    <w:name w:val="一级无"/>
    <w:basedOn w:val="1"/>
    <w:qFormat/>
    <w:uiPriority w:val="0"/>
    <w:pPr>
      <w:widowControl/>
      <w:numPr>
        <w:ilvl w:val="1"/>
        <w:numId w:val="2"/>
      </w:numPr>
      <w:tabs>
        <w:tab w:val="left" w:pos="1440"/>
      </w:tabs>
      <w:jc w:val="left"/>
      <w:outlineLvl w:val="2"/>
    </w:pPr>
    <w:rPr>
      <w:rFonts w:ascii="宋体"/>
      <w:szCs w:val="21"/>
    </w:rPr>
  </w:style>
  <w:style w:type="paragraph" w:customStyle="1" w:styleId="279">
    <w:name w:val="MM Topic 4"/>
    <w:basedOn w:val="257"/>
    <w:qFormat/>
    <w:uiPriority w:val="0"/>
    <w:pPr>
      <w:keepNext w:val="0"/>
      <w:keepLines w:val="0"/>
      <w:widowControl/>
      <w:numPr>
        <w:ilvl w:val="4"/>
        <w:numId w:val="2"/>
      </w:numPr>
      <w:tabs>
        <w:tab w:val="left" w:pos="1440"/>
        <w:tab w:val="clear" w:pos="2460"/>
      </w:tabs>
      <w:spacing w:before="240" w:after="60" w:line="240" w:lineRule="auto"/>
      <w:ind w:left="1008" w:hanging="1008"/>
      <w:jc w:val="left"/>
    </w:pPr>
    <w:rPr>
      <w:rFonts w:ascii="宋体" w:hAnsi="宋体"/>
      <w:b w:val="0"/>
      <w:i/>
      <w:iCs/>
      <w:sz w:val="26"/>
      <w:szCs w:val="26"/>
    </w:rPr>
  </w:style>
  <w:style w:type="character" w:customStyle="1" w:styleId="280">
    <w:name w:val="标题 5 字符"/>
    <w:link w:val="257"/>
    <w:qFormat/>
    <w:uiPriority w:val="0"/>
    <w:rPr>
      <w:b/>
      <w:bCs/>
      <w:sz w:val="28"/>
      <w:szCs w:val="28"/>
    </w:rPr>
  </w:style>
  <w:style w:type="character" w:customStyle="1" w:styleId="281">
    <w:name w:val="页脚 字符"/>
    <w:link w:val="258"/>
    <w:qFormat/>
    <w:uiPriority w:val="0"/>
    <w:rPr>
      <w:sz w:val="18"/>
      <w:szCs w:val="18"/>
    </w:rPr>
  </w:style>
  <w:style w:type="paragraph" w:customStyle="1" w:styleId="282">
    <w:name w:val="正文_0_0_0"/>
    <w:unhideWhenUsed/>
    <w:qFormat/>
    <w:uiPriority w:val="99"/>
    <w:rPr>
      <w:rFonts w:hint="eastAsia" w:ascii="Times New Roman" w:hAnsi="Times New Roman" w:eastAsia="宋体" w:cs="Times New Roman"/>
      <w:sz w:val="21"/>
      <w:lang w:val="en-US" w:eastAsia="zh-CN" w:bidi="ar-SA"/>
    </w:rPr>
  </w:style>
  <w:style w:type="paragraph" w:customStyle="1" w:styleId="283">
    <w:name w:val="正文_0_0"/>
    <w:unhideWhenUsed/>
    <w:qFormat/>
    <w:uiPriority w:val="99"/>
    <w:rPr>
      <w:rFonts w:ascii="Calibri" w:hAnsi="Calibri" w:eastAsia="宋体" w:cs="Times New Roman"/>
      <w:sz w:val="21"/>
      <w:lang w:val="en-US" w:eastAsia="zh-CN" w:bidi="ar-SA"/>
    </w:rPr>
  </w:style>
  <w:style w:type="paragraph" w:customStyle="1" w:styleId="284">
    <w:name w:val="正文_0"/>
    <w:unhideWhenUsed/>
    <w:qFormat/>
    <w:uiPriority w:val="0"/>
    <w:rPr>
      <w:rFonts w:hint="eastAsia" w:ascii="Times New Roman" w:hAnsi="Times New Roman" w:eastAsia="宋体" w:cs="Times New Roman"/>
      <w:sz w:val="21"/>
      <w:lang w:val="en-US" w:eastAsia="zh-CN" w:bidi="ar-SA"/>
    </w:rPr>
  </w:style>
  <w:style w:type="character" w:customStyle="1" w:styleId="285">
    <w:name w:val="标题 2 字符1"/>
    <w:basedOn w:val="51"/>
    <w:link w:val="6"/>
    <w:qFormat/>
    <w:uiPriority w:val="99"/>
    <w:rPr>
      <w:rFonts w:ascii="Cambria" w:hAnsi="Cambria"/>
      <w:b/>
      <w:bCs/>
      <w:sz w:val="32"/>
      <w:szCs w:val="32"/>
    </w:rPr>
  </w:style>
  <w:style w:type="character" w:customStyle="1" w:styleId="286">
    <w:name w:val="列表段落 字符1"/>
    <w:link w:val="115"/>
    <w:qFormat/>
    <w:uiPriority w:val="0"/>
    <w:rPr>
      <w:sz w:val="21"/>
      <w:szCs w:val="24"/>
    </w:rPr>
  </w:style>
  <w:style w:type="paragraph" w:customStyle="1" w:styleId="287">
    <w:name w:val="xc正文"/>
    <w:basedOn w:val="1"/>
    <w:qFormat/>
    <w:uiPriority w:val="0"/>
    <w:pPr>
      <w:spacing w:line="360" w:lineRule="auto"/>
      <w:ind w:firstLine="200"/>
    </w:pPr>
    <w:rPr>
      <w:rFonts w:ascii="Calibri" w:hAnsi="Calibri" w:eastAsia="仿宋_GB2312"/>
      <w:sz w:val="24"/>
      <w:lang w:val="zh-CN"/>
    </w:rPr>
  </w:style>
  <w:style w:type="character" w:customStyle="1" w:styleId="288">
    <w:name w:val="页眉 字符1"/>
    <w:basedOn w:val="51"/>
    <w:link w:val="37"/>
    <w:qFormat/>
    <w:uiPriority w:val="99"/>
    <w:rPr>
      <w:sz w:val="18"/>
      <w:szCs w:val="18"/>
    </w:rPr>
  </w:style>
  <w:style w:type="character" w:customStyle="1" w:styleId="289">
    <w:name w:val="页脚 字符1"/>
    <w:basedOn w:val="51"/>
    <w:link w:val="36"/>
    <w:qFormat/>
    <w:uiPriority w:val="99"/>
    <w:rPr>
      <w:sz w:val="18"/>
      <w:szCs w:val="18"/>
    </w:rPr>
  </w:style>
  <w:style w:type="character" w:customStyle="1" w:styleId="290">
    <w:name w:val="列表段落 字符"/>
    <w:link w:val="291"/>
    <w:qFormat/>
    <w:uiPriority w:val="0"/>
    <w:rPr>
      <w:sz w:val="21"/>
      <w:szCs w:val="24"/>
      <w:lang w:val="en-US" w:eastAsia="zh-CN"/>
    </w:rPr>
  </w:style>
  <w:style w:type="paragraph" w:customStyle="1" w:styleId="291">
    <w:name w:val="_Style 34"/>
    <w:basedOn w:val="1"/>
    <w:next w:val="115"/>
    <w:link w:val="290"/>
    <w:qFormat/>
    <w:uiPriority w:val="0"/>
    <w:pPr>
      <w:spacing w:line="274" w:lineRule="auto"/>
      <w:ind w:firstLine="420"/>
    </w:pPr>
  </w:style>
  <w:style w:type="character" w:customStyle="1" w:styleId="292">
    <w:name w:val="标题 3 字符1"/>
    <w:basedOn w:val="51"/>
    <w:link w:val="7"/>
    <w:qFormat/>
    <w:uiPriority w:val="9"/>
    <w:rPr>
      <w:b/>
      <w:bCs/>
      <w:sz w:val="32"/>
      <w:szCs w:val="32"/>
    </w:rPr>
  </w:style>
  <w:style w:type="character" w:customStyle="1" w:styleId="293">
    <w:name w:val="标题 1 字符1"/>
    <w:basedOn w:val="51"/>
    <w:link w:val="5"/>
    <w:qFormat/>
    <w:uiPriority w:val="99"/>
    <w:rPr>
      <w:rFonts w:eastAsia="方正仿宋_GBK"/>
      <w:b/>
      <w:sz w:val="44"/>
    </w:rPr>
  </w:style>
  <w:style w:type="character" w:customStyle="1" w:styleId="294">
    <w:name w:val="标题 4 字符1"/>
    <w:basedOn w:val="51"/>
    <w:link w:val="8"/>
    <w:qFormat/>
    <w:uiPriority w:val="9"/>
    <w:rPr>
      <w:rFonts w:ascii="Cambria" w:hAnsi="Cambria"/>
      <w:b/>
      <w:bCs/>
      <w:sz w:val="28"/>
      <w:szCs w:val="28"/>
    </w:rPr>
  </w:style>
  <w:style w:type="character" w:customStyle="1" w:styleId="295">
    <w:name w:val="标题 5 字符1"/>
    <w:basedOn w:val="51"/>
    <w:link w:val="9"/>
    <w:qFormat/>
    <w:uiPriority w:val="99"/>
    <w:rPr>
      <w:b/>
      <w:bCs/>
      <w:sz w:val="28"/>
      <w:szCs w:val="28"/>
    </w:rPr>
  </w:style>
  <w:style w:type="character" w:customStyle="1" w:styleId="296">
    <w:name w:val="标题 6 字符1"/>
    <w:basedOn w:val="51"/>
    <w:link w:val="10"/>
    <w:qFormat/>
    <w:uiPriority w:val="0"/>
    <w:rPr>
      <w:rFonts w:ascii="Arial" w:hAnsi="Arial" w:eastAsia="黑体"/>
      <w:b/>
      <w:bCs/>
      <w:sz w:val="24"/>
      <w:szCs w:val="24"/>
      <w:lang w:val="zh-CN" w:eastAsia="zh-CN"/>
    </w:rPr>
  </w:style>
  <w:style w:type="character" w:customStyle="1" w:styleId="297">
    <w:name w:val="标题 7 字符1"/>
    <w:basedOn w:val="51"/>
    <w:link w:val="11"/>
    <w:qFormat/>
    <w:uiPriority w:val="0"/>
    <w:rPr>
      <w:b/>
      <w:bCs/>
      <w:sz w:val="24"/>
      <w:szCs w:val="24"/>
      <w:lang w:val="zh-CN" w:eastAsia="zh-CN"/>
    </w:rPr>
  </w:style>
  <w:style w:type="character" w:customStyle="1" w:styleId="298">
    <w:name w:val="标题 8 字符1"/>
    <w:basedOn w:val="51"/>
    <w:link w:val="12"/>
    <w:qFormat/>
    <w:uiPriority w:val="0"/>
    <w:rPr>
      <w:rFonts w:ascii="Arial" w:hAnsi="Arial" w:eastAsia="黑体"/>
      <w:sz w:val="24"/>
      <w:szCs w:val="24"/>
      <w:lang w:val="zh-CN" w:eastAsia="zh-CN"/>
    </w:rPr>
  </w:style>
  <w:style w:type="character" w:customStyle="1" w:styleId="299">
    <w:name w:val="标题 9 字符1"/>
    <w:basedOn w:val="51"/>
    <w:link w:val="13"/>
    <w:qFormat/>
    <w:uiPriority w:val="0"/>
    <w:rPr>
      <w:rFonts w:ascii="Arial" w:hAnsi="Arial" w:eastAsia="黑体"/>
      <w:sz w:val="21"/>
      <w:szCs w:val="21"/>
      <w:lang w:val="zh-CN" w:eastAsia="zh-CN"/>
    </w:rPr>
  </w:style>
  <w:style w:type="paragraph" w:customStyle="1" w:styleId="300">
    <w:name w:val="_Style 243"/>
    <w:unhideWhenUsed/>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301">
    <w:name w:val="正文文本 字符"/>
    <w:qFormat/>
    <w:uiPriority w:val="0"/>
    <w:rPr>
      <w:sz w:val="20"/>
    </w:rPr>
  </w:style>
  <w:style w:type="character" w:customStyle="1" w:styleId="302">
    <w:name w:val="font71"/>
    <w:qFormat/>
    <w:uiPriority w:val="99"/>
    <w:rPr>
      <w:rFonts w:ascii="仿宋_GB2312" w:eastAsia="仿宋_GB2312" w:cs="仿宋_GB2312"/>
      <w:color w:val="000000"/>
      <w:sz w:val="24"/>
      <w:szCs w:val="24"/>
      <w:u w:val="none"/>
    </w:rPr>
  </w:style>
  <w:style w:type="character" w:customStyle="1" w:styleId="303">
    <w:name w:val="正文文本 (2)_"/>
    <w:link w:val="304"/>
    <w:qFormat/>
    <w:uiPriority w:val="0"/>
    <w:rPr>
      <w:rFonts w:ascii="MingLiU" w:hAnsi="MingLiU" w:eastAsia="MingLiU"/>
      <w:spacing w:val="10"/>
      <w:sz w:val="18"/>
      <w:szCs w:val="18"/>
      <w:shd w:val="clear" w:color="auto" w:fill="FFFFFF"/>
    </w:rPr>
  </w:style>
  <w:style w:type="paragraph" w:customStyle="1" w:styleId="304">
    <w:name w:val="正文文本 (2)11"/>
    <w:basedOn w:val="1"/>
    <w:link w:val="303"/>
    <w:qFormat/>
    <w:uiPriority w:val="0"/>
    <w:pPr>
      <w:shd w:val="clear" w:color="auto" w:fill="FFFFFF"/>
      <w:spacing w:after="1620" w:line="216" w:lineRule="exact"/>
      <w:jc w:val="left"/>
    </w:pPr>
    <w:rPr>
      <w:rFonts w:ascii="MingLiU" w:hAnsi="MingLiU" w:eastAsia="MingLiU"/>
      <w:spacing w:val="10"/>
      <w:sz w:val="18"/>
      <w:szCs w:val="18"/>
      <w:shd w:val="clear" w:color="auto" w:fill="FFFFFF"/>
    </w:rPr>
  </w:style>
  <w:style w:type="character" w:customStyle="1" w:styleId="305">
    <w:name w:val="标题 3 字符"/>
    <w:qFormat/>
    <w:uiPriority w:val="0"/>
    <w:rPr>
      <w:b/>
      <w:sz w:val="20"/>
    </w:rPr>
  </w:style>
  <w:style w:type="character" w:customStyle="1" w:styleId="306">
    <w:name w:val="二级条标题 Char"/>
    <w:link w:val="307"/>
    <w:qFormat/>
    <w:uiPriority w:val="0"/>
    <w:rPr>
      <w:rFonts w:ascii="黑体" w:hAnsi="宋体" w:eastAsia="黑体"/>
    </w:rPr>
  </w:style>
  <w:style w:type="paragraph" w:customStyle="1" w:styleId="307">
    <w:name w:val="二级条标题"/>
    <w:basedOn w:val="62"/>
    <w:next w:val="64"/>
    <w:link w:val="306"/>
    <w:qFormat/>
    <w:uiPriority w:val="0"/>
    <w:pPr>
      <w:outlineLvl w:val="3"/>
    </w:pPr>
  </w:style>
  <w:style w:type="character" w:customStyle="1" w:styleId="308">
    <w:name w:val="font111"/>
    <w:qFormat/>
    <w:uiPriority w:val="99"/>
    <w:rPr>
      <w:rFonts w:ascii="Verdana" w:hAnsi="Verdana" w:cs="Verdana"/>
      <w:color w:val="333333"/>
      <w:sz w:val="20"/>
      <w:szCs w:val="20"/>
      <w:u w:val="none"/>
    </w:rPr>
  </w:style>
  <w:style w:type="character" w:customStyle="1" w:styleId="309">
    <w:name w:val="标题 B Char"/>
    <w:link w:val="310"/>
    <w:qFormat/>
    <w:uiPriority w:val="0"/>
    <w:rPr>
      <w:rFonts w:ascii="Arial Rounded MT Bold" w:hAnsi="Arial Rounded MT Bold" w:eastAsia="黑体"/>
      <w:spacing w:val="8"/>
      <w:sz w:val="32"/>
    </w:rPr>
  </w:style>
  <w:style w:type="paragraph" w:customStyle="1" w:styleId="310">
    <w:name w:val="标题 B"/>
    <w:basedOn w:val="6"/>
    <w:link w:val="309"/>
    <w:qFormat/>
    <w:uiPriority w:val="0"/>
    <w:pPr>
      <w:keepLines w:val="0"/>
      <w:spacing w:before="840" w:after="240" w:line="400" w:lineRule="exact"/>
      <w:ind w:firstLine="0"/>
      <w:outlineLvl w:val="9"/>
    </w:pPr>
    <w:rPr>
      <w:rFonts w:ascii="Arial Rounded MT Bold" w:hAnsi="Arial Rounded MT Bold" w:eastAsia="黑体"/>
      <w:b w:val="0"/>
      <w:bCs w:val="0"/>
      <w:spacing w:val="8"/>
      <w:sz w:val="20"/>
      <w:szCs w:val="20"/>
    </w:rPr>
  </w:style>
  <w:style w:type="character" w:customStyle="1" w:styleId="311">
    <w:name w:val="纯文本 字符"/>
    <w:qFormat/>
    <w:uiPriority w:val="0"/>
    <w:rPr>
      <w:sz w:val="20"/>
    </w:rPr>
  </w:style>
  <w:style w:type="character" w:customStyle="1" w:styleId="312">
    <w:name w:val="Item List Char"/>
    <w:link w:val="313"/>
    <w:qFormat/>
    <w:uiPriority w:val="0"/>
    <w:rPr>
      <w:rFonts w:eastAsia="Times New Roman" w:cs="Arial"/>
      <w:sz w:val="21"/>
      <w:szCs w:val="21"/>
    </w:rPr>
  </w:style>
  <w:style w:type="paragraph" w:customStyle="1" w:styleId="313">
    <w:name w:val="Item List"/>
    <w:link w:val="312"/>
    <w:qFormat/>
    <w:uiPriority w:val="0"/>
    <w:pPr>
      <w:tabs>
        <w:tab w:val="left" w:pos="810"/>
        <w:tab w:val="left" w:pos="2126"/>
      </w:tabs>
      <w:spacing w:before="80" w:after="80" w:line="240" w:lineRule="atLeast"/>
      <w:ind w:left="810" w:hanging="330"/>
    </w:pPr>
    <w:rPr>
      <w:rFonts w:ascii="Times New Roman" w:hAnsi="Times New Roman" w:eastAsia="Times New Roman" w:cs="Arial"/>
      <w:sz w:val="21"/>
      <w:szCs w:val="21"/>
      <w:lang w:val="en-US" w:eastAsia="zh-CN" w:bidi="ar-SA"/>
    </w:rPr>
  </w:style>
  <w:style w:type="character" w:customStyle="1" w:styleId="314">
    <w:name w:val="font131"/>
    <w:qFormat/>
    <w:uiPriority w:val="99"/>
    <w:rPr>
      <w:rFonts w:ascii="Tahoma" w:hAnsi="Tahoma" w:cs="Tahoma"/>
      <w:color w:val="333333"/>
      <w:sz w:val="20"/>
      <w:szCs w:val="20"/>
      <w:u w:val="none"/>
    </w:rPr>
  </w:style>
  <w:style w:type="character" w:customStyle="1" w:styleId="315">
    <w:name w:val="正文文本缩进 2 字符"/>
    <w:link w:val="33"/>
    <w:qFormat/>
    <w:uiPriority w:val="99"/>
    <w:rPr>
      <w:rFonts w:ascii="Arial" w:hAnsi="Arial" w:eastAsia="仿宋_GB2312"/>
      <w:sz w:val="32"/>
      <w:szCs w:val="32"/>
      <w:lang w:val="en-US" w:eastAsia="zh-CN"/>
    </w:rPr>
  </w:style>
  <w:style w:type="character" w:customStyle="1" w:styleId="316">
    <w:name w:val="批注主题 字符"/>
    <w:qFormat/>
    <w:uiPriority w:val="0"/>
    <w:rPr>
      <w:b/>
      <w:sz w:val="20"/>
    </w:rPr>
  </w:style>
  <w:style w:type="character" w:customStyle="1" w:styleId="317">
    <w:name w:val="正文文本缩进 3 字符1"/>
    <w:link w:val="43"/>
    <w:qFormat/>
    <w:uiPriority w:val="0"/>
    <w:rPr>
      <w:rFonts w:ascii="Arial" w:hAnsi="Arial" w:eastAsia="仿宋_GB2312"/>
      <w:color w:val="FFFF00"/>
      <w:sz w:val="32"/>
      <w:szCs w:val="32"/>
    </w:rPr>
  </w:style>
  <w:style w:type="character" w:customStyle="1" w:styleId="318">
    <w:name w:val="font21"/>
    <w:qFormat/>
    <w:uiPriority w:val="99"/>
    <w:rPr>
      <w:rFonts w:ascii="仿宋_GB2312" w:eastAsia="仿宋_GB2312" w:cs="仿宋_GB2312"/>
      <w:b/>
      <w:color w:val="000000"/>
      <w:sz w:val="24"/>
      <w:szCs w:val="24"/>
      <w:u w:val="none"/>
    </w:rPr>
  </w:style>
  <w:style w:type="character" w:customStyle="1" w:styleId="319">
    <w:name w:val="标题 字符"/>
    <w:qFormat/>
    <w:uiPriority w:val="0"/>
    <w:rPr>
      <w:sz w:val="20"/>
    </w:rPr>
  </w:style>
  <w:style w:type="character" w:customStyle="1" w:styleId="320">
    <w:name w:val="曹阿龙 Char"/>
    <w:link w:val="321"/>
    <w:qFormat/>
    <w:uiPriority w:val="0"/>
    <w:rPr>
      <w:rFonts w:ascii="宋体" w:hAnsi="宋体" w:eastAsia="幼圆"/>
      <w:b/>
      <w:bCs/>
      <w:sz w:val="28"/>
      <w:szCs w:val="28"/>
    </w:rPr>
  </w:style>
  <w:style w:type="paragraph" w:customStyle="1" w:styleId="321">
    <w:name w:val="曹阿龙"/>
    <w:basedOn w:val="6"/>
    <w:link w:val="320"/>
    <w:qFormat/>
    <w:uiPriority w:val="0"/>
    <w:pPr>
      <w:spacing w:line="400" w:lineRule="exact"/>
      <w:ind w:firstLine="561"/>
      <w:jc w:val="left"/>
    </w:pPr>
    <w:rPr>
      <w:rFonts w:ascii="宋体" w:hAnsi="宋体" w:eastAsia="幼圆"/>
      <w:sz w:val="28"/>
      <w:szCs w:val="28"/>
    </w:rPr>
  </w:style>
  <w:style w:type="character" w:customStyle="1" w:styleId="322">
    <w:name w:val="日期 字符"/>
    <w:qFormat/>
    <w:uiPriority w:val="0"/>
    <w:rPr>
      <w:sz w:val="20"/>
    </w:rPr>
  </w:style>
  <w:style w:type="character" w:customStyle="1" w:styleId="323">
    <w:name w:val="正文文本 2 字符1"/>
    <w:link w:val="47"/>
    <w:qFormat/>
    <w:uiPriority w:val="0"/>
    <w:rPr>
      <w:rFonts w:ascii="楷体_GB2312" w:eastAsia="楷体_GB2312"/>
      <w:sz w:val="28"/>
      <w:szCs w:val="28"/>
    </w:rPr>
  </w:style>
  <w:style w:type="character" w:customStyle="1" w:styleId="324">
    <w:name w:val="尾注文本 字符"/>
    <w:qFormat/>
    <w:uiPriority w:val="0"/>
    <w:rPr>
      <w:sz w:val="20"/>
    </w:rPr>
  </w:style>
  <w:style w:type="character" w:customStyle="1" w:styleId="325">
    <w:name w:val="彩色列表 - 强调文字颜色 1 Char1"/>
    <w:link w:val="326"/>
    <w:qFormat/>
    <w:uiPriority w:val="0"/>
    <w:rPr>
      <w:rFonts w:ascii="Calibri" w:hAnsi="Calibri"/>
      <w:sz w:val="24"/>
      <w:szCs w:val="24"/>
      <w:lang w:eastAsia="en-US" w:bidi="en-US"/>
    </w:rPr>
  </w:style>
  <w:style w:type="paragraph" w:customStyle="1" w:styleId="326">
    <w:name w:val="彩色列表 - 强调文字颜色 11"/>
    <w:basedOn w:val="1"/>
    <w:link w:val="325"/>
    <w:qFormat/>
    <w:uiPriority w:val="0"/>
    <w:pPr>
      <w:widowControl/>
      <w:ind w:left="720"/>
      <w:contextualSpacing/>
      <w:jc w:val="left"/>
    </w:pPr>
    <w:rPr>
      <w:rFonts w:ascii="Calibri" w:hAnsi="Calibri"/>
      <w:sz w:val="24"/>
      <w:lang w:eastAsia="en-US" w:bidi="en-US"/>
    </w:rPr>
  </w:style>
  <w:style w:type="character" w:customStyle="1" w:styleId="327">
    <w:name w:val="书籍标题1"/>
    <w:qFormat/>
    <w:uiPriority w:val="0"/>
    <w:rPr>
      <w:b/>
      <w:i/>
      <w:sz w:val="21"/>
    </w:rPr>
  </w:style>
  <w:style w:type="character" w:customStyle="1" w:styleId="328">
    <w:name w:val="表头 Char"/>
    <w:link w:val="329"/>
    <w:qFormat/>
    <w:uiPriority w:val="0"/>
    <w:rPr>
      <w:rFonts w:eastAsia="黑体"/>
      <w:spacing w:val="-10"/>
    </w:rPr>
  </w:style>
  <w:style w:type="paragraph" w:customStyle="1" w:styleId="329">
    <w:name w:val="表头"/>
    <w:basedOn w:val="1"/>
    <w:link w:val="328"/>
    <w:qFormat/>
    <w:uiPriority w:val="0"/>
    <w:pPr>
      <w:spacing w:line="320" w:lineRule="atLeast"/>
      <w:jc w:val="center"/>
    </w:pPr>
    <w:rPr>
      <w:rFonts w:eastAsia="黑体"/>
      <w:spacing w:val="-10"/>
      <w:sz w:val="20"/>
      <w:szCs w:val="20"/>
    </w:rPr>
  </w:style>
  <w:style w:type="character" w:customStyle="1" w:styleId="330">
    <w:name w:val="文档结构图 字符"/>
    <w:semiHidden/>
    <w:qFormat/>
    <w:uiPriority w:val="0"/>
    <w:rPr>
      <w:sz w:val="20"/>
    </w:rPr>
  </w:style>
  <w:style w:type="character" w:customStyle="1" w:styleId="331">
    <w:name w:val="12black1"/>
    <w:qFormat/>
    <w:uiPriority w:val="0"/>
    <w:rPr>
      <w:color w:val="000000"/>
      <w:sz w:val="24"/>
      <w:szCs w:val="24"/>
      <w:u w:val="none"/>
    </w:rPr>
  </w:style>
  <w:style w:type="character" w:customStyle="1" w:styleId="332">
    <w:name w:val="标题 9 字符"/>
    <w:qFormat/>
    <w:uiPriority w:val="0"/>
    <w:rPr>
      <w:sz w:val="20"/>
    </w:rPr>
  </w:style>
  <w:style w:type="character" w:customStyle="1" w:styleId="333">
    <w:name w:val="普通正文 Char"/>
    <w:link w:val="334"/>
    <w:qFormat/>
    <w:uiPriority w:val="0"/>
    <w:rPr>
      <w:rFonts w:ascii="Arial" w:hAnsi="Arial"/>
      <w:sz w:val="24"/>
      <w:szCs w:val="24"/>
    </w:rPr>
  </w:style>
  <w:style w:type="paragraph" w:customStyle="1" w:styleId="334">
    <w:name w:val="普通正文"/>
    <w:basedOn w:val="1"/>
    <w:link w:val="333"/>
    <w:qFormat/>
    <w:uiPriority w:val="0"/>
    <w:pPr>
      <w:spacing w:before="120" w:after="120" w:line="360" w:lineRule="auto"/>
      <w:ind w:firstLine="480"/>
      <w:jc w:val="left"/>
    </w:pPr>
    <w:rPr>
      <w:rFonts w:ascii="Arial" w:hAnsi="Arial"/>
      <w:sz w:val="24"/>
    </w:rPr>
  </w:style>
  <w:style w:type="character" w:customStyle="1" w:styleId="335">
    <w:name w:val="fix161 Char"/>
    <w:link w:val="336"/>
    <w:qFormat/>
    <w:uiPriority w:val="0"/>
    <w:rPr>
      <w:rFonts w:ascii="宋体" w:hAnsi="宋体"/>
      <w:sz w:val="24"/>
      <w:szCs w:val="24"/>
    </w:rPr>
  </w:style>
  <w:style w:type="paragraph" w:customStyle="1" w:styleId="336">
    <w:name w:val="fix161"/>
    <w:basedOn w:val="1"/>
    <w:link w:val="335"/>
    <w:qFormat/>
    <w:uiPriority w:val="0"/>
    <w:pPr>
      <w:widowControl/>
      <w:spacing w:before="100" w:beforeAutospacing="1" w:after="100" w:afterAutospacing="1"/>
      <w:jc w:val="left"/>
    </w:pPr>
    <w:rPr>
      <w:rFonts w:ascii="宋体" w:hAnsi="宋体"/>
      <w:sz w:val="24"/>
    </w:rPr>
  </w:style>
  <w:style w:type="character" w:customStyle="1" w:styleId="337">
    <w:name w:val="Char Char17"/>
    <w:qFormat/>
    <w:uiPriority w:val="0"/>
    <w:rPr>
      <w:rFonts w:eastAsia="宋体"/>
      <w:sz w:val="18"/>
      <w:szCs w:val="18"/>
      <w:lang w:bidi="ar-SA"/>
    </w:rPr>
  </w:style>
  <w:style w:type="character" w:customStyle="1" w:styleId="338">
    <w:name w:val="日期 字符1"/>
    <w:link w:val="32"/>
    <w:qFormat/>
    <w:uiPriority w:val="99"/>
    <w:rPr>
      <w:sz w:val="24"/>
      <w:szCs w:val="24"/>
    </w:rPr>
  </w:style>
  <w:style w:type="character" w:customStyle="1" w:styleId="339">
    <w:name w:val="DeltaView Insertion"/>
    <w:qFormat/>
    <w:uiPriority w:val="0"/>
    <w:rPr>
      <w:color w:val="0000FF"/>
      <w:spacing w:val="0"/>
      <w:u w:val="single"/>
    </w:rPr>
  </w:style>
  <w:style w:type="character" w:customStyle="1" w:styleId="340">
    <w:name w:val="apple-converted-space"/>
    <w:basedOn w:val="51"/>
    <w:qFormat/>
    <w:uiPriority w:val="0"/>
  </w:style>
  <w:style w:type="character" w:customStyle="1" w:styleId="341">
    <w:name w:val="正文1 Char"/>
    <w:qFormat/>
    <w:uiPriority w:val="0"/>
    <w:rPr>
      <w:rFonts w:ascii="宋体" w:hAnsi="宋体" w:eastAsia="仿宋_GB2312"/>
      <w:sz w:val="24"/>
      <w:szCs w:val="24"/>
    </w:rPr>
  </w:style>
  <w:style w:type="character" w:customStyle="1" w:styleId="342">
    <w:name w:val="正文文本 3 字符1"/>
    <w:link w:val="25"/>
    <w:qFormat/>
    <w:uiPriority w:val="0"/>
    <w:rPr>
      <w:rFonts w:ascii="仿宋_GB2312" w:hAnsi="Arial" w:eastAsia="仿宋_GB2312"/>
      <w:sz w:val="32"/>
      <w:szCs w:val="32"/>
    </w:rPr>
  </w:style>
  <w:style w:type="character" w:customStyle="1" w:styleId="343">
    <w:name w:val="一级条标题 Char"/>
    <w:link w:val="62"/>
    <w:qFormat/>
    <w:uiPriority w:val="0"/>
    <w:rPr>
      <w:rFonts w:ascii="黑体" w:hAnsi="宋体" w:eastAsia="黑体"/>
    </w:rPr>
  </w:style>
  <w:style w:type="character" w:customStyle="1" w:styleId="344">
    <w:name w:val="Char Char33"/>
    <w:qFormat/>
    <w:uiPriority w:val="0"/>
    <w:rPr>
      <w:rFonts w:eastAsia="方正仿宋_GBK"/>
      <w:b/>
      <w:sz w:val="44"/>
      <w:lang w:val="en-US" w:eastAsia="zh-CN" w:bidi="ar-SA"/>
    </w:rPr>
  </w:style>
  <w:style w:type="character" w:customStyle="1" w:styleId="345">
    <w:name w:val="正文文本首行缩进 2 字符"/>
    <w:link w:val="2"/>
    <w:qFormat/>
    <w:uiPriority w:val="99"/>
    <w:rPr>
      <w:rFonts w:ascii="宋体" w:hAnsi="宋体"/>
      <w:sz w:val="21"/>
      <w:szCs w:val="24"/>
      <w:lang w:val="en-US" w:eastAsia="zh-CN"/>
    </w:rPr>
  </w:style>
  <w:style w:type="character" w:customStyle="1" w:styleId="346">
    <w:name w:val="批注框文本 字符"/>
    <w:semiHidden/>
    <w:qFormat/>
    <w:uiPriority w:val="0"/>
    <w:rPr>
      <w:sz w:val="20"/>
    </w:rPr>
  </w:style>
  <w:style w:type="character" w:customStyle="1" w:styleId="347">
    <w:name w:val="HTML 预设格式 字符"/>
    <w:qFormat/>
    <w:uiPriority w:val="0"/>
    <w:rPr>
      <w:sz w:val="20"/>
    </w:rPr>
  </w:style>
  <w:style w:type="character" w:customStyle="1" w:styleId="348">
    <w:name w:val="美标题3 Char Char"/>
    <w:link w:val="349"/>
    <w:qFormat/>
    <w:uiPriority w:val="0"/>
    <w:rPr>
      <w:rFonts w:ascii="宋体" w:hAnsi="宋体"/>
      <w:b/>
    </w:rPr>
  </w:style>
  <w:style w:type="paragraph" w:customStyle="1" w:styleId="349">
    <w:name w:val="美标题3"/>
    <w:basedOn w:val="1"/>
    <w:link w:val="348"/>
    <w:qFormat/>
    <w:uiPriority w:val="0"/>
    <w:pPr>
      <w:spacing w:line="360" w:lineRule="auto"/>
    </w:pPr>
    <w:rPr>
      <w:rFonts w:ascii="宋体" w:hAnsi="宋体"/>
      <w:b/>
      <w:sz w:val="20"/>
      <w:szCs w:val="20"/>
    </w:rPr>
  </w:style>
  <w:style w:type="character" w:customStyle="1" w:styleId="350">
    <w:name w:val="font11"/>
    <w:qFormat/>
    <w:uiPriority w:val="0"/>
    <w:rPr>
      <w:rFonts w:ascii="Times New Roman" w:hAnsi="Times New Roman" w:cs="Times New Roman"/>
      <w:color w:val="000000"/>
      <w:sz w:val="24"/>
      <w:szCs w:val="24"/>
      <w:u w:val="none"/>
    </w:rPr>
  </w:style>
  <w:style w:type="character" w:customStyle="1" w:styleId="351">
    <w:name w:val="列表 3 字符1"/>
    <w:link w:val="14"/>
    <w:qFormat/>
    <w:uiPriority w:val="0"/>
    <w:rPr>
      <w:bCs/>
      <w:sz w:val="24"/>
      <w:szCs w:val="32"/>
    </w:rPr>
  </w:style>
  <w:style w:type="character" w:customStyle="1" w:styleId="352">
    <w:name w:val="不明显强调1"/>
    <w:qFormat/>
    <w:uiPriority w:val="0"/>
    <w:rPr>
      <w:i/>
      <w:color w:val="auto"/>
      <w:sz w:val="21"/>
    </w:rPr>
  </w:style>
  <w:style w:type="character" w:customStyle="1" w:styleId="353">
    <w:name w:val="不明显参考1"/>
    <w:qFormat/>
    <w:uiPriority w:val="0"/>
    <w:rPr>
      <w:smallCaps/>
      <w:color w:val="C0504D"/>
      <w:u w:val="single"/>
    </w:rPr>
  </w:style>
  <w:style w:type="character" w:customStyle="1" w:styleId="354">
    <w:name w:val="标题 8 字符"/>
    <w:qFormat/>
    <w:uiPriority w:val="0"/>
    <w:rPr>
      <w:sz w:val="20"/>
    </w:rPr>
  </w:style>
  <w:style w:type="character" w:customStyle="1" w:styleId="355">
    <w:name w:val="缺省文本 Char"/>
    <w:link w:val="356"/>
    <w:qFormat/>
    <w:uiPriority w:val="0"/>
    <w:rPr>
      <w:rFonts w:ascii="Arial" w:hAnsi="Arial"/>
      <w:sz w:val="24"/>
      <w:szCs w:val="21"/>
    </w:rPr>
  </w:style>
  <w:style w:type="paragraph" w:customStyle="1" w:styleId="356">
    <w:name w:val="缺省文本"/>
    <w:basedOn w:val="1"/>
    <w:link w:val="355"/>
    <w:qFormat/>
    <w:uiPriority w:val="0"/>
    <w:pPr>
      <w:spacing w:line="360" w:lineRule="auto"/>
      <w:jc w:val="left"/>
    </w:pPr>
    <w:rPr>
      <w:rFonts w:ascii="Arial" w:hAnsi="Arial"/>
      <w:sz w:val="24"/>
      <w:szCs w:val="21"/>
    </w:rPr>
  </w:style>
  <w:style w:type="character" w:customStyle="1" w:styleId="357">
    <w:name w:val="正文文本首行缩进 字符"/>
    <w:qFormat/>
    <w:uiPriority w:val="0"/>
    <w:rPr>
      <w:sz w:val="20"/>
    </w:rPr>
  </w:style>
  <w:style w:type="character" w:customStyle="1" w:styleId="358">
    <w:name w:val="表蕊 Char1"/>
    <w:link w:val="359"/>
    <w:qFormat/>
    <w:uiPriority w:val="0"/>
    <w:rPr>
      <w:rFonts w:eastAsia="楷体_GB2312"/>
      <w:spacing w:val="-10"/>
    </w:rPr>
  </w:style>
  <w:style w:type="paragraph" w:customStyle="1" w:styleId="359">
    <w:name w:val="表蕊"/>
    <w:basedOn w:val="1"/>
    <w:link w:val="358"/>
    <w:qFormat/>
    <w:uiPriority w:val="0"/>
    <w:pPr>
      <w:spacing w:line="320" w:lineRule="atLeast"/>
      <w:jc w:val="left"/>
    </w:pPr>
    <w:rPr>
      <w:rFonts w:eastAsia="楷体_GB2312"/>
      <w:spacing w:val="-10"/>
      <w:sz w:val="20"/>
      <w:szCs w:val="20"/>
    </w:rPr>
  </w:style>
  <w:style w:type="character" w:customStyle="1" w:styleId="360">
    <w:name w:val="正文文本缩进 字符"/>
    <w:qFormat/>
    <w:uiPriority w:val="0"/>
    <w:rPr>
      <w:sz w:val="20"/>
    </w:rPr>
  </w:style>
  <w:style w:type="character" w:customStyle="1" w:styleId="361">
    <w:name w:val="文档结构图 字符1"/>
    <w:link w:val="24"/>
    <w:qFormat/>
    <w:uiPriority w:val="99"/>
    <w:rPr>
      <w:rFonts w:ascii="宋体"/>
      <w:sz w:val="18"/>
      <w:szCs w:val="18"/>
    </w:rPr>
  </w:style>
  <w:style w:type="character" w:customStyle="1" w:styleId="362">
    <w:name w:val="批注文字 字符"/>
    <w:qFormat/>
    <w:uiPriority w:val="0"/>
    <w:rPr>
      <w:sz w:val="20"/>
    </w:rPr>
  </w:style>
  <w:style w:type="character" w:customStyle="1" w:styleId="363">
    <w:name w:val="Table Heading Char"/>
    <w:link w:val="364"/>
    <w:qFormat/>
    <w:uiPriority w:val="0"/>
    <w:rPr>
      <w:rFonts w:ascii="Arial" w:hAnsi="Arial" w:eastAsia="黑体"/>
      <w:sz w:val="18"/>
      <w:szCs w:val="22"/>
      <w:lang w:eastAsia="en-US"/>
    </w:rPr>
  </w:style>
  <w:style w:type="paragraph" w:customStyle="1" w:styleId="364">
    <w:name w:val="Table Heading"/>
    <w:link w:val="363"/>
    <w:qFormat/>
    <w:uiPriority w:val="0"/>
    <w:pPr>
      <w:keepNext/>
      <w:widowControl w:val="0"/>
      <w:spacing w:line="360" w:lineRule="atLeast"/>
      <w:jc w:val="center"/>
    </w:pPr>
    <w:rPr>
      <w:rFonts w:ascii="Arial" w:hAnsi="Arial" w:eastAsia="黑体" w:cs="Times New Roman"/>
      <w:sz w:val="18"/>
      <w:szCs w:val="22"/>
      <w:lang w:val="en-US" w:eastAsia="en-US" w:bidi="ar-SA"/>
    </w:rPr>
  </w:style>
  <w:style w:type="character" w:customStyle="1" w:styleId="365">
    <w:name w:val="明显参考1"/>
    <w:qFormat/>
    <w:uiPriority w:val="0"/>
    <w:rPr>
      <w:b/>
      <w:bCs/>
      <w:smallCaps/>
      <w:color w:val="C0504D"/>
      <w:spacing w:val="5"/>
      <w:u w:val="single"/>
    </w:rPr>
  </w:style>
  <w:style w:type="character" w:customStyle="1" w:styleId="366">
    <w:name w:val="Char Char30"/>
    <w:qFormat/>
    <w:uiPriority w:val="0"/>
    <w:rPr>
      <w:rFonts w:eastAsia="宋体"/>
      <w:b/>
      <w:bCs/>
      <w:sz w:val="32"/>
      <w:szCs w:val="32"/>
      <w:lang w:val="en-US" w:eastAsia="zh-CN" w:bidi="ar-SA"/>
    </w:rPr>
  </w:style>
  <w:style w:type="character" w:customStyle="1" w:styleId="367">
    <w:name w:val="标题 6 字符"/>
    <w:qFormat/>
    <w:uiPriority w:val="0"/>
    <w:rPr>
      <w:b/>
      <w:sz w:val="20"/>
    </w:rPr>
  </w:style>
  <w:style w:type="character" w:customStyle="1" w:styleId="368">
    <w:name w:val="正文文本缩进 字符1"/>
    <w:link w:val="3"/>
    <w:qFormat/>
    <w:uiPriority w:val="99"/>
    <w:rPr>
      <w:sz w:val="21"/>
      <w:szCs w:val="24"/>
    </w:rPr>
  </w:style>
  <w:style w:type="character" w:customStyle="1" w:styleId="369">
    <w:name w:val="正文文本缩进 3 字符"/>
    <w:qFormat/>
    <w:uiPriority w:val="0"/>
    <w:rPr>
      <w:color w:val="FFFF00"/>
      <w:sz w:val="20"/>
    </w:rPr>
  </w:style>
  <w:style w:type="character" w:customStyle="1" w:styleId="370">
    <w:name w:val="Table Text Char1"/>
    <w:link w:val="371"/>
    <w:qFormat/>
    <w:uiPriority w:val="0"/>
    <w:rPr>
      <w:rFonts w:ascii="Arial" w:hAnsi="Arial" w:eastAsia="Times New Roman"/>
      <w:sz w:val="18"/>
      <w:szCs w:val="18"/>
    </w:rPr>
  </w:style>
  <w:style w:type="paragraph" w:customStyle="1" w:styleId="371">
    <w:name w:val="Table Text"/>
    <w:link w:val="370"/>
    <w:qFormat/>
    <w:uiPriority w:val="0"/>
    <w:pPr>
      <w:spacing w:before="80" w:after="80"/>
    </w:pPr>
    <w:rPr>
      <w:rFonts w:ascii="Arial" w:hAnsi="Arial" w:eastAsia="Times New Roman" w:cs="Times New Roman"/>
      <w:sz w:val="18"/>
      <w:szCs w:val="18"/>
      <w:lang w:val="en-US" w:eastAsia="zh-CN" w:bidi="ar-SA"/>
    </w:rPr>
  </w:style>
  <w:style w:type="character" w:customStyle="1" w:styleId="372">
    <w:name w:val="首行缩进正文 Char"/>
    <w:link w:val="373"/>
    <w:qFormat/>
    <w:uiPriority w:val="0"/>
    <w:rPr>
      <w:rFonts w:ascii="微软雅黑" w:hAnsi="微软雅黑" w:eastAsia="微软雅黑"/>
      <w:sz w:val="24"/>
      <w:szCs w:val="24"/>
    </w:rPr>
  </w:style>
  <w:style w:type="paragraph" w:customStyle="1" w:styleId="373">
    <w:name w:val="首行缩进正文"/>
    <w:basedOn w:val="1"/>
    <w:link w:val="372"/>
    <w:qFormat/>
    <w:uiPriority w:val="0"/>
    <w:pPr>
      <w:widowControl/>
      <w:spacing w:line="400" w:lineRule="exact"/>
      <w:ind w:firstLine="420"/>
      <w:jc w:val="left"/>
    </w:pPr>
    <w:rPr>
      <w:rFonts w:ascii="微软雅黑" w:hAnsi="微软雅黑" w:eastAsia="微软雅黑"/>
      <w:sz w:val="20"/>
    </w:rPr>
  </w:style>
  <w:style w:type="character" w:customStyle="1" w:styleId="374">
    <w:name w:val="二级目录 Char"/>
    <w:link w:val="375"/>
    <w:qFormat/>
    <w:uiPriority w:val="0"/>
    <w:rPr>
      <w:rFonts w:eastAsia="Times New Roman"/>
      <w:b/>
      <w:sz w:val="30"/>
      <w:szCs w:val="28"/>
    </w:rPr>
  </w:style>
  <w:style w:type="paragraph" w:customStyle="1" w:styleId="375">
    <w:name w:val="二级目录"/>
    <w:next w:val="1"/>
    <w:link w:val="374"/>
    <w:qFormat/>
    <w:uiPriority w:val="0"/>
    <w:pPr>
      <w:tabs>
        <w:tab w:val="left" w:pos="907"/>
        <w:tab w:val="left" w:pos="1145"/>
      </w:tabs>
      <w:ind w:left="907" w:hanging="907"/>
      <w:outlineLvl w:val="1"/>
    </w:pPr>
    <w:rPr>
      <w:rFonts w:ascii="Times New Roman" w:hAnsi="Times New Roman" w:eastAsia="Times New Roman" w:cs="Times New Roman"/>
      <w:b/>
      <w:sz w:val="30"/>
      <w:szCs w:val="28"/>
      <w:lang w:val="en-US" w:eastAsia="zh-CN" w:bidi="ar-SA"/>
    </w:rPr>
  </w:style>
  <w:style w:type="character" w:customStyle="1" w:styleId="376">
    <w:name w:val="HTML 地址 Char1"/>
    <w:qFormat/>
    <w:uiPriority w:val="0"/>
    <w:rPr>
      <w:i/>
      <w:iCs/>
      <w:sz w:val="21"/>
      <w:szCs w:val="21"/>
    </w:rPr>
  </w:style>
  <w:style w:type="character" w:customStyle="1" w:styleId="377">
    <w:name w:val="表格标题 Char"/>
    <w:link w:val="378"/>
    <w:qFormat/>
    <w:uiPriority w:val="0"/>
    <w:rPr>
      <w:rFonts w:ascii="Arial Black" w:hAnsi="Arial Black" w:eastAsia="黑体"/>
      <w:sz w:val="24"/>
      <w:szCs w:val="24"/>
    </w:rPr>
  </w:style>
  <w:style w:type="paragraph" w:customStyle="1" w:styleId="378">
    <w:name w:val="表格标题"/>
    <w:basedOn w:val="1"/>
    <w:link w:val="377"/>
    <w:qFormat/>
    <w:uiPriority w:val="0"/>
    <w:pPr>
      <w:spacing w:after="156" w:line="400" w:lineRule="exact"/>
      <w:jc w:val="center"/>
    </w:pPr>
    <w:rPr>
      <w:rFonts w:ascii="Arial Black" w:hAnsi="Arial Black" w:eastAsia="黑体"/>
      <w:sz w:val="24"/>
    </w:rPr>
  </w:style>
  <w:style w:type="character" w:customStyle="1" w:styleId="379">
    <w:name w:val="正文缩进 字符"/>
    <w:qFormat/>
    <w:uiPriority w:val="0"/>
    <w:rPr>
      <w:sz w:val="20"/>
    </w:rPr>
  </w:style>
  <w:style w:type="character" w:customStyle="1" w:styleId="380">
    <w:name w:val="正文文本首行缩进 字符1"/>
    <w:link w:val="18"/>
    <w:qFormat/>
    <w:uiPriority w:val="0"/>
    <w:rPr>
      <w:rFonts w:ascii="仿宋_GB2312" w:eastAsia="仿宋_GB2312"/>
      <w:sz w:val="30"/>
      <w:szCs w:val="30"/>
    </w:rPr>
  </w:style>
  <w:style w:type="character" w:customStyle="1" w:styleId="381">
    <w:name w:val="font91"/>
    <w:qFormat/>
    <w:uiPriority w:val="99"/>
    <w:rPr>
      <w:rFonts w:ascii="仿宋_GB2312" w:eastAsia="仿宋_GB2312" w:cs="仿宋_GB2312"/>
      <w:color w:val="FF0000"/>
      <w:sz w:val="24"/>
      <w:szCs w:val="24"/>
      <w:u w:val="none"/>
    </w:rPr>
  </w:style>
  <w:style w:type="character" w:customStyle="1" w:styleId="382">
    <w:name w:val="HTML 地址 字符1"/>
    <w:link w:val="27"/>
    <w:qFormat/>
    <w:uiPriority w:val="0"/>
    <w:rPr>
      <w:rFonts w:ascii="宋体"/>
      <w:i/>
      <w:iCs/>
      <w:sz w:val="21"/>
      <w:szCs w:val="21"/>
    </w:rPr>
  </w:style>
  <w:style w:type="character" w:customStyle="1" w:styleId="383">
    <w:name w:val="正文4 Char"/>
    <w:link w:val="384"/>
    <w:qFormat/>
    <w:uiPriority w:val="0"/>
    <w:rPr>
      <w:rFonts w:eastAsia="楷体_GB2312"/>
      <w:spacing w:val="8"/>
      <w:sz w:val="28"/>
    </w:rPr>
  </w:style>
  <w:style w:type="paragraph" w:customStyle="1" w:styleId="384">
    <w:name w:val="正文4"/>
    <w:basedOn w:val="1"/>
    <w:link w:val="383"/>
    <w:qFormat/>
    <w:uiPriority w:val="0"/>
    <w:pPr>
      <w:spacing w:line="440" w:lineRule="exact"/>
      <w:ind w:firstLine="601"/>
    </w:pPr>
    <w:rPr>
      <w:rFonts w:eastAsia="楷体_GB2312"/>
      <w:spacing w:val="8"/>
      <w:sz w:val="28"/>
      <w:szCs w:val="20"/>
    </w:rPr>
  </w:style>
  <w:style w:type="character" w:customStyle="1" w:styleId="385">
    <w:name w:val="Plain Text Char"/>
    <w:qFormat/>
    <w:uiPriority w:val="99"/>
    <w:rPr>
      <w:rFonts w:ascii="宋体" w:hAnsi="Courier New"/>
      <w:sz w:val="21"/>
    </w:rPr>
  </w:style>
  <w:style w:type="character" w:customStyle="1" w:styleId="386">
    <w:name w:val="正文缩进 字符1"/>
    <w:link w:val="20"/>
    <w:qFormat/>
    <w:uiPriority w:val="99"/>
    <w:rPr>
      <w:sz w:val="21"/>
      <w:szCs w:val="24"/>
    </w:rPr>
  </w:style>
  <w:style w:type="character" w:customStyle="1" w:styleId="387">
    <w:name w:val="标题 1 字符"/>
    <w:qFormat/>
    <w:uiPriority w:val="0"/>
    <w:rPr>
      <w:b/>
      <w:sz w:val="20"/>
    </w:rPr>
  </w:style>
  <w:style w:type="character" w:customStyle="1" w:styleId="388">
    <w:name w:val="正文（首行缩进2字符） Char"/>
    <w:link w:val="389"/>
    <w:qFormat/>
    <w:uiPriority w:val="0"/>
    <w:rPr>
      <w:sz w:val="21"/>
      <w:szCs w:val="21"/>
    </w:rPr>
  </w:style>
  <w:style w:type="paragraph" w:customStyle="1" w:styleId="389">
    <w:name w:val="正文（首行缩进2字符）"/>
    <w:basedOn w:val="1"/>
    <w:link w:val="388"/>
    <w:qFormat/>
    <w:uiPriority w:val="0"/>
    <w:pPr>
      <w:spacing w:line="360" w:lineRule="auto"/>
      <w:ind w:firstLine="420"/>
    </w:pPr>
    <w:rPr>
      <w:sz w:val="20"/>
      <w:szCs w:val="21"/>
    </w:rPr>
  </w:style>
  <w:style w:type="character" w:customStyle="1" w:styleId="390">
    <w:name w:val="HTML 预设格式 Char1"/>
    <w:semiHidden/>
    <w:qFormat/>
    <w:uiPriority w:val="99"/>
    <w:rPr>
      <w:rFonts w:ascii="Courier New" w:hAnsi="Courier New" w:eastAsia="仿宋_GB2312" w:cs="Courier New"/>
    </w:rPr>
  </w:style>
  <w:style w:type="character" w:customStyle="1" w:styleId="391">
    <w:name w:val="三级条标题 Char"/>
    <w:link w:val="392"/>
    <w:qFormat/>
    <w:uiPriority w:val="0"/>
    <w:rPr>
      <w:rFonts w:ascii="黑体" w:hAnsi="宋体" w:eastAsia="黑体"/>
    </w:rPr>
  </w:style>
  <w:style w:type="paragraph" w:customStyle="1" w:styleId="392">
    <w:name w:val="三级条标题"/>
    <w:basedOn w:val="307"/>
    <w:next w:val="64"/>
    <w:link w:val="391"/>
    <w:qFormat/>
    <w:uiPriority w:val="0"/>
    <w:pPr>
      <w:outlineLvl w:val="4"/>
    </w:pPr>
  </w:style>
  <w:style w:type="character" w:customStyle="1" w:styleId="393">
    <w:name w:val="font141"/>
    <w:qFormat/>
    <w:uiPriority w:val="99"/>
    <w:rPr>
      <w:rFonts w:ascii="Tahoma" w:hAnsi="Tahoma" w:cs="Tahoma"/>
      <w:color w:val="000000"/>
      <w:sz w:val="20"/>
      <w:szCs w:val="20"/>
      <w:u w:val="none"/>
    </w:rPr>
  </w:style>
  <w:style w:type="character" w:customStyle="1" w:styleId="394">
    <w:name w:val="Para head"/>
    <w:basedOn w:val="51"/>
    <w:qFormat/>
    <w:uiPriority w:val="0"/>
  </w:style>
  <w:style w:type="character" w:customStyle="1" w:styleId="395">
    <w:name w:val="font81"/>
    <w:qFormat/>
    <w:uiPriority w:val="99"/>
    <w:rPr>
      <w:rFonts w:ascii="仿宋_GB2312" w:eastAsia="仿宋_GB2312" w:cs="仿宋_GB2312"/>
      <w:b/>
      <w:color w:val="000000"/>
      <w:sz w:val="24"/>
      <w:szCs w:val="24"/>
      <w:u w:val="none"/>
    </w:rPr>
  </w:style>
  <w:style w:type="character" w:customStyle="1" w:styleId="396">
    <w:name w:val="美标题一 Char Char"/>
    <w:link w:val="397"/>
    <w:qFormat/>
    <w:uiPriority w:val="0"/>
    <w:rPr>
      <w:rFonts w:ascii="Calibri" w:hAnsi="Calibri"/>
      <w:b/>
      <w:sz w:val="36"/>
      <w:szCs w:val="24"/>
    </w:rPr>
  </w:style>
  <w:style w:type="paragraph" w:customStyle="1" w:styleId="397">
    <w:name w:val="美标题一"/>
    <w:basedOn w:val="1"/>
    <w:link w:val="396"/>
    <w:qFormat/>
    <w:uiPriority w:val="0"/>
    <w:pPr>
      <w:tabs>
        <w:tab w:val="left" w:pos="480"/>
        <w:tab w:val="left" w:pos="907"/>
        <w:tab w:val="left" w:pos="1035"/>
        <w:tab w:val="left" w:pos="1995"/>
      </w:tabs>
      <w:ind w:left="480" w:hanging="480"/>
      <w:jc w:val="center"/>
    </w:pPr>
    <w:rPr>
      <w:rFonts w:ascii="Calibri" w:hAnsi="Calibri"/>
      <w:b/>
      <w:sz w:val="36"/>
    </w:rPr>
  </w:style>
  <w:style w:type="character" w:customStyle="1" w:styleId="398">
    <w:name w:val="标题2 Char Char"/>
    <w:link w:val="399"/>
    <w:qFormat/>
    <w:uiPriority w:val="0"/>
    <w:rPr>
      <w:rFonts w:eastAsia="方正楷体_GBK"/>
      <w:sz w:val="32"/>
    </w:rPr>
  </w:style>
  <w:style w:type="paragraph" w:customStyle="1" w:styleId="399">
    <w:name w:val="标题2"/>
    <w:basedOn w:val="1"/>
    <w:next w:val="1"/>
    <w:link w:val="398"/>
    <w:qFormat/>
    <w:uiPriority w:val="0"/>
    <w:pPr>
      <w:jc w:val="center"/>
    </w:pPr>
    <w:rPr>
      <w:rFonts w:eastAsia="方正楷体_GBK"/>
      <w:sz w:val="32"/>
      <w:szCs w:val="20"/>
    </w:rPr>
  </w:style>
  <w:style w:type="character" w:customStyle="1" w:styleId="400">
    <w:name w:val="正文文本 3 字符"/>
    <w:qFormat/>
    <w:uiPriority w:val="0"/>
    <w:rPr>
      <w:sz w:val="20"/>
    </w:rPr>
  </w:style>
  <w:style w:type="character" w:customStyle="1" w:styleId="401">
    <w:name w:val="纯文本 Char1"/>
    <w:semiHidden/>
    <w:qFormat/>
    <w:uiPriority w:val="0"/>
    <w:rPr>
      <w:rFonts w:ascii="宋体" w:hAnsi="Courier New" w:cs="Courier New"/>
      <w:sz w:val="21"/>
      <w:szCs w:val="21"/>
    </w:rPr>
  </w:style>
  <w:style w:type="character" w:customStyle="1" w:styleId="402">
    <w:name w:val="明显强调1"/>
    <w:qFormat/>
    <w:uiPriority w:val="0"/>
    <w:rPr>
      <w:i/>
      <w:color w:val="auto"/>
      <w:sz w:val="21"/>
    </w:rPr>
  </w:style>
  <w:style w:type="character" w:customStyle="1" w:styleId="403">
    <w:name w:val="标题 7 字符"/>
    <w:qFormat/>
    <w:uiPriority w:val="0"/>
    <w:rPr>
      <w:b/>
      <w:sz w:val="20"/>
    </w:rPr>
  </w:style>
  <w:style w:type="character" w:customStyle="1" w:styleId="404">
    <w:name w:val="HTML 预设格式 字符1"/>
    <w:link w:val="48"/>
    <w:qFormat/>
    <w:uiPriority w:val="99"/>
    <w:rPr>
      <w:rFonts w:ascii="宋体" w:hAnsi="宋体"/>
      <w:sz w:val="24"/>
      <w:szCs w:val="24"/>
    </w:rPr>
  </w:style>
  <w:style w:type="character" w:customStyle="1" w:styleId="405">
    <w:name w:val="Plain Text Char1"/>
    <w:semiHidden/>
    <w:qFormat/>
    <w:uiPriority w:val="99"/>
    <w:rPr>
      <w:rFonts w:ascii="宋体" w:hAnsi="Courier New" w:cs="Courier New"/>
      <w:sz w:val="21"/>
      <w:szCs w:val="21"/>
    </w:rPr>
  </w:style>
  <w:style w:type="character" w:customStyle="1" w:styleId="406">
    <w:name w:val="正文文本缩进 Char1"/>
    <w:semiHidden/>
    <w:qFormat/>
    <w:uiPriority w:val="0"/>
    <w:rPr>
      <w:sz w:val="21"/>
      <w:szCs w:val="24"/>
    </w:rPr>
  </w:style>
  <w:style w:type="character" w:customStyle="1" w:styleId="407">
    <w:name w:val="正文文本 (9)_"/>
    <w:link w:val="408"/>
    <w:qFormat/>
    <w:uiPriority w:val="0"/>
    <w:rPr>
      <w:rFonts w:ascii="MingLiU" w:hAnsi="MingLiU" w:eastAsia="MingLiU"/>
      <w:spacing w:val="20"/>
      <w:sz w:val="16"/>
      <w:szCs w:val="16"/>
      <w:shd w:val="clear" w:color="auto" w:fill="FFFFFF"/>
    </w:rPr>
  </w:style>
  <w:style w:type="paragraph" w:customStyle="1" w:styleId="408">
    <w:name w:val="正文文本 (9)3"/>
    <w:basedOn w:val="1"/>
    <w:link w:val="407"/>
    <w:qFormat/>
    <w:uiPriority w:val="0"/>
    <w:pPr>
      <w:shd w:val="clear" w:color="auto" w:fill="FFFFFF"/>
      <w:spacing w:line="0" w:lineRule="atLeast"/>
      <w:jc w:val="left"/>
    </w:pPr>
    <w:rPr>
      <w:rFonts w:ascii="MingLiU" w:hAnsi="MingLiU" w:eastAsia="MingLiU"/>
      <w:spacing w:val="20"/>
      <w:sz w:val="16"/>
      <w:szCs w:val="16"/>
      <w:shd w:val="clear" w:color="auto" w:fill="FFFFFF"/>
    </w:rPr>
  </w:style>
  <w:style w:type="character" w:customStyle="1" w:styleId="409">
    <w:name w:val="正文文本 Char"/>
    <w:qFormat/>
    <w:uiPriority w:val="0"/>
    <w:rPr>
      <w:rFonts w:ascii="楷体_GB2312" w:hAnsi="Arial" w:eastAsia="楷体_GB2312"/>
      <w:sz w:val="28"/>
      <w:szCs w:val="28"/>
      <w:lang w:bidi="ar-SA"/>
    </w:rPr>
  </w:style>
  <w:style w:type="character" w:customStyle="1" w:styleId="410">
    <w:name w:val="wwwww Char"/>
    <w:link w:val="411"/>
    <w:qFormat/>
    <w:uiPriority w:val="0"/>
    <w:rPr>
      <w:rFonts w:ascii="宋体" w:hAnsi="宋体"/>
      <w:sz w:val="24"/>
      <w:szCs w:val="21"/>
    </w:rPr>
  </w:style>
  <w:style w:type="paragraph" w:customStyle="1" w:styleId="411">
    <w:name w:val="wwwww"/>
    <w:basedOn w:val="1"/>
    <w:link w:val="410"/>
    <w:qFormat/>
    <w:uiPriority w:val="0"/>
    <w:pPr>
      <w:widowControl/>
      <w:spacing w:line="400" w:lineRule="exact"/>
    </w:pPr>
    <w:rPr>
      <w:rFonts w:ascii="宋体" w:hAnsi="宋体"/>
      <w:sz w:val="24"/>
      <w:szCs w:val="21"/>
    </w:rPr>
  </w:style>
  <w:style w:type="character" w:customStyle="1" w:styleId="412">
    <w:name w:val="Char Char7"/>
    <w:qFormat/>
    <w:uiPriority w:val="0"/>
    <w:rPr>
      <w:rFonts w:ascii="Arial" w:hAnsi="Arial" w:eastAsia="幼圆"/>
      <w:b/>
      <w:bCs/>
      <w:sz w:val="44"/>
      <w:szCs w:val="44"/>
      <w:lang w:val="en-US" w:eastAsia="zh-CN" w:bidi="ar-SA"/>
    </w:rPr>
  </w:style>
  <w:style w:type="character" w:customStyle="1" w:styleId="413">
    <w:name w:val="章标题 Char"/>
    <w:link w:val="63"/>
    <w:qFormat/>
    <w:uiPriority w:val="0"/>
    <w:rPr>
      <w:rFonts w:ascii="黑体" w:eastAsia="黑体"/>
      <w:sz w:val="21"/>
      <w:szCs w:val="22"/>
    </w:rPr>
  </w:style>
  <w:style w:type="character" w:customStyle="1" w:styleId="414">
    <w:name w:val="二级条标题 + 宋体 Char"/>
    <w:link w:val="415"/>
    <w:qFormat/>
    <w:uiPriority w:val="0"/>
    <w:rPr>
      <w:rFonts w:ascii="宋体" w:hAnsi="宋体" w:eastAsia="黑体"/>
    </w:rPr>
  </w:style>
  <w:style w:type="paragraph" w:customStyle="1" w:styleId="415">
    <w:name w:val="二级条标题 + 宋体"/>
    <w:basedOn w:val="307"/>
    <w:link w:val="414"/>
    <w:qFormat/>
    <w:uiPriority w:val="0"/>
    <w:pPr>
      <w:tabs>
        <w:tab w:val="clear" w:pos="907"/>
      </w:tabs>
      <w:ind w:left="0" w:firstLine="0"/>
    </w:pPr>
    <w:rPr>
      <w:rFonts w:ascii="宋体"/>
    </w:rPr>
  </w:style>
  <w:style w:type="character" w:customStyle="1" w:styleId="416">
    <w:name w:val="方案文档 Char Char"/>
    <w:link w:val="417"/>
    <w:qFormat/>
    <w:uiPriority w:val="0"/>
    <w:rPr>
      <w:rFonts w:ascii="宋体" w:hAnsi="宋体"/>
      <w:b/>
    </w:rPr>
  </w:style>
  <w:style w:type="paragraph" w:customStyle="1" w:styleId="417">
    <w:name w:val="方案文档"/>
    <w:basedOn w:val="1"/>
    <w:link w:val="416"/>
    <w:qFormat/>
    <w:uiPriority w:val="0"/>
    <w:pPr>
      <w:tabs>
        <w:tab w:val="left" w:pos="420"/>
      </w:tabs>
      <w:spacing w:line="360" w:lineRule="auto"/>
      <w:ind w:left="420"/>
    </w:pPr>
    <w:rPr>
      <w:rFonts w:ascii="宋体" w:hAnsi="宋体"/>
      <w:b/>
      <w:sz w:val="20"/>
      <w:szCs w:val="20"/>
    </w:rPr>
  </w:style>
  <w:style w:type="character" w:customStyle="1" w:styleId="418">
    <w:name w:val="HTML 地址 字符"/>
    <w:qFormat/>
    <w:uiPriority w:val="0"/>
    <w:rPr>
      <w:i/>
      <w:sz w:val="20"/>
    </w:rPr>
  </w:style>
  <w:style w:type="character" w:customStyle="1" w:styleId="419">
    <w:name w:val="font01"/>
    <w:qFormat/>
    <w:uiPriority w:val="99"/>
    <w:rPr>
      <w:rFonts w:ascii="仿宋_GB2312" w:eastAsia="仿宋_GB2312" w:cs="仿宋_GB2312"/>
      <w:color w:val="000000"/>
      <w:sz w:val="24"/>
      <w:szCs w:val="24"/>
      <w:u w:val="none"/>
    </w:rPr>
  </w:style>
  <w:style w:type="character" w:customStyle="1" w:styleId="420">
    <w:name w:val="表格 Char Char"/>
    <w:link w:val="421"/>
    <w:qFormat/>
    <w:uiPriority w:val="0"/>
    <w:rPr>
      <w:rFonts w:ascii="宋体" w:hAnsi="宋体"/>
    </w:rPr>
  </w:style>
  <w:style w:type="paragraph" w:customStyle="1" w:styleId="421">
    <w:name w:val="表格"/>
    <w:basedOn w:val="1"/>
    <w:link w:val="420"/>
    <w:qFormat/>
    <w:uiPriority w:val="0"/>
    <w:pPr>
      <w:ind w:firstLine="42"/>
    </w:pPr>
    <w:rPr>
      <w:rFonts w:ascii="宋体" w:hAnsi="宋体"/>
      <w:sz w:val="20"/>
      <w:szCs w:val="20"/>
    </w:rPr>
  </w:style>
  <w:style w:type="character" w:customStyle="1" w:styleId="422">
    <w:name w:val="Char Char31"/>
    <w:qFormat/>
    <w:uiPriority w:val="0"/>
    <w:rPr>
      <w:rFonts w:ascii="Arial" w:hAnsi="Arial" w:eastAsia="幼圆"/>
      <w:b/>
      <w:bCs/>
      <w:sz w:val="44"/>
      <w:szCs w:val="44"/>
      <w:lang w:val="en-US" w:eastAsia="zh-CN" w:bidi="ar-SA"/>
    </w:rPr>
  </w:style>
  <w:style w:type="character" w:customStyle="1" w:styleId="423">
    <w:name w:val="页眉 字符"/>
    <w:qFormat/>
    <w:uiPriority w:val="0"/>
    <w:rPr>
      <w:sz w:val="20"/>
    </w:rPr>
  </w:style>
  <w:style w:type="character" w:customStyle="1" w:styleId="424">
    <w:name w:val="正文文本 (10)_"/>
    <w:link w:val="425"/>
    <w:qFormat/>
    <w:uiPriority w:val="0"/>
    <w:rPr>
      <w:rFonts w:ascii="MingLiU" w:hAnsi="MingLiU" w:eastAsia="MingLiU"/>
      <w:spacing w:val="40"/>
      <w:sz w:val="19"/>
      <w:szCs w:val="19"/>
      <w:shd w:val="clear" w:color="auto" w:fill="FFFFFF"/>
    </w:rPr>
  </w:style>
  <w:style w:type="paragraph" w:customStyle="1" w:styleId="425">
    <w:name w:val="正文文本 (10)6"/>
    <w:basedOn w:val="1"/>
    <w:link w:val="424"/>
    <w:qFormat/>
    <w:uiPriority w:val="0"/>
    <w:pPr>
      <w:shd w:val="clear" w:color="auto" w:fill="FFFFFF"/>
      <w:spacing w:line="0" w:lineRule="atLeast"/>
      <w:jc w:val="left"/>
    </w:pPr>
    <w:rPr>
      <w:rFonts w:ascii="MingLiU" w:hAnsi="MingLiU" w:eastAsia="MingLiU"/>
      <w:spacing w:val="40"/>
      <w:sz w:val="19"/>
      <w:szCs w:val="19"/>
      <w:shd w:val="clear" w:color="auto" w:fill="FFFFFF"/>
    </w:rPr>
  </w:style>
  <w:style w:type="character" w:customStyle="1" w:styleId="426">
    <w:name w:val="列表 3 字符"/>
    <w:qFormat/>
    <w:uiPriority w:val="0"/>
    <w:rPr>
      <w:sz w:val="20"/>
    </w:rPr>
  </w:style>
  <w:style w:type="character" w:customStyle="1" w:styleId="427">
    <w:name w:val="美标题2 Char Char"/>
    <w:link w:val="428"/>
    <w:qFormat/>
    <w:uiPriority w:val="0"/>
    <w:rPr>
      <w:rFonts w:ascii="宋体" w:hAnsi="宋体"/>
      <w:b/>
      <w:sz w:val="28"/>
    </w:rPr>
  </w:style>
  <w:style w:type="paragraph" w:customStyle="1" w:styleId="428">
    <w:name w:val="美标题2"/>
    <w:basedOn w:val="1"/>
    <w:link w:val="427"/>
    <w:qFormat/>
    <w:uiPriority w:val="0"/>
    <w:rPr>
      <w:rFonts w:ascii="宋体" w:hAnsi="宋体"/>
      <w:b/>
      <w:sz w:val="28"/>
      <w:szCs w:val="20"/>
    </w:rPr>
  </w:style>
  <w:style w:type="character" w:customStyle="1" w:styleId="429">
    <w:name w:val="标题 4 字符"/>
    <w:qFormat/>
    <w:uiPriority w:val="0"/>
    <w:rPr>
      <w:b/>
      <w:sz w:val="20"/>
    </w:rPr>
  </w:style>
  <w:style w:type="character" w:customStyle="1" w:styleId="430">
    <w:name w:val="fontstyle01"/>
    <w:qFormat/>
    <w:uiPriority w:val="0"/>
    <w:rPr>
      <w:rFonts w:hint="eastAsia" w:ascii="宋体" w:hAnsi="宋体" w:eastAsia="宋体"/>
      <w:color w:val="000000"/>
      <w:sz w:val="24"/>
      <w:szCs w:val="24"/>
    </w:rPr>
  </w:style>
  <w:style w:type="character" w:customStyle="1" w:styleId="431">
    <w:name w:val="正文文本 2 字符"/>
    <w:qFormat/>
    <w:uiPriority w:val="0"/>
    <w:rPr>
      <w:sz w:val="20"/>
    </w:rPr>
  </w:style>
  <w:style w:type="character" w:customStyle="1" w:styleId="432">
    <w:name w:val="Char Char29"/>
    <w:qFormat/>
    <w:uiPriority w:val="0"/>
    <w:rPr>
      <w:rFonts w:ascii="Arial" w:hAnsi="Arial" w:eastAsia="黑体"/>
      <w:b/>
      <w:bCs/>
      <w:sz w:val="28"/>
      <w:szCs w:val="28"/>
      <w:lang w:val="en-US" w:eastAsia="zh-CN" w:bidi="ar-SA"/>
    </w:rPr>
  </w:style>
  <w:style w:type="character" w:customStyle="1" w:styleId="433">
    <w:name w:val="正文文本缩进 2 Char1"/>
    <w:basedOn w:val="51"/>
    <w:semiHidden/>
    <w:qFormat/>
    <w:uiPriority w:val="99"/>
    <w:rPr>
      <w:sz w:val="21"/>
      <w:szCs w:val="24"/>
    </w:rPr>
  </w:style>
  <w:style w:type="character" w:customStyle="1" w:styleId="434">
    <w:name w:val="正文文本 字符1"/>
    <w:basedOn w:val="51"/>
    <w:link w:val="19"/>
    <w:qFormat/>
    <w:uiPriority w:val="0"/>
    <w:rPr>
      <w:sz w:val="21"/>
      <w:szCs w:val="24"/>
    </w:rPr>
  </w:style>
  <w:style w:type="character" w:customStyle="1" w:styleId="435">
    <w:name w:val="正文首行缩进 Char1"/>
    <w:basedOn w:val="434"/>
    <w:semiHidden/>
    <w:qFormat/>
    <w:uiPriority w:val="99"/>
    <w:rPr>
      <w:sz w:val="21"/>
      <w:szCs w:val="24"/>
    </w:rPr>
  </w:style>
  <w:style w:type="character" w:customStyle="1" w:styleId="436">
    <w:name w:val="正文文本 2 Char1"/>
    <w:basedOn w:val="51"/>
    <w:semiHidden/>
    <w:qFormat/>
    <w:uiPriority w:val="99"/>
    <w:rPr>
      <w:sz w:val="21"/>
      <w:szCs w:val="24"/>
    </w:rPr>
  </w:style>
  <w:style w:type="character" w:customStyle="1" w:styleId="437">
    <w:name w:val="正文文本缩进 Char2"/>
    <w:basedOn w:val="51"/>
    <w:semiHidden/>
    <w:qFormat/>
    <w:uiPriority w:val="99"/>
    <w:rPr>
      <w:sz w:val="21"/>
      <w:szCs w:val="24"/>
    </w:rPr>
  </w:style>
  <w:style w:type="character" w:customStyle="1" w:styleId="438">
    <w:name w:val="日期 Char1"/>
    <w:basedOn w:val="51"/>
    <w:semiHidden/>
    <w:qFormat/>
    <w:uiPriority w:val="99"/>
    <w:rPr>
      <w:sz w:val="21"/>
      <w:szCs w:val="24"/>
    </w:rPr>
  </w:style>
  <w:style w:type="character" w:customStyle="1" w:styleId="439">
    <w:name w:val="正文首行缩进 2 Char1"/>
    <w:basedOn w:val="437"/>
    <w:semiHidden/>
    <w:qFormat/>
    <w:uiPriority w:val="99"/>
    <w:rPr>
      <w:sz w:val="21"/>
      <w:szCs w:val="24"/>
    </w:rPr>
  </w:style>
  <w:style w:type="character" w:customStyle="1" w:styleId="440">
    <w:name w:val="文档结构图 Char1"/>
    <w:basedOn w:val="51"/>
    <w:semiHidden/>
    <w:qFormat/>
    <w:uiPriority w:val="99"/>
    <w:rPr>
      <w:rFonts w:ascii="宋体"/>
      <w:sz w:val="18"/>
      <w:szCs w:val="18"/>
    </w:rPr>
  </w:style>
  <w:style w:type="character" w:customStyle="1" w:styleId="441">
    <w:name w:val="正文文本 3 Char1"/>
    <w:basedOn w:val="51"/>
    <w:semiHidden/>
    <w:qFormat/>
    <w:uiPriority w:val="99"/>
    <w:rPr>
      <w:sz w:val="16"/>
      <w:szCs w:val="16"/>
    </w:rPr>
  </w:style>
  <w:style w:type="character" w:customStyle="1" w:styleId="442">
    <w:name w:val="HTML 地址 Char2"/>
    <w:basedOn w:val="51"/>
    <w:semiHidden/>
    <w:qFormat/>
    <w:uiPriority w:val="99"/>
    <w:rPr>
      <w:i/>
      <w:iCs/>
      <w:sz w:val="21"/>
      <w:szCs w:val="24"/>
    </w:rPr>
  </w:style>
  <w:style w:type="character" w:customStyle="1" w:styleId="443">
    <w:name w:val="正文文本缩进 3 Char1"/>
    <w:basedOn w:val="51"/>
    <w:semiHidden/>
    <w:qFormat/>
    <w:uiPriority w:val="99"/>
    <w:rPr>
      <w:sz w:val="16"/>
      <w:szCs w:val="16"/>
    </w:rPr>
  </w:style>
  <w:style w:type="character" w:customStyle="1" w:styleId="444">
    <w:name w:val="HTML 预设格式 Char2"/>
    <w:basedOn w:val="51"/>
    <w:semiHidden/>
    <w:qFormat/>
    <w:uiPriority w:val="99"/>
    <w:rPr>
      <w:rFonts w:ascii="Courier New" w:hAnsi="Courier New" w:cs="Courier New"/>
    </w:rPr>
  </w:style>
  <w:style w:type="paragraph" w:customStyle="1" w:styleId="445">
    <w:name w:val="正文2"/>
    <w:next w:val="44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6">
    <w:name w:val="Default_0"/>
    <w:qFormat/>
    <w:uiPriority w:val="0"/>
    <w:pPr>
      <w:widowControl w:val="0"/>
    </w:pPr>
    <w:rPr>
      <w:rFonts w:ascii="宋体" w:hAnsi="Times New Roman" w:eastAsia="宋体" w:cs="宋体"/>
      <w:color w:val="000000"/>
      <w:sz w:val="24"/>
      <w:szCs w:val="24"/>
      <w:lang w:val="en-US" w:eastAsia="zh-CN" w:bidi="ar-SA"/>
    </w:rPr>
  </w:style>
  <w:style w:type="paragraph" w:customStyle="1" w:styleId="447">
    <w:name w:val="_Style 10"/>
    <w:basedOn w:val="1"/>
    <w:qFormat/>
    <w:uiPriority w:val="0"/>
    <w:rPr>
      <w:rFonts w:ascii="Tahoma" w:hAnsi="Tahoma"/>
      <w:sz w:val="24"/>
      <w:szCs w:val="20"/>
    </w:rPr>
  </w:style>
  <w:style w:type="paragraph" w:customStyle="1" w:styleId="448">
    <w:name w:val="正文缩进编号"/>
    <w:basedOn w:val="1"/>
    <w:qFormat/>
    <w:uiPriority w:val="0"/>
    <w:pPr>
      <w:spacing w:line="360" w:lineRule="auto"/>
      <w:ind w:left="840"/>
    </w:pPr>
    <w:rPr>
      <w:rFonts w:ascii="Calibri" w:hAnsi="Calibri"/>
      <w:sz w:val="24"/>
      <w:szCs w:val="21"/>
    </w:rPr>
  </w:style>
  <w:style w:type="paragraph" w:customStyle="1" w:styleId="449">
    <w:name w:val="Char1"/>
    <w:basedOn w:val="1"/>
    <w:qFormat/>
    <w:uiPriority w:val="0"/>
    <w:pPr>
      <w:tabs>
        <w:tab w:val="left" w:pos="432"/>
      </w:tabs>
      <w:spacing w:before="156" w:after="156"/>
      <w:ind w:left="432" w:hanging="432"/>
    </w:pPr>
  </w:style>
  <w:style w:type="paragraph" w:customStyle="1" w:styleId="450">
    <w:name w:val="jx标题1"/>
    <w:basedOn w:val="5"/>
    <w:qFormat/>
    <w:uiPriority w:val="0"/>
    <w:pPr>
      <w:tabs>
        <w:tab w:val="left" w:pos="425"/>
      </w:tabs>
      <w:spacing w:line="360" w:lineRule="auto"/>
    </w:pPr>
    <w:rPr>
      <w:rFonts w:ascii="Calibri" w:hAnsi="Calibri" w:eastAsia="黑体"/>
      <w:bCs/>
      <w:szCs w:val="44"/>
    </w:rPr>
  </w:style>
  <w:style w:type="paragraph" w:customStyle="1" w:styleId="451">
    <w:name w:val="GP（表格）"/>
    <w:basedOn w:val="1"/>
    <w:qFormat/>
    <w:uiPriority w:val="0"/>
    <w:rPr>
      <w:rFonts w:ascii="Arial" w:hAnsi="Arial"/>
      <w:sz w:val="18"/>
    </w:rPr>
  </w:style>
  <w:style w:type="paragraph" w:customStyle="1" w:styleId="452">
    <w:name w:val="列出段落1"/>
    <w:basedOn w:val="1"/>
    <w:qFormat/>
    <w:uiPriority w:val="0"/>
    <w:pPr>
      <w:ind w:left="480"/>
      <w:jc w:val="left"/>
    </w:pPr>
    <w:rPr>
      <w:rFonts w:ascii="Calibri" w:hAnsi="Calibri" w:eastAsia="PMingLiU"/>
      <w:sz w:val="24"/>
      <w:szCs w:val="20"/>
      <w:lang w:val="zh-CN" w:eastAsia="zh-TW"/>
    </w:rPr>
  </w:style>
  <w:style w:type="paragraph" w:customStyle="1" w:styleId="453">
    <w:name w:val="Default Text"/>
    <w:basedOn w:val="1"/>
    <w:qFormat/>
    <w:uiPriority w:val="0"/>
    <w:pPr>
      <w:widowControl/>
      <w:jc w:val="left"/>
    </w:pPr>
    <w:rPr>
      <w:rFonts w:ascii="Calibri" w:hAnsi="Calibri"/>
      <w:sz w:val="20"/>
      <w:szCs w:val="20"/>
      <w:lang w:eastAsia="en-US"/>
    </w:rPr>
  </w:style>
  <w:style w:type="paragraph" w:customStyle="1" w:styleId="454">
    <w:name w:val="正文2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55">
    <w:name w:val="彩色列表 - 着色 11"/>
    <w:basedOn w:val="1"/>
    <w:qFormat/>
    <w:uiPriority w:val="99"/>
    <w:pPr>
      <w:spacing w:line="274" w:lineRule="auto"/>
      <w:ind w:firstLine="420"/>
    </w:pPr>
    <w:rPr>
      <w:rFonts w:ascii="仿宋_GB2312" w:hAnsi="Calibri" w:eastAsia="仿宋_GB2312"/>
      <w:sz w:val="20"/>
    </w:rPr>
  </w:style>
  <w:style w:type="paragraph" w:customStyle="1" w:styleId="456">
    <w:name w:val="注×："/>
    <w:qFormat/>
    <w:uiPriority w:val="0"/>
    <w:pPr>
      <w:widowControl w:val="0"/>
      <w:tabs>
        <w:tab w:val="left" w:pos="312"/>
        <w:tab w:val="left" w:pos="630"/>
        <w:tab w:val="left" w:pos="1035"/>
      </w:tabs>
      <w:jc w:val="both"/>
    </w:pPr>
    <w:rPr>
      <w:rFonts w:ascii="宋体" w:hAnsi="Times New Roman" w:eastAsia="宋体" w:cs="Times New Roman"/>
      <w:sz w:val="18"/>
      <w:lang w:val="en-US" w:eastAsia="zh-CN" w:bidi="ar-SA"/>
    </w:rPr>
  </w:style>
  <w:style w:type="paragraph" w:customStyle="1" w:styleId="457">
    <w:name w:val="正文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8">
    <w:name w:val="修订2"/>
    <w:semiHidden/>
    <w:qFormat/>
    <w:uiPriority w:val="99"/>
    <w:rPr>
      <w:rFonts w:ascii="Times New Roman" w:hAnsi="Times New Roman" w:eastAsia="宋体" w:cs="Times New Roman"/>
      <w:sz w:val="21"/>
      <w:szCs w:val="24"/>
      <w:lang w:val="en-US" w:eastAsia="zh-CN" w:bidi="ar-SA"/>
    </w:rPr>
  </w:style>
  <w:style w:type="paragraph" w:customStyle="1" w:styleId="459">
    <w:name w:val="_Style 0"/>
    <w:qFormat/>
    <w:uiPriority w:val="0"/>
    <w:pPr>
      <w:widowControl w:val="0"/>
      <w:jc w:val="center"/>
    </w:pPr>
    <w:rPr>
      <w:rFonts w:ascii="Times New Roman" w:hAnsi="Times New Roman" w:eastAsia="仿宋_GB2312" w:cs="Times New Roman"/>
      <w:b/>
      <w:sz w:val="21"/>
      <w:lang w:val="en-US" w:eastAsia="zh-CN" w:bidi="ar-SA"/>
    </w:rPr>
  </w:style>
  <w:style w:type="paragraph" w:customStyle="1" w:styleId="460">
    <w:name w:val="xl70"/>
    <w:basedOn w:val="1"/>
    <w:qFormat/>
    <w:uiPriority w:val="0"/>
    <w:pPr>
      <w:widowControl/>
      <w:pBdr>
        <w:top w:val="single" w:color="auto" w:sz="4" w:space="0"/>
        <w:bottom w:val="single" w:color="auto" w:sz="4" w:space="0"/>
      </w:pBdr>
      <w:spacing w:before="100" w:beforeAutospacing="1" w:after="100" w:afterAutospacing="1"/>
    </w:pPr>
    <w:rPr>
      <w:rFonts w:ascii="宋体" w:hAnsi="宋体"/>
      <w:b/>
      <w:sz w:val="28"/>
      <w:szCs w:val="20"/>
    </w:rPr>
  </w:style>
  <w:style w:type="paragraph" w:customStyle="1" w:styleId="461">
    <w:name w:val="列出段落3"/>
    <w:basedOn w:val="445"/>
    <w:qFormat/>
    <w:uiPriority w:val="34"/>
    <w:pPr>
      <w:ind w:firstLine="420"/>
    </w:pPr>
    <w:rPr>
      <w:rFonts w:ascii="Calibri" w:hAnsi="Calibri"/>
      <w:sz w:val="22"/>
      <w:szCs w:val="22"/>
    </w:rPr>
  </w:style>
  <w:style w:type="paragraph" w:customStyle="1" w:styleId="462">
    <w:name w:val="样式2"/>
    <w:basedOn w:val="5"/>
    <w:qFormat/>
    <w:uiPriority w:val="0"/>
    <w:pPr>
      <w:widowControl/>
      <w:tabs>
        <w:tab w:val="left" w:pos="312"/>
        <w:tab w:val="left" w:pos="480"/>
      </w:tabs>
      <w:spacing w:before="0" w:after="0" w:line="400" w:lineRule="atLeast"/>
      <w:ind w:left="360" w:hanging="360"/>
      <w:outlineLvl w:val="9"/>
    </w:pPr>
    <w:rPr>
      <w:rFonts w:ascii="宋体" w:eastAsia="黑体"/>
      <w:sz w:val="21"/>
    </w:rPr>
  </w:style>
  <w:style w:type="paragraph" w:customStyle="1" w:styleId="463">
    <w:name w:val="P3"/>
    <w:qFormat/>
    <w:uiPriority w:val="0"/>
    <w:pPr>
      <w:widowControl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64">
    <w:name w:val="WPSOffice手动目录 2"/>
    <w:qFormat/>
    <w:uiPriority w:val="0"/>
    <w:pPr>
      <w:ind w:left="200"/>
    </w:pPr>
    <w:rPr>
      <w:rFonts w:ascii="Times New Roman" w:hAnsi="Times New Roman" w:eastAsia="宋体" w:cs="Times New Roman"/>
      <w:lang w:val="en-US" w:eastAsia="zh-CN" w:bidi="ar-SA"/>
    </w:rPr>
  </w:style>
  <w:style w:type="paragraph" w:customStyle="1" w:styleId="465">
    <w:name w:val="正文图标题"/>
    <w:basedOn w:val="1"/>
    <w:next w:val="64"/>
    <w:qFormat/>
    <w:uiPriority w:val="0"/>
    <w:pPr>
      <w:widowControl/>
      <w:tabs>
        <w:tab w:val="left" w:pos="480"/>
      </w:tabs>
      <w:ind w:left="720" w:hanging="720"/>
      <w:jc w:val="center"/>
    </w:pPr>
    <w:rPr>
      <w:rFonts w:hint="eastAsia" w:ascii="黑体" w:eastAsia="黑体"/>
      <w:sz w:val="20"/>
      <w:szCs w:val="20"/>
    </w:rPr>
  </w:style>
  <w:style w:type="paragraph" w:customStyle="1" w:styleId="466">
    <w:name w:val="正文编号"/>
    <w:basedOn w:val="1"/>
    <w:qFormat/>
    <w:uiPriority w:val="0"/>
    <w:pPr>
      <w:tabs>
        <w:tab w:val="left" w:pos="720"/>
      </w:tabs>
      <w:spacing w:line="400" w:lineRule="exact"/>
    </w:pPr>
    <w:rPr>
      <w:rFonts w:eastAsia="楷体_GB2312"/>
      <w:spacing w:val="8"/>
      <w:sz w:val="28"/>
      <w:szCs w:val="20"/>
    </w:rPr>
  </w:style>
  <w:style w:type="paragraph" w:customStyle="1" w:styleId="467">
    <w:name w:val="样式 Numbered list 2.1 +"/>
    <w:basedOn w:val="1"/>
    <w:qFormat/>
    <w:uiPriority w:val="0"/>
    <w:pPr>
      <w:keepNext/>
      <w:widowControl/>
      <w:tabs>
        <w:tab w:val="left" w:pos="425"/>
        <w:tab w:val="left" w:pos="720"/>
      </w:tabs>
      <w:spacing w:before="240" w:after="60"/>
      <w:ind w:left="709" w:hanging="709"/>
      <w:jc w:val="left"/>
      <w:outlineLvl w:val="0"/>
    </w:pPr>
    <w:rPr>
      <w:rFonts w:ascii="Futura Bk" w:hAnsi="Futura Bk"/>
      <w:b/>
      <w:bCs/>
      <w:sz w:val="28"/>
      <w:szCs w:val="20"/>
      <w:lang w:eastAsia="en-US"/>
    </w:rPr>
  </w:style>
  <w:style w:type="paragraph" w:customStyle="1" w:styleId="468">
    <w:name w:val="Section VII Header2"/>
    <w:basedOn w:val="5"/>
    <w:qFormat/>
    <w:uiPriority w:val="0"/>
    <w:pPr>
      <w:keepNext w:val="0"/>
      <w:keepLines w:val="0"/>
      <w:widowControl/>
      <w:tabs>
        <w:tab w:val="right" w:pos="9000"/>
      </w:tabs>
      <w:spacing w:before="120" w:after="120" w:line="260" w:lineRule="exact"/>
      <w:ind w:right="12"/>
      <w:jc w:val="center"/>
      <w:outlineLvl w:val="9"/>
    </w:pPr>
    <w:rPr>
      <w:rFonts w:ascii="宋体" w:hAnsi="宋体" w:eastAsia="宋体" w:cs="Arial"/>
      <w:bCs/>
      <w:sz w:val="24"/>
    </w:rPr>
  </w:style>
  <w:style w:type="paragraph" w:customStyle="1" w:styleId="469">
    <w:name w:val="HPC正文"/>
    <w:basedOn w:val="1"/>
    <w:qFormat/>
    <w:uiPriority w:val="0"/>
    <w:pPr>
      <w:spacing w:line="360" w:lineRule="auto"/>
      <w:ind w:firstLine="424"/>
    </w:pPr>
    <w:rPr>
      <w:sz w:val="24"/>
    </w:rPr>
  </w:style>
  <w:style w:type="paragraph" w:customStyle="1" w:styleId="470">
    <w:name w:val="示例"/>
    <w:next w:val="64"/>
    <w:qFormat/>
    <w:uiPriority w:val="0"/>
    <w:pPr>
      <w:tabs>
        <w:tab w:val="left" w:pos="720"/>
        <w:tab w:val="left" w:pos="816"/>
      </w:tabs>
      <w:ind w:left="720" w:firstLine="419"/>
      <w:jc w:val="both"/>
    </w:pPr>
    <w:rPr>
      <w:rFonts w:ascii="宋体" w:hAnsi="Times New Roman" w:eastAsia="宋体" w:cs="Times New Roman"/>
      <w:sz w:val="18"/>
      <w:lang w:val="en-US" w:eastAsia="zh-CN" w:bidi="ar-SA"/>
    </w:rPr>
  </w:style>
  <w:style w:type="paragraph" w:customStyle="1" w:styleId="471">
    <w:name w:val="Sub Item List"/>
    <w:basedOn w:val="1"/>
    <w:qFormat/>
    <w:uiPriority w:val="0"/>
    <w:pPr>
      <w:widowControl/>
      <w:tabs>
        <w:tab w:val="left" w:pos="397"/>
        <w:tab w:val="left" w:pos="1922"/>
      </w:tabs>
      <w:spacing w:before="80" w:line="240" w:lineRule="atLeast"/>
      <w:ind w:left="397" w:hanging="397"/>
      <w:jc w:val="left"/>
    </w:pPr>
    <w:rPr>
      <w:rFonts w:hint="eastAsia" w:cs="Arial"/>
      <w:szCs w:val="21"/>
    </w:rPr>
  </w:style>
  <w:style w:type="paragraph" w:customStyle="1" w:styleId="472">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sz w:val="22"/>
      <w:szCs w:val="20"/>
    </w:rPr>
  </w:style>
  <w:style w:type="paragraph" w:customStyle="1" w:styleId="473">
    <w:name w:val="一级项目符号"/>
    <w:basedOn w:val="1"/>
    <w:qFormat/>
    <w:uiPriority w:val="0"/>
    <w:pPr>
      <w:widowControl/>
      <w:tabs>
        <w:tab w:val="left" w:pos="425"/>
        <w:tab w:val="left" w:pos="840"/>
      </w:tabs>
      <w:spacing w:line="360" w:lineRule="auto"/>
      <w:ind w:left="425" w:hanging="425"/>
    </w:pPr>
    <w:rPr>
      <w:rFonts w:ascii="Calibri" w:hAnsi="Calibri"/>
      <w:sz w:val="24"/>
    </w:rPr>
  </w:style>
  <w:style w:type="paragraph" w:customStyle="1" w:styleId="474">
    <w:name w:val="列项——"/>
    <w:qFormat/>
    <w:uiPriority w:val="0"/>
    <w:pPr>
      <w:widowControl w:val="0"/>
      <w:tabs>
        <w:tab w:val="left" w:pos="720"/>
        <w:tab w:val="left" w:pos="854"/>
        <w:tab w:val="left" w:pos="1035"/>
      </w:tabs>
      <w:ind w:left="200" w:hanging="200"/>
      <w:jc w:val="both"/>
    </w:pPr>
    <w:rPr>
      <w:rFonts w:ascii="宋体" w:hAnsi="Times New Roman" w:eastAsia="宋体" w:cs="Times New Roman"/>
      <w:sz w:val="21"/>
      <w:lang w:val="en-US" w:eastAsia="zh-CN" w:bidi="ar-SA"/>
    </w:rPr>
  </w:style>
  <w:style w:type="paragraph" w:customStyle="1" w:styleId="475">
    <w:name w:val="Char Char1 Char Char Char Char Char Char Char Char Char Char Char Char Char Char Char"/>
    <w:basedOn w:val="1"/>
    <w:qFormat/>
    <w:uiPriority w:val="0"/>
    <w:pPr>
      <w:widowControl/>
      <w:tabs>
        <w:tab w:val="left" w:pos="4200"/>
        <w:tab w:val="left" w:pos="4260"/>
      </w:tabs>
      <w:spacing w:after="160" w:line="240" w:lineRule="exact"/>
      <w:ind w:left="4260"/>
      <w:jc w:val="left"/>
    </w:pPr>
    <w:rPr>
      <w:rFonts w:ascii="Verdana" w:hAnsi="Verdana"/>
      <w:sz w:val="20"/>
      <w:szCs w:val="20"/>
      <w:lang w:eastAsia="en-US"/>
    </w:rPr>
  </w:style>
  <w:style w:type="paragraph" w:customStyle="1" w:styleId="476">
    <w:name w:val="Defaul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77">
    <w:name w:val="Char11"/>
    <w:basedOn w:val="1"/>
    <w:qFormat/>
    <w:uiPriority w:val="0"/>
    <w:pPr>
      <w:spacing w:line="360" w:lineRule="auto"/>
    </w:pPr>
    <w:rPr>
      <w:sz w:val="24"/>
      <w:szCs w:val="20"/>
    </w:rPr>
  </w:style>
  <w:style w:type="paragraph" w:customStyle="1" w:styleId="4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2"/>
      <w:szCs w:val="12"/>
    </w:rPr>
  </w:style>
  <w:style w:type="paragraph" w:customStyle="1" w:styleId="479">
    <w:name w:val="Body text|3"/>
    <w:basedOn w:val="1"/>
    <w:qFormat/>
    <w:uiPriority w:val="0"/>
    <w:pPr>
      <w:ind w:left="260" w:hanging="260"/>
      <w:jc w:val="left"/>
    </w:pPr>
    <w:rPr>
      <w:color w:val="000000"/>
      <w:sz w:val="26"/>
      <w:szCs w:val="26"/>
    </w:rPr>
  </w:style>
  <w:style w:type="paragraph" w:customStyle="1" w:styleId="480">
    <w:name w:val="Body text|1"/>
    <w:basedOn w:val="1"/>
    <w:qFormat/>
    <w:uiPriority w:val="0"/>
    <w:pPr>
      <w:spacing w:line="417" w:lineRule="auto"/>
      <w:ind w:firstLine="400"/>
      <w:jc w:val="left"/>
    </w:pPr>
    <w:rPr>
      <w:rFonts w:ascii="宋体" w:hAnsi="宋体" w:cs="宋体"/>
      <w:color w:val="000000"/>
      <w:sz w:val="30"/>
      <w:szCs w:val="30"/>
    </w:rPr>
  </w:style>
  <w:style w:type="character" w:customStyle="1" w:styleId="481">
    <w:name w:val="font51"/>
    <w:basedOn w:val="51"/>
    <w:qFormat/>
    <w:uiPriority w:val="0"/>
    <w:rPr>
      <w:rFonts w:hint="eastAsia" w:ascii="宋体" w:hAnsi="宋体" w:eastAsia="宋体" w:cs="宋体"/>
      <w:b/>
      <w:color w:val="000000"/>
      <w:sz w:val="36"/>
      <w:szCs w:val="36"/>
      <w:u w:val="none"/>
    </w:rPr>
  </w:style>
  <w:style w:type="character" w:customStyle="1" w:styleId="482">
    <w:name w:val="font41"/>
    <w:basedOn w:val="51"/>
    <w:qFormat/>
    <w:uiPriority w:val="0"/>
    <w:rPr>
      <w:rFonts w:hint="eastAsia" w:ascii="宋体" w:hAnsi="宋体" w:eastAsia="宋体" w:cs="宋体"/>
      <w:color w:val="000000"/>
      <w:sz w:val="22"/>
      <w:szCs w:val="22"/>
      <w:u w:val="none"/>
    </w:rPr>
  </w:style>
  <w:style w:type="character" w:customStyle="1" w:styleId="483">
    <w:name w:val="font31"/>
    <w:basedOn w:val="51"/>
    <w:qFormat/>
    <w:uiPriority w:val="0"/>
    <w:rPr>
      <w:rFonts w:hint="default" w:ascii="Calibri" w:hAnsi="Calibri" w:eastAsia="宋体" w:cs="Calibri"/>
      <w:color w:val="000000"/>
      <w:sz w:val="22"/>
      <w:szCs w:val="22"/>
      <w:u w:val="none"/>
    </w:rPr>
  </w:style>
  <w:style w:type="character" w:customStyle="1" w:styleId="484">
    <w:name w:val="NormalCharacter"/>
    <w:semiHidden/>
    <w:qFormat/>
    <w:uiPriority w:val="0"/>
    <w:rPr>
      <w:rFonts w:hint="default" w:ascii="Times New Roman" w:hAnsi="Times New Roman" w:eastAsia="宋体" w:cs="Times New Roman"/>
      <w:sz w:val="21"/>
      <w:szCs w:val="24"/>
    </w:rPr>
  </w:style>
  <w:style w:type="character" w:customStyle="1" w:styleId="485">
    <w:name w:val="bsharetext"/>
    <w:basedOn w:val="51"/>
    <w:qFormat/>
    <w:uiPriority w:val="0"/>
  </w:style>
  <w:style w:type="paragraph" w:customStyle="1" w:styleId="486">
    <w:name w:val="普通(网站)1"/>
    <w:basedOn w:val="65"/>
    <w:qFormat/>
    <w:uiPriority w:val="0"/>
    <w:pPr>
      <w:spacing w:before="100" w:beforeAutospacing="1" w:after="100" w:afterAutospacing="1"/>
      <w:jc w:val="left"/>
    </w:pPr>
    <w:rPr>
      <w:rFonts w:ascii="宋体" w:hAnsi="宋体"/>
      <w:sz w:val="24"/>
      <w:szCs w:val="24"/>
    </w:rPr>
  </w:style>
  <w:style w:type="paragraph" w:customStyle="1" w:styleId="487">
    <w:name w:val="Fließtext"/>
    <w:basedOn w:val="1"/>
    <w:qFormat/>
    <w:uiPriority w:val="99"/>
    <w:rPr>
      <w:rFonts w:ascii="Calibri" w:hAnsi="Calibri"/>
    </w:rPr>
  </w:style>
  <w:style w:type="character" w:customStyle="1" w:styleId="488">
    <w:name w:val="超链接1"/>
    <w:link w:val="67"/>
    <w:qFormat/>
    <w:uiPriority w:val="0"/>
    <w:rPr>
      <w:rFonts w:ascii="Times New Roman" w:hAnsi="Times New Roman" w:eastAsia="宋体"/>
      <w:sz w:val="21"/>
      <w:szCs w:val="24"/>
      <w:lang w:val="en-US" w:eastAsia="zh-CN" w:bidi="ar-SA"/>
    </w:rPr>
  </w:style>
  <w:style w:type="character" w:customStyle="1" w:styleId="489">
    <w:name w:val="页码1"/>
    <w:link w:val="65"/>
    <w:qFormat/>
    <w:uiPriority w:val="0"/>
    <w:rPr>
      <w:rFonts w:hint="default" w:ascii="Times New Roman" w:hAnsi="Times New Roman" w:eastAsia="宋体" w:cs="Times New Roman"/>
      <w:lang w:val="en-US" w:eastAsia="zh-CN" w:bidi="ar-SA"/>
    </w:rPr>
  </w:style>
  <w:style w:type="paragraph" w:customStyle="1" w:styleId="490">
    <w:name w:val="批注文字1"/>
    <w:basedOn w:val="65"/>
    <w:semiHidden/>
    <w:qFormat/>
    <w:uiPriority w:val="0"/>
    <w:pPr>
      <w:jc w:val="left"/>
    </w:pPr>
    <w:rPr>
      <w:sz w:val="21"/>
    </w:rPr>
  </w:style>
  <w:style w:type="paragraph" w:customStyle="1" w:styleId="491">
    <w:name w:val="正文文本缩进11"/>
    <w:basedOn w:val="65"/>
    <w:next w:val="492"/>
    <w:qFormat/>
    <w:uiPriority w:val="0"/>
    <w:pPr>
      <w:spacing w:after="120"/>
      <w:ind w:left="420"/>
    </w:pPr>
    <w:rPr>
      <w:rFonts w:ascii="Calibri" w:hAnsi="Calibri"/>
    </w:rPr>
  </w:style>
  <w:style w:type="paragraph" w:customStyle="1" w:styleId="492">
    <w:name w:val="寄信人地址11"/>
    <w:basedOn w:val="65"/>
    <w:qFormat/>
    <w:uiPriority w:val="0"/>
    <w:rPr>
      <w:rFonts w:ascii="Arial" w:hAnsi="Arial"/>
    </w:rPr>
  </w:style>
  <w:style w:type="paragraph" w:customStyle="1" w:styleId="493">
    <w:name w:val="正文文本 21"/>
    <w:basedOn w:val="1"/>
    <w:qFormat/>
    <w:uiPriority w:val="0"/>
    <w:pPr>
      <w:widowControl/>
      <w:jc w:val="center"/>
    </w:pPr>
    <w:rPr>
      <w:rFonts w:ascii="楷体_GB2312" w:eastAsia="楷体_GB2312"/>
      <w:sz w:val="28"/>
      <w:szCs w:val="28"/>
    </w:rPr>
  </w:style>
  <w:style w:type="paragraph" w:customStyle="1" w:styleId="494">
    <w:name w:val="正文文本_0"/>
    <w:basedOn w:val="284"/>
    <w:qFormat/>
    <w:uiPriority w:val="0"/>
    <w:pPr>
      <w:adjustRightInd w:val="0"/>
      <w:spacing w:after="60" w:line="360" w:lineRule="atLeast"/>
      <w:ind w:left="72" w:leftChars="30" w:right="30" w:rightChars="30"/>
      <w:jc w:val="center"/>
      <w:textAlignment w:val="baseline"/>
    </w:pPr>
    <w:rPr>
      <w:sz w:val="20"/>
    </w:rPr>
  </w:style>
  <w:style w:type="table" w:customStyle="1" w:styleId="495">
    <w:name w:val="网格型111"/>
    <w:qFormat/>
    <w:uiPriority w:val="0"/>
    <w:rPr>
      <w:lang w:val="en-US" w:eastAsia="zh-CN" w:bidi="ar-SA"/>
    </w:rPr>
  </w:style>
  <w:style w:type="paragraph" w:customStyle="1" w:styleId="496">
    <w:name w:val="_Style 2"/>
    <w:basedOn w:val="101"/>
    <w:next w:val="1"/>
    <w:qFormat/>
    <w:uiPriority w:val="0"/>
    <w:pPr>
      <w:spacing w:line="576" w:lineRule="auto"/>
      <w:jc w:val="both"/>
      <w:outlineLvl w:val="9"/>
    </w:pPr>
    <w:rPr>
      <w:rFonts w:ascii="Times New Roman" w:hAnsi="Times New Roman"/>
    </w:rPr>
  </w:style>
  <w:style w:type="paragraph" w:customStyle="1" w:styleId="497">
    <w:name w:val="列出段落11"/>
    <w:basedOn w:val="75"/>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30073</Words>
  <Characters>31502</Characters>
  <Lines>203</Lines>
  <Paragraphs>57</Paragraphs>
  <TotalTime>48</TotalTime>
  <ScaleCrop>false</ScaleCrop>
  <LinksUpToDate>false</LinksUpToDate>
  <CharactersWithSpaces>33827</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2023-12-07T08:15:00Z</dcterms:created>
  <dc:creator>xz</dc:creator>
  <cp:lastModifiedBy>Administrator</cp:lastModifiedBy>
  <dcterms:modified xsi:type="dcterms:W3CDTF">2025-09-29T04:46:37Z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2DA6129AB7794F028014930B088EA104_13</vt:lpwstr>
  </property>
  <property fmtid="{D5CDD505-2E9C-101B-9397-08002B2CF9AE}" pid="4" name="commondata">
    <vt:lpwstr>eyJoZGlkIjoiZjE1Yzg0ZTk2YmZkN2Q4OWRhMThhOGViZDNmODgwMjIifQ==</vt:lpwstr>
  </property>
  <property fmtid="{D5CDD505-2E9C-101B-9397-08002B2CF9AE}" pid="5" name="KSOTemplateDocerSaveRecord">
    <vt:lpwstr>eyJoZGlkIjoiNTM4ZTJiMTJiZWExNDYwZTQ3ZGMxYzU2YTFiOGE4NGMiLCJ1c2VySWQiOiI4MzM4NDkzMDgifQ==</vt:lpwstr>
  </property>
</Properties>
</file>