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rPr>
          <w:rFonts w:ascii="宋体" w:hAnsi="宋体" w:cs="宋体"/>
        </w:rPr>
      </w:pPr>
      <w:r>
        <w:rPr>
          <w:rFonts w:ascii="宋体" w:hAnsi="宋体" w:cs="宋体"/>
        </w:rPr>
      </w:r>
      <w:r/>
    </w:p>
    <w:p>
      <w:pPr>
        <w:pStyle w:val="990"/>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pacing w:val="-20"/>
          <w:sz w:val="48"/>
          <w:szCs w:val="48"/>
        </w:rPr>
      </w:pPr>
      <w:r>
        <w:rPr>
          <w:rFonts w:ascii="宋体" w:hAnsi="宋体" w:cs="宋体"/>
          <w:b/>
          <w:spacing w:val="-20"/>
          <w:sz w:val="48"/>
          <w:szCs w:val="48"/>
        </w:rPr>
      </w:r>
      <w:r/>
    </w:p>
    <w:p>
      <w:pPr>
        <w:jc w:val="center"/>
        <w:spacing w:line="360" w:lineRule="auto"/>
        <w:shd w:val="clear" w:color="auto" w:fill="ffffff"/>
        <w:widowControl/>
        <w:rPr>
          <w:rFonts w:ascii="宋体" w:hAnsi="宋体" w:cs="宋体"/>
          <w:b/>
          <w:sz w:val="72"/>
          <w:szCs w:val="72"/>
        </w:rPr>
      </w:pPr>
      <w:r>
        <w:rPr>
          <w:rFonts w:hint="eastAsia" w:ascii="宋体" w:hAnsi="宋体" w:cs="宋体"/>
          <w:b/>
          <w:sz w:val="56"/>
          <w:szCs w:val="56"/>
        </w:rPr>
        <w:t xml:space="preserve">南京市鼓楼区人民政府江东街道办事处食堂食材采购项目</w:t>
      </w:r>
      <w:r/>
    </w:p>
    <w:p>
      <w:pPr>
        <w:pStyle w:val="952"/>
      </w:pPr>
      <w:r/>
      <w:r/>
    </w:p>
    <w:p>
      <w:pPr>
        <w:pStyle w:val="952"/>
      </w:pPr>
      <w:r/>
      <w:r/>
    </w:p>
    <w:p>
      <w:pPr>
        <w:pStyle w:val="976"/>
        <w:rPr>
          <w:rFonts w:cs="宋体"/>
        </w:rPr>
      </w:pPr>
      <w:r>
        <w:rPr>
          <w:rFonts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项目编号：JSZC-320106-JCEC-G2024-0427</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（货物类项目，专门面向中小企业）</w:t>
      </w:r>
      <w:r/>
    </w:p>
    <w:p>
      <w:pPr>
        <w:jc w:val="center"/>
        <w:spacing w:line="360" w:lineRule="auto"/>
        <w:widowControl/>
        <w:rPr>
          <w:rFonts w:ascii="宋体" w:hAnsi="宋体" w:cs="宋体"/>
          <w:b/>
          <w:sz w:val="72"/>
          <w:szCs w:val="72"/>
        </w:rPr>
      </w:pPr>
      <w:r>
        <w:rPr>
          <w:rFonts w:ascii="宋体" w:hAnsi="宋体" w:cs="宋体"/>
          <w:b/>
          <w:sz w:val="72"/>
          <w:szCs w:val="72"/>
        </w:rPr>
      </w:r>
      <w:r/>
    </w:p>
    <w:p>
      <w:pPr>
        <w:jc w:val="center"/>
        <w:spacing w:line="360" w:lineRule="auto"/>
        <w:widowControl/>
        <w:rPr>
          <w:rFonts w:ascii="宋体" w:hAnsi="宋体" w:cs="宋体"/>
          <w:b/>
          <w:sz w:val="72"/>
          <w:szCs w:val="72"/>
        </w:rPr>
      </w:pPr>
      <w:r>
        <w:rPr>
          <w:rFonts w:ascii="宋体" w:hAnsi="宋体" w:cs="宋体"/>
          <w:b/>
          <w:sz w:val="72"/>
          <w:szCs w:val="72"/>
        </w:rPr>
      </w:r>
      <w:r/>
    </w:p>
    <w:p>
      <w:pPr>
        <w:jc w:val="center"/>
        <w:spacing w:line="360" w:lineRule="auto"/>
        <w:widowControl/>
        <w:rPr>
          <w:rFonts w:ascii="宋体" w:hAnsi="宋体" w:cs="宋体"/>
          <w:b/>
          <w:sz w:val="72"/>
          <w:szCs w:val="72"/>
        </w:rPr>
      </w:pPr>
      <w:r>
        <w:rPr>
          <w:rFonts w:ascii="宋体" w:hAnsi="宋体" w:cs="宋体"/>
          <w:b/>
          <w:sz w:val="72"/>
          <w:szCs w:val="72"/>
        </w:rPr>
      </w:r>
      <w:r/>
    </w:p>
    <w:p>
      <w:pPr>
        <w:pStyle w:val="952"/>
      </w:p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采购人：南京市鼓楼区人民政府江东街道办事处</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2024年10月</w:t>
      </w:r>
      <w:r/>
    </w:p>
    <w:p>
      <w:pPr>
        <w:pStyle w:val="1093"/>
        <w:jc w:val="center"/>
        <w:rPr>
          <w:rFonts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lang w:val="zh-CN"/>
        </w:rPr>
      </w:r>
      <w:r/>
    </w:p>
    <w:p>
      <w:pPr>
        <w:pStyle w:val="1093"/>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967"/>
        <w:tabs>
          <w:tab w:val="right" w:pos="8296" w:leader="dot"/>
        </w:tabs>
        <w:rPr>
          <w:rFonts w:ascii="宋体" w:hAnsi="宋体" w:cs="宋体"/>
          <w:sz w:val="28"/>
          <w:szCs w:val="28"/>
        </w:rPr>
      </w:pPr>
      <w:r>
        <w:rPr>
          <w:rFonts w:ascii="宋体" w:hAnsi="宋体" w:cs="宋体"/>
          <w:sz w:val="28"/>
          <w:szCs w:val="28"/>
        </w:rPr>
      </w:r>
      <w:r/>
    </w:p>
    <w:p>
      <w:pPr>
        <w:pStyle w:val="967"/>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_Toc25148 </w:instrText>
      </w:r>
      <w:r>
        <w:rPr>
          <w:rFonts w:hint="eastAsia" w:ascii="宋体" w:hAnsi="宋体" w:cs="宋体"/>
        </w:rPr>
        <w:fldChar w:fldCharType="separate"/>
      </w:r>
      <w:r>
        <w:rPr>
          <w:rFonts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_Toc25148 \h </w:instrText>
      </w:r>
      <w:r>
        <w:fldChar w:fldCharType="separate"/>
      </w:r>
      <w:r>
        <w:t xml:space="preserve">1</w:t>
      </w:r>
      <w:r>
        <w:fldChar w:fldCharType="end"/>
      </w:r>
      <w:r>
        <w:rPr>
          <w:rFonts w:hint="eastAsia" w:ascii="宋体" w:hAnsi="宋体" w:cs="宋体"/>
        </w:rPr>
        <w:fldChar w:fldCharType="end"/>
      </w:r>
      <w:r/>
    </w:p>
    <w:p>
      <w:pPr>
        <w:pStyle w:val="967"/>
        <w:tabs>
          <w:tab w:val="right" w:pos="9638" w:leader="dot"/>
        </w:tabs>
      </w:pPr>
      <w:r>
        <w:rPr>
          <w:rFonts w:hint="eastAsia" w:ascii="宋体" w:hAnsi="宋体" w:cs="宋体"/>
        </w:rPr>
        <w:fldChar w:fldCharType="begin"/>
      </w:r>
      <w:r>
        <w:rPr>
          <w:rFonts w:hint="eastAsia" w:ascii="宋体" w:hAnsi="宋体" w:cs="宋体"/>
        </w:rPr>
        <w:instrText xml:space="preserve"> HYPERLINK \l _Toc20001 </w:instrText>
      </w:r>
      <w:r>
        <w:rPr>
          <w:rFonts w:hint="eastAsia" w:ascii="宋体" w:hAnsi="宋体" w:cs="宋体"/>
        </w:rPr>
        <w:fldChar w:fldCharType="separate"/>
      </w:r>
      <w:r>
        <w:rPr>
          <w:rFonts w:ascii="宋体" w:hAnsi="宋体" w:cs="宋体"/>
        </w:rPr>
        <w:t xml:space="preserve">第二章 </w:t>
      </w:r>
      <w:r>
        <w:rPr>
          <w:rFonts w:hint="eastAsia" w:ascii="宋体" w:hAnsi="宋体" w:cs="宋体"/>
        </w:rPr>
        <w:t xml:space="preserve">投标人须知</w:t>
      </w:r>
      <w:r>
        <w:tab/>
      </w:r>
      <w:r>
        <w:fldChar w:fldCharType="begin"/>
      </w:r>
      <w:r>
        <w:instrText xml:space="preserve"> PAGEREF _Toc20001 \h </w:instrText>
      </w:r>
      <w:r>
        <w:fldChar w:fldCharType="separate"/>
      </w:r>
      <w:r>
        <w:t xml:space="preserve">5</w:t>
      </w:r>
      <w:r>
        <w:fldChar w:fldCharType="end"/>
      </w:r>
      <w:r>
        <w:rPr>
          <w:rFonts w:hint="eastAsia" w:ascii="宋体" w:hAnsi="宋体" w:cs="宋体"/>
        </w:rPr>
        <w:fldChar w:fldCharType="end"/>
      </w:r>
      <w:r/>
    </w:p>
    <w:p>
      <w:pPr>
        <w:pStyle w:val="967"/>
        <w:tabs>
          <w:tab w:val="right" w:pos="9638" w:leader="dot"/>
        </w:tabs>
      </w:pPr>
      <w:r>
        <w:rPr>
          <w:rFonts w:hint="eastAsia" w:ascii="宋体" w:hAnsi="宋体" w:cs="宋体"/>
        </w:rPr>
        <w:fldChar w:fldCharType="begin"/>
      </w:r>
      <w:r>
        <w:rPr>
          <w:rFonts w:hint="eastAsia" w:ascii="宋体" w:hAnsi="宋体" w:cs="宋体"/>
        </w:rPr>
        <w:instrText xml:space="preserve"> HYPERLINK \l _Toc15057 </w:instrText>
      </w:r>
      <w:r>
        <w:rPr>
          <w:rFonts w:hint="eastAsia" w:ascii="宋体" w:hAnsi="宋体" w:cs="宋体"/>
        </w:rPr>
        <w:fldChar w:fldCharType="separate"/>
      </w:r>
      <w:r>
        <w:rPr>
          <w:rFonts w:ascii="宋体" w:hAnsi="宋体" w:cs="宋体"/>
        </w:rPr>
        <w:t xml:space="preserve">第三章 </w:t>
      </w:r>
      <w:r>
        <w:rPr>
          <w:rFonts w:hint="eastAsia" w:ascii="宋体" w:hAnsi="宋体" w:cs="宋体"/>
        </w:rPr>
        <w:t xml:space="preserve">评标标准</w:t>
      </w:r>
      <w:r>
        <w:tab/>
      </w:r>
      <w:r>
        <w:fldChar w:fldCharType="begin"/>
      </w:r>
      <w:r>
        <w:instrText xml:space="preserve"> PAGEREF _Toc15057 \h </w:instrText>
      </w:r>
      <w:r>
        <w:fldChar w:fldCharType="separate"/>
      </w:r>
      <w:r>
        <w:t xml:space="preserve">16</w:t>
      </w:r>
      <w:r>
        <w:fldChar w:fldCharType="end"/>
      </w:r>
      <w:r>
        <w:rPr>
          <w:rFonts w:hint="eastAsia" w:ascii="宋体" w:hAnsi="宋体" w:cs="宋体"/>
        </w:rPr>
        <w:fldChar w:fldCharType="end"/>
      </w:r>
      <w:r/>
    </w:p>
    <w:p>
      <w:pPr>
        <w:pStyle w:val="967"/>
        <w:tabs>
          <w:tab w:val="right" w:pos="9638" w:leader="dot"/>
        </w:tabs>
      </w:pPr>
      <w:r>
        <w:rPr>
          <w:rFonts w:hint="eastAsia" w:ascii="宋体" w:hAnsi="宋体" w:cs="宋体"/>
        </w:rPr>
        <w:fldChar w:fldCharType="begin"/>
      </w:r>
      <w:r>
        <w:rPr>
          <w:rFonts w:hint="eastAsia" w:ascii="宋体" w:hAnsi="宋体" w:cs="宋体"/>
        </w:rPr>
        <w:instrText xml:space="preserve"> HYPERLINK \l _Toc31507 </w:instrText>
      </w:r>
      <w:r>
        <w:rPr>
          <w:rFonts w:hint="eastAsia" w:ascii="宋体" w:hAnsi="宋体" w:cs="宋体"/>
        </w:rPr>
        <w:fldChar w:fldCharType="separate"/>
      </w:r>
      <w:r>
        <w:rPr>
          <w:rFonts w:ascii="宋体" w:hAnsi="宋体" w:cs="宋体"/>
        </w:rPr>
        <w:t xml:space="preserve">第四章 </w:t>
      </w:r>
      <w:r>
        <w:rPr>
          <w:rFonts w:hint="eastAsia" w:ascii="宋体" w:hAnsi="宋体" w:cs="宋体"/>
        </w:rPr>
        <w:t xml:space="preserve">采购需求</w:t>
      </w:r>
      <w:r>
        <w:tab/>
      </w:r>
      <w:r>
        <w:fldChar w:fldCharType="begin"/>
      </w:r>
      <w:r>
        <w:instrText xml:space="preserve"> PAGEREF _Toc31507 \h </w:instrText>
      </w:r>
      <w:r>
        <w:fldChar w:fldCharType="separate"/>
      </w:r>
      <w:r>
        <w:t xml:space="preserve">19</w:t>
      </w:r>
      <w:r>
        <w:fldChar w:fldCharType="end"/>
      </w:r>
      <w:r>
        <w:rPr>
          <w:rFonts w:hint="eastAsia" w:ascii="宋体" w:hAnsi="宋体" w:cs="宋体"/>
        </w:rPr>
        <w:fldChar w:fldCharType="end"/>
      </w:r>
      <w:r/>
    </w:p>
    <w:p>
      <w:pPr>
        <w:pStyle w:val="967"/>
        <w:tabs>
          <w:tab w:val="right" w:pos="9638" w:leader="dot"/>
        </w:tabs>
      </w:pPr>
      <w:r>
        <w:rPr>
          <w:rFonts w:hint="eastAsia" w:ascii="宋体" w:hAnsi="宋体" w:cs="宋体"/>
        </w:rPr>
        <w:fldChar w:fldCharType="begin"/>
      </w:r>
      <w:r>
        <w:rPr>
          <w:rFonts w:hint="eastAsia" w:ascii="宋体" w:hAnsi="宋体" w:cs="宋体"/>
        </w:rPr>
        <w:instrText xml:space="preserve"> HYPERLINK \l _Toc8454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_Toc8454 \h </w:instrText>
      </w:r>
      <w:r>
        <w:fldChar w:fldCharType="separate"/>
      </w:r>
      <w:r>
        <w:t xml:space="preserve">31</w:t>
      </w:r>
      <w:r>
        <w:fldChar w:fldCharType="end"/>
      </w:r>
      <w:r>
        <w:rPr>
          <w:rFonts w:hint="eastAsia" w:ascii="宋体" w:hAnsi="宋体" w:cs="宋体"/>
        </w:rPr>
        <w:fldChar w:fldCharType="end"/>
      </w:r>
      <w:r/>
    </w:p>
    <w:p>
      <w:pPr>
        <w:pStyle w:val="967"/>
        <w:tabs>
          <w:tab w:val="right" w:pos="9638" w:leader="dot"/>
        </w:tabs>
      </w:pPr>
      <w:r>
        <w:rPr>
          <w:rFonts w:hint="eastAsia" w:ascii="宋体" w:hAnsi="宋体" w:cs="宋体"/>
        </w:rPr>
        <w:fldChar w:fldCharType="begin"/>
      </w:r>
      <w:r>
        <w:rPr>
          <w:rFonts w:hint="eastAsia" w:ascii="宋体" w:hAnsi="宋体" w:cs="宋体"/>
        </w:rPr>
        <w:instrText xml:space="preserve"> HYPERLINK \l _Toc19959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_Toc19959 \h </w:instrText>
      </w:r>
      <w:r>
        <w:fldChar w:fldCharType="separate"/>
      </w:r>
      <w:r>
        <w:t xml:space="preserve">37</w:t>
      </w:r>
      <w:r>
        <w:fldChar w:fldCharType="end"/>
      </w:r>
      <w:r>
        <w:rPr>
          <w:rFonts w:hint="eastAsia" w:ascii="宋体" w:hAnsi="宋体" w:cs="宋体"/>
        </w:rPr>
        <w:fldChar w:fldCharType="end"/>
      </w:r>
      <w:r/>
    </w:p>
    <w:p>
      <w:pPr>
        <w:spacing w:line="360" w:lineRule="auto"/>
        <w:rPr>
          <w:rFonts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932"/>
        <w:rPr>
          <w:rFonts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932"/>
        <w:spacing w:line="360" w:lineRule="auto"/>
        <w:rPr>
          <w:rFonts w:ascii="宋体" w:hAnsi="宋体" w:cs="宋体"/>
          <w:szCs w:val="21"/>
        </w:rPr>
      </w:pPr>
      <w:r>
        <w:rPr>
          <w:rFonts w:hint="eastAsia" w:ascii="宋体" w:hAnsi="宋体" w:cs="宋体"/>
        </w:rPr>
        <w:t xml:space="preserve"> </w:t>
      </w:r>
      <w:bookmarkStart w:id="3" w:name="_Toc25148"/>
      <w:r>
        <w:rPr>
          <w:rFonts w:hint="eastAsia" w:ascii="宋体" w:hAnsi="宋体" w:cs="宋体"/>
        </w:rPr>
        <w:t xml:space="preserve">招标公告</w:t>
      </w:r>
      <w:bookmarkEnd w:id="0"/>
      <w:r/>
      <w:bookmarkEnd w:id="3"/>
      <w:r/>
      <w:r/>
    </w:p>
    <w:p>
      <w:pPr>
        <w:ind w:firstLine="369"/>
        <w:spacing w:line="360" w:lineRule="auto"/>
        <w:widowControl/>
        <w:rPr>
          <w:rFonts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南京市鼓楼区人民政府江东街道办事处食堂食材采购项目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2024</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15</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点30分</w:t>
      </w:r>
      <w:r>
        <w:rPr>
          <w:rFonts w:hint="eastAsia" w:ascii="宋体" w:hAnsi="宋体" w:cs="宋体"/>
          <w:szCs w:val="21"/>
        </w:rPr>
        <w:t xml:space="preserve">（北京时间）前递交投标文件。</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ascii="宋体" w:hAnsi="宋体" w:cs="宋体"/>
          <w:bCs/>
          <w:szCs w:val="21"/>
        </w:rPr>
      </w:pPr>
      <w:r>
        <w:rPr>
          <w:rFonts w:hint="eastAsia" w:ascii="宋体" w:hAnsi="宋体" w:cs="宋体"/>
          <w:bCs/>
          <w:szCs w:val="21"/>
        </w:rPr>
        <w:t xml:space="preserve">1.1项目编号：JSZC-320106-JCEC-G2024-0427</w:t>
      </w:r>
      <w:r/>
    </w:p>
    <w:p>
      <w:pPr>
        <w:ind w:firstLine="420"/>
        <w:spacing w:line="360" w:lineRule="auto"/>
        <w:rPr>
          <w:rFonts w:ascii="宋体" w:hAnsi="宋体" w:cs="宋体"/>
          <w:bCs/>
          <w:szCs w:val="21"/>
        </w:rPr>
      </w:pPr>
      <w:r>
        <w:rPr>
          <w:rFonts w:hint="eastAsia" w:ascii="宋体" w:hAnsi="宋体" w:cs="宋体"/>
          <w:bCs/>
          <w:szCs w:val="21"/>
        </w:rPr>
        <w:t xml:space="preserve">1.2项目名称：南京市鼓楼区人民政府江东街道办事处食堂食材采购项目</w:t>
      </w:r>
      <w:r/>
    </w:p>
    <w:p>
      <w:pPr>
        <w:ind w:firstLine="420"/>
        <w:spacing w:line="360" w:lineRule="auto"/>
        <w:rPr>
          <w:rFonts w:ascii="宋体" w:hAnsi="宋体" w:cs="宋体"/>
          <w:bCs/>
          <w:szCs w:val="21"/>
        </w:rPr>
      </w:pPr>
      <w:r>
        <w:rPr>
          <w:rFonts w:hint="eastAsia" w:ascii="宋体" w:hAnsi="宋体" w:cs="宋体"/>
          <w:bCs/>
          <w:szCs w:val="21"/>
        </w:rPr>
        <w:t xml:space="preserve">1.3预算金额：人民币</w:t>
      </w:r>
      <w:r>
        <w:rPr>
          <w:rFonts w:hint="eastAsia" w:ascii="宋体" w:hAnsi="宋体" w:cs="宋体"/>
          <w:spacing w:val="8"/>
          <w:szCs w:val="21"/>
        </w:rPr>
        <w:t xml:space="preserve">170万元；</w:t>
      </w:r>
      <w:r/>
    </w:p>
    <w:p>
      <w:pPr>
        <w:ind w:firstLine="420"/>
        <w:spacing w:line="360" w:lineRule="auto"/>
        <w:rPr>
          <w:rFonts w:ascii="宋体" w:hAnsi="宋体" w:cs="宋体"/>
          <w:b/>
          <w:spacing w:val="8"/>
          <w:szCs w:val="21"/>
        </w:rPr>
      </w:pPr>
      <w:r>
        <w:rPr>
          <w:rFonts w:hint="eastAsia" w:ascii="宋体" w:hAnsi="宋体" w:cs="宋体"/>
          <w:bCs/>
          <w:szCs w:val="21"/>
        </w:rPr>
        <w:t xml:space="preserve">1.4</w:t>
      </w:r>
      <w:r>
        <w:rPr>
          <w:rFonts w:hint="eastAsia" w:ascii="Arial" w:hAnsi="Arial" w:cs="Arial"/>
          <w:spacing w:val="8"/>
          <w:szCs w:val="21"/>
        </w:rPr>
        <w:t xml:space="preserve">最高限价：投标优惠率（单价下浮比例）≥0%</w:t>
      </w:r>
      <w:r>
        <w:rPr>
          <w:rFonts w:hint="eastAsia" w:ascii="宋体" w:hAnsi="宋体" w:cs="宋体"/>
          <w:spacing w:val="8"/>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1.5采购需求：</w:t>
      </w:r>
      <w:r>
        <w:rPr>
          <w:rFonts w:hint="eastAsia" w:ascii="宋体" w:hAnsi="宋体" w:cs="宋体"/>
          <w:szCs w:val="21"/>
        </w:rPr>
        <w:t xml:space="preserve">南京市鼓楼区人民政府江东街道办事处</w:t>
      </w:r>
      <w:r>
        <w:rPr>
          <w:rFonts w:hint="eastAsia" w:ascii="宋体" w:hAnsi="宋体" w:cs="宋体"/>
          <w:bCs/>
          <w:szCs w:val="21"/>
        </w:rPr>
        <w:t xml:space="preserve">食堂食材采购项目，</w:t>
      </w:r>
      <w:r>
        <w:rPr>
          <w:rFonts w:hint="eastAsia" w:ascii="宋体" w:hAnsi="宋体"/>
          <w:szCs w:val="21"/>
        </w:rPr>
        <w:t xml:space="preserve">内容包括米面杂粮类、方便速食、豆制品类、酱菜类、干货调料、肉品冻货、水产类、禽蛋类、畜禽肉、蔬果类、食用油类、牛奶类等。所有食材必须安全、卫生、无毒、无害，符合食品卫生质量要求。具体要求详见采购文件。</w:t>
      </w:r>
      <w:r/>
    </w:p>
    <w:p>
      <w:pPr>
        <w:ind w:firstLine="420"/>
        <w:spacing w:line="360" w:lineRule="auto"/>
        <w:rPr>
          <w:rFonts w:ascii="宋体" w:hAnsi="宋体" w:cs="宋体"/>
          <w:bCs/>
          <w:szCs w:val="21"/>
          <w:highlight w:val="yellow"/>
        </w:rPr>
      </w:pPr>
      <w:r>
        <w:rPr>
          <w:rFonts w:hint="eastAsia" w:ascii="宋体" w:hAnsi="宋体" w:cs="宋体"/>
          <w:bCs/>
          <w:szCs w:val="21"/>
        </w:rPr>
        <w:t xml:space="preserve">1.6合同履行期限：自合同签订之日起1年。</w:t>
      </w:r>
      <w:r/>
    </w:p>
    <w:p>
      <w:pPr>
        <w:ind w:firstLine="420"/>
        <w:spacing w:line="360" w:lineRule="auto"/>
        <w:rPr>
          <w:rFonts w:ascii="宋体" w:hAnsi="宋体" w:cs="宋体"/>
          <w:bCs/>
          <w:szCs w:val="21"/>
        </w:rPr>
      </w:pPr>
      <w:r>
        <w:rPr>
          <w:rFonts w:hint="eastAsia" w:ascii="宋体" w:hAnsi="宋体" w:cs="宋体"/>
          <w:bCs/>
          <w:szCs w:val="21"/>
        </w:rPr>
        <w:t xml:space="preserve">1.7行业划分：</w:t>
      </w:r>
      <w:r>
        <w:rPr>
          <w:rFonts w:hint="eastAsia" w:ascii="宋体" w:hAnsi="宋体" w:cs="宋体"/>
          <w:spacing w:val="8"/>
          <w:szCs w:val="21"/>
          <w:lang w:val="en-US" w:eastAsia="zh-CN"/>
        </w:rPr>
        <w:t xml:space="preserve">批发</w:t>
      </w:r>
      <w:r>
        <w:rPr>
          <w:rFonts w:hint="eastAsia" w:ascii="宋体" w:hAnsi="宋体" w:cs="宋体"/>
          <w:spacing w:val="8"/>
          <w:szCs w:val="21"/>
        </w:rPr>
        <w:t xml:space="preserve">业。</w:t>
      </w:r>
      <w:r/>
    </w:p>
    <w:p>
      <w:pPr>
        <w:ind w:firstLine="420"/>
        <w:spacing w:line="360" w:lineRule="auto"/>
      </w:pPr>
      <w:r>
        <w:rPr>
          <w:rFonts w:hint="eastAsia" w:ascii="宋体" w:hAnsi="宋体" w:cs="宋体"/>
          <w:bCs/>
          <w:szCs w:val="21"/>
        </w:rPr>
        <w:t xml:space="preserve">1.8本项目不接受联合体投标。</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（2）具有良好的商业信誉和健全的财务会计制度（提供2023年度的财务报表，或投标截止时间前六个月内银行出具的资信证明）；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rPr>
        <w:t xml:space="preserve">2.2落实政府采购政策需满足的</w:t>
      </w:r>
      <w:r>
        <w:rPr>
          <w:rFonts w:hint="eastAsia" w:ascii="宋体" w:hAnsi="宋体" w:cs="宋体"/>
          <w:b/>
          <w:spacing w:val="8"/>
          <w:szCs w:val="21"/>
          <w:highlight w:val="none"/>
        </w:rPr>
        <w:t xml:space="preserve">资格要求：</w:t>
      </w:r>
      <w:r>
        <w:rPr>
          <w:rFonts w:hint="eastAsia" w:ascii="宋体" w:hAnsi="宋体" w:cs="宋体"/>
          <w:b/>
          <w:bCs/>
          <w:spacing w:val="8"/>
          <w:szCs w:val="21"/>
          <w:highlight w:val="none"/>
        </w:rPr>
        <w:t xml:space="preserve">本项目专门面向中小企业（或监狱企业或残疾人福利性单位）采购</w:t>
      </w:r>
      <w:r>
        <w:rPr>
          <w:rFonts w:hint="eastAsia" w:ascii="宋体" w:hAnsi="宋体" w:cs="宋体"/>
          <w:b/>
          <w:bCs/>
          <w:spacing w:val="8"/>
          <w:szCs w:val="21"/>
          <w:highlight w:val="none"/>
          <w:lang w:eastAsia="zh-CN"/>
        </w:rPr>
        <w:t xml:space="preserve">。</w:t>
      </w:r>
      <w:r>
        <w:rPr>
          <w:rFonts w:hint="eastAsia" w:ascii="宋体" w:hAnsi="宋体" w:cs="宋体"/>
          <w:b/>
          <w:bCs/>
          <w:szCs w:val="21"/>
          <w:highlight w:val="none"/>
        </w:rPr>
        <w:t xml:space="preserve">（须提供《中小企业声明函》或《残疾人福利性单位声明函》或属于监狱企业的证明文件</w:t>
      </w:r>
      <w:r>
        <w:rPr>
          <w:rFonts w:hint="eastAsia" w:ascii="宋体" w:hAnsi="宋体" w:cs="宋体"/>
          <w:b/>
          <w:szCs w:val="21"/>
          <w:highlight w:val="none"/>
        </w:rPr>
        <w:t xml:space="preserve">）。</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lang w:val="en-US" w:eastAsia="zh-CN"/>
        </w:rPr>
        <w:t xml:space="preserve">供应商</w:t>
      </w:r>
      <w:r>
        <w:rPr>
          <w:rFonts w:hint="eastAsia" w:ascii="宋体" w:hAnsi="宋体" w:cs="宋体"/>
          <w:b/>
          <w:spacing w:val="8"/>
          <w:szCs w:val="21"/>
          <w:highlight w:val="none"/>
        </w:rPr>
        <w:t xml:space="preserve">必须具有行业主管部门颁发的《食品经营许可证》；若为生产型企业还须提供《食品生产许可证》（提供相关证书复印件加盖公章）。</w:t>
      </w:r>
      <w:r/>
    </w:p>
    <w:p>
      <w:pPr>
        <w:ind w:firstLine="426"/>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bCs/>
          <w:spacing w:val="8"/>
          <w:szCs w:val="21"/>
        </w:rPr>
        <w:t xml:space="preserve"> 提供《南京市政府采购供应商信用记录表暨信用承诺书》（网站在线打印，法定代表人签字并盖单位公章）</w:t>
      </w:r>
      <w:r>
        <w:rPr>
          <w:rFonts w:hint="eastAsia" w:ascii="宋体" w:hAnsi="宋体" w:cs="宋体"/>
          <w:b/>
          <w:szCs w:val="21"/>
        </w:rPr>
        <w:t xml:space="preserve">。</w:t>
      </w:r>
      <w:r/>
    </w:p>
    <w:p>
      <w:pPr>
        <w:ind w:firstLine="426"/>
        <w:spacing w:line="360" w:lineRule="auto"/>
        <w:rPr>
          <w:rFonts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bCs/>
          <w:szCs w:val="21"/>
        </w:rPr>
      </w:pPr>
      <w:r>
        <w:rPr>
          <w:rFonts w:ascii="宋体" w:hAnsi="宋体" w:cs="宋体"/>
          <w:bCs/>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ascii="宋体" w:hAnsi="宋体" w:cs="宋体"/>
          <w:b w:val="0"/>
          <w:bCs w:val="0"/>
          <w:spacing w:val="8"/>
          <w:szCs w:val="21"/>
        </w:rPr>
      </w:pPr>
      <w:r>
        <w:rPr>
          <w:rFonts w:hint="eastAsia" w:ascii="宋体" w:hAnsi="宋体" w:cs="宋体"/>
          <w:b w:val="0"/>
          <w:bCs w:val="0"/>
          <w:spacing w:val="8"/>
          <w:szCs w:val="21"/>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3.2地点：江苏政府采购网。</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3.3方式：网上下载</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2024</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15</w:t>
      </w:r>
      <w:r>
        <w:rPr>
          <w:rFonts w:hint="eastAsia" w:ascii="宋体" w:hAnsi="宋体" w:cs="宋体"/>
          <w:b/>
          <w:bCs/>
          <w:spacing w:val="8"/>
          <w:szCs w:val="21"/>
        </w:rPr>
        <w:t xml:space="preserve">日</w:t>
      </w:r>
      <w:r>
        <w:rPr>
          <w:rFonts w:hint="eastAsia" w:ascii="宋体" w:hAnsi="宋体" w:cs="宋体"/>
          <w:b/>
          <w:bCs/>
          <w:lang w:val="en-US" w:eastAsia="zh-CN"/>
        </w:rPr>
        <w:t xml:space="preserve">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77"/>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977"/>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0"/>
        <w:spacing w:line="360" w:lineRule="auto"/>
        <w:rPr>
          <w:rFonts w:ascii="宋体" w:hAnsi="宋体" w:cs="宋体"/>
          <w:bCs/>
          <w:szCs w:val="21"/>
        </w:rPr>
      </w:pPr>
      <w:r>
        <w:rPr>
          <w:rFonts w:hint="eastAsia" w:ascii="宋体" w:hAnsi="宋体" w:cs="宋体"/>
          <w:bCs/>
          <w:szCs w:val="21"/>
        </w:rPr>
        <w:t xml:space="preserve">操作手册下载地址：</w:t>
      </w:r>
      <w:r/>
    </w:p>
    <w:p>
      <w:pPr>
        <w:pStyle w:val="990"/>
        <w:spacing w:line="360" w:lineRule="auto"/>
        <w:rPr>
          <w:rFonts w:ascii="宋体" w:hAnsi="宋体" w:cs="宋体"/>
          <w:bCs/>
          <w:szCs w:val="21"/>
        </w:rPr>
      </w:pPr>
      <w:r>
        <w:rPr>
          <w:rFonts w:hint="eastAsia" w:ascii="宋体" w:hAnsi="宋体" w:cs="宋体"/>
          <w:bCs/>
          <w:szCs w:val="21"/>
        </w:rPr>
        <w:t xml:space="preserve">http://www.ccgp-jiangsu.gov.cn/jiangsu/zlxz/ee/ee3a4bc5a3454aa2b0d9312230633ce9.html</w:t>
      </w:r>
      <w:r/>
    </w:p>
    <w:p>
      <w:pPr>
        <w:pStyle w:val="990"/>
        <w:spacing w:line="360" w:lineRule="auto"/>
        <w:rPr>
          <w:rFonts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990"/>
        <w:spacing w:line="360" w:lineRule="auto"/>
        <w:rPr>
          <w:rFonts w:ascii="宋体" w:hAnsi="宋体" w:cs="宋体"/>
          <w:bCs/>
          <w:szCs w:val="21"/>
        </w:rPr>
      </w:pPr>
      <w:r>
        <w:rPr>
          <w:rFonts w:hint="eastAsia" w:ascii="宋体" w:hAnsi="宋体" w:cs="宋体"/>
          <w:bCs/>
          <w:szCs w:val="21"/>
        </w:rPr>
        <w:t xml:space="preserve">“苏采云”南京地区客服热线025-83633744、025-83633743。</w:t>
      </w:r>
      <w:r/>
    </w:p>
    <w:p>
      <w:pPr>
        <w:pStyle w:val="990"/>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989"/>
      </w:pPr>
      <w:r/>
      <w:r/>
    </w:p>
    <w:p>
      <w:pPr>
        <w:spacing w:line="360" w:lineRule="auto"/>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名称：南京市鼓楼区人民政府江东街道办事处</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地址：</w:t>
      </w:r>
      <w:r>
        <w:rPr>
          <w:rFonts w:ascii="宋体" w:hAnsi="宋体" w:cs="宋体"/>
          <w:spacing w:val="-2"/>
          <w:szCs w:val="21"/>
          <w:highlight w:val="none"/>
        </w:rPr>
        <w:t xml:space="preserve">南京市鼓楼区江东北路</w:t>
      </w:r>
      <w:r>
        <w:rPr>
          <w:rFonts w:ascii="宋体" w:hAnsi="宋体" w:cs="宋体"/>
          <w:spacing w:val="-24"/>
          <w:szCs w:val="21"/>
          <w:highlight w:val="none"/>
        </w:rPr>
        <w:t xml:space="preserve"> </w:t>
      </w:r>
      <w:r>
        <w:rPr>
          <w:rFonts w:ascii="宋体" w:hAnsi="宋体" w:cs="宋体"/>
          <w:spacing w:val="-2"/>
          <w:szCs w:val="21"/>
          <w:highlight w:val="none"/>
        </w:rPr>
        <w:t xml:space="preserve">101</w:t>
      </w:r>
      <w:r>
        <w:rPr>
          <w:rFonts w:ascii="宋体" w:hAnsi="宋体" w:cs="宋体"/>
          <w:spacing w:val="-39"/>
          <w:szCs w:val="21"/>
          <w:highlight w:val="none"/>
        </w:rPr>
        <w:t xml:space="preserve"> </w:t>
      </w:r>
      <w:r>
        <w:rPr>
          <w:rFonts w:ascii="宋体" w:hAnsi="宋体" w:cs="宋体"/>
          <w:spacing w:val="-2"/>
          <w:szCs w:val="21"/>
          <w:highlight w:val="none"/>
        </w:rPr>
        <w:t xml:space="preserve">号</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联系人：王峰</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联系电话：025-86516544</w:t>
      </w:r>
      <w:r/>
    </w:p>
    <w:p>
      <w:pPr>
        <w:ind w:firstLine="363"/>
        <w:spacing w:line="360" w:lineRule="auto"/>
        <w:widowControl/>
        <w:rPr>
          <w:rFonts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ascii="宋体" w:hAnsi="宋体" w:cs="宋体"/>
          <w:bCs/>
          <w:szCs w:val="21"/>
        </w:rPr>
      </w:pPr>
      <w:r>
        <w:rPr>
          <w:rFonts w:hint="eastAsia" w:ascii="宋体" w:hAnsi="宋体" w:cs="宋体"/>
          <w:bCs/>
          <w:szCs w:val="21"/>
        </w:rPr>
        <w:t xml:space="preserve">地址：江苏省南京市鼓楼区清江南路18号鼓楼创新广场D栋10楼1001室</w:t>
      </w:r>
      <w:r/>
    </w:p>
    <w:p>
      <w:pPr>
        <w:ind w:firstLine="363"/>
        <w:spacing w:line="360" w:lineRule="auto"/>
        <w:widowControl/>
        <w:rPr>
          <w:rFonts w:ascii="宋体" w:hAnsi="宋体" w:cs="宋体"/>
          <w:bCs/>
          <w:szCs w:val="21"/>
        </w:rPr>
      </w:pPr>
      <w:r>
        <w:rPr>
          <w:rFonts w:hint="eastAsia" w:ascii="宋体" w:hAnsi="宋体" w:cs="宋体"/>
          <w:bCs/>
          <w:szCs w:val="21"/>
        </w:rPr>
        <w:t xml:space="preserve">联系人：左卢成 唐大维</w:t>
      </w:r>
      <w:r/>
    </w:p>
    <w:p>
      <w:pPr>
        <w:ind w:firstLine="363"/>
        <w:spacing w:line="360" w:lineRule="auto"/>
        <w:widowControl/>
        <w:rPr>
          <w:rFonts w:ascii="宋体" w:hAnsi="宋体" w:cs="宋体"/>
          <w:bCs/>
          <w:szCs w:val="21"/>
        </w:rPr>
      </w:pPr>
      <w:r>
        <w:rPr>
          <w:rFonts w:hint="eastAsia" w:ascii="宋体" w:hAnsi="宋体" w:cs="宋体"/>
          <w:bCs/>
          <w:szCs w:val="21"/>
        </w:rPr>
        <w:t xml:space="preserve">电子邮箱：zuolc@jcec.cn</w:t>
      </w:r>
      <w:r/>
    </w:p>
    <w:p>
      <w:pPr>
        <w:ind w:firstLine="363"/>
        <w:spacing w:line="360" w:lineRule="auto"/>
        <w:widowControl/>
        <w:rPr>
          <w:rFonts w:ascii="宋体" w:hAnsi="宋体" w:cs="宋体"/>
          <w:bCs/>
          <w:szCs w:val="21"/>
        </w:rPr>
      </w:pPr>
      <w:r>
        <w:rPr>
          <w:rFonts w:hint="eastAsia" w:ascii="宋体" w:hAnsi="宋体" w:cs="宋体"/>
          <w:bCs/>
          <w:szCs w:val="21"/>
        </w:rPr>
        <w:t xml:space="preserve">联系方式：025-83314167  025-86639285</w:t>
      </w:r>
      <w:r/>
    </w:p>
    <w:p>
      <w:pPr>
        <w:ind w:firstLine="363"/>
        <w:spacing w:line="360" w:lineRule="auto"/>
        <w:widowControl/>
        <w:rPr>
          <w:rFonts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ascii="宋体" w:hAnsi="宋体" w:cs="宋体"/>
          <w:bCs/>
          <w:szCs w:val="21"/>
        </w:rPr>
      </w:pPr>
      <w:r>
        <w:rPr>
          <w:rFonts w:hint="eastAsia" w:ascii="宋体" w:hAnsi="宋体" w:cs="宋体"/>
          <w:bCs/>
          <w:szCs w:val="21"/>
        </w:rPr>
        <w:t xml:space="preserve">联系人：左卢成 唐大维</w:t>
      </w:r>
      <w:r/>
    </w:p>
    <w:p>
      <w:pPr>
        <w:ind w:firstLine="363"/>
        <w:spacing w:line="360" w:lineRule="auto"/>
        <w:widowControl/>
        <w:rPr>
          <w:rFonts w:ascii="宋体" w:hAnsi="宋体" w:cs="宋体"/>
        </w:rPr>
      </w:pPr>
      <w:r>
        <w:rPr>
          <w:rFonts w:hint="eastAsia" w:ascii="宋体" w:hAnsi="宋体" w:cs="宋体"/>
          <w:bCs/>
          <w:szCs w:val="21"/>
        </w:rPr>
        <w:t xml:space="preserve">电话：025-83314167  025-86639285</w:t>
      </w:r>
      <w:r>
        <w:rPr>
          <w:rFonts w:hint="eastAsia" w:ascii="宋体" w:hAnsi="宋体" w:cs="宋体"/>
        </w:rPr>
        <w:br w:type="page" w:clear="all"/>
      </w:r>
      <w:r/>
    </w:p>
    <w:p>
      <w:pPr>
        <w:pStyle w:val="932"/>
        <w:spacing w:line="360" w:lineRule="auto"/>
        <w:rPr>
          <w:rFonts w:ascii="宋体" w:hAnsi="宋体" w:cs="宋体"/>
        </w:rPr>
      </w:pPr>
      <w:r/>
      <w:bookmarkStart w:id="4" w:name="_Toc20001"/>
      <w:r/>
      <w:bookmarkStart w:id="5" w:name="_Toc452625218"/>
      <w:r>
        <w:rPr>
          <w:rFonts w:hint="eastAsia" w:ascii="宋体" w:hAnsi="宋体" w:cs="宋体"/>
        </w:rPr>
        <w:t xml:space="preserve">投标人须知</w:t>
      </w:r>
      <w:bookmarkEnd w:id="4"/>
      <w:r/>
      <w:bookmarkEnd w:id="5"/>
      <w:r/>
      <w:r/>
    </w:p>
    <w:p>
      <w:pPr>
        <w:ind w:firstLine="424"/>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 招标代理服务费：</w:t>
      </w:r>
      <w:r>
        <w:rPr>
          <w:rFonts w:hint="eastAsia" w:ascii="宋体" w:hAnsi="宋体" w:cs="宋体"/>
          <w:b/>
          <w:szCs w:val="21"/>
        </w:rPr>
        <w:t xml:space="preserve">本次招标，中标人根据预算额参照《招标代理服务费管理暂行办法》（国家发展计划委员会计价格【2002】1980号）代理货物招标收费基准费率的70%计算，在领取中标通知书前向采购代理机构支付招标服务费。评审费按实收取。本项费用无需在投标报价表中单列</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w:t>
      </w:r>
      <w:r>
        <w:rPr>
          <w:rFonts w:hint="eastAsia" w:ascii="宋体" w:hAnsi="宋体" w:cs="宋体"/>
          <w:lang w:eastAsia="zh-CN"/>
        </w:rPr>
        <w:t xml:space="preserve">采购人</w:t>
      </w:r>
      <w:r>
        <w:rPr>
          <w:rFonts w:hint="eastAsia" w:ascii="宋体" w:hAnsi="宋体" w:cs="宋体"/>
        </w:rPr>
        <w:t xml:space="preserve">式采购的，采购人依法报财政部门批准，经批准后，可变更为其他</w:t>
      </w:r>
      <w:r>
        <w:rPr>
          <w:rFonts w:hint="eastAsia" w:ascii="宋体" w:hAnsi="宋体" w:cs="宋体"/>
          <w:lang w:eastAsia="zh-CN"/>
        </w:rPr>
        <w:t xml:space="preserve">采购人</w:t>
      </w:r>
      <w:r>
        <w:rPr>
          <w:rFonts w:hint="eastAsia" w:ascii="宋体" w:hAnsi="宋体" w:cs="宋体"/>
        </w:rPr>
        <w:t xml:space="preserve">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（5）不具备招标文件中规定的资格要求的；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（7）投标文件含有采购人不能接受的附加条件的；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（8）投标文件内容不全或不符合招标文件中规定的其他实质性要求的；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（9）现行法律、法规、规章和招标文件规定的其他无效情形。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r/>
    </w:p>
    <w:p>
      <w:pPr>
        <w:pStyle w:val="932"/>
        <w:spacing w:line="360" w:lineRule="auto"/>
        <w:rPr>
          <w:rFonts w:ascii="宋体" w:hAnsi="宋体" w:cs="宋体"/>
        </w:rPr>
      </w:pPr>
      <w:r/>
      <w:bookmarkStart w:id="6" w:name="_Toc481057145"/>
      <w:r>
        <w:rPr>
          <w:rFonts w:hint="eastAsia" w:ascii="宋体" w:hAnsi="宋体" w:cs="宋体"/>
        </w:rPr>
        <w:t xml:space="preserve"> </w:t>
      </w:r>
      <w:bookmarkStart w:id="7" w:name="_Toc15057"/>
      <w:r>
        <w:rPr>
          <w:rFonts w:hint="eastAsia" w:ascii="宋体" w:hAnsi="宋体" w:cs="宋体"/>
        </w:rPr>
        <w:t xml:space="preserve">评标标准</w:t>
      </w:r>
      <w:bookmarkEnd w:id="7"/>
      <w:r/>
      <w:bookmarkEnd w:id="6"/>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981"/>
        <w:tblW w:w="0" w:type="auto"/>
        <w:tblInd w:w="-5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170"/>
        <w:gridCol w:w="7258"/>
        <w:gridCol w:w="832"/>
      </w:tblGrid>
      <w:tr>
        <w:trPr>
          <w:trHeight w:val="58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评审因素</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评分标准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分值</w:t>
            </w:r>
            <w:r/>
          </w:p>
        </w:tc>
      </w:tr>
      <w:tr>
        <w:trPr>
          <w:trHeight w:val="112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采用低价优先法计算，即满足招标文件要求且投标价格最低的投标报价为评标基准价，其价格分为满分。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本项评标基准价为：（1-投标优惠率）的最低值。</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本项其他投标人的投标报价为：1-投标优惠率。</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其他投标人的价格分统一按照下列公式计算：</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投标报价得分=(评标基准价/投标报价)×30（小数点保留两位）。</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优惠率是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金润发超市或周边大、中型农贸市场的询价结果）为基础，进行下浮的比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30</w:t>
            </w:r>
            <w:r/>
          </w:p>
        </w:tc>
      </w:tr>
      <w:tr>
        <w:trPr>
          <w:trHeight w:val="140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经营业绩</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自2021年 1 月 1 日（以销售合同签订日期或者供货期为准）以来有</w:t>
            </w:r>
            <w:r>
              <w:rPr>
                <w:rFonts w:hint="eastAsia" w:ascii="宋体" w:hAnsi="宋体" w:cs="宋体"/>
                <w:color w:val="000000"/>
                <w:szCs w:val="21"/>
                <w:lang w:val="en-US" w:eastAsia="zh-CN"/>
              </w:rPr>
              <w:t xml:space="preserve">具有</w:t>
            </w:r>
            <w:r>
              <w:rPr>
                <w:rFonts w:hint="eastAsia" w:ascii="宋体" w:hAnsi="宋体" w:cs="宋体"/>
                <w:color w:val="000000"/>
                <w:szCs w:val="21"/>
              </w:rPr>
              <w:t xml:space="preserve">食堂供货的类似经历，每提供 1 个得 2</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分，满分 10 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须提供销售合同、中标通知书及相对应的业主考评表，考评结果为优秀或满意且需加盖对应合同甲方单位（签署单位）的公章，不能提供者不得分。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w:t>
            </w:r>
            <w:r/>
          </w:p>
        </w:tc>
      </w:tr>
      <w:tr>
        <w:trPr>
          <w:trHeight w:val="120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企业规模和供货能力</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A、仓储能力：（满分6分）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（1）常温仓库：</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提供自有或租赁的常温仓库，建筑面积在2000平方米及以上的得3分；低于2000平方米得2分；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（2）冷冻库或冷藏库：</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提供自有或租赁的冷冻库或冷藏库，建筑面积在200平方米及以上的得3分，低于200平方米得2分；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须提供：①仓储场所图片；②若为供应商名下的场所，则提供产权证明；③若为租赁的，则提供租赁协议和发票的复印件，租赁协议有效期须超过2025年9月30日。</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证明材料里须明确体现仓储种类和面积，否则不得分。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w:t>
            </w:r>
            <w:r/>
          </w:p>
        </w:tc>
      </w:tr>
      <w:tr>
        <w:trPr>
          <w:trHeight w:val="1200"/>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B、配送车辆：（满分6分）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（1）根据注册到企业自有的配送货运车辆或租赁货运车辆数量打分，每提供一份车辆（其中至少包含1辆冷藏车）证明材料得1分，最高得6 分 (不提供冷藏车最高得5分)；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注：①提供车辆照片；②行驶证复印件；③车辆登记证复印件；④如是租赁车辆还需提供与</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签署的租赁协议，租赁协议有效期须超过2025年9月30日。满分6分。所提供的材料均需加盖</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公章。提供的冷藏车辆需提供清晰的冷藏车辆照片，便于评委认定该车辆为冷藏车，否则不得分。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1200"/>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C、安全保险：（满分2分）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购买并在有效期内的“食品安全责任险”，保单金额≥1000万元得2分，低于此标准的得1分，须提供对应的食品安全保险证明材料及发票复印件，不提供不得分。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510"/>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D、供应基地：（满分6分）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拥有自营或租赁的种植和养殖基地，面积在50亩以下的得3分；50亩(含)～100亩（不含）的得4分；100亩(含)～200亩（不含）的得5分；200亩及以上的得6分。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①自有种养植基地须提供土地证明复印件加盖公章，如种养植基地为租赁须提供土地租赁合同或其他有效证明文件的复印件加盖公章，且材料里须明确体现种养植基地面积，否则不得分。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120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食品安全和检测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每配备1名食品检验员的得3分，</w:t>
            </w:r>
            <w:r>
              <w:rPr>
                <w:rFonts w:hint="eastAsia" w:ascii="宋体" w:hAnsi="宋体" w:cs="宋体"/>
                <w:color w:val="000000"/>
                <w:szCs w:val="21"/>
                <w:lang w:val="en-US" w:eastAsia="zh-CN"/>
              </w:rPr>
              <w:t xml:space="preserve">最高得6分。</w:t>
            </w:r>
            <w:r>
              <w:rPr>
                <w:rFonts w:hint="eastAsia" w:ascii="宋体" w:hAnsi="宋体" w:cs="宋体"/>
                <w:color w:val="000000"/>
                <w:szCs w:val="21"/>
              </w:rPr>
              <w:t xml:space="preserve">（满分6分）。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须提供检测人员资格证明文件和投标单位为其缴纳的在投标截止时间之前6个月内任意一个月的社保证明。</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r>
      <w:tr>
        <w:trPr>
          <w:trHeight w:val="8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0"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0"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服务方案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食品安全保障措施：</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根据自身对食品安全重要性的理解，提供在配送过程中对食品安全的保障措施健全完善。评委根据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提供的保障食品安全的制度方案评分：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（1）方案针对性、合理性、可行性强的得7分；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（2）方案针对性、合理性、可行性较强的得4分；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（3）方案针对性、合理性、可行性</w:t>
            </w:r>
            <w:r>
              <w:rPr>
                <w:rFonts w:hint="eastAsia" w:ascii="宋体" w:hAnsi="宋体" w:cs="宋体"/>
                <w:color w:val="000000"/>
                <w:szCs w:val="21"/>
                <w:lang w:val="en-US" w:eastAsia="zh-CN"/>
              </w:rPr>
              <w:t xml:space="preserve">与采购需求稍有偏离</w:t>
            </w:r>
            <w:r>
              <w:rPr>
                <w:rFonts w:hint="eastAsia" w:ascii="宋体" w:hAnsi="宋体" w:cs="宋体"/>
                <w:color w:val="000000"/>
                <w:szCs w:val="21"/>
              </w:rPr>
              <w:t xml:space="preserve">的1分；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09"/>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（4）未提供方案的不得分。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841"/>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应急保障服务：</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为满足</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临时采购需求，能够提供包括临时安排人员、车辆、确保食材品质和使用，有应急管理机构、应急工作队伍、应急联系方式、应急处置措施等内容，不影响正常工作的服务方案。评委根据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提供的应急服务方案评分： </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（1）方案内容完整，处置措施得力的得 7分；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（2）方案内容较完整，处置措施较为得力的得4分；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（3）方案内容完整性，处置措施得力度</w:t>
            </w:r>
            <w:r>
              <w:rPr>
                <w:rFonts w:hint="eastAsia" w:ascii="宋体" w:hAnsi="宋体" w:cs="宋体"/>
                <w:color w:val="000000"/>
                <w:szCs w:val="21"/>
                <w:lang w:val="en-US" w:eastAsia="zh-CN"/>
              </w:rPr>
              <w:t xml:space="preserve">与采购需求稍有偏离</w:t>
            </w:r>
            <w:r>
              <w:rPr>
                <w:rFonts w:hint="eastAsia" w:ascii="宋体" w:hAnsi="宋体" w:cs="宋体"/>
                <w:color w:val="000000"/>
                <w:szCs w:val="21"/>
              </w:rPr>
              <w:t xml:space="preserve">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（4）未提供方案的不得分。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售后服务方案：评委根据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提供的售后服务方案评分：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（1）方案内容完整，措施得力，针对性强的得7分；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（2）方案内容较完整，措施较为得力，针对性较强的得4分；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（3）方案内容完整性和措施得力度</w:t>
            </w:r>
            <w:r>
              <w:rPr>
                <w:rFonts w:hint="eastAsia" w:ascii="宋体" w:hAnsi="宋体" w:cs="宋体"/>
                <w:color w:val="000000"/>
                <w:szCs w:val="21"/>
                <w:lang w:val="en-US" w:eastAsia="zh-CN"/>
              </w:rPr>
              <w:t xml:space="preserve">与采购需求稍有偏离</w:t>
            </w:r>
            <w:r>
              <w:rPr>
                <w:rFonts w:hint="eastAsia" w:ascii="宋体" w:hAnsi="宋体" w:cs="宋体"/>
                <w:color w:val="000000"/>
                <w:szCs w:val="21"/>
              </w:rPr>
              <w:t xml:space="preserve">的得1分；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（4）未提供方案的不得分。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864"/>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安全问题善后方案：</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在履行本项目的全部过程中，因存在质量问题发生的食品安全事故，</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主要负责人和相关主管人员到现场指导、处理，做好安抚工作和善后处理的方案。评委根据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提供的安全问题善后方案评分：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（1）方案针对性强的得 7分；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（2）方案比较合理可行，有一定针对性的得 4分；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（3）方案合理可行性、针对性</w:t>
            </w:r>
            <w:r>
              <w:rPr>
                <w:rFonts w:hint="eastAsia" w:ascii="宋体" w:hAnsi="宋体" w:cs="宋体"/>
                <w:color w:val="000000"/>
                <w:szCs w:val="21"/>
                <w:lang w:val="en-US" w:eastAsia="zh-CN"/>
              </w:rPr>
              <w:t xml:space="preserve">与采购需求稍有偏离</w:t>
            </w:r>
            <w:r>
              <w:rPr>
                <w:rFonts w:hint="eastAsia" w:ascii="宋体" w:hAnsi="宋体" w:cs="宋体"/>
                <w:color w:val="000000"/>
                <w:szCs w:val="21"/>
              </w:rPr>
              <w:t xml:space="preserve">的得 1 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（4）未提供方案的不得分。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416"/>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针对本项目的服务方案：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vMerge w:val="restart"/>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（1）方案有针对性强的服务方案，实施可行性强的得 6分；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（2）方案描述完整但科学合理性</w:t>
            </w:r>
            <w:r>
              <w:rPr>
                <w:rFonts w:hint="eastAsia" w:ascii="宋体" w:hAnsi="宋体" w:cs="宋体"/>
                <w:color w:val="000000"/>
                <w:szCs w:val="21"/>
                <w:lang w:val="en-US" w:eastAsia="zh-CN"/>
              </w:rPr>
              <w:t xml:space="preserve">基本可行</w:t>
            </w:r>
            <w:r>
              <w:rPr>
                <w:rFonts w:hint="eastAsia" w:ascii="宋体" w:hAnsi="宋体" w:cs="宋体"/>
                <w:color w:val="000000"/>
                <w:szCs w:val="21"/>
              </w:rPr>
              <w:t xml:space="preserve">得4分；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（3）方案描述不完整且可行性欠缺得2分；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tcBorders>
              <w:top w:val="single" w:color="000000" w:sz="12" w:space="0"/>
              <w:left w:val="single" w:color="000000" w:sz="12" w:space="0"/>
              <w:bottom w:val="single" w:color="000000" w:sz="12" w:space="0"/>
              <w:right w:val="single" w:color="000000" w:sz="12" w:space="0"/>
            </w:tcBorders>
            <w:tcW w:w="60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W w:w="117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25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（4）未提供方案的不得分。</w:t>
            </w:r>
            <w:r/>
          </w:p>
        </w:tc>
        <w:tc>
          <w:tcPr>
            <w:tcBorders>
              <w:top w:val="single" w:color="000000" w:sz="12" w:space="0"/>
              <w:left w:val="single" w:color="000000" w:sz="12" w:space="0"/>
              <w:bottom w:val="single" w:color="000000" w:sz="12" w:space="0"/>
              <w:right w:val="single" w:color="000000" w:sz="12" w:space="0"/>
            </w:tcBorders>
            <w:tcW w:w="83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288"/>
        </w:trPr>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28" w:type="dxa"/>
            <w:vAlign w:val="center"/>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合计：（分）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2"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100</w:t>
            </w:r>
            <w:r/>
          </w:p>
        </w:tc>
      </w:tr>
    </w:tbl>
    <w:p>
      <w:pPr>
        <w:pStyle w:val="989"/>
      </w:pPr>
      <w:r/>
      <w:r/>
    </w:p>
    <w:p>
      <w:pPr>
        <w:spacing w:line="360" w:lineRule="auto"/>
        <w:rPr>
          <w:rFonts w:ascii="宋体" w:hAnsi="宋体" w:cs="宋体"/>
          <w:bCs/>
          <w:szCs w:val="21"/>
        </w:rPr>
      </w:pPr>
      <w:r>
        <w:rPr>
          <w:rFonts w:hint="eastAsia" w:ascii="宋体" w:hAnsi="宋体" w:cs="宋体"/>
          <w:bCs/>
          <w:szCs w:val="21"/>
        </w:rPr>
        <w:t xml:space="preserve">说明：</w:t>
      </w:r>
      <w:r/>
    </w:p>
    <w:p>
      <w:pPr>
        <w:spacing w:line="360" w:lineRule="auto"/>
        <w:rPr>
          <w:rFonts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bCs/>
          <w:szCs w:val="21"/>
          <w:highlight w:val="none"/>
        </w:rPr>
      </w:pPr>
      <w:r>
        <w:rPr>
          <w:bCs/>
          <w:szCs w:val="21"/>
          <w:highlight w:val="none"/>
        </w:rPr>
        <w:t xml:space="preserve">2.小微企业</w:t>
      </w:r>
      <w:r/>
    </w:p>
    <w:p>
      <w:pPr>
        <w:spacing w:line="360" w:lineRule="auto"/>
        <w:rPr>
          <w:b/>
          <w:szCs w:val="21"/>
          <w:highlight w:val="none"/>
        </w:rPr>
      </w:pPr>
      <w:r>
        <w:rPr>
          <w:rFonts w:hint="eastAsia" w:ascii="宋体" w:hAnsi="宋体" w:cs="宋体"/>
          <w:b/>
          <w:szCs w:val="21"/>
          <w:highlight w:val="none"/>
        </w:rPr>
        <w:t xml:space="preserve">对于专门面向中小企业或小型、微型企业的项目，只面向中小企业或小型、微型企业采购</w:t>
      </w:r>
      <w:r>
        <w:rPr>
          <w:b/>
          <w:szCs w:val="21"/>
          <w:highlight w:val="none"/>
        </w:rPr>
        <w:t xml:space="preserve">。</w:t>
      </w:r>
      <w:r/>
    </w:p>
    <w:p>
      <w:pPr>
        <w:spacing w:line="360" w:lineRule="auto"/>
        <w:rPr>
          <w:bCs/>
          <w:szCs w:val="21"/>
        </w:rPr>
      </w:pPr>
      <w:r>
        <w:rPr>
          <w:bCs/>
          <w:szCs w:val="21"/>
        </w:rPr>
        <w:t xml:space="preserve">3.监狱和戒毒企业</w:t>
      </w:r>
      <w:r/>
    </w:p>
    <w:p>
      <w:pPr>
        <w:spacing w:line="360" w:lineRule="auto"/>
        <w:rPr>
          <w:rFonts w:ascii="宋体" w:hAnsi="宋体" w:cs="宋体"/>
          <w:bCs/>
          <w:szCs w:val="21"/>
        </w:rPr>
      </w:pPr>
      <w:r>
        <w:rPr>
          <w:rFonts w:hint="eastAsia" w:ascii="宋体" w:hAnsi="宋体" w:cs="宋体"/>
          <w:bCs/>
          <w:szCs w:val="21"/>
        </w:rPr>
        <w:t xml:space="preserve">3.1监狱企业需提供由省级以上监狱管理局、戒毒管理局（含新疆生产建设兵团）出具的属于监狱企业的证明文件。</w:t>
      </w:r>
      <w:r/>
    </w:p>
    <w:p>
      <w:pPr>
        <w:spacing w:line="360" w:lineRule="auto"/>
        <w:rPr>
          <w:rFonts w:ascii="宋体" w:hAnsi="宋体" w:cs="宋体"/>
          <w:bCs/>
          <w:szCs w:val="21"/>
        </w:rPr>
      </w:pPr>
      <w:r>
        <w:rPr>
          <w:rFonts w:hint="eastAsia" w:ascii="宋体" w:hAnsi="宋体" w:cs="宋体"/>
          <w:bCs/>
          <w:szCs w:val="21"/>
        </w:rPr>
        <w:t xml:space="preserve">3.2 监狱企业标准请参照《关于政府采购支持监狱企业发展有关问题的通知》（财库〔2014〕68号）</w:t>
      </w:r>
      <w:r>
        <w:rPr>
          <w:rFonts w:hint="eastAsia" w:ascii="宋体" w:hAnsi="宋体" w:cs="宋体"/>
          <w:bCs/>
          <w:szCs w:val="21"/>
        </w:rPr>
        <w:t xml:space="preserve">。</w:t>
      </w:r>
      <w:r/>
    </w:p>
    <w:p>
      <w:pPr>
        <w:spacing w:line="360" w:lineRule="auto"/>
        <w:rPr>
          <w:rFonts w:ascii="宋体" w:hAnsi="宋体" w:cs="宋体"/>
          <w:bCs/>
          <w:szCs w:val="21"/>
        </w:rPr>
      </w:pPr>
      <w:r>
        <w:rPr>
          <w:rFonts w:hint="eastAsia" w:ascii="宋体" w:hAnsi="宋体" w:cs="宋体"/>
          <w:bCs/>
          <w:szCs w:val="21"/>
        </w:rPr>
        <w:t xml:space="preserve">4.残疾人福利性单位</w:t>
      </w:r>
      <w:r/>
    </w:p>
    <w:p>
      <w:pPr>
        <w:spacing w:line="360" w:lineRule="auto"/>
        <w:rPr>
          <w:rFonts w:ascii="宋体" w:hAnsi="宋体" w:cs="宋体"/>
          <w:bCs/>
          <w:szCs w:val="21"/>
        </w:rPr>
      </w:pPr>
      <w:r>
        <w:rPr>
          <w:rFonts w:hint="eastAsia" w:ascii="宋体" w:hAnsi="宋体" w:cs="宋体"/>
          <w:bCs/>
          <w:szCs w:val="21"/>
        </w:rPr>
        <w:t xml:space="preserve">4.1残疾人福利性单位需提供《残疾人福利性单位声明函》。</w:t>
      </w:r>
      <w:r/>
    </w:p>
    <w:p>
      <w:pPr>
        <w:spacing w:line="360" w:lineRule="auto"/>
        <w:rPr>
          <w:rFonts w:ascii="宋体" w:hAnsi="宋体" w:cs="宋体"/>
          <w:bCs/>
          <w:szCs w:val="21"/>
        </w:rPr>
      </w:pPr>
      <w:r>
        <w:rPr>
          <w:rFonts w:hint="eastAsia" w:ascii="宋体" w:hAnsi="宋体" w:cs="宋体"/>
          <w:bCs/>
          <w:szCs w:val="21"/>
        </w:rPr>
        <w:t xml:space="preserve">4.2 残疾人福利性单位标准请参照《关于促进残疾人就业政府采购政策的通知》（财库〔2017〕141号）</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szCs w:val="21"/>
        </w:rPr>
        <w:br w:type="page" w:clear="all"/>
      </w:r>
      <w:r/>
    </w:p>
    <w:p>
      <w:pPr>
        <w:pStyle w:val="932"/>
        <w:spacing w:line="360" w:lineRule="auto"/>
        <w:rPr>
          <w:rFonts w:ascii="宋体" w:hAnsi="宋体" w:cs="宋体"/>
        </w:rPr>
      </w:pPr>
      <w:r/>
      <w:bookmarkStart w:id="8" w:name="_Toc31739"/>
      <w:r/>
      <w:bookmarkStart w:id="9" w:name="_Hlk96071152"/>
      <w:r/>
      <w:bookmarkStart w:id="10" w:name="_Toc481057147"/>
      <w:r>
        <w:rPr>
          <w:rFonts w:hint="eastAsia" w:ascii="宋体" w:hAnsi="宋体" w:cs="宋体"/>
          <w:lang w:val="en-US" w:eastAsia="zh-CN"/>
        </w:rPr>
        <w:t xml:space="preserve"> </w:t>
      </w:r>
      <w:r>
        <w:rPr>
          <w:rFonts w:hint="eastAsia" w:ascii="宋体" w:hAnsi="宋体" w:cs="宋体"/>
        </w:rPr>
        <w:t xml:space="preserve"> </w:t>
      </w:r>
      <w:bookmarkStart w:id="11" w:name="_Toc31507"/>
      <w:r>
        <w:rPr>
          <w:rFonts w:hint="eastAsia" w:ascii="宋体" w:hAnsi="宋体" w:cs="宋体"/>
        </w:rPr>
        <w:t xml:space="preserve">采购需求</w:t>
      </w:r>
      <w:bookmarkEnd w:id="8"/>
      <w:r/>
      <w:bookmarkEnd w:id="11"/>
      <w:r/>
      <w:r/>
    </w:p>
    <w:p>
      <w:pPr>
        <w:pStyle w:val="933"/>
        <w:ind w:firstLine="562"/>
        <w:spacing w:before="120" w:after="232" w:line="52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一、项目背景：</w:t>
      </w:r>
      <w:r/>
    </w:p>
    <w:p>
      <w:pPr>
        <w:ind w:firstLine="560"/>
        <w:spacing w:line="51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本项目采购内容为江东街道和基层执法大队食堂食材采购。具体分配如下：</w:t>
      </w:r>
      <w:r/>
    </w:p>
    <w:tbl>
      <w:tblPr>
        <w:tblStyle w:val="9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776"/>
        <w:gridCol w:w="1978"/>
        <w:gridCol w:w="1997"/>
        <w:gridCol w:w="1896"/>
      </w:tblGrid>
      <w:tr>
        <w:trPr>
          <w:trHeight w:val="526"/>
        </w:trPr>
        <w:tc>
          <w:tcPr>
            <w:tcMar>
              <w:left w:w="108" w:type="dxa"/>
              <w:top w:w="0" w:type="dxa"/>
              <w:right w:w="108" w:type="dxa"/>
              <w:bottom w:w="0" w:type="dxa"/>
            </w:tcMar>
            <w:tcW w:w="290" w:type="pct"/>
            <w:vAlign w:val="center"/>
            <w:textDirection w:val="lrTb"/>
            <w:noWrap/>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1536" w:type="pct"/>
            <w:vAlign w:val="center"/>
            <w:textDirection w:val="lrTb"/>
            <w:noWrap/>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tc>
        <w:tc>
          <w:tcPr>
            <w:tcMar>
              <w:left w:w="108" w:type="dxa"/>
              <w:top w:w="0" w:type="dxa"/>
              <w:right w:w="108" w:type="dxa"/>
              <w:bottom w:w="0" w:type="dxa"/>
            </w:tcMar>
            <w:tcW w:w="1106" w:type="pct"/>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预算</w:t>
            </w:r>
            <w:r>
              <w:rPr>
                <w:rFonts w:hint="eastAsia" w:ascii="宋体" w:hAnsi="宋体" w:cs="宋体"/>
                <w:color w:val="000000"/>
                <w:szCs w:val="21"/>
              </w:rPr>
              <w:br/>
            </w:r>
            <w:r>
              <w:rPr>
                <w:rFonts w:hint="eastAsia" w:ascii="宋体" w:hAnsi="宋体" w:cs="宋体"/>
                <w:color w:val="000000"/>
                <w:szCs w:val="21"/>
              </w:rPr>
              <w:t xml:space="preserve">（万元）</w:t>
            </w:r>
            <w:r/>
          </w:p>
        </w:tc>
        <w:tc>
          <w:tcPr>
            <w:tcMar>
              <w:left w:w="108" w:type="dxa"/>
              <w:top w:w="0" w:type="dxa"/>
              <w:right w:w="108" w:type="dxa"/>
              <w:bottom w:w="0" w:type="dxa"/>
            </w:tcMar>
            <w:tcW w:w="1116" w:type="pct"/>
            <w:vAlign w:val="center"/>
            <w:textDirection w:val="lrTb"/>
            <w:noWrap/>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配送地址</w:t>
            </w:r>
            <w:r/>
          </w:p>
        </w:tc>
        <w:tc>
          <w:tcPr>
            <w:tcMar>
              <w:left w:w="108" w:type="dxa"/>
              <w:top w:w="0" w:type="dxa"/>
              <w:right w:w="108" w:type="dxa"/>
              <w:bottom w:w="0" w:type="dxa"/>
            </w:tcMar>
            <w:tcW w:w="950" w:type="pct"/>
            <w:vAlign w:val="center"/>
            <w:textDirection w:val="lrTb"/>
            <w:noWrap/>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采购需求</w:t>
            </w:r>
            <w:r/>
          </w:p>
        </w:tc>
      </w:tr>
      <w:tr>
        <w:trPr>
          <w:trHeight w:val="526"/>
        </w:trPr>
        <w:tc>
          <w:tcPr>
            <w:tcMar>
              <w:left w:w="108" w:type="dxa"/>
              <w:top w:w="0" w:type="dxa"/>
              <w:right w:w="108" w:type="dxa"/>
              <w:bottom w:w="0" w:type="dxa"/>
            </w:tcMar>
            <w:tcW w:w="290" w:type="pct"/>
            <w:vAlign w:val="center"/>
            <w:textDirection w:val="lrTb"/>
            <w:noWrap/>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Mar>
              <w:left w:w="108" w:type="dxa"/>
              <w:top w:w="0" w:type="dxa"/>
              <w:right w:w="108" w:type="dxa"/>
              <w:bottom w:w="0" w:type="dxa"/>
            </w:tcMar>
            <w:tcW w:w="1536" w:type="pct"/>
            <w:vAlign w:val="center"/>
            <w:textDirection w:val="lrTb"/>
            <w:noWrap/>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江东街道办事处</w:t>
            </w:r>
            <w:r/>
          </w:p>
        </w:tc>
        <w:tc>
          <w:tcPr>
            <w:tcMar>
              <w:left w:w="108" w:type="dxa"/>
              <w:top w:w="0" w:type="dxa"/>
              <w:right w:w="108" w:type="dxa"/>
              <w:bottom w:w="0" w:type="dxa"/>
            </w:tcMar>
            <w:tcW w:w="1106" w:type="pct"/>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120</w:t>
            </w:r>
            <w:r/>
          </w:p>
        </w:tc>
        <w:tc>
          <w:tcPr>
            <w:tcMar>
              <w:left w:w="108" w:type="dxa"/>
              <w:top w:w="0" w:type="dxa"/>
              <w:right w:w="108" w:type="dxa"/>
              <w:bottom w:w="0" w:type="dxa"/>
            </w:tcMar>
            <w:tcW w:w="1116" w:type="pct"/>
            <w:vAlign w:val="center"/>
            <w:textDirection w:val="lrTb"/>
            <w:noWrap/>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江东北路101号</w:t>
            </w:r>
            <w:r/>
          </w:p>
        </w:tc>
        <w:tc>
          <w:tcPr>
            <w:tcMar>
              <w:left w:w="108" w:type="dxa"/>
              <w:top w:w="0" w:type="dxa"/>
              <w:right w:w="108" w:type="dxa"/>
              <w:bottom w:w="0" w:type="dxa"/>
            </w:tcMar>
            <w:tcW w:w="950" w:type="pct"/>
            <w:vAlign w:val="center"/>
            <w:textDirection w:val="lrTb"/>
            <w:noWrap/>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全品类食材供应商</w:t>
            </w:r>
            <w:r/>
          </w:p>
        </w:tc>
      </w:tr>
      <w:tr>
        <w:trPr>
          <w:trHeight w:val="273"/>
        </w:trPr>
        <w:tc>
          <w:tcPr>
            <w:shd w:val="clear" w:color="ffffff" w:fill="ffffff"/>
            <w:tcMar>
              <w:left w:w="108" w:type="dxa"/>
              <w:top w:w="0" w:type="dxa"/>
              <w:right w:w="108" w:type="dxa"/>
              <w:bottom w:w="0" w:type="dxa"/>
            </w:tcMar>
            <w:tcW w:w="290" w:type="pct"/>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shd w:val="clear" w:color="ffffff" w:fill="ffffff"/>
            <w:tcMar>
              <w:left w:w="108" w:type="dxa"/>
              <w:top w:w="0" w:type="dxa"/>
              <w:right w:w="108" w:type="dxa"/>
              <w:bottom w:w="0" w:type="dxa"/>
            </w:tcMar>
            <w:tcW w:w="1536" w:type="pct"/>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执法中队</w:t>
            </w:r>
            <w:r/>
          </w:p>
        </w:tc>
        <w:tc>
          <w:tcPr>
            <w:shd w:val="clear" w:color="ffffff" w:fill="ffffff"/>
            <w:tcMar>
              <w:left w:w="108" w:type="dxa"/>
              <w:top w:w="0" w:type="dxa"/>
              <w:right w:w="108" w:type="dxa"/>
              <w:bottom w:w="0" w:type="dxa"/>
            </w:tcMar>
            <w:tcW w:w="1106" w:type="pct"/>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50</w:t>
            </w:r>
            <w:r/>
          </w:p>
        </w:tc>
        <w:tc>
          <w:tcPr>
            <w:shd w:val="clear" w:color="ffffff" w:fill="ffffff"/>
            <w:tcMar>
              <w:left w:w="108" w:type="dxa"/>
              <w:top w:w="0" w:type="dxa"/>
              <w:right w:w="108" w:type="dxa"/>
              <w:bottom w:w="0" w:type="dxa"/>
            </w:tcMar>
            <w:tcW w:w="1116" w:type="pct"/>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清江南路5号</w:t>
            </w:r>
            <w:r/>
          </w:p>
        </w:tc>
        <w:tc>
          <w:tcPr>
            <w:shd w:val="clear" w:color="ffffff" w:fill="ffffff"/>
            <w:tcMar>
              <w:left w:w="108" w:type="dxa"/>
              <w:top w:w="0" w:type="dxa"/>
              <w:right w:w="108" w:type="dxa"/>
              <w:bottom w:w="0" w:type="dxa"/>
            </w:tcMar>
            <w:tcW w:w="950" w:type="pct"/>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全品类食材供应商</w:t>
            </w:r>
            <w:r/>
          </w:p>
        </w:tc>
      </w:tr>
    </w:tbl>
    <w:p>
      <w:pPr>
        <w:pStyle w:val="933"/>
        <w:numPr>
          <w:ilvl w:val="1"/>
          <w:numId w:val="0"/>
        </w:numPr>
        <w:ind w:firstLine="422"/>
        <w:spacing w:before="120" w:after="232" w:line="52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二、采购标的需实现的功能及标准、规范：</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1、符合《中华人民共和国食品安全法》、《中华人民共和国食品安全法实施条例》、《中华人民共和国农产品质量安全法》、《中华人民共和国动物防疫法》等相关规定。</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2、符合国家及行业的相关标准。</w:t>
      </w:r>
      <w:r/>
    </w:p>
    <w:p>
      <w:pPr>
        <w:pStyle w:val="933"/>
        <w:ind w:firstLine="562"/>
        <w:spacing w:before="120" w:after="232" w:line="52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三、项目内容 </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7"/>
        <w:gridCol w:w="65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7" w:type="dxa"/>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品类（包含以下但不限于，方便日后扩展采购）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品种（包含以下但不限于，方便日后扩展采购）</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蔬菜类、蛋类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（1）蔬菜类：青菜、萝卜、包菜、青芹、西红柿、黄瓜、土豆、大白菜、茄子、薄皮青椒等蔬菜类食品。</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（2）蛋类：鸡蛋、鸭蛋、鹅蛋和鹌鹑蛋等。</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肉制品类</w:t>
            </w:r>
            <w:r/>
          </w:p>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（包含冷冻制品）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前腿肉（带皮）、前腿肉（去皮）、五花肉（带皮）、五花肉（去皮）、后腿肉（带皮）、后腿肉（去皮）、大排、小排、肋排、精肉、猪爪、牛腩等鲜肉类食品；鸡、鸭、鹅等加工完成类食品，鱼、虾等水产等。</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（2）黑椒鸡块、鸡柳、牛柳、带鱼段（中）、小黄鱼（10条/斤）、无刺鮰鱼块、面筋塞肉、鸡腿小腿、鸡腿大腿、鸡翅根、鸡中翅、鸭腿等冷冻制品类食材。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水果类、干货类、调味品类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（1）水果类：苹果、香蕉、梨子、桔子、圣女果、西瓜等。</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（2）干货类：去除了水分的木耳、紫菜、香菇、红枣、桂皮、辣椒、花椒、大茴香、小茴香、胡椒、枸杞等。</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（3）调味品类：鸡精、盐、糖、八角、桂皮、酱油、辣椒等。</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豆制品类、米、面、油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（1）豆制品：豆腐、豆皮、豆浆、腐竹等。</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（2）米面类：面条、饺皮、一级大米、高筋面粉、低筋面粉等。</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（3）油：胚芽油、大豆油、玉米油、葵籽油等。</w:t>
            </w:r>
            <w:r/>
          </w:p>
        </w:tc>
      </w:tr>
    </w:tbl>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肉类：有检疫、检验合格的印章，干净新鲜、无异味、无污物；</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素菜类：干净新鲜、无异味、无农药味、无腐烂、无黄叶、不带杂质泥土。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乳制品：具备正规的包装、生产日期、生产厂家、无杂质、无异味；</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调味品：具备正规的包装、生产日期、生产厂家，保证在合格的生产日期内；</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水果：干净新鲜、无腐烂、大小均匀、根据需要提供不同种类的水果；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水产：鱼、虾等必须是鲜活杀好的；</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豆制品：干净新鲜、无异味；</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冷冻品：有正规的生产厂家、保证在合格的生产日期内、不能采购即将逾期的产品。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注：菜单每天所需食材提前由各民警食堂交予成交供应商</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四、项目供货要求：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（一）产品质量要求：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2、严格禁止供应如下食品，一经发现，取消其供货资格：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（1）腐败变质、油脂酸败、霉变、生虫、污秽不洁、混有异物或其他感官性状异常，对人体有害的。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（2）含有毒、有害物质或被有害物质污染，对人体身体健康有害的；含有严重超出标准限量的农药残留、兽药残留、重金属、污染物质以及其他危害人体健康的。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（3）未经动物部门检疫、检验或者检疫、检验不合格的肉类及其制品。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（4）病死、毒死或不明死因的禽、畜、兽、水产动物等及其制品。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（5）用非食品原料加工的，加入非食品用化学物质或将非食品当作食品的。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（6）其它</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认为不符合要求的果蔬以及各类食品。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（二）其他供货要求：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1、因市场特殊原因，个别食材品种不能及时提供，供应商应提前与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沟通协调，更换品种，满足需要。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2、所有产品因验收货物时不能直接判断质量的，在使用过程中发现不合格产品，供应商应作退货处理。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3、物资验收中不合格产品，供应商应按照</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规定时间内调换，以不影响正常工作为准。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4、因配送的物资质量导致出现食品安全事故和配送过程发生的交通安全事故，供应商承担相应法律责任。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5、因市场价格波动，引起的食堂食材调价的必要性，以双方共同市场询价结果作为价格基准依据适当调价，供应商可按需提出申请，</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具有是否调价和调价周期的完全选择决定权。</w:t>
      </w:r>
      <w:r/>
    </w:p>
    <w:p>
      <w:pPr>
        <w:ind w:firstLine="562"/>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★6、重要要求：</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中标后必须自行履行合同的全部义务，严禁委托挂靠投标或中标后转包。否则，</w:t>
      </w:r>
      <w:r>
        <w:rPr>
          <w:rFonts w:hint="eastAsia" w:ascii="宋体" w:hAnsi="宋体" w:cs="宋体"/>
          <w:b/>
          <w:color w:val="000000"/>
          <w:szCs w:val="21"/>
          <w:highlight w:val="none"/>
          <w:lang w:eastAsia="zh-CN"/>
        </w:rPr>
        <w:t xml:space="preserve">采购人</w:t>
      </w:r>
      <w:r>
        <w:rPr>
          <w:rFonts w:hint="eastAsia" w:ascii="宋体" w:hAnsi="宋体" w:cs="宋体"/>
          <w:b/>
          <w:color w:val="000000"/>
          <w:szCs w:val="21"/>
          <w:highlight w:val="none"/>
        </w:rPr>
        <w:t xml:space="preserve">一经发现随时有权取消中标资格或解除合同，</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承担全部后果。</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提供本项目为</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自行承担合同业务，不挂靠、不分包的承诺书加盖公章，</w:t>
      </w:r>
      <w:r>
        <w:rPr>
          <w:rFonts w:hint="eastAsia" w:ascii="宋体" w:hAnsi="宋体" w:cs="宋体"/>
          <w:b/>
          <w:color w:val="000000"/>
          <w:szCs w:val="21"/>
        </w:rPr>
        <w:t xml:space="preserve">未提供做无效投标处理。</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五、验收交付要求：</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（一）交付要求：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1、食堂所需各类食材，根据</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前一天17：30之前出具需求货品清单，中标人次日清晨6:30-7:30之间送达至</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指定地点（详见配送地址）。</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有权根据中标人实际供货能力调整配送时间段，中标人须无条件按</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要求执行。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可根据自身需求以及对货物的品质要求，随时有权终止某些商品的采购或变更，中标人不得以任何理由拒绝。</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须具备应急服务能力，且有长期驻地人员，有一定的处理紧急情况的经验。如遇节假日、</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临时有大批量食材采购或紧急采购任务时，中标人须承诺在接到</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通知后，2小时内将指定食材运送至</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指定地点（详见配送地址）并卸货，派专人负责跟踪服务，保证食材准时准点供应，如推迟送货的，</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有权拒绝验收签单。</w:t>
      </w:r>
      <w:r>
        <w:rPr>
          <w:rFonts w:hint="eastAsia" w:ascii="宋体" w:hAnsi="宋体" w:cs="宋体"/>
          <w:b/>
          <w:color w:val="000000"/>
          <w:szCs w:val="21"/>
        </w:rPr>
        <w:t xml:space="preserve">（提供相关证明材料及技术团队主要成员联系人、联系方式表及承诺书加盖供应商公章。）</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5、服务期限：一年。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（二）验收要求：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拒收配送物资，供应商应无条件迅速补充合格产品，不得影响正常开餐。对符合要求的产品当场作出记录，双方签字确认。</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提供货物未达到投标文件规定要求，且对</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造成损失的，由供应商承担一切责任，并赔偿所造成损失。供应商未按照约定时间到达的，</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有权拒绝收货，由供应商承担一切责任，并赔偿所造成损失。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eastAsia="zh-CN"/>
        </w:rPr>
        <w:t xml:space="preserve">采购人</w:t>
      </w:r>
      <w:r>
        <w:rPr>
          <w:rFonts w:hint="eastAsia" w:ascii="宋体" w:hAnsi="宋体" w:cs="宋体"/>
          <w:color w:val="000000"/>
          <w:szCs w:val="21"/>
        </w:rPr>
        <w:t xml:space="preserve">组织定期或不定期货品抽检和送检。对检验不合格产品无条件退、换货。因验收货物时不能直接判断质量的，在使用过程中发现不合格商品，供应商应作退换货处理。</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凡按重量计量物资，均以物品净重方式计量结算。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所有货物送达</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指定地点前必须按包装要求进行封闭装运。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（三）验收标准</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4"/>
        <w:gridCol w:w="3299"/>
        <w:gridCol w:w="2994"/>
      </w:tblGrid>
      <w:tr>
        <w:trPr>
          <w:trHeight w:val="45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种类</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验收标准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退货依据</w:t>
            </w:r>
            <w:r/>
          </w:p>
        </w:tc>
      </w:tr>
      <w:tr>
        <w:trPr>
          <w:trHeight w:val="13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叶菜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味苦，鲜度嫩度明显不佳，含黄叶须根，泥土、虫害严重，萎捏严重，浸水后仍不可恢复；农药残留超标。</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根茎类（如香芋、土豆、莴笋等）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根茎类蔬菜必须符合GB23200-2016标准，无虫咬、发芽、发霉现象，新鲜，形态大小与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自购标准相当。农药残留不超标。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发芽严重、发霉，新鲜度不佳，形态大小与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自购标准存在较大负偏差。农药残留超标。</w:t>
            </w:r>
            <w:r/>
          </w:p>
        </w:tc>
      </w:tr>
      <w:tr>
        <w:trPr>
          <w:trHeight w:val="7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花果类（如西兰花、白菜花）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花果类蔬菜必须符合GB23200-2016标准，无虫害，成熟度良好，新鲜固有的色泽鲜明，无发霉发黄。农药残留不超标。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不新鲜，发霉，虫害过多。农药残留超标。</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瓜果类</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不新鲜、软塌、腐烂，有异味。病虫损害严重，形状不太正常，大小不适中。农药残留超标。</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肉食类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禽蛋类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水产品类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必须符合GB2733-2015标准；外表新鲜无异味，根据</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要求大小适中及均匀，按照</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要求进行加工，如活鱼类现场宰杀，刨肚去鳞等。</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调味品类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包括</w:t>
            </w:r>
            <w:r>
              <w:rPr>
                <w:rFonts w:hint="eastAsia" w:ascii="宋体" w:hAnsi="宋体" w:cs="宋体"/>
                <w:color w:val="000000"/>
                <w:szCs w:val="21"/>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米、面、油类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大米质量要求：粳米一级国家标准GB1354-2018；</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面粉质量要求：小麦粉特制一等国家标准GB1355-1986；</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食用油质量要求：非转基因，国家标准GB1535-2017。</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乳制品类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豆制品类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包括但不限于干丝、豆腐、千张等，必须具有“QS“食品质量安全认证。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水果必须符合GB23200-2016标准、根据甲方要求大小适中及均匀,成熟度适中，品种好、口感好。</w:t>
            </w:r>
            <w:r/>
          </w:p>
        </w:tc>
      </w:tr>
    </w:tbl>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以上涉及的国家食品安全、卫生生产标准均按照最新标准执行，如在合同履行过程中出台了更新的标准，则按照最新标准执行。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（三）质保及售后服务要求：</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1、质保期限：所有货物在配送到</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单位时，预包装商品的保质期不得低于总保质期的三分之二。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2、售后服务：</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（1）供应商在配送服务过程中应遵守</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单位的各项规章制度，不得与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单位或人员发生各种不文明行为，如遇不可解决之矛盾应以沟通为主，相互谅解。</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（2）培训：供应商应对送货人员进行专业培训，以完成工作任务。</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（四）付款条件：</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每次的送货单必须标明种类、数量、单位、单价、合价。每个月汇总交由街道食堂食材采购负责人核实单价后结算，发票每月一开，按照</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相关要求执行（每次付款时间最长不超过60天）。（</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每月结算食材价款时须严格按照优惠率折后进行计算申报，其提供的所有结算资料均须真实有效、准确详实、有迹可循，如经</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发现弄虚作假，一经查实，</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将解除合同，并依法追究</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的经济和法律责任。）</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每周五需根据</w:t>
      </w:r>
      <w:r>
        <w:rPr>
          <w:rFonts w:hint="eastAsia" w:ascii="宋体" w:hAnsi="宋体" w:cs="宋体"/>
          <w:color w:val="000000"/>
          <w:szCs w:val="21"/>
          <w:lang w:val="en-US" w:eastAsia="zh-CN"/>
        </w:rPr>
        <w:t xml:space="preserve">采购人</w:t>
      </w:r>
      <w:r>
        <w:rPr>
          <w:rFonts w:hint="eastAsia" w:ascii="宋体" w:hAnsi="宋体" w:cs="宋体"/>
          <w:color w:val="000000"/>
          <w:szCs w:val="21"/>
        </w:rPr>
        <w:t xml:space="preserve">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）公布的“南京市部分农贸市场主副食品周平均价格水平”中未列出的产品，以双方共同在金润发超市或周边大、中型农贸市场的询价结果作为价格基准依据，按照</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折扣后进行计算申报。</w:t>
      </w:r>
      <w:r/>
    </w:p>
    <w:p>
      <w:pPr>
        <w:numPr>
          <w:ilvl w:val="0"/>
          <w:numId w:val="5"/>
        </w:numPr>
        <w:ind w:firstLine="560"/>
        <w:spacing w:line="479"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其他要求：其他未尽事宜由供需双方在采购合同中详细约定。</w:t>
      </w:r>
      <w:r/>
    </w:p>
    <w:p>
      <w:pPr>
        <w:numPr>
          <w:ilvl w:val="0"/>
          <w:numId w:val="5"/>
        </w:num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中标供应商须按照不低于上年度食堂采购总额10%和3%的预留比例，分别通过"832平台”、 "鲜丰汇平台”采购农副产品，鼓励通过"832平台”和“鲜丰汇平台"采购工会福利、慰问品等。</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六、履约及考核要求</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（一）中标供应商应在收到中标通知后20个自然日内，向</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交纳以保函形式提交履约保证金20000元作为合同生效的前提。合同到期后30个自然日内，</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扣除相应的金额后将履约保证金无息退还至中标人。</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如临时增加用餐人员，需临时补充食材的，</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应在约定时间内无条件把指定的食材送至指定的地点，否则给予警告通知，三次及以上的没收全部履约保证金并解除合作关系。</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（三）凡经相关部门认定，如因</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所提供的原食材原因造成食物中毒等卫生事故的，</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除必须承担全部的法律责任外，还要全额承担因食物中毒发生造成后果的一切费用，立即停止供货和取消供货资格，并暂停支付当月所有供应原食材的货款。</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（四）凡</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向</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提供的食材发生质量问题，影响食用，经验收小组确认，供应商须重新配送合格食材；</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将扣除履约保证金1000-3000元，三次以上没收全部履约保证金并解除合同。凡</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供应的食材故意串规、定量包装批量误差超过相关规定、延迟交货或配送货物不符合订单要求，</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须按</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要求及时补货、换货或退货。对于上述情况的发生，前两次</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将予以警告，第三次</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有权直接解除合同并没收其全部履约保证金。</w:t>
      </w:r>
      <w:r/>
    </w:p>
    <w:p>
      <w:pPr>
        <w:ind w:firstLine="560"/>
        <w:spacing w:line="479"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（五）如</w:t>
      </w:r>
      <w:r>
        <w:rPr>
          <w:rFonts w:hint="eastAsia" w:ascii="宋体" w:hAnsi="宋体" w:cs="宋体"/>
          <w:color w:val="000000"/>
          <w:szCs w:val="21"/>
          <w:lang w:val="en-US" w:eastAsia="zh-CN"/>
        </w:rPr>
        <w:t xml:space="preserve">中标供应商</w:t>
      </w:r>
      <w:r>
        <w:rPr>
          <w:rFonts w:hint="eastAsia" w:ascii="宋体" w:hAnsi="宋体" w:cs="宋体"/>
          <w:color w:val="000000"/>
          <w:szCs w:val="21"/>
        </w:rPr>
        <w:t xml:space="preserve">在项目实施期间出现违背投标时的承诺，或经营异常，或丧失商业信誉，或产品被曝光不合格或被政府部门取缔相关生产经营资格的情况，</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有权直接解除合同并没收其履</w:t>
      </w:r>
      <w:r>
        <w:rPr>
          <w:rFonts w:hint="eastAsia" w:ascii="宋体" w:hAnsi="宋体" w:eastAsia="宋体" w:cs="宋体"/>
          <w:color w:val="000000"/>
          <w:szCs w:val="21"/>
        </w:rPr>
        <w:t xml:space="preserve">约保证金。</w:t>
      </w:r>
      <w:r/>
    </w:p>
    <w:p>
      <w:pPr>
        <w:ind w:firstLine="560"/>
        <w:spacing w:line="479"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w:t>
      </w:r>
      <w:r>
        <w:rPr>
          <w:rFonts w:hint="eastAsia" w:ascii="宋体" w:hAnsi="宋体" w:eastAsia="宋体" w:cs="宋体"/>
          <w:color w:val="000000"/>
          <w:szCs w:val="21"/>
          <w:lang w:eastAsia="zh-CN"/>
        </w:rPr>
        <w:t xml:space="preserve">采购人</w:t>
      </w:r>
      <w:r>
        <w:rPr>
          <w:rFonts w:hint="eastAsia" w:ascii="宋体" w:hAnsi="宋体" w:eastAsia="宋体" w:cs="宋体"/>
          <w:color w:val="000000"/>
          <w:szCs w:val="21"/>
        </w:rPr>
        <w:t xml:space="preserve">有权决定抽查供应食材的价格、质量（包括报送质检部门抽检，检测合格检测费用由</w:t>
      </w:r>
      <w:r>
        <w:rPr>
          <w:rFonts w:hint="eastAsia" w:ascii="宋体" w:hAnsi="宋体" w:eastAsia="宋体" w:cs="宋体"/>
          <w:color w:val="000000"/>
          <w:szCs w:val="21"/>
          <w:lang w:eastAsia="zh-CN"/>
        </w:rPr>
        <w:t xml:space="preserve">采购人</w:t>
      </w:r>
      <w:r>
        <w:rPr>
          <w:rFonts w:hint="eastAsia" w:ascii="宋体" w:hAnsi="宋体" w:eastAsia="宋体" w:cs="宋体"/>
          <w:color w:val="000000"/>
          <w:szCs w:val="21"/>
        </w:rPr>
        <w:t xml:space="preserve">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w:t>
      </w:r>
      <w:r>
        <w:rPr>
          <w:rFonts w:hint="eastAsia" w:ascii="宋体" w:hAnsi="宋体" w:eastAsia="宋体" w:cs="宋体"/>
          <w:color w:val="000000"/>
          <w:szCs w:val="21"/>
          <w:lang w:eastAsia="zh-CN"/>
        </w:rPr>
        <w:t xml:space="preserve">采购人</w:t>
      </w:r>
      <w:r>
        <w:rPr>
          <w:rFonts w:hint="eastAsia" w:ascii="宋体" w:hAnsi="宋体" w:eastAsia="宋体" w:cs="宋体"/>
          <w:color w:val="000000"/>
          <w:szCs w:val="21"/>
        </w:rPr>
        <w:t xml:space="preserve">有权解除合同，更换其他供应商。</w:t>
      </w:r>
      <w:r/>
    </w:p>
    <w:p>
      <w:pPr>
        <w:rPr>
          <w:rFonts w:hint="eastAsia"/>
          <w:highlight w:val="none"/>
        </w:rPr>
      </w:pPr>
      <w:r>
        <w:rPr>
          <w:rFonts w:hint="eastAsia"/>
          <w:highlight w:val="none"/>
        </w:rPr>
        <w:br w:type="page" w:clear="all"/>
      </w:r>
      <w:r/>
    </w:p>
    <w:p>
      <w:pPr>
        <w:pStyle w:val="1099"/>
        <w:ind w:firstLine="480"/>
        <w:spacing w:line="360" w:lineRule="auto"/>
        <w:rPr>
          <w:rFonts w:hint="eastAsia"/>
          <w:highlight w:val="none"/>
        </w:rPr>
      </w:pPr>
      <w:r>
        <w:rPr>
          <w:rFonts w:hint="eastAsia"/>
          <w:highlight w:val="none"/>
        </w:rPr>
      </w:r>
      <w:r/>
    </w:p>
    <w:p>
      <w:pPr>
        <w:pStyle w:val="1099"/>
        <w:ind w:firstLine="480"/>
        <w:spacing w:line="360" w:lineRule="auto"/>
        <w:rPr>
          <w:rFonts w:hint="eastAsia"/>
          <w:highlight w:val="none"/>
        </w:rPr>
      </w:pPr>
      <w:r>
        <w:rPr>
          <w:rFonts w:hint="eastAsia"/>
          <w:highlight w:val="none"/>
        </w:rPr>
        <w:t xml:space="preserve">附件：考核标准</w:t>
      </w:r>
      <w:r/>
    </w:p>
    <w:p>
      <w:pPr>
        <w:ind w:left="0" w:right="0" w:firstLine="560"/>
        <w:jc w:val="center"/>
        <w:spacing w:before="0" w:after="0" w:line="479" w:lineRule="atLeas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南京市鼓楼区人民政府江东街道办事处</w:t>
      </w:r>
      <w:r/>
    </w:p>
    <w:p>
      <w:pPr>
        <w:ind w:left="0" w:right="0" w:firstLine="560"/>
        <w:jc w:val="center"/>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食堂食材采购供应商管理考核办法</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总则：</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为保障食堂食材供给，维护供需双方合法权益，保证供需合同的履行，制定《</w:t>
      </w:r>
      <w:r>
        <w:rPr>
          <w:rFonts w:hint="eastAsia" w:ascii="宋体" w:hAnsi="宋体" w:eastAsia="宋体" w:cs="宋体"/>
          <w:color w:val="000000"/>
          <w:sz w:val="21"/>
          <w:szCs w:val="21"/>
          <w:lang w:eastAsia="zh-CN"/>
        </w:rPr>
        <w:t xml:space="preserve">南京市鼓楼区人民政府江东街道办事处</w:t>
      </w:r>
      <w:r>
        <w:rPr>
          <w:rFonts w:hint="eastAsia" w:ascii="宋体" w:hAnsi="宋体" w:eastAsia="宋体" w:cs="宋体"/>
          <w:color w:val="000000"/>
          <w:sz w:val="21"/>
          <w:szCs w:val="21"/>
        </w:rPr>
        <w:t xml:space="preserve">食堂食材采购供应商管理考核办法》。</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本管理办法适用于</w:t>
      </w:r>
      <w:r>
        <w:rPr>
          <w:rFonts w:hint="eastAsia" w:ascii="宋体" w:hAnsi="宋体" w:eastAsia="宋体" w:cs="宋体"/>
          <w:color w:val="000000"/>
          <w:sz w:val="21"/>
          <w:szCs w:val="21"/>
          <w:lang w:eastAsia="zh-CN"/>
        </w:rPr>
        <w:t xml:space="preserve">南京市鼓楼区人民政府江东街道办事处</w:t>
      </w:r>
      <w:r>
        <w:rPr>
          <w:rFonts w:hint="eastAsia" w:ascii="宋体" w:hAnsi="宋体" w:eastAsia="宋体" w:cs="宋体"/>
          <w:color w:val="000000"/>
          <w:sz w:val="21"/>
          <w:szCs w:val="21"/>
        </w:rPr>
        <w:t xml:space="preserve">食堂食材采购中标供应商。</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供应商的日常管理由</w:t>
      </w:r>
      <w:r>
        <w:rPr>
          <w:rFonts w:hint="eastAsia" w:ascii="宋体" w:hAnsi="宋体" w:eastAsia="宋体" w:cs="宋体"/>
          <w:color w:val="000000"/>
          <w:sz w:val="21"/>
          <w:szCs w:val="21"/>
          <w:lang w:eastAsia="zh-CN"/>
        </w:rPr>
        <w:t xml:space="preserve">南京市鼓楼区人民政府江东街道办事处</w:t>
      </w:r>
      <w:r>
        <w:rPr>
          <w:rFonts w:hint="eastAsia" w:ascii="宋体" w:hAnsi="宋体" w:eastAsia="宋体" w:cs="宋体"/>
          <w:color w:val="000000"/>
          <w:sz w:val="21"/>
          <w:szCs w:val="21"/>
        </w:rPr>
        <w:t xml:space="preserve">食堂食材供应商考核管理小组负责日常管理。日常管理的重点内容包括：</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1、配送要求：供应商必须严格按照订单数量和品种进行供货，无特殊情况，必须按约定的时间送达指定的收货地点。</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2、来料验收：验收环节严格执行三方验收制度，即采购方、使用方、供货方三方到场方能进行来料验收。对验收中出现的问题由采购方、使用方人员进行现场考核记录。</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3、价格管理：供应商必须按照</w:t>
      </w:r>
      <w:r>
        <w:rPr>
          <w:rFonts w:hint="eastAsia" w:ascii="宋体" w:hAnsi="宋体" w:eastAsia="宋体" w:cs="宋体"/>
          <w:color w:val="ff0000"/>
          <w:sz w:val="21"/>
          <w:szCs w:val="21"/>
          <w:lang w:val="en-US" w:eastAsia="zh-CN"/>
        </w:rPr>
        <w:t xml:space="preserve">当日</w:t>
      </w:r>
      <w:r>
        <w:rPr>
          <w:rFonts w:hint="eastAsia" w:ascii="宋体" w:hAnsi="宋体" w:eastAsia="宋体" w:cs="宋体"/>
          <w:b w:val="0"/>
          <w:bCs w:val="0"/>
          <w:i w:val="0"/>
          <w:iCs w:val="0"/>
          <w:color w:val="ff0000"/>
          <w:spacing w:val="0"/>
          <w:sz w:val="21"/>
          <w:szCs w:val="21"/>
          <w:vertAlign w:val="baseline"/>
          <w:lang w:val="en-US" w:eastAsia="zh-CN"/>
        </w:rPr>
        <w:t xml:space="preserve">最新南京市农贸市场主副食品统计表中的平均单价作为基准价(网站公布的价格均为含税价）进行供货，“南京市部分农贸市场主副食品周平均价格水平”中未列出的产品，以双方共同在本区域内金润发超市或周边大、中型农贸市场的询价结果）为基准价。</w:t>
      </w:r>
      <w:r>
        <w:rPr>
          <w:rFonts w:hint="eastAsia" w:ascii="宋体" w:hAnsi="宋体" w:eastAsia="宋体" w:cs="宋体"/>
          <w:color w:val="000000"/>
          <w:sz w:val="21"/>
          <w:szCs w:val="21"/>
        </w:rPr>
        <w:t xml:space="preserve">在未经招标人同意情况下，严禁随意变动中标产品的供货价格；如遇产品市场价格波动幅度超过合同约定范围，则需要向</w:t>
      </w:r>
      <w:r>
        <w:rPr>
          <w:rFonts w:hint="eastAsia" w:ascii="宋体" w:hAnsi="宋体" w:eastAsia="宋体" w:cs="宋体"/>
          <w:color w:val="000000"/>
          <w:sz w:val="21"/>
          <w:szCs w:val="21"/>
          <w:lang w:eastAsia="zh-CN"/>
        </w:rPr>
        <w:t xml:space="preserve">南京市鼓楼区人民政府江东街道办事处</w:t>
      </w:r>
      <w:r>
        <w:rPr>
          <w:rFonts w:hint="eastAsia" w:ascii="宋体" w:hAnsi="宋体" w:eastAsia="宋体" w:cs="宋体"/>
          <w:color w:val="000000"/>
          <w:sz w:val="21"/>
          <w:szCs w:val="21"/>
        </w:rPr>
        <w:t xml:space="preserve">递交书面调价申请，经</w:t>
      </w:r>
      <w:r>
        <w:rPr>
          <w:rFonts w:hint="eastAsia" w:ascii="宋体" w:hAnsi="宋体" w:eastAsia="宋体" w:cs="宋体"/>
          <w:color w:val="000000"/>
          <w:sz w:val="21"/>
          <w:szCs w:val="21"/>
          <w:lang w:eastAsia="zh-CN"/>
        </w:rPr>
        <w:t xml:space="preserve">南京市鼓楼区人民政府江东街道办事处</w:t>
      </w:r>
      <w:r>
        <w:rPr>
          <w:rFonts w:hint="eastAsia" w:ascii="宋体" w:hAnsi="宋体" w:eastAsia="宋体" w:cs="宋体"/>
          <w:color w:val="000000"/>
          <w:sz w:val="21"/>
          <w:szCs w:val="21"/>
        </w:rPr>
        <w:t xml:space="preserve">审批同意之后方可进行调价。</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供货验收（使用）日常考核表、供应商整改通知单附件附后。</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5、考核结果应用</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食堂管理人员根据季度考核结果，对供应商实行相应经济和扣分考核：月度考核90分以上为合格；低于80分之间甲方将给予警告、整改通知，警告、整改通知累计超过3次以上的甲方有权终止合同。季度考核得分低于80分的供应商，甲方有权终止合同。</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560"/>
        <w:spacing w:before="0" w:after="0" w:line="479" w:lineRule="atLeas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南京市鼓楼区人民政府江东街道办事处</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年月日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供货商确认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本单位完全了解并同意遵照该办法执行!</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供货单位(章):</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负责人签字:</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年月日</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rPr>
          <w:rFonts w:hint="eastAsia" w:ascii="宋体" w:hAnsi="宋体" w:eastAsia="宋体" w:cs="宋体"/>
          <w:color w:val="000000"/>
          <w:sz w:val="21"/>
          <w:szCs w:val="21"/>
        </w:rPr>
        <w:t xml:space="preserve">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附件1：</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670" w:type="dxa"/>
            <w:vAlign w:val="center"/>
            <w:textDirection w:val="lrTb"/>
            <w:noWrap w:val="false"/>
          </w:tcPr>
          <w:p>
            <w:pPr>
              <w:ind w:left="0" w:right="0" w:firstLine="200"/>
              <w:jc w:val="center"/>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验收时间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违规问题描述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追踪结果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是否及时整改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扣分分值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使用人/验收人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tc>
      </w:tr>
      <w:tr>
        <w:trPr>
          <w:gridAfter w:val="1"/>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gridAfter w:val="1"/>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gridAfter w:val="1"/>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bl>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注：有违规情况填写说明，无违规情况不记</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附件2：</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46"/>
        <w:gridCol w:w="2681"/>
        <w:gridCol w:w="1383"/>
        <w:gridCol w:w="376"/>
      </w:tblGrid>
      <w:tr>
        <w:trPr>
          <w:gridAfter w:val="1"/>
          <w:trHeight w:val="216"/>
        </w:trPr>
        <w:tc>
          <w:tcPr>
            <w:gridSpan w:val="4"/>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8146"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南京市鼓楼区人民政府江东街道办事处</w:t>
            </w:r>
            <w:r/>
          </w:p>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食堂食材采购供应商整改通知单</w:t>
            </w:r>
            <w:r/>
          </w:p>
        </w:tc>
      </w:tr>
      <w:tr>
        <w:trPr>
          <w:gridAfter w:val="1"/>
          <w:trHeight w:val="16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46"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3"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16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46"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3"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16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46"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3"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22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46"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3"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gridAfter w:val="1"/>
          <w:trHeight w:val="166"/>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14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整改情况（供应商填写）</w:t>
            </w:r>
            <w:r/>
          </w:p>
        </w:tc>
      </w:tr>
      <w:tr>
        <w:trPr>
          <w:gridAfter w:val="1"/>
          <w:trHeight w:val="312"/>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146" w:type="dxa"/>
            <w:vAlign w:val="bottom"/>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供应商责任人：</w:t>
            </w:r>
            <w:r/>
          </w:p>
        </w:tc>
      </w:tr>
      <w:tr>
        <w:trPr>
          <w:trHeight w:val="166"/>
        </w:trPr>
        <w:tc>
          <w:tcPr>
            <w:gridSpan w:val="4"/>
            <w:tcBorders>
              <w:top w:val="single" w:color="000000" w:sz="12" w:space="0"/>
              <w:left w:val="single" w:color="000000" w:sz="12" w:space="0"/>
              <w:bottom w:val="single" w:color="000000" w:sz="12" w:space="0"/>
              <w:right w:val="single" w:color="000000" w:sz="12" w:space="0"/>
            </w:tcBorders>
            <w:tcW w:w="8146" w:type="dxa"/>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66"/>
        </w:trPr>
        <w:tc>
          <w:tcPr>
            <w:gridSpan w:val="4"/>
            <w:tcBorders>
              <w:top w:val="single" w:color="000000" w:sz="12" w:space="0"/>
              <w:left w:val="single" w:color="000000" w:sz="12" w:space="0"/>
              <w:bottom w:val="single" w:color="000000" w:sz="12" w:space="0"/>
              <w:right w:val="single" w:color="000000" w:sz="12" w:space="0"/>
            </w:tcBorders>
            <w:tcW w:w="8146" w:type="dxa"/>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13"/>
        </w:trPr>
        <w:tc>
          <w:tcPr>
            <w:gridSpan w:val="4"/>
            <w:tcBorders>
              <w:top w:val="single" w:color="000000" w:sz="12" w:space="0"/>
              <w:left w:val="single" w:color="000000" w:sz="12" w:space="0"/>
              <w:bottom w:val="single" w:color="000000" w:sz="12" w:space="0"/>
              <w:right w:val="single" w:color="000000" w:sz="12" w:space="0"/>
            </w:tcBorders>
            <w:tcW w:w="8146" w:type="dxa"/>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66"/>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14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结果验证（发出部门填写）</w:t>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13"/>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146" w:type="dxa"/>
            <w:vAlign w:val="bottom"/>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确认人：</w:t>
            </w:r>
            <w:r/>
          </w:p>
          <w:p>
            <w:pPr>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66"/>
        </w:trPr>
        <w:tc>
          <w:tcPr>
            <w:gridSpan w:val="4"/>
            <w:tcBorders>
              <w:top w:val="single" w:color="000000" w:sz="12" w:space="0"/>
              <w:left w:val="single" w:color="000000" w:sz="12" w:space="0"/>
              <w:bottom w:val="single" w:color="000000" w:sz="12" w:space="0"/>
              <w:right w:val="single" w:color="000000" w:sz="12" w:space="0"/>
            </w:tcBorders>
            <w:tcW w:w="8146" w:type="dxa"/>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18"/>
        </w:trPr>
        <w:tc>
          <w:tcPr>
            <w:gridSpan w:val="4"/>
            <w:tcBorders>
              <w:top w:val="single" w:color="000000" w:sz="12" w:space="0"/>
              <w:left w:val="single" w:color="000000" w:sz="12" w:space="0"/>
              <w:bottom w:val="single" w:color="000000" w:sz="12" w:space="0"/>
              <w:right w:val="single" w:color="000000" w:sz="12" w:space="0"/>
            </w:tcBorders>
            <w:tcW w:w="8146" w:type="dxa"/>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none" w:color="000000" w:sz="4" w:space="0"/>
              <w:right w:val="none" w:color="000000" w:sz="4" w:space="0"/>
            </w:tcBorders>
            <w:tcMar>
              <w:left w:w="108" w:type="dxa"/>
              <w:top w:w="0" w:type="dxa"/>
              <w:right w:w="108" w:type="dxa"/>
              <w:bottom w:w="0" w:type="dxa"/>
            </w:tcMar>
            <w:tcW w:w="376"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bl>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560"/>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附件3：</w:t>
      </w:r>
      <w:r/>
    </w:p>
    <w:p>
      <w:pPr>
        <w:ind w:left="0" w:right="0" w:firstLine="560"/>
        <w:jc w:val="center"/>
        <w:spacing w:before="0" w:after="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供应商考核评分办法</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06"/>
        <w:gridCol w:w="707"/>
        <w:gridCol w:w="910"/>
        <w:gridCol w:w="2718"/>
        <w:gridCol w:w="3134"/>
        <w:gridCol w:w="886"/>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考评项目</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tc>
      </w:tr>
      <w:tr>
        <w:trPr>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75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62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36"/>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02"/>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064"/>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32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问题处理及时有效性（10分）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8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供应商在未通知</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89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准确性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报价准确性（10分）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63"/>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1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供应商在发现当日订单存在异常情况，主动联系后</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经</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28"/>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8"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零容忍项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服务态度恶劣</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spacing w:before="0" w:after="0" w:line="57"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08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30"/>
        </w:trPr>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0" w:type="auto"/>
            <w:vAlign w:val="top"/>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099"/>
        <w:ind w:firstLine="480"/>
        <w:spacing w:line="360" w:lineRule="auto"/>
      </w:pPr>
      <w:r>
        <w:rPr>
          <w:rFonts w:hint="eastAsia"/>
        </w:rPr>
        <w:br w:type="page" w:clear="all"/>
      </w:r>
      <w:r/>
    </w:p>
    <w:p>
      <w:pPr>
        <w:sectPr>
          <w:footerReference w:type="default" r:id="rId12"/>
          <w:footnotePr/>
          <w:endnotePr>
            <w:numFmt w:val="decimal"/>
          </w:endnotePr>
          <w:type w:val="nextPage"/>
          <w:pgSz w:w="11906" w:h="16838" w:orient="portrait"/>
          <w:pgMar w:top="1134" w:right="1417" w:bottom="1134" w:left="1418" w:header="227" w:footer="720" w:gutter="0"/>
          <w:pgNumType w:start="1"/>
          <w:cols w:num="1" w:sep="0" w:space="720" w:equalWidth="1"/>
          <w:docGrid w:linePitch="360"/>
        </w:sectPr>
      </w:pPr>
      <w:r/>
      <w:bookmarkEnd w:id="9"/>
      <w:r/>
      <w:bookmarkEnd w:id="10"/>
      <w:r/>
      <w:r/>
    </w:p>
    <w:p>
      <w:pPr>
        <w:pStyle w:val="932"/>
        <w:numPr>
          <w:ilvl w:val="0"/>
          <w:numId w:val="6"/>
        </w:numPr>
        <w:rPr>
          <w:rFonts w:ascii="宋体" w:hAnsi="宋体" w:cs="宋体"/>
        </w:rPr>
      </w:pPr>
      <w:r>
        <w:rPr>
          <w:rFonts w:hint="eastAsia" w:ascii="宋体" w:hAnsi="宋体" w:cs="宋体"/>
        </w:rPr>
        <w:t xml:space="preserve"> </w:t>
      </w:r>
      <w:bookmarkStart w:id="12" w:name="_Toc28129"/>
      <w:r/>
      <w:bookmarkStart w:id="13" w:name="_Toc8454"/>
      <w:r>
        <w:rPr>
          <w:rFonts w:hint="eastAsia" w:ascii="宋体" w:hAnsi="宋体" w:cs="宋体"/>
        </w:rPr>
        <w:t xml:space="preserve">合同主要条款及格式</w:t>
      </w:r>
      <w:bookmarkEnd w:id="12"/>
      <w:r/>
      <w:bookmarkEnd w:id="13"/>
      <w:r/>
      <w:r/>
    </w:p>
    <w:p>
      <w:r/>
      <w:bookmarkStart w:id="14" w:name="_Toc20823315"/>
      <w:r/>
      <w:bookmarkStart w:id="15" w:name="_Toc513029243"/>
      <w:r/>
      <w:bookmarkStart w:id="16" w:name="_Toc16938559"/>
      <w:r/>
      <w:bookmarkEnd w:id="14"/>
      <w:r/>
      <w:bookmarkEnd w:id="15"/>
      <w:r/>
      <w:bookmarkEnd w:id="16"/>
      <w:r/>
      <w:r/>
    </w:p>
    <w:p>
      <w:pPr>
        <w:jc w:val="center"/>
        <w:spacing w:line="360" w:lineRule="auto"/>
        <w:shd w:val="clear" w:color="auto" w:fill="ffffff"/>
        <w:widowControl/>
        <w:rPr>
          <w:rFonts w:ascii="宋体" w:hAnsi="宋体" w:cs="宋体"/>
          <w:b/>
          <w:bCs/>
          <w:sz w:val="32"/>
          <w:szCs w:val="32"/>
        </w:rPr>
      </w:pPr>
      <w:r>
        <w:rPr>
          <w:rFonts w:ascii="宋体" w:hAnsi="宋体" w:cs="宋体"/>
          <w:b/>
          <w:bCs/>
          <w:sz w:val="32"/>
          <w:szCs w:val="32"/>
        </w:rPr>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甲方（需方）： </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乙方（供方）：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依据《中华人民共和国民法典》及相关法律法规的规定，甲乙双方在平等、自愿、协商一致的基础上，就项目的有关事宜订立本合同，以兹共同遵照执行。 </w:t>
      </w:r>
      <w:r/>
    </w:p>
    <w:p>
      <w:pPr>
        <w:ind w:firstLine="562"/>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一、配送品种</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。乙方应严格按照招标文件、投标文件的要求和承诺配送主、副食品及杂货品（以下简称“食材”），具体配送品种、数量由甲方按照本合同约定另行通知。 </w:t>
      </w:r>
      <w:r/>
    </w:p>
    <w:p>
      <w:pPr>
        <w:ind w:firstLine="562"/>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二、合同期限</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 </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三、配送价格</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本合同项下货物投标浮动比例为</w:t>
      </w:r>
      <w:r>
        <w:rPr>
          <w:rFonts w:hint="eastAsia" w:ascii="宋体" w:hAnsi="宋体" w:cs="宋体"/>
          <w:color w:val="000000"/>
          <w:szCs w:val="21"/>
          <w:u w:val="single"/>
        </w:rPr>
        <w:t xml:space="preserve">         </w:t>
      </w:r>
      <w:r>
        <w:rPr>
          <w:rFonts w:hint="eastAsia" w:ascii="宋体" w:hAnsi="宋体" w:cs="宋体"/>
          <w:color w:val="000000"/>
          <w:szCs w:val="21"/>
        </w:rPr>
        <w:t xml:space="preserve">％（大写：百分之</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）公布的“南京市部分农贸市场主副食品周平均价格水平”中未列出的产品，以双方共同在金润发超市或周边大、中型农贸市场的询价结果作为价格基准依据，按照乙方折扣后进行计算申报。</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本合同总价款包含以下内容：</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（1）包装、仓储、运输、装卸及其材料；</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（2）支付给员工的工资和国家强制缴纳的各种社会保障资金；</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（3）乙方应当提供的伴随服务/售后服务费用；</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（4）供应商认为需要的其他费用。</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四、结算方式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每次的送货单必须标明种类、数量、单位、单价、合价。每个月汇总交由街道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五、供货及配送要求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1、甲方为配送工作提供必要的交通条件。乙方应遵守甲方的安全管理规定，送货车辆严格按照甲方规定的路线行驶，不得随意停放。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2、甲方应提前一天向乙方告知第二天的订单,订单内容包括名称、种类、规格、数量、运送时间、送达地点、订单联系人等具体要求。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3、乙方配送人员必须遵守甲方的各项规章制度，文明操作，规范服务, 配送人员必须经卫生防疫部门健康检查及卫生知识培训，并持《健康证》上岗。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4、在合同期内，乙方按甲方订购的品种、数量、质量、规格准时向甲方提供配送服务，提前或推迟送货，甲方有权拒收，并严格按照违约责任条款约定的进行处罚。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5、乙方配送的食材质量必须符合国家相关食材安全卫生标准，品质必须达到验收要求。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6、若遇某商品缺货，需更换品种，乙方须经甲方同意方可更换。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7、甲方因特殊事由或突发情况需临时性送货时，乙方按甲方要求及时送达。</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8、乙方因日常工作中造成的物品损坏或遗失，由乙方负责照价赔偿。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9、履行供货任务中发生的意外情况及伤害，由乙方负责。 </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六、验收方式及退换货依据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验收时至少需食堂服务方、乙方同时在场，确认配送食材品质及数量，达标后签收验收回执单。发现有不合标准的食材，乙方应在甲方要求的时间内无条件包退换货，直至达到验收合格。乙方未经甲方同意，擅自将食材配送食堂个人的，甲方概不支付货款。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2、退换货依据 </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2"/>
        <w:gridCol w:w="3142"/>
        <w:gridCol w:w="2792"/>
      </w:tblGrid>
      <w:tr>
        <w:trPr>
          <w:trHeight w:val="45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种类</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验收标准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退货依据</w:t>
            </w:r>
            <w:r/>
          </w:p>
        </w:tc>
      </w:tr>
      <w:tr>
        <w:trPr>
          <w:trHeight w:val="13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叶菜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味苦，鲜度嫩度明显不佳，含黄叶须根，泥土、虫害严重，萎捏严重，浸水后仍不可恢复；农药残留超标。</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根茎类（如香芋、土豆、莴笋等）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根茎类蔬菜必须符合GB23200-2016标准，无虫咬、发芽、发霉现象，新鲜，形态大小与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自购标准相当。农药残留不超标。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发芽严重、发霉，新鲜度不佳，形态大小与</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自购标准存在较大负偏差。农药残留超标。</w:t>
            </w:r>
            <w:r/>
          </w:p>
        </w:tc>
      </w:tr>
      <w:tr>
        <w:trPr>
          <w:trHeight w:val="7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花果类（如西兰花、白菜花）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花果类蔬菜必须符合GB23200-2016标准，无虫害，成熟度良好，新鲜固有的色泽鲜明，无发霉发黄。农药残留不超标。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不新鲜，发霉，虫害过多。农药残留超标。</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瓜果类</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不新鲜、软塌、腐烂，有异味。病虫损害严重，形状不太正常，大小不适中。农药残留超标。</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肉食类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禽蛋类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水产品类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必须符合GB2733-2015标准；外表新鲜无异味，根据</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要求大小适中及均匀，按照</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要求进行加工，如活鱼类现场宰杀，刨肚去鳞等。</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调味品类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包括</w:t>
            </w:r>
            <w:r>
              <w:rPr>
                <w:rFonts w:hint="eastAsia" w:ascii="宋体" w:hAnsi="宋体" w:cs="宋体"/>
                <w:color w:val="000000"/>
                <w:szCs w:val="21"/>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米、面、油类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大米质量要求：粳米一级国家标准GB1354-2018；</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面粉质量要求：小麦粉特制一等国家标准GB1355-1986；</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食用油质量要求：非转基因，国家标准GB1535-2017。</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乳制品类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豆制品类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包括但不限于干丝、豆腐、千张等，必须具有“QS“食品质量安全认证。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水果类</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水果必须符合GB23200-2016标准、根据甲方要求大小适中及均匀,成熟度适中，品种好、口感好。</w:t>
            </w:r>
            <w:r/>
          </w:p>
        </w:tc>
      </w:tr>
    </w:tbl>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以上涉及的国家食品安全、卫生生产标准均按照最新标准执行，如在合同履行过程中出台了更新的标准，则按照最新标准执行。</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七、违约责任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1、除因不可抗因素外，乙方需按甲方规定的品种、规格、数量、时间、地点组织正常供应，造成甲方食材供应延迟或中断，影响食堂正常开饭的，以上行为累计超过三次，甲方有权立即单方解除本合同。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小时内补齐。否则视为影响食堂正常开饭，以上行为累计超过三次，甲方有权立即单方解除本合同。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3、未经甲方书面同意，乙方不得将合同分包或转包给任何第三方。否则，甲方有权按乙方不能交付或不能履行合同处理，甲方有权立即单方解除本合同。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甲方一经发现乙方供应的食材出现主要质量问题，甲方除可以全部退货外，还有权立即单方解除本合同，乙方并承担由此造成的一切经济损失（包括但不限于医药费、差旅费、诉讼费、公证费、律师费等费用）和法律责任。甲方将视情节严重程度取消乙方供货资格，情况极其严重的三年内不得参与甲方招投标工作。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5、凡经相关部门认定，如因乙方所提供的原食材原因造成食物中毒等卫生事故的，经权威部门鉴定，确属产品质量引起的, 乙方除必须承担全部的法律责任外，还要全额承担因食物中毒发生造成后果的一切费用，且甲方有权终止服务合同。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6、凡乙方向甲方提供的食材发生质量问题，影响食用，经验收小组确认，供应商须重新配送合格食材；扣当月货款2000元，三次以上解除合同。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将每三个月组织专人抽查一批次，对中标供应商所供食材的质量报送质检部门抽检，检测费用由中标供应商承担。若发现食材质量检测结果与招标文件或投标文件或与国家规定的质量标准不符，</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有权解除合同等。</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8、如中标供应商在项目实施期间出现违背投标时的承诺，或经营异常，或丧失商业信誉，或产品被曝光不合格或被政府部门取缔相关生产经营资格的情况，</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有权直接解除合同。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以上违约责任的约定不影响甲方依据招标文件、投标文件规定的追究其他责任。</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八、履约保证金</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1、乙方应在收到中标通知后20个自然日内，向甲方交纳履约保证金20000元作为合同生效的前提。合同到期后30个自然日内，</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扣除相应的金额后将履约保证金无息退还至乙方账户（保证金的缴纳方式为非现金形式）。</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2.如乙方未能履行合同规定的义务，甲方有权从履约保证金中取得补偿。</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 甲方如临时增加用餐人员，需临时补充食材的，乙方应在约定时间内无条件把指定的食材送至指定的地点，否则给予警告通知，三次及以上的没收全部履约保证金并解除合作关系。</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凡经相关部门认定，如因乙方所提供的原食材原因造成食物中毒等卫生事故的，乙方除必须承担全部的法律责任外，还要全额承担因食物中毒发生造成后果的一切费用，并立即停止供货，并暂停支付当月所有供应原食材的货款。</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5.凡乙方向甲方提供的食材发生质量问题，影响食用，经验收小组确认，乙方须重新配送合格食材；甲方将扣除履约保证金1000-3000元，三次以上没收全部履约保证金并解除合同。</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凡乙方供应的食材故意串规、定量包装批量误差超过相关规定、延迟交货或配送货物不符合订单要求，乙方须按甲方要求及时补货、换货或退货。对于上述情况的发生，前两次甲方将予以警告，第三次甲方有权直接解除合同并没收其全部履约保证金。</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7.如乙方在项目实施期间出现违背投标时的承诺，或经营异常，或丧失商业信誉，或产品被曝光不合格或被政府部门取缔相关生产经营资格的情况，甲方有权直接解除合同并没收其履约保证金。</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8.如中标人延迟交货或配送货物不符合订单要求，中标人须按</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要求及时补货、换货或退货。对于上述情况的发生，前两次</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将予以警告，第三次</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有权直接解除合同并没收其全部履约保证金。</w:t>
      </w:r>
      <w:r/>
    </w:p>
    <w:p>
      <w:pPr>
        <w:pStyle w:val="933"/>
        <w:ind w:firstLine="562"/>
        <w:spacing w:before="120" w:after="232" w:line="479"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九、其他条款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3、乙方应配合各种形式的质量检查。国家相关部门质检时，若因乙方供应的食材质量不合法合规而产生的经济损失和法律责任由乙方全部承担。乙方需无条件接收甲方退回的当批次食材，并追究其违约责任。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4、在履行本合同过程中发生争议，双方应协商解决，协商不成的，任何一方均有权向甲方所在地的人民法院提起诉讼。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5、本协议执行期内,各方均不得随意变更或解除协议。协议有未尽事宜,须经各方共同协商做出补充协议。补充规定与本协议具有同等效力。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6、本协议一式两份，甲、乙方各一份。 </w:t>
      </w:r>
      <w:r/>
    </w:p>
    <w:p>
      <w:pPr>
        <w:spacing w:line="64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spacing w:line="64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spacing w:line="64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甲方（需方）： （盖章）            乙方（供方）：（盖章） </w:t>
      </w:r>
      <w:r/>
    </w:p>
    <w:p>
      <w:pPr>
        <w:spacing w:line="64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法定（授权）代表人（盖章或签字）  法定（授权）代表人（盖章或签字） </w:t>
      </w:r>
      <w:r/>
    </w:p>
    <w:p>
      <w:pPr>
        <w:spacing w:line="64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日期： 年 月 日                   日期： 年 月 日</w:t>
      </w:r>
      <w:r/>
    </w:p>
    <w:p>
      <w:pPr>
        <w:pStyle w:val="989"/>
        <w:rPr>
          <w:rFonts w:ascii="宋体" w:hAnsi="宋体" w:cs="宋体"/>
          <w:color w:val="000000"/>
        </w:rPr>
      </w:pPr>
      <w:r>
        <w:rPr>
          <w:rFonts w:ascii="宋体" w:hAnsi="宋体" w:cs="宋体"/>
          <w:color w:val="000000"/>
        </w:rPr>
      </w:r>
      <w:r/>
    </w:p>
    <w:p>
      <w:pPr>
        <w:pStyle w:val="960"/>
        <w:rPr>
          <w:lang w:val="zh-CN"/>
        </w:rPr>
      </w:pPr>
      <w:r>
        <w:rPr>
          <w:lang w:val="zh-CN"/>
        </w:rPr>
      </w:r>
      <w:r/>
    </w:p>
    <w:p>
      <w:pPr>
        <w:rPr>
          <w:rFonts w:ascii="宋体" w:hAnsi="宋体" w:cs="宋体"/>
          <w:szCs w:val="21"/>
        </w:rPr>
      </w:pPr>
      <w:r>
        <w:rPr>
          <w:rFonts w:hint="eastAsia" w:ascii="宋体" w:hAnsi="宋体" w:cs="宋体"/>
          <w:szCs w:val="21"/>
        </w:rPr>
        <w:br w:type="page" w:clear="all"/>
      </w:r>
      <w:r/>
    </w:p>
    <w:p>
      <w:pPr>
        <w:pStyle w:val="932"/>
        <w:numPr>
          <w:ilvl w:val="0"/>
          <w:numId w:val="6"/>
        </w:numPr>
        <w:rPr>
          <w:rFonts w:ascii="宋体" w:hAnsi="宋体" w:cs="宋体"/>
        </w:rPr>
      </w:pPr>
      <w:r/>
      <w:bookmarkStart w:id="17" w:name="_Toc19959"/>
      <w:r/>
      <w:bookmarkStart w:id="18" w:name="_Toc15886"/>
      <w:r>
        <w:rPr>
          <w:rFonts w:hint="eastAsia" w:ascii="宋体" w:hAnsi="宋体" w:cs="宋体"/>
        </w:rPr>
        <w:t xml:space="preserve">投标文件格式及附件</w:t>
      </w:r>
      <w:bookmarkEnd w:id="17"/>
      <w:r/>
      <w:bookmarkEnd w:id="18"/>
      <w:r/>
      <w:r/>
    </w:p>
    <w:p>
      <w:pPr>
        <w:pStyle w:val="989"/>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sz w:val="22"/>
          <w:szCs w:val="22"/>
        </w:rPr>
      </w:pPr>
      <w:r>
        <w:rPr>
          <w:rFonts w:ascii="宋体" w:hAnsi="宋体" w:cs="宋体"/>
          <w:sz w:val="22"/>
          <w:szCs w:val="22"/>
        </w:rPr>
      </w:r>
      <w:r/>
    </w:p>
    <w:p>
      <w:pPr>
        <w:rPr>
          <w:rFonts w:ascii="宋体" w:hAnsi="宋体" w:cs="宋体"/>
          <w:sz w:val="22"/>
          <w:szCs w:val="22"/>
        </w:rPr>
      </w:pPr>
      <w:r>
        <w:rPr>
          <w:rFonts w:ascii="宋体" w:hAnsi="宋体" w:cs="宋体"/>
          <w:sz w:val="22"/>
          <w:szCs w:val="2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rPr>
          <w:rFonts w:ascii="宋体" w:hAnsi="宋体" w:cs="宋体"/>
          <w:sz w:val="32"/>
          <w:szCs w:val="32"/>
        </w:rPr>
      </w:pP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w:t>
      </w:r>
      <w:r>
        <w:rPr>
          <w:rFonts w:hint="eastAsia" w:ascii="宋体" w:hAnsi="宋体" w:cs="宋体"/>
          <w:lang w:eastAsia="zh-CN"/>
        </w:rPr>
        <w:t xml:space="preserve">采购人</w:t>
      </w:r>
      <w:r>
        <w:rPr>
          <w:rFonts w:hint="eastAsia" w:ascii="宋体" w:hAnsi="宋体" w:cs="宋体"/>
        </w:rPr>
        <w:t xml:space="preserve">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360" w:lineRule="auto"/>
        <w:rPr>
          <w:rFonts w:ascii="宋体" w:hAnsi="宋体" w:cs="宋体"/>
          <w:lang w:val="zh-CN"/>
        </w:rPr>
      </w:pPr>
      <w:r>
        <w:rPr>
          <w:rFonts w:hint="eastAsia" w:ascii="宋体" w:hAnsi="宋体" w:cs="宋体"/>
          <w:b/>
          <w:bCs/>
          <w:szCs w:val="21"/>
        </w:rPr>
        <w:br w:type="page" w:clear="all"/>
      </w:r>
      <w:bookmarkStart w:id="19" w:name="_Toc26810"/>
      <w:r>
        <w:rPr>
          <w:rFonts w:hint="eastAsia" w:ascii="宋体" w:hAnsi="宋体" w:cs="宋体"/>
          <w:b/>
          <w:bCs/>
          <w:szCs w:val="21"/>
          <w:lang w:val="zh-CN"/>
        </w:rPr>
        <w:t xml:space="preserve">附件三、</w:t>
      </w:r>
      <w:bookmarkEnd w:id="19"/>
      <w:r>
        <w:rPr>
          <w:rFonts w:hint="eastAsia" w:ascii="宋体" w:hAnsi="宋体" w:cs="宋体"/>
          <w:b/>
          <w:bCs/>
          <w:szCs w:val="21"/>
          <w:lang w:val="zh-CN"/>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ascii="宋体" w:hAnsi="宋体" w:cs="宋体"/>
          <w:sz w:val="24"/>
        </w:rPr>
      </w:pPr>
      <w:r>
        <w:rPr>
          <w:rFonts w:ascii="宋体" w:hAnsi="宋体" w:cs="宋体"/>
          <w:sz w:val="24"/>
        </w:rPr>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70"/>
        <w:gridCol w:w="1848"/>
        <w:gridCol w:w="3272"/>
      </w:tblGrid>
      <w:tr>
        <w:trPr>
          <w:trHeight w:val="284"/>
        </w:trPr>
        <w:tc>
          <w:tcPr>
            <w:gridSpan w:val="2"/>
            <w:tcMar>
              <w:left w:w="108" w:type="dxa"/>
              <w:top w:w="0" w:type="dxa"/>
              <w:right w:w="108" w:type="dxa"/>
              <w:bottom w:w="0" w:type="dxa"/>
            </w:tcMar>
            <w:tcW w:w="3602" w:type="dxa"/>
            <w:vAlign w:val="center"/>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项目名称：</w:t>
            </w:r>
            <w:r/>
          </w:p>
        </w:tc>
        <w:tc>
          <w:tcPr>
            <w:gridSpan w:val="2"/>
            <w:tcMar>
              <w:left w:w="108" w:type="dxa"/>
              <w:top w:w="0" w:type="dxa"/>
              <w:right w:w="108" w:type="dxa"/>
              <w:bottom w:w="0" w:type="dxa"/>
            </w:tcMar>
            <w:tcW w:w="5120" w:type="dxa"/>
            <w:vAlign w:val="center"/>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项目编号：</w:t>
            </w:r>
            <w:r/>
          </w:p>
        </w:tc>
      </w:tr>
      <w:tr>
        <w:trPr>
          <w:trHeight w:val="284"/>
        </w:trPr>
        <w:tc>
          <w:tcPr>
            <w:tcMar>
              <w:left w:w="108" w:type="dxa"/>
              <w:top w:w="0" w:type="dxa"/>
              <w:right w:w="108" w:type="dxa"/>
              <w:bottom w:w="0" w:type="dxa"/>
            </w:tcMar>
            <w:tcW w:w="932" w:type="dxa"/>
            <w:vAlign w:val="center"/>
            <w:textDirection w:val="lrTb"/>
            <w:noWrap w:val="false"/>
          </w:tcPr>
          <w:p>
            <w:pPr>
              <w:jc w:val="cente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序号</w:t>
            </w:r>
            <w:r/>
          </w:p>
        </w:tc>
        <w:tc>
          <w:tcPr>
            <w:tcMar>
              <w:left w:w="108" w:type="dxa"/>
              <w:top w:w="0" w:type="dxa"/>
              <w:right w:w="108" w:type="dxa"/>
              <w:bottom w:w="0" w:type="dxa"/>
            </w:tcMar>
            <w:tcW w:w="2670" w:type="dxa"/>
            <w:vAlign w:val="center"/>
            <w:textDirection w:val="lrTb"/>
            <w:noWrap w:val="false"/>
          </w:tcPr>
          <w:p>
            <w:pPr>
              <w:jc w:val="cente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名 </w:t>
            </w:r>
            <w:r>
              <w:rPr>
                <w:rFonts w:ascii="宋体" w:hAnsi="宋体" w:eastAsia="Times New Roman" w:cs="宋体"/>
                <w:color w:val="000000"/>
                <w:sz w:val="21"/>
                <w:szCs w:val="21"/>
                <w:highlight w:val="none"/>
              </w:rPr>
              <w:t xml:space="preserve">   </w:t>
            </w:r>
            <w:r>
              <w:rPr>
                <w:rFonts w:ascii="宋体" w:hAnsi="宋体" w:cs="宋体"/>
                <w:color w:val="000000"/>
                <w:sz w:val="21"/>
                <w:szCs w:val="21"/>
                <w:highlight w:val="none"/>
              </w:rPr>
              <w:t xml:space="preserve">称</w:t>
            </w:r>
            <w:r/>
          </w:p>
        </w:tc>
        <w:tc>
          <w:tcPr>
            <w:tcMar>
              <w:left w:w="108" w:type="dxa"/>
              <w:top w:w="0" w:type="dxa"/>
              <w:right w:w="108" w:type="dxa"/>
              <w:bottom w:w="0" w:type="dxa"/>
            </w:tcMar>
            <w:tcW w:w="1848" w:type="dxa"/>
            <w:vAlign w:val="center"/>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优惠率（</w:t>
            </w:r>
            <w:r>
              <w:rPr>
                <w:rFonts w:ascii="宋体" w:hAnsi="宋体" w:eastAsia="Times New Roman" w:cs="宋体"/>
                <w:color w:val="000000"/>
                <w:sz w:val="21"/>
                <w:szCs w:val="21"/>
                <w:highlight w:val="none"/>
              </w:rPr>
              <w:t xml:space="preserve">%</w:t>
            </w:r>
            <w:r>
              <w:rPr>
                <w:rFonts w:ascii="宋体" w:hAnsi="宋体" w:cs="宋体"/>
                <w:color w:val="000000"/>
                <w:sz w:val="21"/>
                <w:szCs w:val="21"/>
                <w:highlight w:val="none"/>
              </w:rPr>
              <w:t xml:space="preserve">）</w:t>
            </w:r>
            <w:r/>
          </w:p>
        </w:tc>
        <w:tc>
          <w:tcPr>
            <w:tcMar>
              <w:left w:w="108" w:type="dxa"/>
              <w:top w:w="0" w:type="dxa"/>
              <w:right w:w="108" w:type="dxa"/>
              <w:bottom w:w="0" w:type="dxa"/>
            </w:tcMar>
            <w:tcW w:w="3272" w:type="dxa"/>
            <w:vAlign w:val="center"/>
            <w:textDirection w:val="lrTb"/>
            <w:noWrap w:val="false"/>
          </w:tcPr>
          <w:p>
            <w:pPr>
              <w:jc w:val="cente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备注</w:t>
            </w:r>
            <w:r/>
          </w:p>
        </w:tc>
      </w:tr>
      <w:tr>
        <w:trPr>
          <w:trHeight w:val="3236"/>
        </w:trPr>
        <w:tc>
          <w:tcPr>
            <w:tcMar>
              <w:left w:w="108" w:type="dxa"/>
              <w:top w:w="0" w:type="dxa"/>
              <w:right w:w="108" w:type="dxa"/>
              <w:bottom w:w="0" w:type="dxa"/>
            </w:tcMar>
            <w:tcW w:w="932" w:type="dxa"/>
            <w:vAlign w:val="center"/>
            <w:textDirection w:val="lrTb"/>
            <w:noWrap w:val="false"/>
          </w:tcPr>
          <w:p>
            <w:pPr>
              <w:jc w:val="cente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1"/>
                <w:szCs w:val="21"/>
                <w:highlight w:val="none"/>
              </w:rPr>
              <w:t xml:space="preserve">1</w:t>
            </w:r>
            <w:r/>
          </w:p>
        </w:tc>
        <w:tc>
          <w:tcPr>
            <w:tcMar>
              <w:left w:w="108" w:type="dxa"/>
              <w:top w:w="0" w:type="dxa"/>
              <w:right w:w="108" w:type="dxa"/>
              <w:bottom w:w="0" w:type="dxa"/>
            </w:tcMar>
            <w:tcW w:w="2670" w:type="dxa"/>
            <w:vAlign w:val="center"/>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1"/>
                <w:szCs w:val="21"/>
                <w:highlight w:val="none"/>
              </w:rPr>
            </w:r>
            <w:r/>
          </w:p>
        </w:tc>
        <w:tc>
          <w:tcPr>
            <w:tcMar>
              <w:left w:w="108" w:type="dxa"/>
              <w:top w:w="0" w:type="dxa"/>
              <w:right w:w="108" w:type="dxa"/>
              <w:bottom w:w="0" w:type="dxa"/>
            </w:tcMar>
            <w:tcW w:w="1848" w:type="dxa"/>
            <w:vAlign w:val="center"/>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1"/>
                <w:szCs w:val="21"/>
                <w:highlight w:val="none"/>
              </w:rPr>
              <w:t xml:space="preserve"> </w:t>
            </w:r>
            <w:r/>
          </w:p>
        </w:tc>
        <w:tc>
          <w:tcPr>
            <w:tcMar>
              <w:left w:w="108" w:type="dxa"/>
              <w:top w:w="0" w:type="dxa"/>
              <w:right w:w="108" w:type="dxa"/>
              <w:bottom w:w="0" w:type="dxa"/>
            </w:tcMar>
            <w:tcW w:w="3272" w:type="dxa"/>
            <w:textDirection w:val="lrTb"/>
            <w:noWrap w:val="false"/>
          </w:tcPr>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本项目的优惠率指参照南京市发改委公布的的零售即时价格为基础</w:t>
            </w:r>
            <w:r>
              <w:rPr>
                <w:rFonts w:hint="eastAsia" w:ascii="宋体" w:hAnsi="宋体" w:cs="宋体"/>
                <w:color w:val="000000"/>
                <w:sz w:val="21"/>
                <w:szCs w:val="21"/>
                <w:highlight w:val="none"/>
              </w:rPr>
              <w:t xml:space="preserve">（如南京市发展和改革委员会官网（http://fgw.nanjing.gov.cn/）公布的“南京市部分农贸市场主副食品周平均价格水平”中未列出的产品，以双方共同在本区域内金润发超市或周边大、中型农贸市场的询价结果）</w:t>
            </w:r>
            <w:r>
              <w:rPr>
                <w:rFonts w:ascii="宋体" w:hAnsi="宋体" w:cs="宋体"/>
                <w:color w:val="000000"/>
                <w:sz w:val="21"/>
                <w:szCs w:val="21"/>
                <w:highlight w:val="none"/>
              </w:rPr>
              <w:t xml:space="preserve">，进行折扣的比例，服务期限内供应商填报的优惠率保持不变。</w:t>
            </w:r>
            <w:r/>
          </w:p>
          <w:p>
            <w:pPr>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示例：若供应商填报的优惠率为</w:t>
            </w:r>
            <w:r>
              <w:rPr>
                <w:rFonts w:ascii="宋体" w:hAnsi="宋体" w:eastAsia="Times New Roman" w:cs="宋体"/>
                <w:color w:val="000000"/>
                <w:sz w:val="21"/>
                <w:szCs w:val="21"/>
                <w:highlight w:val="none"/>
              </w:rPr>
              <w:t xml:space="preserve">20%</w:t>
            </w:r>
            <w:r>
              <w:rPr>
                <w:rFonts w:ascii="宋体" w:hAnsi="宋体" w:cs="宋体"/>
                <w:color w:val="000000"/>
                <w:sz w:val="21"/>
                <w:szCs w:val="21"/>
                <w:highlight w:val="none"/>
              </w:rPr>
              <w:t xml:space="preserve">，发改委公布的周价格为</w:t>
            </w:r>
            <w:r>
              <w:rPr>
                <w:rFonts w:ascii="宋体" w:hAnsi="宋体" w:eastAsia="Times New Roman" w:cs="宋体"/>
                <w:color w:val="000000"/>
                <w:sz w:val="21"/>
                <w:szCs w:val="21"/>
                <w:highlight w:val="none"/>
              </w:rPr>
              <w:t xml:space="preserve"> 10 </w:t>
            </w:r>
            <w:r>
              <w:rPr>
                <w:rFonts w:ascii="宋体" w:hAnsi="宋体" w:cs="宋体"/>
                <w:color w:val="000000"/>
                <w:sz w:val="21"/>
                <w:szCs w:val="21"/>
                <w:highlight w:val="none"/>
              </w:rPr>
              <w:t xml:space="preserve">元</w:t>
            </w:r>
            <w:r>
              <w:rPr>
                <w:rFonts w:ascii="宋体" w:hAnsi="宋体" w:eastAsia="Times New Roman" w:cs="宋体"/>
                <w:color w:val="000000"/>
                <w:sz w:val="21"/>
                <w:szCs w:val="21"/>
                <w:highlight w:val="none"/>
              </w:rPr>
              <w:t xml:space="preserve">/</w:t>
            </w:r>
            <w:r>
              <w:rPr>
                <w:rFonts w:ascii="宋体" w:hAnsi="宋体" w:cs="宋体"/>
                <w:color w:val="000000"/>
                <w:sz w:val="21"/>
                <w:szCs w:val="21"/>
                <w:highlight w:val="none"/>
              </w:rPr>
              <w:t xml:space="preserve">斤，则</w:t>
            </w:r>
            <w:r>
              <w:rPr>
                <w:rFonts w:hint="eastAsia" w:ascii="宋体" w:hAnsi="宋体" w:cs="宋体"/>
                <w:color w:val="000000"/>
                <w:sz w:val="21"/>
                <w:szCs w:val="21"/>
                <w:highlight w:val="none"/>
              </w:rPr>
              <w:t xml:space="preserve">采购人</w:t>
            </w:r>
            <w:r>
              <w:rPr>
                <w:rFonts w:ascii="宋体" w:hAnsi="宋体" w:cs="宋体"/>
                <w:color w:val="000000"/>
                <w:sz w:val="21"/>
                <w:szCs w:val="21"/>
                <w:highlight w:val="none"/>
              </w:rPr>
              <w:t xml:space="preserve">与</w:t>
            </w:r>
            <w:r>
              <w:rPr>
                <w:rFonts w:hint="eastAsia" w:ascii="宋体" w:hAnsi="宋体" w:cs="宋体"/>
                <w:color w:val="000000"/>
                <w:sz w:val="21"/>
                <w:szCs w:val="21"/>
                <w:highlight w:val="none"/>
              </w:rPr>
              <w:t xml:space="preserve">中标</w:t>
            </w:r>
            <w:r>
              <w:rPr>
                <w:rFonts w:ascii="宋体" w:hAnsi="宋体" w:cs="宋体"/>
                <w:color w:val="000000"/>
                <w:sz w:val="21"/>
                <w:szCs w:val="21"/>
                <w:highlight w:val="none"/>
              </w:rPr>
              <w:t xml:space="preserve">供应商实际结算本周内的供货价格为</w:t>
            </w:r>
            <w:r>
              <w:rPr>
                <w:rFonts w:ascii="宋体" w:hAnsi="宋体" w:eastAsia="Times New Roman" w:cs="宋体"/>
                <w:color w:val="000000"/>
                <w:sz w:val="21"/>
                <w:szCs w:val="21"/>
                <w:highlight w:val="none"/>
              </w:rPr>
              <w:t xml:space="preserve"> 10×80%=8</w:t>
            </w:r>
            <w:r>
              <w:rPr>
                <w:rFonts w:ascii="宋体" w:hAnsi="宋体" w:cs="宋体"/>
                <w:color w:val="000000"/>
                <w:sz w:val="21"/>
                <w:szCs w:val="21"/>
                <w:highlight w:val="none"/>
              </w:rPr>
              <w:t xml:space="preserve">元</w:t>
            </w:r>
            <w:r>
              <w:rPr>
                <w:rFonts w:ascii="宋体" w:hAnsi="宋体" w:eastAsia="Times New Roman" w:cs="宋体"/>
                <w:color w:val="000000"/>
                <w:sz w:val="21"/>
                <w:szCs w:val="21"/>
                <w:highlight w:val="none"/>
              </w:rPr>
              <w:t xml:space="preserve">/</w:t>
            </w:r>
            <w:r>
              <w:rPr>
                <w:rFonts w:ascii="宋体" w:hAnsi="宋体" w:cs="宋体"/>
                <w:color w:val="000000"/>
                <w:sz w:val="21"/>
                <w:szCs w:val="21"/>
                <w:highlight w:val="none"/>
              </w:rPr>
              <w:t xml:space="preserve">斤，至下一次调价保持不变。</w:t>
            </w:r>
            <w:r/>
          </w:p>
        </w:tc>
      </w:tr>
      <w:tr>
        <w:trPr>
          <w:trHeight w:val="1123"/>
        </w:trPr>
        <w:tc>
          <w:tcPr>
            <w:tcMar>
              <w:left w:w="108" w:type="dxa"/>
              <w:top w:w="0" w:type="dxa"/>
              <w:right w:w="108" w:type="dxa"/>
              <w:bottom w:w="0" w:type="dxa"/>
            </w:tcMar>
            <w:tcW w:w="932" w:type="dxa"/>
            <w:vAlign w:val="center"/>
            <w:textDirection w:val="lrTb"/>
            <w:noWrap w:val="false"/>
          </w:tcPr>
          <w:p>
            <w:pPr>
              <w:jc w:val="center"/>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w:t>
            </w:r>
            <w:r/>
          </w:p>
        </w:tc>
        <w:tc>
          <w:tcPr>
            <w:tcMar>
              <w:left w:w="108" w:type="dxa"/>
              <w:top w:w="0" w:type="dxa"/>
              <w:right w:w="108" w:type="dxa"/>
              <w:bottom w:w="0" w:type="dxa"/>
            </w:tcMar>
            <w:tcW w:w="2670" w:type="dxa"/>
            <w:vAlign w:val="center"/>
            <w:textDirection w:val="lrTb"/>
            <w:noWrap w:val="false"/>
          </w:tcPr>
          <w:p>
            <w:pPr>
              <w:pStyle w:val="947"/>
              <w:ind w:firstLine="0"/>
              <w:jc w:val="center"/>
              <w:spacing w:line="440" w:lineRule="exact"/>
              <w:rPr>
                <w:rFonts w:ascii="宋体" w:hAnsi="宋体" w:cs="宋体"/>
                <w:color w:val="000000"/>
                <w:sz w:val="21"/>
                <w:szCs w:val="21"/>
                <w:highlight w:val="none"/>
              </w:rPr>
            </w:pPr>
            <w:r>
              <w:rPr>
                <w:rFonts w:hint="eastAsia" w:ascii="宋体" w:hAnsi="宋体" w:cs="宋体"/>
                <w:sz w:val="21"/>
                <w:szCs w:val="21"/>
                <w:highlight w:val="none"/>
              </w:rPr>
              <w:t xml:space="preserve">服务时间/交付使用时间</w:t>
            </w:r>
            <w:r/>
          </w:p>
        </w:tc>
        <w:tc>
          <w:tcPr>
            <w:gridSpan w:val="2"/>
            <w:tcMar>
              <w:left w:w="108" w:type="dxa"/>
              <w:top w:w="0" w:type="dxa"/>
              <w:right w:w="108" w:type="dxa"/>
              <w:bottom w:w="0" w:type="dxa"/>
            </w:tcMar>
            <w:tcW w:w="5120" w:type="dxa"/>
            <w:vAlign w:val="center"/>
            <w:textDirection w:val="lrTb"/>
            <w:noWrap w:val="false"/>
          </w:tcPr>
          <w:p>
            <w:pPr>
              <w:pStyle w:val="947"/>
              <w:ind w:firstLine="474"/>
              <w:spacing w:line="440" w:lineRule="exact"/>
              <w:tabs>
                <w:tab w:val="left" w:pos="3624" w:leader="none"/>
              </w:tabs>
              <w:rPr>
                <w:rFonts w:ascii="宋体" w:hAnsi="宋体" w:cs="宋体"/>
                <w:color w:val="000000"/>
                <w:sz w:val="21"/>
                <w:szCs w:val="21"/>
                <w:highlight w:val="none"/>
              </w:rPr>
            </w:pPr>
            <w:r>
              <w:rPr>
                <w:rFonts w:hint="eastAsia" w:ascii="宋体" w:hAnsi="宋体" w:cs="宋体"/>
                <w:sz w:val="21"/>
                <w:szCs w:val="21"/>
                <w:highlight w:val="none"/>
                <w:u w:val="single"/>
              </w:rPr>
              <w:t xml:space="preserve">满足招标文件要求。</w:t>
            </w:r>
            <w:r/>
          </w:p>
        </w:tc>
      </w:tr>
      <w:tr>
        <w:trPr>
          <w:trHeight w:val="1123"/>
        </w:trPr>
        <w:tc>
          <w:tcPr>
            <w:tcMar>
              <w:left w:w="108" w:type="dxa"/>
              <w:top w:w="0" w:type="dxa"/>
              <w:right w:w="108" w:type="dxa"/>
              <w:bottom w:w="0" w:type="dxa"/>
            </w:tcMar>
            <w:tcW w:w="932" w:type="dxa"/>
            <w:vAlign w:val="center"/>
            <w:textDirection w:val="lrTb"/>
            <w:noWrap w:val="false"/>
          </w:tcPr>
          <w:p>
            <w:pPr>
              <w:jc w:val="center"/>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w:t>
            </w:r>
            <w:r/>
          </w:p>
        </w:tc>
        <w:tc>
          <w:tcPr>
            <w:tcMar>
              <w:left w:w="108" w:type="dxa"/>
              <w:top w:w="0" w:type="dxa"/>
              <w:right w:w="108" w:type="dxa"/>
              <w:bottom w:w="0" w:type="dxa"/>
            </w:tcMar>
            <w:tcW w:w="2670" w:type="dxa"/>
            <w:vAlign w:val="center"/>
            <w:textDirection w:val="lrTb"/>
            <w:noWrap w:val="false"/>
          </w:tcPr>
          <w:p>
            <w:pPr>
              <w:pStyle w:val="947"/>
              <w:ind w:firstLine="0"/>
              <w:jc w:val="center"/>
              <w:rPr>
                <w:rFonts w:ascii="宋体" w:hAnsi="宋体" w:cs="宋体"/>
                <w:color w:val="000000"/>
                <w:sz w:val="21"/>
                <w:szCs w:val="21"/>
                <w:highlight w:val="none"/>
              </w:rPr>
            </w:pPr>
            <w:r>
              <w:rPr>
                <w:rFonts w:hint="eastAsia" w:ascii="宋体" w:hAnsi="宋体" w:cs="宋体"/>
                <w:sz w:val="21"/>
                <w:szCs w:val="21"/>
                <w:highlight w:val="none"/>
              </w:rPr>
              <w:t xml:space="preserve">投标标的是否全部由小微企业（含视同小微企业）提供</w:t>
            </w:r>
            <w:r/>
          </w:p>
        </w:tc>
        <w:tc>
          <w:tcPr>
            <w:gridSpan w:val="2"/>
            <w:tcMar>
              <w:left w:w="108" w:type="dxa"/>
              <w:top w:w="0" w:type="dxa"/>
              <w:right w:w="108" w:type="dxa"/>
              <w:bottom w:w="0" w:type="dxa"/>
            </w:tcMar>
            <w:tcW w:w="5120" w:type="dxa"/>
            <w:vAlign w:val="center"/>
            <w:textDirection w:val="lrTb"/>
            <w:noWrap w:val="false"/>
          </w:tcPr>
          <w:p>
            <w:pPr>
              <w:pStyle w:val="947"/>
              <w:ind w:firstLine="474"/>
              <w:rPr>
                <w:rFonts w:ascii="宋体" w:hAnsi="宋体" w:cs="宋体"/>
                <w:color w:val="000000"/>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r>
      <w:tr>
        <w:trPr>
          <w:trHeight w:val="1123"/>
        </w:trPr>
        <w:tc>
          <w:tcPr>
            <w:tcMar>
              <w:left w:w="108" w:type="dxa"/>
              <w:top w:w="0" w:type="dxa"/>
              <w:right w:w="108" w:type="dxa"/>
              <w:bottom w:w="0" w:type="dxa"/>
            </w:tcMar>
            <w:tcW w:w="932" w:type="dxa"/>
            <w:vAlign w:val="center"/>
            <w:textDirection w:val="lrTb"/>
            <w:noWrap w:val="false"/>
          </w:tcPr>
          <w:p>
            <w:pPr>
              <w:jc w:val="center"/>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w:t>
            </w:r>
            <w:r/>
          </w:p>
        </w:tc>
        <w:tc>
          <w:tcPr>
            <w:tcMar>
              <w:left w:w="108" w:type="dxa"/>
              <w:top w:w="0" w:type="dxa"/>
              <w:right w:w="108" w:type="dxa"/>
              <w:bottom w:w="0" w:type="dxa"/>
            </w:tcMar>
            <w:tcW w:w="2670" w:type="dxa"/>
            <w:vAlign w:val="center"/>
            <w:textDirection w:val="lrTb"/>
            <w:noWrap w:val="false"/>
          </w:tcPr>
          <w:p>
            <w:pPr>
              <w:jc w:val="center"/>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rPr>
              <w:t xml:space="preserve">备注</w:t>
            </w:r>
            <w:r/>
          </w:p>
        </w:tc>
        <w:tc>
          <w:tcPr>
            <w:gridSpan w:val="2"/>
            <w:tcMar>
              <w:left w:w="108" w:type="dxa"/>
              <w:top w:w="0" w:type="dxa"/>
              <w:right w:w="108" w:type="dxa"/>
              <w:bottom w:w="0" w:type="dxa"/>
            </w:tcMar>
            <w:tcW w:w="5120" w:type="dxa"/>
            <w:vAlign w:val="center"/>
            <w:textDirection w:val="lrTb"/>
            <w:noWrap w:val="false"/>
          </w:tcPr>
          <w:p>
            <w:pPr>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r>
    </w:tbl>
    <w:p>
      <w:pPr>
        <w:pStyle w:val="947"/>
        <w:ind w:firstLine="474"/>
        <w:spacing w:line="440" w:lineRule="exact"/>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shd w:val="clear" w:color="auto" w:fill="ffffff"/>
        <w:widowControl/>
        <w:rPr>
          <w:rFonts w:ascii="宋体" w:hAnsi="宋体" w:cs="宋体"/>
          <w:b/>
          <w:bCs/>
          <w:szCs w:val="21"/>
        </w:rPr>
      </w:pPr>
      <w:r/>
      <w:bookmarkStart w:id="20"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w:t>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附件四、分项报价表格式</w:t>
      </w:r>
      <w:bookmarkEnd w:id="20"/>
      <w:r>
        <w:rPr>
          <w:rFonts w:hint="eastAsia" w:ascii="宋体" w:hAnsi="宋体" w:cs="宋体"/>
          <w:b/>
          <w:bCs/>
          <w:szCs w:val="21"/>
          <w:lang w:val="zh-CN"/>
        </w:rPr>
        <w:t xml:space="preserve">（</w:t>
      </w:r>
      <w:r>
        <w:rPr>
          <w:rFonts w:hint="eastAsia" w:ascii="宋体" w:hAnsi="宋体" w:cs="宋体"/>
          <w:b/>
          <w:bCs/>
          <w:szCs w:val="21"/>
        </w:rPr>
        <w:t xml:space="preserve">如需</w:t>
      </w:r>
      <w:r>
        <w:rPr>
          <w:rFonts w:hint="eastAsia" w:ascii="宋体" w:hAnsi="宋体" w:cs="宋体"/>
          <w:b/>
          <w:bCs/>
          <w:szCs w:val="21"/>
          <w:lang w:val="zh-CN"/>
        </w:rPr>
        <w:t xml:space="preserve">）</w:t>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989"/>
      </w:pPr>
      <w:r/>
      <w:r/>
    </w:p>
    <w:p>
      <w:pPr>
        <w:pStyle w:val="989"/>
      </w:pPr>
      <w:r/>
      <w:r/>
    </w:p>
    <w:p>
      <w:pPr>
        <w:pStyle w:val="989"/>
      </w:pPr>
      <w:r/>
      <w:r/>
    </w:p>
    <w:p>
      <w:pPr>
        <w:pStyle w:val="989"/>
      </w:p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2"/>
        <w:gridCol w:w="1935"/>
        <w:gridCol w:w="3020"/>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4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120"/>
        <w:ind w:firstLine="0"/>
        <w:spacing w:before="0" w:after="0"/>
        <w:rPr>
          <w:rFonts w:ascii="宋体" w:hAnsi="宋体" w:cs="宋体"/>
          <w:sz w:val="21"/>
          <w:szCs w:val="21"/>
        </w:rPr>
      </w:pPr>
      <w:r>
        <w:rPr>
          <w:rFonts w:hint="eastAsia" w:ascii="宋体" w:hAnsi="宋体" w:cs="宋体"/>
          <w:sz w:val="21"/>
          <w:szCs w:val="21"/>
        </w:rPr>
        <w:t xml:space="preserve">技术方案及服务承诺应根据</w:t>
      </w:r>
      <w:r>
        <w:rPr>
          <w:rFonts w:hint="eastAsia" w:ascii="宋体" w:hAnsi="宋体" w:cs="宋体"/>
          <w:sz w:val="21"/>
          <w:szCs w:val="21"/>
          <w:lang w:eastAsia="zh-CN"/>
        </w:rPr>
        <w:t xml:space="preserve">采购人</w:t>
      </w:r>
      <w:r>
        <w:rPr>
          <w:rFonts w:hint="eastAsia" w:ascii="宋体" w:hAnsi="宋体" w:cs="宋体"/>
          <w:sz w:val="21"/>
          <w:szCs w:val="21"/>
        </w:rPr>
        <w:t xml:space="preserve">对项目的要求、评标标准的要求及项目本身的特点编写。</w:t>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94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Style w:val="94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w:t>
            </w:r>
            <w:r/>
          </w:p>
          <w:p>
            <w:pPr>
              <w:jc w:val="center"/>
              <w:spacing w:line="400" w:lineRule="atLeast"/>
              <w:widowControl/>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获奖</w:t>
            </w:r>
            <w:r/>
          </w:p>
          <w:p>
            <w:pPr>
              <w:jc w:val="center"/>
              <w:spacing w:line="400" w:lineRule="atLeast"/>
              <w:widowControl/>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left"/>
        <w:widowControl/>
        <w:rPr>
          <w:rFonts w:ascii="宋体" w:hAnsi="宋体" w:cs="宋体"/>
          <w:b/>
        </w:rPr>
      </w:pPr>
      <w:r>
        <w:rPr>
          <w:rFonts w:hint="eastAsia" w:ascii="宋体" w:hAnsi="宋体" w:cs="宋体"/>
          <w:b/>
        </w:rPr>
        <w:br w:type="page" w:clear="all"/>
      </w:r>
      <w:r/>
    </w:p>
    <w:p>
      <w:pPr>
        <w:spacing w:line="360" w:lineRule="auto"/>
        <w:rPr>
          <w:rFonts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ind w:firstLine="562"/>
        <w:jc w:val="cente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w:t>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rPr>
          <w:rFonts w:ascii="宋体" w:hAnsi="宋体" w:eastAsia="Times New Roman" w:cs="宋体"/>
          <w:color w:val="000000"/>
          <w:szCs w:val="21"/>
        </w:rPr>
        <w:t xml:space="preserve">1</w:t>
      </w:r>
      <w:r>
        <w:rPr>
          <w:rFonts w:ascii="宋体" w:hAnsi="宋体" w:cs="宋体"/>
          <w:color w:val="000000"/>
          <w:szCs w:val="21"/>
        </w:rPr>
        <w:t xml:space="preserve">：从业人员、营业收入、资产总额填报上一年度数据，无上一年度数据的新成立企业可不填报。</w:t>
      </w:r>
      <w:r/>
    </w:p>
    <w:p>
      <w:pPr>
        <w:ind w:firstLine="560"/>
        <w:spacing w:line="479" w:lineRule="atLeast"/>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rPr>
        <w:t xml:space="preserve">备注</w:t>
      </w:r>
      <w:r>
        <w:rPr>
          <w:rFonts w:ascii="宋体" w:hAnsi="宋体" w:eastAsia="Times New Roman"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本项目专门面向中小企业（或监狱企业或残疾人福利性单位）采购。（须提供《中小企业声明函》或《残疾人福利性单位声明函》或属于监狱企业的证明文件）。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在货物采购项目中，供应商提供的货物既有中小企业制造货物，也有大型企业制造货物的，不享受中小企业扶持政策。小微企业声明函中需逐一列明所投货物是否为小微企业制造货物。</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rPr>
          <w:rFonts w:ascii="宋体" w:hAnsi="宋体" w:eastAsia="Times New Roman" w:cs="宋体"/>
          <w:color w:val="000000"/>
          <w:szCs w:val="21"/>
        </w:rPr>
        <w:t xml:space="preserve">3</w:t>
      </w:r>
      <w:r>
        <w:rPr>
          <w:rFonts w:ascii="宋体" w:hAnsi="宋体" w:cs="宋体"/>
          <w:color w:val="000000"/>
          <w:szCs w:val="21"/>
        </w:rPr>
        <w:t xml:space="preserve">：“中小企业划型标准”详见《关于印发中小企业划型标准规定的通知》工信部联企业〔</w:t>
      </w:r>
      <w:r>
        <w:rPr>
          <w:rFonts w:ascii="宋体" w:hAnsi="宋体" w:eastAsia="Times New Roman" w:cs="宋体"/>
          <w:color w:val="000000"/>
          <w:szCs w:val="21"/>
        </w:rPr>
        <w:t xml:space="preserve">2011</w:t>
      </w:r>
      <w:r>
        <w:rPr>
          <w:rFonts w:ascii="宋体" w:hAnsi="宋体" w:cs="宋体"/>
          <w:color w:val="000000"/>
          <w:szCs w:val="21"/>
        </w:rPr>
        <w:t xml:space="preserve">〕</w:t>
      </w:r>
      <w:r>
        <w:rPr>
          <w:rFonts w:ascii="宋体" w:hAnsi="宋体" w:eastAsia="Times New Roman" w:cs="宋体"/>
          <w:color w:val="000000"/>
          <w:szCs w:val="21"/>
        </w:rPr>
        <w:t xml:space="preserve">300</w:t>
      </w:r>
      <w:r>
        <w:rPr>
          <w:rFonts w:ascii="宋体" w:hAnsi="宋体" w:cs="宋体"/>
          <w:color w:val="000000"/>
          <w:szCs w:val="21"/>
        </w:rPr>
        <w:t xml:space="preserve">号，供应商也可登录中华人民共和国工信部官网，使用</w:t>
      </w:r>
      <w:r>
        <w:rPr>
          <w:rFonts w:ascii="宋体" w:hAnsi="宋体" w:eastAsia="Times New Roman" w:cs="宋体"/>
          <w:color w:val="000000"/>
          <w:szCs w:val="21"/>
        </w:rPr>
        <w:t xml:space="preserve">“</w:t>
      </w:r>
      <w:r>
        <w:rPr>
          <w:rFonts w:ascii="宋体" w:hAnsi="宋体" w:cs="宋体"/>
          <w:color w:val="000000"/>
          <w:szCs w:val="21"/>
        </w:rPr>
        <w:t xml:space="preserve">中小企业规模类型自测小程序</w:t>
      </w:r>
      <w:r>
        <w:rPr>
          <w:rFonts w:ascii="宋体" w:hAnsi="宋体" w:eastAsia="Times New Roman" w:cs="宋体"/>
          <w:color w:val="000000"/>
          <w:szCs w:val="21"/>
        </w:rPr>
        <w:t xml:space="preserve">”</w:t>
      </w:r>
      <w:r>
        <w:rPr>
          <w:rFonts w:ascii="宋体" w:hAnsi="宋体" w:cs="宋体"/>
          <w:color w:val="000000"/>
          <w:szCs w:val="21"/>
        </w:rPr>
        <w:t xml:space="preserve">进行企业规模自测。</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（自测小程序链接：</w:t>
      </w:r>
      <w:r>
        <w:rPr>
          <w:rFonts w:ascii="宋体" w:hAnsi="宋体" w:eastAsia="Times New Roman" w:cs="宋体"/>
          <w:color w:val="000000"/>
          <w:szCs w:val="21"/>
        </w:rPr>
        <w:t xml:space="preserve">http://202.106.120.146/baosong/appweb/orgScale.html</w:t>
      </w:r>
      <w:r>
        <w:rPr>
          <w:rFonts w:ascii="宋体" w:hAnsi="宋体" w:cs="宋体"/>
          <w:color w:val="000000"/>
          <w:szCs w:val="21"/>
        </w:rPr>
        <w:t xml:space="preserve">）</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rFonts w:ascii="宋体" w:hAnsi="宋体" w:eastAsia="Times New Roman" w:cs="宋体"/>
          <w:color w:val="000000"/>
          <w:szCs w:val="21"/>
        </w:rPr>
        <w:t xml:space="preserve">2</w:t>
      </w:r>
      <w:r>
        <w:rPr>
          <w:rFonts w:ascii="宋体" w:hAnsi="宋体" w:cs="宋体"/>
          <w:color w:val="000000"/>
          <w:szCs w:val="21"/>
        </w:rPr>
        <w:t xml:space="preserve">）残疾人福利性单位声明函格式</w:t>
      </w:r>
      <w:r/>
    </w:p>
    <w:p>
      <w:pPr>
        <w:ind w:firstLine="562"/>
        <w:jc w:val="cente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残疾人福利性单位声明函</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本单位郑重声明，根据《财政部民政部中国残疾人联合会关于促进残疾人就业政府采购政策的通知》（财库〔</w:t>
      </w:r>
      <w:r>
        <w:rPr>
          <w:rFonts w:ascii="宋体" w:hAnsi="宋体" w:eastAsia="Times New Roman" w:cs="宋体"/>
          <w:color w:val="000000"/>
          <w:szCs w:val="21"/>
        </w:rPr>
        <w:t xml:space="preserve">2017</w:t>
      </w:r>
      <w:r>
        <w:rPr>
          <w:rFonts w:ascii="宋体" w:hAnsi="宋体" w:cs="宋体"/>
          <w:color w:val="000000"/>
          <w:szCs w:val="21"/>
        </w:rPr>
        <w:t xml:space="preserve">〕</w:t>
      </w:r>
      <w:r>
        <w:rPr>
          <w:rFonts w:ascii="宋体" w:hAnsi="宋体" w:eastAsia="Times New Roman" w:cs="宋体"/>
          <w:color w:val="000000"/>
          <w:szCs w:val="21"/>
        </w:rPr>
        <w:t xml:space="preserve">141</w:t>
      </w:r>
      <w:r>
        <w:rPr>
          <w:rFonts w:ascii="宋体" w:hAnsi="宋体" w:cs="宋体"/>
          <w:color w:val="000000"/>
          <w:szCs w:val="21"/>
        </w:rPr>
        <w:t xml:space="preserve">号）的规定，本单位为符合条件的残疾人福利性单位，且本单位参加</w:t>
      </w:r>
      <w:r>
        <w:rPr>
          <w:rFonts w:ascii="宋体" w:hAnsi="宋体" w:cs="宋体"/>
          <w:color w:val="000000"/>
          <w:szCs w:val="21"/>
          <w:u w:val="single"/>
        </w:rPr>
        <w:t xml:space="preserve">               </w:t>
      </w:r>
      <w:r>
        <w:rPr>
          <w:rFonts w:ascii="宋体" w:hAnsi="宋体" w:cs="宋体"/>
          <w:color w:val="000000"/>
          <w:szCs w:val="21"/>
        </w:rPr>
        <w:t xml:space="preserve">单位的</w:t>
      </w:r>
      <w:r>
        <w:rPr>
          <w:rFonts w:ascii="宋体" w:hAnsi="宋体" w:cs="宋体"/>
          <w:color w:val="000000"/>
          <w:szCs w:val="21"/>
          <w:u w:val="single"/>
        </w:rPr>
        <w:t xml:space="preserve">           </w:t>
      </w:r>
      <w:r>
        <w:rPr>
          <w:rFonts w:ascii="宋体" w:hAnsi="宋体" w:cs="宋体"/>
          <w:color w:val="000000"/>
          <w:szCs w:val="21"/>
        </w:rPr>
        <w:t xml:space="preserve">   项目采购活动提供本单位制造的货物（由本单位承担工程</w:t>
      </w:r>
      <w:r>
        <w:rPr>
          <w:rFonts w:ascii="宋体" w:hAnsi="宋体" w:eastAsia="Times New Roman" w:cs="宋体"/>
          <w:color w:val="000000"/>
          <w:szCs w:val="21"/>
        </w:rPr>
        <w:t xml:space="preserve">/</w:t>
      </w:r>
      <w:r>
        <w:rPr>
          <w:rFonts w:ascii="宋体" w:hAnsi="宋体" w:cs="宋体"/>
          <w:color w:val="000000"/>
          <w:szCs w:val="21"/>
        </w:rPr>
        <w:t xml:space="preserve">提供服务），或者提供其他残疾人福利性单位制造的货物（不包括使用非残疾人福利性单位注册商标的货物）。</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本单位对上述声明的真实性负责。如有虚假，将依法承担相应责任。</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投标人名称（加盖电子公章）：</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日</w:t>
      </w:r>
      <w:r>
        <w:rPr>
          <w:rFonts w:ascii="宋体" w:hAnsi="宋体" w:eastAsia="Times New Roman" w:cs="宋体"/>
          <w:color w:val="000000"/>
          <w:szCs w:val="21"/>
        </w:rPr>
        <w:t xml:space="preserve">   </w:t>
      </w:r>
      <w:r>
        <w:rPr>
          <w:rFonts w:ascii="宋体" w:hAnsi="宋体" w:cs="宋体"/>
          <w:color w:val="000000"/>
          <w:szCs w:val="21"/>
        </w:rPr>
        <w:t xml:space="preserve">期：二〇二四年</w:t>
      </w:r>
      <w:r>
        <w:rPr>
          <w:rFonts w:ascii="宋体" w:hAnsi="宋体" w:eastAsia="Times New Roman" w:cs="宋体"/>
          <w:color w:val="000000"/>
          <w:szCs w:val="21"/>
        </w:rPr>
        <w:t xml:space="preserve">    </w:t>
      </w:r>
      <w:r>
        <w:rPr>
          <w:rFonts w:ascii="宋体" w:hAnsi="宋体" w:cs="宋体"/>
          <w:color w:val="000000"/>
          <w:szCs w:val="21"/>
        </w:rPr>
        <w:t xml:space="preserve">月</w:t>
      </w:r>
      <w:r>
        <w:rPr>
          <w:rFonts w:ascii="宋体" w:hAnsi="宋体" w:eastAsia="Times New Roman" w:cs="宋体"/>
          <w:color w:val="000000"/>
          <w:szCs w:val="21"/>
        </w:rPr>
        <w:t xml:space="preserve">    </w:t>
      </w:r>
      <w:r>
        <w:rPr>
          <w:rFonts w:ascii="宋体" w:hAnsi="宋体" w:cs="宋体"/>
          <w:color w:val="000000"/>
          <w:szCs w:val="21"/>
        </w:rPr>
        <w:t xml:space="preserve">日</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rFonts w:ascii="宋体" w:hAnsi="宋体" w:eastAsia="Times New Roman" w:cs="宋体"/>
          <w:color w:val="000000"/>
          <w:szCs w:val="21"/>
        </w:rPr>
        <w:t xml:space="preserve">3</w:t>
      </w:r>
      <w:r>
        <w:rPr>
          <w:rFonts w:ascii="宋体" w:hAnsi="宋体" w:cs="宋体"/>
          <w:color w:val="000000"/>
          <w:szCs w:val="21"/>
        </w:rPr>
        <w:t xml:space="preserve">）属于监狱企业的证明文件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提供由省级以上监狱管理局、戒毒管理局</w:t>
      </w:r>
      <w:r>
        <w:rPr>
          <w:rFonts w:ascii="宋体" w:hAnsi="宋体" w:eastAsia="Times New Roman" w:cs="宋体"/>
          <w:color w:val="000000"/>
          <w:szCs w:val="21"/>
        </w:rPr>
        <w:t xml:space="preserve">(</w:t>
      </w:r>
      <w:r>
        <w:rPr>
          <w:rFonts w:ascii="宋体" w:hAnsi="宋体" w:cs="宋体"/>
          <w:color w:val="000000"/>
          <w:szCs w:val="21"/>
        </w:rPr>
        <w:t xml:space="preserve">含新疆生产建设兵团</w:t>
      </w:r>
      <w:r>
        <w:rPr>
          <w:rFonts w:ascii="宋体" w:hAnsi="宋体" w:eastAsia="Times New Roman" w:cs="宋体"/>
          <w:color w:val="000000"/>
          <w:szCs w:val="21"/>
        </w:rPr>
        <w:t xml:space="preserve">)</w:t>
      </w:r>
      <w:r>
        <w:rPr>
          <w:rFonts w:ascii="宋体" w:hAnsi="宋体" w:cs="宋体"/>
          <w:color w:val="000000"/>
          <w:szCs w:val="21"/>
        </w:rPr>
        <w:t xml:space="preserve">出具的属于监狱企业的证明文件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rFonts w:ascii="宋体" w:hAnsi="宋体" w:eastAsia="Times New Roman" w:cs="宋体"/>
          <w:color w:val="000000"/>
          <w:szCs w:val="21"/>
        </w:rPr>
        <w:t xml:space="preserve">4</w:t>
      </w:r>
      <w:r>
        <w:rPr>
          <w:rFonts w:ascii="宋体" w:hAnsi="宋体" w:cs="宋体"/>
          <w:color w:val="000000"/>
          <w:szCs w:val="21"/>
        </w:rPr>
        <w:t xml:space="preserve">）节能产品认证文件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提供有效的节能产品认证认证证书复印件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rFonts w:ascii="宋体" w:hAnsi="宋体" w:eastAsia="Times New Roman" w:cs="宋体"/>
          <w:color w:val="000000"/>
          <w:szCs w:val="21"/>
        </w:rPr>
        <w:t xml:space="preserve">5</w:t>
      </w:r>
      <w:r>
        <w:rPr>
          <w:rFonts w:ascii="宋体" w:hAnsi="宋体" w:cs="宋体"/>
          <w:color w:val="000000"/>
          <w:szCs w:val="21"/>
        </w:rPr>
        <w:t xml:space="preserve">）环境标志产品认证文件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提供有效的环境标志产品认证认证证书复印件</w:t>
      </w:r>
      <w:r/>
    </w:p>
    <w:p>
      <w:pPr>
        <w:ind w:firstLine="560"/>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rFonts w:ascii="宋体" w:hAnsi="宋体" w:eastAsia="Times New Roman" w:cs="宋体"/>
          <w:color w:val="000000"/>
          <w:szCs w:val="21"/>
        </w:rPr>
        <w:t xml:space="preserve">6</w:t>
      </w:r>
      <w:r>
        <w:rPr>
          <w:rFonts w:ascii="宋体" w:hAnsi="宋体" w:cs="宋体"/>
          <w:color w:val="000000"/>
          <w:szCs w:val="21"/>
        </w:rPr>
        <w:t xml:space="preserve">）提供节能产品、环境标志产品清单表</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总额（元）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产品制造商名称</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节能产品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环境标志产品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rPr>
              <w:t xml:space="preserve"> </w:t>
            </w:r>
            <w:r/>
          </w:p>
        </w:tc>
      </w:tr>
    </w:tbl>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投标人名称（加盖电子公章）：</w:t>
      </w:r>
      <w:r/>
    </w:p>
    <w:p>
      <w:pPr>
        <w:spacing w:line="47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日</w:t>
      </w:r>
      <w:r>
        <w:rPr>
          <w:rFonts w:ascii="宋体" w:hAnsi="宋体" w:eastAsia="Times New Roman" w:cs="宋体"/>
          <w:color w:val="000000"/>
          <w:szCs w:val="21"/>
        </w:rPr>
        <w:t xml:space="preserve">   </w:t>
      </w:r>
      <w:r>
        <w:rPr>
          <w:rFonts w:ascii="宋体" w:hAnsi="宋体" w:cs="宋体"/>
          <w:color w:val="000000"/>
          <w:szCs w:val="21"/>
        </w:rPr>
        <w:t xml:space="preserve">期：二〇二四年</w:t>
      </w:r>
      <w:r>
        <w:rPr>
          <w:rFonts w:ascii="宋体" w:hAnsi="宋体" w:eastAsia="Times New Roman" w:cs="宋体"/>
          <w:color w:val="000000"/>
          <w:szCs w:val="21"/>
        </w:rPr>
        <w:t xml:space="preserve">    </w:t>
      </w:r>
      <w:r>
        <w:rPr>
          <w:rFonts w:ascii="宋体" w:hAnsi="宋体" w:cs="宋体"/>
          <w:color w:val="000000"/>
          <w:szCs w:val="21"/>
        </w:rPr>
        <w:t xml:space="preserve">月</w:t>
      </w:r>
      <w:r>
        <w:rPr>
          <w:rFonts w:ascii="宋体" w:hAnsi="宋体" w:eastAsia="Times New Roman" w:cs="宋体"/>
          <w:color w:val="000000"/>
          <w:szCs w:val="21"/>
        </w:rPr>
        <w:t xml:space="preserve">    </w:t>
      </w:r>
      <w:r>
        <w:rPr>
          <w:rFonts w:ascii="宋体" w:hAnsi="宋体" w:cs="宋体"/>
          <w:color w:val="000000"/>
          <w:szCs w:val="21"/>
        </w:rPr>
        <w:t xml:space="preserve">日</w:t>
      </w:r>
      <w:r/>
    </w:p>
    <w:p>
      <w:pPr>
        <w:spacing w:line="360" w:lineRule="auto"/>
        <w:rPr>
          <w:rFonts w:ascii="宋体" w:hAnsi="宋体" w:cs="宋体"/>
          <w:bCs/>
        </w:rPr>
      </w:pPr>
      <w:r/>
      <w:bookmarkStart w:id="21" w:name="_GoBack"/>
      <w:r/>
      <w:bookmarkEnd w:id="21"/>
      <w:r/>
      <w:r/>
    </w:p>
    <w:p>
      <w:pPr>
        <w:spacing w:line="360" w:lineRule="auto"/>
        <w:rPr>
          <w:rFonts w:ascii="宋体" w:hAnsi="宋体" w:cs="宋体"/>
          <w:b/>
          <w:bCs/>
        </w:rPr>
      </w:pPr>
      <w:r>
        <w:rPr>
          <w:rFonts w:ascii="宋体" w:hAnsi="宋体" w:cs="宋体"/>
          <w:b/>
          <w:bCs/>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ascii="宋体" w:hAnsi="宋体" w:cs="宋体"/>
          <w:b/>
        </w:rPr>
      </w:pPr>
      <w:r>
        <w:rPr>
          <w:rFonts w:hint="eastAsia" w:ascii="宋体" w:hAnsi="宋体" w:cs="宋体"/>
          <w:b/>
        </w:rPr>
        <w:t xml:space="preserve">附件十二、资格资信证明文件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附件十三、联合体协议及联合体授权委托书（如允许联合体、格式自拟）</w:t>
      </w:r>
      <w:r/>
    </w:p>
    <w:p>
      <w:pPr>
        <w:pStyle w:val="990"/>
      </w:pPr>
      <w:r/>
      <w:r/>
    </w:p>
    <w:p>
      <w:pPr>
        <w:spacing w:line="360" w:lineRule="auto"/>
        <w:rPr>
          <w:rFonts w:ascii="宋体" w:hAnsi="宋体" w:cs="宋体"/>
          <w:b/>
        </w:rPr>
      </w:pPr>
      <w:r>
        <w:rPr>
          <w:rFonts w:ascii="宋体" w:hAnsi="宋体" w:cs="宋体"/>
          <w:b/>
        </w:rPr>
      </w:r>
      <w:r/>
    </w:p>
    <w:p>
      <w:pPr>
        <w:pStyle w:val="990"/>
        <w:ind w:firstLine="0"/>
        <w:jc w:val="left"/>
        <w:spacing w:line="360" w:lineRule="auto"/>
        <w:rPr>
          <w:rFonts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990"/>
        <w:ind w:firstLine="0"/>
        <w:jc w:val="left"/>
        <w:spacing w:line="360" w:lineRule="auto"/>
        <w:rPr>
          <w:rFonts w:ascii="宋体" w:hAnsi="宋体" w:cs="宋体"/>
          <w:b/>
        </w:rPr>
      </w:pPr>
      <w:r>
        <w:rPr>
          <w:rFonts w:ascii="宋体" w:hAnsi="宋体" w:cs="宋体"/>
          <w:b/>
        </w:rPr>
      </w:r>
      <w:r/>
    </w:p>
    <w:p>
      <w:pPr>
        <w:pStyle w:val="990"/>
        <w:ind w:firstLine="0"/>
        <w:jc w:val="left"/>
        <w:spacing w:line="360" w:lineRule="auto"/>
        <w:rPr>
          <w:rFonts w:ascii="宋体" w:hAnsi="宋体" w:cs="宋体"/>
          <w:szCs w:val="20"/>
        </w:rPr>
      </w:pPr>
      <w:r>
        <w:rPr>
          <w:rFonts w:hint="eastAsia" w:ascii="宋体" w:hAnsi="宋体" w:cs="宋体"/>
          <w:b/>
        </w:rPr>
        <w:t xml:space="preserve">附件十五、投标人需要提供的其他材料</w:t>
      </w:r>
      <w:r/>
    </w:p>
    <w:sectPr>
      <w:headerReference w:type="default" r:id="rId9"/>
      <w:footerReference w:type="default" r:id="rId13"/>
      <w:footerReference w:type="firs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幼圆">
    <w:panose1 w:val="02010509060101010101"/>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2"/>
      <w:isLgl w:val="false"/>
      <w:suff w:val="nothing"/>
      <w:lvlText w:val="第%1章"/>
      <w:lvlJc w:val="left"/>
      <w:pPr>
        <w:ind w:left="0" w:firstLine="0"/>
      </w:pPr>
    </w:lvl>
    <w:lvl w:ilvl="1">
      <w:start w:val="1"/>
      <w:numFmt w:val="none"/>
      <w:pStyle w:val="933"/>
      <w:isLgl w:val="false"/>
      <w:suff w:val="nothing"/>
      <w:lvlText w:val=""/>
      <w:lvlJc w:val="left"/>
      <w:pPr>
        <w:ind w:left="0" w:firstLine="0"/>
      </w:pPr>
    </w:lvl>
    <w:lvl w:ilvl="2">
      <w:start w:val="1"/>
      <w:numFmt w:val="none"/>
      <w:pStyle w:val="934"/>
      <w:isLgl w:val="false"/>
      <w:suff w:val="nothing"/>
      <w:lvlText w:val=""/>
      <w:lvlJc w:val="left"/>
      <w:pPr>
        <w:ind w:left="0" w:firstLine="0"/>
      </w:pPr>
    </w:lvl>
    <w:lvl w:ilvl="3">
      <w:start w:val="1"/>
      <w:numFmt w:val="none"/>
      <w:pStyle w:val="935"/>
      <w:isLgl w:val="false"/>
      <w:suff w:val="nothing"/>
      <w:lvlText w:val=""/>
      <w:lvlJc w:val="left"/>
      <w:pPr>
        <w:ind w:left="0" w:firstLine="0"/>
      </w:pPr>
    </w:lvl>
    <w:lvl w:ilvl="4">
      <w:start w:val="1"/>
      <w:numFmt w:val="none"/>
      <w:pStyle w:val="936"/>
      <w:isLgl w:val="false"/>
      <w:suff w:val="nothing"/>
      <w:lvlText w:val=""/>
      <w:lvlJc w:val="left"/>
      <w:pPr>
        <w:ind w:left="0" w:firstLine="0"/>
      </w:pPr>
    </w:lvl>
    <w:lvl w:ilvl="5">
      <w:start w:val="1"/>
      <w:numFmt w:val="none"/>
      <w:pStyle w:val="937"/>
      <w:isLgl w:val="false"/>
      <w:suff w:val="nothing"/>
      <w:lvlText w:val=""/>
      <w:lvlJc w:val="left"/>
      <w:pPr>
        <w:ind w:left="0" w:firstLine="0"/>
      </w:pPr>
    </w:lvl>
    <w:lvl w:ilvl="6">
      <w:start w:val="1"/>
      <w:numFmt w:val="none"/>
      <w:pStyle w:val="938"/>
      <w:isLgl w:val="false"/>
      <w:suff w:val="nothing"/>
      <w:lvlText w:val=""/>
      <w:lvlJc w:val="left"/>
      <w:pPr>
        <w:ind w:left="0" w:firstLine="0"/>
      </w:pPr>
    </w:lvl>
    <w:lvl w:ilvl="7">
      <w:start w:val="1"/>
      <w:numFmt w:val="none"/>
      <w:pStyle w:val="939"/>
      <w:isLgl w:val="false"/>
      <w:suff w:val="nothing"/>
      <w:lvlText w:val=""/>
      <w:lvlJc w:val="left"/>
      <w:pPr>
        <w:ind w:left="0" w:firstLine="0"/>
      </w:pPr>
    </w:lvl>
    <w:lvl w:ilvl="8">
      <w:start w:val="1"/>
      <w:numFmt w:val="none"/>
      <w:pStyle w:val="940"/>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8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3"/>
      <w:isLgl/>
      <w:suff w:val="tab"/>
      <w:lvlText w:val="%1.%2"/>
      <w:lvlJc w:val="left"/>
      <w:pPr>
        <w:ind w:left="425" w:hanging="425"/>
      </w:pPr>
      <w:rPr>
        <w:rFonts w:hint="eastAsia" w:ascii="Arial Unicode MS" w:hAnsi="Arial Unicode MS" w:eastAsia="微软雅黑"/>
        <w:b/>
        <w:i w:val="0"/>
      </w:rPr>
    </w:lvl>
    <w:lvl w:ilvl="2">
      <w:start w:val="1"/>
      <w:numFmt w:val="decimal"/>
      <w:pStyle w:val="111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941"/>
    <w:link w:val="932"/>
    <w:uiPriority w:val="9"/>
    <w:rPr>
      <w:rFonts w:ascii="Arial" w:hAnsi="Arial" w:eastAsia="Arial" w:cs="Arial"/>
      <w:sz w:val="40"/>
      <w:szCs w:val="40"/>
    </w:rPr>
  </w:style>
  <w:style w:type="character" w:styleId="781">
    <w:name w:val="Heading 2 Char"/>
    <w:basedOn w:val="941"/>
    <w:link w:val="933"/>
    <w:uiPriority w:val="9"/>
    <w:rPr>
      <w:rFonts w:ascii="Arial" w:hAnsi="Arial" w:eastAsia="Arial" w:cs="Arial"/>
      <w:sz w:val="34"/>
    </w:rPr>
  </w:style>
  <w:style w:type="character" w:styleId="782">
    <w:name w:val="Heading 3 Char"/>
    <w:basedOn w:val="941"/>
    <w:link w:val="934"/>
    <w:uiPriority w:val="9"/>
    <w:rPr>
      <w:rFonts w:ascii="Arial" w:hAnsi="Arial" w:eastAsia="Arial" w:cs="Arial"/>
      <w:sz w:val="30"/>
      <w:szCs w:val="30"/>
    </w:rPr>
  </w:style>
  <w:style w:type="character" w:styleId="783">
    <w:name w:val="Heading 4 Char"/>
    <w:basedOn w:val="941"/>
    <w:link w:val="935"/>
    <w:uiPriority w:val="9"/>
    <w:rPr>
      <w:rFonts w:ascii="Arial" w:hAnsi="Arial" w:eastAsia="Arial" w:cs="Arial"/>
      <w:b/>
      <w:bCs/>
      <w:sz w:val="26"/>
      <w:szCs w:val="26"/>
    </w:rPr>
  </w:style>
  <w:style w:type="character" w:styleId="784">
    <w:name w:val="Heading 5 Char"/>
    <w:basedOn w:val="941"/>
    <w:link w:val="936"/>
    <w:uiPriority w:val="9"/>
    <w:rPr>
      <w:rFonts w:ascii="Arial" w:hAnsi="Arial" w:eastAsia="Arial" w:cs="Arial"/>
      <w:b/>
      <w:bCs/>
      <w:sz w:val="24"/>
      <w:szCs w:val="24"/>
    </w:rPr>
  </w:style>
  <w:style w:type="character" w:styleId="785">
    <w:name w:val="Heading 6 Char"/>
    <w:basedOn w:val="941"/>
    <w:link w:val="937"/>
    <w:uiPriority w:val="9"/>
    <w:rPr>
      <w:rFonts w:ascii="Arial" w:hAnsi="Arial" w:eastAsia="Arial" w:cs="Arial"/>
      <w:b/>
      <w:bCs/>
      <w:sz w:val="22"/>
      <w:szCs w:val="22"/>
    </w:rPr>
  </w:style>
  <w:style w:type="character" w:styleId="786">
    <w:name w:val="Heading 7 Char"/>
    <w:basedOn w:val="941"/>
    <w:link w:val="938"/>
    <w:uiPriority w:val="9"/>
    <w:rPr>
      <w:rFonts w:ascii="Arial" w:hAnsi="Arial" w:eastAsia="Arial" w:cs="Arial"/>
      <w:b/>
      <w:bCs/>
      <w:i/>
      <w:iCs/>
      <w:sz w:val="22"/>
      <w:szCs w:val="22"/>
    </w:rPr>
  </w:style>
  <w:style w:type="character" w:styleId="787">
    <w:name w:val="Heading 8 Char"/>
    <w:basedOn w:val="941"/>
    <w:link w:val="939"/>
    <w:uiPriority w:val="9"/>
    <w:rPr>
      <w:rFonts w:ascii="Arial" w:hAnsi="Arial" w:eastAsia="Arial" w:cs="Arial"/>
      <w:i/>
      <w:iCs/>
      <w:sz w:val="22"/>
      <w:szCs w:val="22"/>
    </w:rPr>
  </w:style>
  <w:style w:type="character" w:styleId="788">
    <w:name w:val="Heading 9 Char"/>
    <w:basedOn w:val="941"/>
    <w:link w:val="940"/>
    <w:uiPriority w:val="9"/>
    <w:rPr>
      <w:rFonts w:ascii="Arial" w:hAnsi="Arial" w:eastAsia="Arial" w:cs="Arial"/>
      <w:i/>
      <w:iCs/>
      <w:sz w:val="21"/>
      <w:szCs w:val="21"/>
    </w:rPr>
  </w:style>
  <w:style w:type="character" w:styleId="789">
    <w:name w:val="Title Char"/>
    <w:basedOn w:val="941"/>
    <w:link w:val="978"/>
    <w:uiPriority w:val="10"/>
    <w:rPr>
      <w:sz w:val="48"/>
      <w:szCs w:val="48"/>
    </w:rPr>
  </w:style>
  <w:style w:type="character" w:styleId="790">
    <w:name w:val="Subtitle Char"/>
    <w:basedOn w:val="941"/>
    <w:link w:val="971"/>
    <w:uiPriority w:val="11"/>
    <w:rPr>
      <w:sz w:val="24"/>
      <w:szCs w:val="24"/>
    </w:rPr>
  </w:style>
  <w:style w:type="paragraph" w:styleId="791">
    <w:name w:val="Quote"/>
    <w:basedOn w:val="931"/>
    <w:next w:val="931"/>
    <w:link w:val="792"/>
    <w:uiPriority w:val="29"/>
    <w:qFormat/>
    <w:pPr>
      <w:ind w:left="720" w:right="720"/>
    </w:pPr>
    <w:rPr>
      <w:i/>
    </w:rPr>
  </w:style>
  <w:style w:type="character" w:styleId="792">
    <w:name w:val="Quote Char"/>
    <w:link w:val="791"/>
    <w:uiPriority w:val="29"/>
    <w:rPr>
      <w:i/>
    </w:rPr>
  </w:style>
  <w:style w:type="paragraph" w:styleId="793">
    <w:name w:val="Intense Quote"/>
    <w:basedOn w:val="931"/>
    <w:next w:val="931"/>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character" w:styleId="795">
    <w:name w:val="Header Char"/>
    <w:basedOn w:val="941"/>
    <w:link w:val="966"/>
    <w:uiPriority w:val="99"/>
  </w:style>
  <w:style w:type="character" w:styleId="796">
    <w:name w:val="Footer Char"/>
    <w:basedOn w:val="941"/>
    <w:link w:val="965"/>
    <w:uiPriority w:val="99"/>
  </w:style>
  <w:style w:type="character" w:styleId="797">
    <w:name w:val="Caption Char"/>
    <w:basedOn w:val="948"/>
    <w:link w:val="965"/>
    <w:uiPriority w:val="99"/>
  </w:style>
  <w:style w:type="table" w:styleId="798">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1"/>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41"/>
    <w:uiPriority w:val="99"/>
    <w:unhideWhenUsed/>
    <w:rPr>
      <w:vertAlign w:val="superscript"/>
    </w:rPr>
  </w:style>
  <w:style w:type="paragraph" w:styleId="926">
    <w:name w:val="endnote text"/>
    <w:basedOn w:val="931"/>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41"/>
    <w:uiPriority w:val="99"/>
    <w:semiHidden/>
    <w:unhideWhenUsed/>
    <w:rPr>
      <w:vertAlign w:val="superscript"/>
    </w:r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43"/>
    <w:uiPriority w:val="0"/>
    <w:qFormat/>
    <w:pPr>
      <w:jc w:val="both"/>
      <w:widowControl w:val="off"/>
    </w:pPr>
    <w:rPr>
      <w:rFonts w:ascii="Times New Roman" w:hAnsi="Times New Roman" w:eastAsia="宋体" w:cs="Times New Roman"/>
      <w:sz w:val="21"/>
      <w:szCs w:val="24"/>
      <w:lang w:val="en-US" w:eastAsia="zh-CN" w:bidi="ar-SA"/>
    </w:rPr>
  </w:style>
  <w:style w:type="paragraph" w:styleId="932">
    <w:name w:val="Heading 1"/>
    <w:basedOn w:val="931"/>
    <w:next w:val="931"/>
    <w:link w:val="994"/>
    <w:uiPriority w:val="0"/>
    <w:qFormat/>
    <w:pPr>
      <w:numPr>
        <w:ilvl w:val="0"/>
        <w:numId w:val="1"/>
      </w:numPr>
      <w:jc w:val="center"/>
      <w:keepLines/>
      <w:keepNext/>
      <w:spacing w:before="340" w:after="330" w:line="578" w:lineRule="auto"/>
      <w:outlineLvl w:val="0"/>
    </w:pPr>
    <w:rPr>
      <w:b/>
      <w:bCs/>
      <w:sz w:val="32"/>
      <w:szCs w:val="44"/>
    </w:rPr>
  </w:style>
  <w:style w:type="paragraph" w:styleId="933">
    <w:name w:val="Heading 2"/>
    <w:basedOn w:val="931"/>
    <w:next w:val="931"/>
    <w:link w:val="100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34">
    <w:name w:val="Heading 3"/>
    <w:basedOn w:val="931"/>
    <w:next w:val="931"/>
    <w:link w:val="1039"/>
    <w:uiPriority w:val="0"/>
    <w:qFormat/>
    <w:pPr>
      <w:numPr>
        <w:ilvl w:val="2"/>
        <w:numId w:val="1"/>
      </w:numPr>
      <w:keepLines/>
      <w:keepNext/>
      <w:spacing w:before="260" w:after="260" w:line="416" w:lineRule="auto"/>
      <w:outlineLvl w:val="2"/>
    </w:pPr>
    <w:rPr>
      <w:b/>
      <w:bCs/>
      <w:sz w:val="32"/>
      <w:szCs w:val="32"/>
    </w:rPr>
  </w:style>
  <w:style w:type="paragraph" w:styleId="935">
    <w:name w:val="Heading 4"/>
    <w:basedOn w:val="931"/>
    <w:next w:val="931"/>
    <w:link w:val="107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36">
    <w:name w:val="Heading 5"/>
    <w:basedOn w:val="931"/>
    <w:next w:val="931"/>
    <w:link w:val="1029"/>
    <w:uiPriority w:val="0"/>
    <w:qFormat/>
    <w:pPr>
      <w:numPr>
        <w:ilvl w:val="4"/>
        <w:numId w:val="1"/>
      </w:numPr>
      <w:keepLines/>
      <w:keepNext/>
      <w:spacing w:before="280" w:after="290" w:line="376" w:lineRule="auto"/>
      <w:outlineLvl w:val="4"/>
    </w:pPr>
    <w:rPr>
      <w:b/>
      <w:bCs/>
      <w:sz w:val="28"/>
      <w:szCs w:val="28"/>
    </w:rPr>
  </w:style>
  <w:style w:type="paragraph" w:styleId="937">
    <w:name w:val="Heading 6"/>
    <w:basedOn w:val="931"/>
    <w:next w:val="931"/>
    <w:link w:val="1015"/>
    <w:uiPriority w:val="0"/>
    <w:qFormat/>
    <w:pPr>
      <w:numPr>
        <w:ilvl w:val="5"/>
        <w:numId w:val="1"/>
      </w:numPr>
      <w:keepLines/>
      <w:keepNext/>
      <w:spacing w:before="240" w:after="64" w:line="320" w:lineRule="auto"/>
      <w:outlineLvl w:val="5"/>
    </w:pPr>
    <w:rPr>
      <w:rFonts w:ascii="Cambria" w:hAnsi="Cambria"/>
      <w:b/>
      <w:bCs/>
      <w:sz w:val="24"/>
    </w:rPr>
  </w:style>
  <w:style w:type="paragraph" w:styleId="938">
    <w:name w:val="Heading 7"/>
    <w:basedOn w:val="931"/>
    <w:next w:val="931"/>
    <w:link w:val="1070"/>
    <w:uiPriority w:val="0"/>
    <w:qFormat/>
    <w:pPr>
      <w:numPr>
        <w:ilvl w:val="6"/>
        <w:numId w:val="1"/>
      </w:numPr>
      <w:keepLines/>
      <w:keepNext/>
      <w:spacing w:before="240" w:after="64" w:line="320" w:lineRule="auto"/>
      <w:outlineLvl w:val="6"/>
    </w:pPr>
    <w:rPr>
      <w:b/>
      <w:bCs/>
      <w:sz w:val="24"/>
    </w:rPr>
  </w:style>
  <w:style w:type="paragraph" w:styleId="939">
    <w:name w:val="Heading 8"/>
    <w:basedOn w:val="931"/>
    <w:next w:val="931"/>
    <w:link w:val="1055"/>
    <w:uiPriority w:val="0"/>
    <w:qFormat/>
    <w:pPr>
      <w:numPr>
        <w:ilvl w:val="7"/>
        <w:numId w:val="1"/>
      </w:numPr>
      <w:keepLines/>
      <w:keepNext/>
      <w:spacing w:before="240" w:after="64" w:line="320" w:lineRule="auto"/>
      <w:outlineLvl w:val="7"/>
    </w:pPr>
    <w:rPr>
      <w:rFonts w:ascii="Cambria" w:hAnsi="Cambria"/>
      <w:sz w:val="24"/>
    </w:rPr>
  </w:style>
  <w:style w:type="paragraph" w:styleId="940">
    <w:name w:val="Heading 9"/>
    <w:basedOn w:val="931"/>
    <w:next w:val="931"/>
    <w:link w:val="1033"/>
    <w:uiPriority w:val="0"/>
    <w:qFormat/>
    <w:pPr>
      <w:numPr>
        <w:ilvl w:val="8"/>
        <w:numId w:val="1"/>
      </w:numPr>
      <w:keepLines/>
      <w:keepNext/>
      <w:spacing w:before="240" w:after="64" w:line="320" w:lineRule="auto"/>
      <w:outlineLvl w:val="8"/>
    </w:pPr>
    <w:rPr>
      <w:rFonts w:ascii="Cambria" w:hAnsi="Cambria"/>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customStyle="1">
    <w:name w:val="索引 41"/>
    <w:basedOn w:val="944"/>
    <w:next w:val="931"/>
    <w:uiPriority w:val="99"/>
    <w:qFormat/>
    <w:pPr>
      <w:ind w:left="600"/>
    </w:pPr>
    <w:rPr>
      <w:rFonts w:ascii="Verdana" w:hAnsi="Verdana"/>
    </w:rPr>
  </w:style>
  <w:style w:type="paragraph" w:styleId="944" w:customStyle="1">
    <w:name w:val="正文1"/>
    <w:next w:val="943"/>
    <w:uiPriority w:val="0"/>
    <w:qFormat/>
    <w:pPr>
      <w:jc w:val="both"/>
      <w:widowControl w:val="off"/>
    </w:pPr>
    <w:rPr>
      <w:rFonts w:ascii="Calibri" w:hAnsi="Calibri" w:eastAsia="宋体" w:cs="Times New Roman"/>
      <w:lang w:val="en-US" w:eastAsia="zh-CN" w:bidi="ar-SA"/>
    </w:rPr>
  </w:style>
  <w:style w:type="paragraph" w:styleId="945">
    <w:name w:val="List 3"/>
    <w:basedOn w:val="931"/>
    <w:uiPriority w:val="99"/>
    <w:unhideWhenUsed/>
    <w:qFormat/>
    <w:pPr>
      <w:ind w:left="1260" w:hanging="420"/>
      <w:spacing w:before="100" w:beforeAutospacing="1" w:after="100" w:afterAutospacing="1"/>
    </w:pPr>
    <w:rPr>
      <w:szCs w:val="21"/>
    </w:rPr>
  </w:style>
  <w:style w:type="paragraph" w:styleId="946">
    <w:name w:val="toc 7"/>
    <w:basedOn w:val="931"/>
    <w:next w:val="931"/>
    <w:uiPriority w:val="39"/>
    <w:unhideWhenUsed/>
    <w:qFormat/>
    <w:pPr>
      <w:ind w:left="2520"/>
    </w:pPr>
    <w:rPr>
      <w:rFonts w:ascii="Calibri" w:hAnsi="Calibri"/>
      <w:szCs w:val="22"/>
    </w:rPr>
  </w:style>
  <w:style w:type="paragraph" w:styleId="947">
    <w:name w:val="Normal Indent"/>
    <w:basedOn w:val="931"/>
    <w:uiPriority w:val="0"/>
    <w:qFormat/>
    <w:pPr>
      <w:ind w:firstLine="420"/>
    </w:pPr>
    <w:rPr>
      <w:b/>
      <w:sz w:val="24"/>
      <w:szCs w:val="20"/>
    </w:rPr>
  </w:style>
  <w:style w:type="paragraph" w:styleId="948">
    <w:name w:val="Caption"/>
    <w:basedOn w:val="931"/>
    <w:next w:val="931"/>
    <w:uiPriority w:val="0"/>
    <w:qFormat/>
    <w:rPr>
      <w:rFonts w:ascii="Cambria" w:hAnsi="Cambria" w:eastAsia="黑体"/>
      <w:sz w:val="20"/>
      <w:szCs w:val="22"/>
    </w:rPr>
  </w:style>
  <w:style w:type="paragraph" w:styleId="949">
    <w:name w:val="Document Map"/>
    <w:basedOn w:val="931"/>
    <w:link w:val="1023"/>
    <w:uiPriority w:val="0"/>
    <w:qFormat/>
    <w:rPr>
      <w:rFonts w:ascii="宋体"/>
      <w:sz w:val="18"/>
      <w:szCs w:val="18"/>
    </w:rPr>
  </w:style>
  <w:style w:type="paragraph" w:styleId="950">
    <w:name w:val="annotation text"/>
    <w:basedOn w:val="931"/>
    <w:link w:val="1047"/>
    <w:uiPriority w:val="99"/>
    <w:qFormat/>
    <w:pPr>
      <w:jc w:val="left"/>
    </w:pPr>
  </w:style>
  <w:style w:type="paragraph" w:styleId="951">
    <w:name w:val="Body Text 3"/>
    <w:basedOn w:val="931"/>
    <w:link w:val="1066"/>
    <w:uiPriority w:val="0"/>
    <w:qFormat/>
    <w:rPr>
      <w:rFonts w:ascii="宋体"/>
      <w:sz w:val="24"/>
      <w:szCs w:val="20"/>
    </w:rPr>
  </w:style>
  <w:style w:type="paragraph" w:styleId="952">
    <w:name w:val="Body Text"/>
    <w:basedOn w:val="931"/>
    <w:next w:val="953"/>
    <w:link w:val="1054"/>
    <w:uiPriority w:val="0"/>
    <w:qFormat/>
    <w:pPr>
      <w:jc w:val="center"/>
    </w:pPr>
    <w:rPr>
      <w:rFonts w:eastAsia="幼圆"/>
      <w:b/>
      <w:bCs/>
      <w:sz w:val="44"/>
    </w:rPr>
  </w:style>
  <w:style w:type="paragraph" w:styleId="953" w:customStyle="1">
    <w:name w:val="一级条标题"/>
    <w:basedOn w:val="954"/>
    <w:next w:val="9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basedOn w:val="931"/>
    <w:next w:val="93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55" w:customStyle="1">
    <w:name w:val="段"/>
    <w:basedOn w:val="931"/>
    <w:next w:val="931"/>
    <w:uiPriority w:val="0"/>
    <w:qFormat/>
    <w:pPr>
      <w:ind w:firstLine="200"/>
      <w:widowControl/>
    </w:pPr>
    <w:rPr>
      <w:rFonts w:hint="eastAsia" w:ascii="宋体"/>
      <w:szCs w:val="20"/>
    </w:rPr>
  </w:style>
  <w:style w:type="paragraph" w:styleId="956">
    <w:name w:val="Body Text Indent"/>
    <w:basedOn w:val="931"/>
    <w:link w:val="1010"/>
    <w:uiPriority w:val="0"/>
    <w:qFormat/>
    <w:pPr>
      <w:ind w:left="420"/>
      <w:spacing w:after="120"/>
    </w:pPr>
  </w:style>
  <w:style w:type="paragraph" w:styleId="957">
    <w:name w:val="index 4"/>
    <w:basedOn w:val="931"/>
    <w:next w:val="931"/>
    <w:uiPriority w:val="0"/>
    <w:qFormat/>
    <w:pPr>
      <w:ind w:left="600"/>
    </w:pPr>
    <w:rPr>
      <w:rFonts w:ascii="Calibri" w:hAnsi="Calibri"/>
    </w:rPr>
  </w:style>
  <w:style w:type="paragraph" w:styleId="958">
    <w:name w:val="toc 5"/>
    <w:basedOn w:val="931"/>
    <w:next w:val="931"/>
    <w:uiPriority w:val="39"/>
    <w:unhideWhenUsed/>
    <w:qFormat/>
    <w:pPr>
      <w:ind w:left="1680"/>
    </w:pPr>
    <w:rPr>
      <w:rFonts w:ascii="Calibri" w:hAnsi="Calibri"/>
      <w:szCs w:val="22"/>
    </w:rPr>
  </w:style>
  <w:style w:type="paragraph" w:styleId="959">
    <w:name w:val="toc 3"/>
    <w:basedOn w:val="931"/>
    <w:next w:val="931"/>
    <w:uiPriority w:val="39"/>
    <w:qFormat/>
    <w:pPr>
      <w:ind w:left="840"/>
    </w:pPr>
    <w:rPr>
      <w:rFonts w:ascii="Calibri" w:hAnsi="Calibri"/>
      <w:szCs w:val="22"/>
    </w:rPr>
  </w:style>
  <w:style w:type="paragraph" w:styleId="960">
    <w:name w:val="Plain Text"/>
    <w:basedOn w:val="931"/>
    <w:link w:val="1016"/>
    <w:uiPriority w:val="0"/>
    <w:qFormat/>
    <w:rPr>
      <w:rFonts w:ascii="Ari"/>
    </w:rPr>
  </w:style>
  <w:style w:type="paragraph" w:styleId="961">
    <w:name w:val="toc 8"/>
    <w:basedOn w:val="931"/>
    <w:next w:val="931"/>
    <w:uiPriority w:val="39"/>
    <w:unhideWhenUsed/>
    <w:qFormat/>
    <w:pPr>
      <w:ind w:left="2940"/>
    </w:pPr>
    <w:rPr>
      <w:rFonts w:ascii="Calibri" w:hAnsi="Calibri"/>
      <w:szCs w:val="22"/>
    </w:rPr>
  </w:style>
  <w:style w:type="paragraph" w:styleId="962">
    <w:name w:val="Date"/>
    <w:basedOn w:val="931"/>
    <w:next w:val="931"/>
    <w:link w:val="1024"/>
    <w:uiPriority w:val="0"/>
    <w:unhideWhenUsed/>
    <w:qFormat/>
  </w:style>
  <w:style w:type="paragraph" w:styleId="963">
    <w:name w:val="Body Text Indent 2"/>
    <w:basedOn w:val="931"/>
    <w:link w:val="1046"/>
    <w:uiPriority w:val="99"/>
    <w:unhideWhenUsed/>
    <w:qFormat/>
    <w:pPr>
      <w:ind w:firstLine="525"/>
      <w:spacing w:line="420" w:lineRule="exact"/>
    </w:pPr>
    <w:rPr>
      <w:rFonts w:ascii="宋体"/>
      <w:sz w:val="20"/>
      <w:szCs w:val="20"/>
    </w:rPr>
  </w:style>
  <w:style w:type="paragraph" w:styleId="964">
    <w:name w:val="Balloon Text"/>
    <w:basedOn w:val="931"/>
    <w:link w:val="1069"/>
    <w:uiPriority w:val="0"/>
    <w:qFormat/>
    <w:rPr>
      <w:sz w:val="18"/>
      <w:szCs w:val="18"/>
    </w:rPr>
  </w:style>
  <w:style w:type="paragraph" w:styleId="965">
    <w:name w:val="Footer"/>
    <w:basedOn w:val="931"/>
    <w:link w:val="1059"/>
    <w:uiPriority w:val="99"/>
    <w:qFormat/>
    <w:pPr>
      <w:jc w:val="left"/>
      <w:tabs>
        <w:tab w:val="center" w:pos="4153" w:leader="none"/>
        <w:tab w:val="right" w:pos="8306" w:leader="none"/>
      </w:tabs>
    </w:pPr>
    <w:rPr>
      <w:sz w:val="18"/>
      <w:szCs w:val="18"/>
    </w:rPr>
  </w:style>
  <w:style w:type="paragraph" w:styleId="966">
    <w:name w:val="Header"/>
    <w:basedOn w:val="931"/>
    <w:link w:val="1014"/>
    <w:uiPriority w:val="0"/>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31"/>
    <w:next w:val="931"/>
    <w:uiPriority w:val="39"/>
    <w:qFormat/>
  </w:style>
  <w:style w:type="paragraph" w:styleId="968">
    <w:name w:val="toc 4"/>
    <w:basedOn w:val="931"/>
    <w:next w:val="931"/>
    <w:uiPriority w:val="39"/>
    <w:unhideWhenUsed/>
    <w:qFormat/>
    <w:pPr>
      <w:ind w:left="1260"/>
    </w:pPr>
    <w:rPr>
      <w:rFonts w:ascii="Calibri" w:hAnsi="Calibri"/>
      <w:szCs w:val="22"/>
    </w:rPr>
  </w:style>
  <w:style w:type="paragraph" w:styleId="969">
    <w:name w:val="index heading"/>
    <w:basedOn w:val="931"/>
    <w:next w:val="970"/>
    <w:uiPriority w:val="99"/>
    <w:unhideWhenUsed/>
    <w:qFormat/>
    <w:pPr>
      <w:tabs>
        <w:tab w:val="left" w:pos="240" w:leader="none"/>
      </w:tabs>
    </w:pPr>
  </w:style>
  <w:style w:type="paragraph" w:styleId="970">
    <w:name w:val="index 1"/>
    <w:basedOn w:val="931"/>
    <w:next w:val="931"/>
    <w:uiPriority w:val="0"/>
    <w:qFormat/>
    <w:pPr>
      <w:jc w:val="center"/>
      <w:spacing w:line="220" w:lineRule="exact"/>
    </w:pPr>
    <w:rPr>
      <w:rFonts w:ascii="仿宋_GB2312" w:hAnsi="Calibri" w:eastAsia="仿宋_GB2312"/>
      <w:szCs w:val="22"/>
    </w:rPr>
  </w:style>
  <w:style w:type="paragraph" w:styleId="971">
    <w:name w:val="Subtitle"/>
    <w:basedOn w:val="931"/>
    <w:next w:val="931"/>
    <w:link w:val="1042"/>
    <w:uiPriority w:val="0"/>
    <w:qFormat/>
    <w:pPr>
      <w:jc w:val="center"/>
      <w:spacing w:before="240" w:after="60" w:line="312" w:lineRule="auto"/>
      <w:outlineLvl w:val="1"/>
    </w:pPr>
    <w:rPr>
      <w:rFonts w:ascii="Cambria" w:hAnsi="Cambria"/>
      <w:b/>
      <w:bCs/>
      <w:sz w:val="32"/>
      <w:szCs w:val="32"/>
    </w:rPr>
  </w:style>
  <w:style w:type="paragraph" w:styleId="972">
    <w:name w:val="toc 6"/>
    <w:basedOn w:val="931"/>
    <w:next w:val="931"/>
    <w:uiPriority w:val="39"/>
    <w:unhideWhenUsed/>
    <w:qFormat/>
    <w:pPr>
      <w:ind w:left="2100"/>
    </w:pPr>
    <w:rPr>
      <w:rFonts w:ascii="Calibri" w:hAnsi="Calibri"/>
      <w:szCs w:val="22"/>
    </w:rPr>
  </w:style>
  <w:style w:type="paragraph" w:styleId="973">
    <w:name w:val="Body Text Indent 3"/>
    <w:basedOn w:val="931"/>
    <w:link w:val="1067"/>
    <w:uiPriority w:val="0"/>
    <w:qFormat/>
    <w:pPr>
      <w:ind w:left="420"/>
      <w:spacing w:after="120"/>
    </w:pPr>
    <w:rPr>
      <w:sz w:val="16"/>
      <w:szCs w:val="20"/>
    </w:rPr>
  </w:style>
  <w:style w:type="paragraph" w:styleId="974">
    <w:name w:val="toc 2"/>
    <w:basedOn w:val="931"/>
    <w:next w:val="931"/>
    <w:uiPriority w:val="39"/>
    <w:qFormat/>
    <w:pPr>
      <w:ind w:left="420"/>
    </w:pPr>
    <w:rPr>
      <w:rFonts w:ascii="Calibri" w:hAnsi="Calibri"/>
      <w:szCs w:val="22"/>
    </w:rPr>
  </w:style>
  <w:style w:type="paragraph" w:styleId="975">
    <w:name w:val="toc 9"/>
    <w:basedOn w:val="931"/>
    <w:next w:val="931"/>
    <w:uiPriority w:val="39"/>
    <w:unhideWhenUsed/>
    <w:qFormat/>
    <w:pPr>
      <w:ind w:left="3360"/>
    </w:pPr>
    <w:rPr>
      <w:rFonts w:ascii="Calibri" w:hAnsi="Calibri"/>
      <w:szCs w:val="22"/>
    </w:rPr>
  </w:style>
  <w:style w:type="paragraph" w:styleId="976">
    <w:name w:val="HTML Preformatted"/>
    <w:basedOn w:val="9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1"/>
    <w:uiPriority w:val="99"/>
    <w:qFormat/>
    <w:pPr>
      <w:jc w:val="left"/>
      <w:spacing w:before="100" w:beforeAutospacing="1" w:after="100" w:afterAutospacing="1"/>
      <w:widowControl/>
    </w:pPr>
    <w:rPr>
      <w:rFonts w:ascii="宋体" w:hAnsi="宋体" w:cs="宋体"/>
      <w:sz w:val="24"/>
    </w:rPr>
  </w:style>
  <w:style w:type="paragraph" w:styleId="978">
    <w:name w:val="Title"/>
    <w:basedOn w:val="931"/>
    <w:next w:val="931"/>
    <w:link w:val="1019"/>
    <w:uiPriority w:val="0"/>
    <w:qFormat/>
    <w:pPr>
      <w:jc w:val="center"/>
      <w:spacing w:before="240" w:after="60" w:line="420" w:lineRule="atLeast"/>
      <w:outlineLvl w:val="0"/>
    </w:pPr>
    <w:rPr>
      <w:rFonts w:ascii="Arial" w:hAnsi="Arial"/>
      <w:b/>
      <w:sz w:val="32"/>
      <w:szCs w:val="20"/>
    </w:rPr>
  </w:style>
  <w:style w:type="paragraph" w:styleId="979">
    <w:name w:val="annotation subject"/>
    <w:basedOn w:val="950"/>
    <w:next w:val="950"/>
    <w:link w:val="1057"/>
    <w:uiPriority w:val="0"/>
    <w:qFormat/>
    <w:rPr>
      <w:b/>
      <w:bCs/>
    </w:rPr>
  </w:style>
  <w:style w:type="paragraph" w:styleId="980">
    <w:name w:val="Body Text First Indent 2"/>
    <w:basedOn w:val="956"/>
    <w:uiPriority w:val="99"/>
    <w:qFormat/>
    <w:pPr>
      <w:ind w:firstLine="420"/>
    </w:pPr>
  </w:style>
  <w:style w:type="table" w:styleId="981">
    <w:name w:val="Table Grid"/>
    <w:basedOn w:val="94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uiPriority w:val="0"/>
    <w:qFormat/>
    <w:rPr>
      <w:rFonts w:cs="Times New Roman"/>
      <w:b/>
    </w:rPr>
  </w:style>
  <w:style w:type="character" w:styleId="983">
    <w:name w:val="page number"/>
    <w:basedOn w:val="941"/>
    <w:uiPriority w:val="0"/>
    <w:qFormat/>
    <w:rPr>
      <w:rFonts w:eastAsia="宋体"/>
      <w:b/>
      <w:spacing w:val="0"/>
      <w:sz w:val="24"/>
      <w:szCs w:val="24"/>
      <w:vertAlign w:val="baseline"/>
      <w:lang w:val="en-US" w:eastAsia="zh-CN" w:bidi="ar-SA"/>
    </w:rPr>
  </w:style>
  <w:style w:type="character" w:styleId="984">
    <w:name w:val="FollowedHyperlink"/>
    <w:uiPriority w:val="0"/>
    <w:qFormat/>
    <w:rPr>
      <w:color w:val="800080"/>
      <w:u w:val="single"/>
    </w:rPr>
  </w:style>
  <w:style w:type="character" w:styleId="985">
    <w:name w:val="Emphasis"/>
    <w:uiPriority w:val="0"/>
    <w:qFormat/>
    <w:rPr>
      <w:color w:val="cc0000"/>
    </w:rPr>
  </w:style>
  <w:style w:type="character" w:styleId="986">
    <w:name w:val="Hyperlink"/>
    <w:basedOn w:val="941"/>
    <w:uiPriority w:val="99"/>
    <w:qFormat/>
    <w:rPr>
      <w:color w:val="0000ff"/>
      <w:u w:val="single"/>
    </w:rPr>
  </w:style>
  <w:style w:type="character" w:styleId="987">
    <w:name w:val="annotation reference"/>
    <w:uiPriority w:val="99"/>
    <w:qFormat/>
    <w:rPr>
      <w:sz w:val="21"/>
      <w:szCs w:val="21"/>
    </w:rPr>
  </w:style>
  <w:style w:type="character" w:styleId="988">
    <w:name w:val="HTML Cite"/>
    <w:uiPriority w:val="0"/>
    <w:qFormat/>
    <w:rPr>
      <w:color w:val="008000"/>
    </w:rPr>
  </w:style>
  <w:style w:type="paragraph" w:styleId="989">
    <w:name w:val="List Paragraph"/>
    <w:basedOn w:val="931"/>
    <w:next w:val="950"/>
    <w:uiPriority w:val="34"/>
    <w:qFormat/>
    <w:pPr>
      <w:ind w:firstLine="420"/>
    </w:pPr>
  </w:style>
  <w:style w:type="paragraph" w:styleId="990" w:customStyle="1">
    <w:name w:val="列表段落1"/>
    <w:basedOn w:val="931"/>
    <w:next w:val="950"/>
    <w:uiPriority w:val="99"/>
    <w:qFormat/>
    <w:pPr>
      <w:ind w:firstLine="420"/>
    </w:pPr>
  </w:style>
  <w:style w:type="paragraph" w:styleId="9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2" w:customStyle="1">
    <w:name w:val="正文首行缩进 21"/>
    <w:basedOn w:val="993"/>
    <w:next w:val="931"/>
    <w:uiPriority w:val="0"/>
    <w:qFormat/>
    <w:pPr>
      <w:ind w:firstLine="420"/>
      <w:spacing w:before="100" w:beforeAutospacing="1"/>
    </w:pPr>
    <w:rPr>
      <w:rFonts w:ascii="宋体" w:hAnsi="宋体"/>
      <w:szCs w:val="21"/>
    </w:rPr>
  </w:style>
  <w:style w:type="paragraph" w:styleId="993" w:customStyle="1">
    <w:name w:val="正文文本缩进1"/>
    <w:basedOn w:val="931"/>
    <w:uiPriority w:val="0"/>
    <w:qFormat/>
    <w:pPr>
      <w:ind w:firstLine="880"/>
      <w:spacing w:line="500" w:lineRule="exact"/>
    </w:pPr>
  </w:style>
  <w:style w:type="character" w:styleId="994" w:customStyle="1">
    <w:name w:val="标题 1 Char1"/>
    <w:link w:val="932"/>
    <w:uiPriority w:val="0"/>
    <w:qFormat/>
    <w:rPr>
      <w:rFonts w:ascii="Times New Roman" w:hAnsi="Times New Roman" w:eastAsia="宋体" w:cs="Times New Roman"/>
      <w:b/>
      <w:bCs/>
      <w:sz w:val="32"/>
      <w:szCs w:val="44"/>
    </w:rPr>
  </w:style>
  <w:style w:type="character" w:styleId="995" w:customStyle="1">
    <w:name w:val="明显强调1"/>
    <w:uiPriority w:val="0"/>
    <w:qFormat/>
    <w:rPr>
      <w:b/>
      <w:bCs/>
      <w:i/>
      <w:iCs/>
      <w:color w:val="4f81bd"/>
    </w:rPr>
  </w:style>
  <w:style w:type="character" w:styleId="996" w:customStyle="1">
    <w:name w:val="批注文字 Char2"/>
    <w:uiPriority w:val="0"/>
    <w:qFormat/>
    <w:rPr>
      <w:sz w:val="21"/>
    </w:rPr>
  </w:style>
  <w:style w:type="character" w:styleId="997" w:customStyle="1">
    <w:name w:val="标题 3 Char_0"/>
    <w:link w:val="998"/>
    <w:uiPriority w:val="0"/>
    <w:qFormat/>
    <w:rPr>
      <w:b/>
      <w:bCs/>
      <w:sz w:val="32"/>
      <w:szCs w:val="32"/>
    </w:rPr>
  </w:style>
  <w:style w:type="paragraph" w:styleId="998" w:customStyle="1">
    <w:name w:val="标题 3_0"/>
    <w:basedOn w:val="999"/>
    <w:next w:val="999"/>
    <w:link w:val="997"/>
    <w:uiPriority w:val="0"/>
    <w:qFormat/>
    <w:pPr>
      <w:keepLines/>
      <w:keepNext/>
      <w:spacing w:before="260" w:after="260" w:line="416" w:lineRule="auto"/>
      <w:outlineLvl w:val="2"/>
    </w:pPr>
    <w:rPr>
      <w:b/>
      <w:bCs/>
      <w:sz w:val="32"/>
      <w:szCs w:val="32"/>
    </w:rPr>
  </w:style>
  <w:style w:type="paragraph" w:styleId="9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0" w:customStyle="1">
    <w:name w:val="标题 2 Char"/>
    <w:link w:val="933"/>
    <w:uiPriority w:val="0"/>
    <w:qFormat/>
    <w:rPr>
      <w:rFonts w:ascii="Cambria" w:hAnsi="Cambria"/>
      <w:b/>
      <w:bCs/>
      <w:sz w:val="32"/>
      <w:szCs w:val="32"/>
    </w:rPr>
  </w:style>
  <w:style w:type="character" w:styleId="1001" w:customStyle="1">
    <w:name w:val="正文文本 Char2"/>
    <w:uiPriority w:val="99"/>
    <w:semiHidden/>
    <w:qFormat/>
    <w:rPr>
      <w:rFonts w:ascii="Calibri" w:hAnsi="Calibri" w:eastAsia="宋体" w:cs="Times New Roman"/>
    </w:rPr>
  </w:style>
  <w:style w:type="character" w:styleId="1002" w:customStyle="1">
    <w:name w:val="页脚 Char1"/>
    <w:uiPriority w:val="99"/>
    <w:semiHidden/>
    <w:qFormat/>
    <w:rPr>
      <w:rFonts w:ascii="Calibri" w:hAnsi="Calibri" w:eastAsia="宋体" w:cs="Times New Roman"/>
      <w:sz w:val="18"/>
      <w:szCs w:val="18"/>
    </w:rPr>
  </w:style>
  <w:style w:type="character" w:styleId="1003" w:customStyle="1">
    <w:name w:val="明显引用 Char2"/>
    <w:uiPriority w:val="99"/>
    <w:qFormat/>
    <w:rPr>
      <w:b/>
      <w:bCs/>
      <w:i/>
      <w:iCs/>
      <w:color w:val="4f81bd"/>
      <w:sz w:val="21"/>
      <w:szCs w:val="24"/>
    </w:rPr>
  </w:style>
  <w:style w:type="character" w:styleId="1004" w:customStyle="1">
    <w:name w:val="引用 Char"/>
    <w:link w:val="1005"/>
    <w:uiPriority w:val="0"/>
    <w:qFormat/>
    <w:rPr>
      <w:i/>
      <w:iCs/>
      <w:color w:val="000000"/>
    </w:rPr>
  </w:style>
  <w:style w:type="paragraph" w:styleId="1005" w:customStyle="1">
    <w:name w:val="引用1"/>
    <w:basedOn w:val="931"/>
    <w:next w:val="931"/>
    <w:link w:val="1004"/>
    <w:uiPriority w:val="0"/>
    <w:qFormat/>
    <w:rPr>
      <w:i/>
      <w:iCs/>
      <w:color w:val="000000"/>
      <w:sz w:val="20"/>
      <w:szCs w:val="20"/>
    </w:rPr>
  </w:style>
  <w:style w:type="character" w:styleId="1006" w:customStyle="1">
    <w:name w:val="标题 1 Char_0"/>
    <w:link w:val="1007"/>
    <w:uiPriority w:val="0"/>
    <w:qFormat/>
    <w:rPr>
      <w:b/>
      <w:bCs/>
      <w:sz w:val="44"/>
      <w:szCs w:val="44"/>
    </w:rPr>
  </w:style>
  <w:style w:type="paragraph" w:styleId="1007" w:customStyle="1">
    <w:name w:val="标题 1_0"/>
    <w:basedOn w:val="999"/>
    <w:next w:val="999"/>
    <w:link w:val="1006"/>
    <w:uiPriority w:val="0"/>
    <w:qFormat/>
    <w:pPr>
      <w:keepLines/>
      <w:keepNext/>
      <w:spacing w:before="340" w:after="330" w:line="578" w:lineRule="auto"/>
      <w:outlineLvl w:val="0"/>
    </w:pPr>
    <w:rPr>
      <w:b/>
      <w:bCs/>
      <w:sz w:val="44"/>
      <w:szCs w:val="44"/>
    </w:rPr>
  </w:style>
  <w:style w:type="character" w:styleId="1008" w:customStyle="1">
    <w:name w:val="正文文本缩进 3 Char1"/>
    <w:uiPriority w:val="99"/>
    <w:semiHidden/>
    <w:qFormat/>
    <w:rPr>
      <w:sz w:val="16"/>
      <w:szCs w:val="16"/>
    </w:rPr>
  </w:style>
  <w:style w:type="character" w:styleId="1009" w:customStyle="1">
    <w:name w:val="引用 Char1"/>
    <w:uiPriority w:val="29"/>
    <w:qFormat/>
    <w:rPr>
      <w:i/>
      <w:iCs/>
      <w:color w:val="000000"/>
      <w:sz w:val="21"/>
    </w:rPr>
  </w:style>
  <w:style w:type="character" w:styleId="1010" w:customStyle="1">
    <w:name w:val="正文文本缩进 Char"/>
    <w:link w:val="956"/>
    <w:uiPriority w:val="0"/>
    <w:qFormat/>
    <w:rPr>
      <w:sz w:val="21"/>
      <w:szCs w:val="24"/>
    </w:rPr>
  </w:style>
  <w:style w:type="character" w:styleId="1011" w:customStyle="1">
    <w:name w:val="font161"/>
    <w:uiPriority w:val="0"/>
    <w:qFormat/>
    <w:rPr>
      <w:b/>
      <w:sz w:val="32"/>
    </w:rPr>
  </w:style>
  <w:style w:type="character" w:styleId="1012" w:customStyle="1">
    <w:name w:val="标题 4 Char_0"/>
    <w:link w:val="1013"/>
    <w:uiPriority w:val="0"/>
    <w:qFormat/>
    <w:rPr>
      <w:rFonts w:ascii="Arial" w:hAnsi="Arial" w:eastAsia="黑体"/>
      <w:b/>
      <w:bCs/>
      <w:sz w:val="28"/>
      <w:szCs w:val="28"/>
    </w:rPr>
  </w:style>
  <w:style w:type="paragraph" w:styleId="1013" w:customStyle="1">
    <w:name w:val="标题 4_0"/>
    <w:basedOn w:val="999"/>
    <w:next w:val="999"/>
    <w:link w:val="1012"/>
    <w:uiPriority w:val="0"/>
    <w:qFormat/>
    <w:pPr>
      <w:keepLines/>
      <w:keepNext/>
      <w:spacing w:before="280" w:after="290" w:line="376" w:lineRule="auto"/>
      <w:outlineLvl w:val="3"/>
    </w:pPr>
    <w:rPr>
      <w:rFonts w:ascii="Arial" w:hAnsi="Arial" w:eastAsia="黑体"/>
      <w:b/>
      <w:bCs/>
      <w:sz w:val="28"/>
      <w:szCs w:val="28"/>
    </w:rPr>
  </w:style>
  <w:style w:type="character" w:styleId="1014" w:customStyle="1">
    <w:name w:val="页眉 Char"/>
    <w:link w:val="966"/>
    <w:uiPriority w:val="0"/>
    <w:qFormat/>
    <w:rPr>
      <w:sz w:val="18"/>
      <w:szCs w:val="18"/>
    </w:rPr>
  </w:style>
  <w:style w:type="character" w:styleId="1015" w:customStyle="1">
    <w:name w:val="标题 6 Char"/>
    <w:link w:val="937"/>
    <w:uiPriority w:val="0"/>
    <w:qFormat/>
    <w:rPr>
      <w:rFonts w:ascii="Cambria" w:hAnsi="Cambria" w:eastAsia="宋体" w:cs="Times New Roman"/>
      <w:b/>
      <w:bCs/>
      <w:sz w:val="24"/>
      <w:szCs w:val="24"/>
    </w:rPr>
  </w:style>
  <w:style w:type="character" w:styleId="1016" w:customStyle="1">
    <w:name w:val="纯文本 Char"/>
    <w:link w:val="960"/>
    <w:uiPriority w:val="0"/>
    <w:qFormat/>
    <w:rPr>
      <w:rFonts w:ascii="Ari"/>
      <w:lang w:val="en-US" w:eastAsia="zh-CN" w:bidi="ar-SA"/>
    </w:rPr>
  </w:style>
  <w:style w:type="character" w:styleId="1017" w:customStyle="1">
    <w:name w:val="引用 Char2"/>
    <w:uiPriority w:val="99"/>
    <w:qFormat/>
    <w:rPr>
      <w:i/>
      <w:iCs/>
      <w:color w:val="000000"/>
      <w:sz w:val="21"/>
      <w:szCs w:val="24"/>
    </w:rPr>
  </w:style>
  <w:style w:type="character" w:styleId="1018" w:customStyle="1">
    <w:name w:val="rvts11"/>
    <w:uiPriority w:val="0"/>
    <w:qFormat/>
    <w:rPr>
      <w:rFonts w:hint="default" w:ascii="KNLe" w:hAnsi="KNLe"/>
      <w:sz w:val="24"/>
      <w:szCs w:val="24"/>
      <w:u w:val="single"/>
    </w:rPr>
  </w:style>
  <w:style w:type="character" w:styleId="1019" w:customStyle="1">
    <w:name w:val="标题 Char"/>
    <w:link w:val="978"/>
    <w:uiPriority w:val="0"/>
    <w:qFormat/>
    <w:rPr>
      <w:rFonts w:ascii="Arial" w:hAnsi="Arial"/>
      <w:b/>
      <w:sz w:val="32"/>
    </w:rPr>
  </w:style>
  <w:style w:type="character" w:styleId="1020" w:customStyle="1">
    <w:name w:val="标题5 Char Char"/>
    <w:link w:val="1021"/>
    <w:uiPriority w:val="0"/>
    <w:qFormat/>
    <w:rPr>
      <w:rFonts w:ascii="Arial" w:hAnsi="Arial"/>
      <w:b/>
      <w:bCs/>
      <w:sz w:val="24"/>
      <w:szCs w:val="32"/>
    </w:rPr>
  </w:style>
  <w:style w:type="paragraph" w:styleId="1021" w:customStyle="1">
    <w:name w:val="标题5"/>
    <w:basedOn w:val="934"/>
    <w:link w:val="1020"/>
    <w:uiPriority w:val="0"/>
    <w:qFormat/>
    <w:pPr>
      <w:numPr>
        <w:ilvl w:val="0"/>
        <w:numId w:val="0"/>
      </w:numPr>
      <w:spacing w:line="413" w:lineRule="auto"/>
    </w:pPr>
    <w:rPr>
      <w:rFonts w:ascii="Arial" w:hAnsi="Arial"/>
      <w:sz w:val="24"/>
    </w:rPr>
  </w:style>
  <w:style w:type="character" w:styleId="1022" w:customStyle="1">
    <w:name w:val="副标题 Char2"/>
    <w:uiPriority w:val="11"/>
    <w:qFormat/>
    <w:rPr>
      <w:rFonts w:ascii="Cambria" w:hAnsi="Cambria" w:cs="Times New Roman"/>
      <w:b/>
      <w:bCs/>
      <w:sz w:val="32"/>
      <w:szCs w:val="32"/>
    </w:rPr>
  </w:style>
  <w:style w:type="character" w:styleId="1023" w:customStyle="1">
    <w:name w:val="文档结构图 Char"/>
    <w:link w:val="949"/>
    <w:uiPriority w:val="0"/>
    <w:qFormat/>
    <w:rPr>
      <w:rFonts w:ascii="宋体"/>
      <w:sz w:val="18"/>
      <w:szCs w:val="18"/>
    </w:rPr>
  </w:style>
  <w:style w:type="character" w:styleId="1024" w:customStyle="1">
    <w:name w:val="日期 Char"/>
    <w:link w:val="962"/>
    <w:uiPriority w:val="0"/>
    <w:qFormat/>
    <w:rPr>
      <w:sz w:val="21"/>
      <w:szCs w:val="24"/>
    </w:rPr>
  </w:style>
  <w:style w:type="character" w:styleId="1025" w:customStyle="1">
    <w:name w:val="批注主题 Char1"/>
    <w:uiPriority w:val="0"/>
    <w:qFormat/>
    <w:rPr>
      <w:b/>
      <w:bCs/>
      <w:sz w:val="21"/>
      <w:szCs w:val="22"/>
    </w:rPr>
  </w:style>
  <w:style w:type="character" w:styleId="1026" w:customStyle="1">
    <w:name w:val="font31"/>
    <w:uiPriority w:val="0"/>
    <w:qFormat/>
    <w:rPr>
      <w:rFonts w:hint="eastAsia" w:ascii="宋体" w:hAnsi="宋体" w:eastAsia="宋体" w:cs="宋体"/>
      <w:color w:val="000000"/>
      <w:sz w:val="20"/>
      <w:szCs w:val="20"/>
      <w:u w:val="none"/>
    </w:rPr>
  </w:style>
  <w:style w:type="character" w:styleId="1027" w:customStyle="1">
    <w:name w:val="明显引用 Char"/>
    <w:link w:val="1028"/>
    <w:uiPriority w:val="0"/>
    <w:qFormat/>
    <w:rPr>
      <w:b/>
      <w:bCs/>
      <w:i/>
      <w:iCs/>
      <w:color w:val="4f81bd"/>
    </w:rPr>
  </w:style>
  <w:style w:type="paragraph" w:styleId="1028" w:customStyle="1">
    <w:name w:val="明显引用1"/>
    <w:basedOn w:val="931"/>
    <w:next w:val="931"/>
    <w:link w:val="1027"/>
    <w:uiPriority w:val="0"/>
    <w:qFormat/>
    <w:pPr>
      <w:ind w:left="936" w:right="936"/>
      <w:spacing w:before="200" w:after="280"/>
      <w:pBdr>
        <w:bottom w:val="single" w:color="4F81BD" w:sz="4" w:space="4"/>
      </w:pBdr>
    </w:pPr>
    <w:rPr>
      <w:b/>
      <w:bCs/>
      <w:i/>
      <w:iCs/>
      <w:color w:val="4f81bd"/>
      <w:sz w:val="20"/>
      <w:szCs w:val="20"/>
    </w:rPr>
  </w:style>
  <w:style w:type="character" w:styleId="1029" w:customStyle="1">
    <w:name w:val="标题 5 Char"/>
    <w:link w:val="936"/>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Char"/>
    <w:link w:val="940"/>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Char"/>
    <w:link w:val="934"/>
    <w:uiPriority w:val="0"/>
    <w:qFormat/>
    <w:rPr>
      <w:b/>
      <w:bCs/>
      <w:sz w:val="32"/>
      <w:szCs w:val="32"/>
    </w:rPr>
  </w:style>
  <w:style w:type="character" w:styleId="1040" w:customStyle="1">
    <w:name w:val="正文文本 Char_0"/>
    <w:link w:val="1041"/>
    <w:uiPriority w:val="0"/>
    <w:qFormat/>
    <w:rPr>
      <w:szCs w:val="24"/>
    </w:rPr>
  </w:style>
  <w:style w:type="paragraph" w:styleId="1041" w:customStyle="1">
    <w:name w:val="正文文本_0"/>
    <w:basedOn w:val="999"/>
    <w:link w:val="1040"/>
    <w:uiPriority w:val="0"/>
    <w:qFormat/>
    <w:pPr>
      <w:spacing w:after="120"/>
    </w:pPr>
    <w:rPr>
      <w:sz w:val="20"/>
    </w:rPr>
  </w:style>
  <w:style w:type="character" w:styleId="1042" w:customStyle="1">
    <w:name w:val="副标题 Char"/>
    <w:link w:val="971"/>
    <w:uiPriority w:val="0"/>
    <w:qFormat/>
    <w:rPr>
      <w:rFonts w:ascii="Cambria" w:hAnsi="Cambria"/>
      <w:b/>
      <w:bCs/>
      <w:sz w:val="32"/>
      <w:szCs w:val="32"/>
    </w:rPr>
  </w:style>
  <w:style w:type="character" w:styleId="1043" w:customStyle="1">
    <w:name w:val="bookmark"/>
    <w:basedOn w:val="941"/>
    <w:uiPriority w:val="0"/>
    <w:qFormat/>
  </w:style>
  <w:style w:type="character" w:styleId="1044" w:customStyle="1">
    <w:name w:val="标题 5 Char_0"/>
    <w:link w:val="1045"/>
    <w:uiPriority w:val="0"/>
    <w:qFormat/>
    <w:rPr>
      <w:rFonts w:ascii="Calibri" w:hAnsi="Calibri"/>
      <w:b/>
      <w:bCs/>
      <w:sz w:val="28"/>
      <w:szCs w:val="28"/>
    </w:rPr>
  </w:style>
  <w:style w:type="paragraph" w:styleId="1045" w:customStyle="1">
    <w:name w:val="标题 5_0"/>
    <w:basedOn w:val="999"/>
    <w:next w:val="999"/>
    <w:link w:val="1044"/>
    <w:uiPriority w:val="0"/>
    <w:qFormat/>
    <w:pPr>
      <w:keepLines/>
      <w:keepNext/>
      <w:spacing w:before="280" w:after="290" w:line="372" w:lineRule="auto"/>
      <w:outlineLvl w:val="4"/>
    </w:pPr>
    <w:rPr>
      <w:rFonts w:ascii="Calibri" w:hAnsi="Calibri"/>
      <w:b/>
      <w:bCs/>
      <w:sz w:val="28"/>
      <w:szCs w:val="28"/>
    </w:rPr>
  </w:style>
  <w:style w:type="character" w:styleId="1046" w:customStyle="1">
    <w:name w:val="正文文本缩进 2 Char"/>
    <w:link w:val="963"/>
    <w:uiPriority w:val="99"/>
    <w:qFormat/>
    <w:rPr>
      <w:rFonts w:ascii="宋体"/>
    </w:rPr>
  </w:style>
  <w:style w:type="character" w:styleId="1047" w:customStyle="1">
    <w:name w:val="批注文字 Char"/>
    <w:link w:val="950"/>
    <w:uiPriority w:val="99"/>
    <w:qFormat/>
    <w:rPr>
      <w:sz w:val="21"/>
      <w:szCs w:val="24"/>
    </w:rPr>
  </w:style>
  <w:style w:type="character" w:styleId="1048" w:customStyle="1">
    <w:name w:val="font11"/>
    <w:uiPriority w:val="0"/>
    <w:qFormat/>
    <w:rPr>
      <w:rFonts w:hint="eastAsia" w:ascii="宋体" w:hAnsi="宋体" w:eastAsia="宋体" w:cs="宋体"/>
      <w:color w:val="000000"/>
      <w:sz w:val="20"/>
      <w:szCs w:val="20"/>
      <w:u w:val="none"/>
    </w:rPr>
  </w:style>
  <w:style w:type="character" w:styleId="1049" w:customStyle="1">
    <w:name w:val="明显参考1"/>
    <w:uiPriority w:val="0"/>
    <w:qFormat/>
    <w:rPr>
      <w:b/>
      <w:bCs/>
      <w:smallCaps/>
      <w:color w:val="c0504d"/>
      <w:spacing w:val="5"/>
      <w:u w:val="single"/>
    </w:rPr>
  </w:style>
  <w:style w:type="character" w:styleId="1050" w:customStyle="1">
    <w:name w:val="超链接_0"/>
    <w:uiPriority w:val="99"/>
    <w:qFormat/>
    <w:rPr>
      <w:rFonts w:ascii="Calibri" w:hAnsi="Calibri"/>
      <w:color w:val="0000ff"/>
      <w:u w:val="single"/>
    </w:rPr>
  </w:style>
  <w:style w:type="character" w:styleId="1051" w:customStyle="1">
    <w:name w:val="文档结构图 Char2"/>
    <w:uiPriority w:val="99"/>
    <w:semiHidden/>
    <w:qFormat/>
    <w:rPr>
      <w:rFonts w:ascii="宋体" w:hAnsi="Calibri" w:eastAsia="宋体" w:cs="Times New Roman"/>
      <w:sz w:val="18"/>
      <w:szCs w:val="18"/>
    </w:rPr>
  </w:style>
  <w:style w:type="character" w:styleId="1052" w:customStyle="1">
    <w:name w:val="textcontents"/>
    <w:uiPriority w:val="0"/>
    <w:qFormat/>
    <w:rPr>
      <w:rFonts w:cs="Times New Roman"/>
    </w:rPr>
  </w:style>
  <w:style w:type="character" w:styleId="1053" w:customStyle="1">
    <w:name w:val="标题 1 Char"/>
    <w:uiPriority w:val="0"/>
    <w:qFormat/>
    <w:rPr>
      <w:b/>
      <w:bCs/>
      <w:sz w:val="32"/>
      <w:szCs w:val="44"/>
    </w:rPr>
  </w:style>
  <w:style w:type="character" w:styleId="1054" w:customStyle="1">
    <w:name w:val="正文文本 Char"/>
    <w:link w:val="952"/>
    <w:uiPriority w:val="0"/>
    <w:qFormat/>
    <w:rPr>
      <w:rFonts w:eastAsia="幼圆"/>
      <w:b/>
      <w:bCs/>
      <w:sz w:val="44"/>
      <w:szCs w:val="24"/>
    </w:rPr>
  </w:style>
  <w:style w:type="character" w:styleId="1055" w:customStyle="1">
    <w:name w:val="标题 8 Char"/>
    <w:link w:val="939"/>
    <w:uiPriority w:val="0"/>
    <w:qFormat/>
    <w:rPr>
      <w:rFonts w:ascii="Cambria" w:hAnsi="Cambria" w:eastAsia="宋体" w:cs="Times New Roman"/>
      <w:sz w:val="24"/>
      <w:szCs w:val="24"/>
    </w:rPr>
  </w:style>
  <w:style w:type="character" w:styleId="1056" w:customStyle="1">
    <w:name w:val="副标题 Char1"/>
    <w:uiPriority w:val="11"/>
    <w:qFormat/>
    <w:rPr>
      <w:rFonts w:ascii="Cambria" w:hAnsi="Cambria" w:cs="Times New Roman"/>
      <w:b/>
      <w:bCs/>
      <w:sz w:val="32"/>
      <w:szCs w:val="32"/>
    </w:rPr>
  </w:style>
  <w:style w:type="character" w:styleId="1057" w:customStyle="1">
    <w:name w:val="批注主题 Char"/>
    <w:link w:val="979"/>
    <w:uiPriority w:val="0"/>
    <w:qFormat/>
    <w:rPr>
      <w:b/>
      <w:bCs/>
      <w:sz w:val="21"/>
      <w:szCs w:val="24"/>
    </w:rPr>
  </w:style>
  <w:style w:type="character" w:styleId="1058" w:customStyle="1">
    <w:name w:val="书籍标题1"/>
    <w:uiPriority w:val="0"/>
    <w:qFormat/>
    <w:rPr>
      <w:b/>
      <w:bCs/>
      <w:smallCaps/>
      <w:spacing w:val="5"/>
    </w:rPr>
  </w:style>
  <w:style w:type="character" w:styleId="1059" w:customStyle="1">
    <w:name w:val="页脚 Char"/>
    <w:link w:val="965"/>
    <w:uiPriority w:val="99"/>
    <w:qFormat/>
    <w:rPr>
      <w:sz w:val="18"/>
      <w:szCs w:val="18"/>
    </w:rPr>
  </w:style>
  <w:style w:type="character" w:styleId="1060" w:customStyle="1">
    <w:name w:val="标题4 Char Char"/>
    <w:link w:val="1061"/>
    <w:uiPriority w:val="0"/>
    <w:qFormat/>
    <w:rPr>
      <w:rFonts w:ascii="Arial" w:hAnsi="Arial"/>
      <w:b/>
      <w:bCs/>
      <w:sz w:val="24"/>
      <w:szCs w:val="32"/>
    </w:rPr>
  </w:style>
  <w:style w:type="paragraph" w:styleId="1061" w:customStyle="1">
    <w:name w:val="标题4"/>
    <w:basedOn w:val="933"/>
    <w:next w:val="957"/>
    <w:link w:val="1060"/>
    <w:uiPriority w:val="0"/>
    <w:qFormat/>
    <w:pPr>
      <w:numPr>
        <w:ilvl w:val="0"/>
        <w:numId w:val="0"/>
      </w:numPr>
      <w:spacing w:line="413" w:lineRule="auto"/>
    </w:pPr>
    <w:rPr>
      <w:rFonts w:ascii="Arial" w:hAnsi="Arial"/>
      <w:sz w:val="24"/>
    </w:rPr>
  </w:style>
  <w:style w:type="character" w:styleId="1062" w:customStyle="1">
    <w:name w:val="正文文本 Char1"/>
    <w:uiPriority w:val="0"/>
    <w:qFormat/>
    <w:rPr>
      <w:rFonts w:ascii="Calibri" w:hAnsi="Calibri" w:eastAsia="宋体" w:cs="Times New Roman"/>
    </w:rPr>
  </w:style>
  <w:style w:type="character" w:styleId="1063" w:customStyle="1">
    <w:name w:val="明显引用 Char1"/>
    <w:uiPriority w:val="30"/>
    <w:qFormat/>
    <w:rPr>
      <w:b/>
      <w:bCs/>
      <w:i/>
      <w:iCs/>
      <w:color w:val="4f81bd"/>
      <w:sz w:val="21"/>
    </w:rPr>
  </w:style>
  <w:style w:type="character" w:styleId="1064" w:customStyle="1">
    <w:name w:val="页眉 Char1"/>
    <w:uiPriority w:val="99"/>
    <w:semiHidden/>
    <w:qFormat/>
    <w:rPr>
      <w:rFonts w:ascii="Calibri" w:hAnsi="Calibri" w:eastAsia="宋体" w:cs="Times New Roman"/>
      <w:sz w:val="18"/>
      <w:szCs w:val="18"/>
    </w:rPr>
  </w:style>
  <w:style w:type="character" w:styleId="1065" w:customStyle="1">
    <w:name w:val="不明显强调1"/>
    <w:uiPriority w:val="0"/>
    <w:qFormat/>
    <w:rPr>
      <w:i/>
      <w:iCs/>
      <w:color w:val="808080"/>
    </w:rPr>
  </w:style>
  <w:style w:type="character" w:styleId="1066" w:customStyle="1">
    <w:name w:val="正文文本 3 Char"/>
    <w:link w:val="951"/>
    <w:uiPriority w:val="0"/>
    <w:qFormat/>
    <w:rPr>
      <w:rFonts w:ascii="宋体"/>
      <w:sz w:val="24"/>
    </w:rPr>
  </w:style>
  <w:style w:type="character" w:styleId="1067" w:customStyle="1">
    <w:name w:val="正文文本缩进 3 Char"/>
    <w:link w:val="973"/>
    <w:uiPriority w:val="0"/>
    <w:qFormat/>
    <w:rPr>
      <w:sz w:val="16"/>
    </w:rPr>
  </w:style>
  <w:style w:type="character" w:styleId="1068" w:customStyle="1">
    <w:name w:val="font21"/>
    <w:uiPriority w:val="0"/>
    <w:qFormat/>
    <w:rPr>
      <w:rFonts w:hint="eastAsia" w:ascii="宋体" w:hAnsi="宋体" w:eastAsia="宋体" w:cs="宋体"/>
      <w:color w:val="000000"/>
      <w:sz w:val="20"/>
      <w:szCs w:val="20"/>
      <w:u w:val="none"/>
    </w:rPr>
  </w:style>
  <w:style w:type="character" w:styleId="1069" w:customStyle="1">
    <w:name w:val="批注框文本 Char"/>
    <w:link w:val="964"/>
    <w:uiPriority w:val="0"/>
    <w:qFormat/>
    <w:rPr>
      <w:sz w:val="18"/>
      <w:szCs w:val="18"/>
    </w:rPr>
  </w:style>
  <w:style w:type="character" w:styleId="1070" w:customStyle="1">
    <w:name w:val="标题 7 Char"/>
    <w:link w:val="938"/>
    <w:uiPriority w:val="0"/>
    <w:qFormat/>
    <w:rPr>
      <w:b/>
      <w:bCs/>
      <w:sz w:val="24"/>
      <w:szCs w:val="24"/>
    </w:rPr>
  </w:style>
  <w:style w:type="character" w:styleId="1071" w:customStyle="1">
    <w:name w:val="文档结构图 Char1"/>
    <w:uiPriority w:val="0"/>
    <w:qFormat/>
    <w:rPr>
      <w:rFonts w:ascii="宋体" w:hAnsi="Calibri" w:eastAsia="宋体" w:cs="Times New Roman"/>
      <w:sz w:val="18"/>
      <w:szCs w:val="18"/>
    </w:rPr>
  </w:style>
  <w:style w:type="character" w:styleId="1072" w:customStyle="1">
    <w:name w:val="标题 2 Char_0"/>
    <w:link w:val="1073"/>
    <w:uiPriority w:val="0"/>
    <w:qFormat/>
    <w:rPr>
      <w:rFonts w:ascii="Cambria" w:hAnsi="Cambria"/>
      <w:b/>
      <w:bCs/>
      <w:sz w:val="32"/>
      <w:szCs w:val="32"/>
    </w:rPr>
  </w:style>
  <w:style w:type="paragraph" w:styleId="1073" w:customStyle="1">
    <w:name w:val="标题 2_0"/>
    <w:basedOn w:val="999"/>
    <w:next w:val="999"/>
    <w:link w:val="1072"/>
    <w:uiPriority w:val="0"/>
    <w:unhideWhenUsed/>
    <w:qFormat/>
    <w:pPr>
      <w:keepLines/>
      <w:keepNext/>
      <w:spacing w:before="260" w:after="260" w:line="416" w:lineRule="auto"/>
      <w:outlineLvl w:val="1"/>
    </w:pPr>
    <w:rPr>
      <w:rFonts w:ascii="Cambria" w:hAnsi="Cambria"/>
      <w:b/>
      <w:bCs/>
      <w:sz w:val="32"/>
      <w:szCs w:val="32"/>
    </w:rPr>
  </w:style>
  <w:style w:type="character" w:styleId="1074" w:customStyle="1">
    <w:name w:val="日期 Char2"/>
    <w:uiPriority w:val="99"/>
    <w:semiHidden/>
    <w:qFormat/>
    <w:rPr>
      <w:rFonts w:ascii="Calibri" w:hAnsi="Calibri" w:eastAsia="宋体" w:cs="Times New Roman"/>
    </w:rPr>
  </w:style>
  <w:style w:type="character" w:styleId="1075" w:customStyle="1">
    <w:name w:val="批注框文本 Char2"/>
    <w:uiPriority w:val="99"/>
    <w:semiHidden/>
    <w:qFormat/>
    <w:rPr>
      <w:rFonts w:ascii="Calibri" w:hAnsi="Calibri" w:eastAsia="宋体" w:cs="Times New Roman"/>
      <w:sz w:val="18"/>
      <w:szCs w:val="18"/>
    </w:rPr>
  </w:style>
  <w:style w:type="character" w:styleId="1076" w:customStyle="1">
    <w:name w:val="标题 4 Char"/>
    <w:link w:val="935"/>
    <w:uiPriority w:val="0"/>
    <w:qFormat/>
    <w:rPr>
      <w:rFonts w:ascii="Cambria" w:hAnsi="Cambria" w:eastAsia="宋体" w:cs="Times New Roman"/>
      <w:b/>
      <w:bCs/>
      <w:sz w:val="28"/>
      <w:szCs w:val="28"/>
    </w:rPr>
  </w:style>
  <w:style w:type="character" w:styleId="1077" w:customStyle="1">
    <w:name w:val="列出段落 Char"/>
    <w:link w:val="1078"/>
    <w:uiPriority w:val="99"/>
    <w:qFormat/>
    <w:rPr>
      <w:sz w:val="21"/>
      <w:szCs w:val="24"/>
    </w:rPr>
  </w:style>
  <w:style w:type="paragraph" w:styleId="1078" w:customStyle="1">
    <w:name w:val="List Paragraph1"/>
    <w:basedOn w:val="931"/>
    <w:link w:val="1077"/>
    <w:uiPriority w:val="99"/>
    <w:qFormat/>
    <w:pPr>
      <w:ind w:firstLine="420"/>
    </w:pPr>
  </w:style>
  <w:style w:type="paragraph" w:styleId="1079" w:customStyle="1">
    <w:name w:val="样式 标题 3 + (中文) 黑体 小四 非加粗 段前: 7.8 磅 段后: 0 磅 行距: 固定值 20 磅"/>
    <w:basedOn w:val="934"/>
    <w:next w:val="931"/>
    <w:uiPriority w:val="0"/>
    <w:qFormat/>
    <w:pPr>
      <w:spacing w:before="0" w:after="0" w:line="400" w:lineRule="exact"/>
    </w:pPr>
    <w:rPr>
      <w:rFonts w:eastAsia="黑体" w:cs="宋体"/>
      <w:b w:val="0"/>
      <w:bCs w:val="0"/>
      <w:sz w:val="24"/>
      <w:szCs w:val="20"/>
    </w:rPr>
  </w:style>
  <w:style w:type="paragraph" w:styleId="1080" w:customStyle="1">
    <w:name w:val="_Style 34"/>
    <w:next w:val="931"/>
    <w:uiPriority w:val="0"/>
    <w:qFormat/>
    <w:pPr>
      <w:jc w:val="both"/>
      <w:widowControl w:val="off"/>
    </w:pPr>
    <w:rPr>
      <w:rFonts w:ascii="Times New Roman" w:hAnsi="Times New Roman" w:eastAsia="宋体" w:cs="Times New Roman"/>
      <w:sz w:val="21"/>
      <w:lang w:val="en-US" w:eastAsia="zh-CN" w:bidi="ar-SA"/>
    </w:rPr>
  </w:style>
  <w:style w:type="paragraph" w:styleId="108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2" w:customStyle="1">
    <w:name w:val="_Style 36"/>
    <w:next w:val="931"/>
    <w:uiPriority w:val="0"/>
    <w:qFormat/>
    <w:pPr>
      <w:jc w:val="both"/>
      <w:widowControl w:val="off"/>
    </w:pPr>
    <w:rPr>
      <w:rFonts w:ascii="Times New Roman" w:hAnsi="Times New Roman" w:eastAsia="宋体" w:cs="Times New Roman"/>
      <w:sz w:val="21"/>
      <w:lang w:val="en-US" w:eastAsia="zh-CN" w:bidi="ar-SA"/>
    </w:rPr>
  </w:style>
  <w:style w:type="paragraph" w:styleId="1083" w:customStyle="1">
    <w:name w:val="空半行"/>
    <w:basedOn w:val="931"/>
    <w:uiPriority w:val="0"/>
    <w:qFormat/>
    <w:pPr>
      <w:spacing w:line="120" w:lineRule="exact"/>
    </w:pPr>
    <w:rPr>
      <w:rFonts w:ascii="Calibri" w:hAnsi="Calibri" w:eastAsia="仿宋_GB2312"/>
      <w:color w:val="ffffff"/>
      <w:sz w:val="30"/>
      <w:szCs w:val="22"/>
    </w:rPr>
  </w:style>
  <w:style w:type="paragraph" w:styleId="1084" w:customStyle="1">
    <w:name w:val="1方案格式1"/>
    <w:basedOn w:val="932"/>
    <w:uiPriority w:val="0"/>
    <w:qFormat/>
    <w:pPr>
      <w:numPr>
        <w:numId w:val="2"/>
      </w:numPr>
      <w:ind w:left="0" w:firstLine="0"/>
      <w:spacing w:line="360" w:lineRule="auto"/>
      <w:tabs>
        <w:tab w:val="left" w:pos="360" w:leader="none"/>
      </w:tabs>
    </w:pPr>
    <w:rPr>
      <w:rFonts w:eastAsia="微软雅黑"/>
      <w:bCs w:val="0"/>
      <w:sz w:val="48"/>
    </w:rPr>
  </w:style>
  <w:style w:type="paragraph" w:styleId="1085" w:customStyle="1">
    <w:name w:val="格式３"/>
    <w:basedOn w:val="931"/>
    <w:uiPriority w:val="0"/>
    <w:qFormat/>
    <w:pPr>
      <w:ind w:left="600" w:hanging="600"/>
      <w:spacing w:line="420" w:lineRule="exact"/>
    </w:pPr>
    <w:rPr>
      <w:rFonts w:ascii="宋体" w:hAnsi="宋体"/>
      <w:color w:val="000000"/>
      <w:sz w:val="24"/>
      <w:szCs w:val="20"/>
    </w:rPr>
  </w:style>
  <w:style w:type="paragraph" w:styleId="1086" w:customStyle="1">
    <w:name w:val="列出段落1"/>
    <w:basedOn w:val="931"/>
    <w:uiPriority w:val="34"/>
    <w:qFormat/>
    <w:pPr>
      <w:contextualSpacing/>
      <w:ind w:left="720"/>
      <w:jc w:val="left"/>
      <w:widowControl/>
    </w:pPr>
    <w:rPr>
      <w:rFonts w:ascii="Arial" w:hAnsi="Arial" w:eastAsia="黑体"/>
      <w:sz w:val="24"/>
      <w:lang w:eastAsia="en-US"/>
    </w:rPr>
  </w:style>
  <w:style w:type="paragraph" w:styleId="1087" w:customStyle="1">
    <w:name w:val="正文空2字"/>
    <w:basedOn w:val="931"/>
    <w:uiPriority w:val="0"/>
    <w:qFormat/>
    <w:pPr>
      <w:ind w:firstLine="200"/>
      <w:spacing w:line="360" w:lineRule="auto"/>
    </w:pPr>
    <w:rPr>
      <w:sz w:val="24"/>
      <w:lang w:bidi="en-US"/>
    </w:rPr>
  </w:style>
  <w:style w:type="paragraph" w:styleId="108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89" w:customStyle="1">
    <w:name w:val="目录 5_0"/>
    <w:basedOn w:val="999"/>
    <w:next w:val="999"/>
    <w:uiPriority w:val="39"/>
    <w:qFormat/>
    <w:pPr>
      <w:ind w:left="1680"/>
    </w:pPr>
    <w:rPr>
      <w:rFonts w:ascii="Calibri" w:hAnsi="Calibri"/>
    </w:rPr>
  </w:style>
  <w:style w:type="paragraph" w:styleId="1090" w:customStyle="1">
    <w:name w:val="修订1"/>
    <w:uiPriority w:val="0"/>
    <w:qFormat/>
    <w:rPr>
      <w:rFonts w:ascii="Times New Roman" w:hAnsi="Times New Roman" w:eastAsia="宋体" w:cs="Times New Roman"/>
      <w:sz w:val="21"/>
      <w:szCs w:val="24"/>
      <w:lang w:val="en-US" w:eastAsia="zh-CN" w:bidi="ar-SA"/>
    </w:rPr>
  </w:style>
  <w:style w:type="paragraph" w:styleId="1091" w:customStyle="1">
    <w:name w:val="标题 11"/>
    <w:basedOn w:val="944"/>
    <w:next w:val="94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2" w:customStyle="1">
    <w:name w:val="正文 + 行距: 固定值 20 磅"/>
    <w:basedOn w:val="931"/>
    <w:uiPriority w:val="0"/>
    <w:qFormat/>
    <w:pPr>
      <w:ind w:firstLine="716"/>
      <w:spacing w:line="400" w:lineRule="exact"/>
    </w:pPr>
    <w:rPr>
      <w:rFonts w:ascii="Calibri" w:hAnsi="Calibri"/>
      <w:szCs w:val="22"/>
    </w:rPr>
  </w:style>
  <w:style w:type="paragraph" w:styleId="1093" w:customStyle="1">
    <w:name w:val="TOC 标题1"/>
    <w:basedOn w:val="932"/>
    <w:next w:val="93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4" w:customStyle="1">
    <w:name w:val="表格文字"/>
    <w:basedOn w:val="931"/>
    <w:link w:val="1125"/>
    <w:uiPriority w:val="0"/>
    <w:qFormat/>
    <w:pPr>
      <w:jc w:val="left"/>
      <w:spacing w:line="420" w:lineRule="atLeast"/>
    </w:pPr>
    <w:rPr>
      <w:rFonts w:ascii="Calibri" w:hAnsi="Calibri"/>
      <w:szCs w:val="22"/>
    </w:rPr>
  </w:style>
  <w:style w:type="paragraph" w:styleId="1095" w:customStyle="1">
    <w:name w:val="flNote"/>
    <w:basedOn w:val="931"/>
    <w:uiPriority w:val="0"/>
    <w:qFormat/>
    <w:pPr>
      <w:jc w:val="center"/>
      <w:spacing w:before="320" w:after="160" w:line="360" w:lineRule="atLeast"/>
    </w:pPr>
    <w:rPr>
      <w:rFonts w:ascii="Arial" w:hAnsi="Calibri" w:eastAsia="黑体"/>
      <w:sz w:val="30"/>
      <w:szCs w:val="22"/>
    </w:rPr>
  </w:style>
  <w:style w:type="paragraph" w:styleId="1096" w:customStyle="1">
    <w:name w:val="文章正文"/>
    <w:basedOn w:val="931"/>
    <w:uiPriority w:val="99"/>
    <w:qFormat/>
    <w:pPr>
      <w:ind w:firstLine="480"/>
      <w:spacing w:line="360" w:lineRule="auto"/>
    </w:pPr>
    <w:rPr>
      <w:rFonts w:ascii="仿宋_GB2312" w:hAnsi="宋体" w:eastAsia="仿宋_GB2312"/>
      <w:color w:val="ff0000"/>
      <w:sz w:val="24"/>
    </w:rPr>
  </w:style>
  <w:style w:type="paragraph" w:styleId="1097" w:customStyle="1">
    <w:name w:val="表格"/>
    <w:basedOn w:val="931"/>
    <w:uiPriority w:val="0"/>
    <w:qFormat/>
    <w:pPr>
      <w:jc w:val="center"/>
    </w:pPr>
    <w:rPr>
      <w:rFonts w:ascii="华文细黑" w:hAnsi="华文细黑"/>
      <w:szCs w:val="22"/>
    </w:rPr>
  </w:style>
  <w:style w:type="paragraph" w:styleId="1098" w:customStyle="1">
    <w:name w:val="Char"/>
    <w:basedOn w:val="931"/>
    <w:uiPriority w:val="0"/>
    <w:qFormat/>
    <w:pPr>
      <w:jc w:val="left"/>
      <w:spacing w:after="160" w:line="240" w:lineRule="exact"/>
      <w:widowControl/>
    </w:pPr>
    <w:rPr>
      <w:rFonts w:ascii="Verdana" w:hAnsi="Verdana"/>
      <w:sz w:val="20"/>
      <w:szCs w:val="20"/>
      <w:lang w:eastAsia="en-US"/>
    </w:rPr>
  </w:style>
  <w:style w:type="paragraph" w:styleId="10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0" w:customStyle="1">
    <w:name w:val="列出段落2"/>
    <w:basedOn w:val="931"/>
    <w:uiPriority w:val="99"/>
    <w:qFormat/>
    <w:pPr>
      <w:ind w:firstLine="420"/>
    </w:pPr>
  </w:style>
  <w:style w:type="paragraph" w:styleId="1101" w:customStyle="1">
    <w:name w:val="6'"/>
    <w:basedOn w:val="931"/>
    <w:uiPriority w:val="0"/>
    <w:qFormat/>
    <w:pPr>
      <w:jc w:val="center"/>
      <w:spacing w:line="320" w:lineRule="exact"/>
    </w:pPr>
    <w:rPr>
      <w:rFonts w:ascii="Calibri" w:hAnsi="Calibri"/>
      <w:spacing w:val="20"/>
      <w:szCs w:val="22"/>
    </w:rPr>
  </w:style>
  <w:style w:type="paragraph" w:styleId="1102" w:customStyle="1">
    <w:name w:val="Char Char Char Char Char Char Char"/>
    <w:basedOn w:val="931"/>
    <w:uiPriority w:val="0"/>
    <w:qFormat/>
    <w:pPr>
      <w:spacing w:line="360" w:lineRule="auto"/>
    </w:pPr>
    <w:rPr>
      <w:sz w:val="24"/>
      <w:szCs w:val="20"/>
    </w:rPr>
  </w:style>
  <w:style w:type="paragraph" w:styleId="1103" w:customStyle="1">
    <w:name w:val="2方案格式2"/>
    <w:basedOn w:val="1084"/>
    <w:uiPriority w:val="0"/>
    <w:qFormat/>
    <w:pPr>
      <w:numPr>
        <w:ilvl w:val="1"/>
      </w:numPr>
      <w:spacing w:before="50" w:after="50" w:line="240" w:lineRule="auto"/>
      <w:outlineLvl w:val="1"/>
    </w:pPr>
    <w:rPr>
      <w:sz w:val="44"/>
    </w:rPr>
  </w:style>
  <w:style w:type="paragraph" w:styleId="110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文档正文"/>
    <w:basedOn w:val="931"/>
    <w:uiPriority w:val="0"/>
    <w:qFormat/>
    <w:pPr>
      <w:ind w:firstLine="567"/>
      <w:spacing w:line="480" w:lineRule="atLeast"/>
    </w:pPr>
    <w:rPr>
      <w:rFonts w:ascii="Ari" w:eastAsia="Ari"/>
      <w:sz w:val="28"/>
      <w:szCs w:val="20"/>
    </w:rPr>
  </w:style>
  <w:style w:type="paragraph" w:styleId="1106" w:customStyle="1">
    <w:name w:val="txt"/>
    <w:basedOn w:val="931"/>
    <w:uiPriority w:val="0"/>
    <w:qFormat/>
    <w:pPr>
      <w:jc w:val="left"/>
      <w:spacing w:before="100" w:beforeAutospacing="1" w:after="100" w:afterAutospacing="1"/>
      <w:widowControl/>
    </w:pPr>
    <w:rPr>
      <w:rFonts w:ascii="宋体" w:hAnsi="宋体" w:cs="宋体"/>
      <w:sz w:val="24"/>
    </w:rPr>
  </w:style>
  <w:style w:type="paragraph" w:styleId="1107" w:customStyle="1">
    <w:name w:val="目录 4_0"/>
    <w:basedOn w:val="999"/>
    <w:next w:val="999"/>
    <w:uiPriority w:val="39"/>
    <w:qFormat/>
    <w:pPr>
      <w:ind w:left="1260"/>
    </w:pPr>
    <w:rPr>
      <w:rFonts w:ascii="Calibri" w:hAnsi="Calibri"/>
    </w:rPr>
  </w:style>
  <w:style w:type="paragraph" w:styleId="1108" w:customStyle="1">
    <w:name w:val="目录 3_0"/>
    <w:basedOn w:val="999"/>
    <w:next w:val="999"/>
    <w:uiPriority w:val="39"/>
    <w:qFormat/>
    <w:pPr>
      <w:ind w:left="840"/>
    </w:pPr>
    <w:rPr>
      <w:rFonts w:ascii="Calibri" w:hAnsi="Calibri"/>
    </w:rPr>
  </w:style>
  <w:style w:type="paragraph" w:styleId="1109" w:customStyle="1">
    <w:name w:val="样式 标题 1 + 黑体 三号 非加粗 居中 段前: 6 磅 段后: 6 磅 行距: 固定值 20 磅"/>
    <w:basedOn w:val="932"/>
    <w:uiPriority w:val="0"/>
    <w:qFormat/>
    <w:pPr>
      <w:numPr>
        <w:numId w:val="0"/>
      </w:numPr>
      <w:spacing w:before="120" w:after="120" w:line="400" w:lineRule="exact"/>
    </w:pPr>
    <w:rPr>
      <w:rFonts w:ascii="黑体" w:hAnsi="黑体" w:eastAsia="黑体"/>
      <w:b w:val="0"/>
      <w:bCs w:val="0"/>
      <w:szCs w:val="20"/>
    </w:rPr>
  </w:style>
  <w:style w:type="paragraph" w:styleId="1110" w:customStyle="1">
    <w:name w:val="1"/>
    <w:basedOn w:val="931"/>
    <w:next w:val="931"/>
    <w:uiPriority w:val="0"/>
    <w:qFormat/>
    <w:rPr>
      <w:rFonts w:ascii="Calibri" w:hAnsi="Calibri"/>
      <w:szCs w:val="22"/>
    </w:rPr>
  </w:style>
  <w:style w:type="paragraph" w:styleId="1111" w:customStyle="1">
    <w:name w:val="Blockquote_0"/>
    <w:basedOn w:val="999"/>
    <w:uiPriority w:val="0"/>
    <w:qFormat/>
    <w:pPr>
      <w:ind w:left="360" w:right="360"/>
      <w:jc w:val="left"/>
      <w:spacing w:before="100" w:after="100"/>
    </w:pPr>
    <w:rPr>
      <w:rFonts w:ascii="Calibri" w:hAnsi="Calibri" w:eastAsia="Times New Roman"/>
      <w:sz w:val="24"/>
      <w:szCs w:val="20"/>
    </w:rPr>
  </w:style>
  <w:style w:type="paragraph" w:styleId="1112" w:customStyle="1">
    <w:name w:val="列出段落11"/>
    <w:basedOn w:val="931"/>
    <w:uiPriority w:val="0"/>
    <w:qFormat/>
    <w:pPr>
      <w:contextualSpacing/>
      <w:ind w:left="720"/>
      <w:jc w:val="left"/>
      <w:widowControl/>
    </w:pPr>
    <w:rPr>
      <w:rFonts w:ascii="Arial" w:hAnsi="Arial" w:eastAsia="黑体"/>
      <w:sz w:val="24"/>
      <w:lang w:eastAsia="en-US"/>
    </w:rPr>
  </w:style>
  <w:style w:type="paragraph" w:styleId="1113" w:customStyle="1">
    <w:name w:val="样式 标题 2 + Times New Roman 四号 非加粗 段前: 5 磅 段后: 0 磅 行距: 固定值 20..._0"/>
    <w:basedOn w:val="931"/>
    <w:uiPriority w:val="0"/>
    <w:qFormat/>
    <w:pPr>
      <w:keepLines/>
      <w:keepNext/>
      <w:spacing w:before="100" w:line="360" w:lineRule="auto"/>
      <w:outlineLvl w:val="1"/>
    </w:pPr>
    <w:rPr>
      <w:rFonts w:eastAsia="Times New Roman" w:cs="宋体"/>
      <w:sz w:val="28"/>
      <w:szCs w:val="20"/>
    </w:rPr>
  </w:style>
  <w:style w:type="paragraph" w:styleId="1114" w:customStyle="1">
    <w:name w:val="op_mapdots_left"/>
    <w:basedOn w:val="931"/>
    <w:uiPriority w:val="0"/>
    <w:qFormat/>
    <w:pPr>
      <w:jc w:val="left"/>
      <w:spacing w:before="100" w:beforeAutospacing="1" w:after="100" w:afterAutospacing="1"/>
      <w:widowControl/>
    </w:pPr>
    <w:rPr>
      <w:rFonts w:ascii="宋体" w:hAnsi="宋体" w:cs="宋体"/>
      <w:sz w:val="24"/>
    </w:rPr>
  </w:style>
  <w:style w:type="paragraph" w:styleId="1115" w:customStyle="1">
    <w:name w:val="p0"/>
    <w:basedOn w:val="931"/>
    <w:uiPriority w:val="0"/>
    <w:qFormat/>
    <w:pPr>
      <w:widowControl/>
    </w:pPr>
    <w:rPr>
      <w:b/>
      <w:bCs/>
      <w:sz w:val="24"/>
    </w:rPr>
  </w:style>
  <w:style w:type="paragraph" w:styleId="1116" w:customStyle="1">
    <w:name w:val="Blockquote"/>
    <w:basedOn w:val="931"/>
    <w:uiPriority w:val="0"/>
    <w:qFormat/>
    <w:pPr>
      <w:ind w:left="360" w:right="360"/>
      <w:jc w:val="left"/>
      <w:spacing w:before="100" w:after="100"/>
    </w:pPr>
    <w:rPr>
      <w:rFonts w:ascii="Calibri" w:hAnsi="Calibri"/>
      <w:sz w:val="24"/>
      <w:szCs w:val="22"/>
    </w:rPr>
  </w:style>
  <w:style w:type="paragraph" w:styleId="1117" w:customStyle="1">
    <w:name w:val="3方案格式3"/>
    <w:basedOn w:val="1103"/>
    <w:uiPriority w:val="0"/>
    <w:qFormat/>
    <w:pPr>
      <w:numPr>
        <w:ilvl w:val="2"/>
      </w:numPr>
      <w:outlineLvl w:val="2"/>
    </w:pPr>
    <w:rPr>
      <w:sz w:val="32"/>
    </w:rPr>
  </w:style>
  <w:style w:type="paragraph" w:styleId="1118" w:customStyle="1">
    <w:name w:val="样式 标题 2 + Times New Roman 四号 非加粗 段前: 5 磅 段后: 0 磅 行距: 固定值 20..."/>
    <w:basedOn w:val="93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19" w:customStyle="1">
    <w:name w:val="标题2"/>
    <w:basedOn w:val="933"/>
    <w:next w:val="952"/>
    <w:uiPriority w:val="0"/>
    <w:qFormat/>
    <w:pPr>
      <w:spacing w:before="156" w:after="156" w:line="360" w:lineRule="auto"/>
    </w:pPr>
    <w:rPr>
      <w:bCs w:val="0"/>
      <w:sz w:val="24"/>
    </w:rPr>
  </w:style>
  <w:style w:type="paragraph" w:styleId="1120" w:customStyle="1">
    <w:name w:val="普通正文"/>
    <w:basedOn w:val="931"/>
    <w:uiPriority w:val="0"/>
    <w:qFormat/>
    <w:pPr>
      <w:ind w:firstLine="480"/>
      <w:jc w:val="left"/>
      <w:spacing w:before="120" w:after="120" w:line="360" w:lineRule="auto"/>
    </w:pPr>
    <w:rPr>
      <w:rFonts w:ascii="Arial" w:hAnsi="Arial"/>
      <w:sz w:val="24"/>
    </w:rPr>
  </w:style>
  <w:style w:type="paragraph" w:styleId="1121" w:customStyle="1">
    <w:name w:val="正文11"/>
    <w:uiPriority w:val="0"/>
    <w:qFormat/>
    <w:rPr>
      <w:rFonts w:ascii="Calibri" w:hAnsi="Calibri" w:eastAsia="宋体" w:cs="Calibri"/>
      <w:sz w:val="24"/>
      <w:szCs w:val="24"/>
      <w:lang w:val="en-US" w:eastAsia="zh-CN" w:bidi="ar-SA"/>
    </w:rPr>
  </w:style>
  <w:style w:type="paragraph" w:styleId="1122" w:customStyle="1">
    <w:name w:val="正文2"/>
    <w:uiPriority w:val="0"/>
    <w:qFormat/>
    <w:rPr>
      <w:rFonts w:ascii="Times New Roman" w:hAnsi="Times New Roman" w:eastAsia="微软雅黑" w:cs="Times New Roman"/>
      <w:sz w:val="24"/>
      <w:szCs w:val="24"/>
      <w:lang w:val="en-US" w:eastAsia="zh-CN" w:bidi="ar-SA"/>
    </w:rPr>
  </w:style>
  <w:style w:type="paragraph" w:styleId="1123" w:customStyle="1">
    <w:name w:val="列出段落3"/>
    <w:basedOn w:val="931"/>
    <w:uiPriority w:val="34"/>
    <w:qFormat/>
    <w:pPr>
      <w:ind w:firstLine="420"/>
      <w:jc w:val="left"/>
      <w:spacing w:after="200"/>
      <w:widowControl/>
    </w:pPr>
    <w:rPr>
      <w:rFonts w:ascii="Tahoma" w:hAnsi="Tahoma" w:eastAsia="微软雅黑"/>
      <w:sz w:val="22"/>
      <w:szCs w:val="22"/>
    </w:rPr>
  </w:style>
  <w:style w:type="paragraph" w:styleId="1124" w:customStyle="1">
    <w:name w:val="纯文本2"/>
    <w:basedOn w:val="931"/>
    <w:uiPriority w:val="0"/>
    <w:qFormat/>
    <w:pPr>
      <w:jc w:val="left"/>
    </w:pPr>
    <w:rPr>
      <w:rFonts w:hint="eastAsia" w:ascii="宋体" w:hAnsi="宋体" w:cs="Courier New"/>
      <w:sz w:val="24"/>
      <w:szCs w:val="20"/>
      <w:lang w:bidi="hi-IN"/>
    </w:rPr>
  </w:style>
  <w:style w:type="character" w:styleId="1125" w:customStyle="1">
    <w:name w:val="表格文字 字符"/>
    <w:link w:val="1094"/>
    <w:uiPriority w:val="0"/>
    <w:qFormat/>
    <w:rPr>
      <w:rFonts w:ascii="Calibri" w:hAnsi="Calibri" w:eastAsia="宋体" w:cs="Times New Roman"/>
      <w:sz w:val="21"/>
      <w:szCs w:val="22"/>
    </w:rPr>
  </w:style>
  <w:style w:type="paragraph" w:styleId="1126" w:customStyle="1">
    <w:name w:val="trs_editor"/>
    <w:basedOn w:val="931"/>
    <w:uiPriority w:val="0"/>
    <w:qFormat/>
    <w:pPr>
      <w:jc w:val="left"/>
      <w:spacing w:before="100" w:beforeAutospacing="1" w:after="100" w:afterAutospacing="1"/>
      <w:widowControl/>
    </w:pPr>
    <w:rPr>
      <w:rFonts w:ascii="宋体" w:hAnsi="宋体" w:cs="宋体"/>
      <w:sz w:val="24"/>
    </w:rPr>
  </w:style>
  <w:style w:type="paragraph" w:styleId="1127" w:customStyle="1">
    <w:name w:val="标题二级"/>
    <w:basedOn w:val="931"/>
    <w:uiPriority w:val="0"/>
    <w:qFormat/>
    <w:pPr>
      <w:ind w:firstLine="412"/>
    </w:pPr>
    <w:rPr>
      <w:rFonts w:ascii="宋体" w:hAnsi="宋体"/>
      <w:szCs w:val="21"/>
    </w:rPr>
  </w:style>
  <w:style w:type="paragraph" w:styleId="112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2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0" w:customStyle="1">
    <w:name w:val="无"/>
    <w:uiPriority w:val="0"/>
    <w:qFormat/>
  </w:style>
  <w:style w:type="paragraph" w:styleId="1131" w:customStyle="1">
    <w:name w:val="Heading #2|1"/>
    <w:basedOn w:val="93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2" w:customStyle="1">
    <w:name w:val="Body text|1"/>
    <w:basedOn w:val="931"/>
    <w:uiPriority w:val="0"/>
    <w:qFormat/>
    <w:pPr>
      <w:ind w:firstLine="400"/>
      <w:spacing w:line="401" w:lineRule="auto"/>
    </w:pPr>
    <w:rPr>
      <w:rFonts w:ascii="宋体" w:hAnsi="宋体" w:cs="宋体"/>
      <w:sz w:val="30"/>
      <w:szCs w:val="30"/>
      <w:lang w:val="zh-TW" w:eastAsia="zh-TW" w:bidi="zh-TW"/>
    </w:rPr>
  </w:style>
  <w:style w:type="paragraph" w:styleId="1133" w:customStyle="1">
    <w:name w:val="_Style 1931"/>
    <w:basedOn w:val="931"/>
    <w:next w:val="989"/>
    <w:uiPriority w:val="34"/>
    <w:qFormat/>
    <w:pPr>
      <w:ind w:firstLine="420"/>
    </w:pPr>
  </w:style>
  <w:style w:type="paragraph" w:styleId="1134" w:customStyle="1">
    <w:name w:val="段落"/>
    <w:basedOn w:val="931"/>
    <w:uiPriority w:val="0"/>
    <w:qFormat/>
    <w:pPr>
      <w:ind w:firstLine="480"/>
      <w:spacing w:line="460" w:lineRule="exact"/>
    </w:pPr>
    <w:rPr>
      <w:rFonts w:ascii="Calibri" w:hAnsi="Calibri"/>
      <w:sz w:val="24"/>
      <w:szCs w:val="20"/>
    </w:rPr>
  </w:style>
  <w:style w:type="paragraph" w:styleId="1135" w:customStyle="1">
    <w:name w:val="首行缩进"/>
    <w:basedOn w:val="931"/>
    <w:uiPriority w:val="0"/>
    <w:qFormat/>
    <w:pPr>
      <w:ind w:firstLine="480"/>
      <w:spacing w:line="360" w:lineRule="auto"/>
    </w:pPr>
    <w:rPr>
      <w:rFonts w:ascii="宋体" w:hAnsi="宋体" w:cs="宋体"/>
      <w:sz w:val="24"/>
    </w:rPr>
  </w:style>
  <w:style w:type="paragraph" w:styleId="1136" w:customStyle="1">
    <w:name w:val="列出段落4"/>
    <w:basedOn w:val="931"/>
    <w:uiPriority w:val="99"/>
    <w:unhideWhenUsed/>
    <w:qFormat/>
    <w:pPr>
      <w:ind w:firstLine="420"/>
      <w:spacing w:line="360" w:lineRule="auto"/>
    </w:pPr>
    <w:rPr>
      <w:rFonts w:ascii="Calibri" w:hAnsi="Calibri" w:eastAsia="仿宋_GB2312"/>
      <w:sz w:val="32"/>
      <w:szCs w:val="22"/>
    </w:rPr>
  </w:style>
  <w:style w:type="paragraph" w:styleId="113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38" w:customStyle="1">
    <w:name w:val="正文 A"/>
    <w:next w:val="952"/>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3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正文"/>
    <w:basedOn w:val="931"/>
    <w:uiPriority w:val="0"/>
    <w:qFormat/>
    <w:pPr>
      <w:spacing w:line="360" w:lineRule="auto"/>
      <w:widowControl/>
    </w:pPr>
    <w:rPr>
      <w:rFonts w:ascii="仿宋_GB2312" w:eastAsia="仿宋_GB2312"/>
      <w:sz w:val="24"/>
      <w:szCs w:val="28"/>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form-textarea-print1"/>
    <w:uiPriority w:val="0"/>
    <w:qFormat/>
    <w:rPr>
      <w:rFonts w:hint="default" w:ascii="微软雅黑" w:hAnsi="微软雅黑" w:eastAsia="宋体" w:cs="Times New Roman"/>
      <w:sz w:val="18"/>
      <w:szCs w:val="18"/>
    </w:rPr>
  </w:style>
  <w:style w:type="character" w:styleId="1143" w:customStyle="1">
    <w:name w:val="cke_colorbox"/>
    <w:basedOn w:val="941"/>
    <w:uiPriority w:val="0"/>
    <w:qFormat/>
  </w:style>
  <w:style w:type="character" w:styleId="1144" w:customStyle="1">
    <w:name w:val="cke_colorbox1"/>
    <w:basedOn w:val="941"/>
    <w:uiPriority w:val="0"/>
    <w:qFormat/>
  </w:style>
  <w:style w:type="character" w:styleId="1145" w:customStyle="1">
    <w:name w:val="pwdtips_alert"/>
    <w:basedOn w:val="941"/>
    <w:uiPriority w:val="0"/>
    <w:qFormat/>
    <w:rPr>
      <w:shd w:val="clear" w:color="auto" w:fill="ffeaa6"/>
    </w:rPr>
  </w:style>
  <w:style w:type="character" w:styleId="1146" w:customStyle="1">
    <w:name w:val="l-btn-left"/>
    <w:basedOn w:val="941"/>
    <w:uiPriority w:val="0"/>
    <w:qFormat/>
  </w:style>
  <w:style w:type="character" w:styleId="1147" w:customStyle="1">
    <w:name w:val="l-btn-left1"/>
    <w:basedOn w:val="941"/>
    <w:uiPriority w:val="0"/>
    <w:qFormat/>
  </w:style>
  <w:style w:type="character" w:styleId="1148" w:customStyle="1">
    <w:name w:val="l-btn-left2"/>
    <w:basedOn w:val="941"/>
    <w:uiPriority w:val="0"/>
    <w:qFormat/>
  </w:style>
  <w:style w:type="character" w:styleId="1149" w:customStyle="1">
    <w:name w:val="l-btn-left3"/>
    <w:basedOn w:val="941"/>
    <w:uiPriority w:val="0"/>
    <w:qFormat/>
  </w:style>
  <w:style w:type="character" w:styleId="1150" w:customStyle="1">
    <w:name w:val="combo2"/>
    <w:basedOn w:val="941"/>
    <w:uiPriority w:val="0"/>
    <w:qFormat/>
  </w:style>
  <w:style w:type="character" w:styleId="1151" w:customStyle="1">
    <w:name w:val="l-btn-empty"/>
    <w:basedOn w:val="941"/>
    <w:uiPriority w:val="0"/>
    <w:qFormat/>
  </w:style>
  <w:style w:type="character" w:styleId="1152" w:customStyle="1">
    <w:name w:val="red"/>
    <w:basedOn w:val="941"/>
    <w:uiPriority w:val="0"/>
    <w:qFormat/>
    <w:rPr>
      <w:color w:val="ff0000"/>
    </w:rPr>
  </w:style>
  <w:style w:type="character" w:styleId="1153" w:customStyle="1">
    <w:name w:val="l-btn-text"/>
    <w:basedOn w:val="941"/>
    <w:uiPriority w:val="0"/>
    <w:qFormat/>
    <w:rPr>
      <w:color w:val="1864ac"/>
      <w:sz w:val="14"/>
      <w:szCs w:val="14"/>
    </w:rPr>
  </w:style>
  <w:style w:type="character" w:styleId="1154" w:customStyle="1">
    <w:name w:val="l-btn-text1"/>
    <w:basedOn w:val="941"/>
    <w:uiPriority w:val="0"/>
    <w:qFormat/>
  </w:style>
  <w:style w:type="character" w:styleId="1155" w:customStyle="1">
    <w:name w:val="green"/>
    <w:basedOn w:val="941"/>
    <w:uiPriority w:val="0"/>
    <w:qFormat/>
    <w:rPr>
      <w:color w:val="00a521"/>
    </w:rPr>
  </w:style>
  <w:style w:type="character" w:styleId="1156" w:customStyle="1">
    <w:name w:val="valueinfo"/>
    <w:basedOn w:val="941"/>
    <w:uiPriority w:val="0"/>
    <w:qFormat/>
    <w:rPr>
      <w:color w:val="666666"/>
    </w:rPr>
  </w:style>
  <w:style w:type="character" w:styleId="1157" w:customStyle="1">
    <w:name w:val="tree-file2"/>
    <w:basedOn w:val="941"/>
    <w:uiPriority w:val="0"/>
    <w:qFormat/>
  </w:style>
  <w:style w:type="character" w:styleId="1158" w:customStyle="1">
    <w:name w:val="vainfo"/>
    <w:basedOn w:val="941"/>
    <w:uiPriority w:val="0"/>
    <w:qFormat/>
    <w:rPr>
      <w:color w:val="ff0000"/>
      <w:shd w:val="clear" w:color="auto" w:fill="ffe4e4"/>
    </w:rPr>
  </w:style>
  <w:style w:type="character" w:styleId="1159" w:customStyle="1">
    <w:name w:val="pwdtips_ok"/>
    <w:basedOn w:val="941"/>
    <w:uiPriority w:val="0"/>
    <w:qFormat/>
    <w:rPr>
      <w:shd w:val="clear" w:color="auto" w:fill="b4ffa6"/>
    </w:rPr>
  </w:style>
  <w:style w:type="character" w:styleId="1160" w:customStyle="1">
    <w:name w:val="pwdtips_error"/>
    <w:basedOn w:val="941"/>
    <w:uiPriority w:val="0"/>
    <w:qFormat/>
    <w:rPr>
      <w:shd w:val="clear" w:color="auto" w:fill="ffa6a6"/>
    </w:rPr>
  </w:style>
  <w:style w:type="character" w:styleId="1161" w:customStyle="1">
    <w:name w:val="tree-title4"/>
    <w:basedOn w:val="941"/>
    <w:uiPriority w:val="0"/>
    <w:qFormat/>
    <w:rPr>
      <w:color w:val="1864ac"/>
    </w:rPr>
  </w:style>
  <w:style w:type="character" w:styleId="1162" w:customStyle="1">
    <w:name w:val="tree-title5"/>
    <w:basedOn w:val="941"/>
    <w:uiPriority w:val="0"/>
    <w:qFormat/>
    <w:rPr>
      <w:color w:val="ffffff"/>
      <w:shd w:val="clear" w:color="auto" w:fill="3366cc"/>
    </w:rPr>
  </w:style>
  <w:style w:type="character" w:styleId="1163" w:customStyle="1">
    <w:name w:val="info"/>
    <w:basedOn w:val="941"/>
    <w:uiPriority w:val="0"/>
    <w:qFormat/>
  </w:style>
  <w:style w:type="character" w:styleId="1164" w:customStyle="1">
    <w:name w:val="topic"/>
    <w:basedOn w:val="941"/>
    <w:uiPriority w:val="0"/>
    <w:qFormat/>
    <w:rPr>
      <w:color w:val="ff0000"/>
    </w:rPr>
  </w:style>
  <w:style w:type="paragraph" w:styleId="1165" w:customStyle="1">
    <w:name w:val="_Style 213"/>
    <w:basedOn w:val="931"/>
    <w:next w:val="989"/>
    <w:uiPriority w:val="34"/>
    <w:qFormat/>
    <w:pPr>
      <w:ind w:firstLine="420"/>
      <w:jc w:val="left"/>
      <w:spacing w:line="360" w:lineRule="atLeast"/>
    </w:pPr>
    <w:rPr>
      <w:rFonts w:ascii="Arial" w:hAnsi="Arial"/>
      <w:sz w:val="24"/>
    </w:rPr>
  </w:style>
  <w:style w:type="paragraph" w:styleId="116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6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68" w:customStyle="1">
    <w:name w:val="NormalCharacter"/>
    <w:uiPriority w:val="0"/>
    <w:semiHidden/>
    <w:qFormat/>
    <w:rPr>
      <w:rFonts w:ascii="Calibri" w:hAnsi="Calibri" w:eastAsia="宋体"/>
      <w:sz w:val="21"/>
      <w:szCs w:val="24"/>
      <w:lang w:val="en-US" w:eastAsia="zh-CN" w:bidi="ar-SA"/>
    </w:rPr>
  </w:style>
  <w:style w:type="paragraph" w:styleId="116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0" w:customStyle="1">
    <w:name w:val="列表段落2"/>
    <w:basedOn w:val="931"/>
    <w:uiPriority w:val="0"/>
    <w:qFormat/>
    <w:pPr>
      <w:ind w:firstLine="420"/>
    </w:pPr>
    <w:rPr>
      <w:szCs w:val="21"/>
    </w:rPr>
  </w:style>
  <w:style w:type="paragraph" w:styleId="1171" w:customStyle="1">
    <w:name w:val="正文_9_0"/>
    <w:basedOn w:val="931"/>
    <w:uiPriority w:val="0"/>
    <w:qFormat/>
    <w:rPr>
      <w:szCs w:val="21"/>
    </w:rPr>
  </w:style>
  <w:style w:type="paragraph" w:styleId="1172" w:customStyle="1">
    <w:name w:val="p15"/>
    <w:basedOn w:val="931"/>
    <w:uiPriority w:val="0"/>
    <w:qFormat/>
    <w:pPr>
      <w:jc w:val="left"/>
      <w:widowControl/>
    </w:pPr>
    <w:rPr>
      <w:rFonts w:ascii="黑体" w:hAnsi="黑体" w:eastAsia="黑体" w:cs="宋体"/>
      <w:color w:val="000000"/>
      <w:sz w:val="24"/>
    </w:rPr>
  </w:style>
  <w:style w:type="paragraph" w:styleId="1173" w:customStyle="1">
    <w:name w:val="Table Text"/>
    <w:basedOn w:val="931"/>
    <w:uiPriority w:val="0"/>
    <w:semiHidden/>
    <w:qFormat/>
    <w:rPr>
      <w:rFonts w:ascii="宋体" w:hAnsi="宋体" w:cs="宋体"/>
      <w:szCs w:val="21"/>
      <w:lang w:eastAsia="en-US"/>
    </w:rPr>
  </w:style>
  <w:style w:type="paragraph" w:styleId="1174" w:customStyle="1">
    <w:name w:val="TOC 71"/>
    <w:next w:val="931"/>
    <w:uiPriority w:val="0"/>
    <w:qFormat/>
    <w:pPr>
      <w:ind w:left="2550"/>
      <w:jc w:val="both"/>
    </w:pPr>
    <w:rPr>
      <w:rFonts w:ascii="Times New Roman" w:hAnsi="Times New Roman" w:eastAsia="宋体" w:cs="Times New Roman"/>
      <w:sz w:val="21"/>
      <w:szCs w:val="22"/>
      <w:lang w:val="en-US" w:eastAsia="zh-CN" w:bidi="ar-SA"/>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A39687-5327-4196-BE47-88221D6A48C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10</cp:revision>
  <dcterms:created xsi:type="dcterms:W3CDTF">2024-09-05T01:13:00Z</dcterms:created>
  <dcterms:modified xsi:type="dcterms:W3CDTF">2024-10-23T07:00:16Z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9AA2D2051A2842038DC4637A02FF5845_13</vt:lpwstr>
  </property>
</Properties>
</file>