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firstLine="0"/>
        <w:rPr>
          <w:rFonts w:hint="eastAsia" w:ascii="Times New Roman" w:hAnsi="Times New Roman" w:eastAsia="黑体"/>
          <w:b/>
          <w:bCs/>
          <w:sz w:val="84"/>
        </w:rPr>
      </w:pPr>
      <w:r>
        <w:rPr>
          <w:rFonts w:hint="eastAsia" w:ascii="Times New Roman" w:hAnsi="Times New Roman" w:eastAsia="黑体"/>
          <w:b/>
          <w:bCs/>
          <w:sz w:val="84"/>
        </w:rPr>
      </w:r>
      <w:r/>
    </w:p>
    <w:p>
      <w:pPr>
        <w:pStyle w:val="783"/>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rPr>
          <w:rFonts w:hint="eastAsia" w:ascii="Times New Roman" w:hAnsi="Times New Roman" w:eastAsia="黑体"/>
          <w:b/>
          <w:bCs/>
          <w:sz w:val="84"/>
        </w:rPr>
      </w:r>
      <w:r/>
    </w:p>
    <w:p>
      <w:pPr>
        <w:pStyle w:val="783"/>
        <w:ind w:firstLine="0"/>
        <w:jc w:val="center"/>
        <w:rPr>
          <w:rFonts w:hint="eastAsia" w:ascii="Times New Roman" w:hAnsi="Times New Roman" w:eastAsia="黑体"/>
          <w:b/>
          <w:bCs/>
          <w:sz w:val="84"/>
        </w:rPr>
      </w:pPr>
      <w:r>
        <w:rPr>
          <w:rFonts w:hint="eastAsia" w:ascii="Times New Roman" w:hAnsi="Times New Roman" w:eastAsia="黑体"/>
          <w:b/>
          <w:bCs/>
          <w:sz w:val="84"/>
        </w:rPr>
      </w:r>
      <w:r/>
    </w:p>
    <w:p>
      <w:pPr>
        <w:pStyle w:val="783"/>
        <w:ind w:firstLine="0"/>
        <w:jc w:val="center"/>
        <w:rPr>
          <w:rFonts w:hint="eastAsia" w:ascii="Times New Roman" w:hAnsi="Times New Roman" w:eastAsia="黑体"/>
          <w:b/>
          <w:bCs/>
          <w:sz w:val="84"/>
        </w:rPr>
      </w:pPr>
      <w:r>
        <w:rPr>
          <w:rFonts w:hint="eastAsia" w:ascii="Times New Roman" w:hAnsi="Times New Roman" w:eastAsia="黑体"/>
          <w:b/>
          <w:bCs/>
          <w:sz w:val="84"/>
        </w:rPr>
      </w:r>
      <w:r/>
    </w:p>
    <w:p>
      <w:pPr>
        <w:pStyle w:val="783"/>
        <w:ind w:firstLine="1285"/>
        <w:rPr>
          <w:rFonts w:hint="eastAsia" w:ascii="Times New Roman" w:hAnsi="Times New Roman"/>
          <w:b/>
          <w:bCs/>
          <w:sz w:val="32"/>
        </w:rPr>
      </w:pPr>
      <w:r>
        <w:rPr>
          <w:rFonts w:hint="eastAsia" w:ascii="Times New Roman" w:hAnsi="Times New Roman"/>
          <w:b/>
          <w:bCs/>
          <w:sz w:val="32"/>
        </w:rPr>
        <w:t xml:space="preserve">项目名称：沭阳县陇集镇污水处理厂提质提标项目</w:t>
      </w:r>
      <w:r>
        <w:rPr>
          <w:rFonts w:hint="eastAsia" w:ascii="Times New Roman" w:hAnsi="Times New Roman"/>
          <w:b/>
          <w:bCs/>
          <w:sz w:val="32"/>
        </w:rPr>
      </w:r>
      <w:r/>
    </w:p>
    <w:p>
      <w:pPr>
        <w:pStyle w:val="674"/>
        <w:ind w:firstLine="1285"/>
        <w:rPr>
          <w:b/>
          <w:sz w:val="30"/>
          <w:szCs w:val="30"/>
        </w:rPr>
      </w:pPr>
      <w:r>
        <w:rPr>
          <w:rFonts w:hint="eastAsia"/>
          <w:b/>
          <w:bCs/>
          <w:sz w:val="32"/>
        </w:rPr>
        <w:t xml:space="preserve">项目编号：JSZC-321322-ZZHS-G2024-0001</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674"/>
        <w:ind w:firstLine="2108"/>
        <w:rPr>
          <w:rFonts w:hint="eastAsia"/>
          <w:b/>
          <w:sz w:val="30"/>
          <w:szCs w:val="30"/>
        </w:rPr>
      </w:pPr>
      <w:r>
        <w:rPr>
          <w:rFonts w:hint="eastAsia"/>
          <w:b/>
          <w:sz w:val="30"/>
          <w:szCs w:val="30"/>
        </w:rPr>
        <w:t xml:space="preserve">（服务类项目</w:t>
      </w:r>
      <w:r>
        <w:rPr>
          <w:b/>
          <w:sz w:val="30"/>
          <w:szCs w:val="30"/>
        </w:rPr>
        <w:t xml:space="preserve">，</w:t>
      </w:r>
      <w:r>
        <w:rPr>
          <w:rFonts w:hint="eastAsia"/>
          <w:b/>
          <w:sz w:val="30"/>
          <w:szCs w:val="30"/>
          <w:u w:val="single"/>
        </w:rPr>
        <w:t xml:space="preserve">不专门</w:t>
      </w:r>
      <w:r>
        <w:rPr>
          <w:rFonts w:hint="eastAsia"/>
          <w:b/>
          <w:sz w:val="30"/>
          <w:szCs w:val="30"/>
        </w:rPr>
        <w:t xml:space="preserve">面向中小企业）</w:t>
      </w:r>
      <w:r>
        <w:rPr>
          <w:rFonts w:hint="eastAsia"/>
          <w:b/>
          <w:sz w:val="30"/>
          <w:szCs w:val="30"/>
        </w:rPr>
      </w:r>
      <w:r/>
    </w:p>
    <w:p>
      <w:pPr>
        <w:pStyle w:val="783"/>
        <w:ind w:firstLine="0"/>
        <w:spacing w:before="0" w:after="0"/>
        <w:rPr>
          <w:rFonts w:hint="eastAsia" w:ascii="Times New Roman" w:hAnsi="Times New Roman"/>
        </w:rPr>
      </w:pPr>
      <w:r>
        <w:rPr>
          <w:rFonts w:hint="eastAsia" w:ascii="Times New Roman" w:hAnsi="Times New Roman"/>
        </w:rPr>
      </w:r>
      <w:r/>
    </w:p>
    <w:p>
      <w:pPr>
        <w:pStyle w:val="783"/>
        <w:ind w:firstLine="0"/>
        <w:spacing w:before="0" w:after="0"/>
        <w:rPr>
          <w:rFonts w:hint="eastAsia" w:ascii="Times New Roman" w:hAnsi="Times New Roman"/>
        </w:rPr>
      </w:pPr>
      <w:r>
        <w:rPr>
          <w:rFonts w:hint="eastAsia" w:ascii="Times New Roman" w:hAnsi="Times New Roman"/>
        </w:rPr>
      </w:r>
      <w:r/>
    </w:p>
    <w:p>
      <w:pPr>
        <w:pStyle w:val="783"/>
        <w:ind w:firstLine="0"/>
        <w:spacing w:before="0" w:after="0"/>
        <w:rPr>
          <w:rFonts w:hint="eastAsia" w:ascii="Times New Roman" w:hAnsi="Times New Roman"/>
        </w:rPr>
      </w:pPr>
      <w:r>
        <w:rPr>
          <w:rFonts w:hint="eastAsia" w:ascii="Times New Roman" w:hAnsi="Times New Roman"/>
        </w:rPr>
      </w:r>
      <w:r/>
    </w:p>
    <w:p>
      <w:pPr>
        <w:pStyle w:val="783"/>
        <w:ind w:firstLine="0"/>
        <w:spacing w:before="0" w:after="0"/>
        <w:rPr>
          <w:rFonts w:hint="eastAsia" w:ascii="Times New Roman" w:hAnsi="Times New Roman"/>
        </w:rPr>
      </w:pPr>
      <w:r>
        <w:rPr>
          <w:rFonts w:hint="eastAsia" w:ascii="Times New Roman" w:hAnsi="Times New Roman"/>
        </w:rPr>
      </w:r>
      <w:r/>
    </w:p>
    <w:p>
      <w:pPr>
        <w:pStyle w:val="783"/>
        <w:ind w:firstLine="0"/>
        <w:spacing w:before="0" w:after="0"/>
        <w:rPr>
          <w:rFonts w:hint="eastAsia" w:ascii="Times New Roman" w:hAnsi="Times New Roman"/>
        </w:rPr>
      </w:pPr>
      <w:r>
        <w:rPr>
          <w:rFonts w:hint="eastAsia" w:ascii="Times New Roman" w:hAnsi="Times New Roman"/>
        </w:rPr>
      </w:r>
      <w:r/>
    </w:p>
    <w:p>
      <w:pPr>
        <w:pStyle w:val="783"/>
        <w:ind w:firstLine="0"/>
        <w:spacing w:before="0" w:after="0"/>
        <w:rPr>
          <w:rFonts w:hint="eastAsia" w:ascii="Times New Roman" w:hAnsi="Times New Roman"/>
        </w:rPr>
      </w:pPr>
      <w:r>
        <w:rPr>
          <w:rFonts w:hint="eastAsia" w:ascii="Times New Roman" w:hAnsi="Times New Roman"/>
        </w:rPr>
      </w:r>
      <w:r/>
    </w:p>
    <w:p>
      <w:pPr>
        <w:pStyle w:val="783"/>
        <w:ind w:firstLine="1372"/>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沭阳县住房和城乡建设局 </w:t>
      </w:r>
      <w:r>
        <w:rPr>
          <w:rFonts w:ascii="Times New Roman" w:hAnsi="Times New Roman"/>
          <w:b/>
          <w:bCs/>
          <w:sz w:val="32"/>
          <w:u w:val="single"/>
        </w:rPr>
      </w:r>
      <w:r/>
    </w:p>
    <w:p>
      <w:pPr>
        <w:pStyle w:val="783"/>
        <w:ind w:firstLine="1372"/>
        <w:jc w:val="both"/>
        <w:rPr>
          <w:rFonts w:hint="eastAsia"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 江苏中置宏胜项目管理有限公司</w:t>
      </w:r>
      <w:r>
        <w:rPr>
          <w:rFonts w:hint="eastAsia" w:ascii="Times New Roman" w:hAnsi="Times New Roman"/>
          <w:b/>
          <w:bCs/>
          <w:sz w:val="32"/>
          <w:u w:val="single"/>
        </w:rPr>
      </w:r>
      <w:r/>
    </w:p>
    <w:p>
      <w:pPr>
        <w:pStyle w:val="783"/>
        <w:ind w:firstLine="3534"/>
        <w:jc w:val="both"/>
        <w:rPr>
          <w:rFonts w:hint="eastAsia" w:ascii="Times New Roman" w:hAnsi="Times New Roman"/>
          <w:b/>
          <w:bCs/>
          <w:sz w:val="32"/>
        </w:rPr>
      </w:pPr>
      <w:r>
        <w:rPr>
          <w:rFonts w:hint="eastAsia" w:ascii="Times New Roman" w:hAnsi="Times New Roman"/>
          <w:b/>
          <w:bCs/>
          <w:sz w:val="32"/>
          <w:lang w:val="en-US" w:eastAsia="zh-CN"/>
        </w:rPr>
        <w:t xml:space="preserve">2</w:t>
      </w:r>
      <w:r>
        <w:rPr>
          <w:rFonts w:hint="eastAsia" w:ascii="Times New Roman" w:hAnsi="Times New Roman"/>
          <w:b/>
          <w:bCs/>
          <w:sz w:val="32"/>
          <w:lang w:val="en-US" w:eastAsia="zh-CN"/>
        </w:rPr>
        <w:t xml:space="preserve">024</w:t>
      </w:r>
      <w:r>
        <w:rPr>
          <w:rFonts w:hint="eastAsia" w:ascii="Times New Roman" w:hAnsi="Times New Roman"/>
          <w:b/>
          <w:bCs/>
          <w:sz w:val="32"/>
        </w:rPr>
        <w:t xml:space="preserve">年</w:t>
      </w:r>
      <w:r>
        <w:rPr>
          <w:rFonts w:hint="eastAsia" w:ascii="Times New Roman" w:hAnsi="Times New Roman"/>
          <w:b/>
          <w:bCs/>
          <w:sz w:val="32"/>
          <w:lang w:val="en-US" w:eastAsia="zh-CN"/>
        </w:rPr>
        <w:t xml:space="preserve">0</w:t>
      </w:r>
      <w:r>
        <w:rPr>
          <w:rFonts w:hint="eastAsia" w:ascii="Times New Roman" w:hAnsi="Times New Roman"/>
          <w:b/>
          <w:bCs/>
          <w:sz w:val="32"/>
          <w:lang w:val="en-US" w:eastAsia="zh-CN"/>
        </w:rPr>
        <w:t xml:space="preserve">6</w:t>
      </w:r>
      <w:r>
        <w:rPr>
          <w:rFonts w:hint="eastAsia" w:ascii="Times New Roman" w:hAnsi="Times New Roman"/>
          <w:b/>
          <w:bCs/>
          <w:sz w:val="32"/>
        </w:rPr>
        <w:t xml:space="preserve">月</w:t>
      </w:r>
      <w:r>
        <w:rPr>
          <w:rFonts w:hint="eastAsia" w:ascii="Times New Roman" w:hAnsi="Times New Roman"/>
          <w:b/>
          <w:bCs/>
          <w:sz w:val="32"/>
          <w:lang w:val="en-US" w:eastAsia="zh-CN"/>
        </w:rPr>
        <w:t xml:space="preserve">2</w:t>
      </w:r>
      <w:r>
        <w:rPr>
          <w:rFonts w:hint="eastAsia" w:ascii="Times New Roman" w:hAnsi="Times New Roman"/>
          <w:b/>
          <w:bCs/>
          <w:sz w:val="32"/>
          <w:lang w:val="en-US" w:eastAsia="zh-CN"/>
        </w:rPr>
        <w:t xml:space="preserve">5</w:t>
      </w:r>
      <w:r>
        <w:rPr>
          <w:rFonts w:hint="eastAsia" w:ascii="Times New Roman" w:hAnsi="Times New Roman"/>
          <w:b/>
          <w:bCs/>
          <w:sz w:val="32"/>
        </w:rPr>
        <w:t xml:space="preserve">日</w:t>
      </w:r>
      <w:r>
        <w:rPr>
          <w:rFonts w:hint="eastAsia" w:ascii="Times New Roman" w:hAnsi="Times New Roman"/>
          <w:b/>
          <w:bCs/>
          <w:sz w:val="32"/>
        </w:rPr>
      </w:r>
      <w:r/>
    </w:p>
    <w:p>
      <w:pPr>
        <w:pStyle w:val="783"/>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783"/>
        <w:ind w:firstLine="0"/>
        <w:jc w:val="center"/>
        <w:rPr>
          <w:rFonts w:hint="eastAsia" w:ascii="Times New Roman" w:hAnsi="Times New Roman"/>
        </w:rPr>
      </w:pPr>
      <w:r>
        <w:rPr>
          <w:rFonts w:hint="eastAsia" w:ascii="Times New Roman" w:hAnsi="Times New Roman"/>
        </w:rPr>
      </w:r>
      <w:r/>
    </w:p>
    <w:p>
      <w:pPr>
        <w:pStyle w:val="783"/>
        <w:ind w:firstLine="0"/>
        <w:jc w:val="center"/>
        <w:rPr>
          <w:rFonts w:hint="eastAsia" w:ascii="Times New Roman" w:hAnsi="Times New Roman"/>
        </w:rPr>
      </w:pPr>
      <w:r>
        <w:rPr>
          <w:rFonts w:hint="eastAsia" w:ascii="Times New Roman" w:hAnsi="Times New Roman"/>
        </w:rPr>
      </w:r>
      <w:r/>
    </w:p>
    <w:p>
      <w:pPr>
        <w:pStyle w:val="783"/>
        <w:ind w:firstLine="0"/>
        <w:jc w:val="center"/>
        <w:rPr>
          <w:rFonts w:hint="eastAsia" w:ascii="Times New Roman" w:hAnsi="Times New Roman"/>
        </w:rPr>
      </w:pPr>
      <w:r>
        <w:rPr>
          <w:rFonts w:hint="eastAsia" w:ascii="Times New Roman" w:hAnsi="Times New Roman"/>
        </w:rPr>
      </w:r>
      <w:r/>
    </w:p>
    <w:p>
      <w:pPr>
        <w:pStyle w:val="783"/>
        <w:ind w:firstLine="0"/>
        <w:jc w:val="center"/>
        <w:rPr>
          <w:rFonts w:hint="eastAsia" w:ascii="Times New Roman" w:hAnsi="Times New Roman"/>
        </w:rPr>
      </w:pPr>
      <w:r>
        <w:rPr>
          <w:rFonts w:hint="eastAsia" w:ascii="Times New Roman" w:hAnsi="Times New Roman"/>
        </w:rPr>
      </w:r>
      <w:r/>
    </w:p>
    <w:p>
      <w:pPr>
        <w:pStyle w:val="674"/>
        <w:jc w:val="center"/>
        <w:spacing w:line="480" w:lineRule="auto"/>
        <w:rPr>
          <w:rFonts w:hint="eastAsia"/>
        </w:rPr>
        <w:outlineLvl w:val="0"/>
      </w:pPr>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rPr>
      </w:r>
      <w:r/>
    </w:p>
    <w:p>
      <w:pPr>
        <w:pStyle w:val="674"/>
        <w:jc w:val="center"/>
        <w:spacing w:line="480" w:lineRule="auto"/>
        <w:rPr>
          <w:rFonts w:hint="eastAsia" w:eastAsia="黑体"/>
          <w:b/>
          <w:sz w:val="44"/>
        </w:rPr>
        <w:outlineLvl w:val="0"/>
      </w:pPr>
      <w:r>
        <w:rPr>
          <w:rFonts w:hint="eastAsia"/>
        </w:rPr>
        <w:t xml:space="preserve"> </w:t>
      </w:r>
      <w:r>
        <w:rPr>
          <w:rFonts w:hint="eastAsia" w:eastAsia="黑体"/>
          <w:b/>
          <w:sz w:val="44"/>
        </w:rPr>
        <w:t xml:space="preserve">总  目  录</w:t>
      </w:r>
      <w:r>
        <w:rPr>
          <w:rFonts w:hint="eastAsia" w:eastAsia="黑体"/>
          <w:b/>
          <w:sz w:val="44"/>
        </w:rPr>
      </w:r>
      <w:r/>
    </w:p>
    <w:p>
      <w:pPr>
        <w:pStyle w:val="674"/>
        <w:spacing w:line="480" w:lineRule="auto"/>
        <w:rPr>
          <w:rFonts w:hint="eastAsia" w:eastAsia="仿宋_GB2312"/>
          <w:b/>
          <w:sz w:val="28"/>
        </w:rPr>
      </w:pPr>
      <w:r>
        <w:rPr>
          <w:rFonts w:hint="eastAsia" w:eastAsia="仿宋_GB2312"/>
          <w:b/>
          <w:sz w:val="28"/>
        </w:rPr>
      </w:r>
      <w:r/>
    </w:p>
    <w:p>
      <w:pPr>
        <w:pStyle w:val="674"/>
        <w:numPr>
          <w:ilvl w:val="0"/>
          <w:numId w:val="6"/>
        </w:numPr>
        <w:spacing w:line="480" w:lineRule="auto"/>
        <w:tabs>
          <w:tab w:val="left" w:pos="1440" w:leader="none"/>
        </w:tabs>
        <w:rPr>
          <w:rFonts w:hint="eastAsia" w:eastAsia="黑体"/>
          <w:sz w:val="32"/>
        </w:rPr>
        <w:outlineLvl w:val="0"/>
      </w:pPr>
      <w:r>
        <w:rPr>
          <w:rFonts w:hint="eastAsia" w:eastAsia="黑体"/>
          <w:sz w:val="36"/>
        </w:rPr>
        <w:t xml:space="preserve">投标邀请…………………………………… </w:t>
      </w:r>
      <w:r>
        <w:rPr>
          <w:rFonts w:hint="eastAsia" w:eastAsia="黑体"/>
          <w:sz w:val="32"/>
        </w:rPr>
      </w:r>
      <w:r/>
    </w:p>
    <w:p>
      <w:pPr>
        <w:pStyle w:val="674"/>
        <w:numPr>
          <w:ilvl w:val="0"/>
          <w:numId w:val="6"/>
        </w:numPr>
        <w:spacing w:line="480" w:lineRule="auto"/>
        <w:tabs>
          <w:tab w:val="left" w:pos="1440" w:leader="none"/>
        </w:tabs>
        <w:rPr>
          <w:rFonts w:hint="eastAsia"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w:t>
      </w:r>
      <w:r>
        <w:rPr>
          <w:rFonts w:hint="eastAsia" w:eastAsia="黑体"/>
          <w:sz w:val="36"/>
        </w:rPr>
      </w:r>
      <w:r/>
    </w:p>
    <w:p>
      <w:pPr>
        <w:pStyle w:val="674"/>
        <w:numPr>
          <w:ilvl w:val="0"/>
          <w:numId w:val="6"/>
        </w:numPr>
        <w:spacing w:line="480" w:lineRule="auto"/>
        <w:tabs>
          <w:tab w:val="left" w:pos="1440" w:leader="none"/>
        </w:tabs>
        <w:rPr>
          <w:rFonts w:hint="eastAsia" w:eastAsia="黑体"/>
          <w:sz w:val="36"/>
        </w:rPr>
        <w:outlineLvl w:val="0"/>
      </w:pPr>
      <w:r>
        <w:rPr>
          <w:rFonts w:hint="eastAsia" w:eastAsia="黑体"/>
          <w:sz w:val="36"/>
        </w:rPr>
        <w:t xml:space="preserve">合同文本……………………………………</w:t>
      </w:r>
      <w:r>
        <w:rPr>
          <w:rFonts w:hint="eastAsia" w:eastAsia="黑体"/>
          <w:sz w:val="36"/>
        </w:rPr>
      </w:r>
      <w:r/>
    </w:p>
    <w:p>
      <w:pPr>
        <w:pStyle w:val="674"/>
        <w:numPr>
          <w:ilvl w:val="0"/>
          <w:numId w:val="6"/>
        </w:numPr>
        <w:spacing w:line="480" w:lineRule="auto"/>
        <w:tabs>
          <w:tab w:val="left" w:pos="1440" w:leader="none"/>
        </w:tabs>
        <w:rPr>
          <w:rFonts w:hint="eastAsia" w:eastAsia="黑体"/>
          <w:sz w:val="36"/>
        </w:rPr>
        <w:outlineLvl w:val="0"/>
      </w:pPr>
      <w:r>
        <w:rPr>
          <w:rFonts w:hint="eastAsia" w:eastAsia="黑体"/>
          <w:sz w:val="36"/>
        </w:rPr>
        <w:t xml:space="preserve">采购需求……………………………………</w:t>
      </w:r>
      <w:r>
        <w:rPr>
          <w:rFonts w:hint="eastAsia" w:eastAsia="黑体"/>
          <w:sz w:val="36"/>
        </w:rPr>
      </w:r>
      <w:r/>
    </w:p>
    <w:p>
      <w:pPr>
        <w:pStyle w:val="674"/>
        <w:numPr>
          <w:ilvl w:val="0"/>
          <w:numId w:val="6"/>
        </w:numPr>
        <w:spacing w:line="480" w:lineRule="auto"/>
        <w:tabs>
          <w:tab w:val="left" w:pos="1440" w:leader="none"/>
        </w:tabs>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rPr>
      </w:r>
      <w:r/>
    </w:p>
    <w:p>
      <w:pPr>
        <w:pStyle w:val="674"/>
        <w:numPr>
          <w:ilvl w:val="0"/>
          <w:numId w:val="6"/>
        </w:numPr>
        <w:spacing w:line="480" w:lineRule="auto"/>
        <w:tabs>
          <w:tab w:val="left" w:pos="1440" w:leader="none"/>
        </w:tabs>
        <w:rPr>
          <w:rFonts w:hint="eastAsia" w:eastAsia="黑体"/>
          <w:sz w:val="36"/>
        </w:rPr>
        <w:outlineLvl w:val="0"/>
      </w:pPr>
      <w:r>
        <w:rPr>
          <w:rFonts w:hint="eastAsia" w:eastAsia="黑体"/>
          <w:sz w:val="36"/>
        </w:rPr>
        <w:t xml:space="preserve">投标文件格式………………………………</w:t>
      </w:r>
      <w:r>
        <w:rPr>
          <w:rFonts w:hint="eastAsia" w:eastAsia="黑体"/>
          <w:sz w:val="36"/>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5"/>
        <w:rPr>
          <w:rFonts w:hint="eastAsia" w:ascii="Times New Roman" w:eastAsia="黑体"/>
          <w:bCs/>
          <w:sz w:val="44"/>
          <w:szCs w:val="44"/>
        </w:rPr>
      </w:pPr>
      <w:r>
        <w:rPr>
          <w:rFonts w:ascii="Times New Roman" w:eastAsia="黑体"/>
          <w:sz w:val="44"/>
          <w:szCs w:val="44"/>
        </w:rPr>
        <w:br w:type="page" w:clear="all"/>
      </w: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rPr>
          <w:rFonts w:hint="eastAsia" w:ascii="Times New Roman" w:eastAsia="黑体"/>
          <w:bCs/>
          <w:sz w:val="44"/>
          <w:szCs w:val="44"/>
        </w:rPr>
      </w:r>
      <w:r/>
    </w:p>
    <w:p>
      <w:pPr>
        <w:pStyle w:val="674"/>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沭阳县住房和城乡建设局</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江苏中置宏胜项目管理有限公司</w:t>
      </w:r>
      <w:r>
        <w:rPr>
          <w:rFonts w:hint="eastAsia" w:ascii="宋体" w:hAnsi="宋体" w:eastAsia="宋体" w:cs="宋体"/>
          <w:sz w:val="24"/>
          <w:szCs w:val="24"/>
        </w:rPr>
        <w:t xml:space="preserve">就</w:t>
      </w:r>
      <w:r>
        <w:rPr>
          <w:rFonts w:hint="eastAsia" w:ascii="宋体" w:hAnsi="宋体" w:eastAsia="宋体" w:cs="宋体"/>
          <w:sz w:val="24"/>
          <w:szCs w:val="24"/>
          <w:u w:val="single"/>
        </w:rPr>
        <w:t xml:space="preserve">沭阳县陇集镇污水处理厂提质提标项目</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JSZC-321322-ZZHS-G2024-0001</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项目进行公开招标采购，欢迎符合条件的投标人投标。</w:t>
      </w:r>
      <w:r>
        <w:rPr>
          <w:rFonts w:hint="eastAsia" w:ascii="宋体" w:hAnsi="宋体" w:eastAsia="宋体" w:cs="宋体"/>
          <w:sz w:val="24"/>
          <w:szCs w:val="24"/>
        </w:rPr>
      </w:r>
      <w:r/>
    </w:p>
    <w:p>
      <w:pPr>
        <w:pStyle w:val="674"/>
        <w:ind w:firstLine="480"/>
        <w:spacing w:line="40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rPr>
          <w:rFonts w:hint="eastAsia" w:ascii="宋体" w:hAnsi="宋体" w:eastAsia="宋体" w:cs="宋体"/>
          <w:sz w:val="24"/>
          <w:szCs w:val="24"/>
        </w:rPr>
      </w:r>
      <w:r/>
    </w:p>
    <w:p>
      <w:pPr>
        <w:pStyle w:val="674"/>
        <w:ind w:firstLine="480"/>
        <w:spacing w:line="40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 沭阳县陇集镇污水处理厂提质提标项目</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“宿迁市政府采购网”自行免费下载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lang w:val="en-US" w:eastAsia="zh-CN"/>
        </w:rPr>
        <w:t xml:space="preserve">2024</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lang w:val="en-US" w:eastAsia="zh-CN"/>
        </w:rPr>
        <w:t xml:space="preserve">7</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1</w:t>
      </w:r>
      <w:r>
        <w:rPr>
          <w:rFonts w:hint="eastAsia" w:ascii="宋体" w:hAnsi="宋体" w:eastAsia="宋体" w:cs="宋体"/>
          <w:bCs/>
          <w:sz w:val="24"/>
          <w:szCs w:val="24"/>
          <w:u w:val="single"/>
          <w:lang w:val="en-US" w:eastAsia="zh-CN"/>
        </w:rPr>
        <w:t xml:space="preserve">6</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lang w:val="en-US" w:eastAsia="zh-CN"/>
        </w:rPr>
        <w:t xml:space="preserve">9</w:t>
      </w:r>
      <w:r>
        <w:rPr>
          <w:rFonts w:hint="eastAsia" w:ascii="宋体" w:hAnsi="宋体" w:eastAsia="宋体" w:cs="宋体"/>
          <w:bCs/>
          <w:sz w:val="24"/>
          <w:szCs w:val="24"/>
          <w:u w:val="single"/>
        </w:rPr>
        <w:t xml:space="preserve">点</w:t>
      </w:r>
      <w:r>
        <w:rPr>
          <w:rFonts w:hint="eastAsia" w:ascii="宋体" w:hAnsi="宋体" w:eastAsia="宋体" w:cs="宋体"/>
          <w:bCs/>
          <w:sz w:val="24"/>
          <w:szCs w:val="24"/>
          <w:u w:val="single"/>
          <w:lang w:val="en-US" w:eastAsia="zh-CN"/>
        </w:rPr>
        <w:t xml:space="preserve">3</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7"/>
        <w:ind w:firstLine="482"/>
        <w:jc w:val="left"/>
        <w:pageBreakBefore w:val="0"/>
        <w:spacing w:before="0" w:after="0" w:line="420" w:lineRule="exact"/>
        <w:rPr>
          <w:rFonts w:hint="eastAsia" w:ascii="宋体" w:hAnsi="宋体" w:eastAsia="宋体" w:cs="宋体"/>
          <w:sz w:val="24"/>
          <w:szCs w:val="24"/>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宋体" w:hAnsi="宋体" w:eastAsia="宋体" w:cs="宋体"/>
          <w:sz w:val="24"/>
          <w:szCs w:val="24"/>
        </w:rPr>
        <w:t xml:space="preserve">一、项目基本情况</w:t>
      </w:r>
      <w:bookmarkEnd w:id="6"/>
      <w:r/>
      <w:bookmarkEnd w:id="7"/>
      <w:r/>
      <w:bookmarkEnd w:id="8"/>
      <w:r/>
      <w:bookmarkEnd w:id="9"/>
      <w:r/>
      <w:bookmarkEnd w:id="10"/>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1.项目编号：JSZC-321322-ZZHS-G2024-0001</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2.项目名称：沭阳县陇集镇污水处理厂提质提标项目</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bookmarkEnd w:id="11"/>
      <w:r>
        <w:rPr>
          <w:rFonts w:hint="eastAsia" w:ascii="宋体" w:hAnsi="宋体" w:eastAsia="宋体" w:cs="宋体"/>
          <w:sz w:val="24"/>
          <w:szCs w:val="24"/>
        </w:rPr>
        <w:t xml:space="preserve">3.预算金额：670万元</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设定</w:t>
      </w:r>
      <w:r>
        <w:rPr>
          <w:rFonts w:hint="eastAsia" w:ascii="宋体" w:hAnsi="宋体" w:eastAsia="宋体" w:cs="宋体"/>
          <w:sz w:val="24"/>
          <w:szCs w:val="24"/>
        </w:rPr>
        <w:t xml:space="preserve">最高限价，最高限价为</w:t>
      </w:r>
      <w:r>
        <w:rPr>
          <w:rFonts w:hint="eastAsia" w:ascii="宋体" w:hAnsi="宋体" w:eastAsia="宋体" w:cs="宋体"/>
          <w:sz w:val="24"/>
          <w:szCs w:val="24"/>
          <w:u w:val="single"/>
        </w:rPr>
        <w:t xml:space="preserve">670</w:t>
      </w:r>
      <w:r>
        <w:rPr>
          <w:rFonts w:hint="eastAsia" w:ascii="宋体" w:hAnsi="宋体" w:eastAsia="宋体" w:cs="宋体"/>
          <w:sz w:val="24"/>
          <w:szCs w:val="24"/>
        </w:rPr>
        <w:t xml:space="preserve">万元。</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color w:val="ff0000"/>
          <w:sz w:val="24"/>
          <w:szCs w:val="24"/>
          <w:u w:val="single"/>
        </w:rPr>
      </w:pPr>
      <w:r>
        <w:rPr>
          <w:rFonts w:hint="eastAsia" w:ascii="宋体" w:hAnsi="宋体" w:eastAsia="宋体" w:cs="宋体"/>
          <w:sz w:val="24"/>
          <w:szCs w:val="24"/>
        </w:rPr>
        <w:t xml:space="preserve">5.采购需求：陇集镇污水处理厂扩建项目含工程设计、设备采购、施工、安装等工作，设计规模由原来的2000吨/天提高至3500吨/天，并运营365天。</w:t>
      </w:r>
      <w:r>
        <w:rPr>
          <w:rFonts w:hint="eastAsia" w:ascii="宋体" w:hAnsi="宋体" w:eastAsia="宋体" w:cs="宋体"/>
          <w:sz w:val="24"/>
          <w:szCs w:val="24"/>
          <w:lang w:val="en-US" w:eastAsia="zh-CN"/>
        </w:rPr>
        <w:t xml:space="preserve">详见第四章采购需求。</w:t>
      </w:r>
      <w:r>
        <w:rPr>
          <w:rFonts w:hint="eastAsia" w:ascii="宋体" w:hAnsi="宋体" w:eastAsia="宋体" w:cs="宋体"/>
          <w:color w:val="ff0000"/>
          <w:sz w:val="24"/>
          <w:szCs w:val="24"/>
        </w:rPr>
        <w:t xml:space="preserve"> </w:t>
      </w:r>
      <w:r>
        <w:rPr>
          <w:rFonts w:hint="eastAsia" w:ascii="宋体" w:hAnsi="宋体" w:eastAsia="宋体" w:cs="宋体"/>
          <w:color w:val="ff0000"/>
          <w:sz w:val="24"/>
          <w:szCs w:val="24"/>
          <w:u w:val="single"/>
        </w:rPr>
      </w:r>
      <w:r/>
    </w:p>
    <w:p>
      <w:pPr>
        <w:pStyle w:val="838"/>
        <w:ind w:firstLine="480"/>
        <w:jc w:val="left"/>
        <w:pageBreakBefore w:val="0"/>
        <w:spacing w:line="420" w:lineRule="exact"/>
        <w:rPr>
          <w:rFonts w:hint="eastAsia" w:ascii="宋体" w:hAnsi="宋体" w:eastAsia="宋体" w:cs="宋体"/>
          <w:color w:val="000000"/>
          <w:sz w:val="24"/>
          <w:szCs w:val="24"/>
        </w:rPr>
      </w:pPr>
      <w:r>
        <w:rPr>
          <w:rFonts w:hint="eastAsia" w:ascii="宋体" w:hAnsi="宋体" w:eastAsia="宋体" w:cs="宋体"/>
          <w:sz w:val="24"/>
          <w:szCs w:val="24"/>
        </w:rPr>
        <w:t xml:space="preserve">6.合同履行期限：</w:t>
      </w:r>
      <w:r>
        <w:rPr>
          <w:rFonts w:hint="eastAsia" w:ascii="宋体" w:hAnsi="宋体" w:eastAsia="宋体" w:cs="宋体"/>
          <w:color w:val="000000"/>
          <w:sz w:val="24"/>
          <w:szCs w:val="24"/>
        </w:rPr>
        <w:t xml:space="preserve">施工工期总日历天数：</w:t>
      </w:r>
      <w:r>
        <w:rPr>
          <w:rFonts w:hint="eastAsia" w:ascii="宋体" w:hAnsi="宋体" w:eastAsia="宋体" w:cs="宋体"/>
          <w:color w:val="000000"/>
          <w:sz w:val="24"/>
          <w:szCs w:val="24"/>
          <w:u w:val="single"/>
        </w:rPr>
        <w:t xml:space="preserve">90</w:t>
      </w:r>
      <w:r>
        <w:rPr>
          <w:rFonts w:hint="eastAsia" w:ascii="宋体" w:hAnsi="宋体" w:eastAsia="宋体" w:cs="宋体"/>
          <w:color w:val="000000"/>
          <w:sz w:val="24"/>
          <w:szCs w:val="24"/>
        </w:rPr>
        <w:t xml:space="preserve">天，运营工期总日历天数：</w:t>
      </w:r>
      <w:r>
        <w:rPr>
          <w:rFonts w:hint="eastAsia" w:ascii="宋体" w:hAnsi="宋体" w:eastAsia="宋体" w:cs="宋体"/>
          <w:color w:val="000000"/>
          <w:sz w:val="24"/>
          <w:szCs w:val="24"/>
          <w:u w:val="single"/>
        </w:rPr>
        <w:t xml:space="preserve">365 </w:t>
      </w:r>
      <w:r>
        <w:rPr>
          <w:rFonts w:hint="eastAsia" w:ascii="宋体" w:hAnsi="宋体" w:eastAsia="宋体" w:cs="宋体"/>
          <w:color w:val="000000"/>
          <w:sz w:val="24"/>
          <w:szCs w:val="24"/>
        </w:rPr>
        <w:t xml:space="preserve">天。</w:t>
      </w:r>
      <w:r>
        <w:rPr>
          <w:rFonts w:hint="eastAsia" w:ascii="宋体" w:hAnsi="宋体" w:eastAsia="宋体" w:cs="宋体"/>
          <w:color w:val="000000"/>
          <w:sz w:val="24"/>
          <w:szCs w:val="24"/>
        </w:rPr>
      </w:r>
      <w:r/>
    </w:p>
    <w:p>
      <w:pPr>
        <w:pStyle w:val="674"/>
        <w:ind w:firstLine="480"/>
        <w:jc w:val="left"/>
        <w:pageBreakBefore w:val="0"/>
        <w:spacing w:line="42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7.本项目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联合体投标。</w:t>
      </w:r>
      <w:r>
        <w:rPr>
          <w:rFonts w:hint="eastAsia" w:ascii="宋体" w:hAnsi="宋体" w:eastAsia="宋体" w:cs="宋体"/>
          <w:sz w:val="24"/>
          <w:szCs w:val="24"/>
          <w:highlight w:val="yellow"/>
        </w:rPr>
      </w:r>
      <w:r/>
    </w:p>
    <w:p>
      <w:pPr>
        <w:pStyle w:val="677"/>
        <w:ind w:firstLine="482"/>
        <w:jc w:val="left"/>
        <w:pageBreakBefore w:val="0"/>
        <w:spacing w:before="0" w:after="0" w:line="420" w:lineRule="exact"/>
        <w:rPr>
          <w:rFonts w:hint="eastAsia" w:ascii="宋体" w:hAnsi="宋体" w:eastAsia="宋体" w:cs="宋体"/>
          <w:sz w:val="24"/>
          <w:szCs w:val="24"/>
        </w:rPr>
      </w:pPr>
      <w:r/>
      <w:bookmarkStart w:id="12" w:name="_Toc28359003"/>
      <w:r/>
      <w:bookmarkStart w:id="13" w:name="_Toc28359080"/>
      <w:r/>
      <w:bookmarkStart w:id="14" w:name="_Toc38985264"/>
      <w:r/>
      <w:bookmarkStart w:id="15" w:name="_Toc35393791"/>
      <w:r/>
      <w:bookmarkStart w:id="16" w:name="_Toc35393622"/>
      <w:r>
        <w:rPr>
          <w:rFonts w:hint="eastAsia" w:ascii="宋体" w:hAnsi="宋体" w:eastAsia="宋体" w:cs="宋体"/>
          <w:sz w:val="24"/>
          <w:szCs w:val="24"/>
        </w:rPr>
        <w:t xml:space="preserve">二、申请人的资格要求：</w:t>
      </w:r>
      <w:bookmarkEnd w:id="12"/>
      <w:r/>
      <w:bookmarkEnd w:id="13"/>
      <w:r/>
      <w:bookmarkEnd w:id="14"/>
      <w:r/>
      <w:bookmarkEnd w:id="15"/>
      <w:r/>
      <w:bookmarkEnd w:id="16"/>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bookmarkStart w:id="17" w:name="_Toc35393792"/>
      <w:r/>
      <w:bookmarkStart w:id="18" w:name="_Toc38985265"/>
      <w:r/>
      <w:bookmarkStart w:id="19" w:name="_Toc28359081"/>
      <w:r/>
      <w:bookmarkStart w:id="20" w:name="_Toc35393623"/>
      <w:r/>
      <w:bookmarkStart w:id="21" w:name="_Toc28359004"/>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1.具备《中华人民共和国政府采购法》第二十二条第一款规定的6项条件（按要求提供投标声明及承诺函）。</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3.落实政府采购政策需满足的资格要求：无</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 具有独立订立合同的能力；</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 申请人资质类别和等级为具备下列条件之一：</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（1）具备工程设计综合甲级资质和市政公用工程施工总承包三级及以上资质；</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（2）具备工程设计市政行业乙级及以上资质和市政公用工程施工总承包三级及以上资质；</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（3）具备工程设计市政行业（燃气工程、轨道交通工程除外）乙级及以上资质和市政公用工程施工总承包三级及以上资质；</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（4）具备工程设计市政行业（排水工程）乙级及以上资质和市政公用工程施工总承包三级及以上资质。</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注：提供市政公用工程施工总承包三级及以上资质的，企业需具备安全生产条件，并取得安全生产许可证。且在投标文件递交截止时间当日，登录“省建筑市场监管与诚信信息一体化平台”查询，该资质动态监管结果不处于不合格状态。</w:t>
      </w:r>
      <w:r>
        <w:rPr>
          <w:rFonts w:hint="eastAsia" w:ascii="宋体" w:hAnsi="宋体" w:eastAsia="宋体" w:cs="宋体"/>
          <w:sz w:val="24"/>
          <w:szCs w:val="24"/>
        </w:rPr>
      </w:r>
      <w:r/>
    </w:p>
    <w:p>
      <w:pPr>
        <w:pStyle w:val="677"/>
        <w:ind w:firstLine="482"/>
        <w:jc w:val="left"/>
        <w:pageBreakBefore w:val="0"/>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三、获取招标文件</w:t>
      </w:r>
      <w:bookmarkEnd w:id="17"/>
      <w:r/>
      <w:bookmarkEnd w:id="18"/>
      <w:r/>
      <w:bookmarkEnd w:id="19"/>
      <w:r/>
      <w:bookmarkEnd w:id="20"/>
      <w:r/>
      <w:bookmarkEnd w:id="21"/>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bookmarkStart w:id="22" w:name="_Toc35393624"/>
      <w:r/>
      <w:bookmarkStart w:id="23" w:name="_Toc38985266"/>
      <w:r/>
      <w:bookmarkStart w:id="24" w:name="_Toc28359005"/>
      <w:r/>
      <w:bookmarkStart w:id="25" w:name="_Toc28359082"/>
      <w:r/>
      <w:bookmarkStart w:id="26" w:name="_Toc35393793"/>
      <w:r>
        <w:rPr>
          <w:rFonts w:hint="eastAsia" w:ascii="宋体" w:hAnsi="宋体" w:eastAsia="宋体" w:cs="宋体"/>
          <w:sz w:val="24"/>
          <w:szCs w:val="24"/>
        </w:rPr>
        <w:t xml:space="preserve">1.时间：</w:t>
      </w:r>
      <w:r>
        <w:rPr>
          <w:rFonts w:hint="eastAsia" w:ascii="宋体" w:hAnsi="宋体" w:eastAsia="宋体" w:cs="宋体"/>
          <w:sz w:val="24"/>
          <w:szCs w:val="24"/>
          <w:lang w:val="en-US" w:eastAsia="zh-CN"/>
        </w:rPr>
        <w:t xml:space="preserve">2024</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日至</w:t>
      </w:r>
      <w:bookmarkStart w:id="27" w:name="EB4a82fe30d91a48338ebb02b9012d939c"/>
      <w:r>
        <w:rPr>
          <w:rFonts w:hint="eastAsia" w:ascii="宋体" w:hAnsi="宋体" w:eastAsia="宋体" w:cs="宋体"/>
          <w:sz w:val="24"/>
          <w:szCs w:val="24"/>
          <w:lang w:val="en-US" w:eastAsia="zh-CN"/>
        </w:rPr>
        <w:t xml:space="preserve">2024</w:t>
      </w:r>
      <w:bookmarkEnd w:id="27"/>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02</w:t>
      </w:r>
      <w:r>
        <w:rPr>
          <w:rFonts w:hint="eastAsia" w:ascii="宋体" w:hAnsi="宋体" w:eastAsia="宋体" w:cs="宋体"/>
          <w:sz w:val="24"/>
          <w:szCs w:val="24"/>
        </w:rPr>
        <w:t xml:space="preserve">日17：30。</w:t>
      </w:r>
      <w:r>
        <w:rPr>
          <w:rFonts w:hint="eastAsia" w:ascii="宋体" w:hAnsi="宋体" w:eastAsia="宋体" w:cs="宋体"/>
          <w:sz w:val="24"/>
          <w:szCs w:val="24"/>
        </w:rPr>
        <w:t xml:space="preserve">（北京时间，法定节假日除外）</w:t>
      </w:r>
      <w:r>
        <w:rPr>
          <w:rFonts w:hint="eastAsia" w:ascii="宋体" w:hAnsi="宋体" w:eastAsia="宋体" w:cs="宋体"/>
          <w:sz w:val="24"/>
          <w:szCs w:val="24"/>
        </w:rPr>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bookmarkStart w:id="28" w:name="EB0c44ff4da61f4af989d119fe214be450"/>
      <w:r>
        <w:rPr>
          <w:rFonts w:hint="eastAsia" w:ascii="宋体" w:hAnsi="宋体" w:eastAsia="宋体" w:cs="宋体"/>
          <w:sz w:val="24"/>
          <w:szCs w:val="24"/>
        </w:rPr>
        <w:t xml:space="preserve">3.本项目共</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个包。投标人未按要求获取招标文件导致无法投标的，后果自负（其投标文件不予接受）。</w:t>
      </w:r>
      <w:bookmarkEnd w:id="28"/>
      <w:r>
        <w:rPr>
          <w:rFonts w:hint="eastAsia" w:ascii="宋体" w:hAnsi="宋体" w:eastAsia="宋体" w:cs="宋体"/>
          <w:sz w:val="24"/>
          <w:szCs w:val="24"/>
        </w:rPr>
      </w:r>
      <w:r/>
    </w:p>
    <w:p>
      <w:pPr>
        <w:pStyle w:val="677"/>
        <w:ind w:firstLine="482"/>
        <w:jc w:val="left"/>
        <w:pageBreakBefore w:val="0"/>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四、提交投标文件</w:t>
      </w:r>
      <w:bookmarkEnd w:id="24"/>
      <w:r/>
      <w:bookmarkEnd w:id="25"/>
      <w:r>
        <w:rPr>
          <w:rFonts w:hint="eastAsia" w:ascii="宋体" w:hAnsi="宋体" w:eastAsia="宋体" w:cs="宋体"/>
          <w:sz w:val="24"/>
          <w:szCs w:val="24"/>
        </w:rPr>
        <w:t xml:space="preserve">截止时间、开标时间和地点</w:t>
      </w:r>
      <w:bookmarkEnd w:id="22"/>
      <w:r/>
      <w:bookmarkEnd w:id="23"/>
      <w:r/>
      <w:bookmarkEnd w:id="26"/>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提交投标文件截止时间、开标时间：</w:t>
      </w:r>
      <w:r>
        <w:rPr>
          <w:rFonts w:hint="eastAsia" w:ascii="宋体" w:hAnsi="宋体" w:eastAsia="宋体" w:cs="宋体"/>
          <w:bCs/>
          <w:sz w:val="24"/>
          <w:szCs w:val="24"/>
          <w:u w:val="none"/>
          <w:lang w:val="en-US" w:eastAsia="zh-CN"/>
        </w:rPr>
        <w:t xml:space="preserve">2</w:t>
      </w:r>
      <w:r>
        <w:rPr>
          <w:rFonts w:hint="eastAsia" w:ascii="宋体" w:hAnsi="宋体" w:eastAsia="宋体" w:cs="宋体"/>
          <w:bCs/>
          <w:sz w:val="24"/>
          <w:szCs w:val="24"/>
          <w:u w:val="none"/>
          <w:lang w:val="en-US" w:eastAsia="zh-CN"/>
        </w:rPr>
        <w:t xml:space="preserve">024</w:t>
      </w:r>
      <w:r>
        <w:rPr>
          <w:rFonts w:hint="eastAsia" w:ascii="宋体" w:hAnsi="宋体" w:eastAsia="宋体" w:cs="宋体"/>
          <w:bCs/>
          <w:sz w:val="24"/>
          <w:szCs w:val="24"/>
          <w:u w:val="none"/>
        </w:rPr>
        <w:t xml:space="preserve">年</w:t>
      </w:r>
      <w:r>
        <w:rPr>
          <w:rFonts w:hint="eastAsia" w:ascii="宋体" w:hAnsi="宋体" w:eastAsia="宋体" w:cs="宋体"/>
          <w:bCs/>
          <w:sz w:val="24"/>
          <w:szCs w:val="24"/>
          <w:u w:val="none"/>
          <w:lang w:val="en-US" w:eastAsia="zh-CN"/>
        </w:rPr>
        <w:t xml:space="preserve">0</w:t>
      </w:r>
      <w:r>
        <w:rPr>
          <w:rFonts w:hint="eastAsia" w:ascii="宋体" w:hAnsi="宋体" w:eastAsia="宋体" w:cs="宋体"/>
          <w:bCs/>
          <w:sz w:val="24"/>
          <w:szCs w:val="24"/>
          <w:u w:val="none"/>
          <w:lang w:val="en-US" w:eastAsia="zh-CN"/>
        </w:rPr>
        <w:t xml:space="preserve">7</w:t>
      </w:r>
      <w:r>
        <w:rPr>
          <w:rFonts w:hint="eastAsia" w:ascii="宋体" w:hAnsi="宋体" w:eastAsia="宋体" w:cs="宋体"/>
          <w:bCs/>
          <w:sz w:val="24"/>
          <w:szCs w:val="24"/>
          <w:u w:val="none"/>
        </w:rPr>
        <w:t xml:space="preserve">月</w:t>
      </w:r>
      <w:r>
        <w:rPr>
          <w:rFonts w:hint="eastAsia" w:ascii="宋体" w:hAnsi="宋体" w:eastAsia="宋体" w:cs="宋体"/>
          <w:bCs/>
          <w:sz w:val="24"/>
          <w:szCs w:val="24"/>
          <w:u w:val="none"/>
          <w:lang w:val="en-US" w:eastAsia="zh-CN"/>
        </w:rPr>
        <w:t xml:space="preserve">1</w:t>
      </w:r>
      <w:r>
        <w:rPr>
          <w:rFonts w:hint="eastAsia" w:ascii="宋体" w:hAnsi="宋体" w:eastAsia="宋体" w:cs="宋体"/>
          <w:bCs/>
          <w:sz w:val="24"/>
          <w:szCs w:val="24"/>
          <w:u w:val="none"/>
          <w:lang w:val="en-US" w:eastAsia="zh-CN"/>
        </w:rPr>
        <w:t xml:space="preserve">6</w:t>
      </w:r>
      <w:r>
        <w:rPr>
          <w:rFonts w:hint="eastAsia" w:ascii="宋体" w:hAnsi="宋体" w:eastAsia="宋体" w:cs="宋体"/>
          <w:bCs/>
          <w:sz w:val="24"/>
          <w:szCs w:val="24"/>
          <w:u w:val="none"/>
        </w:rPr>
        <w:t xml:space="preserve">日</w:t>
      </w:r>
      <w:r>
        <w:rPr>
          <w:rFonts w:hint="eastAsia" w:ascii="宋体" w:hAnsi="宋体" w:eastAsia="宋体" w:cs="宋体"/>
          <w:bCs/>
          <w:sz w:val="24"/>
          <w:szCs w:val="24"/>
          <w:u w:val="none"/>
          <w:lang w:val="en-US" w:eastAsia="zh-CN"/>
        </w:rPr>
        <w:t xml:space="preserve">0</w:t>
      </w:r>
      <w:r>
        <w:rPr>
          <w:rFonts w:hint="eastAsia" w:ascii="宋体" w:hAnsi="宋体" w:eastAsia="宋体" w:cs="宋体"/>
          <w:bCs/>
          <w:sz w:val="24"/>
          <w:szCs w:val="24"/>
          <w:u w:val="none"/>
          <w:lang w:val="en-US" w:eastAsia="zh-CN"/>
        </w:rPr>
        <w:t xml:space="preserve">9</w:t>
      </w:r>
      <w:r>
        <w:rPr>
          <w:rFonts w:hint="eastAsia" w:ascii="宋体" w:hAnsi="宋体" w:eastAsia="宋体" w:cs="宋体"/>
          <w:bCs/>
          <w:sz w:val="24"/>
          <w:szCs w:val="24"/>
          <w:u w:val="none"/>
        </w:rPr>
        <w:t xml:space="preserve">点</w:t>
      </w:r>
      <w:r>
        <w:rPr>
          <w:rFonts w:hint="eastAsia" w:ascii="宋体" w:hAnsi="宋体" w:eastAsia="宋体" w:cs="宋体"/>
          <w:bCs/>
          <w:sz w:val="24"/>
          <w:szCs w:val="24"/>
          <w:u w:val="none"/>
          <w:lang w:val="en-US" w:eastAsia="zh-CN"/>
        </w:rPr>
        <w:t xml:space="preserve">3</w:t>
      </w:r>
      <w:r>
        <w:rPr>
          <w:rFonts w:hint="eastAsia" w:ascii="宋体" w:hAnsi="宋体" w:eastAsia="宋体" w:cs="宋体"/>
          <w:bCs/>
          <w:sz w:val="24"/>
          <w:szCs w:val="24"/>
          <w:u w:val="none"/>
          <w:lang w:val="en-US" w:eastAsia="zh-CN"/>
        </w:rPr>
        <w:t xml:space="preserve">0</w:t>
      </w:r>
      <w:r>
        <w:rPr>
          <w:rFonts w:hint="eastAsia" w:ascii="宋体" w:hAnsi="宋体" w:eastAsia="宋体" w:cs="宋体"/>
          <w:bCs/>
          <w:sz w:val="24"/>
          <w:szCs w:val="24"/>
          <w:u w:val="none"/>
        </w:rPr>
        <w:t xml:space="preserve">分</w:t>
      </w:r>
      <w:r>
        <w:rPr>
          <w:rFonts w:hint="eastAsia" w:ascii="宋体" w:hAnsi="宋体" w:eastAsia="宋体" w:cs="宋体"/>
          <w:bCs/>
          <w:sz w:val="24"/>
          <w:szCs w:val="24"/>
          <w:u w:val="none"/>
        </w:rPr>
        <w:t xml:space="preserve">（</w:t>
      </w:r>
      <w:r>
        <w:rPr>
          <w:rFonts w:hint="eastAsia" w:ascii="宋体" w:hAnsi="宋体" w:eastAsia="宋体" w:cs="宋体"/>
          <w:bCs/>
          <w:sz w:val="24"/>
          <w:szCs w:val="24"/>
        </w:rPr>
        <w:t xml:space="preserve">北京时间）</w:t>
      </w:r>
      <w:r>
        <w:rPr>
          <w:rFonts w:hint="eastAsia" w:ascii="宋体" w:hAnsi="宋体" w:eastAsia="宋体" w:cs="宋体"/>
          <w:bCs/>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rPr>
          <w:rFonts w:hint="eastAsia" w:ascii="宋体" w:hAnsi="宋体" w:eastAsia="宋体" w:cs="宋体"/>
          <w:sz w:val="24"/>
          <w:szCs w:val="24"/>
        </w:rPr>
      </w:r>
      <w:r/>
    </w:p>
    <w:p>
      <w:pPr>
        <w:pStyle w:val="677"/>
        <w:ind w:firstLine="482"/>
        <w:jc w:val="left"/>
        <w:pageBreakBefore w:val="0"/>
        <w:spacing w:before="0" w:after="0" w:line="420" w:lineRule="exact"/>
        <w:rPr>
          <w:rFonts w:hint="eastAsia" w:ascii="宋体" w:hAnsi="宋体" w:eastAsia="宋体" w:cs="宋体"/>
          <w:sz w:val="24"/>
          <w:szCs w:val="24"/>
        </w:rPr>
      </w:pPr>
      <w:r/>
      <w:bookmarkStart w:id="29" w:name="_Toc35393794"/>
      <w:r/>
      <w:bookmarkStart w:id="30" w:name="_Toc35393625"/>
      <w:r/>
      <w:bookmarkStart w:id="31" w:name="_Toc28359084"/>
      <w:r/>
      <w:bookmarkStart w:id="32" w:name="_Toc28359007"/>
      <w:r/>
      <w:bookmarkStart w:id="33" w:name="_Toc38985267"/>
      <w:r>
        <w:rPr>
          <w:rFonts w:hint="eastAsia" w:ascii="宋体" w:hAnsi="宋体" w:eastAsia="宋体" w:cs="宋体"/>
          <w:sz w:val="24"/>
          <w:szCs w:val="24"/>
        </w:rPr>
        <w:t xml:space="preserve">五、公告期限</w:t>
      </w:r>
      <w:bookmarkEnd w:id="29"/>
      <w:r/>
      <w:bookmarkEnd w:id="30"/>
      <w:r/>
      <w:bookmarkEnd w:id="31"/>
      <w:r/>
      <w:bookmarkEnd w:id="32"/>
      <w:r/>
      <w:bookmarkEnd w:id="33"/>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highlight w:val="white"/>
        </w:rPr>
      </w:pPr>
      <w:r/>
      <w:bookmarkStart w:id="34" w:name="_Toc35393626"/>
      <w:r/>
      <w:bookmarkStart w:id="35" w:name="_Toc38985268"/>
      <w:r/>
      <w:bookmarkStart w:id="36" w:name="_Toc35393795"/>
      <w:r>
        <w:rPr>
          <w:rFonts w:hint="eastAsia" w:ascii="宋体" w:hAnsi="宋体" w:eastAsia="宋体" w:cs="宋体"/>
          <w:sz w:val="24"/>
          <w:szCs w:val="24"/>
        </w:rPr>
        <w:t xml:space="preserve">招标公告及招标文件公告期限为自本公告发布之日起5个工作日。</w:t>
      </w:r>
      <w:r>
        <w:rPr>
          <w:rFonts w:hint="eastAsia" w:ascii="宋体" w:hAnsi="宋体" w:eastAsia="宋体" w:cs="宋体"/>
          <w:sz w:val="24"/>
          <w:szCs w:val="24"/>
          <w:highlight w:val="white"/>
        </w:rPr>
        <w:t xml:space="preserve">招标公告发布媒体：宿迁市政府采购网、宿迁市公共资源交易平台、江苏省财政部门指定的媒体。</w:t>
      </w:r>
      <w:r>
        <w:rPr>
          <w:rFonts w:hint="eastAsia" w:ascii="宋体" w:hAnsi="宋体" w:eastAsia="宋体" w:cs="宋体"/>
          <w:sz w:val="24"/>
          <w:szCs w:val="24"/>
          <w:highlight w:val="white"/>
        </w:rPr>
      </w:r>
      <w:r/>
    </w:p>
    <w:p>
      <w:pPr>
        <w:pStyle w:val="677"/>
        <w:ind w:firstLine="482"/>
        <w:jc w:val="left"/>
        <w:pageBreakBefore w:val="0"/>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六、其他补充事宜</w:t>
      </w:r>
      <w:bookmarkEnd w:id="34"/>
      <w:r/>
      <w:bookmarkEnd w:id="35"/>
      <w:r/>
      <w:bookmarkEnd w:id="36"/>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highlight w:val="white"/>
          <w:lang w:eastAsia="zh-CN"/>
        </w:rPr>
      </w:pPr>
      <w:r/>
      <w:bookmarkStart w:id="37" w:name="_Toc35393796"/>
      <w:r/>
      <w:bookmarkStart w:id="38" w:name="EB64e1f522fd8c43fcb4d3ba471386b3e7"/>
      <w:r/>
      <w:bookmarkStart w:id="39" w:name="_Toc35393627"/>
      <w:r/>
      <w:bookmarkStart w:id="40" w:name="_Toc28359085"/>
      <w:r/>
      <w:bookmarkStart w:id="41" w:name="_Toc38985269"/>
      <w:r/>
      <w:bookmarkStart w:id="42" w:name="_Toc28359008"/>
      <w:r>
        <w:rPr>
          <w:rFonts w:hint="eastAsia" w:ascii="宋体" w:hAnsi="宋体" w:eastAsia="宋体" w:cs="宋体"/>
          <w:sz w:val="24"/>
          <w:szCs w:val="24"/>
          <w:highlight w:val="white"/>
          <w:lang w:eastAsia="zh-CN"/>
        </w:rPr>
        <w:t xml:space="preserve">1、项目设计：达到提供本工程设计参数要求，提供所需的全部图纸，包括总平面图、工艺设计图纸、电气设计图纸、结构图纸及设备安装和基础大样图等所有图纸（即中标后可立即按照提供的图纸进行施工）。相关等且设计合理，设计依据符合相关规范及标准要求。设计深度需达到施工图标准，保证提供图纸的完整性。（本项目不支付设计费用，请各投标单位自行考虑。中标后，设计成果归招标人所有。）</w:t>
      </w:r>
      <w:r>
        <w:rPr>
          <w:rFonts w:hint="eastAsia" w:ascii="宋体" w:hAnsi="宋体" w:eastAsia="宋体" w:cs="宋体"/>
          <w:sz w:val="24"/>
          <w:szCs w:val="24"/>
          <w:highlight w:val="white"/>
          <w:lang w:eastAsia="zh-CN"/>
        </w:rPr>
      </w:r>
      <w:r/>
    </w:p>
    <w:p>
      <w:pPr>
        <w:pStyle w:val="674"/>
        <w:ind w:firstLine="480"/>
        <w:jc w:val="left"/>
        <w:pageBreakBefore w:val="0"/>
        <w:spacing w:line="420" w:lineRule="exact"/>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eastAsia="zh-CN"/>
        </w:rPr>
        <w:t xml:space="preserve">2、设备采购及安装：按照图纸设计进行采购按照</w:t>
      </w:r>
      <w:r>
        <w:rPr>
          <w:rFonts w:hint="eastAsia" w:ascii="宋体" w:hAnsi="宋体" w:eastAsia="宋体" w:cs="宋体"/>
          <w:sz w:val="24"/>
          <w:szCs w:val="24"/>
          <w:highlight w:val="none"/>
          <w:lang w:eastAsia="zh-CN"/>
        </w:rPr>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eastAsia="zh-CN"/>
        </w:rPr>
      </w:r>
      <w:r/>
    </w:p>
    <w:p>
      <w:pPr>
        <w:pStyle w:val="674"/>
        <w:ind w:firstLine="480"/>
        <w:jc w:val="left"/>
        <w:pageBreakBefore w:val="0"/>
        <w:spacing w:line="420" w:lineRule="exact"/>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eastAsia="zh-CN"/>
        </w:rPr>
        <w:t xml:space="preserve">3、项目运营：运营期365日历天，达标排放。</w:t>
      </w:r>
      <w:r>
        <w:rPr>
          <w:rFonts w:hint="eastAsia" w:ascii="宋体" w:hAnsi="宋体" w:eastAsia="宋体" w:cs="宋体"/>
          <w:sz w:val="24"/>
          <w:szCs w:val="24"/>
          <w:highlight w:val="white"/>
          <w:lang w:eastAsia="zh-CN"/>
        </w:rPr>
      </w:r>
      <w:r/>
    </w:p>
    <w:p>
      <w:pPr>
        <w:pStyle w:val="674"/>
        <w:ind w:firstLine="480"/>
        <w:jc w:val="left"/>
        <w:pageBreakBefore w:val="0"/>
        <w:spacing w:line="420" w:lineRule="exact"/>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eastAsia="zh-CN"/>
        </w:rPr>
        <w:t xml:space="preserve">4、其他内容：投标报价包含但不限于施工图设计费、可研、初设、立项、排污许可证、环评报告及验收、设备采购、施工、安装、运营费用、安评（如需要）等完成本项目所涉及到的一切相关费用。</w:t>
      </w:r>
      <w:r>
        <w:rPr>
          <w:rFonts w:hint="eastAsia" w:ascii="宋体" w:hAnsi="宋体" w:eastAsia="宋体" w:cs="宋体"/>
          <w:sz w:val="24"/>
          <w:szCs w:val="24"/>
          <w:highlight w:val="white"/>
          <w:lang w:eastAsia="zh-CN"/>
        </w:rPr>
      </w:r>
      <w:r/>
    </w:p>
    <w:p>
      <w:pPr>
        <w:pStyle w:val="674"/>
        <w:ind w:firstLine="480"/>
        <w:jc w:val="left"/>
        <w:pageBreakBefore w:val="0"/>
        <w:spacing w:line="4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5、财政部门监督电话：0527-83559270。</w:t>
      </w:r>
      <w:r>
        <w:rPr>
          <w:rFonts w:hint="eastAsia" w:ascii="宋体" w:hAnsi="宋体" w:eastAsia="宋体" w:cs="宋体"/>
          <w:sz w:val="24"/>
          <w:szCs w:val="24"/>
          <w:highlight w:val="white"/>
        </w:rPr>
      </w:r>
      <w:r/>
    </w:p>
    <w:p>
      <w:pPr>
        <w:pStyle w:val="674"/>
        <w:ind w:firstLine="480"/>
        <w:jc w:val="left"/>
        <w:pageBreakBefore w:val="0"/>
        <w:spacing w:line="4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6、“CA”数字证书办理：“苏采云”系统目前仅支持“苏采云”系统下的意源CA。省内各地区办理的“苏采云”系统下的意源CA全省通用。宿迁地区CA数字证书办理联系方式：18762803891。</w:t>
      </w:r>
      <w:r>
        <w:rPr>
          <w:rFonts w:hint="eastAsia" w:ascii="宋体" w:hAnsi="宋体" w:eastAsia="宋体" w:cs="宋体"/>
          <w:sz w:val="24"/>
          <w:szCs w:val="24"/>
          <w:highlight w:val="white"/>
        </w:rPr>
      </w:r>
      <w:r/>
    </w:p>
    <w:p>
      <w:pPr>
        <w:pStyle w:val="770"/>
        <w:ind w:firstLine="480"/>
        <w:pageBreakBefore w:val="0"/>
        <w:spacing w:line="420" w:lineRule="exact"/>
        <w:rPr>
          <w:rFonts w:hint="eastAsia" w:ascii="宋体" w:hAnsi="宋体" w:eastAsia="宋体" w:cs="宋体"/>
          <w:sz w:val="24"/>
          <w:szCs w:val="24"/>
          <w:highlight w:val="white"/>
          <w:lang w:val="en-US"/>
        </w:rPr>
      </w:pPr>
      <w:r>
        <w:rPr>
          <w:rFonts w:hint="eastAsia" w:ascii="宋体" w:hAnsi="宋体" w:eastAsia="宋体" w:cs="宋体"/>
          <w:sz w:val="24"/>
          <w:szCs w:val="24"/>
          <w:highlight w:val="white"/>
          <w:lang w:val="en-US"/>
        </w:rPr>
        <w:t xml:space="preserve">7、宿迁地区“苏采云”技术支持客服电话：0527-84225125、0519-86722806。</w:t>
      </w:r>
      <w:r>
        <w:rPr>
          <w:rFonts w:hint="eastAsia" w:ascii="宋体" w:hAnsi="宋体" w:eastAsia="宋体" w:cs="宋体"/>
          <w:sz w:val="24"/>
          <w:szCs w:val="24"/>
          <w:highlight w:val="white"/>
          <w:lang w:val="en-US"/>
        </w:rPr>
      </w:r>
      <w:r/>
    </w:p>
    <w:p>
      <w:pPr>
        <w:pStyle w:val="770"/>
        <w:ind w:firstLine="480"/>
        <w:pageBreakBefore w:val="0"/>
        <w:spacing w:line="420" w:lineRule="exact"/>
        <w:rPr>
          <w:rFonts w:hint="eastAsia" w:ascii="宋体" w:hAnsi="宋体" w:eastAsia="宋体" w:cs="宋体"/>
          <w:sz w:val="24"/>
          <w:szCs w:val="24"/>
          <w:highlight w:val="white"/>
          <w:lang w:val="en-US"/>
        </w:rPr>
      </w:pPr>
      <w:r>
        <w:rPr>
          <w:rFonts w:hint="eastAsia" w:ascii="宋体" w:hAnsi="宋体" w:eastAsia="宋体" w:cs="宋体"/>
          <w:sz w:val="24"/>
          <w:szCs w:val="24"/>
          <w:highlight w:val="white"/>
          <w:lang w:val="en-US"/>
        </w:rPr>
        <w:t xml:space="preserve">8、如果投标人通过苏采云系统参与政府采购项目，相关操作手册详见链接：</w:t>
      </w:r>
      <w:r>
        <w:rPr>
          <w:rFonts w:hint="eastAsia" w:ascii="宋体" w:hAnsi="宋体" w:eastAsia="宋体" w:cs="宋体"/>
          <w:spacing w:val="-6"/>
          <w:sz w:val="24"/>
          <w:szCs w:val="24"/>
          <w:highlight w:val="white"/>
          <w:lang w:val="en-US"/>
        </w:rPr>
        <w:t xml:space="preserve">http://www.ccgp-jiangsu.gov.cn/jiangsu/zlxz/ee/ee3a4bc5a3454aa2b0d9312230633ce9.html。</w:t>
      </w:r>
      <w:r>
        <w:rPr>
          <w:rFonts w:hint="eastAsia" w:ascii="宋体" w:hAnsi="宋体" w:eastAsia="宋体" w:cs="宋体"/>
          <w:sz w:val="24"/>
          <w:szCs w:val="24"/>
          <w:highlight w:val="white"/>
          <w:lang w:val="en-US"/>
        </w:rPr>
      </w:r>
      <w:r/>
    </w:p>
    <w:p>
      <w:pPr>
        <w:pStyle w:val="674"/>
        <w:ind w:firstLine="480"/>
        <w:jc w:val="left"/>
        <w:pageBreakBefore w:val="0"/>
        <w:spacing w:line="420" w:lineRule="exact"/>
        <w:rPr>
          <w:rFonts w:hint="eastAsia" w:ascii="宋体" w:hAnsi="宋体" w:eastAsia="宋体" w:cs="宋体"/>
          <w:b/>
          <w:bCs/>
          <w:iCs/>
          <w:sz w:val="24"/>
          <w:szCs w:val="24"/>
          <w:highlight w:val="white"/>
        </w:rPr>
      </w:pPr>
      <w:r/>
      <w:bookmarkEnd w:id="38"/>
      <w:r>
        <w:rPr>
          <w:rFonts w:hint="eastAsia" w:ascii="宋体" w:hAnsi="宋体" w:eastAsia="宋体" w:cs="宋体"/>
          <w:sz w:val="24"/>
          <w:szCs w:val="24"/>
          <w:highlight w:val="white"/>
        </w:rPr>
        <w:t xml:space="preserve">9、现场勘察及答疑：本项目不组织集中勘察及答疑，投标人如对采购需求有疑问，请咨询采购单位联系人。 </w:t>
      </w:r>
      <w:r>
        <w:rPr>
          <w:rFonts w:hint="eastAsia" w:ascii="宋体" w:hAnsi="宋体" w:eastAsia="宋体" w:cs="宋体"/>
          <w:b/>
          <w:bCs/>
          <w:iCs/>
          <w:sz w:val="24"/>
          <w:szCs w:val="24"/>
          <w:highlight w:val="white"/>
        </w:rPr>
      </w:r>
      <w:r/>
    </w:p>
    <w:p>
      <w:pPr>
        <w:pStyle w:val="677"/>
        <w:ind w:firstLine="482"/>
        <w:jc w:val="left"/>
        <w:pageBreakBefore w:val="0"/>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七、本次招标联系方式</w:t>
      </w:r>
      <w:bookmarkEnd w:id="37"/>
      <w:r/>
      <w:bookmarkEnd w:id="39"/>
      <w:r/>
      <w:bookmarkEnd w:id="40"/>
      <w:r/>
      <w:bookmarkEnd w:id="41"/>
      <w:r/>
      <w:bookmarkEnd w:id="42"/>
      <w:r>
        <w:rPr>
          <w:rFonts w:hint="eastAsia" w:ascii="宋体" w:hAnsi="宋体" w:eastAsia="宋体" w:cs="宋体"/>
          <w:sz w:val="24"/>
          <w:szCs w:val="24"/>
        </w:rPr>
      </w:r>
      <w:r/>
    </w:p>
    <w:p>
      <w:pPr>
        <w:pStyle w:val="674"/>
        <w:ind w:firstLine="480"/>
        <w:jc w:val="left"/>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招标人名称：沭阳县住房和城乡建设局</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地  址：沭阳县康平路2号建设大厦</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联系人：贾红  联系电话：13605240901 </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代理机构名称：江苏中置宏胜项目管理有限公司</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地址： 沭阳县中宝大厦6楼</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黄钰</w:t>
      </w:r>
      <w:r>
        <w:rPr>
          <w:rFonts w:hint="eastAsia" w:ascii="宋体" w:hAnsi="宋体" w:eastAsia="宋体" w:cs="宋体"/>
          <w:sz w:val="24"/>
          <w:szCs w:val="24"/>
        </w:rPr>
        <w:t xml:space="preserve">  联系电话：</w:t>
      </w:r>
      <w:r>
        <w:rPr>
          <w:rFonts w:hint="eastAsia" w:ascii="宋体" w:hAnsi="宋体" w:eastAsia="宋体" w:cs="宋体"/>
          <w:sz w:val="24"/>
          <w:szCs w:val="24"/>
          <w:lang w:eastAsia="zh-CN"/>
        </w:rPr>
        <w:t xml:space="preserve">13951593471</w:t>
      </w:r>
      <w:r>
        <w:rPr>
          <w:rFonts w:hint="eastAsia" w:ascii="宋体" w:hAnsi="宋体" w:eastAsia="宋体" w:cs="宋体"/>
          <w:sz w:val="24"/>
          <w:szCs w:val="24"/>
          <w:lang w:eastAsia="zh-CN"/>
        </w:rPr>
      </w:r>
      <w:r/>
    </w:p>
    <w:p>
      <w:pPr>
        <w:pStyle w:val="677"/>
        <w:ind w:firstLine="482"/>
        <w:jc w:val="left"/>
        <w:pageBreakBefore w:val="0"/>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八、其他</w:t>
      </w:r>
      <w:r>
        <w:rPr>
          <w:rFonts w:hint="eastAsia" w:ascii="宋体" w:hAnsi="宋体" w:eastAsia="宋体" w:cs="宋体"/>
          <w:sz w:val="24"/>
          <w:szCs w:val="24"/>
        </w:rPr>
      </w:r>
      <w:r/>
    </w:p>
    <w:p>
      <w:pPr>
        <w:pStyle w:val="674"/>
        <w:ind w:firstLine="480"/>
        <w:jc w:val="left"/>
        <w:pageBreakBefore w:val="0"/>
        <w:spacing w:line="420" w:lineRule="exact"/>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1、有关本次招标的事项若存在变动或修改，敬请及时关注“宿迁市政府采购网”更正公告。</w:t>
      </w:r>
      <w:r>
        <w:rPr>
          <w:rFonts w:hint="eastAsia" w:ascii="宋体" w:hAnsi="宋体" w:eastAsia="宋体" w:cs="宋体"/>
          <w:iCs/>
          <w:sz w:val="24"/>
          <w:szCs w:val="24"/>
          <w:highlight w:val="white"/>
        </w:rPr>
      </w:r>
      <w:r/>
    </w:p>
    <w:p>
      <w:pPr>
        <w:pStyle w:val="674"/>
        <w:ind w:firstLine="482"/>
        <w:jc w:val="left"/>
        <w:pageBreakBefore w:val="0"/>
        <w:spacing w:line="420" w:lineRule="exact"/>
        <w:tabs>
          <w:tab w:val="left" w:pos="900" w:leader="none"/>
        </w:tabs>
        <w:rPr>
          <w:rFonts w:hint="eastAsia" w:ascii="宋体" w:hAnsi="宋体" w:eastAsia="宋体" w:cs="宋体"/>
          <w:bCs/>
          <w:sz w:val="24"/>
          <w:szCs w:val="24"/>
        </w:rPr>
      </w:pPr>
      <w:r>
        <w:rPr>
          <w:rFonts w:hint="eastAsia" w:ascii="宋体" w:hAnsi="宋体" w:eastAsia="宋体" w:cs="宋体"/>
          <w:b/>
          <w:bCs/>
          <w:iCs/>
          <w:sz w:val="24"/>
          <w:szCs w:val="24"/>
          <w:highlight w:val="white"/>
        </w:rPr>
        <w:t xml:space="preserve">2、</w:t>
      </w:r>
      <w:r>
        <w:rPr>
          <w:rFonts w:hint="eastAsia" w:ascii="宋体" w:hAnsi="宋体" w:eastAsia="宋体" w:cs="宋体"/>
          <w:bCs/>
          <w:sz w:val="24"/>
          <w:szCs w:val="24"/>
        </w:rPr>
        <w:t xml:space="preserve">本次招标不收取投标保证金。</w:t>
      </w:r>
      <w:r>
        <w:rPr>
          <w:rFonts w:hint="eastAsia" w:ascii="宋体" w:hAnsi="宋体" w:eastAsia="宋体" w:cs="宋体"/>
          <w:bCs/>
          <w:sz w:val="24"/>
          <w:szCs w:val="24"/>
        </w:rPr>
      </w:r>
      <w:r/>
    </w:p>
    <w:p>
      <w:pPr>
        <w:pStyle w:val="676"/>
        <w:ind w:firstLine="2429"/>
        <w:jc w:val="both"/>
        <w:rPr>
          <w:rFonts w:hint="eastAsia" w:ascii="Times New Roman" w:hAnsi="Times New Roman" w:eastAsia="黑体"/>
          <w:b w:val="0"/>
          <w:bCs w:val="0"/>
        </w:rPr>
      </w:pPr>
      <w:r/>
      <w:bookmarkStart w:id="43" w:name="_Toc120614211"/>
      <w:r>
        <w:rPr>
          <w:rFonts w:hint="eastAsia" w:ascii="Times New Roman" w:hAnsi="Times New Roman" w:eastAsia="黑体"/>
        </w:rPr>
        <w:br w:type="page" w:clear="all"/>
      </w:r>
      <w:r>
        <w:rPr>
          <w:rFonts w:hint="eastAsia" w:ascii="Times New Roman" w:hAnsi="Times New Roman" w:eastAsia="黑体"/>
        </w:rPr>
        <w:t xml:space="preserve">第二章  </w:t>
      </w:r>
      <w:bookmarkEnd w:id="1"/>
      <w:r/>
      <w:bookmarkEnd w:id="2"/>
      <w:r/>
      <w:bookmarkEnd w:id="3"/>
      <w:r/>
      <w:bookmarkEnd w:id="4"/>
      <w:r/>
      <w:bookmarkEnd w:id="5"/>
      <w:r/>
      <w:bookmarkEnd w:id="43"/>
      <w:r/>
      <w:bookmarkStart w:id="44" w:name="_Toc16938518"/>
      <w:r/>
      <w:bookmarkStart w:id="45" w:name="_Toc120614213"/>
      <w:r/>
      <w:bookmarkStart w:id="46" w:name="_Toc20823274"/>
      <w:r/>
      <w:bookmarkStart w:id="47" w:name="_Toc513029202"/>
      <w:r>
        <w:rPr>
          <w:rFonts w:hint="eastAsia" w:ascii="Times New Roman" w:hAnsi="Times New Roman" w:eastAsia="黑体"/>
        </w:rPr>
        <w:t xml:space="preserve">投标人须知</w:t>
      </w:r>
      <w:bookmarkEnd w:id="44"/>
      <w:r/>
      <w:bookmarkEnd w:id="45"/>
      <w:r/>
      <w:bookmarkEnd w:id="46"/>
      <w:r/>
      <w:bookmarkEnd w:id="47"/>
      <w:r>
        <w:rPr>
          <w:rFonts w:hint="eastAsia" w:ascii="Times New Roman" w:hAnsi="Times New Roman" w:eastAsia="黑体"/>
          <w:b w:val="0"/>
          <w:bCs w:val="0"/>
        </w:rPr>
      </w:r>
      <w:r/>
    </w:p>
    <w:p>
      <w:pPr>
        <w:pStyle w:val="677"/>
        <w:ind w:left="0" w:firstLine="482"/>
        <w:jc w:val="left"/>
        <w:pageBreakBefore w:val="0"/>
        <w:spacing w:before="0" w:after="0" w:line="400" w:lineRule="exact"/>
        <w:widowControl w:val="off"/>
        <w:rPr>
          <w:rFonts w:hint="eastAsia" w:ascii="宋体" w:hAnsi="宋体" w:eastAsia="宋体" w:cs="宋体"/>
          <w:sz w:val="24"/>
          <w:szCs w:val="24"/>
        </w:rPr>
      </w:pPr>
      <w:r/>
      <w:bookmarkStart w:id="48" w:name="_Toc513029203"/>
      <w:r/>
      <w:bookmarkStart w:id="49" w:name="_Toc20823275"/>
      <w:r/>
      <w:bookmarkStart w:id="50" w:name="_Toc120614214"/>
      <w:r/>
      <w:bookmarkStart w:id="51" w:name="_Toc16938519"/>
      <w:r>
        <w:rPr>
          <w:rFonts w:hint="eastAsia" w:ascii="宋体" w:hAnsi="宋体" w:eastAsia="宋体" w:cs="宋体"/>
          <w:sz w:val="24"/>
          <w:szCs w:val="24"/>
        </w:rPr>
        <w:t xml:space="preserve">一、总则</w:t>
      </w:r>
      <w:bookmarkEnd w:id="48"/>
      <w:r/>
      <w:bookmarkEnd w:id="49"/>
      <w:r/>
      <w:bookmarkEnd w:id="50"/>
      <w:r/>
      <w:bookmarkEnd w:id="51"/>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52" w:name="_Hlt16619475"/>
      <w:r/>
      <w:bookmarkEnd w:id="52"/>
      <w:r/>
      <w:bookmarkStart w:id="53" w:name="_Toc458694821"/>
      <w:r/>
      <w:bookmarkStart w:id="54" w:name="_Toc16938520"/>
      <w:r/>
      <w:bookmarkStart w:id="55" w:name="_Toc513029204"/>
      <w:r/>
      <w:bookmarkStart w:id="56" w:name="_Toc20823276"/>
      <w:r>
        <w:rPr>
          <w:rFonts w:hint="eastAsia" w:ascii="宋体" w:hAnsi="宋体" w:eastAsia="宋体" w:cs="宋体"/>
          <w:b w:val="0"/>
          <w:bCs w:val="0"/>
          <w:sz w:val="24"/>
          <w:szCs w:val="24"/>
        </w:rPr>
        <w:t xml:space="preserve">1</w:t>
      </w:r>
      <w:bookmarkEnd w:id="53"/>
      <w:r>
        <w:rPr>
          <w:rFonts w:hint="eastAsia" w:ascii="宋体" w:hAnsi="宋体" w:eastAsia="宋体" w:cs="宋体"/>
          <w:b w:val="0"/>
          <w:bCs w:val="0"/>
          <w:sz w:val="24"/>
          <w:szCs w:val="24"/>
        </w:rPr>
        <w:t xml:space="preserve">、招标方式</w:t>
      </w:r>
      <w:bookmarkEnd w:id="54"/>
      <w:r/>
      <w:bookmarkEnd w:id="55"/>
      <w:r/>
      <w:bookmarkEnd w:id="56"/>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57" w:name="_Toc16938521"/>
      <w:r/>
      <w:bookmarkStart w:id="58" w:name="_Toc20823277"/>
      <w:r/>
      <w:bookmarkStart w:id="59" w:name="_Toc513029205"/>
      <w:r>
        <w:rPr>
          <w:rFonts w:hint="eastAsia" w:ascii="宋体" w:hAnsi="宋体" w:eastAsia="宋体" w:cs="宋体"/>
          <w:b w:val="0"/>
          <w:bCs w:val="0"/>
          <w:sz w:val="24"/>
          <w:szCs w:val="24"/>
        </w:rPr>
        <w:t xml:space="preserve">2、合格的投标人</w:t>
      </w:r>
      <w:bookmarkEnd w:id="57"/>
      <w:r/>
      <w:bookmarkEnd w:id="58"/>
      <w:r/>
      <w:bookmarkEnd w:id="59"/>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2.1满足招标公告中投标人的资格要求的规定。</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60" w:name="_Toc16938522"/>
      <w:r/>
      <w:bookmarkStart w:id="61" w:name="_Toc513029206"/>
      <w:r/>
      <w:bookmarkStart w:id="62" w:name="_Toc20823278"/>
      <w:r>
        <w:rPr>
          <w:rFonts w:hint="eastAsia" w:ascii="宋体" w:hAnsi="宋体" w:eastAsia="宋体" w:cs="宋体"/>
          <w:b w:val="0"/>
          <w:bCs w:val="0"/>
          <w:sz w:val="24"/>
          <w:szCs w:val="24"/>
        </w:rPr>
        <w:t xml:space="preserve">3、适用法律</w:t>
      </w:r>
      <w:bookmarkEnd w:id="60"/>
      <w:r/>
      <w:bookmarkEnd w:id="61"/>
      <w:r/>
      <w:bookmarkEnd w:id="62"/>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63" w:name="_Toc462564067"/>
      <w:r/>
      <w:bookmarkStart w:id="64" w:name="_Toc16938523"/>
      <w:r/>
      <w:bookmarkStart w:id="65" w:name="_Toc20823279"/>
      <w:r/>
      <w:bookmarkStart w:id="66" w:name="_Toc513029207"/>
      <w:r>
        <w:rPr>
          <w:rFonts w:hint="eastAsia" w:ascii="宋体" w:hAnsi="宋体" w:eastAsia="宋体" w:cs="宋体"/>
          <w:b w:val="0"/>
          <w:bCs w:val="0"/>
          <w:sz w:val="24"/>
          <w:szCs w:val="24"/>
        </w:rPr>
        <w:t xml:space="preserve">4、投标费用</w:t>
      </w:r>
      <w:bookmarkEnd w:id="63"/>
      <w:r/>
      <w:bookmarkEnd w:id="64"/>
      <w:r/>
      <w:bookmarkEnd w:id="65"/>
      <w:r/>
      <w:bookmarkEnd w:id="66"/>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w:t>
      </w:r>
      <w:r>
        <w:rPr>
          <w:rFonts w:hint="eastAsia" w:ascii="宋体" w:hAnsi="宋体" w:eastAsia="宋体" w:cs="宋体"/>
          <w:sz w:val="24"/>
          <w:szCs w:val="24"/>
          <w:u w:val="single"/>
        </w:rPr>
        <w:t xml:space="preserve">江苏中置宏胜项目管理有限公司</w:t>
      </w:r>
      <w:r>
        <w:rPr>
          <w:rFonts w:hint="eastAsia" w:ascii="宋体" w:hAnsi="宋体" w:eastAsia="宋体" w:cs="宋体"/>
          <w:sz w:val="24"/>
          <w:szCs w:val="24"/>
        </w:rPr>
        <w:t xml:space="preserve">（以下简称采购代理机构）在任何情况下均无义务和责任承担这些费用。</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4.2代理费用收取方式及标准：按以下第</w:t>
      </w:r>
      <w:r>
        <w:rPr>
          <w:rFonts w:hint="eastAsia" w:ascii="宋体" w:hAnsi="宋体" w:eastAsia="宋体" w:cs="宋体"/>
          <w:sz w:val="24"/>
          <w:szCs w:val="24"/>
          <w:highlight w:val="none"/>
          <w:u w:val="single"/>
        </w:rPr>
        <w:t xml:space="preserve"> 4.2.2 </w:t>
      </w:r>
      <w:r>
        <w:rPr>
          <w:rFonts w:hint="eastAsia" w:ascii="宋体" w:hAnsi="宋体" w:eastAsia="宋体" w:cs="宋体"/>
          <w:sz w:val="24"/>
          <w:szCs w:val="24"/>
        </w:rPr>
        <w:t xml:space="preserve"> 种方式执行</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4.2.1无需支付；</w:t>
      </w:r>
      <w:r>
        <w:rPr>
          <w:rFonts w:hint="eastAsia" w:ascii="宋体" w:hAnsi="宋体" w:eastAsia="宋体" w:cs="宋体"/>
          <w:sz w:val="24"/>
          <w:szCs w:val="24"/>
          <w:lang w:val="zh-CN"/>
        </w:rPr>
      </w:r>
      <w:r/>
    </w:p>
    <w:p>
      <w:pPr>
        <w:pStyle w:val="770"/>
        <w:ind w:left="0" w:firstLine="480"/>
        <w:jc w:val="left"/>
        <w:pageBreakBefore w:val="0"/>
        <w:spacing w:line="40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zh-CN"/>
        </w:rPr>
        <w:t xml:space="preserve">4.2.2具体方式及标准为：按照“苏招协[2022]002 号文件”规定支付招标代理服务费。（支持数字人民币形式支付）</w:t>
      </w:r>
      <w:r>
        <w:rPr>
          <w:rFonts w:hint="eastAsia" w:ascii="宋体" w:hAnsi="宋体" w:eastAsia="宋体" w:cs="宋体"/>
          <w:sz w:val="24"/>
          <w:szCs w:val="24"/>
          <w:lang w:val="en-US"/>
        </w:rPr>
        <w:t xml:space="preserve"> </w:t>
      </w:r>
      <w:r>
        <w:rPr>
          <w:rFonts w:hint="eastAsia" w:ascii="宋体" w:hAnsi="宋体" w:eastAsia="宋体" w:cs="宋体"/>
          <w:sz w:val="24"/>
          <w:szCs w:val="24"/>
          <w:lang w:val="en-US"/>
        </w:rPr>
      </w:r>
      <w:r/>
    </w:p>
    <w:p>
      <w:pPr>
        <w:pStyle w:val="678"/>
        <w:ind w:left="0" w:firstLine="482"/>
        <w:jc w:val="left"/>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5、</w:t>
      </w:r>
      <w:r>
        <w:rPr>
          <w:rFonts w:hint="eastAsia" w:ascii="宋体" w:hAnsi="宋体" w:eastAsia="宋体" w:cs="宋体"/>
          <w:b w:val="0"/>
          <w:bCs w:val="0"/>
          <w:sz w:val="24"/>
          <w:szCs w:val="24"/>
        </w:rPr>
        <w:t xml:space="preserve">招标文件的约束力</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投标人一旦参加本项目采购活动，即被认为接受了本招标文件的规定和约束。</w:t>
      </w:r>
      <w:r>
        <w:rPr>
          <w:rFonts w:hint="eastAsia" w:ascii="宋体" w:hAnsi="宋体" w:eastAsia="宋体" w:cs="宋体"/>
          <w:sz w:val="24"/>
          <w:szCs w:val="24"/>
        </w:rPr>
      </w:r>
      <w:r/>
    </w:p>
    <w:p>
      <w:pPr>
        <w:pStyle w:val="677"/>
        <w:ind w:left="0" w:firstLine="482"/>
        <w:jc w:val="left"/>
        <w:pageBreakBefore w:val="0"/>
        <w:spacing w:before="0" w:after="0" w:line="400" w:lineRule="exact"/>
        <w:widowControl w:val="off"/>
        <w:rPr>
          <w:rFonts w:hint="eastAsia" w:ascii="宋体" w:hAnsi="宋体" w:eastAsia="宋体" w:cs="宋体"/>
          <w:sz w:val="24"/>
          <w:szCs w:val="24"/>
        </w:rPr>
      </w:pPr>
      <w:r/>
      <w:bookmarkStart w:id="67" w:name="_Toc120614215"/>
      <w:r/>
      <w:bookmarkStart w:id="68" w:name="_Toc20823281"/>
      <w:r/>
      <w:bookmarkStart w:id="69" w:name="_Toc513029209"/>
      <w:r/>
      <w:bookmarkStart w:id="70" w:name="_Toc16938525"/>
      <w:r>
        <w:rPr>
          <w:rFonts w:hint="eastAsia" w:ascii="宋体" w:hAnsi="宋体" w:eastAsia="宋体" w:cs="宋体"/>
          <w:sz w:val="24"/>
          <w:szCs w:val="24"/>
        </w:rPr>
        <w:t xml:space="preserve">二、招标文件</w:t>
      </w:r>
      <w:bookmarkEnd w:id="67"/>
      <w:r/>
      <w:bookmarkEnd w:id="68"/>
      <w:r/>
      <w:bookmarkEnd w:id="69"/>
      <w:r/>
      <w:bookmarkEnd w:id="70"/>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71" w:name="_Toc16938526"/>
      <w:r/>
      <w:bookmarkStart w:id="72" w:name="_Toc20823282"/>
      <w:r/>
      <w:bookmarkStart w:id="73" w:name="_Toc513029210"/>
      <w:r>
        <w:rPr>
          <w:rFonts w:hint="eastAsia" w:ascii="宋体" w:hAnsi="宋体" w:eastAsia="宋体" w:cs="宋体"/>
          <w:b w:val="0"/>
          <w:bCs w:val="0"/>
          <w:sz w:val="24"/>
          <w:szCs w:val="24"/>
        </w:rPr>
        <w:t xml:space="preserve">6、招标文件构成</w:t>
      </w:r>
      <w:bookmarkEnd w:id="71"/>
      <w:r/>
      <w:bookmarkEnd w:id="72"/>
      <w:r/>
      <w:bookmarkEnd w:id="73"/>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 招标文件由以下部分组成：</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eastAsia="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74" w:name="_Toc16938527"/>
      <w:r/>
      <w:bookmarkStart w:id="75" w:name="_Toc513029211"/>
      <w:r/>
      <w:bookmarkStart w:id="76" w:name="_Toc20823283"/>
      <w:r/>
      <w:bookmarkStart w:id="77" w:name="_Toc462564070"/>
      <w:r>
        <w:rPr>
          <w:rFonts w:hint="eastAsia" w:ascii="宋体" w:hAnsi="宋体" w:eastAsia="宋体" w:cs="宋体"/>
          <w:b w:val="0"/>
          <w:bCs w:val="0"/>
          <w:sz w:val="24"/>
          <w:szCs w:val="24"/>
        </w:rPr>
        <w:t xml:space="preserve">7、招标文件的澄清</w:t>
      </w:r>
      <w:bookmarkEnd w:id="74"/>
      <w:r/>
      <w:bookmarkEnd w:id="75"/>
      <w:r/>
      <w:bookmarkEnd w:id="76"/>
      <w:r/>
      <w:bookmarkEnd w:id="77"/>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7.1</w:t>
      </w:r>
      <w:r>
        <w:rPr>
          <w:rFonts w:hint="eastAsia" w:ascii="宋体" w:hAnsi="宋体" w:eastAsia="宋体" w:cs="宋体"/>
          <w:sz w:val="24"/>
          <w:szCs w:val="24"/>
        </w:rPr>
        <w:t xml:space="preserve"> 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前按招标公告中的通讯地址，以书面形式通知采购代理机构。</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78" w:name="_Toc462564071"/>
      <w:r/>
      <w:bookmarkStart w:id="79" w:name="_Toc513029212"/>
      <w:r/>
      <w:bookmarkStart w:id="80" w:name="_Toc16938528"/>
      <w:r/>
      <w:bookmarkStart w:id="81" w:name="_Toc20823284"/>
      <w:r>
        <w:rPr>
          <w:rFonts w:hint="eastAsia" w:ascii="宋体" w:hAnsi="宋体" w:eastAsia="宋体" w:cs="宋体"/>
          <w:b w:val="0"/>
          <w:bCs w:val="0"/>
          <w:sz w:val="24"/>
          <w:szCs w:val="24"/>
        </w:rPr>
        <w:t xml:space="preserve">8、招标文件的修改</w:t>
      </w:r>
      <w:bookmarkEnd w:id="78"/>
      <w:r/>
      <w:bookmarkEnd w:id="79"/>
      <w:r/>
      <w:bookmarkEnd w:id="80"/>
      <w:r/>
      <w:bookmarkEnd w:id="81"/>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8.2 在投标截止时间前，采购代理机构可以对招标文件进行修改。</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8.3 采购代理机构有权按照法定的要求推迟投标截止日期和开标日期。</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8.4招标文件的修改将在原公告媒体上发布更正公告，补充文件将作为招标文件的组成部分，并对投标人具有约束力。</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8.5投标人应及时登录“苏采云”系统获取澄清答疑文件（修改后招标文件），如因投标人原因未能及时下载澄清和修改后的招标文件，由此造成的相关责任，由投标人承担。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bCs/>
          <w:sz w:val="24"/>
          <w:szCs w:val="24"/>
        </w:rPr>
      </w:r>
      <w:r/>
    </w:p>
    <w:p>
      <w:pPr>
        <w:pStyle w:val="677"/>
        <w:ind w:left="0" w:firstLine="482"/>
        <w:jc w:val="left"/>
        <w:pageBreakBefore w:val="0"/>
        <w:spacing w:before="0" w:after="0" w:line="400" w:lineRule="exact"/>
        <w:widowControl w:val="off"/>
        <w:rPr>
          <w:rFonts w:hint="eastAsia" w:ascii="宋体" w:hAnsi="宋体" w:eastAsia="宋体" w:cs="宋体"/>
          <w:sz w:val="24"/>
          <w:szCs w:val="24"/>
        </w:rPr>
      </w:pPr>
      <w:r/>
      <w:bookmarkStart w:id="82" w:name="_Toc513029213"/>
      <w:r/>
      <w:bookmarkStart w:id="83" w:name="_Toc462564072"/>
      <w:r/>
      <w:bookmarkStart w:id="84" w:name="_Toc16938529"/>
      <w:r/>
      <w:bookmarkStart w:id="85" w:name="_Toc20823285"/>
      <w:r/>
      <w:bookmarkStart w:id="86" w:name="_Toc120614216"/>
      <w:r>
        <w:rPr>
          <w:rFonts w:hint="eastAsia" w:ascii="宋体" w:hAnsi="宋体" w:eastAsia="宋体" w:cs="宋体"/>
          <w:sz w:val="24"/>
          <w:szCs w:val="24"/>
        </w:rPr>
        <w:t xml:space="preserve">三、投标文件的编制</w:t>
      </w:r>
      <w:bookmarkEnd w:id="82"/>
      <w:r/>
      <w:bookmarkEnd w:id="83"/>
      <w:r/>
      <w:bookmarkEnd w:id="84"/>
      <w:r/>
      <w:bookmarkEnd w:id="85"/>
      <w:r/>
      <w:bookmarkEnd w:id="86"/>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Cs w:val="0"/>
          <w:sz w:val="24"/>
          <w:szCs w:val="24"/>
        </w:rPr>
      </w:pPr>
      <w:r/>
      <w:bookmarkStart w:id="87" w:name="_Toc462564073"/>
      <w:r/>
      <w:bookmarkStart w:id="88" w:name="_Toc20823286"/>
      <w:r/>
      <w:bookmarkStart w:id="89" w:name="_Toc16938530"/>
      <w:r/>
      <w:bookmarkStart w:id="90" w:name="_Toc513029214"/>
      <w:r>
        <w:rPr>
          <w:rFonts w:hint="eastAsia" w:ascii="宋体" w:hAnsi="宋体" w:eastAsia="宋体" w:cs="宋体"/>
          <w:b w:val="0"/>
          <w:bCs w:val="0"/>
          <w:sz w:val="24"/>
          <w:szCs w:val="24"/>
        </w:rPr>
        <w:t xml:space="preserve">9、投标文件的语言及度量衡单位</w:t>
      </w:r>
      <w:bookmarkEnd w:id="87"/>
      <w:r/>
      <w:bookmarkEnd w:id="88"/>
      <w:r/>
      <w:bookmarkEnd w:id="89"/>
      <w:r/>
      <w:bookmarkEnd w:id="90"/>
      <w:r>
        <w:rPr>
          <w:rFonts w:hint="eastAsia" w:ascii="宋体" w:hAnsi="宋体" w:eastAsia="宋体" w:cs="宋体"/>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 除技术性能另有规定外，投标文件所使用的度量衡单位，均须采用国家法定计量单位。</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91" w:name="_Toc20823287"/>
      <w:r/>
      <w:bookmarkStart w:id="92" w:name="_Toc462564074"/>
      <w:r/>
      <w:bookmarkStart w:id="93" w:name="_Toc16938531"/>
      <w:r/>
      <w:bookmarkStart w:id="94" w:name="_Toc513029215"/>
      <w:r>
        <w:rPr>
          <w:rFonts w:hint="eastAsia" w:ascii="宋体" w:hAnsi="宋体" w:eastAsia="宋体" w:cs="宋体"/>
          <w:b w:val="0"/>
          <w:bCs w:val="0"/>
          <w:sz w:val="24"/>
          <w:szCs w:val="24"/>
        </w:rPr>
        <w:t xml:space="preserve">10、投标文件构成</w:t>
      </w:r>
      <w:bookmarkEnd w:id="91"/>
      <w:r/>
      <w:bookmarkEnd w:id="92"/>
      <w:r/>
      <w:bookmarkEnd w:id="93"/>
      <w:r/>
      <w:bookmarkEnd w:id="94"/>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各投标人在编制投标文件时请按照招标文件第六</w:t>
      </w:r>
      <w:r>
        <w:rPr>
          <w:rFonts w:hint="eastAsia" w:ascii="宋体" w:hAnsi="宋体" w:eastAsia="宋体" w:cs="宋体"/>
          <w:bCs/>
          <w:sz w:val="24"/>
          <w:szCs w:val="24"/>
        </w:rPr>
        <w:t xml:space="preserve">章</w:t>
      </w:r>
      <w:r>
        <w:rPr>
          <w:rFonts w:hint="eastAsia" w:ascii="宋体" w:hAnsi="宋体" w:eastAsia="宋体" w:cs="宋体"/>
          <w:bCs/>
          <w:sz w:val="24"/>
          <w:szCs w:val="24"/>
          <w:lang w:val="zh-CN"/>
        </w:rPr>
        <w:t xml:space="preserve">规定的格式进行，混乱的编排导致投标文件被误读或评委会查找不到有效文件是投标人的风险。</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投标人编写的投标文件应包括资格证明文件、符合性证明文件、投标分项报价表、响应及偏离表、其他证明文件、投标函、开标一览表等部分。</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10.2 如标书制作工具中格式和内容与“宿迁市政府采购网”发布的招标文件不一致，请以“宿迁市政府采购网”发布的招标文件为准。</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10.6中标后按相关要求提供与电子投标文件一致的纸质打印投标文件2份。 </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bookmarkStart w:id="95" w:name="EBc50e2bb832bb43068403b10c1cce6141"/>
      <w:r>
        <w:rPr>
          <w:rFonts w:hint="eastAsia" w:ascii="宋体" w:hAnsi="宋体" w:eastAsia="宋体" w:cs="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5"/>
      <w:r>
        <w:rPr>
          <w:rFonts w:hint="eastAsia" w:ascii="宋体" w:hAnsi="宋体" w:eastAsia="宋体" w:cs="宋体"/>
          <w:bCs/>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96" w:name="_Hlt26670360"/>
      <w:r/>
      <w:bookmarkEnd w:id="96"/>
      <w:r/>
      <w:bookmarkStart w:id="97" w:name="_Hlt26954838"/>
      <w:r/>
      <w:bookmarkEnd w:id="97"/>
      <w:r/>
      <w:bookmarkStart w:id="98" w:name="_Hlt26668975"/>
      <w:r/>
      <w:bookmarkEnd w:id="98"/>
      <w:r/>
      <w:bookmarkStart w:id="99" w:name="_Toc14577357"/>
      <w:r/>
      <w:bookmarkStart w:id="100" w:name="_Toc49090509"/>
      <w:r/>
      <w:bookmarkStart w:id="101" w:name="_Toc513029219"/>
      <w:r/>
      <w:bookmarkStart w:id="102" w:name="_Toc513029216"/>
      <w:r/>
      <w:bookmarkStart w:id="103" w:name="_Toc49090507"/>
      <w:r/>
      <w:bookmarkStart w:id="104" w:name="_Toc14577354"/>
      <w:r>
        <w:rPr>
          <w:rFonts w:hint="eastAsia" w:ascii="宋体" w:hAnsi="宋体" w:eastAsia="宋体" w:cs="宋体"/>
          <w:b w:val="0"/>
          <w:bCs w:val="0"/>
          <w:sz w:val="24"/>
          <w:szCs w:val="24"/>
        </w:rPr>
        <w:t xml:space="preserve">11、证明投标人及投标标的符合招标文件规定的文件</w:t>
      </w:r>
      <w:bookmarkEnd w:id="99"/>
      <w:r/>
      <w:bookmarkEnd w:id="100"/>
      <w:r/>
      <w:bookmarkEnd w:id="101"/>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bookmarkEnd w:id="102"/>
      <w:r/>
      <w:bookmarkEnd w:id="103"/>
      <w:r/>
      <w:bookmarkEnd w:id="104"/>
      <w:r/>
      <w:bookmarkStart w:id="105" w:name="_Toc14577355"/>
      <w:r/>
      <w:bookmarkStart w:id="106"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12、投标分项报价</w:t>
      </w:r>
      <w:bookmarkEnd w:id="105"/>
      <w:r/>
      <w:bookmarkStart w:id="107" w:name="_Hlt26670373"/>
      <w:r/>
      <w:bookmarkEnd w:id="107"/>
      <w:r>
        <w:rPr>
          <w:rFonts w:hint="eastAsia" w:ascii="宋体" w:hAnsi="宋体" w:eastAsia="宋体" w:cs="宋体"/>
          <w:b w:val="0"/>
          <w:bCs w:val="0"/>
          <w:sz w:val="24"/>
          <w:szCs w:val="24"/>
        </w:rPr>
        <w:t xml:space="preserve">表</w:t>
      </w:r>
      <w:bookmarkEnd w:id="106"/>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 投</w:t>
      </w:r>
      <w:bookmarkStart w:id="108" w:name="_Hlt26954840"/>
      <w:r/>
      <w:bookmarkEnd w:id="108"/>
      <w:r>
        <w:rPr>
          <w:rFonts w:hint="eastAsia" w:ascii="宋体" w:hAnsi="宋体" w:eastAsia="宋体" w:cs="宋体"/>
          <w:sz w:val="24"/>
          <w:szCs w:val="24"/>
        </w:rPr>
        <w:t xml:space="preserve">标人应按照招标文件规定格式填报投标分项报价表</w:t>
      </w:r>
      <w:bookmarkStart w:id="109" w:name="_Hlt26670399"/>
      <w:r/>
      <w:bookmarkEnd w:id="109"/>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highlight w:val="yellow"/>
        </w:rPr>
      </w:pPr>
      <w:r>
        <w:rPr>
          <w:rFonts w:hint="eastAsia" w:ascii="宋体" w:hAnsi="宋体" w:eastAsia="宋体" w:cs="宋体"/>
          <w:bCs/>
          <w:sz w:val="24"/>
          <w:szCs w:val="24"/>
        </w:rPr>
        <w:t xml:space="preserve">12.3本项目不接受备选的投标方案或有选择的报价，只允许有一个报价。投标报价内容包括</w:t>
      </w:r>
      <w:r>
        <w:rPr>
          <w:rFonts w:hint="eastAsia" w:ascii="宋体" w:hAnsi="宋体" w:eastAsia="宋体" w:cs="宋体"/>
          <w:sz w:val="24"/>
          <w:szCs w:val="24"/>
          <w:lang w:val="zh-CN"/>
        </w:rPr>
        <w:t xml:space="preserve">：包含但不限于施工图设计费、可研、初设、立项、排污许可证、环评报告及验收、设备采购、施工、安装、运营费用、安评（如需要）等完成本项目所涉及到的一切相关费用。</w:t>
      </w:r>
      <w:r>
        <w:rPr>
          <w:rFonts w:hint="eastAsia" w:ascii="宋体" w:hAnsi="宋体" w:eastAsia="宋体" w:cs="宋体"/>
          <w:bCs/>
          <w:sz w:val="24"/>
          <w:szCs w:val="24"/>
          <w:highlight w:val="yellow"/>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10" w:name="_Hlt26670425"/>
      <w:r/>
      <w:bookmarkEnd w:id="110"/>
      <w:r/>
      <w:bookmarkStart w:id="111" w:name="_Hlt26954846"/>
      <w:r/>
      <w:bookmarkEnd w:id="111"/>
      <w:r/>
      <w:bookmarkStart w:id="112" w:name="_Hlt26668983"/>
      <w:r/>
      <w:bookmarkEnd w:id="112"/>
      <w:r/>
      <w:bookmarkStart w:id="113" w:name="_Hlt26954848"/>
      <w:r/>
      <w:bookmarkEnd w:id="113"/>
      <w:r/>
      <w:bookmarkStart w:id="114" w:name="_Hlt26670403"/>
      <w:r/>
      <w:bookmarkEnd w:id="114"/>
      <w:r/>
      <w:bookmarkStart w:id="115" w:name="_Hlt26670486"/>
      <w:r/>
      <w:bookmarkEnd w:id="115"/>
      <w:r/>
      <w:bookmarkStart w:id="116" w:name="_Hlt26954844"/>
      <w:r/>
      <w:bookmarkEnd w:id="116"/>
      <w:r/>
      <w:bookmarkStart w:id="117" w:name="_Hlt26954731"/>
      <w:r/>
      <w:bookmarkEnd w:id="117"/>
      <w:r/>
      <w:bookmarkStart w:id="118" w:name="_Hlt26954842"/>
      <w:r/>
      <w:bookmarkEnd w:id="118"/>
      <w:r/>
      <w:bookmarkStart w:id="119" w:name="_Hlt26670482"/>
      <w:r/>
      <w:bookmarkEnd w:id="119"/>
      <w:r>
        <w:rPr>
          <w:rFonts w:hint="eastAsia" w:ascii="宋体" w:hAnsi="宋体" w:eastAsia="宋体" w:cs="宋体"/>
          <w:b w:val="0"/>
          <w:bCs w:val="0"/>
          <w:sz w:val="24"/>
          <w:szCs w:val="24"/>
        </w:rPr>
        <w:t xml:space="preserve">13、技术要求响应及偏离表、商务要求响应及偏离表</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lang w:val="zh-CN"/>
        </w:rPr>
      </w:pPr>
      <w:r/>
      <w:bookmarkStart w:id="120" w:name="_Toc14577359"/>
      <w:r/>
      <w:bookmarkStart w:id="121" w:name="_Toc49090510"/>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 投标人需对招标文件中的技术要求与商务要求逐项作出响应或偏离，并说明原因。</w:t>
      </w:r>
      <w:r>
        <w:rPr>
          <w:rFonts w:hint="eastAsia" w:ascii="宋体" w:hAnsi="宋体" w:eastAsia="宋体" w:cs="宋体"/>
          <w:sz w:val="24"/>
          <w:szCs w:val="24"/>
          <w:lang w:val="zh-CN"/>
        </w:rPr>
      </w:r>
      <w:r/>
    </w:p>
    <w:p>
      <w:pPr>
        <w:pStyle w:val="674"/>
        <w:ind w:left="0" w:firstLine="480"/>
        <w:jc w:val="left"/>
        <w:pageBreakBefore w:val="0"/>
        <w:spacing w:line="400" w:lineRule="exact"/>
        <w:widowControl w:val="off"/>
        <w:tabs>
          <w:tab w:val="left" w:pos="103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13.2 投标人可在投标文件中提供认为需要的其他技术文件或说明。</w:t>
      </w:r>
      <w:r>
        <w:rPr>
          <w:rFonts w:hint="eastAsia" w:ascii="宋体" w:hAnsi="宋体" w:eastAsia="宋体" w:cs="宋体"/>
          <w:sz w:val="24"/>
          <w:szCs w:val="24"/>
          <w:lang w:val="zh-CN"/>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14、投标声明及承诺函和开标一览表</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 投标人应按照招标文件中提供的格式完整、正确填写投标声明及承诺函、开标一览表。</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14.2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ascii="宋体" w:hAnsi="宋体" w:eastAsia="宋体" w:cs="宋体"/>
          <w:b w:val="0"/>
          <w:bCs w:val="0"/>
          <w:sz w:val="24"/>
          <w:szCs w:val="24"/>
        </w:rPr>
        <w:t xml:space="preserve">15、投标有效期</w:t>
      </w:r>
      <w:bookmarkEnd w:id="125"/>
      <w:r/>
      <w:bookmarkEnd w:id="126"/>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15.1</w:t>
      </w:r>
      <w:r>
        <w:rPr>
          <w:rFonts w:hint="eastAsia" w:ascii="宋体" w:hAnsi="宋体" w:eastAsia="宋体" w:cs="宋体"/>
          <w:bCs/>
          <w:sz w:val="24"/>
          <w:szCs w:val="24"/>
        </w:rPr>
        <w:t xml:space="preserve"> 投标有效期为开标之日后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rPr>
          <w:rFonts w:hint="eastAsia" w:ascii="宋体" w:hAnsi="宋体" w:eastAsia="宋体" w:cs="宋体"/>
          <w:bCs/>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16.2中标人的投标文件作为项目服务合同的附件，其有效期至中标人全部合同义务履行完毕为止。 </w:t>
      </w:r>
      <w:r>
        <w:rPr>
          <w:rFonts w:hint="eastAsia" w:ascii="宋体" w:hAnsi="宋体" w:eastAsia="宋体" w:cs="宋体"/>
          <w:sz w:val="24"/>
          <w:szCs w:val="24"/>
        </w:rPr>
      </w:r>
      <w:r/>
    </w:p>
    <w:p>
      <w:pPr>
        <w:pStyle w:val="677"/>
        <w:ind w:left="0" w:firstLine="482"/>
        <w:jc w:val="left"/>
        <w:pageBreakBefore w:val="0"/>
        <w:spacing w:before="0" w:after="0" w:line="400" w:lineRule="exact"/>
        <w:widowControl w:val="off"/>
        <w:rPr>
          <w:rFonts w:hint="eastAsia" w:ascii="宋体" w:hAnsi="宋体" w:eastAsia="宋体" w:cs="宋体"/>
          <w:sz w:val="24"/>
          <w:szCs w:val="24"/>
        </w:rPr>
      </w:pPr>
      <w:r/>
      <w:bookmarkStart w:id="127" w:name="_Hlt26954739"/>
      <w:r/>
      <w:bookmarkEnd w:id="127"/>
      <w:r/>
      <w:bookmarkStart w:id="128" w:name="_Hlt26954852"/>
      <w:r/>
      <w:bookmarkEnd w:id="128"/>
      <w:r/>
      <w:bookmarkStart w:id="129" w:name="_Toc513029224"/>
      <w:r/>
      <w:bookmarkStart w:id="130" w:name="_Toc20823296"/>
      <w:r/>
      <w:bookmarkStart w:id="131" w:name="_Toc120614217"/>
      <w:r/>
      <w:bookmarkStart w:id="132" w:name="_Toc16938540"/>
      <w:r>
        <w:rPr>
          <w:rFonts w:hint="eastAsia" w:ascii="宋体" w:hAnsi="宋体" w:eastAsia="宋体" w:cs="宋体"/>
          <w:sz w:val="24"/>
          <w:szCs w:val="24"/>
        </w:rPr>
        <w:t xml:space="preserve">四、投标文件的递交</w:t>
      </w:r>
      <w:bookmarkEnd w:id="129"/>
      <w:r/>
      <w:bookmarkEnd w:id="130"/>
      <w:r/>
      <w:bookmarkEnd w:id="131"/>
      <w:r/>
      <w:bookmarkEnd w:id="132"/>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33" w:name="_Toc513029225"/>
      <w:r/>
      <w:bookmarkStart w:id="134" w:name="_Toc462564084"/>
      <w:r/>
      <w:bookmarkStart w:id="135" w:name="_Toc20823297"/>
      <w:r/>
      <w:bookmarkStart w:id="136" w:name="_Toc16938541"/>
      <w:r>
        <w:rPr>
          <w:rFonts w:hint="eastAsia" w:ascii="宋体" w:hAnsi="宋体" w:eastAsia="宋体" w:cs="宋体"/>
          <w:b w:val="0"/>
          <w:bCs w:val="0"/>
          <w:sz w:val="24"/>
          <w:szCs w:val="24"/>
        </w:rPr>
        <w:t xml:space="preserve">17、投标文件</w:t>
      </w:r>
      <w:bookmarkEnd w:id="133"/>
      <w:r/>
      <w:bookmarkEnd w:id="134"/>
      <w:r/>
      <w:bookmarkEnd w:id="135"/>
      <w:r/>
      <w:bookmarkEnd w:id="136"/>
      <w:r>
        <w:rPr>
          <w:rFonts w:hint="eastAsia" w:ascii="宋体" w:hAnsi="宋体" w:eastAsia="宋体" w:cs="宋体"/>
          <w:b w:val="0"/>
          <w:bCs w:val="0"/>
          <w:sz w:val="24"/>
          <w:szCs w:val="24"/>
        </w:rPr>
        <w:t xml:space="preserve">的递交</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17.1投标人应当按照《操作手册》规定，在投标截止时间前制作并上传电子投标文件。</w:t>
      </w:r>
      <w:bookmarkStart w:id="137" w:name="_Toc16938542"/>
      <w:r/>
      <w:bookmarkStart w:id="138" w:name="_Toc513029226"/>
      <w:r/>
      <w:bookmarkStart w:id="139" w:name="_Toc20823298"/>
      <w:r>
        <w:rPr>
          <w:rFonts w:hint="eastAsia" w:ascii="宋体" w:hAnsi="宋体" w:eastAsia="宋体" w:cs="宋体"/>
          <w:sz w:val="24"/>
          <w:szCs w:val="24"/>
        </w:rPr>
      </w:r>
      <w:r/>
    </w:p>
    <w:p>
      <w:pPr>
        <w:pStyle w:val="674"/>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18、投标截止</w:t>
      </w:r>
      <w:bookmarkEnd w:id="137"/>
      <w:r/>
      <w:bookmarkEnd w:id="138"/>
      <w:r/>
      <w:bookmarkEnd w:id="139"/>
      <w:r>
        <w:rPr>
          <w:rFonts w:hint="eastAsia" w:ascii="宋体" w:hAnsi="宋体" w:eastAsia="宋体" w:cs="宋体"/>
          <w:b w:val="0"/>
          <w:bCs w:val="0"/>
          <w:sz w:val="24"/>
          <w:szCs w:val="24"/>
        </w:rPr>
        <w:t xml:space="preserve">时间</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iCs/>
          <w:sz w:val="24"/>
          <w:szCs w:val="24"/>
        </w:rPr>
      </w:pPr>
      <w:r>
        <w:rPr>
          <w:rFonts w:hint="eastAsia" w:ascii="宋体" w:hAnsi="宋体" w:eastAsia="宋体" w:cs="宋体"/>
          <w:iCs/>
          <w:sz w:val="24"/>
          <w:szCs w:val="24"/>
        </w:rPr>
        <w:t xml:space="preserve">18.1</w:t>
      </w:r>
      <w:r>
        <w:rPr>
          <w:rFonts w:hint="eastAsia" w:ascii="宋体" w:hAnsi="宋体" w:eastAsia="宋体" w:cs="宋体"/>
          <w:bCs/>
          <w:iCs/>
          <w:sz w:val="24"/>
          <w:szCs w:val="24"/>
        </w:rPr>
        <w:t xml:space="preserve"> 投标人上传电子投标文件的时间不得迟于招标公告中规定的投标截止时间。</w:t>
      </w:r>
      <w:r>
        <w:rPr>
          <w:rFonts w:hint="eastAsia" w:ascii="宋体" w:hAnsi="宋体" w:eastAsia="宋体" w:cs="宋体"/>
          <w:bCs/>
          <w:iCs/>
          <w:sz w:val="24"/>
          <w:szCs w:val="24"/>
        </w:rPr>
      </w:r>
      <w:r/>
    </w:p>
    <w:p>
      <w:pPr>
        <w:pStyle w:val="674"/>
        <w:ind w:left="0" w:firstLine="480"/>
        <w:jc w:val="left"/>
        <w:pageBreakBefore w:val="0"/>
        <w:spacing w:line="400" w:lineRule="exact"/>
        <w:widowControl w:val="off"/>
        <w:rPr>
          <w:rFonts w:hint="eastAsia" w:ascii="宋体" w:hAnsi="宋体" w:eastAsia="宋体" w:cs="宋体"/>
          <w:bCs/>
          <w:i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bCs/>
          <w:i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18.2</w:t>
      </w:r>
      <w:r>
        <w:rPr>
          <w:rFonts w:hint="eastAsia" w:ascii="宋体" w:hAnsi="宋体" w:eastAsia="宋体" w:cs="宋体"/>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40" w:name="_Toc16938543"/>
      <w:r/>
      <w:bookmarkStart w:id="141" w:name="_Toc513029227"/>
      <w:r/>
      <w:bookmarkStart w:id="142" w:name="_Toc20823299"/>
      <w:r>
        <w:rPr>
          <w:rFonts w:hint="eastAsia" w:ascii="宋体" w:hAnsi="宋体" w:eastAsia="宋体" w:cs="宋体"/>
          <w:b w:val="0"/>
          <w:bCs w:val="0"/>
          <w:sz w:val="24"/>
          <w:szCs w:val="24"/>
        </w:rPr>
        <w:t xml:space="preserve">19、投标文件</w:t>
      </w:r>
      <w:bookmarkEnd w:id="140"/>
      <w:r/>
      <w:bookmarkEnd w:id="141"/>
      <w:r/>
      <w:bookmarkEnd w:id="142"/>
      <w:r>
        <w:rPr>
          <w:rFonts w:hint="eastAsia" w:ascii="宋体" w:hAnsi="宋体" w:eastAsia="宋体" w:cs="宋体"/>
          <w:b w:val="0"/>
          <w:bCs w:val="0"/>
          <w:sz w:val="24"/>
          <w:szCs w:val="24"/>
        </w:rPr>
        <w:t xml:space="preserve">的拒收</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19.1</w:t>
      </w:r>
      <w:r>
        <w:rPr>
          <w:rFonts w:hint="eastAsia" w:ascii="宋体" w:hAnsi="宋体" w:eastAsia="宋体" w:cs="宋体"/>
          <w:bCs/>
          <w:sz w:val="24"/>
          <w:szCs w:val="24"/>
        </w:rPr>
        <w:t xml:space="preserve">采购代理机构拒绝接收在其规定的投标截止时间后上传的任何投标文件。</w:t>
      </w:r>
      <w:r>
        <w:rPr>
          <w:rFonts w:hint="eastAsia" w:ascii="宋体" w:hAnsi="宋体" w:eastAsia="宋体" w:cs="宋体"/>
          <w:bCs/>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43" w:name="_Toc20823300"/>
      <w:r/>
      <w:bookmarkStart w:id="144" w:name="_Toc513029228"/>
      <w:r/>
      <w:bookmarkStart w:id="145" w:name="_Toc16938544"/>
      <w:r>
        <w:rPr>
          <w:rFonts w:hint="eastAsia" w:ascii="宋体" w:hAnsi="宋体" w:eastAsia="宋体" w:cs="宋体"/>
          <w:b w:val="0"/>
          <w:bCs w:val="0"/>
          <w:sz w:val="24"/>
          <w:szCs w:val="24"/>
        </w:rPr>
        <w:t xml:space="preserve">20、投标文件的撤回和修改</w:t>
      </w:r>
      <w:bookmarkEnd w:id="143"/>
      <w:r/>
      <w:bookmarkEnd w:id="144"/>
      <w:r/>
      <w:bookmarkEnd w:id="145"/>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投标文件的撤回</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20.1.1 电子投标文件的撤回</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20.1.2 投标人撤回电子投标文件，则认为其不再参与本项目投标活动。</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 投标文件的修改</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20.2.2</w:t>
      </w:r>
      <w:r>
        <w:rPr>
          <w:rFonts w:hint="eastAsia" w:ascii="宋体" w:hAnsi="宋体" w:eastAsia="宋体" w:cs="宋体"/>
          <w:bCs/>
          <w:sz w:val="24"/>
          <w:szCs w:val="24"/>
        </w:rPr>
        <w:t xml:space="preserve"> 在投标截止时间之后，投标人不得对其电子投标文件作任何修改。</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20.3</w:t>
      </w:r>
      <w:r>
        <w:rPr>
          <w:rFonts w:hint="eastAsia" w:ascii="宋体" w:hAnsi="宋体" w:eastAsia="宋体" w:cs="宋体"/>
          <w:bCs/>
          <w:sz w:val="24"/>
          <w:szCs w:val="24"/>
        </w:rPr>
        <w:t xml:space="preserve"> 在投标截止时间至招标文件中规定的投标有效期满之间的这段时间内，投标人不得撤回其投标。</w:t>
      </w:r>
      <w:r>
        <w:rPr>
          <w:rFonts w:hint="eastAsia" w:ascii="宋体" w:hAnsi="宋体" w:eastAsia="宋体" w:cs="宋体"/>
          <w:bCs/>
          <w:sz w:val="24"/>
          <w:szCs w:val="24"/>
        </w:rPr>
      </w:r>
      <w:r/>
    </w:p>
    <w:p>
      <w:pPr>
        <w:pStyle w:val="677"/>
        <w:ind w:left="0" w:firstLine="482"/>
        <w:jc w:val="left"/>
        <w:pageBreakBefore w:val="0"/>
        <w:spacing w:before="0" w:after="0" w:line="400" w:lineRule="exact"/>
        <w:widowControl w:val="off"/>
        <w:rPr>
          <w:rFonts w:hint="eastAsia" w:ascii="宋体" w:hAnsi="宋体" w:eastAsia="宋体" w:cs="宋体"/>
          <w:sz w:val="24"/>
          <w:szCs w:val="24"/>
        </w:rPr>
      </w:pPr>
      <w:r/>
      <w:bookmarkStart w:id="146" w:name="_Toc120614218"/>
      <w:r/>
      <w:bookmarkStart w:id="147" w:name="_Toc16938545"/>
      <w:r/>
      <w:bookmarkStart w:id="148" w:name="_Toc20823301"/>
      <w:r/>
      <w:bookmarkStart w:id="149" w:name="_Toc513029229"/>
      <w:r>
        <w:rPr>
          <w:rFonts w:hint="eastAsia" w:ascii="宋体" w:hAnsi="宋体" w:eastAsia="宋体" w:cs="宋体"/>
          <w:sz w:val="24"/>
          <w:szCs w:val="24"/>
        </w:rPr>
        <w:t xml:space="preserve">五、开标与评标</w:t>
      </w:r>
      <w:bookmarkEnd w:id="146"/>
      <w:r/>
      <w:bookmarkEnd w:id="147"/>
      <w:r/>
      <w:bookmarkEnd w:id="148"/>
      <w:r/>
      <w:bookmarkEnd w:id="149"/>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50" w:name="_Toc20823302"/>
      <w:r/>
      <w:bookmarkStart w:id="151" w:name="_Toc513029230"/>
      <w:r/>
      <w:bookmarkStart w:id="152" w:name="_Toc16938546"/>
      <w:r>
        <w:rPr>
          <w:rFonts w:hint="eastAsia" w:ascii="宋体" w:hAnsi="宋体" w:eastAsia="宋体" w:cs="宋体"/>
          <w:b w:val="0"/>
          <w:bCs w:val="0"/>
          <w:sz w:val="24"/>
          <w:szCs w:val="24"/>
        </w:rPr>
        <w:t xml:space="preserve">21、开标</w:t>
      </w:r>
      <w:bookmarkEnd w:id="150"/>
      <w:r/>
      <w:bookmarkEnd w:id="151"/>
      <w:r/>
      <w:bookmarkEnd w:id="152"/>
      <w:r>
        <w:rPr>
          <w:rFonts w:hint="eastAsia" w:ascii="宋体" w:hAnsi="宋体" w:eastAsia="宋体" w:cs="宋体"/>
          <w:b w:val="0"/>
          <w:bCs w:val="0"/>
          <w:sz w:val="24"/>
          <w:szCs w:val="24"/>
        </w:rPr>
      </w:r>
      <w:r/>
    </w:p>
    <w:p>
      <w:pPr>
        <w:pStyle w:val="817"/>
        <w:ind w:left="0" w:firstLine="480"/>
        <w:jc w:val="left"/>
        <w:pageBreakBefore w:val="0"/>
        <w:spacing w:line="40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采购代理机构将在招标公告中规定的时间和地点组织公开开标</w:t>
      </w:r>
      <w:r>
        <w:rPr>
          <w:rFonts w:hint="eastAsia" w:ascii="宋体" w:hAnsi="宋体" w:eastAsia="宋体" w:cs="宋体"/>
          <w:sz w:val="24"/>
          <w:szCs w:val="24"/>
          <w:lang w:val="en-US"/>
        </w:rPr>
        <w:t xml:space="preserve">。投标人应当按照《“苏采云”系统供应商操作手册》规定，参加开标活动和在“苏采云”系统规定的时间内对投标文件进行解密。</w:t>
      </w:r>
      <w:r>
        <w:rPr>
          <w:rFonts w:hint="eastAsia" w:ascii="宋体" w:hAnsi="宋体" w:eastAsia="宋体" w:cs="宋体"/>
          <w:sz w:val="24"/>
          <w:szCs w:val="24"/>
          <w:lang w:val="en-US"/>
        </w:rPr>
      </w:r>
      <w:r/>
    </w:p>
    <w:p>
      <w:pPr>
        <w:pStyle w:val="817"/>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53" w:name="_Toc513029231"/>
      <w:r/>
      <w:bookmarkStart w:id="154" w:name="_Toc16938547"/>
      <w:r/>
      <w:bookmarkStart w:id="155" w:name="_Toc20823303"/>
      <w:r>
        <w:rPr>
          <w:rFonts w:hint="eastAsia" w:ascii="宋体" w:hAnsi="宋体" w:eastAsia="宋体" w:cs="宋体"/>
          <w:b w:val="0"/>
          <w:bCs w:val="0"/>
          <w:sz w:val="24"/>
          <w:szCs w:val="24"/>
        </w:rPr>
        <w:t xml:space="preserve">22、评委会</w:t>
      </w:r>
      <w:r>
        <w:rPr>
          <w:rFonts w:hint="eastAsia" w:ascii="宋体" w:hAnsi="宋体" w:eastAsia="宋体" w:cs="宋体"/>
          <w:b w:val="0"/>
          <w:bCs w:val="0"/>
          <w:sz w:val="24"/>
          <w:szCs w:val="24"/>
        </w:rPr>
      </w:r>
      <w:r/>
    </w:p>
    <w:p>
      <w:pPr>
        <w:pStyle w:val="674"/>
        <w:ind w:left="0" w:firstLine="482"/>
        <w:jc w:val="left"/>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22.1</w:t>
      </w:r>
      <w:r>
        <w:rPr>
          <w:rFonts w:hint="eastAsia" w:ascii="宋体" w:hAnsi="宋体" w:eastAsia="宋体" w:cs="宋体"/>
          <w:b/>
          <w:sz w:val="24"/>
          <w:szCs w:val="24"/>
        </w:rPr>
        <w:t xml:space="preserve"> </w:t>
      </w:r>
      <w:r>
        <w:rPr>
          <w:rFonts w:hint="eastAsia" w:ascii="宋体" w:hAnsi="宋体" w:eastAsia="宋体" w:cs="宋体"/>
          <w:sz w:val="24"/>
          <w:szCs w:val="24"/>
        </w:rPr>
        <w:t xml:space="preserve">开标后，采购代理机构将立即组织评委会（以下简称评委会）进行评标。</w:t>
      </w:r>
      <w:r>
        <w:rPr>
          <w:rFonts w:hint="eastAsia" w:ascii="宋体" w:hAnsi="宋体" w:eastAsia="宋体" w:cs="宋体"/>
          <w:b/>
          <w:sz w:val="24"/>
          <w:szCs w:val="24"/>
        </w:rPr>
      </w:r>
      <w:r/>
    </w:p>
    <w:p>
      <w:pPr>
        <w:pStyle w:val="674"/>
        <w:ind w:left="0" w:firstLine="482"/>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22.2 评委会由采购人代表和有关技术、经济等方面的专家组成，且人员构成符合政府采购有关规定。</w:t>
      </w:r>
      <w:r>
        <w:rPr>
          <w:rFonts w:hint="eastAsia" w:ascii="宋体" w:hAnsi="宋体" w:eastAsia="宋体" w:cs="宋体"/>
          <w:sz w:val="24"/>
          <w:szCs w:val="24"/>
        </w:rPr>
      </w:r>
      <w:r/>
    </w:p>
    <w:p>
      <w:pPr>
        <w:pStyle w:val="674"/>
        <w:ind w:left="0" w:firstLine="482"/>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22.3评委会独立工作，负责评审所有投标文件并确定中标侯选人。</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bookmarkEnd w:id="153"/>
      <w:r/>
      <w:bookmarkEnd w:id="154"/>
      <w:r/>
      <w:bookmarkEnd w:id="155"/>
      <w:r>
        <w:rPr>
          <w:rFonts w:hint="eastAsia" w:ascii="宋体" w:hAnsi="宋体" w:eastAsia="宋体" w:cs="宋体"/>
          <w:sz w:val="24"/>
          <w:szCs w:val="24"/>
        </w:rPr>
        <w:t xml:space="preserve">23.1</w:t>
      </w:r>
      <w:r>
        <w:rPr>
          <w:rFonts w:hint="eastAsia" w:ascii="宋体" w:hAnsi="宋体" w:eastAsia="宋体" w:cs="宋体"/>
          <w:bCs/>
          <w:sz w:val="24"/>
          <w:szCs w:val="24"/>
        </w:rPr>
        <w:t xml:space="preserve">凡是与审查、澄清、评价和比较投标的有关资料以及授标建议等，采购人、评委、采购代理机构均不得向投标人或与评标无关的其他人员透露。</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 采购代理机构和评委会不向未中标的投标人解释未中标原因，也不公布评标过程中的相关细节。</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56" w:name="_Toc513029232"/>
      <w:r/>
      <w:bookmarkStart w:id="157" w:name="_Toc16938548"/>
      <w:r/>
      <w:bookmarkStart w:id="158" w:name="_Toc20823304"/>
      <w:r>
        <w:rPr>
          <w:rFonts w:hint="eastAsia" w:ascii="宋体" w:hAnsi="宋体" w:eastAsia="宋体" w:cs="宋体"/>
          <w:b w:val="0"/>
          <w:bCs w:val="0"/>
          <w:sz w:val="24"/>
          <w:szCs w:val="24"/>
        </w:rPr>
        <w:t xml:space="preserve">24、投标文件的澄清</w:t>
      </w:r>
      <w:bookmarkEnd w:id="156"/>
      <w:r/>
      <w:bookmarkEnd w:id="157"/>
      <w:r/>
      <w:bookmarkEnd w:id="158"/>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评委会并非对每个投标人都做澄清要求。</w:t>
      </w:r>
      <w:r>
        <w:rPr>
          <w:rFonts w:hint="eastAsia" w:ascii="宋体" w:hAnsi="宋体" w:eastAsia="宋体" w:cs="宋体"/>
          <w:sz w:val="24"/>
          <w:szCs w:val="24"/>
        </w:rPr>
      </w:r>
      <w:r/>
    </w:p>
    <w:p>
      <w:pPr>
        <w:pStyle w:val="817"/>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24.2需要投标人进行澄清、说明和补正的，</w:t>
      </w:r>
      <w:r>
        <w:rPr>
          <w:rFonts w:hint="eastAsia" w:ascii="宋体" w:hAnsi="宋体" w:eastAsia="宋体" w:cs="宋体"/>
          <w:sz w:val="24"/>
          <w:szCs w:val="24"/>
          <w:lang w:val="en-US"/>
        </w:rPr>
        <w:t xml:space="preserve">本项目投标人的澄清、说明或者补正采用线上澄清，</w:t>
      </w:r>
      <w:r>
        <w:rPr>
          <w:rFonts w:hint="eastAsia" w:ascii="宋体" w:hAnsi="宋体" w:eastAsia="宋体" w:cs="宋体"/>
          <w:sz w:val="24"/>
          <w:szCs w:val="24"/>
        </w:rPr>
        <w:t xml:space="preserve">评委会将通过</w:t>
      </w:r>
      <w:r>
        <w:rPr>
          <w:rFonts w:hint="eastAsia" w:ascii="宋体" w:hAnsi="宋体" w:eastAsia="宋体" w:cs="宋体"/>
          <w:sz w:val="24"/>
          <w:szCs w:val="24"/>
          <w:lang w:val="en-US"/>
        </w:rPr>
        <w:t xml:space="preserve">“苏采云”系统</w:t>
      </w:r>
      <w:r>
        <w:rPr>
          <w:rFonts w:hint="eastAsia" w:ascii="宋体" w:hAnsi="宋体" w:eastAsia="宋体" w:cs="宋体"/>
          <w:sz w:val="24"/>
          <w:szCs w:val="24"/>
        </w:rPr>
        <w:t xml:space="preserve">向投标人发出“澄清要求函”，接到“澄清要求函”的投标人应当按照要求</w:t>
      </w:r>
      <w:r>
        <w:rPr>
          <w:rFonts w:hint="eastAsia" w:ascii="宋体" w:hAnsi="宋体" w:eastAsia="宋体" w:cs="宋体"/>
          <w:sz w:val="24"/>
          <w:szCs w:val="24"/>
          <w:lang w:val="en-US"/>
        </w:rPr>
        <w:t xml:space="preserve">在规定时间内通过“苏采云”系统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bookmarkStart w:id="159" w:name="_Toc513029233"/>
      <w:r/>
      <w:bookmarkStart w:id="160" w:name="_Toc16938549"/>
      <w:r/>
      <w:bookmarkStart w:id="161" w:name="_Toc20823305"/>
      <w:r>
        <w:rPr>
          <w:rFonts w:hint="eastAsia" w:ascii="宋体" w:hAnsi="宋体" w:eastAsia="宋体" w:cs="宋体"/>
          <w:b w:val="0"/>
          <w:bCs w:val="0"/>
          <w:sz w:val="24"/>
          <w:szCs w:val="24"/>
        </w:rPr>
        <w:t xml:space="preserve">25、对投标文件的初审</w:t>
      </w:r>
      <w:bookmarkEnd w:id="159"/>
      <w:r/>
      <w:bookmarkEnd w:id="160"/>
      <w:r/>
      <w:bookmarkEnd w:id="161"/>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25.1</w:t>
      </w:r>
      <w:r>
        <w:rPr>
          <w:rFonts w:hint="eastAsia" w:ascii="宋体" w:hAnsi="宋体" w:eastAsia="宋体" w:cs="宋体"/>
          <w:bCs/>
          <w:sz w:val="24"/>
          <w:szCs w:val="24"/>
        </w:rPr>
        <w:t xml:space="preserve">投标文件初审分为资格审查和符合性审查。</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25.1.1 资格审查：依据法律法规和招标文件的规定，</w:t>
      </w:r>
      <w:r>
        <w:rPr>
          <w:rFonts w:hint="eastAsia" w:ascii="宋体" w:hAnsi="宋体" w:eastAsia="宋体" w:cs="宋体"/>
          <w:sz w:val="24"/>
          <w:szCs w:val="24"/>
        </w:rPr>
        <w:t xml:space="preserve">由采购人对投标文件中的资格证明文件进行审查，以确定投标人是否具备投标资格。</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25.1.3对各投标人符合性审查过程中，对初步被认定为无效投标者，由评委会组长或采购人代表将集体意见通过</w:t>
      </w:r>
      <w:r>
        <w:rPr>
          <w:rFonts w:hint="eastAsia" w:ascii="宋体" w:hAnsi="宋体" w:eastAsia="宋体" w:cs="宋体"/>
          <w:sz w:val="24"/>
          <w:szCs w:val="24"/>
          <w:lang w:val="zh-CN"/>
        </w:rPr>
        <w:t xml:space="preserve">“苏采云”系统中告知未通过符合性审查的原因，评标结束后，将不再告知未通过符合性审查的原因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25.4</w:t>
      </w:r>
      <w:r>
        <w:rPr>
          <w:rFonts w:hint="eastAsia" w:ascii="宋体" w:hAnsi="宋体" w:eastAsia="宋体" w:cs="宋体"/>
          <w:bCs/>
          <w:sz w:val="24"/>
          <w:szCs w:val="24"/>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25.5 </w:t>
      </w:r>
      <w:r>
        <w:rPr>
          <w:rFonts w:hint="eastAsia" w:ascii="宋体" w:hAnsi="宋体" w:eastAsia="宋体" w:cs="宋体"/>
          <w:bCs/>
          <w:sz w:val="24"/>
          <w:szCs w:val="24"/>
        </w:rPr>
        <w:t xml:space="preserve">评委会将按上述修正错误的方法调整投标文件中的投标报价，并通过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bookmarkStart w:id="162" w:name="_Toc20823306"/>
      <w:r/>
      <w:bookmarkStart w:id="163" w:name="_Toc16938550"/>
      <w:r/>
      <w:bookmarkStart w:id="164" w:name="_Toc513029234"/>
      <w:r>
        <w:rPr>
          <w:rFonts w:hint="eastAsia" w:ascii="宋体" w:hAnsi="宋体" w:eastAsia="宋体" w:cs="宋体"/>
          <w:sz w:val="24"/>
          <w:szCs w:val="24"/>
        </w:rPr>
        <w:t xml:space="preserve">25.6投标人在开、评标全过程中应应随时保持系统在线，及时在“苏采云”系统查阅、答复相关信息。</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w:t>
      </w:r>
      <w:bookmarkEnd w:id="162"/>
      <w:r/>
      <w:bookmarkEnd w:id="163"/>
      <w:r/>
      <w:bookmarkEnd w:id="164"/>
      <w:r>
        <w:rPr>
          <w:rFonts w:hint="eastAsia" w:ascii="宋体" w:hAnsi="宋体" w:eastAsia="宋体" w:cs="宋体"/>
          <w:b w:val="0"/>
          <w:bCs w:val="0"/>
          <w:sz w:val="24"/>
          <w:szCs w:val="24"/>
        </w:rPr>
        <w:t xml:space="preserve">无效投标条款和废标条款</w:t>
      </w:r>
      <w:r>
        <w:rPr>
          <w:rFonts w:hint="eastAsia" w:ascii="宋体" w:hAnsi="宋体" w:eastAsia="宋体" w:cs="宋体"/>
          <w:b w:val="0"/>
          <w:bCs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bookmarkStart w:id="165" w:name="_Toc513029235"/>
      <w:r/>
      <w:bookmarkStart w:id="166" w:name="_Toc20823307"/>
      <w:r/>
      <w:bookmarkStart w:id="167" w:name="_Toc16938551"/>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26.1.2 投标人未按照招标文件要求上传电子投标文件的。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26.1.3同一投标人提交两个（含两个）以上不同的投标报价的。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26.1.4投标人不具备招标文件中规定资格要求的。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26.1.5投标人的报价超过了采购预算或最高限价的。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26.1.6未通过符合性审查的。</w:t>
      </w:r>
      <w:r>
        <w:rPr>
          <w:rFonts w:hint="eastAsia" w:ascii="宋体" w:hAnsi="宋体" w:eastAsia="宋体" w:cs="宋体"/>
          <w:bCs/>
          <w:i/>
          <w:sz w:val="24"/>
          <w:szCs w:val="24"/>
          <w:u w:val="single"/>
        </w:rPr>
      </w:r>
      <w:r/>
    </w:p>
    <w:p>
      <w:pPr>
        <w:pStyle w:val="674"/>
        <w:ind w:left="0" w:firstLine="480"/>
        <w:jc w:val="left"/>
        <w:pageBreakBefore w:val="0"/>
        <w:spacing w:line="40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rPr>
        <w:t xml:space="preserve"> 26.1.7不符合招标文件中规定的实质性要求和条件的</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本招标文件中加</w:t>
      </w:r>
      <w:r>
        <w:rPr>
          <w:rFonts w:hint="eastAsia" w:ascii="宋体" w:hAnsi="宋体" w:eastAsia="宋体" w:cs="宋体"/>
          <w:b/>
          <w:bCs/>
          <w:sz w:val="24"/>
          <w:szCs w:val="24"/>
          <w:highlight w:val="none"/>
        </w:rPr>
        <w:t xml:space="preserve">★</w:t>
      </w:r>
      <w:r>
        <w:rPr>
          <w:rFonts w:hint="eastAsia" w:ascii="宋体" w:hAnsi="宋体" w:eastAsia="宋体" w:cs="宋体"/>
          <w:bCs/>
          <w:sz w:val="24"/>
          <w:szCs w:val="24"/>
          <w:highlight w:val="none"/>
          <w:u w:val="single"/>
        </w:rPr>
        <w:t xml:space="preserve">项为实质性要求和条件）。</w:t>
      </w:r>
      <w:r>
        <w:rPr>
          <w:rFonts w:hint="eastAsia" w:ascii="宋体" w:hAnsi="宋体" w:eastAsia="宋体" w:cs="宋体"/>
          <w:bCs/>
          <w:sz w:val="24"/>
          <w:szCs w:val="24"/>
          <w:highlight w:val="none"/>
          <w:u w:val="single"/>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26.1.9 投标文件含有采购人不能接受的附加条件的。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highlight w:val="yellow"/>
        </w:rPr>
      </w:pPr>
      <w:r>
        <w:rPr>
          <w:rFonts w:hint="eastAsia" w:ascii="宋体" w:hAnsi="宋体" w:eastAsia="宋体" w:cs="宋体"/>
          <w:bCs/>
          <w:sz w:val="24"/>
          <w:szCs w:val="24"/>
        </w:rPr>
        <w:t xml:space="preserve">26.1.10评委会认为投标人的报价明显低于其他通过符合性审查投标人的报价，有可能影响产品质量或者不能诚信履约的，将通过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要求其在合理的时间内提供说明，必要时提交相关证明材料；投标人不能证明其报价合理性的，评委会应当将其作为无效投标处理。</w:t>
      </w:r>
      <w:r>
        <w:rPr>
          <w:rFonts w:hint="eastAsia" w:ascii="宋体" w:hAnsi="宋体" w:eastAsia="宋体" w:cs="宋体"/>
          <w:bCs/>
          <w:sz w:val="24"/>
          <w:szCs w:val="24"/>
          <w:highlight w:val="yellow"/>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26.1.11本项目采购产品被财政部、国家发改委、生态环境部等列入“节能产品品目清单”、“环境标志产品品目清单”强制采购范围，而</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人所</w:t>
      </w:r>
      <w:r>
        <w:rPr>
          <w:rFonts w:hint="eastAsia" w:ascii="宋体" w:hAnsi="宋体" w:eastAsia="宋体" w:cs="宋体"/>
          <w:sz w:val="24"/>
          <w:szCs w:val="24"/>
        </w:rPr>
        <w:t xml:space="preserve">投</w:t>
      </w:r>
      <w:r>
        <w:rPr>
          <w:rFonts w:hint="eastAsia" w:ascii="宋体" w:hAnsi="宋体" w:eastAsia="宋体" w:cs="宋体"/>
          <w:sz w:val="24"/>
          <w:szCs w:val="24"/>
          <w:lang w:val="zh-CN"/>
        </w:rPr>
        <w:t xml:space="preserve">产品不在强制采购范围内的。（所</w:t>
      </w:r>
      <w:r>
        <w:rPr>
          <w:rFonts w:hint="eastAsia" w:ascii="宋体" w:hAnsi="宋体" w:eastAsia="宋体" w:cs="宋体"/>
          <w:sz w:val="24"/>
          <w:szCs w:val="24"/>
        </w:rPr>
        <w:t xml:space="preserve">投</w:t>
      </w:r>
      <w:r>
        <w:rPr>
          <w:rFonts w:hint="eastAsia" w:ascii="宋体" w:hAnsi="宋体" w:eastAsia="宋体" w:cs="宋体"/>
          <w:sz w:val="24"/>
          <w:szCs w:val="24"/>
          <w:lang w:val="zh-CN"/>
        </w:rPr>
        <w:t xml:space="preserve">产品如属于政府强制采购节能产品品目清单范围内，</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文件中必须提供国家确定的认证机构出具的、处于有效期之内的该节能产品认证证书图片）。</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26.1.12 投标文件未按照招标文件要求加盖CA电子公章的。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26.1.13其他法律、法规及本招标文件规定的属无效投标的情形。</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26.2废标条款</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26.2.1符合专业条件的投标人或者对招标文件作实质响应的投标人不足三家的。26.2.2出现影响采购公正的违法、违规行为的。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26.2.3因重大变故，采购任务取消的。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26.2.4评委会认定招标文件存在歧义、重大缺陷导致评审工作无法进行。</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26.2.5 因</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系统故障原因造成开标不成功的。</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 投标截止时间结束后参加投标的投标人不足三家的处理：</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26.3.1如出现投标截止时间结束后参加投标的投标人或者在评标期间对招标文件做出实质响应的投标人不足三家情况，按政府采购相关规定执行。</w:t>
      </w:r>
      <w:r>
        <w:rPr>
          <w:rFonts w:hint="eastAsia" w:ascii="宋体" w:hAnsi="宋体" w:eastAsia="宋体" w:cs="宋体"/>
          <w:bCs/>
          <w:sz w:val="24"/>
          <w:szCs w:val="24"/>
        </w:rPr>
      </w:r>
      <w:r/>
    </w:p>
    <w:p>
      <w:pPr>
        <w:pStyle w:val="677"/>
        <w:ind w:left="0" w:firstLine="482"/>
        <w:jc w:val="left"/>
        <w:pageBreakBefore w:val="0"/>
        <w:spacing w:before="0" w:after="0" w:line="400" w:lineRule="exact"/>
        <w:widowControl w:val="off"/>
        <w:rPr>
          <w:rFonts w:hint="eastAsia" w:ascii="宋体" w:hAnsi="宋体" w:eastAsia="宋体" w:cs="宋体"/>
          <w:sz w:val="24"/>
          <w:szCs w:val="24"/>
        </w:rPr>
      </w:pPr>
      <w:r/>
      <w:bookmarkStart w:id="168" w:name="_Toc120614219"/>
      <w:r>
        <w:rPr>
          <w:rFonts w:hint="eastAsia" w:ascii="宋体" w:hAnsi="宋体" w:eastAsia="宋体" w:cs="宋体"/>
          <w:sz w:val="24"/>
          <w:szCs w:val="24"/>
        </w:rPr>
        <w:t xml:space="preserve">六、</w:t>
      </w:r>
      <w:bookmarkEnd w:id="165"/>
      <w:r/>
      <w:bookmarkEnd w:id="166"/>
      <w:r/>
      <w:bookmarkEnd w:id="167"/>
      <w:r>
        <w:rPr>
          <w:rFonts w:hint="eastAsia" w:ascii="宋体" w:hAnsi="宋体" w:eastAsia="宋体" w:cs="宋体"/>
          <w:sz w:val="24"/>
          <w:szCs w:val="24"/>
        </w:rPr>
        <w:t xml:space="preserve">定标</w:t>
      </w:r>
      <w:bookmarkEnd w:id="168"/>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sz w:val="24"/>
          <w:szCs w:val="24"/>
        </w:rPr>
      </w:pPr>
      <w:r/>
      <w:bookmarkStart w:id="169" w:name="_Toc513029238"/>
      <w:r/>
      <w:bookmarkStart w:id="170" w:name="_Toc20823310"/>
      <w:r/>
      <w:bookmarkStart w:id="171" w:name="_Toc16938554"/>
      <w:r>
        <w:rPr>
          <w:rFonts w:hint="eastAsia" w:ascii="宋体" w:hAnsi="宋体" w:eastAsia="宋体" w:cs="宋体"/>
          <w:b w:val="0"/>
          <w:sz w:val="24"/>
          <w:szCs w:val="24"/>
        </w:rPr>
        <w:t xml:space="preserve">27、</w:t>
      </w:r>
      <w:bookmarkEnd w:id="169"/>
      <w:r>
        <w:rPr>
          <w:rFonts w:hint="eastAsia" w:ascii="宋体" w:hAnsi="宋体" w:eastAsia="宋体" w:cs="宋体"/>
          <w:b w:val="0"/>
          <w:sz w:val="24"/>
          <w:szCs w:val="24"/>
        </w:rPr>
        <w:t xml:space="preserve">确定</w:t>
      </w:r>
      <w:bookmarkEnd w:id="170"/>
      <w:r/>
      <w:bookmarkEnd w:id="171"/>
      <w:r>
        <w:rPr>
          <w:rFonts w:hint="eastAsia" w:ascii="宋体" w:hAnsi="宋体" w:eastAsia="宋体" w:cs="宋体"/>
          <w:b w:val="0"/>
          <w:sz w:val="24"/>
          <w:szCs w:val="24"/>
        </w:rPr>
        <w:t xml:space="preserve">中标单位</w:t>
      </w:r>
      <w:r>
        <w:rPr>
          <w:rFonts w:hint="eastAsia" w:ascii="宋体" w:hAnsi="宋体" w:eastAsia="宋体" w:cs="宋体"/>
          <w:b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27.1中标候选人的选取原则和数量见招标文件第五章规定。 </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27.2 按以下</w:t>
      </w:r>
      <w:r>
        <w:rPr>
          <w:rFonts w:hint="eastAsia" w:ascii="宋体" w:hAnsi="宋体" w:eastAsia="宋体" w:cs="宋体"/>
          <w:bCs/>
          <w:sz w:val="24"/>
          <w:szCs w:val="24"/>
          <w:highlight w:val="none"/>
          <w:lang w:val="zh-CN"/>
        </w:rPr>
        <w:t xml:space="preserve">第</w:t>
      </w:r>
      <w:r>
        <w:rPr>
          <w:rFonts w:hint="eastAsia" w:ascii="宋体" w:hAnsi="宋体" w:eastAsia="宋体" w:cs="宋体"/>
          <w:bCs/>
          <w:sz w:val="24"/>
          <w:szCs w:val="24"/>
          <w:highlight w:val="none"/>
          <w:u w:val="single"/>
          <w:lang w:val="zh-CN"/>
        </w:rPr>
        <w:t xml:space="preserve">（</w:t>
      </w:r>
      <w:r>
        <w:rPr>
          <w:rFonts w:hint="eastAsia" w:ascii="宋体" w:hAnsi="宋体" w:eastAsia="宋体" w:cs="宋体"/>
          <w:bCs/>
          <w:sz w:val="24"/>
          <w:szCs w:val="24"/>
          <w:highlight w:val="none"/>
          <w:u w:val="single"/>
        </w:rPr>
        <w:t xml:space="preserve">1</w:t>
      </w:r>
      <w:r>
        <w:rPr>
          <w:rFonts w:hint="eastAsia" w:ascii="宋体" w:hAnsi="宋体" w:eastAsia="宋体" w:cs="宋体"/>
          <w:bCs/>
          <w:sz w:val="24"/>
          <w:szCs w:val="24"/>
          <w:highlight w:val="none"/>
          <w:u w:val="single"/>
          <w:lang w:val="zh-CN"/>
        </w:rPr>
        <w:t xml:space="preserve">）</w:t>
      </w:r>
      <w:r>
        <w:rPr>
          <w:rFonts w:hint="eastAsia" w:ascii="宋体" w:hAnsi="宋体" w:eastAsia="宋体" w:cs="宋体"/>
          <w:bCs/>
          <w:sz w:val="24"/>
          <w:szCs w:val="24"/>
          <w:lang w:val="zh-CN"/>
        </w:rPr>
        <w:t xml:space="preserve">种方式确定中标人</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（1）评委会直接确定排名第一的中标候选人为中标人；</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（2）采购人在评委会推荐的中标候选人中按顺序确定中标人。</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lang w:val="zh-CN"/>
        </w:rPr>
        <w:t xml:space="preserve">按第</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种方式确定中标人的，</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27.3 </w:t>
      </w:r>
      <w:r>
        <w:rPr>
          <w:rFonts w:hint="eastAsia" w:ascii="宋体" w:hAnsi="宋体" w:eastAsia="宋体" w:cs="宋体"/>
          <w:sz w:val="24"/>
          <w:szCs w:val="24"/>
        </w:rPr>
        <w:t xml:space="preserve">采购代理机构将在“宿迁市政府采购网”发布中标公告，公告期限为1个工作日。</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27.4  若有充分证据证明，中标人出现下列情况之一的，一经查实，将被取消中标资格：</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27.4.4与采购人或者其他投标人恶意串通的。</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27.4.5采取不正当手段诋毁、排挤其他投标人的。</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bookmarkStart w:id="172" w:name="_Toc200451960"/>
      <w:r>
        <w:rPr>
          <w:rFonts w:hint="eastAsia" w:ascii="宋体" w:hAnsi="宋体" w:eastAsia="宋体" w:cs="宋体"/>
          <w:sz w:val="24"/>
          <w:szCs w:val="24"/>
        </w:rPr>
        <w:t xml:space="preserve">27.5 </w:t>
      </w:r>
      <w:r>
        <w:rPr>
          <w:rFonts w:hint="eastAsia" w:ascii="宋体" w:hAnsi="宋体" w:eastAsia="宋体" w:cs="宋体"/>
          <w:sz w:val="24"/>
          <w:szCs w:val="24"/>
        </w:rPr>
        <w:t xml:space="preserve">有下列情形之一的，视为投标人串通投标，投标无效：</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28、质疑处理</w:t>
      </w:r>
      <w:bookmarkEnd w:id="172"/>
      <w:r>
        <w:rPr>
          <w:rFonts w:hint="eastAsia" w:ascii="宋体" w:hAnsi="宋体" w:eastAsia="宋体" w:cs="宋体"/>
          <w:b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 提出质疑的投标人应当是参与所质疑项目采购活动的投标人。潜在投标人依法获取其可质疑的采购文件的，可以对采购文件提出质疑。</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28.2.1</w:t>
      </w:r>
      <w:r>
        <w:rPr>
          <w:rFonts w:hint="eastAsia" w:ascii="宋体" w:hAnsi="宋体" w:eastAsia="宋体" w:cs="宋体"/>
          <w:sz w:val="24"/>
          <w:szCs w:val="24"/>
        </w:rPr>
        <w:t xml:space="preserve">对可以质疑的采购文件提出质疑的，为收到采购文件之日或者采购文件公告期限届满之日；</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28.2.2</w:t>
      </w:r>
      <w:r>
        <w:rPr>
          <w:rFonts w:hint="eastAsia" w:ascii="宋体" w:hAnsi="宋体" w:eastAsia="宋体" w:cs="宋体"/>
          <w:sz w:val="24"/>
          <w:szCs w:val="24"/>
        </w:rPr>
        <w:t xml:space="preserve">对采购过程提出质疑的，为各采购程序环节结束之日；</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28.2.3</w:t>
      </w:r>
      <w:r>
        <w:rPr>
          <w:rFonts w:hint="eastAsia" w:ascii="宋体" w:hAnsi="宋体" w:eastAsia="宋体" w:cs="宋体"/>
          <w:sz w:val="24"/>
          <w:szCs w:val="24"/>
        </w:rPr>
        <w:t xml:space="preserve">对中标或者成交结果提出质疑的，为中标或者成交结果公告期限届满之日。</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hint="eastAsia" w:ascii="宋体" w:hAnsi="宋体" w:eastAsia="宋体" w:cs="宋体"/>
          <w:b/>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接收质疑函的方式：现场接收或邮寄接收。</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rPr>
        <w:t xml:space="preserve"> 沭阳县住房和城乡建设局、江苏中置宏胜项目管理有限公司</w:t>
      </w:r>
      <w:r>
        <w:rPr>
          <w:rFonts w:hint="eastAsia" w:ascii="宋体" w:hAnsi="宋体" w:eastAsia="宋体" w:cs="宋体"/>
          <w:sz w:val="24"/>
          <w:szCs w:val="24"/>
          <w:u w:val="single"/>
        </w:rPr>
      </w:r>
      <w:r/>
    </w:p>
    <w:p>
      <w:pPr>
        <w:pStyle w:val="674"/>
        <w:ind w:left="0" w:firstLine="480"/>
        <w:jc w:val="left"/>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联系电话：13605240901 、</w:t>
      </w:r>
      <w:r>
        <w:rPr>
          <w:rFonts w:hint="eastAsia" w:ascii="宋体" w:hAnsi="宋体" w:eastAsia="宋体" w:cs="宋体"/>
          <w:sz w:val="24"/>
          <w:szCs w:val="24"/>
          <w:lang w:eastAsia="zh-CN"/>
        </w:rPr>
        <w:t xml:space="preserve">13951593471</w:t>
      </w:r>
      <w:r>
        <w:rPr>
          <w:rFonts w:hint="eastAsia" w:ascii="宋体" w:hAnsi="宋体" w:eastAsia="宋体" w:cs="宋体"/>
          <w:sz w:val="24"/>
          <w:szCs w:val="24"/>
          <w:u w:val="single"/>
          <w:lang w:eastAsia="zh-CN"/>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通讯地址：沭阳县康平路2号建设大厦、沭阳县中宝大厦6楼</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 未参加投标活动的投标人或在投标活动中自身权益未受到损害的投标人所提出的质疑。</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28.5.5投标人组成联合体参加投标，联合体中任何一方或多方未按要求签字、盖章、加盖公章的质疑。</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28.7质疑供应商对采购人、采购代理机构的答复不满意，或者采购人、采购代理机构未在规定时间内作出答复的，可以在答复期满后15个工作日内向同级财政部门提起投诉。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29、中标通知书</w:t>
      </w:r>
      <w:r>
        <w:rPr>
          <w:rFonts w:hint="eastAsia" w:ascii="宋体" w:hAnsi="宋体" w:eastAsia="宋体" w:cs="宋体"/>
          <w:b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sz w:val="24"/>
          <w:szCs w:val="24"/>
        </w:rPr>
        <w:t xml:space="preserve"> </w:t>
      </w:r>
      <w:r>
        <w:rPr>
          <w:rFonts w:hint="eastAsia" w:ascii="宋体" w:hAnsi="宋体" w:eastAsia="宋体" w:cs="宋体"/>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rPr>
      </w:r>
      <w:r/>
    </w:p>
    <w:p>
      <w:pPr>
        <w:pStyle w:val="677"/>
        <w:ind w:left="0" w:firstLine="482"/>
        <w:jc w:val="left"/>
        <w:pageBreakBefore w:val="0"/>
        <w:spacing w:before="0" w:after="0" w:line="400" w:lineRule="exact"/>
        <w:widowControl w:val="off"/>
        <w:rPr>
          <w:rFonts w:hint="eastAsia" w:ascii="宋体" w:hAnsi="宋体" w:eastAsia="宋体" w:cs="宋体"/>
          <w:sz w:val="24"/>
          <w:szCs w:val="24"/>
        </w:rPr>
      </w:pPr>
      <w:r/>
      <w:bookmarkStart w:id="173" w:name="_Toc120614220"/>
      <w:r/>
      <w:bookmarkStart w:id="174" w:name="_Toc513029236"/>
      <w:r/>
      <w:bookmarkStart w:id="175" w:name="_Toc16938552"/>
      <w:r/>
      <w:bookmarkStart w:id="176" w:name="_Toc20823308"/>
      <w:r>
        <w:rPr>
          <w:rFonts w:hint="eastAsia" w:ascii="宋体" w:hAnsi="宋体" w:eastAsia="宋体" w:cs="宋体"/>
          <w:sz w:val="24"/>
          <w:szCs w:val="24"/>
        </w:rPr>
        <w:t xml:space="preserve">七、授予合同</w:t>
      </w:r>
      <w:bookmarkEnd w:id="173"/>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sz w:val="24"/>
          <w:szCs w:val="24"/>
        </w:rPr>
      </w:pPr>
      <w:r/>
      <w:bookmarkEnd w:id="174"/>
      <w:r/>
      <w:bookmarkEnd w:id="175"/>
      <w:r/>
      <w:bookmarkEnd w:id="176"/>
      <w:r/>
      <w:bookmarkStart w:id="177" w:name="_Toc20823309"/>
      <w:r/>
      <w:bookmarkStart w:id="178" w:name="_Toc513029237"/>
      <w:r/>
      <w:bookmarkStart w:id="179" w:name="_Toc16938553"/>
      <w:r>
        <w:rPr>
          <w:rFonts w:hint="eastAsia" w:ascii="宋体" w:hAnsi="宋体" w:eastAsia="宋体" w:cs="宋体"/>
          <w:b w:val="0"/>
          <w:sz w:val="24"/>
          <w:szCs w:val="24"/>
        </w:rPr>
        <w:t xml:space="preserve">30. 签订合同</w:t>
      </w:r>
      <w:r>
        <w:rPr>
          <w:rFonts w:hint="eastAsia" w:ascii="宋体" w:hAnsi="宋体" w:eastAsia="宋体" w:cs="宋体"/>
          <w:b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.l中标人应当在中标通知书发出之日起15日内，按照招标文件确定的事项与采购人签订政府采购合同。</w:t>
      </w:r>
      <w:r>
        <w:rPr>
          <w:rFonts w:hint="eastAsia" w:ascii="宋体" w:hAnsi="宋体" w:eastAsia="宋体" w:cs="宋体"/>
          <w:bCs/>
          <w:sz w:val="24"/>
          <w:szCs w:val="24"/>
          <w:lang w:val="zh-CN"/>
        </w:rPr>
        <w:t xml:space="preserve">并在签订之日起2个工作日内将政府采购合同在指定的媒体上公告，但政府采购合同中涉及国家秘密、商业秘密的内容除外。</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30.4本项目的非主体、非关键性工作是否允许分包按以下</w:t>
      </w: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w:t>
      </w:r>
      <w:r>
        <w:rPr>
          <w:rFonts w:hint="eastAsia" w:ascii="宋体" w:hAnsi="宋体" w:eastAsia="宋体" w:cs="宋体"/>
          <w:sz w:val="24"/>
          <w:szCs w:val="24"/>
        </w:rPr>
        <w:t xml:space="preserve">方式确定：</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1.允许分包，允许大中型企业向一家或者多家小微企业分包，分包具体内容、金额或比例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2.不允许分包。未经采购人同意，成交供应商也不得采用分包形式履行合同,否则采购人有权终止合同。转包或分包造成采购人损失的，成交供应商应承担相应赔偿责任。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30.4履约保证金</w:t>
      </w:r>
      <w:r>
        <w:rPr>
          <w:rFonts w:hint="eastAsia" w:ascii="宋体" w:hAnsi="宋体" w:eastAsia="宋体" w:cs="宋体"/>
          <w:bCs/>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按照以下</w:t>
      </w:r>
      <w:r>
        <w:rPr>
          <w:rFonts w:hint="eastAsia" w:ascii="宋体" w:hAnsi="宋体" w:eastAsia="宋体" w:cs="宋体"/>
          <w:bCs/>
          <w:sz w:val="24"/>
          <w:szCs w:val="24"/>
          <w:highlight w:val="none"/>
          <w:lang w:val="zh-CN"/>
        </w:rPr>
        <w:t xml:space="preserve">第</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lang w:val="zh-CN"/>
        </w:rPr>
        <w:t xml:space="preserve">方</w:t>
      </w:r>
      <w:r>
        <w:rPr>
          <w:rFonts w:hint="eastAsia" w:ascii="宋体" w:hAnsi="宋体" w:eastAsia="宋体" w:cs="宋体"/>
          <w:bCs/>
          <w:sz w:val="24"/>
          <w:szCs w:val="24"/>
          <w:lang w:val="zh-CN"/>
        </w:rPr>
        <w:t xml:space="preserve">式确定履约保证收取方式。</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(1)不收取履约保证金。</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(2)履约保证金应在采购合同签订前提交，履约保证金的金额按采购合同总价的</w:t>
      </w:r>
      <w:r>
        <w:rPr>
          <w:rFonts w:hint="eastAsia" w:ascii="宋体" w:hAnsi="宋体" w:eastAsia="宋体" w:cs="宋体"/>
          <w:bCs/>
          <w:color w:val="000000"/>
          <w:sz w:val="24"/>
          <w:szCs w:val="24"/>
          <w:u w:val="single"/>
        </w:rPr>
        <w:t xml:space="preserve">5</w:t>
      </w:r>
      <w:r>
        <w:rPr>
          <w:rFonts w:hint="eastAsia" w:ascii="宋体" w:hAnsi="宋体" w:eastAsia="宋体" w:cs="宋体"/>
          <w:bCs/>
          <w:color w:val="000000"/>
          <w:sz w:val="24"/>
          <w:szCs w:val="24"/>
          <w:lang w:val="zh-CN"/>
        </w:rPr>
        <w:t xml:space="preserve">%计取。除银行电汇、网上银行、数字人民币外，投标人还可选用银行保函、担保公司的保证担保或保险公司的保证保险、等多种形式向采购人缴纳；</w:t>
      </w:r>
      <w:r>
        <w:rPr>
          <w:rFonts w:hint="eastAsia" w:ascii="宋体" w:hAnsi="宋体" w:eastAsia="宋体" w:cs="宋体"/>
          <w:bCs/>
          <w:color w:val="000000"/>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olor w:val="000000"/>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履约保证金退还的条件：按以下方式实行：</w:t>
      </w:r>
      <w:r>
        <w:rPr>
          <w:rFonts w:hint="eastAsia" w:ascii="宋体" w:hAnsi="宋体" w:eastAsia="宋体" w:cs="宋体"/>
          <w:bCs/>
          <w:color w:val="000000"/>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服务类项目，项目履约期满评价合格，出具</w:t>
      </w:r>
      <w:r>
        <w:rPr>
          <w:rFonts w:hint="eastAsia" w:ascii="宋体" w:hAnsi="宋体" w:eastAsia="宋体" w:cs="宋体"/>
          <w:bCs/>
          <w:sz w:val="24"/>
          <w:szCs w:val="24"/>
        </w:rPr>
        <w:t xml:space="preserve">验收报告（</w:t>
      </w:r>
      <w:r>
        <w:rPr>
          <w:rFonts w:hint="eastAsia" w:ascii="宋体" w:hAnsi="宋体" w:eastAsia="宋体" w:cs="宋体"/>
          <w:bCs/>
          <w:sz w:val="24"/>
          <w:szCs w:val="24"/>
          <w:lang w:val="zh-CN"/>
        </w:rPr>
        <w:t xml:space="preserve">履约评价报告</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及履约保证金收据申请退付；</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履约保证金退还时间：采购单位收到投标人退付申请后5个工作日内退还；</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逾期退还履约保证金的违约责任：除应当退还履约保证金外，还应当按中国人民银行同期贷款基准利率支付超期资金占用费，但因投标人自身原因导致无法及时退还的除外。</w:t>
      </w:r>
      <w:r>
        <w:rPr>
          <w:rFonts w:hint="eastAsia" w:ascii="宋体" w:hAnsi="宋体" w:eastAsia="宋体" w:cs="宋体"/>
          <w:bCs/>
          <w:sz w:val="24"/>
          <w:szCs w:val="24"/>
          <w:lang w:val="zh-CN"/>
        </w:rPr>
      </w:r>
      <w:r/>
    </w:p>
    <w:p>
      <w:pPr>
        <w:pStyle w:val="674"/>
        <w:ind w:left="0" w:firstLine="480"/>
        <w:jc w:val="left"/>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31、服务（包含与服务相关的货物）的追加</w:t>
      </w:r>
      <w:r>
        <w:rPr>
          <w:rFonts w:hint="eastAsia" w:ascii="宋体" w:hAnsi="宋体" w:eastAsia="宋体" w:cs="宋体"/>
          <w:b w:val="0"/>
          <w:sz w:val="24"/>
          <w:szCs w:val="24"/>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rPr>
      </w:r>
      <w:r/>
    </w:p>
    <w:p>
      <w:pPr>
        <w:pStyle w:val="678"/>
        <w:ind w:left="0" w:firstLine="480"/>
        <w:jc w:val="left"/>
        <w:pageBreakBefore w:val="0"/>
        <w:spacing w:before="0" w:after="0" w:line="400" w:lineRule="exact"/>
        <w:widowControl w:val="off"/>
        <w:rPr>
          <w:rFonts w:hint="eastAsia" w:ascii="宋体" w:hAnsi="宋体" w:eastAsia="宋体" w:cs="宋体"/>
          <w:b w:val="0"/>
          <w:sz w:val="24"/>
          <w:szCs w:val="24"/>
        </w:rPr>
      </w:pPr>
      <w:r/>
      <w:bookmarkEnd w:id="177"/>
      <w:r/>
      <w:bookmarkEnd w:id="178"/>
      <w:r/>
      <w:bookmarkEnd w:id="179"/>
      <w:r/>
      <w:bookmarkStart w:id="180" w:name="_Toc479757207"/>
      <w:r/>
      <w:bookmarkStart w:id="181" w:name="_Toc16938558"/>
      <w:r/>
      <w:bookmarkStart w:id="182" w:name="_Toc120614221"/>
      <w:r/>
      <w:bookmarkStart w:id="183" w:name="_Toc20823314"/>
      <w:r/>
      <w:bookmarkStart w:id="184" w:name="_Toc513029242"/>
      <w:r>
        <w:rPr>
          <w:rFonts w:hint="eastAsia" w:ascii="宋体" w:hAnsi="宋体" w:eastAsia="宋体" w:cs="宋体"/>
          <w:b w:val="0"/>
          <w:sz w:val="24"/>
          <w:szCs w:val="24"/>
        </w:rPr>
        <w:t xml:space="preserve">32、政府采购履约资金扶持政策</w:t>
      </w:r>
      <w:r>
        <w:rPr>
          <w:rFonts w:hint="eastAsia" w:ascii="宋体" w:hAnsi="宋体" w:eastAsia="宋体" w:cs="宋体"/>
          <w:b w:val="0"/>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rPr>
        <w:t xml:space="preserve">32.1依</w:t>
      </w:r>
      <w:r>
        <w:rPr>
          <w:rFonts w:hint="eastAsia" w:ascii="宋体" w:hAnsi="宋体" w:eastAsia="宋体" w:cs="宋体"/>
          <w:bCs/>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bCs/>
          <w:sz w:val="24"/>
          <w:szCs w:val="24"/>
          <w:lang w:val="zh-CN"/>
        </w:rPr>
      </w:r>
      <w:r/>
    </w:p>
    <w:p>
      <w:pPr>
        <w:pStyle w:val="678"/>
        <w:ind w:left="0" w:firstLine="482"/>
        <w:jc w:val="left"/>
        <w:pageBreakBefore w:val="0"/>
        <w:spacing w:before="0"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33、验收及付款</w:t>
      </w:r>
      <w:r>
        <w:rPr>
          <w:rFonts w:hint="eastAsia" w:ascii="宋体" w:hAnsi="宋体" w:eastAsia="宋体" w:cs="宋体"/>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bCs/>
          <w:sz w:val="24"/>
          <w:szCs w:val="24"/>
          <w:highlight w:val="white"/>
        </w:rPr>
      </w:r>
      <w:r/>
    </w:p>
    <w:p>
      <w:pPr>
        <w:pStyle w:val="674"/>
        <w:ind w:left="0" w:firstLine="480"/>
        <w:jc w:val="left"/>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33.2采购人可以邀请参加本项目的其他投标人或者第三方机构参与验收。参与验收的投标人或者第三方机构的意见作为验收书的参考资料一并存档。</w:t>
      </w:r>
      <w:r>
        <w:rPr>
          <w:rFonts w:hint="eastAsia" w:ascii="宋体" w:hAnsi="宋体" w:eastAsia="宋体" w:cs="宋体"/>
          <w:bCs/>
          <w:sz w:val="24"/>
          <w:szCs w:val="24"/>
          <w:highlight w:val="white"/>
        </w:rPr>
      </w:r>
      <w:r/>
    </w:p>
    <w:p>
      <w:pPr>
        <w:pStyle w:val="674"/>
        <w:ind w:left="0" w:firstLine="480"/>
        <w:jc w:val="left"/>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Cs/>
          <w:sz w:val="24"/>
          <w:szCs w:val="24"/>
          <w:highlight w:val="white"/>
        </w:rPr>
      </w:r>
      <w:r/>
    </w:p>
    <w:p>
      <w:pPr>
        <w:pStyle w:val="674"/>
        <w:ind w:left="0"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sz w:val="24"/>
          <w:szCs w:val="24"/>
        </w:rPr>
      </w:r>
      <w:r/>
    </w:p>
    <w:p>
      <w:pPr>
        <w:pStyle w:val="674"/>
        <w:ind w:left="0" w:firstLine="482"/>
        <w:jc w:val="left"/>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highlight w:val="white"/>
        </w:rPr>
        <w:t xml:space="preserve">34、付款</w:t>
      </w:r>
      <w:r>
        <w:rPr>
          <w:rFonts w:hint="eastAsia" w:ascii="宋体" w:hAnsi="宋体" w:eastAsia="宋体" w:cs="宋体"/>
          <w:b/>
          <w:sz w:val="24"/>
          <w:szCs w:val="24"/>
        </w:rPr>
      </w:r>
      <w:r/>
    </w:p>
    <w:p>
      <w:pPr>
        <w:pStyle w:val="674"/>
        <w:ind w:left="0" w:firstLine="480"/>
        <w:jc w:val="left"/>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w:t>
      </w:r>
      <w:bookmarkStart w:id="185" w:name="EBec7f529f50594afd871ea9378869e456"/>
      <w:r>
        <w:rPr>
          <w:rFonts w:hint="eastAsia" w:ascii="宋体" w:hAnsi="宋体" w:eastAsia="宋体" w:cs="宋体"/>
          <w:bCs/>
          <w:sz w:val="24"/>
          <w:szCs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85"/>
      <w:r>
        <w:rPr>
          <w:rFonts w:hint="eastAsia" w:ascii="宋体" w:hAnsi="宋体" w:eastAsia="宋体" w:cs="宋体"/>
          <w:bCs/>
          <w:sz w:val="24"/>
          <w:szCs w:val="24"/>
          <w:highlight w:val="white"/>
        </w:rPr>
      </w:r>
      <w:r/>
    </w:p>
    <w:p>
      <w:pPr>
        <w:pStyle w:val="674"/>
        <w:ind w:left="0" w:firstLine="480"/>
        <w:jc w:val="left"/>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预付款：合同金额的</w:t>
      </w:r>
      <w:bookmarkStart w:id="186" w:name="EBe373fd05aa034cc3a1a41aadf8509e01"/>
      <w:r>
        <w:rPr>
          <w:rFonts w:hint="eastAsia" w:ascii="宋体" w:hAnsi="宋体" w:eastAsia="宋体" w:cs="宋体"/>
          <w:bCs/>
          <w:sz w:val="24"/>
          <w:szCs w:val="24"/>
          <w:highlight w:val="none"/>
          <w:u w:val="single"/>
        </w:rPr>
        <w:t xml:space="preserve">  10  </w:t>
      </w:r>
      <w:r>
        <w:rPr>
          <w:rFonts w:hint="eastAsia" w:ascii="宋体" w:hAnsi="宋体" w:eastAsia="宋体" w:cs="宋体"/>
          <w:bCs/>
          <w:sz w:val="24"/>
          <w:szCs w:val="24"/>
          <w:highlight w:val="white"/>
        </w:rPr>
        <w:t xml:space="preserve">%</w:t>
      </w:r>
      <w:bookmarkEnd w:id="186"/>
      <w:r>
        <w:rPr>
          <w:rFonts w:hint="eastAsia" w:ascii="宋体" w:hAnsi="宋体" w:eastAsia="宋体" w:cs="宋体"/>
          <w:bCs/>
          <w:sz w:val="24"/>
          <w:szCs w:val="24"/>
          <w:highlight w:val="white"/>
        </w:rPr>
        <w:t xml:space="preserve">，合同签订后按规定支付；</w:t>
      </w:r>
      <w:r>
        <w:rPr>
          <w:rFonts w:hint="eastAsia" w:ascii="宋体" w:hAnsi="宋体" w:eastAsia="宋体" w:cs="宋体"/>
          <w:sz w:val="24"/>
          <w:szCs w:val="24"/>
          <w:highlight w:val="white"/>
        </w:rPr>
        <w:t xml:space="preserve"> </w:t>
      </w:r>
      <w:r>
        <w:rPr>
          <w:rFonts w:hint="eastAsia" w:ascii="宋体" w:hAnsi="宋体" w:eastAsia="宋体" w:cs="宋体"/>
          <w:bCs/>
          <w:sz w:val="24"/>
          <w:szCs w:val="24"/>
          <w:highlight w:val="white"/>
        </w:rPr>
        <w:t xml:space="preserve">（支付预付款同时承包人须向发包人提供同比例银行保函）。</w:t>
      </w:r>
      <w:r>
        <w:rPr>
          <w:rFonts w:hint="eastAsia" w:ascii="宋体" w:hAnsi="宋体" w:eastAsia="宋体" w:cs="宋体"/>
          <w:bCs/>
          <w:sz w:val="24"/>
          <w:szCs w:val="24"/>
          <w:highlight w:val="white"/>
        </w:rPr>
      </w:r>
      <w:r/>
    </w:p>
    <w:p>
      <w:pPr>
        <w:pStyle w:val="674"/>
        <w:ind w:left="0" w:firstLine="482"/>
        <w:jc w:val="left"/>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
          <w:bCs w:val="0"/>
          <w:sz w:val="24"/>
          <w:szCs w:val="24"/>
          <w:highlight w:val="white"/>
        </w:rPr>
        <w:t xml:space="preserve">进度款：</w:t>
      </w:r>
      <w:bookmarkStart w:id="187" w:name="EB5e42c1c1be704ecfa15d9f8f317e8f12"/>
      <w:r/>
      <w:bookmarkEnd w:id="187"/>
      <w:r/>
      <w:bookmarkStart w:id="188" w:name="EB11398ec6946f4019bc4c35221e27b04f"/>
      <w:r>
        <w:rPr>
          <w:rFonts w:hint="eastAsia" w:ascii="宋体" w:hAnsi="宋体" w:eastAsia="宋体" w:cs="宋体"/>
          <w:b/>
          <w:bCs w:val="0"/>
          <w:sz w:val="24"/>
          <w:szCs w:val="24"/>
          <w:highlight w:val="white"/>
        </w:rPr>
        <w:t xml:space="preserve">施工单位进场，完成工程量的100%，经验收合格后，付至工程合同价款总额的80%；工程完工验收合格后安排结算审计，审计结算后，扣除质保金（国家相关规定预留）后按审计结算价付清余款；质量保证期结束后再支付质保金（质保期按国家相关规定执行）注：①在签订合同时，中标人明确表示无需预付款或者主动要求降低预付款比例的金额，采购人可不适用预付款规定。</w:t>
      </w:r>
      <w:bookmarkEnd w:id="188"/>
      <w:r>
        <w:rPr>
          <w:rFonts w:hint="eastAsia" w:ascii="宋体" w:hAnsi="宋体" w:eastAsia="宋体" w:cs="宋体"/>
          <w:b/>
          <w:bCs w:val="0"/>
          <w:sz w:val="24"/>
          <w:szCs w:val="24"/>
          <w:highlight w:val="white"/>
        </w:rPr>
        <w:t xml:space="preserve">②上述费用合同价为合同总价扣除运营期的污水处理费。</w:t>
      </w:r>
      <w:r>
        <w:rPr>
          <w:rFonts w:hint="eastAsia" w:ascii="宋体" w:hAnsi="宋体" w:eastAsia="宋体" w:cs="宋体"/>
          <w:bCs/>
          <w:sz w:val="24"/>
          <w:szCs w:val="24"/>
          <w:highlight w:val="white"/>
        </w:rPr>
      </w:r>
      <w:r/>
    </w:p>
    <w:p>
      <w:pPr>
        <w:pStyle w:val="674"/>
        <w:ind w:firstLine="482"/>
        <w:spacing w:line="560" w:lineRule="exact"/>
        <w:rPr>
          <w:rFonts w:hint="eastAsia"/>
          <w:bCs/>
          <w:sz w:val="24"/>
          <w:highlight w:val="white"/>
        </w:rPr>
      </w:pPr>
      <w:r>
        <w:rPr>
          <w:rFonts w:hint="eastAsia"/>
          <w:bCs/>
          <w:sz w:val="24"/>
          <w:highlight w:val="white"/>
        </w:rPr>
      </w:r>
      <w:r/>
    </w:p>
    <w:p>
      <w:pPr>
        <w:pStyle w:val="675"/>
        <w:rPr>
          <w:rFonts w:hint="eastAsia"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  合同</w:t>
      </w:r>
      <w:bookmarkEnd w:id="180"/>
      <w:r/>
      <w:bookmarkEnd w:id="181"/>
      <w:r/>
      <w:bookmarkEnd w:id="182"/>
      <w:r/>
      <w:bookmarkEnd w:id="183"/>
      <w:r/>
      <w:bookmarkEnd w:id="184"/>
      <w:r>
        <w:rPr>
          <w:rFonts w:hint="eastAsia" w:ascii="Times New Roman" w:eastAsia="黑体"/>
          <w:bCs/>
          <w:sz w:val="44"/>
        </w:rPr>
        <w:t xml:space="preserve">文本</w:t>
      </w:r>
      <w:r>
        <w:rPr>
          <w:rFonts w:hint="eastAsia" w:ascii="Times New Roman" w:eastAsia="黑体"/>
          <w:bCs/>
          <w:sz w:val="44"/>
        </w:rPr>
      </w:r>
      <w:r/>
    </w:p>
    <w:p>
      <w:pPr>
        <w:pStyle w:val="674"/>
        <w:ind w:firstLine="480"/>
        <w:spacing w:line="500" w:lineRule="exact"/>
        <w:rPr>
          <w:rFonts w:hint="eastAsia"/>
          <w:bCs/>
          <w:sz w:val="24"/>
        </w:rPr>
      </w:pPr>
      <w:r/>
      <w:bookmarkStart w:id="189" w:name="_Toc513029243"/>
      <w:r/>
      <w:bookmarkStart w:id="190" w:name="_Toc16938559"/>
      <w:r/>
      <w:bookmarkStart w:id="191" w:name="_Toc20823315"/>
      <w:r>
        <w:rPr>
          <w:rFonts w:hint="eastAsia"/>
          <w:bCs/>
          <w:sz w:val="24"/>
        </w:rPr>
        <w:t xml:space="preserve">以下为中标后签定本项目合同的通用条款，中标人不得提出实质性的修改。</w:t>
      </w:r>
      <w:r>
        <w:rPr>
          <w:rFonts w:hint="eastAsia"/>
          <w:bCs/>
          <w:sz w:val="24"/>
        </w:rPr>
      </w:r>
      <w:r/>
    </w:p>
    <w:p>
      <w:pPr>
        <w:pStyle w:val="674"/>
        <w:jc w:val="center"/>
        <w:spacing w:before="120" w:after="120" w:line="360" w:lineRule="exact"/>
        <w:rPr>
          <w:rFonts w:eastAsia="黑体"/>
          <w:sz w:val="28"/>
          <w:szCs w:val="28"/>
        </w:rPr>
      </w:pPr>
      <w:r/>
      <w:bookmarkEnd w:id="189"/>
      <w:r/>
      <w:bookmarkEnd w:id="190"/>
      <w:r/>
      <w:bookmarkEnd w:id="191"/>
      <w:r/>
      <w:bookmarkStart w:id="192" w:name="_Toc462564139"/>
      <w:r/>
      <w:bookmarkStart w:id="193" w:name="_Toc16938590"/>
      <w:r/>
      <w:bookmarkStart w:id="194" w:name="_Toc120614244"/>
      <w:r/>
      <w:bookmarkStart w:id="195" w:name="_Hlt16619350"/>
      <w:r/>
      <w:bookmarkStart w:id="196" w:name="EB8042860f1a324a1a921dcf3799078356"/>
      <w:r/>
      <w:bookmarkStart w:id="197" w:name="_Toc479757211"/>
      <w:r/>
      <w:bookmarkStart w:id="198" w:name="_Toc20823346"/>
      <w:r>
        <w:rPr>
          <w:rFonts w:eastAsia="黑体"/>
          <w:sz w:val="28"/>
          <w:szCs w:val="28"/>
        </w:rPr>
      </w:r>
      <w:r/>
    </w:p>
    <w:p>
      <w:pPr>
        <w:pStyle w:val="674"/>
        <w:jc w:val="center"/>
        <w:spacing w:before="120" w:after="120" w:line="360" w:lineRule="exact"/>
        <w:rPr>
          <w:rFonts w:eastAsia="黑体"/>
          <w:sz w:val="28"/>
          <w:szCs w:val="28"/>
          <w:highlight w:val="red"/>
        </w:rPr>
      </w:pPr>
      <w:r>
        <w:rPr>
          <w:rFonts w:eastAsia="黑体"/>
          <w:sz w:val="28"/>
          <w:szCs w:val="28"/>
          <w:highlight w:val="red"/>
        </w:rPr>
      </w:r>
      <w:r/>
    </w:p>
    <w:p>
      <w:pPr>
        <w:pStyle w:val="838"/>
        <w:jc w:val="center"/>
        <w:rPr>
          <w:rFonts w:eastAsia="华文中宋"/>
          <w:b/>
          <w:color w:val="000000"/>
          <w:sz w:val="52"/>
          <w:szCs w:val="52"/>
        </w:rPr>
      </w:pPr>
      <w:r>
        <w:rPr>
          <w:rFonts w:eastAsia="华文中宋"/>
          <w:b/>
          <w:color w:val="000000"/>
          <w:sz w:val="52"/>
          <w:szCs w:val="52"/>
        </w:rPr>
      </w:r>
      <w:r/>
    </w:p>
    <w:p>
      <w:pPr>
        <w:pStyle w:val="838"/>
        <w:jc w:val="center"/>
        <w:rPr>
          <w:rFonts w:eastAsia="华文中宋"/>
          <w:b/>
          <w:color w:val="000000"/>
          <w:sz w:val="52"/>
          <w:szCs w:val="52"/>
        </w:rPr>
      </w:pPr>
      <w:r>
        <w:rPr>
          <w:rFonts w:eastAsia="华文中宋"/>
          <w:b/>
          <w:color w:val="000000"/>
          <w:sz w:val="52"/>
          <w:szCs w:val="52"/>
        </w:rPr>
      </w:r>
      <w:r/>
    </w:p>
    <w:p>
      <w:pPr>
        <w:pStyle w:val="838"/>
        <w:jc w:val="center"/>
        <w:rPr>
          <w:rFonts w:eastAsia="华文中宋"/>
          <w:b/>
          <w:color w:val="000000"/>
          <w:sz w:val="52"/>
          <w:szCs w:val="52"/>
        </w:rPr>
      </w:pPr>
      <w:r>
        <w:rPr>
          <w:rFonts w:eastAsia="华文中宋"/>
          <w:b/>
          <w:color w:val="000000"/>
          <w:sz w:val="52"/>
          <w:szCs w:val="52"/>
        </w:rPr>
        <w:t xml:space="preserve">沭阳县陇集镇污水处理厂提质提标项目</w:t>
      </w:r>
      <w:r>
        <w:rPr>
          <w:rFonts w:hint="eastAsia" w:eastAsia="华文中宋"/>
          <w:b/>
          <w:color w:val="000000"/>
          <w:sz w:val="52"/>
          <w:szCs w:val="52"/>
        </w:rPr>
        <w:t xml:space="preserve"> </w:t>
      </w:r>
      <w:r>
        <w:rPr>
          <w:rFonts w:eastAsia="华文中宋"/>
          <w:b/>
          <w:color w:val="000000"/>
          <w:sz w:val="52"/>
          <w:szCs w:val="52"/>
        </w:rPr>
      </w:r>
      <w:r/>
    </w:p>
    <w:p>
      <w:pPr>
        <w:pStyle w:val="838"/>
        <w:jc w:val="center"/>
        <w:rPr>
          <w:rFonts w:hint="eastAsia" w:ascii="新宋体" w:hAnsi="新宋体" w:eastAsia="新宋体"/>
          <w:b/>
          <w:color w:val="000000"/>
          <w:sz w:val="44"/>
          <w:szCs w:val="44"/>
          <w:lang w:eastAsia="zh-CN"/>
        </w:rPr>
      </w:pPr>
      <w:r>
        <w:rPr>
          <w:rFonts w:hint="eastAsia" w:ascii="新宋体" w:hAnsi="新宋体" w:eastAsia="新宋体"/>
          <w:b/>
          <w:color w:val="000000"/>
          <w:sz w:val="44"/>
          <w:szCs w:val="44"/>
        </w:rPr>
        <w:t xml:space="preserve">（施工、设备采购、运营一体化）项目合同</w:t>
      </w:r>
      <w:r>
        <w:rPr>
          <w:rFonts w:hint="eastAsia" w:ascii="新宋体" w:hAnsi="新宋体" w:eastAsia="新宋体"/>
          <w:b/>
          <w:color w:val="000000"/>
          <w:sz w:val="44"/>
          <w:szCs w:val="44"/>
          <w:lang w:eastAsia="zh-CN"/>
        </w:rPr>
      </w:r>
      <w:r/>
    </w:p>
    <w:p>
      <w:pPr>
        <w:pStyle w:val="838"/>
        <w:jc w:val="center"/>
        <w:rPr>
          <w:rFonts w:hint="eastAsia" w:ascii="新宋体" w:hAnsi="新宋体" w:eastAsia="新宋体"/>
          <w:b/>
          <w:color w:val="000000"/>
          <w:sz w:val="44"/>
          <w:szCs w:val="44"/>
          <w:lang w:eastAsia="zh-CN"/>
        </w:rPr>
      </w:pPr>
      <w:r>
        <w:rPr>
          <w:rFonts w:hint="eastAsia" w:ascii="新宋体" w:hAnsi="新宋体" w:eastAsia="新宋体"/>
          <w:b/>
          <w:color w:val="000000"/>
          <w:sz w:val="44"/>
          <w:szCs w:val="44"/>
          <w:lang w:eastAsia="zh-CN"/>
        </w:rPr>
      </w:r>
      <w:r/>
    </w:p>
    <w:p>
      <w:pPr>
        <w:pStyle w:val="838"/>
        <w:jc w:val="center"/>
        <w:rPr>
          <w:rFonts w:hint="eastAsia" w:eastAsia="华文中宋"/>
          <w:b/>
          <w:color w:val="000000"/>
          <w:sz w:val="52"/>
          <w:szCs w:val="52"/>
        </w:rPr>
      </w:pPr>
      <w:r>
        <w:rPr>
          <w:rFonts w:hint="eastAsia" w:eastAsia="华文中宋"/>
          <w:b/>
          <w:color w:val="000000"/>
          <w:sz w:val="52"/>
          <w:szCs w:val="52"/>
        </w:rPr>
      </w:r>
      <w:r/>
    </w:p>
    <w:p>
      <w:pPr>
        <w:pStyle w:val="838"/>
        <w:jc w:val="center"/>
        <w:rPr>
          <w:rFonts w:eastAsia="黑体"/>
          <w:b/>
          <w:color w:val="000000"/>
          <w:sz w:val="72"/>
          <w:szCs w:val="72"/>
        </w:rPr>
      </w:pPr>
      <w:r>
        <w:rPr>
          <w:rFonts w:eastAsia="黑体"/>
          <w:b/>
          <w:color w:val="000000"/>
          <w:sz w:val="72"/>
          <w:szCs w:val="72"/>
        </w:rPr>
      </w:r>
      <w:r/>
    </w:p>
    <w:p>
      <w:pPr>
        <w:pStyle w:val="838"/>
        <w:jc w:val="center"/>
        <w:rPr>
          <w:rFonts w:eastAsia="楷体_GB2312"/>
          <w:b/>
          <w:color w:val="000000"/>
          <w:sz w:val="72"/>
          <w:szCs w:val="72"/>
        </w:rPr>
      </w:pPr>
      <w:r>
        <w:rPr>
          <w:rFonts w:eastAsia="楷体_GB2312"/>
          <w:b/>
          <w:color w:val="000000"/>
          <w:sz w:val="72"/>
          <w:szCs w:val="72"/>
        </w:rPr>
      </w:r>
      <w:r/>
    </w:p>
    <w:p>
      <w:pPr>
        <w:pStyle w:val="838"/>
        <w:rPr>
          <w:b/>
          <w:color w:val="000000"/>
          <w:sz w:val="28"/>
          <w:szCs w:val="28"/>
        </w:rPr>
      </w:pPr>
      <w:r>
        <w:rPr>
          <w:b/>
          <w:color w:val="000000"/>
          <w:sz w:val="28"/>
          <w:szCs w:val="28"/>
        </w:rPr>
      </w:r>
      <w:r/>
    </w:p>
    <w:p>
      <w:pPr>
        <w:pStyle w:val="838"/>
        <w:ind w:firstLine="1124"/>
        <w:spacing w:line="600" w:lineRule="exact"/>
        <w:rPr>
          <w:rFonts w:hint="eastAsia"/>
          <w:b/>
          <w:color w:val="000000"/>
          <w:sz w:val="28"/>
          <w:szCs w:val="28"/>
        </w:rPr>
      </w:pPr>
      <w:r>
        <w:rPr>
          <w:rFonts w:hint="eastAsia"/>
          <w:b/>
          <w:color w:val="000000"/>
          <w:sz w:val="28"/>
          <w:szCs w:val="28"/>
        </w:rPr>
        <w:t xml:space="preserve">发包人（全称）：沭阳县住房和城乡建设局            </w:t>
      </w:r>
      <w:r>
        <w:rPr>
          <w:rFonts w:hint="eastAsia"/>
          <w:b/>
          <w:color w:val="000000"/>
          <w:sz w:val="28"/>
          <w:szCs w:val="28"/>
        </w:rPr>
      </w:r>
      <w:r/>
    </w:p>
    <w:p>
      <w:pPr>
        <w:pStyle w:val="838"/>
        <w:ind w:firstLine="1124"/>
        <w:spacing w:line="600" w:lineRule="exact"/>
        <w:rPr>
          <w:rFonts w:hint="eastAsia"/>
          <w:b/>
          <w:color w:val="000000"/>
        </w:rPr>
      </w:pPr>
      <w:r>
        <w:rPr>
          <w:rFonts w:hint="eastAsia"/>
          <w:b/>
          <w:color w:val="000000"/>
          <w:sz w:val="28"/>
          <w:szCs w:val="28"/>
        </w:rPr>
        <w:t xml:space="preserve">承包人（全称）：                                  </w:t>
      </w:r>
      <w:r>
        <w:rPr>
          <w:rFonts w:hint="eastAsia"/>
          <w:b/>
          <w:color w:val="000000"/>
        </w:rPr>
      </w:r>
      <w:r/>
    </w:p>
    <w:p>
      <w:pPr>
        <w:pStyle w:val="674"/>
        <w:jc w:val="center"/>
        <w:rPr>
          <w:sz w:val="20"/>
          <w:szCs w:val="20"/>
        </w:rPr>
      </w:pPr>
      <w:r>
        <w:rPr>
          <w:b/>
          <w:color w:val="000000"/>
          <w:sz w:val="32"/>
          <w:szCs w:val="32"/>
          <w:u w:val="single"/>
        </w:rPr>
        <w:t xml:space="preserve">20</w:t>
      </w:r>
      <w:r>
        <w:rPr>
          <w:rFonts w:hint="eastAsia"/>
          <w:b/>
          <w:color w:val="000000"/>
          <w:sz w:val="32"/>
          <w:szCs w:val="32"/>
          <w:u w:val="single"/>
        </w:rPr>
        <w:t xml:space="preserve">24</w:t>
      </w:r>
      <w:r>
        <w:rPr>
          <w:rFonts w:hint="eastAsia"/>
          <w:b/>
          <w:color w:val="000000"/>
          <w:sz w:val="32"/>
          <w:szCs w:val="32"/>
        </w:rPr>
        <w:t xml:space="preserve">年</w:t>
      </w:r>
      <w:r>
        <w:rPr>
          <w:b/>
          <w:color w:val="000000"/>
          <w:sz w:val="32"/>
          <w:szCs w:val="32"/>
          <w:u w:val="single"/>
        </w:rPr>
        <w:t xml:space="preserve"> </w:t>
      </w:r>
      <w:r>
        <w:rPr>
          <w:rFonts w:hint="eastAsia"/>
          <w:b/>
          <w:color w:val="000000"/>
          <w:sz w:val="32"/>
          <w:szCs w:val="32"/>
          <w:u w:val="single"/>
        </w:rPr>
        <w:t xml:space="preserve"> </w:t>
      </w:r>
      <w:r>
        <w:rPr>
          <w:b/>
          <w:color w:val="000000"/>
          <w:sz w:val="32"/>
          <w:szCs w:val="32"/>
          <w:u w:val="single"/>
        </w:rPr>
        <w:t xml:space="preserve"> </w:t>
      </w:r>
      <w:r>
        <w:rPr>
          <w:rFonts w:hint="eastAsia"/>
          <w:b/>
          <w:color w:val="000000"/>
          <w:sz w:val="32"/>
          <w:szCs w:val="32"/>
        </w:rPr>
        <w:t xml:space="preserve">月</w:t>
      </w:r>
      <w:r>
        <w:rPr>
          <w:b/>
          <w:color w:val="000000"/>
          <w:sz w:val="32"/>
          <w:szCs w:val="32"/>
          <w:u w:val="single"/>
        </w:rPr>
        <w:t xml:space="preserve">    </w:t>
      </w:r>
      <w:r>
        <w:rPr>
          <w:rFonts w:hint="eastAsia"/>
          <w:b/>
          <w:color w:val="000000"/>
          <w:sz w:val="32"/>
          <w:szCs w:val="32"/>
        </w:rPr>
        <w:t xml:space="preserve">日</w:t>
      </w:r>
      <w:r>
        <w:rPr>
          <w:sz w:val="20"/>
          <w:szCs w:val="20"/>
        </w:rPr>
      </w:r>
      <w:r/>
    </w:p>
    <w:p>
      <w:pPr>
        <w:pStyle w:val="957"/>
        <w:ind w:right="-210"/>
        <w:jc w:val="center"/>
        <w:spacing w:line="600" w:lineRule="exact"/>
        <w:rPr>
          <w:rFonts w:hint="eastAsia" w:ascii="宋体" w:hAnsi="宋体"/>
          <w:sz w:val="30"/>
          <w:szCs w:val="30"/>
        </w:rPr>
      </w:pPr>
      <w:r>
        <w:rPr>
          <w:rFonts w:hint="eastAsia" w:ascii="宋体" w:hAnsi="宋体"/>
          <w:sz w:val="30"/>
          <w:szCs w:val="30"/>
        </w:rPr>
      </w:r>
      <w:r/>
    </w:p>
    <w:p>
      <w:pPr>
        <w:pStyle w:val="957"/>
        <w:ind w:right="-210"/>
        <w:jc w:val="center"/>
        <w:spacing w:line="600" w:lineRule="exact"/>
        <w:rPr>
          <w:rFonts w:hint="eastAsia" w:ascii="宋体" w:hAnsi="宋体"/>
          <w:sz w:val="30"/>
          <w:szCs w:val="30"/>
        </w:rPr>
      </w:pPr>
      <w:r>
        <w:rPr>
          <w:rFonts w:hint="eastAsia" w:ascii="宋体" w:hAnsi="宋体"/>
          <w:sz w:val="30"/>
          <w:szCs w:val="30"/>
        </w:rPr>
      </w:r>
      <w:r/>
    </w:p>
    <w:p>
      <w:pPr>
        <w:pStyle w:val="957"/>
        <w:ind w:right="-210"/>
        <w:jc w:val="center"/>
        <w:spacing w:line="600" w:lineRule="exact"/>
        <w:rPr>
          <w:rFonts w:hint="eastAsia" w:ascii="宋体" w:hAnsi="宋体"/>
          <w:sz w:val="30"/>
          <w:szCs w:val="30"/>
        </w:rPr>
      </w:pPr>
      <w:r>
        <w:rPr>
          <w:rFonts w:hint="eastAsia" w:ascii="宋体" w:hAnsi="宋体"/>
          <w:sz w:val="30"/>
          <w:szCs w:val="30"/>
        </w:rPr>
      </w:r>
      <w:r/>
    </w:p>
    <w:p>
      <w:pPr>
        <w:pStyle w:val="957"/>
        <w:ind w:right="-210"/>
        <w:jc w:val="center"/>
        <w:spacing w:line="600" w:lineRule="exact"/>
        <w:rPr>
          <w:rFonts w:hint="eastAsia" w:ascii="宋体" w:hAnsi="宋体"/>
          <w:sz w:val="30"/>
          <w:szCs w:val="30"/>
        </w:rPr>
      </w:pPr>
      <w:r>
        <w:rPr>
          <w:rFonts w:hint="eastAsia" w:ascii="宋体" w:hAnsi="宋体"/>
          <w:sz w:val="30"/>
          <w:szCs w:val="30"/>
        </w:rPr>
      </w:r>
      <w:r/>
    </w:p>
    <w:p>
      <w:pPr>
        <w:pStyle w:val="957"/>
        <w:ind w:right="-210"/>
        <w:jc w:val="center"/>
        <w:spacing w:line="600" w:lineRule="exact"/>
        <w:rPr>
          <w:rFonts w:hint="eastAsia" w:ascii="宋体" w:hAnsi="宋体"/>
          <w:sz w:val="30"/>
          <w:szCs w:val="30"/>
        </w:rPr>
      </w:pPr>
      <w:r>
        <w:rPr>
          <w:rFonts w:hint="eastAsia" w:ascii="宋体" w:hAnsi="宋体"/>
          <w:sz w:val="30"/>
          <w:szCs w:val="30"/>
        </w:rPr>
      </w:r>
      <w:r/>
    </w:p>
    <w:p>
      <w:pPr>
        <w:pStyle w:val="957"/>
        <w:ind w:right="-210"/>
        <w:jc w:val="center"/>
        <w:spacing w:line="600" w:lineRule="exact"/>
        <w:rPr>
          <w:rFonts w:hint="eastAsia" w:ascii="宋体" w:hAnsi="宋体"/>
          <w:sz w:val="30"/>
          <w:szCs w:val="30"/>
        </w:rPr>
      </w:pPr>
      <w:r>
        <w:rPr>
          <w:rFonts w:hint="eastAsia" w:ascii="宋体" w:hAnsi="宋体"/>
          <w:sz w:val="30"/>
          <w:szCs w:val="30"/>
        </w:rPr>
      </w:r>
      <w:r/>
    </w:p>
    <w:p>
      <w:pPr>
        <w:pStyle w:val="957"/>
        <w:ind w:right="-210"/>
        <w:jc w:val="center"/>
        <w:spacing w:line="600" w:lineRule="exact"/>
        <w:rPr>
          <w:rFonts w:hint="eastAsia" w:ascii="宋体" w:hAnsi="宋体"/>
          <w:sz w:val="30"/>
          <w:szCs w:val="30"/>
        </w:rPr>
      </w:pPr>
      <w:r>
        <w:rPr>
          <w:rFonts w:hint="eastAsia" w:ascii="宋体" w:hAnsi="宋体"/>
          <w:sz w:val="30"/>
          <w:szCs w:val="30"/>
        </w:rPr>
        <w:t xml:space="preserve">第一部分 合同协议书</w:t>
      </w:r>
      <w:r>
        <w:rPr>
          <w:rFonts w:hint="eastAsia" w:ascii="宋体" w:hAnsi="宋体"/>
          <w:sz w:val="30"/>
          <w:szCs w:val="30"/>
        </w:rPr>
      </w:r>
      <w:r/>
    </w:p>
    <w:p>
      <w:pPr>
        <w:pStyle w:val="957"/>
        <w:ind w:left="-420" w:right="-420" w:firstLine="400"/>
        <w:jc w:val="left"/>
        <w:spacing w:line="300" w:lineRule="exact"/>
        <w:rPr>
          <w:rFonts w:hint="eastAsia" w:ascii="宋体" w:hAnsi="宋体" w:cs="宋体"/>
          <w:szCs w:val="21"/>
        </w:rPr>
      </w:pPr>
      <w:r>
        <w:rPr>
          <w:rFonts w:hint="eastAsia" w:ascii="宋体" w:hAnsi="宋体" w:cs="宋体"/>
          <w:szCs w:val="21"/>
        </w:rPr>
      </w:r>
      <w:r/>
    </w:p>
    <w:p>
      <w:pPr>
        <w:pStyle w:val="957"/>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发包人（全称）：</w:t>
      </w:r>
      <w:r>
        <w:rPr>
          <w:rFonts w:hint="eastAsia" w:ascii="宋体" w:hAnsi="宋体" w:cs="宋体"/>
          <w:sz w:val="24"/>
          <w:szCs w:val="24"/>
          <w:u w:val="single"/>
        </w:rPr>
        <w:t xml:space="preserve">沭阳县住房和城乡建设局            </w:t>
      </w:r>
      <w:r>
        <w:rPr>
          <w:rFonts w:hint="eastAsia" w:ascii="宋体" w:hAnsi="宋体" w:cs="宋体"/>
          <w:sz w:val="24"/>
          <w:szCs w:val="24"/>
        </w:rPr>
      </w:r>
      <w:r/>
    </w:p>
    <w:p>
      <w:pPr>
        <w:pStyle w:val="957"/>
        <w:ind w:firstLine="480"/>
        <w:jc w:val="left"/>
        <w:spacing w:line="440" w:lineRule="exact"/>
        <w:rPr>
          <w:rFonts w:hint="eastAsia" w:ascii="宋体" w:hAnsi="宋体" w:cs="宋体"/>
          <w:color w:val="ff0000"/>
          <w:sz w:val="24"/>
          <w:szCs w:val="24"/>
          <w:u w:val="single"/>
        </w:rPr>
      </w:pPr>
      <w:r>
        <w:rPr>
          <w:rFonts w:hint="eastAsia" w:ascii="宋体" w:hAnsi="宋体" w:cs="宋体"/>
          <w:sz w:val="24"/>
          <w:szCs w:val="24"/>
        </w:rPr>
        <w:t xml:space="preserve">承包人（全称）：</w:t>
      </w:r>
      <w:r>
        <w:rPr>
          <w:rFonts w:hint="eastAsia" w:ascii="宋体" w:hAnsi="宋体" w:cs="宋体"/>
          <w:color w:val="000000"/>
          <w:sz w:val="24"/>
          <w:szCs w:val="24"/>
          <w:u w:val="single"/>
        </w:rPr>
        <w:t xml:space="preserve">                                  </w:t>
      </w:r>
      <w:r>
        <w:rPr>
          <w:rFonts w:hint="eastAsia" w:ascii="宋体" w:hAnsi="宋体" w:cs="宋体"/>
          <w:color w:val="ff0000"/>
          <w:sz w:val="24"/>
          <w:szCs w:val="24"/>
          <w:u w:val="single"/>
        </w:rPr>
      </w:r>
      <w:r/>
    </w:p>
    <w:p>
      <w:pPr>
        <w:pStyle w:val="957"/>
        <w:ind w:firstLine="480"/>
        <w:jc w:val="left"/>
        <w:spacing w:line="440" w:lineRule="exact"/>
        <w:rPr>
          <w:rFonts w:hint="eastAsia"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rPr>
        <w:t xml:space="preserve"> </w:t>
      </w:r>
      <w:r>
        <w:rPr>
          <w:rFonts w:hint="eastAsia" w:ascii="宋体" w:hAnsi="宋体" w:cs="宋体"/>
          <w:color w:val="333333"/>
          <w:sz w:val="24"/>
          <w:szCs w:val="24"/>
          <w:u w:val="single"/>
          <w:shd w:val="clear" w:color="auto" w:fill="ffffff"/>
        </w:rPr>
        <w:t xml:space="preserve">沭阳县陇集镇污水处理厂提质提标项目</w:t>
      </w:r>
      <w:r>
        <w:rPr>
          <w:rFonts w:hint="eastAsia" w:ascii="宋体" w:hAnsi="宋体" w:cs="宋体"/>
          <w:color w:val="333333"/>
          <w:sz w:val="24"/>
          <w:szCs w:val="24"/>
          <w:shd w:val="clear" w:color="auto" w:fill="ffffff"/>
        </w:rPr>
        <w:t xml:space="preserve"> </w:t>
      </w:r>
      <w:r>
        <w:rPr>
          <w:rFonts w:hint="eastAsia" w:ascii="宋体" w:hAnsi="宋体" w:cs="宋体"/>
          <w:sz w:val="24"/>
          <w:szCs w:val="24"/>
        </w:rPr>
        <w:t xml:space="preserve">施工及有关事项协商一致，共同达成如下协议：</w:t>
      </w:r>
      <w:r>
        <w:rPr>
          <w:rFonts w:hint="eastAsia" w:ascii="宋体" w:hAnsi="宋体" w:cs="宋体"/>
          <w:sz w:val="24"/>
          <w:szCs w:val="24"/>
        </w:rPr>
      </w:r>
      <w:r/>
    </w:p>
    <w:p>
      <w:pPr>
        <w:pStyle w:val="957"/>
        <w:ind w:firstLine="480"/>
        <w:jc w:val="left"/>
        <w:spacing w:line="440" w:lineRule="exact"/>
        <w:rPr>
          <w:rFonts w:hint="eastAsia" w:ascii="宋体" w:hAnsi="宋体" w:cs="宋体"/>
          <w:sz w:val="24"/>
          <w:szCs w:val="24"/>
        </w:rPr>
      </w:pPr>
      <w:r/>
      <w:bookmarkStart w:id="199" w:name="_Toc6040"/>
      <w:r>
        <w:rPr>
          <w:rFonts w:hint="eastAsia" w:ascii="宋体" w:hAnsi="宋体" w:cs="宋体"/>
          <w:sz w:val="24"/>
          <w:szCs w:val="24"/>
        </w:rPr>
        <w:t xml:space="preserve">一、工程概况</w:t>
      </w:r>
      <w:bookmarkEnd w:id="199"/>
      <w:r>
        <w:rPr>
          <w:rFonts w:hint="eastAsia" w:ascii="宋体" w:hAnsi="宋体" w:cs="宋体"/>
          <w:sz w:val="24"/>
          <w:szCs w:val="24"/>
        </w:rPr>
      </w:r>
      <w:r/>
    </w:p>
    <w:p>
      <w:pPr>
        <w:pStyle w:val="957"/>
        <w:ind w:firstLine="480"/>
        <w:jc w:val="left"/>
        <w:spacing w:line="440" w:lineRule="exact"/>
        <w:rPr>
          <w:rFonts w:hint="eastAsia" w:ascii="宋体" w:hAnsi="宋体" w:cs="宋体"/>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color w:val="333333"/>
          <w:sz w:val="24"/>
          <w:szCs w:val="24"/>
          <w:u w:val="single"/>
          <w:shd w:val="clear" w:color="auto" w:fill="ffffff"/>
        </w:rPr>
        <w:t xml:space="preserve">沭阳县陇集镇污水处理厂提质提标项目  </w:t>
      </w:r>
      <w:r>
        <w:rPr>
          <w:rFonts w:hint="eastAsia" w:ascii="宋体" w:hAnsi="宋体" w:cs="宋体"/>
          <w:sz w:val="24"/>
          <w:szCs w:val="24"/>
          <w:u w:val="single"/>
        </w:rPr>
      </w:r>
      <w:r/>
    </w:p>
    <w:p>
      <w:pPr>
        <w:pStyle w:val="957"/>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2.工程地点：</w:t>
      </w:r>
      <w:r>
        <w:rPr>
          <w:rFonts w:hint="eastAsia" w:ascii="宋体" w:hAnsi="宋体" w:cs="宋体"/>
          <w:sz w:val="24"/>
          <w:szCs w:val="24"/>
          <w:u w:val="single"/>
        </w:rPr>
        <w:t xml:space="preserve">沭阳县陇集镇</w:t>
      </w:r>
      <w:r>
        <w:rPr>
          <w:rFonts w:hint="eastAsia" w:ascii="宋体" w:hAnsi="宋体" w:cs="宋体"/>
          <w:sz w:val="24"/>
          <w:szCs w:val="24"/>
          <w:u w:val="single"/>
        </w:rPr>
      </w:r>
      <w:r/>
    </w:p>
    <w:p>
      <w:pPr>
        <w:pStyle w:val="957"/>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3.工程立项批准文号：</w:t>
      </w:r>
      <w:r>
        <w:rPr>
          <w:rFonts w:hint="eastAsia" w:ascii="宋体" w:hAnsi="宋体" w:cs="宋体"/>
          <w:sz w:val="24"/>
          <w:szCs w:val="24"/>
          <w:u w:val="single"/>
        </w:rPr>
        <w:t xml:space="preserve">/</w:t>
      </w:r>
      <w:r>
        <w:rPr>
          <w:rFonts w:hint="eastAsia" w:ascii="宋体" w:hAnsi="宋体" w:cs="宋体"/>
          <w:sz w:val="24"/>
          <w:szCs w:val="24"/>
          <w:u w:val="single"/>
        </w:rPr>
      </w:r>
      <w:r/>
    </w:p>
    <w:p>
      <w:pPr>
        <w:pStyle w:val="957"/>
        <w:ind w:firstLine="480"/>
        <w:jc w:val="left"/>
        <w:spacing w:line="440" w:lineRule="exact"/>
        <w:rPr>
          <w:rFonts w:hint="eastAsia" w:ascii="宋体" w:hAnsi="宋体" w:cs="宋体"/>
          <w:sz w:val="24"/>
          <w:szCs w:val="24"/>
        </w:rPr>
      </w:pPr>
      <w:r>
        <w:rPr>
          <w:rFonts w:hint="eastAsia" w:ascii="宋体" w:hAnsi="宋体" w:cs="宋体"/>
          <w:sz w:val="24"/>
          <w:szCs w:val="24"/>
        </w:rPr>
        <w:t xml:space="preserve">4.资金来源：</w:t>
      </w:r>
      <w:r>
        <w:rPr>
          <w:rFonts w:hint="eastAsia" w:ascii="宋体" w:hAnsi="宋体" w:cs="宋体"/>
          <w:sz w:val="24"/>
          <w:szCs w:val="24"/>
          <w:u w:val="single"/>
        </w:rPr>
        <w:t xml:space="preserve">县财政</w:t>
      </w:r>
      <w:r>
        <w:rPr>
          <w:rFonts w:hint="eastAsia" w:ascii="宋体" w:hAnsi="宋体" w:cs="宋体"/>
          <w:sz w:val="24"/>
          <w:szCs w:val="24"/>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sz w:val="24"/>
          <w:szCs w:val="24"/>
        </w:rPr>
        <w:t xml:space="preserve">5.工程内容:</w:t>
      </w:r>
      <w:r>
        <w:rPr>
          <w:rFonts w:hint="eastAsia" w:ascii="宋体" w:hAnsi="宋体" w:cs="宋体"/>
          <w:sz w:val="24"/>
          <w:szCs w:val="24"/>
          <w:u w:val="single"/>
        </w:rPr>
        <w:t xml:space="preserve">陇集镇污水处理厂扩建项目含工程设计、设备采购、施工、安装等工作，设计规模由原来的2000吨/天提高至3500吨/天</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6.工程承包范围：</w:t>
      </w:r>
      <w:bookmarkStart w:id="200" w:name="_Toc9048"/>
      <w:r>
        <w:rPr>
          <w:rFonts w:hint="eastAsia" w:ascii="宋体" w:hAnsi="宋体" w:cs="宋体"/>
          <w:color w:val="000000"/>
          <w:sz w:val="24"/>
          <w:szCs w:val="24"/>
          <w:u w:val="single"/>
        </w:rPr>
        <w:t xml:space="preserve">土建工程、设备安装工程、排水工程等内容</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二、合同工期</w:t>
      </w:r>
      <w:bookmarkEnd w:id="200"/>
      <w:r>
        <w:rPr>
          <w:rFonts w:hint="eastAsia" w:ascii="宋体" w:hAnsi="宋体" w:cs="宋体"/>
          <w:color w:val="000000"/>
          <w:sz w:val="24"/>
          <w:szCs w:val="24"/>
        </w:rPr>
      </w:r>
      <w:r/>
    </w:p>
    <w:p>
      <w:pPr>
        <w:pStyle w:val="838"/>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计划施工开工日期：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838"/>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计划施工竣工日期：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838"/>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计划运营开始日期：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838"/>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计划运营截止日期：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838"/>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施工工期总日历天数：</w:t>
      </w:r>
      <w:r>
        <w:rPr>
          <w:rFonts w:hint="eastAsia" w:ascii="宋体" w:hAnsi="宋体" w:cs="宋体"/>
          <w:color w:val="000000"/>
          <w:sz w:val="24"/>
          <w:u w:val="single"/>
        </w:rPr>
        <w:t xml:space="preserve"> 90  </w:t>
      </w:r>
      <w:r>
        <w:rPr>
          <w:rFonts w:hint="eastAsia" w:ascii="宋体" w:hAnsi="宋体" w:cs="宋体"/>
          <w:color w:val="000000"/>
          <w:sz w:val="24"/>
        </w:rPr>
        <w:t xml:space="preserve">天，运营工期总日历天数：</w:t>
      </w:r>
      <w:r>
        <w:rPr>
          <w:rFonts w:hint="eastAsia" w:ascii="宋体" w:hAnsi="宋体" w:cs="宋体"/>
          <w:color w:val="000000"/>
          <w:sz w:val="24"/>
          <w:u w:val="single"/>
        </w:rPr>
        <w:t xml:space="preserve"> 365 </w:t>
      </w:r>
      <w:r>
        <w:rPr>
          <w:rFonts w:hint="eastAsia" w:ascii="宋体" w:hAnsi="宋体" w:cs="宋体"/>
          <w:color w:val="000000"/>
          <w:sz w:val="24"/>
        </w:rPr>
        <w:t xml:space="preserve">天。工期总日历天数与根据前述计划开竣工日期计算的工期天数不一致的，以工期总日历天数为准。</w:t>
      </w:r>
      <w:r>
        <w:rPr>
          <w:rFonts w:hint="eastAsia" w:ascii="宋体" w:hAnsi="宋体" w:cs="宋体"/>
          <w:color w:val="000000"/>
          <w:sz w:val="24"/>
        </w:rPr>
      </w:r>
      <w:r/>
    </w:p>
    <w:p>
      <w:pPr>
        <w:pStyle w:val="957"/>
        <w:ind w:firstLine="480"/>
        <w:jc w:val="left"/>
        <w:spacing w:line="440" w:lineRule="exact"/>
        <w:rPr>
          <w:rFonts w:hint="eastAsia" w:ascii="宋体" w:hAnsi="宋体" w:cs="宋体"/>
          <w:color w:val="000000"/>
          <w:sz w:val="24"/>
          <w:szCs w:val="24"/>
        </w:rPr>
      </w:pPr>
      <w:r/>
      <w:bookmarkStart w:id="201" w:name="_Toc4850"/>
      <w:r>
        <w:rPr>
          <w:rFonts w:hint="eastAsia" w:ascii="宋体" w:hAnsi="宋体" w:cs="宋体"/>
          <w:color w:val="000000"/>
          <w:sz w:val="24"/>
          <w:szCs w:val="24"/>
        </w:rPr>
        <w:t xml:space="preserve">三、质量标准</w:t>
      </w:r>
      <w:bookmarkEnd w:id="201"/>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工程质量符合</w:t>
      </w:r>
      <w:r>
        <w:rPr>
          <w:rFonts w:hint="eastAsia" w:ascii="宋体" w:hAnsi="宋体" w:cs="宋体"/>
          <w:color w:val="000000"/>
          <w:sz w:val="24"/>
          <w:szCs w:val="24"/>
          <w:u w:val="single"/>
        </w:rPr>
        <w:t xml:space="preserve">合格</w:t>
      </w:r>
      <w:r>
        <w:rPr>
          <w:rFonts w:hint="eastAsia" w:ascii="宋体" w:hAnsi="宋体" w:cs="宋体"/>
          <w:color w:val="000000"/>
          <w:sz w:val="24"/>
          <w:szCs w:val="24"/>
        </w:rPr>
        <w:t xml:space="preserve">标准。</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bookmarkStart w:id="202" w:name="_Toc17541"/>
      <w:r>
        <w:rPr>
          <w:rFonts w:hint="eastAsia" w:ascii="宋体" w:hAnsi="宋体" w:cs="宋体"/>
          <w:color w:val="000000"/>
          <w:sz w:val="24"/>
          <w:szCs w:val="24"/>
        </w:rPr>
        <w:t xml:space="preserve">四、签约合同价与合同价格形式</w:t>
      </w:r>
      <w:bookmarkEnd w:id="202"/>
      <w:r>
        <w:rPr>
          <w:rFonts w:hint="eastAsia" w:ascii="宋体" w:hAnsi="宋体" w:cs="宋体"/>
          <w:color w:val="000000"/>
          <w:sz w:val="24"/>
          <w:szCs w:val="24"/>
        </w:rPr>
        <w:tab/>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1.签约合同价为：</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其中：（1）安全文明施工费：</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（2）材料和工程设备暂估价金额：</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（3）专业工程暂估价金额：</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（4）暂列金额：</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元)</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rPr>
      </w:pPr>
      <w:r/>
      <w:bookmarkStart w:id="203" w:name="_Toc17361"/>
      <w:r>
        <w:rPr>
          <w:rFonts w:hint="eastAsia" w:ascii="宋体" w:hAnsi="宋体" w:cs="宋体"/>
          <w:color w:val="000000"/>
          <w:sz w:val="24"/>
          <w:szCs w:val="24"/>
        </w:rPr>
        <w:t xml:space="preserve">2. 合同价格形式：</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2.1本工程为固定总价合同，采用总价报价，价款结算方式为：根据施工单位提供的投标报价及现场实际完成工程量进行结算。</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2.2投标单位在投标时，根据自身的设计图纸编制工程量清单及明细报价，工程量清单报价执行GB50500-2013标准及工程量计算规范要求。</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在工程实施时，若实际完成工程量低于投标清单工程量或图纸工程量，结算时按实调整；若实际完成工程量高于投标清单工程量或图纸工程量，或者工程现场发生增项、图纸设计变更、增加项目，因设备运行需要调高参数等各项导致需增加工程时，原则上不予增加，按投标报价单价及工程量进行结算。如因特殊情况，确需增加项目的，需经招标人同意后再行增加。</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2.4除根据合同约定的专用条款13条［变更与调整］、第14款合同价格与支付、第21条补充条款以及合同中其它相关增减金额的约定进行调整外，合同价格不予调整。</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五、项目经理</w:t>
      </w:r>
      <w:bookmarkEnd w:id="203"/>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承包人项目经理：</w:t>
      </w:r>
      <w:bookmarkStart w:id="204" w:name="_Toc2638"/>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六、合同文件构成</w:t>
      </w:r>
      <w:bookmarkEnd w:id="204"/>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本协议书与下列文件一起构成合同文件：</w:t>
      </w:r>
      <w:r>
        <w:rPr>
          <w:rFonts w:hint="eastAsia" w:ascii="宋体" w:hAnsi="宋体" w:cs="宋体"/>
          <w:color w:val="000000"/>
          <w:sz w:val="24"/>
          <w:szCs w:val="24"/>
          <w:u w:val="single"/>
        </w:rPr>
        <w:t xml:space="preserve">（1）中标通知书（如果有）；（2）招标公告、文件和投标函及其附录（如果有）；（3）专用合同条款及其附件；（4）通用合同条款；（5）技术标准和要求；（6）图纸；（7）已标价工程量清单或预算书；（8）其他合同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bCs/>
          <w:color w:val="000000"/>
          <w:sz w:val="24"/>
          <w:szCs w:val="24"/>
        </w:rPr>
      </w:pPr>
      <w:r>
        <w:rPr>
          <w:rFonts w:hint="eastAsia" w:ascii="宋体" w:hAnsi="宋体" w:cs="宋体"/>
          <w:color w:val="000000"/>
          <w:sz w:val="24"/>
          <w:szCs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rPr>
          <w:rFonts w:hint="eastAsia" w:ascii="宋体" w:hAnsi="宋体" w:cs="宋体"/>
          <w:bCs/>
          <w:color w:val="000000"/>
          <w:sz w:val="24"/>
          <w:szCs w:val="24"/>
        </w:rPr>
      </w:r>
      <w:r/>
    </w:p>
    <w:p>
      <w:pPr>
        <w:pStyle w:val="957"/>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七、承诺</w:t>
      </w:r>
      <w:r>
        <w:rPr>
          <w:rFonts w:hint="eastAsia" w:ascii="宋体" w:hAnsi="宋体" w:cs="宋体"/>
          <w:bCs/>
          <w:color w:val="000000"/>
          <w:sz w:val="24"/>
          <w:szCs w:val="24"/>
        </w:rPr>
      </w:r>
      <w:r/>
    </w:p>
    <w:p>
      <w:pPr>
        <w:pStyle w:val="957"/>
        <w:ind w:firstLine="480"/>
        <w:jc w:val="left"/>
        <w:spacing w:line="440" w:lineRule="exact"/>
        <w:rPr>
          <w:rFonts w:hint="eastAsia" w:ascii="宋体" w:hAnsi="宋体" w:cs="宋体"/>
          <w:bCs/>
          <w:color w:val="000000"/>
          <w:sz w:val="24"/>
          <w:szCs w:val="24"/>
        </w:rPr>
      </w:pPr>
      <w:r/>
      <w:bookmarkStart w:id="205" w:name="_Toc32086"/>
      <w:r>
        <w:rPr>
          <w:rFonts w:hint="eastAsia" w:ascii="宋体" w:hAnsi="宋体" w:cs="宋体"/>
          <w:bCs/>
          <w:color w:val="000000"/>
          <w:sz w:val="24"/>
          <w:szCs w:val="24"/>
        </w:rPr>
        <w:t xml:space="preserve">1.发包人承诺筹集工程建设资金并按照合同约定的期限和方式支付合同价款。</w:t>
      </w:r>
      <w:r>
        <w:rPr>
          <w:rFonts w:hint="eastAsia" w:ascii="宋体" w:hAnsi="宋体" w:cs="宋体"/>
          <w:bCs/>
          <w:color w:val="000000"/>
          <w:sz w:val="24"/>
          <w:szCs w:val="24"/>
        </w:rPr>
      </w:r>
      <w:r/>
    </w:p>
    <w:p>
      <w:pPr>
        <w:pStyle w:val="957"/>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 w:val="24"/>
          <w:szCs w:val="24"/>
        </w:rPr>
      </w:r>
      <w:r/>
    </w:p>
    <w:p>
      <w:pPr>
        <w:pStyle w:val="957"/>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3.发包人和承包人通过招投标形式签订合同的，双方理解并承诺不再就同一工程另行签订与合同实质性内容相背离的协议。</w:t>
      </w:r>
      <w:r>
        <w:rPr>
          <w:rFonts w:hint="eastAsia" w:ascii="宋体" w:hAnsi="宋体" w:cs="宋体"/>
          <w:bCs/>
          <w:color w:val="000000"/>
          <w:sz w:val="24"/>
          <w:szCs w:val="24"/>
        </w:rPr>
      </w:r>
      <w:r/>
    </w:p>
    <w:p>
      <w:pPr>
        <w:pStyle w:val="957"/>
        <w:ind w:firstLine="480"/>
        <w:jc w:val="left"/>
        <w:spacing w:line="440" w:lineRule="exact"/>
        <w:rPr>
          <w:rFonts w:hint="eastAsia" w:ascii="宋体" w:hAnsi="宋体" w:cs="宋体"/>
          <w:color w:val="000000"/>
          <w:sz w:val="24"/>
          <w:szCs w:val="24"/>
        </w:rPr>
      </w:pPr>
      <w:r/>
      <w:bookmarkEnd w:id="205"/>
      <w:r>
        <w:rPr>
          <w:rFonts w:hint="eastAsia" w:ascii="宋体" w:hAnsi="宋体" w:cs="宋体"/>
          <w:color w:val="000000"/>
          <w:sz w:val="24"/>
          <w:szCs w:val="24"/>
        </w:rPr>
        <w:t xml:space="preserve">八、词语含义</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本协议书中词语含义与第二部分通用合同条款中赋予的含义相同。</w:t>
      </w:r>
      <w:r>
        <w:rPr>
          <w:rFonts w:hint="eastAsia" w:ascii="宋体" w:hAnsi="宋体" w:cs="宋体"/>
          <w:bCs/>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九、签订时间</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本合同于</w:t>
      </w:r>
      <w:r>
        <w:rPr>
          <w:rFonts w:hint="eastAsia" w:ascii="宋体" w:hAnsi="宋体" w:cs="宋体"/>
          <w:bCs/>
          <w:color w:val="000000"/>
          <w:sz w:val="24"/>
          <w:szCs w:val="24"/>
          <w:u w:val="single"/>
        </w:rPr>
        <w:t xml:space="preserve"> 2024年    月    日</w:t>
      </w:r>
      <w:r>
        <w:rPr>
          <w:rFonts w:hint="eastAsia" w:ascii="宋体" w:hAnsi="宋体" w:cs="宋体"/>
          <w:bCs/>
          <w:color w:val="000000"/>
          <w:sz w:val="24"/>
          <w:szCs w:val="24"/>
        </w:rPr>
        <w:t xml:space="preserve">签订。</w:t>
      </w:r>
      <w:r>
        <w:rPr>
          <w:rFonts w:hint="eastAsia" w:ascii="宋体" w:hAnsi="宋体" w:cs="宋体"/>
          <w:bCs/>
          <w:color w:val="000000"/>
          <w:sz w:val="24"/>
          <w:szCs w:val="24"/>
        </w:rPr>
      </w:r>
      <w:r/>
    </w:p>
    <w:p>
      <w:pPr>
        <w:pStyle w:val="957"/>
        <w:ind w:firstLine="480"/>
        <w:jc w:val="left"/>
        <w:spacing w:line="440" w:lineRule="exact"/>
        <w:rPr>
          <w:rFonts w:hint="eastAsia" w:ascii="宋体" w:hAnsi="宋体" w:cs="宋体"/>
          <w:color w:val="000000"/>
          <w:sz w:val="24"/>
          <w:szCs w:val="24"/>
        </w:rPr>
      </w:pPr>
      <w:r/>
      <w:bookmarkStart w:id="206" w:name="_Toc9472"/>
      <w:r>
        <w:rPr>
          <w:rFonts w:hint="eastAsia" w:ascii="宋体" w:hAnsi="宋体" w:cs="宋体"/>
          <w:color w:val="000000"/>
          <w:sz w:val="24"/>
          <w:szCs w:val="24"/>
        </w:rPr>
        <w:t xml:space="preserve">十、签订地点</w:t>
      </w:r>
      <w:bookmarkEnd w:id="206"/>
      <w:r>
        <w:rPr>
          <w:rFonts w:hint="eastAsia" w:ascii="宋体" w:hAnsi="宋体" w:cs="宋体"/>
          <w:color w:val="000000"/>
          <w:sz w:val="24"/>
          <w:szCs w:val="24"/>
        </w:rPr>
      </w:r>
      <w:r/>
    </w:p>
    <w:p>
      <w:pPr>
        <w:pStyle w:val="957"/>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本合同在</w:t>
      </w:r>
      <w:r>
        <w:rPr>
          <w:rFonts w:hint="eastAsia" w:ascii="宋体" w:hAnsi="宋体" w:cs="宋体"/>
          <w:bCs/>
          <w:color w:val="000000"/>
          <w:sz w:val="24"/>
          <w:szCs w:val="24"/>
          <w:u w:val="single"/>
        </w:rPr>
        <w:t xml:space="preserve"> 沭阳县住房和城乡建设局</w:t>
      </w:r>
      <w:r>
        <w:rPr>
          <w:rFonts w:hint="eastAsia" w:ascii="宋体" w:hAnsi="宋体" w:cs="宋体"/>
          <w:bCs/>
          <w:color w:val="000000"/>
          <w:sz w:val="24"/>
          <w:szCs w:val="24"/>
        </w:rPr>
        <w:t xml:space="preserve">签订。</w:t>
      </w:r>
      <w:r>
        <w:rPr>
          <w:rFonts w:hint="eastAsia" w:ascii="宋体" w:hAnsi="宋体" w:cs="宋体"/>
          <w:bCs/>
          <w:color w:val="000000"/>
          <w:sz w:val="24"/>
          <w:szCs w:val="24"/>
        </w:rPr>
      </w:r>
      <w:r/>
    </w:p>
    <w:p>
      <w:pPr>
        <w:pStyle w:val="957"/>
        <w:ind w:firstLine="480"/>
        <w:jc w:val="left"/>
        <w:spacing w:line="440" w:lineRule="exact"/>
        <w:rPr>
          <w:rFonts w:hint="eastAsia" w:ascii="宋体" w:hAnsi="宋体" w:cs="宋体"/>
          <w:color w:val="000000"/>
          <w:sz w:val="24"/>
          <w:szCs w:val="24"/>
        </w:rPr>
      </w:pPr>
      <w:r/>
      <w:bookmarkStart w:id="207" w:name="_Toc24092"/>
      <w:r>
        <w:rPr>
          <w:rFonts w:hint="eastAsia" w:ascii="宋体" w:hAnsi="宋体" w:cs="宋体"/>
          <w:color w:val="000000"/>
          <w:sz w:val="24"/>
          <w:szCs w:val="24"/>
        </w:rPr>
        <w:t xml:space="preserve">十一、补充协议</w:t>
      </w:r>
      <w:bookmarkEnd w:id="207"/>
      <w:r>
        <w:rPr>
          <w:rFonts w:hint="eastAsia" w:ascii="宋体" w:hAnsi="宋体" w:cs="宋体"/>
          <w:color w:val="000000"/>
          <w:sz w:val="24"/>
          <w:szCs w:val="24"/>
        </w:rPr>
      </w:r>
      <w:r/>
    </w:p>
    <w:p>
      <w:pPr>
        <w:pStyle w:val="957"/>
        <w:ind w:firstLine="480"/>
        <w:jc w:val="left"/>
        <w:spacing w:line="440" w:lineRule="exact"/>
        <w:rPr>
          <w:rFonts w:hint="eastAsia" w:ascii="宋体" w:hAnsi="宋体" w:cs="宋体"/>
          <w:b/>
          <w:bCs/>
          <w:color w:val="000000"/>
          <w:sz w:val="24"/>
          <w:szCs w:val="24"/>
        </w:rPr>
      </w:pPr>
      <w:r>
        <w:rPr>
          <w:rFonts w:hint="eastAsia" w:ascii="宋体" w:hAnsi="宋体" w:cs="宋体"/>
          <w:bCs/>
          <w:color w:val="000000"/>
          <w:sz w:val="24"/>
          <w:szCs w:val="24"/>
        </w:rPr>
        <w:t xml:space="preserve">合同未尽事宜，合同当事人另行签订补充协议，补充协议是合同的组成部分。</w:t>
      </w:r>
      <w:r>
        <w:rPr>
          <w:rFonts w:hint="eastAsia" w:ascii="宋体" w:hAnsi="宋体" w:cs="宋体"/>
          <w:b/>
          <w:bCs/>
          <w:color w:val="000000"/>
          <w:sz w:val="24"/>
          <w:szCs w:val="24"/>
        </w:rPr>
      </w:r>
      <w:r/>
    </w:p>
    <w:p>
      <w:pPr>
        <w:pStyle w:val="957"/>
        <w:ind w:firstLine="480"/>
        <w:jc w:val="left"/>
        <w:spacing w:line="440" w:lineRule="exact"/>
        <w:rPr>
          <w:rFonts w:hint="eastAsia" w:ascii="宋体" w:hAnsi="宋体" w:cs="宋体"/>
          <w:color w:val="000000"/>
          <w:sz w:val="24"/>
          <w:szCs w:val="24"/>
        </w:rPr>
      </w:pPr>
      <w:r/>
      <w:bookmarkStart w:id="208" w:name="_Toc30764"/>
      <w:r>
        <w:rPr>
          <w:rFonts w:hint="eastAsia" w:ascii="宋体" w:hAnsi="宋体" w:cs="宋体"/>
          <w:color w:val="000000"/>
          <w:sz w:val="24"/>
          <w:szCs w:val="24"/>
        </w:rPr>
        <w:t xml:space="preserve">十二、合同生效</w:t>
      </w:r>
      <w:bookmarkEnd w:id="208"/>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本合同自</w:t>
      </w:r>
      <w:r>
        <w:rPr>
          <w:rFonts w:hint="eastAsia" w:ascii="宋体" w:hAnsi="宋体" w:cs="宋体"/>
          <w:color w:val="000000"/>
          <w:sz w:val="24"/>
          <w:szCs w:val="24"/>
          <w:u w:val="single"/>
        </w:rPr>
        <w:t xml:space="preserve">签订之日起</w:t>
      </w:r>
      <w:r>
        <w:rPr>
          <w:rFonts w:hint="eastAsia" w:ascii="宋体" w:hAnsi="宋体" w:cs="宋体"/>
          <w:color w:val="000000"/>
          <w:sz w:val="24"/>
          <w:szCs w:val="24"/>
        </w:rPr>
        <w:t xml:space="preserve">生效。</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bookmarkStart w:id="209" w:name="_Toc6339"/>
      <w:r>
        <w:rPr>
          <w:rFonts w:hint="eastAsia" w:ascii="宋体" w:hAnsi="宋体" w:cs="宋体"/>
          <w:color w:val="000000"/>
          <w:sz w:val="24"/>
          <w:szCs w:val="24"/>
        </w:rPr>
        <w:t xml:space="preserve">十三、合同份数</w:t>
      </w:r>
      <w:bookmarkEnd w:id="209"/>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本合同一式</w:t>
      </w:r>
      <w:r>
        <w:rPr>
          <w:rFonts w:hint="eastAsia" w:ascii="宋体" w:hAnsi="宋体" w:cs="宋体"/>
          <w:bCs/>
          <w:color w:val="000000"/>
          <w:sz w:val="24"/>
          <w:szCs w:val="24"/>
          <w:u w:val="single"/>
        </w:rPr>
        <w:t xml:space="preserve"> 8</w:t>
      </w:r>
      <w:r>
        <w:rPr>
          <w:rFonts w:hint="eastAsia" w:ascii="宋体" w:hAnsi="宋体" w:cs="宋体"/>
          <w:bCs/>
          <w:color w:val="000000"/>
          <w:sz w:val="24"/>
          <w:szCs w:val="24"/>
        </w:rPr>
        <w:t xml:space="preserve">份，均具有同等法律效力，发包人执</w:t>
      </w:r>
      <w:r>
        <w:rPr>
          <w:rFonts w:hint="eastAsia" w:ascii="宋体" w:hAnsi="宋体" w:cs="宋体"/>
          <w:bCs/>
          <w:color w:val="000000"/>
          <w:sz w:val="24"/>
          <w:szCs w:val="24"/>
          <w:u w:val="single"/>
        </w:rPr>
        <w:t xml:space="preserve"> 4 </w:t>
      </w:r>
      <w:r>
        <w:rPr>
          <w:rFonts w:hint="eastAsia" w:ascii="宋体" w:hAnsi="宋体" w:cs="宋体"/>
          <w:bCs/>
          <w:color w:val="000000"/>
          <w:sz w:val="24"/>
          <w:szCs w:val="24"/>
        </w:rPr>
        <w:t xml:space="preserve">份，承包人执</w:t>
      </w:r>
      <w:r>
        <w:rPr>
          <w:rFonts w:hint="eastAsia" w:ascii="宋体" w:hAnsi="宋体" w:cs="宋体"/>
          <w:bCs/>
          <w:color w:val="000000"/>
          <w:sz w:val="24"/>
          <w:szCs w:val="24"/>
          <w:u w:val="single"/>
        </w:rPr>
        <w:t xml:space="preserve"> 4 </w:t>
      </w:r>
      <w:r>
        <w:rPr>
          <w:rFonts w:hint="eastAsia" w:ascii="宋体" w:hAnsi="宋体" w:cs="宋体"/>
          <w:bCs/>
          <w:color w:val="000000"/>
          <w:sz w:val="24"/>
          <w:szCs w:val="24"/>
        </w:rPr>
        <w:t xml:space="preserve">份。</w:t>
      </w:r>
      <w:r>
        <w:rPr>
          <w:rFonts w:hint="eastAsia" w:ascii="宋体" w:hAnsi="宋体" w:cs="宋体"/>
          <w:color w:val="000000"/>
          <w:sz w:val="24"/>
          <w:szCs w:val="24"/>
        </w:rPr>
      </w:r>
      <w:r/>
    </w:p>
    <w:p>
      <w:pPr>
        <w:pStyle w:val="957"/>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57"/>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发包人：  (公章)                              承包人：  (公章)</w:t>
      </w:r>
      <w:r>
        <w:rPr>
          <w:rFonts w:hint="eastAsia" w:ascii="宋体" w:hAnsi="宋体" w:cs="宋体"/>
          <w:color w:val="000000"/>
          <w:sz w:val="24"/>
          <w:szCs w:val="24"/>
        </w:rPr>
      </w:r>
      <w:r/>
    </w:p>
    <w:p>
      <w:pPr>
        <w:pStyle w:val="957"/>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57"/>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法定代表人或其委托代理人：                   法定代表人或其委托代理人：</w:t>
      </w:r>
      <w:r>
        <w:rPr>
          <w:rFonts w:hint="eastAsia" w:ascii="宋体" w:hAnsi="宋体" w:cs="宋体"/>
          <w:color w:val="000000"/>
          <w:sz w:val="24"/>
          <w:szCs w:val="24"/>
        </w:rPr>
      </w:r>
      <w:r/>
    </w:p>
    <w:p>
      <w:pPr>
        <w:pStyle w:val="957"/>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（签字）                                     （签字）</w:t>
      </w:r>
      <w:r>
        <w:rPr>
          <w:rFonts w:hint="eastAsia" w:ascii="宋体" w:hAnsi="宋体" w:cs="宋体"/>
          <w:color w:val="000000"/>
          <w:sz w:val="24"/>
          <w:szCs w:val="24"/>
        </w:rPr>
      </w:r>
      <w:r/>
    </w:p>
    <w:p>
      <w:pPr>
        <w:pStyle w:val="73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733"/>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组织机构代码：</w:t>
      </w:r>
      <w:r>
        <w:rPr>
          <w:rFonts w:hint="eastAsia" w:ascii="宋体" w:hAnsi="宋体" w:cs="宋体"/>
          <w:color w:val="000000"/>
          <w:sz w:val="24"/>
          <w:szCs w:val="24"/>
          <w:u w:val="single"/>
        </w:rPr>
        <w:t xml:space="preserve">113213220143134623    </w:t>
      </w:r>
      <w:r>
        <w:rPr>
          <w:rFonts w:hint="eastAsia" w:ascii="宋体" w:hAnsi="宋体" w:cs="宋体"/>
          <w:color w:val="000000"/>
          <w:sz w:val="24"/>
          <w:szCs w:val="24"/>
        </w:rPr>
        <w:t xml:space="preserve">       组织机构代码：</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59"/>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地  址：</w:t>
      </w:r>
      <w:r>
        <w:rPr>
          <w:rFonts w:hint="eastAsia" w:ascii="宋体" w:hAnsi="宋体" w:cs="宋体"/>
          <w:color w:val="000000"/>
          <w:sz w:val="24"/>
          <w:szCs w:val="24"/>
          <w:u w:val="single"/>
        </w:rPr>
        <w:t xml:space="preserve">沭阳县康平路2号            </w:t>
      </w:r>
      <w:r>
        <w:rPr>
          <w:rFonts w:hint="eastAsia" w:ascii="宋体" w:hAnsi="宋体" w:cs="宋体"/>
          <w:color w:val="000000"/>
          <w:sz w:val="24"/>
          <w:szCs w:val="24"/>
        </w:rPr>
        <w:t xml:space="preserve">       地  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59"/>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邮政编码：</w:t>
      </w:r>
      <w:r>
        <w:rPr>
          <w:rFonts w:hint="eastAsia" w:ascii="宋体" w:hAnsi="宋体" w:cs="宋体"/>
          <w:color w:val="000000"/>
          <w:sz w:val="24"/>
          <w:szCs w:val="24"/>
          <w:u w:val="single"/>
        </w:rPr>
        <w:t xml:space="preserve"> 223600                     </w:t>
      </w:r>
      <w:r>
        <w:rPr>
          <w:rFonts w:hint="eastAsia" w:ascii="宋体" w:hAnsi="宋体" w:cs="宋体"/>
          <w:color w:val="000000"/>
          <w:sz w:val="24"/>
          <w:szCs w:val="24"/>
        </w:rPr>
        <w:t xml:space="preserve">     邮政编码：</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法定代表人：</w:t>
      </w:r>
      <w:r>
        <w:rPr>
          <w:rFonts w:hint="eastAsia" w:ascii="宋体" w:hAnsi="宋体" w:cs="宋体"/>
          <w:color w:val="000000"/>
          <w:sz w:val="24"/>
          <w:szCs w:val="24"/>
          <w:u w:val="single"/>
        </w:rPr>
        <w:t xml:space="preserve">郝建华                    </w:t>
      </w:r>
      <w:r>
        <w:rPr>
          <w:rFonts w:hint="eastAsia" w:ascii="宋体" w:hAnsi="宋体" w:cs="宋体"/>
          <w:color w:val="000000"/>
          <w:sz w:val="24"/>
          <w:szCs w:val="24"/>
        </w:rPr>
        <w:t xml:space="preserve">     法定代表人：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电  话：</w:t>
      </w:r>
      <w:r>
        <w:rPr>
          <w:rFonts w:hint="eastAsia" w:ascii="宋体" w:hAnsi="宋体" w:cs="宋体"/>
          <w:color w:val="000000"/>
          <w:sz w:val="24"/>
          <w:szCs w:val="24"/>
          <w:u w:val="single"/>
        </w:rPr>
        <w:t xml:space="preserve"> 0527-83594201                </w:t>
      </w:r>
      <w:r>
        <w:rPr>
          <w:rFonts w:hint="eastAsia" w:ascii="宋体" w:hAnsi="宋体" w:cs="宋体"/>
          <w:color w:val="000000"/>
          <w:sz w:val="24"/>
          <w:szCs w:val="24"/>
        </w:rPr>
        <w:t xml:space="preserve">     电  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传  真：</w:t>
      </w:r>
      <w:r>
        <w:rPr>
          <w:rFonts w:hint="eastAsia" w:ascii="宋体" w:hAnsi="宋体" w:cs="宋体"/>
          <w:color w:val="000000"/>
          <w:sz w:val="24"/>
          <w:szCs w:val="24"/>
          <w:u w:val="single"/>
        </w:rPr>
        <w:t xml:space="preserve"> 0527-83594201                </w:t>
      </w:r>
      <w:r>
        <w:rPr>
          <w:rFonts w:hint="eastAsia" w:ascii="宋体" w:hAnsi="宋体" w:cs="宋体"/>
          <w:color w:val="000000"/>
          <w:sz w:val="24"/>
          <w:szCs w:val="24"/>
        </w:rPr>
        <w:t xml:space="preserve">     传  真：</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57"/>
        <w:ind w:firstLine="480"/>
        <w:jc w:val="left"/>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开户银行：</w:t>
      </w:r>
      <w:r>
        <w:rPr>
          <w:rFonts w:hint="eastAsia" w:ascii="宋体" w:hAnsi="宋体" w:cs="宋体"/>
          <w:color w:val="000000"/>
          <w:sz w:val="24"/>
          <w:szCs w:val="24"/>
          <w:u w:val="single"/>
        </w:rPr>
        <w:t xml:space="preserve">沭阳县中国银行营业部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57"/>
        <w:ind w:firstLine="480"/>
        <w:jc w:val="left"/>
        <w:spacing w:line="440" w:lineRule="exact"/>
        <w:rPr>
          <w:rFonts w:hint="eastAsia" w:ascii="宋体" w:hAnsi="宋体" w:cs="宋体"/>
          <w:color w:val="ff0000"/>
          <w:sz w:val="24"/>
          <w:szCs w:val="24"/>
          <w:u w:val="single"/>
        </w:rPr>
      </w:pPr>
      <w:r>
        <w:rPr>
          <w:rFonts w:hint="eastAsia" w:ascii="宋体" w:hAnsi="宋体" w:cs="宋体"/>
          <w:color w:val="000000"/>
          <w:sz w:val="24"/>
          <w:szCs w:val="24"/>
        </w:rPr>
        <w:t xml:space="preserve">账  号：</w:t>
      </w:r>
      <w:r>
        <w:rPr>
          <w:rFonts w:hint="eastAsia" w:ascii="宋体" w:hAnsi="宋体" w:cs="宋体"/>
          <w:color w:val="000000"/>
          <w:sz w:val="24"/>
          <w:szCs w:val="24"/>
          <w:u w:val="single"/>
        </w:rPr>
        <w:t xml:space="preserve">497558228662                  </w:t>
      </w:r>
      <w:r>
        <w:rPr>
          <w:rFonts w:hint="eastAsia" w:ascii="宋体" w:hAnsi="宋体" w:cs="宋体"/>
          <w:color w:val="000000"/>
          <w:sz w:val="24"/>
          <w:szCs w:val="24"/>
        </w:rPr>
        <w:t xml:space="preserve">     账  号：</w:t>
      </w:r>
      <w:r>
        <w:rPr>
          <w:rFonts w:hint="eastAsia" w:ascii="宋体" w:hAnsi="宋体" w:cs="宋体"/>
          <w:color w:val="000000"/>
          <w:sz w:val="24"/>
          <w:szCs w:val="24"/>
          <w:u w:val="single"/>
        </w:rPr>
        <w:t xml:space="preserve">                                </w:t>
      </w:r>
      <w:bookmarkStart w:id="210" w:name="_Toc351203494"/>
      <w:r/>
      <w:bookmarkStart w:id="211" w:name="_Toc351203495"/>
      <w:r/>
      <w:bookmarkStart w:id="212" w:name="_Toc12209"/>
      <w:r/>
      <w:bookmarkStart w:id="213" w:name="_Toc28121"/>
      <w:r>
        <w:rPr>
          <w:rFonts w:hint="eastAsia" w:ascii="宋体" w:hAnsi="宋体" w:cs="宋体"/>
          <w:color w:val="ff0000"/>
          <w:sz w:val="24"/>
          <w:szCs w:val="24"/>
          <w:u w:val="single"/>
        </w:rPr>
      </w:r>
      <w:r/>
    </w:p>
    <w:p>
      <w:pPr>
        <w:pStyle w:val="957"/>
        <w:ind w:firstLine="480"/>
        <w:jc w:val="center"/>
        <w:spacing w:line="400" w:lineRule="exact"/>
        <w:rPr>
          <w:rFonts w:hint="eastAsia" w:ascii="宋体" w:hAnsi="宋体" w:cs="方正黑体_GBK"/>
          <w:sz w:val="30"/>
          <w:szCs w:val="30"/>
        </w:rPr>
      </w:pPr>
      <w:r>
        <w:rPr>
          <w:rFonts w:hint="eastAsia" w:ascii="宋体" w:hAnsi="宋体" w:cs="宋体"/>
          <w:color w:val="ff0000"/>
          <w:sz w:val="24"/>
          <w:szCs w:val="24"/>
          <w:u w:val="single"/>
        </w:rPr>
        <w:br w:type="page" w:clear="all"/>
      </w:r>
      <w:r>
        <w:rPr>
          <w:rFonts w:hint="eastAsia" w:ascii="宋体" w:hAnsi="宋体" w:cs="方正黑体_GBK"/>
          <w:sz w:val="30"/>
          <w:szCs w:val="30"/>
        </w:rPr>
        <w:t xml:space="preserve">第二部分 通用合同条款</w:t>
      </w:r>
      <w:bookmarkEnd w:id="210"/>
      <w:r/>
      <w:bookmarkEnd w:id="213"/>
      <w:r/>
      <w:bookmarkStart w:id="214" w:name="_Toc337558727"/>
      <w:r>
        <w:rPr>
          <w:rFonts w:hint="eastAsia" w:ascii="宋体" w:hAnsi="宋体" w:cs="方正黑体_GBK"/>
          <w:sz w:val="30"/>
          <w:szCs w:val="30"/>
        </w:rPr>
        <w:t xml:space="preserve">（工程部分）</w:t>
      </w:r>
      <w:r>
        <w:rPr>
          <w:rFonts w:hint="eastAsia" w:ascii="宋体" w:hAnsi="宋体" w:cs="方正黑体_GBK"/>
          <w:sz w:val="30"/>
          <w:szCs w:val="30"/>
        </w:rPr>
      </w:r>
      <w:r/>
    </w:p>
    <w:p>
      <w:pPr>
        <w:pStyle w:val="957"/>
        <w:ind w:left="-420" w:right="-420" w:firstLine="400"/>
        <w:spacing w:line="300" w:lineRule="exact"/>
        <w:rPr>
          <w:rFonts w:hint="eastAsia" w:ascii="宋体" w:hAnsi="宋体" w:cs="宋体"/>
          <w:szCs w:val="21"/>
        </w:rPr>
      </w:pPr>
      <w:r/>
      <w:bookmarkEnd w:id="214"/>
      <w:r>
        <w:rPr>
          <w:rFonts w:hint="eastAsia" w:ascii="宋体" w:hAnsi="宋体" w:cs="宋体"/>
          <w:szCs w:val="21"/>
        </w:rPr>
      </w:r>
      <w:r/>
    </w:p>
    <w:p>
      <w:pPr>
        <w:pStyle w:val="957"/>
        <w:ind w:left="-420" w:right="-420" w:firstLine="422"/>
        <w:spacing w:line="300" w:lineRule="exact"/>
        <w:rPr>
          <w:rFonts w:hint="eastAsia" w:ascii="宋体" w:hAnsi="宋体" w:cs="宋体"/>
          <w:sz w:val="21"/>
          <w:szCs w:val="22"/>
        </w:rPr>
      </w:pPr>
      <w:r>
        <w:rPr>
          <w:rFonts w:hint="eastAsia" w:ascii="宋体" w:hAnsi="宋体" w:cs="宋体"/>
          <w:b/>
          <w:bCs/>
          <w:sz w:val="21"/>
          <w:szCs w:val="22"/>
        </w:rPr>
        <w:t xml:space="preserve">除专用合同条款另有约定外，均执行《建设工程施工合同（示范文本）》（GF-2017-0201）第二部分通用合同条款</w:t>
      </w:r>
      <w:r>
        <w:rPr>
          <w:rFonts w:hint="eastAsia" w:ascii="宋体" w:hAnsi="宋体" w:cs="宋体"/>
          <w:sz w:val="21"/>
          <w:szCs w:val="22"/>
        </w:rPr>
        <w:t xml:space="preserve">。</w:t>
      </w:r>
      <w:bookmarkStart w:id="215" w:name="_Toc118"/>
      <w:r>
        <w:rPr>
          <w:rFonts w:hint="eastAsia" w:ascii="宋体" w:hAnsi="宋体" w:cs="宋体"/>
          <w:sz w:val="21"/>
          <w:szCs w:val="22"/>
        </w:rPr>
      </w:r>
      <w:r/>
    </w:p>
    <w:p>
      <w:pPr>
        <w:pStyle w:val="957"/>
        <w:ind w:right="-420"/>
        <w:spacing w:line="300" w:lineRule="exact"/>
        <w:rPr>
          <w:rFonts w:hint="eastAsia" w:ascii="宋体" w:hAnsi="宋体"/>
          <w:szCs w:val="21"/>
        </w:rPr>
      </w:pPr>
      <w:r>
        <w:rPr>
          <w:rFonts w:hint="eastAsia" w:ascii="宋体" w:hAnsi="宋体"/>
          <w:szCs w:val="21"/>
        </w:rPr>
      </w:r>
      <w:r/>
    </w:p>
    <w:p>
      <w:pPr>
        <w:pStyle w:val="957"/>
        <w:ind w:left="-420" w:right="-420" w:firstLine="600"/>
        <w:jc w:val="center"/>
        <w:spacing w:line="360" w:lineRule="exact"/>
        <w:rPr>
          <w:rFonts w:hint="eastAsia" w:ascii="宋体" w:hAnsi="宋体" w:cs="方正黑体_GBK"/>
          <w:sz w:val="30"/>
          <w:szCs w:val="30"/>
        </w:rPr>
      </w:pPr>
      <w:r>
        <w:rPr>
          <w:rFonts w:hint="eastAsia" w:ascii="宋体" w:hAnsi="宋体" w:cs="方正黑体_GBK"/>
          <w:sz w:val="30"/>
          <w:szCs w:val="30"/>
        </w:rPr>
        <w:t xml:space="preserve">第三部分 专用合同条款</w:t>
      </w:r>
      <w:bookmarkEnd w:id="215"/>
      <w:r>
        <w:rPr>
          <w:rFonts w:hint="eastAsia" w:ascii="宋体" w:hAnsi="宋体" w:cs="方正黑体_GBK"/>
          <w:sz w:val="30"/>
          <w:szCs w:val="30"/>
        </w:rPr>
        <w:t xml:space="preserve">（工程部分）</w:t>
      </w:r>
      <w:r>
        <w:rPr>
          <w:rFonts w:hint="eastAsia" w:ascii="宋体" w:hAnsi="宋体" w:cs="方正黑体_GBK"/>
          <w:sz w:val="30"/>
          <w:szCs w:val="30"/>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bookmarkStart w:id="216" w:name="_Toc296891196"/>
      <w:r/>
      <w:bookmarkStart w:id="217" w:name="_Toc296890984"/>
      <w:r/>
      <w:bookmarkStart w:id="218" w:name="_Toc292559361"/>
      <w:r/>
      <w:bookmarkStart w:id="219" w:name="_Toc297048342"/>
      <w:r/>
      <w:bookmarkStart w:id="220" w:name="_Toc292559866"/>
      <w:r/>
      <w:bookmarkStart w:id="221" w:name="_Toc296347155"/>
      <w:r/>
      <w:bookmarkStart w:id="222" w:name="_Toc297120456"/>
      <w:r/>
      <w:bookmarkStart w:id="223" w:name="_Toc296503156"/>
      <w:r/>
      <w:bookmarkStart w:id="224" w:name="_Toc296944495"/>
      <w:r/>
      <w:bookmarkStart w:id="225" w:name="_Toc296346657"/>
      <w:r>
        <w:rPr>
          <w:rFonts w:hint="eastAsia" w:ascii="宋体" w:hAnsi="宋体" w:cs="宋体"/>
          <w:sz w:val="22"/>
          <w:szCs w:val="22"/>
        </w:rPr>
        <w:t xml:space="preserve">. 一般约定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16"/>
      <w:r/>
      <w:bookmarkEnd w:id="217"/>
      <w:r/>
      <w:bookmarkEnd w:id="218"/>
      <w:r/>
      <w:bookmarkEnd w:id="219"/>
      <w:r/>
      <w:bookmarkEnd w:id="220"/>
      <w:r/>
      <w:bookmarkEnd w:id="221"/>
      <w:r/>
      <w:bookmarkEnd w:id="222"/>
      <w:r/>
      <w:bookmarkEnd w:id="223"/>
      <w:r/>
      <w:bookmarkEnd w:id="224"/>
      <w:r/>
      <w:bookmarkEnd w:id="225"/>
      <w:r/>
      <w:bookmarkStart w:id="226" w:name="_Toc22202"/>
      <w:r>
        <w:rPr>
          <w:rFonts w:hint="eastAsia" w:ascii="宋体" w:hAnsi="宋体" w:cs="宋体"/>
          <w:sz w:val="22"/>
          <w:szCs w:val="22"/>
        </w:rPr>
        <w:t xml:space="preserve">1.1 词语定义</w:t>
      </w:r>
      <w:bookmarkEnd w:id="226"/>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1.1.1合同</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1.1.1.10其他合同文件包括：</w:t>
      </w:r>
      <w:r>
        <w:rPr>
          <w:rFonts w:hint="eastAsia" w:ascii="宋体" w:hAnsi="宋体" w:cs="宋体"/>
          <w:sz w:val="22"/>
          <w:szCs w:val="22"/>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cs="宋体"/>
          <w:sz w:val="22"/>
          <w:szCs w:val="22"/>
          <w:u w:val="single"/>
        </w:rPr>
      </w:r>
      <w:r/>
    </w:p>
    <w:p>
      <w:pPr>
        <w:pStyle w:val="733"/>
        <w:ind w:left="-420" w:right="-420" w:firstLine="440"/>
        <w:jc w:val="left"/>
        <w:spacing w:line="400" w:lineRule="exact"/>
        <w:rPr>
          <w:rFonts w:hint="eastAsia" w:ascii="宋体" w:hAnsi="宋体" w:cs="宋体"/>
          <w:sz w:val="22"/>
        </w:rPr>
      </w:pPr>
      <w:r/>
      <w:bookmarkEnd w:id="211"/>
      <w:r>
        <w:rPr>
          <w:rFonts w:hint="eastAsia" w:ascii="宋体" w:hAnsi="宋体" w:cs="宋体"/>
          <w:sz w:val="22"/>
        </w:rPr>
        <w:t xml:space="preserve">1.1.2 合同当事人及其他相关方</w:t>
      </w:r>
      <w:r>
        <w:rPr>
          <w:rFonts w:hint="eastAsia" w:ascii="宋体" w:hAnsi="宋体" w:cs="宋体"/>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1.1.2.4监理人：</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名    称：</w:t>
      </w:r>
      <w:r>
        <w:rPr>
          <w:rFonts w:hint="eastAsia" w:ascii="宋体" w:hAnsi="宋体" w:cs="宋体"/>
          <w:color w:val="000000"/>
          <w:sz w:val="22"/>
          <w:u w:val="single"/>
        </w:rPr>
        <w:t xml:space="preserve">                                     </w:t>
      </w:r>
      <w:r>
        <w:rPr>
          <w:rFonts w:hint="eastAsia" w:ascii="宋体" w:hAnsi="宋体" w:cs="宋体"/>
          <w:color w:val="000000"/>
          <w:sz w:val="22"/>
        </w:rPr>
        <w:t xml:space="preserve">；</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资质类别和等级：</w:t>
      </w:r>
      <w:r>
        <w:rPr>
          <w:rFonts w:hint="eastAsia" w:ascii="宋体" w:hAnsi="宋体" w:cs="宋体"/>
          <w:color w:val="000000"/>
          <w:sz w:val="22"/>
          <w:u w:val="single"/>
        </w:rPr>
        <w:t xml:space="preserve">                               </w:t>
      </w:r>
      <w:r>
        <w:rPr>
          <w:rFonts w:hint="eastAsia" w:ascii="宋体" w:hAnsi="宋体" w:cs="宋体"/>
          <w:color w:val="000000"/>
          <w:sz w:val="22"/>
        </w:rPr>
        <w:t xml:space="preserve">；</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联系电话：</w:t>
      </w:r>
      <w:r>
        <w:rPr>
          <w:rFonts w:hint="eastAsia" w:ascii="宋体" w:hAnsi="宋体" w:cs="宋体"/>
          <w:color w:val="000000"/>
          <w:sz w:val="22"/>
          <w:u w:val="single"/>
        </w:rPr>
        <w:t xml:space="preserve">                                     </w:t>
      </w:r>
      <w:r>
        <w:rPr>
          <w:rFonts w:hint="eastAsia" w:ascii="宋体" w:hAnsi="宋体" w:cs="宋体"/>
          <w:color w:val="000000"/>
          <w:sz w:val="22"/>
        </w:rPr>
        <w:t xml:space="preserve">；</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电子信箱：</w:t>
      </w:r>
      <w:r>
        <w:rPr>
          <w:rFonts w:hint="eastAsia" w:ascii="宋体" w:hAnsi="宋体" w:cs="宋体"/>
          <w:color w:val="000000"/>
          <w:sz w:val="22"/>
          <w:u w:val="single"/>
        </w:rPr>
        <w:t xml:space="preserve">                                     </w:t>
      </w:r>
      <w:r>
        <w:rPr>
          <w:rFonts w:hint="eastAsia" w:ascii="宋体" w:hAnsi="宋体" w:cs="宋体"/>
          <w:color w:val="000000"/>
          <w:sz w:val="22"/>
        </w:rPr>
        <w:t xml:space="preserve">；</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通信地址：</w:t>
      </w:r>
      <w:r>
        <w:rPr>
          <w:rFonts w:hint="eastAsia" w:ascii="宋体" w:hAnsi="宋体" w:cs="宋体"/>
          <w:color w:val="000000"/>
          <w:sz w:val="22"/>
          <w:u w:val="single"/>
        </w:rPr>
        <w:t xml:space="preserve">                                     </w:t>
      </w:r>
      <w:r>
        <w:rPr>
          <w:rFonts w:hint="eastAsia" w:ascii="宋体" w:hAnsi="宋体" w:cs="宋体"/>
          <w:color w:val="000000"/>
          <w:sz w:val="22"/>
        </w:rPr>
        <w:t xml:space="preserve">。</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1.1.2.5设计人：</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名    称：</w:t>
      </w:r>
      <w:r>
        <w:rPr>
          <w:rFonts w:hint="eastAsia" w:ascii="宋体" w:hAnsi="宋体" w:cs="宋体"/>
          <w:color w:val="000000"/>
          <w:sz w:val="22"/>
          <w:u w:val="single"/>
        </w:rPr>
        <w:t xml:space="preserve">/</w:t>
      </w:r>
      <w:r>
        <w:rPr>
          <w:rFonts w:hint="eastAsia" w:ascii="宋体" w:hAnsi="宋体" w:cs="宋体"/>
          <w:color w:val="000000"/>
          <w:sz w:val="22"/>
        </w:rPr>
        <w:t xml:space="preserve">；</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资质类别和等级：</w:t>
      </w:r>
      <w:r>
        <w:rPr>
          <w:rFonts w:hint="eastAsia" w:ascii="宋体" w:hAnsi="宋体" w:cs="宋体"/>
          <w:color w:val="000000"/>
          <w:sz w:val="22"/>
          <w:u w:val="single"/>
        </w:rPr>
        <w:t xml:space="preserve">/</w:t>
      </w:r>
      <w:r>
        <w:rPr>
          <w:rFonts w:hint="eastAsia" w:ascii="宋体" w:hAnsi="宋体" w:cs="宋体"/>
          <w:color w:val="000000"/>
          <w:sz w:val="22"/>
        </w:rPr>
        <w:t xml:space="preserve">；</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联系电话：</w:t>
      </w:r>
      <w:r>
        <w:rPr>
          <w:rFonts w:hint="eastAsia" w:ascii="宋体" w:hAnsi="宋体" w:cs="宋体"/>
          <w:color w:val="000000"/>
          <w:sz w:val="22"/>
          <w:u w:val="single"/>
        </w:rPr>
        <w:t xml:space="preserve">                                     </w:t>
      </w:r>
      <w:r>
        <w:rPr>
          <w:rFonts w:hint="eastAsia" w:ascii="宋体" w:hAnsi="宋体" w:cs="宋体"/>
          <w:color w:val="000000"/>
          <w:sz w:val="22"/>
        </w:rPr>
        <w:t xml:space="preserve">；</w:t>
      </w:r>
      <w:r>
        <w:rPr>
          <w:rFonts w:hint="eastAsia" w:ascii="宋体" w:hAnsi="宋体" w:cs="宋体"/>
          <w:color w:val="000000"/>
          <w:sz w:val="22"/>
        </w:rPr>
      </w:r>
      <w:r/>
    </w:p>
    <w:p>
      <w:pPr>
        <w:pStyle w:val="733"/>
        <w:ind w:left="-420" w:right="-420" w:firstLine="440"/>
        <w:jc w:val="left"/>
        <w:spacing w:line="400" w:lineRule="exact"/>
        <w:rPr>
          <w:rFonts w:hint="eastAsia" w:ascii="宋体" w:hAnsi="宋体" w:cs="宋体"/>
          <w:color w:val="000000"/>
          <w:sz w:val="22"/>
        </w:rPr>
      </w:pPr>
      <w:r>
        <w:rPr>
          <w:rFonts w:hint="eastAsia" w:ascii="宋体" w:hAnsi="宋体" w:cs="宋体"/>
          <w:color w:val="000000"/>
          <w:sz w:val="22"/>
        </w:rPr>
        <w:t xml:space="preserve">电子信箱：</w:t>
      </w:r>
      <w:r>
        <w:rPr>
          <w:rFonts w:hint="eastAsia" w:ascii="宋体" w:hAnsi="宋体" w:cs="宋体"/>
          <w:color w:val="000000"/>
          <w:sz w:val="22"/>
          <w:u w:val="single"/>
        </w:rPr>
        <w:t xml:space="preserve">                                     </w:t>
      </w:r>
      <w:r>
        <w:rPr>
          <w:rFonts w:hint="eastAsia" w:ascii="宋体" w:hAnsi="宋体" w:cs="宋体"/>
          <w:color w:val="000000"/>
          <w:sz w:val="22"/>
        </w:rPr>
        <w:t xml:space="preserve">；</w:t>
      </w:r>
      <w:r>
        <w:rPr>
          <w:rFonts w:hint="eastAsia" w:ascii="宋体" w:hAnsi="宋体" w:cs="宋体"/>
          <w:color w:val="000000"/>
          <w:sz w:val="22"/>
        </w:rPr>
      </w:r>
      <w:r/>
    </w:p>
    <w:p>
      <w:pPr>
        <w:pStyle w:val="957"/>
        <w:ind w:left="-420" w:right="-420" w:firstLine="440"/>
        <w:spacing w:line="400" w:lineRule="exact"/>
        <w:rPr>
          <w:rFonts w:hint="eastAsia" w:ascii="宋体" w:hAnsi="宋体" w:cs="宋体"/>
          <w:color w:val="ff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ff0000"/>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1.1.3 工程和设备</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1.1.3.7 作为施工现场组成部分的其他场所包括：</w:t>
      </w:r>
      <w:r>
        <w:rPr>
          <w:rFonts w:hint="eastAsia" w:ascii="宋体" w:hAnsi="宋体" w:cs="宋体"/>
          <w:sz w:val="22"/>
          <w:szCs w:val="22"/>
          <w:u w:val="single"/>
        </w:rPr>
        <w:t xml:space="preserve">是指用于工程施工的场所，以及作为施工场所组成部分的其他场所，包括永久占地和临时占地（含临时性生产和生活设施）、现场临时办公场地。</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u w:val="single"/>
        </w:rPr>
        <w:t xml:space="preserve">1.1.3.9 永久占地包括：为实施工程需永久占用的土地，按照设计图纸、建设内容确定。</w:t>
      </w:r>
      <w:r>
        <w:rPr>
          <w:rFonts w:hint="eastAsia" w:ascii="宋体" w:hAnsi="宋体" w:cs="宋体"/>
          <w:sz w:val="22"/>
          <w:szCs w:val="22"/>
          <w:u w:val="single"/>
        </w:rPr>
      </w:r>
      <w:r/>
    </w:p>
    <w:p>
      <w:pPr>
        <w:pStyle w:val="957"/>
        <w:ind w:left="-17" w:right="-420" w:firstLine="440"/>
        <w:spacing w:line="400" w:lineRule="exact"/>
        <w:rPr>
          <w:rFonts w:hint="eastAsia" w:ascii="宋体" w:hAnsi="宋体" w:cs="宋体"/>
          <w:sz w:val="22"/>
          <w:szCs w:val="22"/>
        </w:rPr>
      </w:pPr>
      <w:r>
        <w:rPr>
          <w:rFonts w:hint="eastAsia" w:ascii="宋体" w:hAnsi="宋体" w:cs="宋体"/>
          <w:sz w:val="22"/>
          <w:szCs w:val="22"/>
          <w:u w:val="single"/>
        </w:rPr>
        <w:t xml:space="preserve">1.1.3.10 临时占地包括：为实施工程需要临时占用的土地，合同履行中发承双方根据建设需求确定。</w:t>
      </w:r>
      <w:r>
        <w:rPr>
          <w:rFonts w:hint="eastAsia" w:ascii="宋体" w:hAnsi="宋体" w:cs="宋体"/>
          <w:sz w:val="22"/>
          <w:szCs w:val="22"/>
        </w:rPr>
        <w:t xml:space="preserve">1.1.4 日期和期限</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1.1.4.1 开工日期：</w:t>
      </w:r>
      <w:r>
        <w:rPr>
          <w:rFonts w:hint="eastAsia" w:ascii="宋体" w:hAnsi="宋体" w:cs="宋体"/>
          <w:sz w:val="22"/>
          <w:szCs w:val="22"/>
          <w:u w:val="single"/>
        </w:rPr>
        <w:t xml:space="preserve">包括计划开工日期和实际开工日期。计划开工日期是指合同协议书约定的开工日期；实际开工日期是指监理人按照发包人意见发出的开工通知中载明的开工日期</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1.1.4.2 竣工日期：</w:t>
      </w:r>
      <w:r>
        <w:rPr>
          <w:rFonts w:hint="eastAsia" w:ascii="宋体" w:hAnsi="宋体" w:cs="宋体"/>
          <w:sz w:val="22"/>
          <w:szCs w:val="22"/>
          <w:u w:val="single"/>
        </w:rPr>
        <w:t xml:space="preserve">包括计划竣工日期和实际竣工日期。计划竣工日期是指合同协议书约定的竣工日期；实际竣工日期以开工通知中载明的开工日期起算，按照工期总日历天数计算</w:t>
      </w:r>
      <w:r>
        <w:rPr>
          <w:rFonts w:hint="eastAsia" w:ascii="宋体" w:hAnsi="宋体" w:cs="宋体"/>
          <w:sz w:val="22"/>
          <w:szCs w:val="22"/>
        </w:rPr>
        <w:t xml:space="preserve">。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1.1.4.3 工期：</w:t>
      </w:r>
      <w:r>
        <w:rPr>
          <w:rFonts w:hint="eastAsia" w:ascii="宋体" w:hAnsi="宋体" w:cs="宋体"/>
          <w:sz w:val="22"/>
          <w:szCs w:val="22"/>
          <w:u w:val="single"/>
        </w:rPr>
        <w:t xml:space="preserve">是指在合同协议书约定的承包人完成工程所需的期限，包括按照合同约定所作的期限变更</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1.1.4.4 缺陷责任期：</w:t>
      </w:r>
      <w:r>
        <w:rPr>
          <w:rFonts w:hint="eastAsia" w:ascii="宋体" w:hAnsi="宋体" w:cs="宋体"/>
          <w:sz w:val="22"/>
          <w:szCs w:val="22"/>
          <w:u w:val="single"/>
        </w:rPr>
        <w:t xml:space="preserve">是指承包人按照合同约定承担缺陷修复义务，且发包人预留质量保证金，自实际竣工日期起计算日期起计算</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1.1.4.5 保修期：</w:t>
      </w:r>
      <w:r>
        <w:rPr>
          <w:rFonts w:hint="eastAsia" w:ascii="宋体" w:hAnsi="宋体" w:cs="宋体"/>
          <w:sz w:val="22"/>
          <w:szCs w:val="22"/>
          <w:u w:val="single"/>
        </w:rPr>
        <w:t xml:space="preserve">是指承包人按照合同约定对工程承担保修责任的期限，从工程竣工验收合格之日起计算</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1.1.4.6 基准日期：</w:t>
      </w:r>
      <w:r>
        <w:rPr>
          <w:rFonts w:hint="eastAsia" w:ascii="宋体" w:hAnsi="宋体" w:cs="宋体"/>
          <w:sz w:val="22"/>
          <w:szCs w:val="22"/>
          <w:u w:val="single"/>
        </w:rPr>
        <w:t xml:space="preserve">招标发包的工程以投标截止日前28天的日期为基准日期，直接发包的工程以合同签订日前28天的日期为基准日期</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1.1.4.7 天：</w:t>
      </w:r>
      <w:r>
        <w:rPr>
          <w:rFonts w:hint="eastAsia" w:ascii="宋体" w:hAnsi="宋体" w:cs="宋体"/>
          <w:sz w:val="22"/>
          <w:szCs w:val="22"/>
          <w:u w:val="single"/>
        </w:rPr>
        <w:t xml:space="preserve">除特别指明外，均指日历天。合同中按天计算时间的，开始当天不计入，从次日开始计算，期限最后一天的截止时间为当天24:00时</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1.3法律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u w:val="single"/>
        </w:rPr>
        <w:t xml:space="preserve">适用于合同的其他规范性文件：指中华人民共和国法律、行政法规、部门规章，以及工程所在地的地方性法规、自治条例、单行条例和地方政府规章等；需要明示的法律、行政法规：《中华人民共和国民法典》、《中华人民共和国建筑法》、《中华人民共和国招标投标法》、《中华人民共和国安全生产法》、《建设工程质量管理条例》以及其它有关法律法规 ；工程所在地有关对工程施工、质量、验收等规定。</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bookmarkStart w:id="227" w:name="_Toc351203499"/>
      <w:r>
        <w:rPr>
          <w:rFonts w:hint="eastAsia" w:ascii="宋体" w:hAnsi="宋体" w:cs="宋体"/>
          <w:sz w:val="22"/>
          <w:szCs w:val="22"/>
        </w:rPr>
        <w:t xml:space="preserve">1.4 标准和规范</w:t>
      </w:r>
      <w:bookmarkEnd w:id="227"/>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1.4.1适用于工程的标准规范包括：</w:t>
      </w:r>
      <w:r>
        <w:rPr>
          <w:rFonts w:hint="eastAsia" w:ascii="宋体" w:hAnsi="宋体" w:cs="宋体"/>
          <w:sz w:val="22"/>
          <w:szCs w:val="22"/>
          <w:u w:val="single"/>
        </w:rPr>
        <w:t xml:space="preserve">国家和地方现行的有关国家标准、行业标准、工程所在地的地方性标准；工程所在地有关对工程施工、质量、验收等的规定；上述若有未指明的标准、规范，则采用国家通用标准、规范</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228" w:name="_Toc17824"/>
      <w:r>
        <w:rPr>
          <w:rFonts w:hint="eastAsia" w:ascii="宋体" w:hAnsi="宋体" w:cs="宋体"/>
          <w:sz w:val="22"/>
          <w:szCs w:val="22"/>
        </w:rPr>
        <w:t xml:space="preserve">1.4.2 发包人提供国外标准、规范的名称：</w:t>
      </w:r>
      <w:bookmarkEnd w:id="228"/>
      <w:r>
        <w:rPr>
          <w:rFonts w:hint="eastAsia" w:ascii="宋体" w:hAnsi="宋体" w:cs="宋体"/>
          <w:sz w:val="22"/>
          <w:szCs w:val="22"/>
          <w:u w:val="single"/>
        </w:rPr>
        <w:t xml:space="preserve">不采用</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发包人提供国外标准、规范的份数：</w:t>
      </w:r>
      <w:r>
        <w:rPr>
          <w:rFonts w:hint="eastAsia" w:ascii="宋体" w:hAnsi="宋体" w:cs="宋体"/>
          <w:sz w:val="22"/>
          <w:szCs w:val="22"/>
          <w:u w:val="single"/>
        </w:rPr>
        <w:t xml:space="preserve">  /  </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发包人提供国外标准、规范的名称：</w:t>
      </w:r>
      <w:r>
        <w:rPr>
          <w:rFonts w:hint="eastAsia" w:ascii="宋体" w:hAnsi="宋体" w:cs="宋体"/>
          <w:sz w:val="22"/>
          <w:szCs w:val="22"/>
          <w:u w:val="single"/>
        </w:rPr>
        <w:t xml:space="preserve">  /  </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1.4.3发包人对工程的技术标准、功能要求高于或严于现行国家、行业或地方标准的：</w:t>
      </w:r>
      <w:r>
        <w:rPr>
          <w:rFonts w:hint="eastAsia" w:ascii="宋体" w:hAnsi="宋体" w:cs="宋体"/>
          <w:sz w:val="22"/>
          <w:szCs w:val="22"/>
          <w:u w:val="single"/>
        </w:rPr>
        <w:t xml:space="preserve">合同履行中发承双方确定，但应视为承包人在签订合同前已充分预见前述技术标准和功能要求的复杂程度，签约合同价中已包含由此产生的费用</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12"/>
      <w:r>
        <w:rPr>
          <w:rFonts w:hint="eastAsia" w:ascii="宋体" w:hAnsi="宋体" w:cs="宋体"/>
          <w:sz w:val="22"/>
          <w:szCs w:val="22"/>
        </w:rPr>
        <w:t xml:space="preserve">1.5 合同文件的优先顺序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合同文件组成及优先顺序为：</w:t>
      </w:r>
      <w:r>
        <w:rPr>
          <w:rFonts w:hint="eastAsia" w:ascii="宋体" w:hAnsi="宋体" w:cs="宋体"/>
          <w:sz w:val="22"/>
          <w:szCs w:val="22"/>
          <w:u w:val="single"/>
        </w:rPr>
        <w:t xml:space="preserve">（1）合同协议书；（2）中标通知书；（3）招标公告、文件和投标函及其附录；（4）专用合同条款及其附件；（5）通用合同条款；（6）技术标准和要求；（7）图纸；（8）已标价工程量清单或预算书；（9）其他合同文件</w:t>
      </w:r>
      <w:r>
        <w:rPr>
          <w:rFonts w:hint="eastAsia" w:ascii="宋体" w:hAnsi="宋体" w:cs="宋体"/>
          <w:sz w:val="22"/>
          <w:szCs w:val="22"/>
        </w:rPr>
        <w:t xml:space="preserve">；</w:t>
      </w:r>
      <w:r>
        <w:rPr>
          <w:rFonts w:hint="eastAsia" w:ascii="宋体" w:hAnsi="宋体" w:cs="宋体"/>
          <w:sz w:val="22"/>
          <w:szCs w:val="22"/>
          <w:u w:val="single"/>
        </w:rPr>
      </w:r>
      <w:r/>
    </w:p>
    <w:p>
      <w:pPr>
        <w:pStyle w:val="733"/>
        <w:ind w:left="-420" w:right="-420" w:firstLine="440"/>
        <w:jc w:val="left"/>
        <w:spacing w:line="400" w:lineRule="exact"/>
        <w:rPr>
          <w:rFonts w:hint="eastAsia" w:ascii="宋体" w:hAnsi="宋体" w:cs="宋体"/>
          <w:sz w:val="22"/>
        </w:rPr>
      </w:pPr>
      <w:r>
        <w:rPr>
          <w:rFonts w:hint="eastAsia" w:ascii="宋体" w:hAnsi="宋体" w:cs="宋体"/>
          <w:sz w:val="22"/>
          <w:u w:val="single"/>
        </w:rPr>
        <w:t xml:space="preserve">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上述合同协议书、通用、专用合同条款与招标文件附件合同不一致的，以招标文件附件合同为准。</w:t>
      </w:r>
      <w:r>
        <w:rPr>
          <w:rFonts w:hint="eastAsia" w:ascii="宋体" w:hAnsi="宋体" w:cs="宋体"/>
          <w:sz w:val="22"/>
        </w:rPr>
      </w:r>
      <w:r/>
    </w:p>
    <w:p>
      <w:pPr>
        <w:pStyle w:val="957"/>
        <w:ind w:left="-420" w:right="-420" w:firstLine="440"/>
        <w:spacing w:line="400" w:lineRule="exact"/>
        <w:rPr>
          <w:rFonts w:hint="eastAsia" w:ascii="宋体" w:hAnsi="宋体" w:cs="宋体"/>
          <w:sz w:val="22"/>
          <w:szCs w:val="22"/>
        </w:rPr>
      </w:pPr>
      <w:r/>
      <w:bookmarkStart w:id="229" w:name="_Toc12161"/>
      <w:r>
        <w:rPr>
          <w:rFonts w:hint="eastAsia" w:ascii="宋体" w:hAnsi="宋体" w:cs="宋体"/>
          <w:sz w:val="22"/>
          <w:szCs w:val="22"/>
        </w:rPr>
        <w:t xml:space="preserve">1.6 图纸和承包人文件</w:t>
      </w:r>
      <w:bookmarkEnd w:id="229"/>
      <w:r>
        <w:rPr>
          <w:rFonts w:hint="eastAsia" w:ascii="宋体" w:hAnsi="宋体" w:cs="宋体"/>
          <w:sz w:val="22"/>
          <w:szCs w:val="22"/>
        </w:rPr>
        <w:tab/>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1.6.1 图纸的提供</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发包人向承包人提供图纸的期限：签订合同后七日内。</w:t>
      </w:r>
      <w:r>
        <w:rPr>
          <w:rFonts w:hint="eastAsia" w:ascii="宋体" w:hAnsi="宋体" w:cs="宋体"/>
          <w:sz w:val="22"/>
          <w:szCs w:val="22"/>
        </w:rPr>
      </w:r>
      <w:r/>
    </w:p>
    <w:p>
      <w:pPr>
        <w:pStyle w:val="957"/>
        <w:ind w:right="-420" w:firstLine="440"/>
        <w:spacing w:line="400" w:lineRule="exact"/>
        <w:rPr>
          <w:rFonts w:hint="eastAsia" w:ascii="宋体" w:hAnsi="宋体" w:cs="宋体"/>
          <w:sz w:val="22"/>
          <w:szCs w:val="22"/>
        </w:rPr>
      </w:pPr>
      <w:r>
        <w:rPr>
          <w:rFonts w:hint="eastAsia" w:ascii="宋体" w:hAnsi="宋体" w:cs="宋体"/>
          <w:sz w:val="22"/>
          <w:szCs w:val="22"/>
        </w:rPr>
        <w:t xml:space="preserve">发包人向承包人提供图纸的数量：</w:t>
      </w:r>
      <w:r>
        <w:rPr>
          <w:rFonts w:hint="eastAsia" w:ascii="宋体" w:hAnsi="宋体" w:cs="宋体"/>
          <w:sz w:val="22"/>
          <w:szCs w:val="22"/>
          <w:u w:val="single"/>
        </w:rPr>
        <w:t xml:space="preserve">图纸由承包人提供，具体以承包人投标时的提供的图纸为准</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发包人向承包人提供图纸的内容：</w:t>
      </w:r>
      <w:r>
        <w:rPr>
          <w:rFonts w:hint="eastAsia" w:ascii="宋体" w:hAnsi="宋体" w:cs="宋体"/>
          <w:sz w:val="22"/>
          <w:szCs w:val="22"/>
          <w:u w:val="single"/>
        </w:rPr>
        <w:t xml:space="preserve">图纸由承包人提供，具体以承包人投标时的提供的图纸为准；发包人代表有权随时向承包人发出为使工程合理正确施工、竣工以及保修所需的补充文件和指示。承包人应执行这些补充文件和指示，并受其约束</w:t>
      </w:r>
      <w:r>
        <w:rPr>
          <w:rFonts w:hint="eastAsia" w:ascii="宋体" w:hAnsi="宋体" w:cs="宋体"/>
          <w:sz w:val="22"/>
          <w:szCs w:val="22"/>
        </w:rPr>
        <w:t xml:space="preserve">。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1.6.4 承包人文件</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230" w:name="_Toc30451"/>
      <w:r>
        <w:rPr>
          <w:rFonts w:hint="eastAsia" w:ascii="宋体" w:hAnsi="宋体" w:cs="宋体"/>
          <w:sz w:val="22"/>
          <w:szCs w:val="22"/>
        </w:rPr>
        <w:t xml:space="preserve">需要由承包人提供的文件，包括：</w:t>
      </w:r>
      <w:r>
        <w:rPr>
          <w:rFonts w:hint="eastAsia" w:ascii="宋体" w:hAnsi="宋体" w:cs="宋体"/>
          <w:sz w:val="22"/>
          <w:szCs w:val="22"/>
          <w:u w:val="single"/>
        </w:rPr>
        <w:t xml:space="preserve">详细施工组织设计、工程进度计划、专项施工方案、经深化后的施工图纸（如有）</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承包人提供的文件的期限为：</w:t>
      </w:r>
      <w:r>
        <w:rPr>
          <w:rFonts w:hint="eastAsia" w:ascii="宋体" w:hAnsi="宋体" w:cs="宋体"/>
          <w:sz w:val="22"/>
          <w:szCs w:val="22"/>
          <w:u w:val="single"/>
        </w:rPr>
        <w:t xml:space="preserve">签订合同后7天内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承包人提供的文件的数量为：</w:t>
      </w:r>
      <w:r>
        <w:rPr>
          <w:rFonts w:hint="eastAsia" w:ascii="宋体" w:hAnsi="宋体" w:cs="宋体"/>
          <w:sz w:val="22"/>
          <w:szCs w:val="22"/>
          <w:u w:val="single"/>
        </w:rPr>
        <w:t xml:space="preserve">肆份</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承包人提供的文件的形式为：</w:t>
      </w:r>
      <w:r>
        <w:rPr>
          <w:rFonts w:hint="eastAsia" w:ascii="宋体" w:hAnsi="宋体" w:cs="宋体"/>
          <w:sz w:val="22"/>
          <w:szCs w:val="22"/>
          <w:u w:val="single"/>
        </w:rPr>
        <w:t xml:space="preserve">书面文件及电子版 ，书面文件需由承包人及项目管理加盖公章、签字确认</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发包人审批承包人文件的期限：</w:t>
      </w:r>
      <w:r>
        <w:rPr>
          <w:rFonts w:hint="eastAsia" w:ascii="宋体" w:hAnsi="宋体" w:cs="宋体"/>
          <w:sz w:val="22"/>
          <w:szCs w:val="22"/>
          <w:u w:val="single"/>
        </w:rPr>
        <w:t xml:space="preserve">收到文件后7天内审查完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1.6.5 现场图纸准备</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关于现场图纸准备的约定：</w:t>
      </w:r>
      <w:r>
        <w:rPr>
          <w:rFonts w:hint="eastAsia" w:ascii="宋体" w:hAnsi="宋体" w:cs="宋体"/>
          <w:sz w:val="22"/>
          <w:szCs w:val="22"/>
          <w:u w:val="single"/>
        </w:rPr>
        <w:t xml:space="preserve">承包人应在施工现场保留一套完整的图纸和承包文件，供发包人、监理人及有关人员进行工程检查、使用</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 联络</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1.7.1发包人和承包人应当在</w:t>
      </w:r>
      <w:r>
        <w:rPr>
          <w:rFonts w:hint="eastAsia" w:ascii="宋体" w:hAnsi="宋体" w:cs="宋体"/>
          <w:sz w:val="22"/>
          <w:szCs w:val="22"/>
          <w:u w:val="single"/>
        </w:rPr>
        <w:t xml:space="preserve">3</w:t>
      </w:r>
      <w:r>
        <w:rPr>
          <w:rFonts w:hint="eastAsia" w:ascii="宋体" w:hAnsi="宋体" w:cs="宋体"/>
          <w:sz w:val="22"/>
          <w:szCs w:val="22"/>
        </w:rPr>
        <w:t xml:space="preserve">天内将与合同有关的通知、批准、证明、证书、指示、指令、要求、请求、同意、意见、确定和决定等书面函件送达对方当事人。</w:t>
      </w:r>
      <w:r>
        <w:rPr>
          <w:rFonts w:hint="eastAsia" w:ascii="宋体" w:hAnsi="宋体" w:cs="宋体"/>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1.7.2发包人接收文件的地点：</w:t>
      </w:r>
      <w:r>
        <w:rPr>
          <w:rFonts w:hint="eastAsia" w:ascii="宋体" w:hAnsi="宋体" w:cs="宋体"/>
          <w:color w:val="000000"/>
          <w:sz w:val="22"/>
          <w:szCs w:val="22"/>
          <w:u w:val="single"/>
        </w:rPr>
        <w:t xml:space="preserve">现场工程部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发包人指定的接收人为：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承包人接收文件的地点：</w:t>
      </w:r>
      <w:r>
        <w:rPr>
          <w:rFonts w:hint="eastAsia" w:ascii="宋体" w:hAnsi="宋体" w:cs="宋体"/>
          <w:color w:val="000000"/>
          <w:sz w:val="22"/>
          <w:szCs w:val="22"/>
          <w:u w:val="single"/>
        </w:rPr>
        <w:t xml:space="preserve">现场项目部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承包人指定的接收人为：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监理人接收文件的地点：</w:t>
      </w:r>
      <w:r>
        <w:rPr>
          <w:rFonts w:hint="eastAsia" w:ascii="宋体" w:hAnsi="宋体" w:cs="宋体"/>
          <w:color w:val="000000"/>
          <w:sz w:val="22"/>
          <w:szCs w:val="22"/>
          <w:u w:val="single"/>
        </w:rPr>
        <w:t xml:space="preserve">现场监理部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监理人指定的接收人为：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1.9 化石、文物：施工现场发掘相关要求：</w:t>
      </w:r>
      <w:r>
        <w:rPr>
          <w:rFonts w:hint="eastAsia" w:ascii="宋体" w:hAnsi="宋体" w:cs="宋体"/>
          <w:sz w:val="22"/>
          <w:szCs w:val="22"/>
          <w:u w:val="singl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1.10 交通运输</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231" w:name="_Toc17642"/>
      <w:r>
        <w:rPr>
          <w:rFonts w:hint="eastAsia" w:ascii="宋体" w:hAnsi="宋体" w:cs="宋体"/>
          <w:sz w:val="22"/>
          <w:szCs w:val="22"/>
        </w:rPr>
        <w:t xml:space="preserve">1.10.1 出入现场的权利</w:t>
      </w:r>
      <w:bookmarkEnd w:id="231"/>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关于出入现场的权利的约定：</w:t>
      </w:r>
      <w:r>
        <w:rPr>
          <w:rFonts w:hint="eastAsia" w:ascii="宋体" w:hAnsi="宋体" w:cs="宋体"/>
          <w:sz w:val="22"/>
          <w:szCs w:val="22"/>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1.10.2 场外交通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关于场外交通的约定：</w:t>
      </w:r>
      <w:r>
        <w:rPr>
          <w:rFonts w:hint="eastAsia" w:ascii="宋体" w:hAnsi="宋体" w:cs="宋体"/>
          <w:sz w:val="22"/>
          <w:szCs w:val="22"/>
          <w:u w:val="single"/>
        </w:rPr>
        <w:t xml:space="preserve">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1.10.3 </w:t>
      </w:r>
      <w:bookmarkEnd w:id="230"/>
      <w:r/>
      <w:bookmarkStart w:id="232" w:name="_Toc351203504"/>
      <w:r>
        <w:rPr>
          <w:rFonts w:hint="eastAsia" w:ascii="宋体" w:hAnsi="宋体" w:cs="宋体"/>
          <w:sz w:val="22"/>
          <w:szCs w:val="22"/>
        </w:rPr>
        <w:t xml:space="preserve">场内交通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关于场内交通的约定：</w:t>
      </w:r>
      <w:r>
        <w:rPr>
          <w:rFonts w:hint="eastAsia" w:ascii="宋体" w:hAnsi="宋体" w:cs="宋体"/>
          <w:sz w:val="22"/>
          <w:szCs w:val="22"/>
          <w:u w:val="single"/>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含临时设施、辅助设施及安全防护设施等），以满足施工及材料、设备运输的需要，相关手续和建设费用由承包人承担；发包人和监理人可以为实现合同目的使用承包人修建的场内临时道路和交通设施</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关于场外交通和场内交通的边界的约定：</w:t>
      </w:r>
      <w:r>
        <w:rPr>
          <w:rFonts w:hint="eastAsia" w:ascii="宋体" w:hAnsi="宋体" w:cs="宋体"/>
          <w:sz w:val="22"/>
          <w:szCs w:val="22"/>
          <w:u w:val="single"/>
        </w:rPr>
        <w:t xml:space="preserve">具体以现场实际施工环境为准</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关于发包人向承包人免费提供满足工程施工需要的场内道路和交通设施的约定：</w:t>
      </w:r>
      <w:r>
        <w:rPr>
          <w:rFonts w:hint="eastAsia" w:ascii="宋体" w:hAnsi="宋体" w:cs="宋体"/>
          <w:sz w:val="22"/>
          <w:szCs w:val="22"/>
          <w:u w:val="single"/>
        </w:rPr>
        <w:t xml:space="preserve">按1.10.3场内交通约定执行</w:t>
      </w:r>
      <w:r>
        <w:rPr>
          <w:rFonts w:hint="eastAsia" w:ascii="宋体" w:hAnsi="宋体" w:cs="宋体"/>
          <w:sz w:val="22"/>
          <w:szCs w:val="22"/>
        </w:rPr>
        <w:t xml:space="preserve">。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1.10.4 超大件和超重件的运输</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运输超大件或超重件所需的道路和桥梁临时加固改造费用和其他有关费用：</w:t>
      </w:r>
      <w:r>
        <w:rPr>
          <w:rFonts w:hint="eastAsia" w:ascii="宋体" w:hAnsi="宋体" w:cs="宋体"/>
          <w:sz w:val="22"/>
          <w:szCs w:val="22"/>
          <w:u w:val="single"/>
        </w:rPr>
        <w:t xml:space="preserve">由承包人承担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1.11 知识产权</w:t>
      </w:r>
      <w:r>
        <w:rPr>
          <w:rFonts w:hint="eastAsia" w:ascii="宋体" w:hAnsi="宋体" w:cs="宋体"/>
          <w:sz w:val="22"/>
          <w:szCs w:val="22"/>
        </w:rPr>
      </w:r>
      <w:r/>
    </w:p>
    <w:p>
      <w:pPr>
        <w:pStyle w:val="733"/>
        <w:ind w:left="-420" w:right="-420" w:firstLine="440"/>
        <w:jc w:val="left"/>
        <w:spacing w:line="400" w:lineRule="exact"/>
        <w:rPr>
          <w:rFonts w:hint="eastAsia" w:ascii="宋体" w:hAnsi="宋体" w:cs="宋体"/>
          <w:sz w:val="22"/>
        </w:rPr>
      </w:pPr>
      <w:r>
        <w:rPr>
          <w:rFonts w:hint="eastAsia" w:ascii="宋体" w:hAnsi="宋体" w:cs="宋体"/>
          <w:sz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2"/>
          <w:u w:val="single"/>
        </w:rPr>
        <w:t xml:space="preserve">按通用条款执行</w:t>
      </w:r>
      <w:r>
        <w:rPr>
          <w:rFonts w:hint="eastAsia" w:ascii="宋体" w:hAnsi="宋体" w:cs="宋体"/>
          <w:sz w:val="22"/>
        </w:rPr>
        <w:t xml:space="preserve">。</w:t>
      </w:r>
      <w:r>
        <w:rPr>
          <w:rFonts w:hint="eastAsia" w:ascii="宋体" w:hAnsi="宋体" w:cs="宋体"/>
          <w:sz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关于发包人提供的上述文件的使用限制的要求：</w:t>
      </w:r>
      <w:r>
        <w:rPr>
          <w:rFonts w:hint="eastAsia" w:ascii="宋体" w:hAnsi="宋体" w:cs="宋体"/>
          <w:sz w:val="22"/>
          <w:szCs w:val="22"/>
          <w:u w:val="single"/>
        </w:rPr>
        <w:t xml:space="preserve">按通用条款执行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233" w:name="_Toc8852"/>
      <w:r>
        <w:rPr>
          <w:rFonts w:hint="eastAsia" w:ascii="宋体" w:hAnsi="宋体" w:cs="宋体"/>
          <w:sz w:val="22"/>
          <w:szCs w:val="22"/>
        </w:rPr>
        <w:t xml:space="preserve">1.11.2 关于承包人为实施工程所编制文件的著作权的归属：</w:t>
      </w:r>
      <w:r>
        <w:rPr>
          <w:rFonts w:hint="eastAsia" w:ascii="宋体" w:hAnsi="宋体" w:cs="宋体"/>
          <w:sz w:val="22"/>
          <w:szCs w:val="22"/>
          <w:u w:val="single"/>
        </w:rPr>
        <w:t xml:space="preserve">按通用条款执行</w:t>
      </w:r>
      <w:r>
        <w:rPr>
          <w:rFonts w:hint="eastAsia" w:ascii="宋体" w:hAnsi="宋体" w:cs="宋体"/>
          <w:sz w:val="22"/>
          <w:szCs w:val="22"/>
        </w:rPr>
        <w:t xml:space="preserve">。</w:t>
      </w:r>
      <w:bookmarkEnd w:id="233"/>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关于承包人提供的上述文件的使用限制的要求：</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234" w:name="_Toc6984"/>
      <w:r>
        <w:rPr>
          <w:rFonts w:hint="eastAsia" w:ascii="宋体" w:hAnsi="宋体" w:cs="宋体"/>
          <w:sz w:val="22"/>
          <w:szCs w:val="22"/>
        </w:rPr>
        <w:t xml:space="preserve">1.11.4 承包人在施工过程中所采用的专利、专有技术、技术秘密的使用费的承担方式：</w:t>
      </w:r>
      <w:r>
        <w:rPr>
          <w:rFonts w:hint="eastAsia" w:ascii="宋体" w:hAnsi="宋体" w:cs="宋体"/>
          <w:sz w:val="22"/>
          <w:szCs w:val="22"/>
          <w:u w:val="single"/>
        </w:rPr>
        <w:t xml:space="preserve">承包人承担</w:t>
      </w:r>
      <w:r>
        <w:rPr>
          <w:rFonts w:hint="eastAsia" w:ascii="宋体" w:hAnsi="宋体" w:cs="宋体"/>
          <w:sz w:val="22"/>
          <w:szCs w:val="22"/>
        </w:rPr>
        <w:t xml:space="preserve">。</w:t>
      </w:r>
      <w:bookmarkEnd w:id="234"/>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1.13工程量清单错误的修正</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出现工程量清单错误时，是否调整合同价格：</w:t>
      </w:r>
      <w:r>
        <w:rPr>
          <w:rFonts w:hint="eastAsia" w:ascii="宋体" w:hAnsi="宋体" w:cs="宋体"/>
          <w:sz w:val="22"/>
          <w:szCs w:val="22"/>
          <w:u w:val="single"/>
        </w:rPr>
        <w:t xml:space="preserve">按工程所在地政府相关规定执行</w:t>
      </w:r>
      <w:r>
        <w:rPr>
          <w:rFonts w:hint="eastAsia" w:ascii="宋体" w:hAnsi="宋体" w:cs="宋体"/>
          <w:sz w:val="22"/>
          <w:szCs w:val="22"/>
        </w:rPr>
        <w:t xml:space="preserve">。</w:t>
      </w:r>
      <w:r>
        <w:rPr>
          <w:rFonts w:hint="eastAsia" w:ascii="宋体" w:hAnsi="宋体" w:cs="宋体"/>
          <w:sz w:val="22"/>
          <w:szCs w:val="22"/>
        </w:rPr>
      </w:r>
      <w:r/>
    </w:p>
    <w:p>
      <w:pPr>
        <w:pStyle w:val="733"/>
        <w:ind w:left="-420" w:right="-420" w:firstLine="440"/>
        <w:jc w:val="left"/>
        <w:spacing w:line="400" w:lineRule="exact"/>
        <w:rPr>
          <w:rFonts w:hint="eastAsia" w:ascii="宋体" w:hAnsi="宋体" w:cs="宋体"/>
          <w:sz w:val="22"/>
          <w:u w:val="single"/>
        </w:rPr>
      </w:pPr>
      <w:r>
        <w:rPr>
          <w:rFonts w:hint="eastAsia" w:ascii="宋体" w:hAnsi="宋体" w:cs="宋体"/>
          <w:sz w:val="22"/>
        </w:rPr>
        <w:t xml:space="preserve">允许调整合同价格的工程量偏差范围：</w:t>
      </w:r>
      <w:r>
        <w:rPr>
          <w:rFonts w:hint="eastAsia" w:ascii="宋体" w:hAnsi="宋体" w:cs="宋体"/>
          <w:sz w:val="22"/>
          <w:u w:val="single"/>
        </w:rPr>
        <w:t xml:space="preserve">参照国家现行的有关国家标准、行业标准、工程所在地的地方性标准以及相应的规范、规程，由发承双方会工程所在地审计部门商定、确定。</w:t>
      </w:r>
      <w:r>
        <w:rPr>
          <w:rFonts w:hint="eastAsia" w:ascii="宋体" w:hAnsi="宋体" w:cs="宋体"/>
          <w:sz w:val="22"/>
          <w:u w:val="single"/>
        </w:rPr>
      </w:r>
      <w:r/>
    </w:p>
    <w:p>
      <w:pPr>
        <w:pStyle w:val="957"/>
        <w:ind w:left="-420" w:right="-420" w:firstLine="440"/>
        <w:spacing w:line="400" w:lineRule="exact"/>
        <w:rPr>
          <w:rFonts w:hint="eastAsia" w:ascii="宋体" w:hAnsi="宋体" w:cs="宋体"/>
          <w:sz w:val="22"/>
          <w:szCs w:val="22"/>
        </w:rPr>
      </w:pPr>
      <w:r/>
      <w:bookmarkStart w:id="235" w:name="_Toc19443"/>
      <w:r>
        <w:rPr>
          <w:rFonts w:hint="eastAsia" w:ascii="宋体" w:hAnsi="宋体" w:cs="宋体"/>
          <w:sz w:val="22"/>
          <w:szCs w:val="22"/>
        </w:rPr>
        <w:t xml:space="preserve">2</w:t>
      </w:r>
      <w:bookmarkStart w:id="236" w:name="_Toc296347156"/>
      <w:r/>
      <w:bookmarkStart w:id="237" w:name="_Toc292559867"/>
      <w:r/>
      <w:bookmarkStart w:id="238" w:name="_Toc296503157"/>
      <w:r/>
      <w:bookmarkStart w:id="239" w:name="_Toc296944496"/>
      <w:r/>
      <w:bookmarkStart w:id="240" w:name="_Toc296890985"/>
      <w:r/>
      <w:bookmarkStart w:id="241" w:name="_Toc297120457"/>
      <w:r/>
      <w:bookmarkStart w:id="242" w:name="_Toc296891197"/>
      <w:r/>
      <w:bookmarkStart w:id="243" w:name="_Toc292559362"/>
      <w:r/>
      <w:bookmarkStart w:id="244" w:name="_Toc297048343"/>
      <w:r/>
      <w:bookmarkStart w:id="245" w:name="_Toc296346658"/>
      <w:r>
        <w:rPr>
          <w:rFonts w:hint="eastAsia" w:ascii="宋体" w:hAnsi="宋体" w:cs="宋体"/>
          <w:sz w:val="22"/>
          <w:szCs w:val="22"/>
        </w:rPr>
        <w:t xml:space="preserve">. 发包人</w:t>
      </w:r>
      <w:bookmarkEnd w:id="235"/>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cs="宋体"/>
          <w:sz w:val="22"/>
          <w:szCs w:val="22"/>
        </w:rPr>
        <w:t xml:space="preserve">2.1 许可和批准：</w:t>
      </w:r>
      <w:r>
        <w:rPr>
          <w:rFonts w:hint="eastAsia" w:ascii="宋体" w:hAnsi="宋体" w:cs="宋体"/>
          <w:sz w:val="22"/>
          <w:szCs w:val="22"/>
          <w:u w:val="single"/>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color w:val="000000"/>
          <w:sz w:val="22"/>
          <w:szCs w:val="22"/>
        </w:rPr>
      </w:pPr>
      <w:r/>
      <w:bookmarkStart w:id="246" w:name="_Toc29840"/>
      <w:r>
        <w:rPr>
          <w:rFonts w:hint="eastAsia" w:ascii="宋体" w:hAnsi="宋体" w:cs="宋体"/>
          <w:color w:val="000000"/>
          <w:sz w:val="22"/>
          <w:szCs w:val="22"/>
        </w:rPr>
        <w:t xml:space="preserve">2.2 发包人代表</w:t>
      </w:r>
      <w:bookmarkEnd w:id="246"/>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发包人代表：</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姓    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身份证号：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职    务：</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联系电话：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color w:val="000000"/>
          <w:sz w:val="22"/>
          <w:szCs w:val="22"/>
        </w:rPr>
        <w:t xml:space="preserve">发包人对发包人代表的授权范围如下：</w:t>
      </w:r>
      <w:r>
        <w:rPr>
          <w:rFonts w:hint="eastAsia" w:ascii="宋体" w:hAnsi="宋体" w:cs="宋体"/>
          <w:color w:val="000000"/>
          <w:sz w:val="22"/>
          <w:szCs w:val="22"/>
          <w:u w:val="single"/>
        </w:rPr>
        <w:t xml:space="preserve">发包人代表在发包人的授权范围内，负责处理合同履行过程中与发包人有关的具体事宜。授权范围包含但不限于施</w:t>
      </w:r>
      <w:r>
        <w:rPr>
          <w:rFonts w:hint="eastAsia" w:ascii="宋体" w:hAnsi="宋体" w:cs="宋体"/>
          <w:sz w:val="22"/>
          <w:szCs w:val="22"/>
          <w:u w:val="single"/>
        </w:rPr>
        <w:t xml:space="preserve">工组织设计和总进度计划的审批权、工程变更的确认权、签证权、决定开停复工令权、工程款的审查权和支付权；特殊及重要施工工艺和材料发包及指定分包权、建筑材料价格的确认权等</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2.4 施工现场、施工条件和基础资料的提供</w:t>
      </w:r>
      <w:r>
        <w:rPr>
          <w:rFonts w:hint="eastAsia" w:ascii="宋体" w:hAnsi="宋体" w:cs="宋体"/>
          <w:sz w:val="22"/>
          <w:szCs w:val="22"/>
        </w:rPr>
      </w:r>
      <w:r/>
    </w:p>
    <w:p>
      <w:pPr>
        <w:pStyle w:val="957"/>
        <w:ind w:left="-420" w:right="-420" w:firstLine="440"/>
        <w:jc w:val="left"/>
        <w:spacing w:line="400" w:lineRule="exact"/>
        <w:rPr>
          <w:rFonts w:hint="eastAsia" w:ascii="宋体" w:hAnsi="宋体" w:cs="宋体"/>
          <w:sz w:val="22"/>
          <w:szCs w:val="22"/>
        </w:rPr>
      </w:pPr>
      <w:r>
        <w:rPr>
          <w:rFonts w:hint="eastAsia" w:ascii="宋体" w:hAnsi="宋体" w:cs="宋体"/>
          <w:sz w:val="22"/>
          <w:szCs w:val="22"/>
        </w:rPr>
        <w:t xml:space="preserve">2.4.1 提供施工现场关于发包人移交施工现场的期限要求：</w:t>
      </w:r>
      <w:r>
        <w:rPr>
          <w:rFonts w:hint="eastAsia" w:ascii="宋体" w:hAnsi="宋体" w:cs="宋体"/>
          <w:sz w:val="22"/>
          <w:szCs w:val="22"/>
          <w:u w:val="single"/>
        </w:rPr>
        <w:t xml:space="preserve">应最迟于开工日期7天前向承包人移交施工现场；特殊情况下由发承双方商定、确定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2.4.2 提供施工条件:</w:t>
      </w:r>
      <w:r>
        <w:rPr>
          <w:rFonts w:hint="eastAsia" w:ascii="宋体" w:hAnsi="宋体" w:cs="宋体"/>
          <w:sz w:val="22"/>
          <w:szCs w:val="22"/>
          <w:u w:val="single"/>
        </w:rPr>
        <w:t xml:space="preserve">按专用合同条款1.10、3.1等执行</w:t>
      </w:r>
      <w:r>
        <w:rPr>
          <w:rFonts w:hint="eastAsia" w:ascii="宋体" w:hAnsi="宋体" w:cs="宋体"/>
          <w:sz w:val="22"/>
          <w:szCs w:val="22"/>
        </w:rPr>
        <w:t xml:space="preserve">。</w:t>
      </w:r>
      <w:r>
        <w:rPr>
          <w:rFonts w:hint="eastAsia" w:ascii="宋体" w:hAnsi="宋体" w:cs="宋体"/>
          <w:sz w:val="22"/>
          <w:szCs w:val="22"/>
        </w:rPr>
      </w:r>
      <w:r/>
    </w:p>
    <w:p>
      <w:pPr>
        <w:pStyle w:val="733"/>
        <w:ind w:firstLine="440"/>
        <w:jc w:val="left"/>
        <w:spacing w:line="400" w:lineRule="exact"/>
        <w:rPr>
          <w:rFonts w:hint="eastAsia" w:ascii="宋体" w:hAnsi="宋体" w:cs="宋体"/>
          <w:sz w:val="22"/>
        </w:rPr>
      </w:pPr>
      <w:r>
        <w:rPr>
          <w:rFonts w:hint="eastAsia" w:ascii="宋体" w:hAnsi="宋体" w:cs="宋体"/>
          <w:sz w:val="22"/>
        </w:rPr>
        <w:t xml:space="preserve">2.4.4 逾期提供的责任：</w:t>
      </w:r>
      <w:r>
        <w:rPr>
          <w:rFonts w:hint="eastAsia" w:ascii="宋体" w:hAnsi="宋体" w:cs="宋体"/>
          <w:sz w:val="22"/>
          <w:u w:val="single"/>
        </w:rPr>
        <w:t xml:space="preserve">发承双方根据工程实际情况商定、确定</w:t>
      </w:r>
      <w:r>
        <w:rPr>
          <w:rFonts w:hint="eastAsia" w:ascii="宋体" w:hAnsi="宋体" w:cs="宋体"/>
          <w:sz w:val="22"/>
        </w:rPr>
        <w:t xml:space="preserve">。</w:t>
      </w:r>
      <w:r>
        <w:rPr>
          <w:rFonts w:hint="eastAsia" w:ascii="宋体" w:hAnsi="宋体" w:cs="宋体"/>
          <w:sz w:val="22"/>
        </w:rPr>
      </w:r>
      <w:r/>
    </w:p>
    <w:p>
      <w:pPr>
        <w:pStyle w:val="957"/>
        <w:ind w:left="-420" w:right="-420" w:firstLine="440"/>
        <w:spacing w:line="400" w:lineRule="exact"/>
        <w:rPr>
          <w:rFonts w:hint="eastAsia" w:ascii="宋体" w:hAnsi="宋体" w:cs="宋体"/>
          <w:sz w:val="22"/>
          <w:szCs w:val="22"/>
        </w:rPr>
      </w:pPr>
      <w:r/>
      <w:bookmarkStart w:id="247" w:name="_Toc351203514"/>
      <w:r>
        <w:rPr>
          <w:rFonts w:hint="eastAsia" w:ascii="宋体" w:hAnsi="宋体" w:cs="宋体"/>
          <w:sz w:val="22"/>
          <w:szCs w:val="22"/>
        </w:rPr>
        <w:t xml:space="preserve">2</w:t>
      </w:r>
      <w:bookmarkStart w:id="248" w:name="_Toc296346543"/>
      <w:r/>
      <w:bookmarkStart w:id="249" w:name="_Toc296503042"/>
      <w:r/>
      <w:bookmarkStart w:id="250" w:name="_Toc337558745"/>
      <w:r>
        <w:rPr>
          <w:rFonts w:hint="eastAsia" w:ascii="宋体" w:hAnsi="宋体" w:cs="宋体"/>
          <w:sz w:val="22"/>
          <w:szCs w:val="22"/>
        </w:rPr>
        <w:t xml:space="preserve">.5 资</w:t>
      </w:r>
      <w:bookmarkEnd w:id="248"/>
      <w:r/>
      <w:bookmarkEnd w:id="249"/>
      <w:r/>
      <w:bookmarkEnd w:id="250"/>
      <w:r>
        <w:rPr>
          <w:rFonts w:hint="eastAsia" w:ascii="宋体" w:hAnsi="宋体" w:cs="宋体"/>
          <w:sz w:val="22"/>
          <w:szCs w:val="22"/>
        </w:rPr>
        <w:t xml:space="preserve">金来源证明及支付担保</w:t>
      </w:r>
      <w:bookmarkEnd w:id="247"/>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发包人提供资金来源证明的期限要求：无需提供。</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发包人是否提供支付担保：</w:t>
      </w:r>
      <w:r>
        <w:rPr>
          <w:rFonts w:hint="eastAsia" w:ascii="宋体" w:hAnsi="宋体" w:cs="宋体"/>
          <w:sz w:val="22"/>
          <w:szCs w:val="22"/>
          <w:u w:val="single"/>
        </w:rPr>
        <w:t xml:space="preserve">无需提供</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发包人提供支付担保的形式：</w:t>
      </w:r>
      <w:r>
        <w:rPr>
          <w:rFonts w:hint="eastAsia" w:ascii="宋体" w:hAnsi="宋体" w:cs="宋体"/>
          <w:sz w:val="22"/>
          <w:szCs w:val="22"/>
          <w:u w:val="single"/>
        </w:rPr>
        <w:t xml:space="preserve">无需提供</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 承包人</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3.1 承包人的一般义务</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（9）承包人提交的竣工资料的内容：</w:t>
      </w:r>
      <w:r>
        <w:rPr>
          <w:rFonts w:hint="eastAsia" w:ascii="宋体" w:hAnsi="宋体" w:cs="宋体"/>
          <w:sz w:val="22"/>
          <w:szCs w:val="22"/>
          <w:u w:val="single"/>
        </w:rPr>
        <w:t xml:space="preserve">按照法律规定和合同约定编制竣工资料，完成竣工资料立卷及归档；按照发包人要求的内容编制</w:t>
      </w:r>
      <w:r>
        <w:rPr>
          <w:rFonts w:hint="eastAsia" w:ascii="宋体" w:hAnsi="宋体" w:cs="宋体"/>
          <w:sz w:val="22"/>
          <w:szCs w:val="22"/>
        </w:rPr>
        <w:t xml:space="preserve">。</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承包人需要提交的竣工资料套数：</w:t>
      </w:r>
      <w:r>
        <w:rPr>
          <w:rFonts w:hint="eastAsia" w:ascii="宋体" w:hAnsi="宋体" w:cs="宋体"/>
          <w:sz w:val="22"/>
          <w:szCs w:val="22"/>
          <w:u w:val="single"/>
        </w:rPr>
        <w:t xml:space="preserve">贰套（发包人、县城建档案馆）</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承包人提交的竣工资料的费用承担：</w:t>
      </w:r>
      <w:r>
        <w:rPr>
          <w:rFonts w:hint="eastAsia" w:ascii="宋体" w:hAnsi="宋体" w:cs="宋体"/>
          <w:sz w:val="22"/>
          <w:szCs w:val="22"/>
          <w:u w:val="single"/>
        </w:rPr>
        <w:t xml:space="preserve">承包人承担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承包人提交的竣工资料移交时间：</w:t>
      </w:r>
      <w:r>
        <w:rPr>
          <w:rFonts w:hint="eastAsia" w:ascii="宋体" w:hAnsi="宋体" w:cs="宋体"/>
          <w:sz w:val="22"/>
          <w:szCs w:val="22"/>
          <w:u w:val="single"/>
        </w:rPr>
        <w:t xml:space="preserve">承包人应在工程竣工后30日内提供贰套完整的竣工资料</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承包人提交的竣工资料形式要求：</w:t>
      </w:r>
      <w:r>
        <w:rPr>
          <w:rFonts w:hint="eastAsia" w:ascii="宋体" w:hAnsi="宋体" w:cs="宋体"/>
          <w:sz w:val="22"/>
          <w:szCs w:val="22"/>
          <w:u w:val="single"/>
        </w:rPr>
        <w:t xml:space="preserve">纸质、电子文件及影像资料；具体内容格式以县城建档案馆归档要求为准</w:t>
      </w:r>
      <w:r>
        <w:rPr>
          <w:rFonts w:hint="eastAsia" w:ascii="宋体" w:hAnsi="宋体" w:cs="宋体"/>
          <w:sz w:val="22"/>
          <w:szCs w:val="22"/>
        </w:rPr>
        <w:t xml:space="preserve">。</w:t>
      </w:r>
      <w:r>
        <w:rPr>
          <w:rFonts w:hint="eastAsia" w:ascii="宋体" w:hAnsi="宋体" w:cs="宋体"/>
          <w:sz w:val="22"/>
          <w:szCs w:val="22"/>
        </w:rPr>
      </w:r>
      <w:r/>
    </w:p>
    <w:p>
      <w:pPr>
        <w:pStyle w:val="957"/>
        <w:numPr>
          <w:ilvl w:val="0"/>
          <w:numId w:val="7"/>
        </w:numPr>
        <w:ind w:left="-40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承包人应履行的其他义务：</w:t>
      </w:r>
      <w:r>
        <w:rPr>
          <w:rFonts w:hint="eastAsia" w:ascii="宋体" w:hAnsi="宋体" w:cs="宋体"/>
          <w:sz w:val="22"/>
          <w:szCs w:val="22"/>
          <w:u w:val="single"/>
        </w:rPr>
        <w:t xml:space="preserve">(1)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计</w:t>
      </w:r>
      <w:r>
        <w:rPr>
          <w:rFonts w:hint="eastAsia" w:ascii="宋体" w:hAnsi="宋体" w:cs="宋体"/>
          <w:sz w:val="22"/>
          <w:szCs w:val="22"/>
          <w:u w:val="single"/>
        </w:rPr>
        <w:t xml:space="preserve">到了可能发生的异常情况），中标后，不得以不完全了解现场情况为理由而提出额外的费用或延长竣工日期等要求；(2)办理法律规定应由承包人办理的许可和批准，并将办理结果书面报送发包人留存。施工现场按标准化工地设置且符合建设主管部门要求；(3)按合同约定的工作内容和施工进度要求，编制施工组织设计和施工措施计划，并对所有施工作业和施工方法的完备性和安全可靠性负责；按照发包人要求，及时有关工程进度计划、施工月报等资料；(4)按法律规定和合同约定采取施工安全和环境保护措施，办理工伤保险，确保工程及人员、材料、设备和设施的安</w:t>
      </w:r>
      <w:r>
        <w:rPr>
          <w:rFonts w:hint="eastAsia" w:ascii="宋体" w:hAnsi="宋体" w:cs="宋体"/>
          <w:sz w:val="22"/>
          <w:szCs w:val="22"/>
          <w:u w:val="single"/>
        </w:rPr>
        <w:t xml:space="preserve">全；负责在工程施工竣工及保修的整个过程中施工现场全部人员的安全；负责在需要的时间和地点，根据有关部门要求，提供和维护所有灯光、护板、栅栏、警告信号和警卫，并且对工程进行保护或为公众提供安全和方便；(5)不得侵害发包人与他人使用公用道路、水源、市政管网等公共设施的权利，避免对邻近的公共设施产生干扰；承包人占用或使用他人的施工场地，影响他人作业或生活的，应承担相应责任；施工场地交通、环卫和噪音等管理的要求及费用由承包人负责；(6)负责做好施工场地周围建筑物、构筑物和地下管线、文物及花木的保护；负责施工场地清洁，</w:t>
      </w:r>
      <w:r>
        <w:rPr>
          <w:rFonts w:hint="eastAsia" w:ascii="宋体" w:hAnsi="宋体" w:cs="宋体"/>
          <w:sz w:val="22"/>
          <w:szCs w:val="22"/>
          <w:u w:val="single"/>
        </w:rPr>
        <w:t xml:space="preserve">交工前现场应达到技术规范与合同的要求；(7)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定完成上述工作的，应承担全部责任及费用，工期不得顺延；（8）如发生施工爆破作业，则所需的批件由承包人自行解决，费用由承包人负担；（9）执行工程质量、进度、安全管理制度，确保工程施工的质量，加快工程施工的进度，提高施工现场安全施工等综合管理水平</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3.2 项目经理</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3.2.1 项目经理：</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姓    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身份证号：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建造师执业资格等级：</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建造师注册证书号：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建造师执业印章号：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安全生产考核合格证书号：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联系电话：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承包人对项目经理的授权范围如下：</w:t>
      </w:r>
      <w:r>
        <w:rPr>
          <w:rFonts w:hint="eastAsia" w:ascii="宋体" w:hAnsi="宋体" w:cs="宋体"/>
          <w:color w:val="000000"/>
          <w:sz w:val="22"/>
          <w:szCs w:val="22"/>
          <w:u w:val="single"/>
        </w:rPr>
        <w:t xml:space="preserve">代表承包人行使承包方职权，负责履行合同义务并常驻施工现场，直接负责本项目施工中的各项责任</w:t>
      </w:r>
      <w:r>
        <w:rPr>
          <w:rFonts w:hint="eastAsia" w:ascii="宋体" w:hAnsi="宋体" w:cs="宋体"/>
          <w:color w:val="000000"/>
          <w:sz w:val="22"/>
          <w:szCs w:val="22"/>
        </w:rPr>
        <w:t xml:space="preserve">。</w:t>
      </w:r>
      <w:bookmarkEnd w:id="232"/>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项目经理每月在施工现场的时间要求：</w:t>
      </w:r>
      <w:r>
        <w:rPr>
          <w:rFonts w:hint="eastAsia" w:ascii="宋体" w:hAnsi="宋体" w:cs="宋体"/>
          <w:sz w:val="22"/>
          <w:szCs w:val="22"/>
          <w:u w:val="single"/>
        </w:rPr>
        <w:t xml:space="preserve">项目经理月在岗率不低于80%，每天在工地工作时间不低于8个小时；否则每缺勤一天（含每天在场时间低于8小时），项目经理按10000元/天进行处罚 ；项目经理不得同时担任其他项目的相应职责</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承包人未提交劳动合同，以及没有为项目经理缴纳社会保险证明的违约责任：</w:t>
      </w:r>
      <w:r>
        <w:rPr>
          <w:rFonts w:hint="eastAsia" w:ascii="宋体" w:hAnsi="宋体" w:cs="宋体"/>
          <w:sz w:val="22"/>
          <w:szCs w:val="22"/>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项目经理未经批准，擅自离开施工现场的违约责任：</w:t>
      </w:r>
      <w:r>
        <w:rPr>
          <w:rFonts w:hint="eastAsia" w:ascii="宋体" w:hAnsi="宋体" w:cs="宋体"/>
          <w:sz w:val="22"/>
          <w:szCs w:val="22"/>
          <w:u w:val="single"/>
        </w:rPr>
        <w:t xml:space="preserve">在保证月在岗率不低于80%情况下，项目经理如有事外出（超过8小时）须提前提出书面申请，在发包人同意后方可离开施工现场；如有违反，发包人将按10000元/次进行处罚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3.2.3 承包人擅自更换项目经理的违约责任：</w:t>
      </w:r>
      <w:r>
        <w:rPr>
          <w:rFonts w:hint="eastAsia" w:ascii="宋体" w:hAnsi="宋体" w:cs="宋体"/>
          <w:sz w:val="22"/>
          <w:szCs w:val="22"/>
          <w:u w:val="single"/>
        </w:rPr>
        <w:t xml:space="preserve">承包人不得擅自更换项目经理，如有更换必须提前14天以书面形式向发包人提出申请，并征得发包人书面同意；申请中应当载明继任项目经理的注册执业资格、职称、业绩等资料（不低于招标要求和中标要求），继任项目经理继续履行约定的职责；未经发包人书面同意，承包人擅自更换项目经理的，发包人将按10000元/天进行处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251" w:name="_Toc662"/>
      <w:r>
        <w:rPr>
          <w:rFonts w:hint="eastAsia" w:ascii="宋体" w:hAnsi="宋体" w:cs="宋体"/>
          <w:sz w:val="22"/>
          <w:szCs w:val="22"/>
        </w:rPr>
        <w:t xml:space="preserve">3.2.4 承包人无正当理由拒绝更换项目经理的违约责任：</w:t>
      </w:r>
      <w:r>
        <w:rPr>
          <w:rFonts w:hint="eastAsia" w:ascii="宋体" w:hAnsi="宋体" w:cs="宋体"/>
          <w:sz w:val="22"/>
          <w:szCs w:val="22"/>
          <w:u w:val="single"/>
        </w:rPr>
        <w:t xml:space="preserve">发包人认为项目经理无法胜任工作的，承包人必须在3天内调离并任命继任项目经理（不低于招标要求），否则发包人将按10000元/天进行处罚</w:t>
      </w:r>
      <w:r>
        <w:rPr>
          <w:rFonts w:hint="eastAsia" w:ascii="宋体" w:hAnsi="宋体" w:cs="宋体"/>
          <w:sz w:val="22"/>
          <w:szCs w:val="22"/>
        </w:rPr>
        <w:t xml:space="preserve">。</w:t>
      </w:r>
      <w:bookmarkEnd w:id="251"/>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 承包人人员</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3.3.1 承包人提交项目管理机构及施工现场管理人员安排报告的期限：</w:t>
      </w:r>
      <w:r>
        <w:rPr>
          <w:rFonts w:hint="eastAsia" w:ascii="宋体" w:hAnsi="宋体" w:cs="宋体"/>
          <w:sz w:val="22"/>
          <w:szCs w:val="22"/>
          <w:u w:val="single"/>
        </w:rPr>
        <w:t xml:space="preserve">接到开工通知前7天内；主要施工管理人员除项目经理外，明确为技术负责人、施工员、安全员、质量员</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3.3.3 承包人无正当理由拒绝撤换主要施工管理人员的违约责任：</w:t>
      </w:r>
      <w:r>
        <w:rPr>
          <w:rFonts w:hint="eastAsia" w:ascii="宋体" w:hAnsi="宋体" w:cs="宋体"/>
          <w:sz w:val="22"/>
          <w:szCs w:val="22"/>
          <w:u w:val="single"/>
        </w:rPr>
        <w:t xml:space="preserve">发包人认为承包人的主要施工管理人员无法胜任工作的，承包人必须在3天内调离并任命继任施工管理人员（不低于招标要求），否则发包人将按5000元/天进行处罚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3.3.4 承包人主要施工管理人员离开施工现场的批准要求：</w:t>
      </w:r>
      <w:r>
        <w:rPr>
          <w:rFonts w:hint="eastAsia" w:ascii="宋体" w:hAnsi="宋体" w:cs="宋体"/>
          <w:sz w:val="22"/>
          <w:szCs w:val="22"/>
          <w:u w:val="single"/>
        </w:rPr>
        <w:t xml:space="preserve">主要施工管理人员月在岗率在岗率不低于80%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3.3.5承包人擅自更换主要施工管理人员的违约责任：</w:t>
      </w:r>
      <w:r>
        <w:rPr>
          <w:rFonts w:hint="eastAsia" w:ascii="宋体" w:hAnsi="宋体" w:cs="宋体"/>
          <w:sz w:val="22"/>
          <w:szCs w:val="22"/>
          <w:u w:val="single"/>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承包人主要施工管理人员擅自离开施工现场的违约责任：</w:t>
      </w:r>
      <w:r>
        <w:rPr>
          <w:rFonts w:hint="eastAsia" w:ascii="宋体" w:hAnsi="宋体" w:cs="宋体"/>
          <w:sz w:val="22"/>
          <w:szCs w:val="22"/>
          <w:u w:val="single"/>
        </w:rPr>
        <w:t xml:space="preserve">主要施工管理人员在保证月在岗率不低于80%情况下，如有事外出（超过8小时）须提前提出书面申请，在发包人同意后方可离开施工现场；如有违反，发包人将按5000元/次进行处罚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w:t>
      </w:r>
      <w:bookmarkStart w:id="252" w:name="_Toc292559869"/>
      <w:r/>
      <w:bookmarkStart w:id="253" w:name="_Toc292559364"/>
      <w:r/>
      <w:bookmarkStart w:id="254" w:name="_Toc296891199"/>
      <w:r/>
      <w:bookmarkStart w:id="255" w:name="_Toc296347158"/>
      <w:r/>
      <w:bookmarkStart w:id="256" w:name="_Toc296944498"/>
      <w:r/>
      <w:bookmarkStart w:id="257" w:name="_Toc303539102"/>
      <w:r/>
      <w:bookmarkStart w:id="258" w:name="_Toc296346660"/>
      <w:r/>
      <w:bookmarkStart w:id="259" w:name="_Toc297120459"/>
      <w:r/>
      <w:bookmarkStart w:id="260" w:name="_Toc297048345"/>
      <w:r/>
      <w:bookmarkStart w:id="261" w:name="_Toc296503159"/>
      <w:r/>
      <w:bookmarkStart w:id="262" w:name="_Toc300934945"/>
      <w:r/>
      <w:bookmarkStart w:id="263" w:name="_Toc312677988"/>
      <w:r/>
      <w:bookmarkStart w:id="264" w:name="_Toc296890987"/>
      <w:r/>
      <w:bookmarkStart w:id="265" w:name="_Toc297123492"/>
      <w:r/>
      <w:bookmarkStart w:id="266" w:name="_Toc304295523"/>
      <w:r/>
      <w:bookmarkStart w:id="267" w:name="_Toc297216151"/>
      <w:r>
        <w:rPr>
          <w:rFonts w:hint="eastAsia" w:ascii="宋体" w:hAnsi="宋体" w:cs="宋体"/>
          <w:sz w:val="22"/>
          <w:szCs w:val="22"/>
        </w:rPr>
        <w:t xml:space="preserve">.5 分包</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cs="宋体"/>
          <w:sz w:val="22"/>
          <w:szCs w:val="22"/>
        </w:rPr>
        <w:t xml:space="preserve">3.5.1 分包的一般约定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禁止分包的工程包括：</w:t>
      </w:r>
      <w:r>
        <w:rPr>
          <w:rFonts w:hint="eastAsia" w:ascii="宋体" w:hAnsi="宋体" w:cs="宋体"/>
          <w:sz w:val="22"/>
          <w:szCs w:val="22"/>
          <w:u w:val="single"/>
        </w:rPr>
        <w:t xml:space="preserve">主体结构、关键性工作等法律、法规规定必须由承包人完成的工程；承包人不得以劳务分包的名义转包或违法分包工程</w:t>
      </w:r>
      <w:r>
        <w:rPr>
          <w:rFonts w:hint="eastAsia" w:ascii="宋体" w:hAnsi="宋体" w:cs="宋体"/>
          <w:sz w:val="22"/>
          <w:szCs w:val="22"/>
        </w:rPr>
        <w:t xml:space="preserve">。</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主体结构、关键性工作的范围：</w:t>
      </w:r>
      <w:r>
        <w:rPr>
          <w:rFonts w:hint="eastAsia" w:ascii="宋体" w:hAnsi="宋体" w:cs="宋体"/>
          <w:sz w:val="22"/>
          <w:szCs w:val="22"/>
          <w:u w:val="single"/>
        </w:rPr>
        <w:t xml:space="preserve">发包人认定的范围</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w:t>
      </w:r>
      <w:bookmarkStart w:id="268" w:name="_Toc312677990"/>
      <w:r/>
      <w:bookmarkStart w:id="269" w:name="_Toc318581159"/>
      <w:r>
        <w:rPr>
          <w:rFonts w:hint="eastAsia" w:ascii="宋体" w:hAnsi="宋体" w:cs="宋体"/>
          <w:sz w:val="22"/>
          <w:szCs w:val="22"/>
        </w:rPr>
        <w:t xml:space="preserve">.5.2分包的确定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允许分包的专业工程包括：</w:t>
      </w:r>
      <w:r>
        <w:rPr>
          <w:rFonts w:hint="eastAsia" w:ascii="宋体" w:hAnsi="宋体" w:cs="宋体"/>
          <w:sz w:val="22"/>
          <w:szCs w:val="22"/>
          <w:u w:val="single"/>
        </w:rPr>
        <w:t xml:space="preserve">除主体结构、关键性工作等法律、法规规定必须由承包人完成的工程外；具体由发承双方根据建设内容确定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其他关于分包的约定：</w:t>
      </w:r>
      <w:r>
        <w:rPr>
          <w:rFonts w:hint="eastAsia" w:ascii="宋体" w:hAnsi="宋体" w:cs="宋体"/>
          <w:sz w:val="22"/>
          <w:szCs w:val="22"/>
          <w:u w:val="single"/>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3.5.4 分包合同价款</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关于分包合同价款支付的约定：</w:t>
      </w:r>
      <w:r>
        <w:rPr>
          <w:rFonts w:hint="eastAsia" w:ascii="宋体" w:hAnsi="宋体" w:cs="宋体"/>
          <w:sz w:val="22"/>
          <w:szCs w:val="22"/>
          <w:u w:val="single"/>
        </w:rPr>
        <w:t xml:space="preserve">分包合同价款由承包人与分包人结算</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68"/>
      <w:r/>
      <w:bookmarkEnd w:id="269"/>
      <w:r>
        <w:rPr>
          <w:rFonts w:hint="eastAsia" w:ascii="宋体" w:hAnsi="宋体" w:cs="宋体"/>
          <w:sz w:val="22"/>
          <w:szCs w:val="22"/>
        </w:rPr>
        <w:t xml:space="preserve">3.6 工程照管与成品、半成品保护</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承包人负责照管工程及工程相关的材料、工程设备的起始时间：</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3.7履约担保</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承包人是否提供履约担保：</w:t>
      </w:r>
      <w:r>
        <w:rPr>
          <w:rFonts w:hint="eastAsia" w:ascii="宋体" w:hAnsi="宋体" w:cs="宋体"/>
          <w:sz w:val="22"/>
          <w:szCs w:val="22"/>
          <w:u w:val="single"/>
        </w:rPr>
        <w:t xml:space="preserve">是；提供履约保证金</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承包人提供履约担保的形式、金额及期限的：</w:t>
      </w:r>
      <w:r>
        <w:rPr>
          <w:rFonts w:hint="eastAsia" w:ascii="宋体" w:hAnsi="宋体" w:cs="宋体"/>
          <w:sz w:val="22"/>
          <w:szCs w:val="22"/>
          <w:u w:val="single"/>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bookmarkStart w:id="270" w:name="_Toc28199"/>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4</w:t>
      </w:r>
      <w:bookmarkStart w:id="271" w:name="_Toc267251413"/>
      <w:r/>
      <w:bookmarkStart w:id="272" w:name="_Toc296503162"/>
      <w:r/>
      <w:bookmarkStart w:id="273" w:name="_Toc292559871"/>
      <w:r/>
      <w:bookmarkStart w:id="274" w:name="_Toc297120462"/>
      <w:r/>
      <w:bookmarkStart w:id="275" w:name="_Toc296347161"/>
      <w:r/>
      <w:bookmarkStart w:id="276" w:name="_Toc296890990"/>
      <w:r/>
      <w:bookmarkStart w:id="277" w:name="_Toc297048348"/>
      <w:r/>
      <w:bookmarkStart w:id="278" w:name="_Toc292559366"/>
      <w:r/>
      <w:bookmarkStart w:id="279" w:name="_Toc296891202"/>
      <w:r/>
      <w:bookmarkStart w:id="280" w:name="_Toc296346663"/>
      <w:r/>
      <w:bookmarkStart w:id="281" w:name="_Toc296944501"/>
      <w:r>
        <w:rPr>
          <w:rFonts w:hint="eastAsia" w:ascii="宋体" w:hAnsi="宋体" w:cs="宋体"/>
          <w:sz w:val="22"/>
          <w:szCs w:val="22"/>
        </w:rPr>
        <w:t xml:space="preserve">. 监</w:t>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s="宋体"/>
          <w:sz w:val="22"/>
          <w:szCs w:val="22"/>
        </w:rPr>
        <w:t xml:space="preserve">理人</w:t>
      </w:r>
      <w:bookmarkEnd w:id="270"/>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4.1监理人的一般规定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关于监理人的监理内容：</w:t>
      </w:r>
      <w:r>
        <w:rPr>
          <w:rFonts w:hint="eastAsia" w:ascii="宋体" w:hAnsi="宋体" w:cs="宋体"/>
          <w:sz w:val="22"/>
          <w:szCs w:val="22"/>
          <w:u w:val="single"/>
        </w:rPr>
        <w:t xml:space="preserve">承担全过程监理工作。包括工程进度、质量、造价控制，安全文明生产管理、合同管理，现场组织协调等</w:t>
      </w:r>
      <w:r>
        <w:rPr>
          <w:rFonts w:hint="eastAsia" w:ascii="宋体" w:hAnsi="宋体" w:cs="宋体"/>
          <w:sz w:val="22"/>
          <w:szCs w:val="22"/>
        </w:rPr>
        <w:t xml:space="preserve">。</w:t>
      </w:r>
      <w:r>
        <w:rPr>
          <w:rFonts w:hint="eastAsia" w:ascii="宋体" w:hAnsi="宋体" w:cs="宋体"/>
          <w:sz w:val="22"/>
          <w:szCs w:val="22"/>
        </w:rPr>
      </w:r>
      <w:r/>
    </w:p>
    <w:p>
      <w:pPr>
        <w:pStyle w:val="733"/>
        <w:ind w:left="-420" w:right="-420" w:firstLine="440"/>
        <w:spacing w:line="400" w:lineRule="exact"/>
        <w:rPr>
          <w:rFonts w:hint="eastAsia" w:ascii="宋体" w:hAnsi="宋体" w:cs="宋体"/>
          <w:sz w:val="22"/>
        </w:rPr>
      </w:pPr>
      <w:r>
        <w:rPr>
          <w:rFonts w:hint="eastAsia" w:ascii="宋体" w:hAnsi="宋体" w:cs="宋体"/>
          <w:sz w:val="22"/>
        </w:rPr>
        <w:t xml:space="preserve">关于监理人的监理权限：</w:t>
      </w:r>
      <w:r>
        <w:rPr>
          <w:rFonts w:hint="eastAsia" w:ascii="宋体" w:hAnsi="宋体" w:cs="宋体"/>
          <w:sz w:val="22"/>
          <w:u w:val="single"/>
        </w:rPr>
        <w:t xml:space="preserve">监理人应当根据发包人授权及法律规定，代表发包人对工程施工相关事项进行检查、查验、审核、验收，并签发相关指令，但监理人无权修改合同，且无权减轻或免除合同约定的承包人的如何责任与义务；1就工程建设有关事项包括工程规模、设计</w:t>
      </w:r>
      <w:r>
        <w:rPr>
          <w:rFonts w:hint="eastAsia" w:ascii="宋体" w:hAnsi="宋体" w:cs="宋体"/>
          <w:sz w:val="22"/>
          <w:u w:val="single"/>
        </w:rPr>
        <w:t xml:space="preserve">标准、使用要求等，对发包人的建议权。2.对工程结构设计和其它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Fonts w:hint="eastAsia" w:ascii="宋体" w:hAnsi="宋体" w:cs="宋体"/>
          <w:sz w:val="22"/>
        </w:rPr>
        <w:t xml:space="preserve">。</w:t>
      </w:r>
      <w:r>
        <w:rPr>
          <w:rFonts w:hint="eastAsia" w:ascii="宋体" w:hAnsi="宋体" w:cs="宋体"/>
          <w:sz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关于监理人在施工现场的办公场所、生活场所的提供和费用承担的约定：由监理人承担。</w:t>
      </w:r>
      <w:r>
        <w:rPr>
          <w:rFonts w:hint="eastAsia" w:ascii="宋体" w:hAnsi="宋体" w:cs="宋体"/>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4.2监理人员</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总监理工程师：</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姓    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职    务：</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监理工程师执业资格证书号</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联系电话：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关于监理人的其他约定：</w:t>
      </w:r>
      <w:r>
        <w:rPr>
          <w:rFonts w:hint="eastAsia" w:ascii="宋体" w:hAnsi="宋体" w:cs="宋体"/>
          <w:color w:val="000000"/>
          <w:sz w:val="22"/>
          <w:szCs w:val="22"/>
          <w:u w:val="single"/>
        </w:rPr>
        <w:t xml:space="preserve">根据工程建设情况，由发包人确定</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sz w:val="22"/>
          <w:szCs w:val="22"/>
        </w:rPr>
      </w:pPr>
      <w:r/>
      <w:bookmarkStart w:id="282" w:name="_Toc351203530"/>
      <w:r>
        <w:rPr>
          <w:rFonts w:hint="eastAsia" w:ascii="宋体" w:hAnsi="宋体" w:cs="宋体"/>
          <w:color w:val="000000"/>
          <w:sz w:val="22"/>
          <w:szCs w:val="22"/>
        </w:rPr>
        <w:t xml:space="preserve">4</w:t>
      </w:r>
      <w:bookmarkStart w:id="283" w:name="_Toc296346556"/>
      <w:r/>
      <w:bookmarkStart w:id="284" w:name="_Toc296503055"/>
      <w:r/>
      <w:bookmarkStart w:id="285" w:name="_Toc337558756"/>
      <w:r>
        <w:rPr>
          <w:rFonts w:hint="eastAsia" w:ascii="宋体" w:hAnsi="宋体" w:cs="宋体"/>
          <w:color w:val="000000"/>
          <w:sz w:val="22"/>
          <w:szCs w:val="22"/>
        </w:rPr>
        <w:t xml:space="preserve">.3</w:t>
      </w:r>
      <w:bookmarkEnd w:id="283"/>
      <w:r/>
      <w:bookmarkEnd w:id="284"/>
      <w:r>
        <w:rPr>
          <w:rFonts w:hint="eastAsia" w:ascii="宋体" w:hAnsi="宋体" w:cs="宋体"/>
          <w:color w:val="000000"/>
          <w:sz w:val="22"/>
          <w:szCs w:val="22"/>
        </w:rPr>
        <w:t xml:space="preserve">监理人的指</w:t>
      </w:r>
      <w:bookmarkEnd w:id="285"/>
      <w:r>
        <w:rPr>
          <w:rFonts w:hint="eastAsia" w:ascii="宋体" w:hAnsi="宋体" w:cs="宋体"/>
          <w:color w:val="000000"/>
          <w:sz w:val="22"/>
          <w:szCs w:val="22"/>
        </w:rPr>
        <w:t xml:space="preserve">示</w:t>
      </w:r>
      <w:bookmarkEnd w:id="282"/>
      <w:r>
        <w:rPr>
          <w:rFonts w:hint="eastAsia" w:ascii="宋体" w:hAnsi="宋体" w:cs="宋体"/>
          <w:color w:val="000000"/>
          <w:sz w:val="22"/>
          <w:szCs w:val="22"/>
        </w:rPr>
        <w:t xml:space="preserve">：</w:t>
      </w:r>
      <w:r>
        <w:rPr>
          <w:rFonts w:hint="eastAsia" w:ascii="宋体" w:hAnsi="宋体" w:cs="宋体"/>
          <w:color w:val="000000"/>
          <w:sz w:val="22"/>
          <w:szCs w:val="22"/>
          <w:u w:val="single"/>
        </w:rPr>
        <w:t xml:space="preserve">监理人应按照发包人的授权发出监理指示；因监理人未能按合同约定发出指示、</w:t>
      </w:r>
      <w:r>
        <w:rPr>
          <w:rFonts w:hint="eastAsia" w:ascii="宋体" w:hAnsi="宋体" w:cs="宋体"/>
          <w:sz w:val="22"/>
          <w:szCs w:val="22"/>
          <w:u w:val="single"/>
        </w:rPr>
        <w:t xml:space="preserve">指示延误或发出了错误指示而导致承包人费用增加和（或）工期延误的，由监理人承担相应责任</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4.4 商定或确定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在发包人和承包人不能通过协商达成一致意见时，发包人授权监理人对以下事项进行确定：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u w:val="single"/>
        </w:rPr>
        <w:t xml:space="preserve">按通用条款执行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 工程质量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5.1 质量要求</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5.1.1 特殊质量标准和要求：</w:t>
      </w:r>
      <w:r>
        <w:rPr>
          <w:rFonts w:hint="eastAsia" w:ascii="宋体" w:hAnsi="宋体" w:cs="宋体"/>
          <w:sz w:val="22"/>
          <w:szCs w:val="22"/>
          <w:u w:val="single"/>
        </w:rPr>
        <w:t xml:space="preserve">根据工程建设内容确定，当各个标准有不一致之处，以发包人选定的较高标准为准 </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关于工程奖项的约定：</w:t>
      </w:r>
      <w:r>
        <w:rPr>
          <w:rFonts w:hint="eastAsia" w:ascii="宋体" w:hAnsi="宋体" w:cs="宋体"/>
          <w:sz w:val="22"/>
          <w:szCs w:val="22"/>
          <w:u w:val="single"/>
        </w:rPr>
        <w:t xml:space="preserve">   /   </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bookmarkStart w:id="286" w:name="_Toc351203534"/>
      <w:r>
        <w:rPr>
          <w:rFonts w:hint="eastAsia" w:ascii="宋体" w:hAnsi="宋体" w:cs="宋体"/>
          <w:sz w:val="22"/>
          <w:szCs w:val="22"/>
        </w:rPr>
        <w:t xml:space="preserve">5</w:t>
      </w:r>
      <w:bookmarkStart w:id="287" w:name="_Toc337558760"/>
      <w:r>
        <w:rPr>
          <w:rFonts w:hint="eastAsia" w:ascii="宋体" w:hAnsi="宋体" w:cs="宋体"/>
          <w:sz w:val="22"/>
          <w:szCs w:val="22"/>
        </w:rPr>
        <w:t xml:space="preserve">.2质量保证措施</w:t>
      </w:r>
      <w:bookmarkEnd w:id="286"/>
      <w:r/>
      <w:bookmarkEnd w:id="287"/>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5.2.3 </w:t>
      </w:r>
      <w:r>
        <w:rPr>
          <w:rFonts w:hint="eastAsia" w:ascii="宋体" w:hAnsi="宋体" w:cs="宋体"/>
          <w:sz w:val="22"/>
          <w:szCs w:val="22"/>
          <w:u w:val="singl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5.3 隐蔽工程检查</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5.3.2承包人提前通知监理人隐蔽工程检查的期限的约定：</w:t>
      </w:r>
      <w:r>
        <w:rPr>
          <w:rFonts w:hint="eastAsia" w:ascii="宋体" w:hAnsi="宋体" w:cs="宋体"/>
          <w:sz w:val="22"/>
          <w:szCs w:val="22"/>
          <w:u w:val="single"/>
        </w:rPr>
        <w:t xml:space="preserve">按通用合同条款执行；监理人不能按时进行检查时，应提前24小时提交书面延期要求；关于延期最长不得超过48小时</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5.4不合格工程的处理</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5.4.1 </w:t>
      </w:r>
      <w:r>
        <w:rPr>
          <w:rFonts w:hint="eastAsia" w:ascii="宋体" w:hAnsi="宋体" w:cs="宋体"/>
          <w:sz w:val="22"/>
          <w:szCs w:val="22"/>
          <w:u w:val="single"/>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处罚金上限不超过工程合同价的20% ；在此范围，由发包人根据具体情况对承包人进行处罚；此处罚金的支付并不能解除承包人应完成工程的责任（不免除承包人继续完成工程及修补缺陷的义务）或本合同规定的其他责任</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 安全文明施工与环境保护</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6.1安全文明施工</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6.1.1 项目安全生产的达标目标及相应事项的约定：</w:t>
      </w:r>
      <w:r>
        <w:rPr>
          <w:rFonts w:hint="eastAsia" w:ascii="宋体" w:hAnsi="宋体" w:cs="宋体"/>
          <w:sz w:val="22"/>
          <w:szCs w:val="22"/>
          <w:u w:val="single"/>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6.1.4 关于治安保卫的特别约定：</w:t>
      </w:r>
      <w:r>
        <w:rPr>
          <w:rFonts w:hint="eastAsia" w:ascii="宋体" w:hAnsi="宋体" w:cs="宋体"/>
          <w:sz w:val="22"/>
          <w:szCs w:val="22"/>
          <w:u w:val="single"/>
        </w:rPr>
        <w:t xml:space="preserve">承包人负责并承担相应费用，施工现场建立治安管理机构，统一管理施工场地的治安保卫事项，履约治安保卫职责</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关于编制施工场地治安管理计划的约定：</w:t>
      </w:r>
      <w:r>
        <w:rPr>
          <w:rFonts w:hint="eastAsia" w:ascii="宋体" w:hAnsi="宋体" w:cs="宋体"/>
          <w:sz w:val="22"/>
          <w:szCs w:val="22"/>
          <w:u w:val="single"/>
        </w:rPr>
        <w:t xml:space="preserve">承包人负责并承担相应费用；编制施工场地治安管理计划，指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6.1.5 文明施工</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合同当事人对文明施工的要求：</w:t>
      </w:r>
      <w:r>
        <w:rPr>
          <w:rFonts w:hint="eastAsia" w:ascii="宋体" w:hAnsi="宋体" w:cs="宋体"/>
          <w:sz w:val="22"/>
          <w:szCs w:val="22"/>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6.1.6 关于安全文明施工费支付比例和支付期限的约定：</w:t>
      </w:r>
      <w:r>
        <w:rPr>
          <w:rFonts w:hint="eastAsia" w:ascii="宋体" w:hAnsi="宋体" w:cs="宋体"/>
          <w:sz w:val="22"/>
          <w:szCs w:val="22"/>
          <w:u w:val="single"/>
        </w:rPr>
        <w:t xml:space="preserve">已含在投标报价及签约合同价中，按照合同约定付款节点进行支付</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 工期和进度</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7.1 施工组织设计</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7.1.1 合同当事人约定的施工组织设计应包括的其他内容：</w:t>
      </w:r>
      <w:r>
        <w:rPr>
          <w:rFonts w:hint="eastAsia" w:ascii="宋体" w:hAnsi="宋体" w:cs="宋体"/>
          <w:sz w:val="22"/>
          <w:szCs w:val="22"/>
          <w:u w:val="single"/>
        </w:rPr>
        <w:t xml:space="preserve">发包人根据工程建设内容确定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7.1.2 施工组织设计的提交和修改</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承包人提交详细施工组织设计的期限的约定：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发包人和监理人在收到详细的施工组织设计后确认或提出修改意见的期限：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7.2 施工进度计划</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7.2.2 施工进度计划的修订</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发包人和监理人在收到修订的施工进度计划后确认或提出修改意见的期限：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7.3 开工</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7.3.1 开工准备</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关于承包人提交工程开工报审表的期限：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关于发包人应完成的其他开工准备工作及期限：</w:t>
      </w:r>
      <w:r>
        <w:rPr>
          <w:rFonts w:hint="eastAsia" w:ascii="宋体" w:hAnsi="宋体" w:cs="宋体"/>
          <w:sz w:val="22"/>
          <w:szCs w:val="22"/>
          <w:u w:val="single"/>
        </w:rPr>
        <w:t xml:space="preserve">按施工现场具体情况确定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关于承包人应完成的其他开工准备工作及期限：发包人按施工现场具体情况确定。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7.3.2开工通知</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因发包人原因造成监理人未能在计划开工日期之日起</w:t>
      </w:r>
      <w:r>
        <w:rPr>
          <w:rFonts w:hint="eastAsia" w:ascii="宋体" w:hAnsi="宋体" w:cs="宋体"/>
          <w:sz w:val="22"/>
          <w:szCs w:val="22"/>
          <w:u w:val="single"/>
        </w:rPr>
        <w:t xml:space="preserve">360</w:t>
      </w:r>
      <w:r>
        <w:rPr>
          <w:rFonts w:hint="eastAsia" w:ascii="宋体" w:hAnsi="宋体" w:cs="宋体"/>
          <w:sz w:val="22"/>
          <w:szCs w:val="22"/>
        </w:rPr>
        <w:t xml:space="preserve">天内发出开工通知的，承包人有权提出价格调整要求，或者解除合同。</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7.4 测量放线</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7.4.1发包人通过监理人向承包人提供测量基准点、基准线和水准点及其书面资料的期限：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7.5 工期延误</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7.5.1 因发包人原因导致工期延误：</w:t>
      </w:r>
      <w:r>
        <w:rPr>
          <w:rFonts w:hint="eastAsia" w:ascii="宋体" w:hAnsi="宋体" w:cs="宋体"/>
          <w:sz w:val="22"/>
          <w:szCs w:val="22"/>
          <w:u w:val="single"/>
        </w:rPr>
        <w:t xml:space="preserve">因发包人原因造成承包人不能按时开工的，开竣工日期相应顺延，发包人不承担工期费用（利润）索赔；此条款包含因发包人原因导致工期延误的所有事项</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7.5.2 因承包人原因导致工期延误</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因承包人原因造成工期延误，逾期竣工违约金的计算方法为：</w:t>
      </w:r>
      <w:r>
        <w:rPr>
          <w:rFonts w:hint="eastAsia" w:ascii="宋体" w:hAnsi="宋体" w:cs="宋体"/>
          <w:sz w:val="22"/>
          <w:szCs w:val="22"/>
          <w:u w:val="single"/>
        </w:rPr>
        <w:t xml:space="preserve">承包人未按本合同协议书部分约定的工期节点（或开工通知中载明的开工、竣工日期）完成工程建设的，承包人应向发包人支付违约金（按人民币10000元/天计算），此违约金的支付并不能解除承包人应完成工程的责任（不免除承包人继续完成工程及修补缺陷的义务）或本合同规定的其他责任，并且发包人有权将未完成项目重新发包，由此发生的费用由承包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因承包人原因造成工期延误，逾期竣工违约金的上限：</w:t>
      </w:r>
      <w:r>
        <w:rPr>
          <w:rFonts w:hint="eastAsia" w:ascii="宋体" w:hAnsi="宋体" w:cs="宋体"/>
          <w:sz w:val="22"/>
          <w:szCs w:val="22"/>
          <w:u w:val="single"/>
        </w:rPr>
        <w:t xml:space="preserve">逾期竣工违约金上限不超出工程中标价的20% </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7.6 不利物质条件</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288" w:name="_Toc300934972"/>
      <w:r/>
      <w:bookmarkStart w:id="289" w:name="_Toc318581172"/>
      <w:r/>
      <w:bookmarkStart w:id="290" w:name="_Toc297123520"/>
      <w:r/>
      <w:bookmarkStart w:id="291" w:name="_Toc304295550"/>
      <w:r/>
      <w:bookmarkStart w:id="292" w:name="_Toc303539129"/>
      <w:r/>
      <w:bookmarkStart w:id="293" w:name="_Toc312678016"/>
      <w:r/>
      <w:bookmarkStart w:id="294" w:name="_Toc297216179"/>
      <w:r>
        <w:rPr>
          <w:rFonts w:hint="eastAsia" w:ascii="宋体" w:hAnsi="宋体" w:cs="宋体"/>
          <w:sz w:val="22"/>
          <w:szCs w:val="22"/>
        </w:rPr>
        <w:t xml:space="preserve">不利物质条件的其他情形：</w:t>
      </w:r>
      <w:r>
        <w:rPr>
          <w:rFonts w:hint="eastAsia" w:ascii="宋体" w:hAnsi="宋体" w:cs="宋体"/>
          <w:sz w:val="22"/>
          <w:szCs w:val="22"/>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承包人因采取合理措施而增加的费用和（或）延误的工期约定：</w:t>
      </w:r>
      <w:r>
        <w:rPr>
          <w:rFonts w:hint="eastAsia" w:ascii="宋体" w:hAnsi="宋体" w:cs="宋体"/>
          <w:sz w:val="22"/>
          <w:szCs w:val="22"/>
          <w:u w:val="single"/>
        </w:rPr>
        <w:t xml:space="preserve">开竣工日期相应顺延，发包人不承担相应费用</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88"/>
      <w:r/>
      <w:bookmarkEnd w:id="289"/>
      <w:r/>
      <w:bookmarkEnd w:id="290"/>
      <w:r/>
      <w:bookmarkEnd w:id="291"/>
      <w:r/>
      <w:bookmarkEnd w:id="292"/>
      <w:r/>
      <w:bookmarkEnd w:id="293"/>
      <w:r/>
      <w:bookmarkEnd w:id="294"/>
      <w:r>
        <w:rPr>
          <w:rFonts w:hint="eastAsia" w:ascii="宋体" w:hAnsi="宋体" w:cs="宋体"/>
          <w:sz w:val="22"/>
          <w:szCs w:val="22"/>
        </w:rPr>
        <w:t xml:space="preserve">7.7异常恶劣的气候条件</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发包人和承包人同意以下情形视为异常恶劣的气候条件：</w:t>
      </w:r>
      <w:r>
        <w:rPr>
          <w:rFonts w:hint="eastAsia" w:ascii="宋体" w:hAnsi="宋体" w:cs="宋体"/>
          <w:sz w:val="22"/>
          <w:szCs w:val="22"/>
          <w:u w:val="single"/>
        </w:rPr>
        <w:t xml:space="preserve">（1）国家和工程所在地对异常恶劣气候条件有关规定执行；（2）根据沭阳县历史气象资料中的气象数据，由发包人、承包人、监理人共同认定为异常恶劣的气候</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承包人因采取合理措施而增加的费用和（或）延误的工期约定：</w:t>
      </w:r>
      <w:r>
        <w:rPr>
          <w:rFonts w:hint="eastAsia" w:ascii="宋体" w:hAnsi="宋体" w:cs="宋体"/>
          <w:sz w:val="22"/>
          <w:szCs w:val="22"/>
          <w:u w:val="single"/>
        </w:rPr>
        <w:t xml:space="preserve">开竣工日期相应顺延，发包人不承担相应费用</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295" w:name="_Toc29695"/>
      <w:r>
        <w:rPr>
          <w:rFonts w:hint="eastAsia" w:ascii="宋体" w:hAnsi="宋体" w:cs="宋体"/>
          <w:sz w:val="22"/>
          <w:szCs w:val="22"/>
        </w:rPr>
        <w:t xml:space="preserve">7</w:t>
      </w:r>
      <w:bookmarkStart w:id="296" w:name="_Toc337558775"/>
      <w:r>
        <w:rPr>
          <w:rFonts w:hint="eastAsia" w:ascii="宋体" w:hAnsi="宋体" w:cs="宋体"/>
          <w:sz w:val="22"/>
          <w:szCs w:val="22"/>
        </w:rPr>
        <w:t xml:space="preserve">.8 暂停施工</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96"/>
      <w:r>
        <w:rPr>
          <w:rFonts w:hint="eastAsia" w:ascii="宋体" w:hAnsi="宋体" w:cs="宋体"/>
          <w:sz w:val="22"/>
          <w:szCs w:val="22"/>
        </w:rPr>
        <w:t xml:space="preserve">7.8.1发包人原因引起的暂停施工：</w:t>
      </w:r>
      <w:r>
        <w:rPr>
          <w:rFonts w:hint="eastAsia" w:ascii="宋体" w:hAnsi="宋体" w:cs="宋体"/>
          <w:sz w:val="22"/>
          <w:szCs w:val="22"/>
          <w:u w:val="single"/>
        </w:rPr>
        <w:t xml:space="preserve">监理人经发包人同意后，应及时下达暂停施工指；开竣工日期相应顺延,发包人不承担相应费用</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7.8.2 承包人原因引起的暂停施工:</w:t>
      </w:r>
      <w:r>
        <w:rPr>
          <w:rFonts w:hint="eastAsia" w:ascii="宋体" w:hAnsi="宋体" w:cs="宋体"/>
          <w:sz w:val="22"/>
          <w:szCs w:val="22"/>
          <w:u w:val="single"/>
        </w:rPr>
        <w:t xml:space="preserve">承包人承担由此增加的费用和（或）延误的工期</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7.8.5暂停施工后的复工：</w:t>
      </w:r>
      <w:r>
        <w:rPr>
          <w:rFonts w:hint="eastAsia" w:ascii="宋体" w:hAnsi="宋体" w:cs="宋体"/>
          <w:sz w:val="22"/>
          <w:szCs w:val="22"/>
          <w:u w:val="single"/>
        </w:rPr>
        <w:t xml:space="preserve">当工程具备复工条件时，监理人应经发包人批准后向承包人发出复工通知，承包人应按照复工通知要求复工；承包人无故拖延和拒绝复工的，承包人承担由此增加的费用和（或）延误的工期</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7.8.6 暂停施工持续84天以上</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u w:val="single"/>
        </w:rPr>
        <w:t xml:space="preserve">暂停施工持续84天以上不复工的，除该项停工属于第7.8.2项〔承包人原因引起的暂停施工〕及第17条〔不可抗力〕约定的情形外，并影响到整个工程以及合同目的实现的，发承双方可就施工问题商定、确定相关方案</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7.9 提前竣工的奖励</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7.9.2提前竣工的奖励：</w:t>
      </w:r>
      <w:r>
        <w:rPr>
          <w:rFonts w:hint="eastAsia" w:ascii="宋体" w:hAnsi="宋体" w:cs="宋体"/>
          <w:sz w:val="22"/>
          <w:szCs w:val="22"/>
          <w:u w:val="single"/>
        </w:rPr>
        <w:t xml:space="preserve">无提前竣工奖励</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95"/>
      <w:r/>
      <w:bookmarkStart w:id="297" w:name="_Toc296346664"/>
      <w:r/>
      <w:bookmarkStart w:id="298" w:name="_Toc297048349"/>
      <w:r/>
      <w:bookmarkStart w:id="299" w:name="_Toc296891203"/>
      <w:r/>
      <w:bookmarkStart w:id="300" w:name="_Toc292559367"/>
      <w:r/>
      <w:bookmarkStart w:id="301" w:name="_Toc296944502"/>
      <w:r/>
      <w:bookmarkStart w:id="302" w:name="_Toc292559872"/>
      <w:r/>
      <w:bookmarkStart w:id="303" w:name="_Toc296503163"/>
      <w:r/>
      <w:bookmarkStart w:id="304" w:name="_Toc296347162"/>
      <w:r/>
      <w:bookmarkStart w:id="305" w:name="_Toc7551"/>
      <w:r/>
      <w:bookmarkStart w:id="306" w:name="_Toc296890991"/>
      <w:r/>
      <w:bookmarkStart w:id="307" w:name="_Toc297120463"/>
      <w:r>
        <w:rPr>
          <w:rFonts w:hint="eastAsia" w:ascii="宋体" w:hAnsi="宋体" w:cs="宋体"/>
          <w:sz w:val="22"/>
          <w:szCs w:val="22"/>
        </w:rPr>
        <w:t xml:space="preserve">8. 材料与设备</w:t>
      </w:r>
      <w:bookmarkEnd w:id="305"/>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297"/>
      <w:r/>
      <w:bookmarkEnd w:id="298"/>
      <w:r/>
      <w:bookmarkEnd w:id="299"/>
      <w:r/>
      <w:bookmarkEnd w:id="300"/>
      <w:r/>
      <w:bookmarkEnd w:id="301"/>
      <w:r/>
      <w:bookmarkEnd w:id="302"/>
      <w:r/>
      <w:bookmarkEnd w:id="303"/>
      <w:r/>
      <w:bookmarkEnd w:id="304"/>
      <w:r/>
      <w:bookmarkEnd w:id="306"/>
      <w:r/>
      <w:bookmarkEnd w:id="307"/>
      <w:r>
        <w:rPr>
          <w:rFonts w:hint="eastAsia" w:ascii="宋体" w:hAnsi="宋体" w:cs="宋体"/>
          <w:sz w:val="22"/>
          <w:szCs w:val="22"/>
        </w:rPr>
        <w:t xml:space="preserve">8</w:t>
      </w:r>
      <w:bookmarkStart w:id="308" w:name="_Toc296503167"/>
      <w:r/>
      <w:bookmarkStart w:id="309" w:name="_Toc312678019"/>
      <w:r/>
      <w:bookmarkStart w:id="310" w:name="_Toc297120467"/>
      <w:r/>
      <w:bookmarkStart w:id="311" w:name="_Toc292559877"/>
      <w:r/>
      <w:bookmarkStart w:id="312" w:name="_Toc296891207"/>
      <w:r/>
      <w:bookmarkStart w:id="313" w:name="_Toc300934979"/>
      <w:r/>
      <w:bookmarkStart w:id="314" w:name="_Toc296890995"/>
      <w:r/>
      <w:bookmarkStart w:id="315" w:name="_Toc296347166"/>
      <w:r/>
      <w:bookmarkStart w:id="316" w:name="_Toc297216186"/>
      <w:r/>
      <w:bookmarkStart w:id="317" w:name="_Toc297123527"/>
      <w:r/>
      <w:bookmarkStart w:id="318" w:name="_Toc296346668"/>
      <w:r/>
      <w:bookmarkStart w:id="319" w:name="_Toc303539136"/>
      <w:r/>
      <w:bookmarkStart w:id="320" w:name="_Toc304295556"/>
      <w:r/>
      <w:bookmarkStart w:id="321" w:name="_Toc296944506"/>
      <w:r/>
      <w:bookmarkStart w:id="322" w:name="_Toc280868656"/>
      <w:r/>
      <w:bookmarkStart w:id="323" w:name="_Toc280868655"/>
      <w:r/>
      <w:bookmarkStart w:id="324" w:name="_Toc267251424"/>
      <w:r/>
      <w:bookmarkStart w:id="325" w:name="_Toc297048353"/>
      <w:r/>
      <w:bookmarkStart w:id="326" w:name="_Toc292559372"/>
      <w:r/>
      <w:bookmarkStart w:id="327" w:name="_Toc312677493"/>
      <w:r/>
      <w:bookmarkStart w:id="328" w:name="_Toc280868654"/>
      <w:r>
        <w:rPr>
          <w:rFonts w:hint="eastAsia" w:ascii="宋体" w:hAnsi="宋体" w:cs="宋体"/>
          <w:sz w:val="22"/>
          <w:szCs w:val="22"/>
        </w:rPr>
        <w:t xml:space="preserve">.4 材料与工程设备的保管与使用</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5"/>
      <w:r/>
      <w:bookmarkEnd w:id="326"/>
      <w:r/>
      <w:bookmarkEnd w:id="327"/>
      <w:r/>
      <w:bookmarkEnd w:id="328"/>
      <w:r>
        <w:rPr>
          <w:rFonts w:hint="eastAsia" w:ascii="宋体" w:hAnsi="宋体" w:cs="宋体"/>
          <w:sz w:val="22"/>
          <w:szCs w:val="22"/>
        </w:rPr>
        <w:t xml:space="preserve">8</w:t>
      </w:r>
      <w:bookmarkStart w:id="329" w:name="_Toc297123528"/>
      <w:r/>
      <w:bookmarkStart w:id="330" w:name="_Toc318581173"/>
      <w:r/>
      <w:bookmarkStart w:id="331" w:name="_Toc297120468"/>
      <w:r/>
      <w:bookmarkStart w:id="332" w:name="_Toc296944507"/>
      <w:r/>
      <w:bookmarkStart w:id="333" w:name="_Toc296346669"/>
      <w:r/>
      <w:bookmarkStart w:id="334" w:name="_Toc297048354"/>
      <w:r/>
      <w:bookmarkStart w:id="335" w:name="_Toc296347167"/>
      <w:r/>
      <w:bookmarkStart w:id="336" w:name="_Toc312677494"/>
      <w:r/>
      <w:bookmarkStart w:id="337" w:name="_Toc297216187"/>
      <w:r/>
      <w:bookmarkStart w:id="338" w:name="_Toc300934980"/>
      <w:r/>
      <w:bookmarkStart w:id="339" w:name="_Toc296891208"/>
      <w:r/>
      <w:bookmarkStart w:id="340" w:name="_Toc303539137"/>
      <w:r/>
      <w:bookmarkStart w:id="341" w:name="_Toc292559878"/>
      <w:r/>
      <w:bookmarkStart w:id="342" w:name="_Toc292559373"/>
      <w:r/>
      <w:bookmarkStart w:id="343" w:name="_Toc304295557"/>
      <w:r/>
      <w:bookmarkStart w:id="344" w:name="_Toc296503168"/>
      <w:r/>
      <w:bookmarkStart w:id="345" w:name="_Toc296890996"/>
      <w:r/>
      <w:bookmarkStart w:id="346" w:name="_Toc312678020"/>
      <w:r>
        <w:rPr>
          <w:rFonts w:hint="eastAsia" w:ascii="宋体" w:hAnsi="宋体" w:cs="宋体"/>
          <w:sz w:val="22"/>
          <w:szCs w:val="22"/>
        </w:rPr>
        <w:t xml:space="preserve">.4.1发包人供应的材料设备的保管费用的承担：</w:t>
      </w:r>
      <w:r>
        <w:rPr>
          <w:rFonts w:hint="eastAsia" w:ascii="宋体" w:hAnsi="宋体" w:cs="宋体"/>
          <w:sz w:val="22"/>
          <w:szCs w:val="22"/>
          <w:u w:val="single"/>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341"/>
      <w:r/>
      <w:bookmarkEnd w:id="342"/>
      <w:r>
        <w:rPr>
          <w:rFonts w:hint="eastAsia" w:ascii="宋体" w:hAnsi="宋体" w:cs="宋体"/>
          <w:sz w:val="22"/>
          <w:szCs w:val="22"/>
        </w:rPr>
        <w:t xml:space="preserve">8.6 样品</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8.6.1 样品的报送与封存</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需要承包人报送样品的材料或工程设备，样品的种类、名称、规格、数量要求：</w:t>
      </w:r>
      <w:r>
        <w:rPr>
          <w:rFonts w:hint="eastAsia" w:ascii="宋体" w:hAnsi="宋体" w:cs="宋体"/>
          <w:sz w:val="22"/>
          <w:szCs w:val="22"/>
          <w:u w:val="single"/>
        </w:rPr>
        <w:t xml:space="preserve">由发包人按《主要材料（设备）明细表》和工程具体建设内容确定，报送程序按通用条款执行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347" w:name="_Toc2018"/>
      <w:r>
        <w:rPr>
          <w:rFonts w:hint="eastAsia" w:ascii="宋体" w:hAnsi="宋体" w:cs="宋体"/>
          <w:sz w:val="22"/>
          <w:szCs w:val="22"/>
        </w:rPr>
        <w:t xml:space="preserve">8.8 施工设备和临时设施</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8.8.1 承包人提供的施工设备和临时设施</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关于修建临时设施费用承担的约定：</w:t>
      </w:r>
      <w:r>
        <w:rPr>
          <w:rFonts w:hint="eastAsia" w:ascii="宋体" w:hAnsi="宋体" w:cs="宋体"/>
          <w:sz w:val="22"/>
          <w:szCs w:val="22"/>
          <w:u w:val="single"/>
        </w:rPr>
        <w:t xml:space="preserve">由承包人自行承担修建临时设施的费用；需要临时占地的，由承包人办理申请手续并承担相应费用</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8.8.2发包人提供的施工设备和临时设施：</w:t>
      </w:r>
      <w:r>
        <w:rPr>
          <w:rFonts w:hint="eastAsia" w:ascii="宋体" w:hAnsi="宋体" w:cs="宋体"/>
          <w:sz w:val="22"/>
          <w:szCs w:val="22"/>
          <w:u w:val="single"/>
        </w:rPr>
        <w:t xml:space="preserve">   /   </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9. 试验与检验</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9.1试验设备与试验人员</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9.1.2 试验设备</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施工现场需要配置的试验场所：</w:t>
      </w:r>
      <w:r>
        <w:rPr>
          <w:rFonts w:hint="eastAsia" w:ascii="宋体" w:hAnsi="宋体" w:cs="宋体"/>
          <w:sz w:val="22"/>
          <w:szCs w:val="22"/>
          <w:u w:val="single"/>
        </w:rPr>
        <w:t xml:space="preserve">按施工现场情况由发承双方确定，承包人提供试验场所</w:t>
      </w:r>
      <w:r>
        <w:rPr>
          <w:rFonts w:hint="eastAsia" w:ascii="宋体" w:hAnsi="宋体" w:cs="宋体"/>
          <w:sz w:val="22"/>
          <w:szCs w:val="22"/>
        </w:rPr>
        <w:t xml:space="preserve">。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施工现场需要配备的试验设备：</w:t>
      </w:r>
      <w:r>
        <w:rPr>
          <w:rFonts w:hint="eastAsia" w:ascii="宋体" w:hAnsi="宋体" w:cs="宋体"/>
          <w:sz w:val="22"/>
          <w:szCs w:val="22"/>
          <w:u w:val="single"/>
        </w:rPr>
        <w:t xml:space="preserve">按施工现场建设内容由发承双方确定，承包人配置的试验设备要符合相应试验规范的要求并经具有资质的检测单位检测</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施工现场需要具备的其他试验条件：</w:t>
      </w:r>
      <w:r>
        <w:rPr>
          <w:rFonts w:hint="eastAsia" w:ascii="宋体" w:hAnsi="宋体" w:cs="宋体"/>
          <w:sz w:val="22"/>
          <w:szCs w:val="22"/>
          <w:u w:val="single"/>
        </w:rPr>
        <w:t xml:space="preserve">按施工现场需求由发承双方确定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348" w:name="_Toc19038"/>
      <w:r>
        <w:rPr>
          <w:rFonts w:hint="eastAsia" w:ascii="宋体" w:hAnsi="宋体" w:cs="宋体"/>
          <w:sz w:val="22"/>
          <w:szCs w:val="22"/>
        </w:rPr>
        <w:t xml:space="preserve">9.4 现场工艺试验</w:t>
      </w:r>
      <w:bookmarkEnd w:id="348"/>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现场工艺试验的有关约定：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322"/>
      <w:r/>
      <w:bookmarkEnd w:id="323"/>
      <w:r/>
      <w:bookmarkEnd w:id="324"/>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3"/>
      <w:r/>
      <w:bookmarkEnd w:id="344"/>
      <w:r/>
      <w:bookmarkEnd w:id="345"/>
      <w:r/>
      <w:bookmarkEnd w:id="346"/>
      <w:r/>
      <w:bookmarkEnd w:id="347"/>
      <w:r>
        <w:rPr>
          <w:rFonts w:hint="eastAsia" w:ascii="宋体" w:hAnsi="宋体" w:cs="宋体"/>
          <w:sz w:val="22"/>
          <w:szCs w:val="22"/>
        </w:rPr>
        <w:t xml:space="preserve">10. 变更</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10.1变更的范围</w:t>
      </w:r>
      <w:r>
        <w:rPr>
          <w:rFonts w:hint="eastAsia" w:ascii="宋体" w:hAnsi="宋体" w:cs="宋体"/>
          <w:sz w:val="22"/>
          <w:szCs w:val="22"/>
        </w:rPr>
      </w:r>
      <w:r/>
    </w:p>
    <w:p>
      <w:pPr>
        <w:pStyle w:val="960"/>
        <w:ind w:left="-420" w:right="-420" w:firstLine="440"/>
        <w:spacing w:line="400" w:lineRule="exact"/>
        <w:rPr>
          <w:rFonts w:hint="eastAsia" w:ascii="宋体" w:hAnsi="宋体" w:cs="宋体"/>
          <w:sz w:val="22"/>
        </w:rPr>
      </w:pPr>
      <w:r>
        <w:rPr>
          <w:rFonts w:hint="eastAsia" w:ascii="宋体" w:hAnsi="宋体" w:cs="宋体"/>
          <w:sz w:val="22"/>
        </w:rPr>
        <w:t xml:space="preserve">关于变更的范围的约定：除通用合同条款外，还包含</w:t>
      </w:r>
      <w:r>
        <w:rPr>
          <w:rFonts w:hint="eastAsia" w:ascii="宋体" w:hAnsi="宋体" w:cs="宋体"/>
          <w:sz w:val="22"/>
          <w:u w:val="single"/>
        </w:rPr>
        <w:t xml:space="preserve">1.设计变更需有业主同意的设计变更通</w:t>
      </w:r>
      <w:r>
        <w:rPr>
          <w:rFonts w:hint="eastAsia" w:ascii="宋体" w:hAnsi="宋体" w:cs="宋体"/>
          <w:sz w:val="22"/>
          <w:u w:val="single"/>
        </w:rPr>
        <w:t xml:space="preserve">知单（设计人提供变更后的图纸和说明），并经发包人确认后实施 ；2.实施变更、追加工程量和清单内隐蔽工程的，严格按沭工改组﹝2020﹞1号文件执行；3.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Fonts w:hint="eastAsia" w:ascii="宋体" w:hAnsi="宋体" w:cs="宋体"/>
          <w:sz w:val="22"/>
        </w:rPr>
        <w:t xml:space="preserve">。</w:t>
      </w:r>
      <w:r>
        <w:rPr>
          <w:rFonts w:hint="eastAsia" w:ascii="宋体" w:hAnsi="宋体" w:cs="宋体"/>
          <w:sz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10.4 变更估价</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10.4.1 变更估价原则</w:t>
      </w:r>
      <w:r>
        <w:rPr>
          <w:rFonts w:hint="eastAsia" w:ascii="宋体" w:hAnsi="宋体" w:cs="宋体"/>
          <w:sz w:val="22"/>
          <w:szCs w:val="22"/>
        </w:rPr>
      </w:r>
      <w:r/>
    </w:p>
    <w:p>
      <w:pPr>
        <w:pStyle w:val="957"/>
        <w:ind w:left="-420" w:right="-420" w:firstLine="440"/>
        <w:spacing w:line="400" w:lineRule="exact"/>
        <w:rPr>
          <w:rFonts w:hint="eastAsia" w:ascii="宋体" w:hAnsi="宋体" w:cs="宋体"/>
          <w:color w:val="ff0000"/>
          <w:sz w:val="22"/>
          <w:szCs w:val="22"/>
          <w:u w:val="single"/>
        </w:rPr>
      </w:pPr>
      <w:r>
        <w:rPr>
          <w:rFonts w:hint="eastAsia" w:ascii="宋体" w:hAnsi="宋体" w:cs="宋体"/>
          <w:color w:val="ff0000"/>
          <w:sz w:val="22"/>
          <w:szCs w:val="22"/>
        </w:rPr>
        <w:t xml:space="preserve">关于变更估价的约定:</w:t>
      </w:r>
      <w:r>
        <w:rPr>
          <w:rFonts w:hint="eastAsia" w:ascii="宋体" w:hAnsi="宋体" w:cs="宋体"/>
          <w:color w:val="ff0000"/>
          <w:sz w:val="22"/>
          <w:szCs w:val="22"/>
          <w:u w:val="single"/>
        </w:rPr>
        <w:t xml:space="preserve">（1）已标价工程量清单或预算书有相同项目的，按照相同项目单价认定； （2）已标价工程量清单或预算书中无相同项目，但有类似项目的，参照类似项目的单价认定 ；（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w:t>
      </w:r>
      <w:r>
        <w:rPr>
          <w:rFonts w:hint="eastAsia" w:ascii="宋体" w:hAnsi="宋体" w:cs="宋体"/>
          <w:color w:val="ff0000"/>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bookmarkStart w:id="349" w:name="_Toc296891025"/>
      <w:r/>
      <w:bookmarkStart w:id="350" w:name="_Toc297120497"/>
      <w:r/>
      <w:bookmarkStart w:id="351" w:name="_Toc296346698"/>
      <w:r/>
      <w:bookmarkStart w:id="352" w:name="_Toc296503197"/>
      <w:r/>
      <w:bookmarkStart w:id="353" w:name="_Toc297123544"/>
      <w:r/>
      <w:bookmarkStart w:id="354" w:name="_Toc292559402"/>
      <w:r/>
      <w:bookmarkStart w:id="355" w:name="_Toc296347196"/>
      <w:r/>
      <w:bookmarkStart w:id="356" w:name="_Toc312677503"/>
      <w:r/>
      <w:bookmarkStart w:id="357" w:name="_Toc312678029"/>
      <w:r/>
      <w:bookmarkStart w:id="358" w:name="_Toc304295570"/>
      <w:r/>
      <w:bookmarkStart w:id="359" w:name="_Toc296891237"/>
      <w:r/>
      <w:bookmarkStart w:id="360" w:name="_Toc303539150"/>
      <w:r/>
      <w:bookmarkStart w:id="361" w:name="_Toc300934993"/>
      <w:r/>
      <w:bookmarkStart w:id="362" w:name="_Toc292559907"/>
      <w:r/>
      <w:bookmarkStart w:id="363" w:name="_Toc297048383"/>
      <w:r/>
      <w:bookmarkStart w:id="364" w:name="_Toc297216203"/>
      <w:r/>
      <w:bookmarkStart w:id="365" w:name="_Toc296944536"/>
      <w:r>
        <w:rPr>
          <w:rFonts w:hint="eastAsia" w:ascii="宋体" w:hAnsi="宋体" w:cs="宋体"/>
          <w:sz w:val="22"/>
          <w:szCs w:val="22"/>
        </w:rPr>
        <w:t xml:space="preserve">0.5承</w:t>
      </w:r>
      <w:bookmarkEnd w:id="349"/>
      <w:r/>
      <w:bookmarkEnd w:id="350"/>
      <w:r/>
      <w:bookmarkEnd w:id="351"/>
      <w:r/>
      <w:bookmarkEnd w:id="352"/>
      <w:r/>
      <w:bookmarkEnd w:id="353"/>
      <w:r/>
      <w:bookmarkEnd w:id="354"/>
      <w:r/>
      <w:bookmarkEnd w:id="355"/>
      <w:r/>
      <w:bookmarkEnd w:id="359"/>
      <w:r/>
      <w:bookmarkEnd w:id="360"/>
      <w:r/>
      <w:bookmarkEnd w:id="361"/>
      <w:r/>
      <w:bookmarkEnd w:id="362"/>
      <w:r/>
      <w:bookmarkEnd w:id="363"/>
      <w:r/>
      <w:bookmarkEnd w:id="364"/>
      <w:r/>
      <w:bookmarkEnd w:id="365"/>
      <w:r/>
      <w:bookmarkStart w:id="366" w:name="_Toc296891243"/>
      <w:r/>
      <w:bookmarkStart w:id="367" w:name="_Toc297216204"/>
      <w:r/>
      <w:bookmarkStart w:id="368" w:name="_Toc296891031"/>
      <w:r/>
      <w:bookmarkStart w:id="369" w:name="_Toc296346704"/>
      <w:r/>
      <w:bookmarkStart w:id="370" w:name="_Toc300934994"/>
      <w:r/>
      <w:bookmarkStart w:id="371" w:name="_Toc296944542"/>
      <w:r/>
      <w:bookmarkStart w:id="372" w:name="_Toc297048389"/>
      <w:r/>
      <w:bookmarkStart w:id="373" w:name="_Toc303539151"/>
      <w:r/>
      <w:bookmarkStart w:id="374" w:name="_Toc297123545"/>
      <w:r/>
      <w:bookmarkStart w:id="375" w:name="_Toc292559408"/>
      <w:r/>
      <w:bookmarkStart w:id="376" w:name="_Toc292559913"/>
      <w:r/>
      <w:bookmarkStart w:id="377" w:name="_Toc296347202"/>
      <w:r/>
      <w:bookmarkStart w:id="378" w:name="_Toc296503203"/>
      <w:r/>
      <w:bookmarkStart w:id="379" w:name="_Toc297120503"/>
      <w:r>
        <w:rPr>
          <w:rFonts w:hint="eastAsia" w:ascii="宋体" w:hAnsi="宋体" w:cs="宋体"/>
          <w:sz w:val="22"/>
          <w:szCs w:val="22"/>
        </w:rPr>
        <w:t xml:space="preserve">包人的合理化建议</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bookmarkEnd w:id="356"/>
      <w:r/>
      <w:bookmarkEnd w:id="357"/>
      <w:r/>
      <w:bookmarkEnd w:id="358"/>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Pr>
          <w:rFonts w:hint="eastAsia" w:ascii="宋体" w:hAnsi="宋体" w:cs="宋体"/>
          <w:sz w:val="22"/>
          <w:szCs w:val="22"/>
        </w:rPr>
        <w:t xml:space="preserve">监理人审查承包人合理化建议的期限：</w:t>
      </w:r>
      <w:r>
        <w:rPr>
          <w:rFonts w:hint="eastAsia" w:ascii="宋体" w:hAnsi="宋体" w:cs="宋体"/>
          <w:sz w:val="22"/>
          <w:szCs w:val="22"/>
          <w:u w:val="single"/>
        </w:rPr>
        <w:t xml:space="preserve">按通用条款执行。</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发包人审批承包人合理化建议的期限：</w:t>
      </w:r>
      <w:r>
        <w:rPr>
          <w:rFonts w:hint="eastAsia" w:ascii="宋体" w:hAnsi="宋体" w:cs="宋体"/>
          <w:sz w:val="22"/>
          <w:szCs w:val="22"/>
          <w:u w:val="single"/>
        </w:rPr>
        <w:t xml:space="preserve">按通用条款执行。</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w:t>
      </w:r>
      <w:bookmarkStart w:id="380" w:name="_Toc297120504"/>
      <w:r/>
      <w:bookmarkStart w:id="381" w:name="_Toc292559914"/>
      <w:r/>
      <w:bookmarkStart w:id="382" w:name="_Toc297216205"/>
      <w:r/>
      <w:bookmarkStart w:id="383" w:name="_Toc303539152"/>
      <w:r/>
      <w:bookmarkStart w:id="384" w:name="_Toc304295571"/>
      <w:r/>
      <w:bookmarkStart w:id="385" w:name="_Toc297048390"/>
      <w:r/>
      <w:bookmarkStart w:id="386" w:name="_Toc296346705"/>
      <w:r/>
      <w:bookmarkStart w:id="387" w:name="_Toc292559409"/>
      <w:r/>
      <w:bookmarkStart w:id="388" w:name="_Toc296891244"/>
      <w:r/>
      <w:bookmarkStart w:id="389" w:name="_Toc296891032"/>
      <w:r/>
      <w:bookmarkStart w:id="390" w:name="_Toc297123546"/>
      <w:r/>
      <w:bookmarkStart w:id="391" w:name="_Toc296944543"/>
      <w:r/>
      <w:bookmarkStart w:id="392" w:name="_Toc312678030"/>
      <w:r/>
      <w:bookmarkStart w:id="393" w:name="_Toc300934995"/>
      <w:r/>
      <w:bookmarkStart w:id="394" w:name="_Toc312677504"/>
      <w:r/>
      <w:bookmarkStart w:id="395" w:name="_Toc296347203"/>
      <w:r/>
      <w:bookmarkStart w:id="396" w:name="_Toc318581175"/>
      <w:r/>
      <w:bookmarkStart w:id="397" w:name="_Toc296503204"/>
      <w:r>
        <w:rPr>
          <w:rFonts w:hint="eastAsia" w:ascii="宋体" w:hAnsi="宋体" w:cs="宋体"/>
          <w:sz w:val="22"/>
          <w:szCs w:val="22"/>
        </w:rPr>
        <w:t xml:space="preserve">包人提出的合理化建议降低了合同价格或者提高了工程经济效益的奖励的方法和金额为：</w:t>
      </w:r>
      <w:r>
        <w:rPr>
          <w:rFonts w:hint="eastAsia" w:ascii="宋体" w:hAnsi="宋体" w:cs="宋体"/>
          <w:sz w:val="22"/>
          <w:szCs w:val="22"/>
          <w:u w:val="single"/>
        </w:rPr>
        <w:t xml:space="preserve"> 无</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398" w:name="_Toc3139"/>
      <w:r>
        <w:rPr>
          <w:rFonts w:hint="eastAsia" w:ascii="宋体" w:hAnsi="宋体" w:cs="宋体"/>
          <w:sz w:val="22"/>
          <w:szCs w:val="22"/>
          <w:u w:val="single"/>
        </w:rPr>
        <w:t xml:space="preserve"> </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bookmarkStart w:id="399" w:name="_Toc296347198"/>
      <w:r/>
      <w:bookmarkStart w:id="400" w:name="_Toc292559404"/>
      <w:r/>
      <w:bookmarkStart w:id="401" w:name="_Toc312677507"/>
      <w:r/>
      <w:bookmarkStart w:id="402" w:name="_Toc296503199"/>
      <w:r/>
      <w:bookmarkStart w:id="403" w:name="_Toc297120499"/>
      <w:r/>
      <w:bookmarkStart w:id="404" w:name="_Toc303539154"/>
      <w:r/>
      <w:bookmarkStart w:id="405" w:name="_Toc296891027"/>
      <w:r/>
      <w:bookmarkStart w:id="406" w:name="_Toc312678033"/>
      <w:r/>
      <w:bookmarkStart w:id="407" w:name="_Toc297123548"/>
      <w:r/>
      <w:bookmarkStart w:id="408" w:name="_Toc296944538"/>
      <w:r/>
      <w:bookmarkStart w:id="409" w:name="_Toc296346700"/>
      <w:r/>
      <w:bookmarkStart w:id="410" w:name="_Toc296891239"/>
      <w:r/>
      <w:bookmarkStart w:id="411" w:name="_Toc297216207"/>
      <w:r/>
      <w:bookmarkStart w:id="412" w:name="_Toc297048385"/>
      <w:r/>
      <w:bookmarkStart w:id="413" w:name="_Toc300934997"/>
      <w:r/>
      <w:bookmarkStart w:id="414" w:name="_Toc304295574"/>
      <w:r/>
      <w:bookmarkStart w:id="415" w:name="_Toc292559909"/>
      <w:r>
        <w:rPr>
          <w:rFonts w:hint="eastAsia" w:ascii="宋体" w:hAnsi="宋体" w:cs="宋体"/>
          <w:sz w:val="22"/>
          <w:szCs w:val="22"/>
        </w:rPr>
        <w:t xml:space="preserve">0.7 暂估价</w:t>
      </w:r>
      <w:bookmarkEnd w:id="398"/>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cs="宋体"/>
          <w:sz w:val="22"/>
          <w:szCs w:val="22"/>
          <w:u w:val="single"/>
        </w:rPr>
        <w:t xml:space="preserve">暂估价专业分包工程、服务、材料和工程设备的明细由合同当事人根据建设内容进行约定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w:t>
      </w:r>
      <w:bookmarkStart w:id="416" w:name="_Toc312678035"/>
      <w:r/>
      <w:bookmarkStart w:id="417" w:name="_Toc318581177"/>
      <w:r/>
      <w:bookmarkStart w:id="418" w:name="_Toc312677509"/>
      <w:r>
        <w:rPr>
          <w:rFonts w:hint="eastAsia" w:ascii="宋体" w:hAnsi="宋体" w:cs="宋体"/>
          <w:sz w:val="22"/>
          <w:szCs w:val="22"/>
        </w:rPr>
        <w:t xml:space="preserve">0.7.1 依法必须招标的暂估价项目</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416"/>
      <w:r/>
      <w:bookmarkEnd w:id="417"/>
      <w:r/>
      <w:bookmarkEnd w:id="418"/>
      <w:r>
        <w:rPr>
          <w:rFonts w:hint="eastAsia" w:ascii="宋体" w:hAnsi="宋体" w:cs="宋体"/>
          <w:sz w:val="22"/>
          <w:szCs w:val="22"/>
        </w:rPr>
        <w:t xml:space="preserve">对于依法必须招标的暂估价项目的确认和批准采取第</w:t>
      </w:r>
      <w:r>
        <w:rPr>
          <w:rFonts w:hint="eastAsia" w:ascii="宋体" w:hAnsi="宋体" w:cs="宋体"/>
          <w:sz w:val="22"/>
          <w:szCs w:val="22"/>
          <w:u w:val="single"/>
        </w:rPr>
        <w:t xml:space="preserve"> 1 </w:t>
      </w:r>
      <w:r>
        <w:rPr>
          <w:rFonts w:hint="eastAsia" w:ascii="宋体" w:hAnsi="宋体" w:cs="宋体"/>
          <w:sz w:val="22"/>
          <w:szCs w:val="22"/>
        </w:rPr>
        <w:t xml:space="preserve">种方式确定。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10.7.2 不属于依法必须招标的暂估价项目</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对于不属于依法必须招标的暂估价项目的确认和批准采取第</w:t>
      </w:r>
      <w:r>
        <w:rPr>
          <w:rFonts w:hint="eastAsia" w:ascii="宋体" w:hAnsi="宋体" w:cs="宋体"/>
          <w:sz w:val="22"/>
          <w:szCs w:val="22"/>
          <w:u w:val="single"/>
        </w:rPr>
        <w:t xml:space="preserve"> 1 </w:t>
      </w:r>
      <w:r>
        <w:rPr>
          <w:rFonts w:hint="eastAsia" w:ascii="宋体" w:hAnsi="宋体" w:cs="宋体"/>
          <w:sz w:val="22"/>
          <w:szCs w:val="22"/>
        </w:rPr>
        <w:t xml:space="preserve">种方式确定。</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第3种方式：承包人直接实施的暂估价项目</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承包人直接实施的暂估价项目的约定：</w:t>
      </w:r>
      <w:r>
        <w:rPr>
          <w:rFonts w:hint="eastAsia" w:ascii="宋体" w:hAnsi="宋体" w:cs="宋体"/>
          <w:sz w:val="22"/>
          <w:szCs w:val="22"/>
          <w:u w:val="single"/>
        </w:rPr>
        <w:t xml:space="preserve">发承双方在过程实施阶段约定具体事项</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10.8 暂列金额</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合同当事人关于暂列金额使用的约定：</w:t>
      </w:r>
      <w:r>
        <w:rPr>
          <w:rFonts w:hint="eastAsia" w:ascii="宋体" w:hAnsi="宋体" w:cs="宋体"/>
          <w:sz w:val="22"/>
          <w:szCs w:val="22"/>
          <w:u w:val="single"/>
        </w:rPr>
        <w:t xml:space="preserve">暂列金额应按照发包人的要求使用，发包人的要求应通过监理人发出；发承双方在工程实施阶段确定有关事项</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 价格调整</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11.1 市场价格波动引起的调整</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市场价格波动是否调整合同价格的约定：</w:t>
      </w:r>
      <w:r>
        <w:rPr>
          <w:rFonts w:hint="eastAsia" w:ascii="宋体" w:hAnsi="宋体" w:cs="宋体"/>
          <w:sz w:val="22"/>
          <w:szCs w:val="22"/>
          <w:u w:val="single"/>
        </w:rPr>
        <w:t xml:space="preserve">不调整</w:t>
      </w:r>
      <w:r>
        <w:rPr>
          <w:rFonts w:hint="eastAsia" w:ascii="宋体" w:hAnsi="宋体" w:cs="宋体"/>
          <w:sz w:val="22"/>
          <w:szCs w:val="22"/>
        </w:rPr>
        <w:t xml:space="preserve">。</w:t>
      </w:r>
      <w:r>
        <w:rPr>
          <w:rFonts w:hint="eastAsia" w:ascii="宋体" w:hAnsi="宋体" w:cs="宋体"/>
          <w:sz w:val="22"/>
          <w:szCs w:val="22"/>
        </w:rPr>
      </w:r>
      <w:r/>
    </w:p>
    <w:p>
      <w:pPr>
        <w:pStyle w:val="957"/>
        <w:numPr>
          <w:ilvl w:val="0"/>
          <w:numId w:val="8"/>
        </w:numPr>
        <w:ind w:left="-20" w:right="-420" w:firstLine="440"/>
        <w:spacing w:line="400" w:lineRule="exact"/>
        <w:rPr>
          <w:rFonts w:hint="eastAsia" w:ascii="宋体" w:hAnsi="宋体" w:cs="宋体"/>
          <w:sz w:val="22"/>
          <w:szCs w:val="22"/>
        </w:rPr>
      </w:pPr>
      <w:r>
        <w:rPr>
          <w:rFonts w:hint="eastAsia" w:ascii="宋体" w:hAnsi="宋体" w:cs="宋体"/>
          <w:sz w:val="22"/>
          <w:szCs w:val="22"/>
        </w:rPr>
        <w:t xml:space="preserve">合同价格、计量与支付</w:t>
      </w:r>
      <w:r>
        <w:rPr>
          <w:rFonts w:hint="eastAsia" w:ascii="宋体" w:hAnsi="宋体" w:cs="宋体"/>
          <w:sz w:val="22"/>
          <w:szCs w:val="22"/>
        </w:rPr>
      </w:r>
      <w:r/>
    </w:p>
    <w:p>
      <w:pPr>
        <w:pStyle w:val="957"/>
        <w:ind w:right="-420" w:firstLine="440"/>
        <w:spacing w:line="400" w:lineRule="exact"/>
        <w:rPr>
          <w:rFonts w:hint="eastAsia" w:ascii="宋体" w:hAnsi="宋体" w:cs="宋体"/>
          <w:sz w:val="22"/>
          <w:szCs w:val="22"/>
        </w:rPr>
      </w:pPr>
      <w:r>
        <w:rPr>
          <w:rFonts w:hint="eastAsia" w:ascii="宋体" w:hAnsi="宋体" w:cs="宋体"/>
          <w:sz w:val="22"/>
          <w:szCs w:val="22"/>
        </w:rPr>
        <w:t xml:space="preserve">12.1 合同价格形式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1.单价合同。</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综合单价包含的风险范围：</w:t>
      </w:r>
      <w:r>
        <w:rPr>
          <w:rFonts w:hint="eastAsia" w:ascii="宋体" w:hAnsi="宋体" w:cs="宋体"/>
          <w:sz w:val="22"/>
          <w:szCs w:val="22"/>
          <w:u w:val="single"/>
        </w:rPr>
        <w:t xml:space="preserve">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风险费用的计算方法： </w:t>
      </w:r>
      <w:r>
        <w:rPr>
          <w:rFonts w:hint="eastAsia" w:ascii="宋体" w:hAnsi="宋体" w:cs="宋体"/>
          <w:sz w:val="22"/>
          <w:szCs w:val="22"/>
          <w:u w:val="single"/>
        </w:rPr>
        <w:t xml:space="preserve">无 </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风险范围以外合同价款调整方法：</w:t>
      </w:r>
      <w:bookmarkStart w:id="419" w:name="_Toc296503207"/>
      <w:r/>
      <w:bookmarkStart w:id="420" w:name="_Toc296944546"/>
      <w:r/>
      <w:bookmarkStart w:id="421" w:name="_Toc297120507"/>
      <w:r/>
      <w:bookmarkStart w:id="422" w:name="_Toc296891247"/>
      <w:r/>
      <w:bookmarkStart w:id="423" w:name="_Toc296891035"/>
      <w:r/>
      <w:bookmarkStart w:id="424" w:name="_Toc292559917"/>
      <w:r/>
      <w:bookmarkStart w:id="425" w:name="_Toc297048393"/>
      <w:r/>
      <w:bookmarkStart w:id="426" w:name="_Toc292559412"/>
      <w:r/>
      <w:bookmarkStart w:id="427" w:name="_Toc296347206"/>
      <w:r/>
      <w:bookmarkStart w:id="428" w:name="_Toc303539161"/>
      <w:r/>
      <w:bookmarkStart w:id="429" w:name="_Toc297216213"/>
      <w:r/>
      <w:bookmarkStart w:id="430" w:name="_Toc300935004"/>
      <w:r/>
      <w:bookmarkStart w:id="431" w:name="_Toc312678042"/>
      <w:r/>
      <w:bookmarkStart w:id="432" w:name="_Toc297123554"/>
      <w:r/>
      <w:bookmarkStart w:id="433" w:name="_Toc304295581"/>
      <w:r/>
      <w:bookmarkStart w:id="434" w:name="_Toc296346708"/>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2.总价合同。</w:t>
      </w:r>
      <w:r>
        <w:rPr>
          <w:rFonts w:hint="eastAsia" w:ascii="宋体" w:hAnsi="宋体" w:cs="宋体"/>
          <w:sz w:val="22"/>
          <w:szCs w:val="22"/>
        </w:rPr>
      </w:r>
      <w:r/>
    </w:p>
    <w:p>
      <w:pPr>
        <w:pStyle w:val="957"/>
        <w:ind w:left="-420" w:right="-420" w:firstLine="440"/>
        <w:spacing w:line="400" w:lineRule="exact"/>
        <w:rPr>
          <w:rFonts w:hint="eastAsia" w:ascii="宋体" w:hAnsi="宋体" w:cs="宋体"/>
          <w:color w:val="ff0000"/>
          <w:sz w:val="22"/>
          <w:szCs w:val="22"/>
        </w:rPr>
      </w:pPr>
      <w:r>
        <w:rPr>
          <w:rFonts w:hint="eastAsia" w:ascii="宋体" w:hAnsi="宋体" w:cs="宋体"/>
          <w:sz w:val="22"/>
          <w:szCs w:val="22"/>
        </w:rPr>
        <w:t xml:space="preserve">总价包含的风险范围：</w:t>
      </w:r>
      <w:r>
        <w:rPr>
          <w:rFonts w:hint="eastAsia" w:ascii="宋体" w:hAnsi="宋体" w:cs="宋体"/>
          <w:color w:val="ff0000"/>
          <w:sz w:val="22"/>
          <w:szCs w:val="22"/>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rPr>
          <w:rFonts w:hint="eastAsia" w:ascii="宋体" w:hAnsi="宋体" w:cs="宋体"/>
          <w:color w:val="ff0000"/>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风险费用的计算方法：</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风险范围以外合同价格的调整方法：</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3.其他价格方式：</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12.2 预付款</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428"/>
      <w:r/>
      <w:bookmarkEnd w:id="429"/>
      <w:r/>
      <w:bookmarkEnd w:id="430"/>
      <w:r/>
      <w:bookmarkEnd w:id="431"/>
      <w:r/>
      <w:bookmarkEnd w:id="432"/>
      <w:r/>
      <w:bookmarkEnd w:id="433"/>
      <w:r>
        <w:rPr>
          <w:rFonts w:hint="eastAsia" w:ascii="宋体" w:hAnsi="宋体" w:cs="宋体"/>
          <w:sz w:val="22"/>
          <w:szCs w:val="22"/>
        </w:rPr>
        <w:t xml:space="preserve">12.2.1 预付款的支付</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预付款支付比例或金额：</w:t>
      </w:r>
      <w:r>
        <w:rPr>
          <w:rFonts w:hint="eastAsia" w:ascii="宋体" w:hAnsi="宋体" w:cs="宋体"/>
          <w:sz w:val="22"/>
          <w:szCs w:val="22"/>
          <w:u w:val="single"/>
        </w:rPr>
        <w:t xml:space="preserve">10%工程款</w:t>
      </w:r>
      <w:r>
        <w:rPr>
          <w:rFonts w:hint="eastAsia" w:ascii="宋体" w:hAnsi="宋体" w:cs="宋体"/>
          <w:color w:val="ff0000"/>
          <w:sz w:val="22"/>
          <w:szCs w:val="22"/>
          <w:u w:val="single"/>
        </w:rPr>
        <w:t xml:space="preserve">（不含运营费）</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预付款支付期限：</w:t>
      </w:r>
      <w:r>
        <w:rPr>
          <w:rFonts w:hint="eastAsia" w:ascii="宋体" w:hAnsi="宋体" w:cs="宋体"/>
          <w:sz w:val="22"/>
          <w:szCs w:val="22"/>
          <w:u w:val="single"/>
        </w:rPr>
        <w:t xml:space="preserve">承包人向发包人提供合同价10%的预付款保函后30日内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预付款扣回的方式：</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12.2.2 预付款担保</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承包人提交预付款担保的期限：</w:t>
      </w:r>
      <w:r>
        <w:rPr>
          <w:rFonts w:hint="eastAsia" w:ascii="宋体" w:hAnsi="宋体" w:cs="宋体"/>
          <w:sz w:val="22"/>
          <w:szCs w:val="22"/>
          <w:u w:val="single"/>
        </w:rPr>
        <w:t xml:space="preserve">合同签订后7日内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预付款担保的形式为：</w:t>
      </w:r>
      <w:r>
        <w:rPr>
          <w:rFonts w:hint="eastAsia" w:ascii="宋体" w:hAnsi="宋体" w:cs="宋体"/>
          <w:sz w:val="22"/>
          <w:szCs w:val="22"/>
          <w:u w:val="single"/>
        </w:rPr>
        <w:t xml:space="preserve">与预付款同比例保函</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419"/>
      <w:r/>
      <w:bookmarkEnd w:id="420"/>
      <w:r/>
      <w:bookmarkEnd w:id="421"/>
      <w:r/>
      <w:bookmarkEnd w:id="422"/>
      <w:r/>
      <w:bookmarkEnd w:id="423"/>
      <w:r/>
      <w:bookmarkEnd w:id="424"/>
      <w:r/>
      <w:bookmarkEnd w:id="425"/>
      <w:r/>
      <w:bookmarkEnd w:id="426"/>
      <w:r/>
      <w:bookmarkEnd w:id="427"/>
      <w:r/>
      <w:bookmarkEnd w:id="434"/>
      <w:r>
        <w:rPr>
          <w:rFonts w:hint="eastAsia" w:ascii="宋体" w:hAnsi="宋体" w:cs="宋体"/>
          <w:sz w:val="22"/>
          <w:szCs w:val="22"/>
        </w:rPr>
        <w:t xml:space="preserve">12.3 计量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12.3.1 计量原则</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工程量计算规则：</w:t>
      </w:r>
      <w:r>
        <w:rPr>
          <w:rFonts w:hint="eastAsia" w:ascii="宋体" w:hAnsi="宋体" w:cs="宋体"/>
          <w:sz w:val="22"/>
          <w:szCs w:val="22"/>
          <w:u w:val="single"/>
        </w:rPr>
        <w:t xml:space="preserve">按照合同约定的工程量计算规则、图纸及变更指示等进行计量；工程量计算规则应以相关的国家标准、行业标准等为依据，由发承双方按照有关规定确定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12.3.2 计量周期</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关于计量周期的约定：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12.3.3 单价合同的计量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关于单价合同计量的约定：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12.3.4 总价合同的计量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关于总价合同计量的约定：</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12.3.5总价合同采用支付分解表计量支付的，是否适用第12.3.4 项〔总价合同的计量〕约定进行计量：</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12.3.6 其他价格形式合同的计量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其他价格形式的计量方式和程序：</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 工程进度款支付</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12.4.1 付款周期</w:t>
      </w:r>
      <w:r>
        <w:rPr>
          <w:rFonts w:hint="eastAsia" w:ascii="宋体" w:hAnsi="宋体" w:cs="宋体"/>
          <w:sz w:val="22"/>
          <w:szCs w:val="22"/>
        </w:rPr>
      </w:r>
      <w:r/>
    </w:p>
    <w:p>
      <w:pPr>
        <w:pStyle w:val="957"/>
        <w:ind w:left="-420" w:right="-420" w:firstLine="440"/>
        <w:spacing w:line="400" w:lineRule="exact"/>
        <w:rPr>
          <w:rFonts w:hint="eastAsia" w:ascii="宋体" w:hAnsi="宋体" w:cs="宋体"/>
          <w:b/>
          <w:bCs/>
          <w:sz w:val="22"/>
          <w:szCs w:val="22"/>
          <w:u w:val="single"/>
        </w:rPr>
      </w:pPr>
      <w:r>
        <w:rPr>
          <w:rFonts w:hint="eastAsia" w:ascii="宋体" w:hAnsi="宋体" w:cs="宋体"/>
          <w:sz w:val="22"/>
          <w:szCs w:val="22"/>
        </w:rPr>
        <w:t xml:space="preserve">关于付款周期的约定：</w:t>
      </w:r>
      <w:r>
        <w:rPr>
          <w:rFonts w:hint="eastAsia" w:ascii="宋体" w:hAnsi="宋体" w:cs="宋体"/>
          <w:b/>
          <w:bCs/>
          <w:sz w:val="22"/>
          <w:szCs w:val="22"/>
          <w:u w:val="single"/>
        </w:rPr>
        <w:t xml:space="preserve">合同签订后，承包人向发包人提供合同价款的10%预付款保函后，发包人支付合同价款的10%作为预付款；施工单位进场，完成工程量的100%，经验收合格后，付至工程合同价款总额的80%；工程完工验收合格后安排结算审计，审计结算后，扣除质保金（国家相关规定预留）后按审计结算价付清余款；质量保证期结束后再支付质保金（质保期按国家相关规定执行）。</w:t>
      </w:r>
      <w:r>
        <w:rPr>
          <w:rFonts w:hint="eastAsia" w:ascii="宋体" w:hAnsi="宋体" w:cs="宋体"/>
          <w:b/>
          <w:bCs/>
          <w:sz w:val="22"/>
          <w:szCs w:val="22"/>
          <w:u w:val="single"/>
        </w:rPr>
      </w:r>
      <w:r/>
    </w:p>
    <w:p>
      <w:pPr>
        <w:pStyle w:val="957"/>
        <w:ind w:left="-420" w:right="-420" w:firstLine="482"/>
        <w:spacing w:line="400" w:lineRule="exact"/>
        <w:rPr>
          <w:rFonts w:hint="eastAsia" w:ascii="宋体" w:hAnsi="宋体" w:cs="宋体"/>
          <w:b/>
          <w:bCs/>
          <w:sz w:val="22"/>
          <w:szCs w:val="22"/>
          <w:u w:val="single"/>
        </w:rPr>
      </w:pPr>
      <w:r>
        <w:rPr>
          <w:rFonts w:hint="eastAsia"/>
          <w:b/>
          <w:bCs w:val="0"/>
          <w:sz w:val="24"/>
          <w:highlight w:val="white"/>
        </w:rPr>
        <w:t xml:space="preserve">注：上述费用合同价为合同总价扣除运营期的污水处理费。</w:t>
      </w:r>
      <w:r>
        <w:rPr>
          <w:rFonts w:hint="eastAsia" w:ascii="宋体" w:hAnsi="宋体" w:cs="宋体"/>
          <w:b/>
          <w:bCs/>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12.4.2 进度付款申请单的编制</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关于进度付款申请单编制的约定：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12.4.3 进度付款申请单的提交</w:t>
      </w:r>
      <w:r>
        <w:rPr>
          <w:rFonts w:hint="eastAsia" w:ascii="宋体" w:hAnsi="宋体" w:cs="宋体"/>
          <w:sz w:val="22"/>
          <w:szCs w:val="22"/>
        </w:rPr>
      </w:r>
      <w:r/>
    </w:p>
    <w:p>
      <w:pPr>
        <w:pStyle w:val="957"/>
        <w:ind w:right="-420" w:firstLine="440"/>
        <w:spacing w:line="400" w:lineRule="exact"/>
        <w:rPr>
          <w:rFonts w:hint="eastAsia" w:ascii="宋体" w:hAnsi="宋体" w:cs="宋体"/>
          <w:sz w:val="22"/>
          <w:szCs w:val="22"/>
        </w:rPr>
      </w:pPr>
      <w:r>
        <w:rPr>
          <w:rFonts w:hint="eastAsia" w:ascii="宋体" w:hAnsi="宋体" w:cs="宋体"/>
          <w:sz w:val="22"/>
          <w:szCs w:val="22"/>
        </w:rPr>
        <w:t xml:space="preserve">（1）单价合同进度付款申请单提交的约定：</w:t>
      </w:r>
      <w:r>
        <w:rPr>
          <w:rFonts w:hint="eastAsia" w:ascii="宋体" w:hAnsi="宋体" w:cs="宋体"/>
          <w:sz w:val="22"/>
          <w:szCs w:val="22"/>
          <w:u w:val="single"/>
        </w:rPr>
        <w:t xml:space="preserve">按付款节点</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（2）总价合同进度付款申请单提交的约定：</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right="-420" w:firstLine="440"/>
        <w:spacing w:line="400" w:lineRule="exact"/>
        <w:rPr>
          <w:rFonts w:hint="eastAsia" w:ascii="宋体" w:hAnsi="宋体" w:cs="宋体"/>
          <w:sz w:val="22"/>
          <w:szCs w:val="22"/>
        </w:rPr>
      </w:pPr>
      <w:r>
        <w:rPr>
          <w:rFonts w:hint="eastAsia" w:ascii="宋体" w:hAnsi="宋体" w:cs="宋体"/>
          <w:sz w:val="22"/>
          <w:szCs w:val="22"/>
        </w:rPr>
        <w:t xml:space="preserve">（3）其他价格形式合同进度付款申请单提交的约定：</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right="-420" w:firstLine="440"/>
        <w:spacing w:line="400" w:lineRule="exact"/>
        <w:rPr>
          <w:rFonts w:hint="eastAsia" w:ascii="宋体" w:hAnsi="宋体" w:cs="宋体"/>
          <w:sz w:val="22"/>
          <w:szCs w:val="22"/>
        </w:rPr>
      </w:pPr>
      <w:r>
        <w:rPr>
          <w:rFonts w:hint="eastAsia" w:ascii="宋体" w:hAnsi="宋体" w:cs="宋体"/>
          <w:sz w:val="22"/>
          <w:szCs w:val="22"/>
        </w:rPr>
        <w:t xml:space="preserve">12.4.4 进度款审核和支付</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（1）监理人审查并报送发包人的期限：</w:t>
      </w:r>
      <w:r>
        <w:rPr>
          <w:rFonts w:hint="eastAsia" w:ascii="宋体" w:hAnsi="宋体" w:cs="宋体"/>
          <w:sz w:val="22"/>
          <w:szCs w:val="22"/>
          <w:u w:val="single"/>
        </w:rPr>
        <w:t xml:space="preserve">按通用合同条款执行 </w:t>
      </w:r>
      <w:r>
        <w:rPr>
          <w:rFonts w:hint="eastAsia" w:ascii="宋体" w:hAnsi="宋体" w:cs="宋体"/>
          <w:sz w:val="22"/>
          <w:szCs w:val="22"/>
        </w:rPr>
        <w:t xml:space="preserve">。</w:t>
      </w:r>
      <w:r>
        <w:rPr>
          <w:rFonts w:hint="eastAsia" w:ascii="宋体" w:hAnsi="宋体" w:cs="宋体"/>
          <w:sz w:val="22"/>
          <w:szCs w:val="22"/>
        </w:rPr>
      </w:r>
      <w:r/>
    </w:p>
    <w:p>
      <w:pPr>
        <w:pStyle w:val="957"/>
        <w:ind w:right="-420" w:firstLine="440"/>
        <w:spacing w:line="400" w:lineRule="exact"/>
        <w:rPr>
          <w:rFonts w:hint="eastAsia" w:ascii="宋体" w:hAnsi="宋体" w:cs="宋体"/>
          <w:sz w:val="22"/>
          <w:szCs w:val="22"/>
        </w:rPr>
      </w:pPr>
      <w:r>
        <w:rPr>
          <w:rFonts w:hint="eastAsia" w:ascii="宋体" w:hAnsi="宋体" w:cs="宋体"/>
          <w:sz w:val="22"/>
          <w:szCs w:val="22"/>
        </w:rPr>
        <w:t xml:space="preserve">发包人完成审批并签发进度款支付证书的期限：</w:t>
      </w:r>
      <w:r>
        <w:rPr>
          <w:rFonts w:hint="eastAsia" w:ascii="宋体" w:hAnsi="宋体" w:cs="宋体"/>
          <w:sz w:val="22"/>
          <w:szCs w:val="22"/>
          <w:u w:val="single"/>
        </w:rPr>
        <w:t xml:space="preserve">按通用条款执行                       </w:t>
      </w:r>
      <w:r>
        <w:rPr>
          <w:rFonts w:hint="eastAsia" w:ascii="宋体" w:hAnsi="宋体" w:cs="宋体"/>
          <w:sz w:val="22"/>
          <w:szCs w:val="22"/>
        </w:rPr>
        <w:t xml:space="preserve">。          </w:t>
      </w:r>
      <w:r>
        <w:rPr>
          <w:rFonts w:hint="eastAsia" w:ascii="宋体" w:hAnsi="宋体" w:cs="宋体"/>
          <w:sz w:val="22"/>
          <w:szCs w:val="22"/>
        </w:rPr>
      </w:r>
      <w:r/>
    </w:p>
    <w:p>
      <w:pPr>
        <w:pStyle w:val="957"/>
        <w:numPr>
          <w:ilvl w:val="0"/>
          <w:numId w:val="9"/>
        </w:numPr>
        <w:ind w:left="-40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发包人支付进度款的期限：</w:t>
      </w:r>
      <w:r>
        <w:rPr>
          <w:rFonts w:hint="eastAsia" w:ascii="宋体" w:hAnsi="宋体" w:cs="宋体"/>
          <w:sz w:val="22"/>
          <w:szCs w:val="22"/>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发包人逾期支付进度款的违约金的计算方式：</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注：在结算过程中，若发生进度款支付超出实际已完成工程价款的情况，承包单位应按规定在结算后30日内向发包单位返还多收到的工程进度款。</w:t>
      </w:r>
      <w:r>
        <w:rPr>
          <w:rFonts w:hint="eastAsia" w:ascii="宋体" w:hAnsi="宋体" w:cs="宋体"/>
          <w:color w:val="000000"/>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12.4.6 支付分解表的编制</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2.总价合同支付分解表的编制与审批：</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3.单价合同的总价项目支付分解表的编制与审批：</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 验收和工程试车</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13.1 分部分项工程验收</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13.1.2监理人不能按时进行验收时，应提前</w:t>
      </w:r>
      <w:r>
        <w:rPr>
          <w:rFonts w:hint="eastAsia" w:ascii="宋体" w:hAnsi="宋体" w:cs="宋体"/>
          <w:sz w:val="22"/>
          <w:szCs w:val="22"/>
          <w:u w:val="single"/>
        </w:rPr>
        <w:t xml:space="preserve">24</w:t>
      </w:r>
      <w:r>
        <w:rPr>
          <w:rFonts w:hint="eastAsia" w:ascii="宋体" w:hAnsi="宋体" w:cs="宋体"/>
          <w:sz w:val="22"/>
          <w:szCs w:val="22"/>
        </w:rPr>
        <w:t xml:space="preserve">小时提交书面延期要求。</w:t>
      </w:r>
      <w:r>
        <w:rPr>
          <w:rFonts w:hint="eastAsia" w:ascii="宋体" w:hAnsi="宋体" w:cs="宋体"/>
          <w:sz w:val="22"/>
          <w:szCs w:val="22"/>
        </w:rPr>
      </w:r>
      <w:r/>
    </w:p>
    <w:p>
      <w:pPr>
        <w:pStyle w:val="957"/>
        <w:ind w:left="-420" w:right="-420" w:firstLine="440"/>
        <w:spacing w:line="400" w:lineRule="exact"/>
        <w:rPr>
          <w:rFonts w:hint="eastAsia" w:ascii="宋体" w:hAnsi="宋体" w:cs="宋体"/>
          <w:b/>
          <w:sz w:val="22"/>
          <w:szCs w:val="22"/>
        </w:rPr>
      </w:pPr>
      <w:r>
        <w:rPr>
          <w:rFonts w:hint="eastAsia" w:ascii="宋体" w:hAnsi="宋体" w:cs="宋体"/>
          <w:sz w:val="22"/>
          <w:szCs w:val="22"/>
        </w:rPr>
        <w:t xml:space="preserve">关于延期最长不得超过：</w:t>
      </w:r>
      <w:r>
        <w:rPr>
          <w:rFonts w:hint="eastAsia" w:ascii="宋体" w:hAnsi="宋体" w:cs="宋体"/>
          <w:sz w:val="22"/>
          <w:szCs w:val="22"/>
          <w:u w:val="single"/>
        </w:rPr>
        <w:t xml:space="preserve">48</w:t>
      </w:r>
      <w:r>
        <w:rPr>
          <w:rFonts w:hint="eastAsia" w:ascii="宋体" w:hAnsi="宋体" w:cs="宋体"/>
          <w:sz w:val="22"/>
          <w:szCs w:val="22"/>
        </w:rPr>
        <w:t xml:space="preserve">小时。</w:t>
      </w:r>
      <w:r>
        <w:rPr>
          <w:rFonts w:hint="eastAsia" w:ascii="宋体" w:hAnsi="宋体" w:cs="宋体"/>
          <w:b/>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13.2 竣工验收</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35" w:name="_Toc280868704"/>
      <w:r/>
      <w:bookmarkStart w:id="436" w:name="_Toc280868705"/>
      <w:r/>
      <w:bookmarkStart w:id="437" w:name="_Toc280868706"/>
      <w:r>
        <w:rPr>
          <w:rFonts w:hint="eastAsia" w:ascii="宋体" w:hAnsi="宋体" w:cs="宋体"/>
          <w:sz w:val="22"/>
          <w:szCs w:val="22"/>
        </w:rPr>
        <w:t xml:space="preserve">13.2.2竣工验收程序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435"/>
      <w:r>
        <w:rPr>
          <w:rFonts w:hint="eastAsia" w:ascii="宋体" w:hAnsi="宋体" w:cs="宋体"/>
          <w:sz w:val="22"/>
          <w:szCs w:val="22"/>
        </w:rPr>
        <w:t xml:space="preserve">关于竣工验收程序的约定：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发包人不按照本项约定组织竣工验收、颁发工程接收证书的违约金的计算方法：</w:t>
      </w:r>
      <w:bookmarkEnd w:id="436"/>
      <w:r>
        <w:rPr>
          <w:rFonts w:hint="eastAsia" w:ascii="宋体" w:hAnsi="宋体" w:cs="宋体"/>
          <w:sz w:val="22"/>
          <w:szCs w:val="22"/>
          <w:u w:val="single"/>
        </w:rPr>
        <w:t xml:space="preserve">无 </w:t>
      </w:r>
      <w:r>
        <w:rPr>
          <w:rFonts w:hint="eastAsia" w:ascii="宋体" w:hAnsi="宋体" w:cs="宋体"/>
          <w:sz w:val="22"/>
          <w:szCs w:val="22"/>
        </w:rPr>
        <w:t xml:space="preserve">。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13.2.5移交、接收全部与部分工程</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End w:id="437"/>
      <w:r>
        <w:rPr>
          <w:rFonts w:hint="eastAsia" w:ascii="宋体" w:hAnsi="宋体" w:cs="宋体"/>
          <w:sz w:val="22"/>
          <w:szCs w:val="22"/>
        </w:rPr>
        <w:t xml:space="preserve">承包人向发包人移交工程的期限：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发包人未按本合同约定接收全部或部分工程的，违约金的计算方法为：</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承包人未按时移交工程的，违约金的计算方法为：</w:t>
      </w:r>
      <w:r>
        <w:rPr>
          <w:rFonts w:hint="eastAsia" w:ascii="宋体" w:hAnsi="宋体" w:cs="宋体"/>
          <w:sz w:val="22"/>
          <w:szCs w:val="22"/>
          <w:u w:val="single"/>
        </w:rPr>
        <w:t xml:space="preserve">每延误1日承担5000元的违约金</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13.3 工程试车</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13.3.1 试车程序</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工程试车内容：</w:t>
      </w:r>
      <w:r>
        <w:rPr>
          <w:rFonts w:hint="eastAsia" w:ascii="宋体" w:hAnsi="宋体" w:cs="宋体"/>
          <w:sz w:val="22"/>
          <w:szCs w:val="22"/>
          <w:u w:val="single"/>
        </w:rPr>
        <w:t xml:space="preserve">按通用合同条款执行；发包人根据工程建设内容确定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（1）单机无负荷试车费用由</w:t>
      </w:r>
      <w:r>
        <w:rPr>
          <w:rFonts w:hint="eastAsia" w:ascii="宋体" w:hAnsi="宋体" w:cs="宋体"/>
          <w:sz w:val="22"/>
          <w:szCs w:val="22"/>
          <w:u w:val="single"/>
        </w:rPr>
        <w:t xml:space="preserve">承包人</w:t>
      </w:r>
      <w:r>
        <w:rPr>
          <w:rFonts w:hint="eastAsia" w:ascii="宋体" w:hAnsi="宋体" w:cs="宋体"/>
          <w:sz w:val="22"/>
          <w:szCs w:val="22"/>
        </w:rPr>
        <w:t xml:space="preserve">承担；</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（2）无负荷联动试车费用由</w:t>
      </w:r>
      <w:r>
        <w:rPr>
          <w:rFonts w:hint="eastAsia" w:ascii="宋体" w:hAnsi="宋体" w:cs="宋体"/>
          <w:sz w:val="22"/>
          <w:szCs w:val="22"/>
          <w:u w:val="single"/>
        </w:rPr>
        <w:t xml:space="preserve">承包人</w:t>
      </w:r>
      <w:r>
        <w:rPr>
          <w:rFonts w:hint="eastAsia" w:ascii="宋体" w:hAnsi="宋体" w:cs="宋体"/>
          <w:sz w:val="22"/>
          <w:szCs w:val="22"/>
        </w:rPr>
        <w:t xml:space="preserve">承担。</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13.3.3 投料试车</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关于投料试车相关事项的约定：</w:t>
      </w:r>
      <w:r>
        <w:rPr>
          <w:rFonts w:hint="eastAsia" w:ascii="宋体" w:hAnsi="宋体" w:cs="宋体"/>
          <w:sz w:val="22"/>
          <w:szCs w:val="22"/>
          <w:u w:val="single"/>
        </w:rPr>
        <w:t xml:space="preserve">投料试车、整改相关费用由承包人承担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13.6 竣工退场</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13.6.1 竣工退场</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承包人完成竣工退场的期限：</w:t>
      </w:r>
      <w:r>
        <w:rPr>
          <w:rFonts w:hint="eastAsia" w:ascii="宋体" w:hAnsi="宋体" w:cs="宋体"/>
          <w:sz w:val="22"/>
          <w:szCs w:val="22"/>
          <w:u w:val="single"/>
        </w:rPr>
        <w:t xml:space="preserve">工程完工通过验收合格，接发包人退场通知后7日内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38" w:name="_Toc19156"/>
      <w:r>
        <w:rPr>
          <w:rFonts w:hint="eastAsia" w:ascii="宋体" w:hAnsi="宋体" w:cs="宋体"/>
          <w:sz w:val="22"/>
          <w:szCs w:val="22"/>
        </w:rPr>
        <w:t xml:space="preserve">14. 竣工结算</w:t>
      </w:r>
      <w:bookmarkEnd w:id="438"/>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14.1 竣工结算申请</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承包人提交竣工结算申请单的期限：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竣工结算申请单应包括的内容：</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39" w:name="_Toc24521"/>
      <w:r>
        <w:rPr>
          <w:rFonts w:hint="eastAsia" w:ascii="宋体" w:hAnsi="宋体" w:cs="宋体"/>
          <w:sz w:val="22"/>
          <w:szCs w:val="22"/>
        </w:rPr>
        <w:t xml:space="preserve">14.2 竣工结算审核</w:t>
      </w:r>
      <w:bookmarkEnd w:id="439"/>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发包人审批竣工付款申请单的期限：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发包人完成竣工付款的期限：</w:t>
      </w:r>
      <w:r>
        <w:rPr>
          <w:rFonts w:hint="eastAsia" w:ascii="宋体" w:hAnsi="宋体" w:cs="宋体"/>
          <w:sz w:val="22"/>
          <w:szCs w:val="22"/>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关于竣工付款证书异议部分复核的方式和程序：</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14.4 最终结清</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14.4.1 最终结清申请单</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承包人提交最终结清申请单的份数：</w:t>
      </w:r>
      <w:r>
        <w:rPr>
          <w:rFonts w:hint="eastAsia" w:ascii="宋体" w:hAnsi="宋体" w:cs="宋体"/>
          <w:sz w:val="22"/>
          <w:szCs w:val="22"/>
          <w:u w:val="single"/>
        </w:rPr>
        <w:t xml:space="preserve">3份</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承包人提交最终结算申请单的期限：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14.4.2 最终结清证书和支付</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（1）发包人完成最终结清申请单的审批并颁发最终结清证书的期限：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60"/>
        <w:ind w:left="-420" w:right="-420" w:firstLine="440"/>
        <w:spacing w:line="400" w:lineRule="exact"/>
        <w:rPr>
          <w:rFonts w:hint="eastAsia" w:ascii="宋体" w:hAnsi="宋体" w:cs="宋体"/>
          <w:sz w:val="22"/>
        </w:rPr>
      </w:pPr>
      <w:r>
        <w:rPr>
          <w:rFonts w:hint="eastAsia" w:ascii="宋体" w:hAnsi="宋体" w:cs="宋体"/>
          <w:sz w:val="22"/>
        </w:rPr>
        <w:t xml:space="preserve">（2）发包人完成支付的期限：</w:t>
      </w:r>
      <w:r>
        <w:rPr>
          <w:rFonts w:hint="eastAsia" w:ascii="宋体" w:hAnsi="宋体" w:cs="宋体"/>
          <w:sz w:val="22"/>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cs="宋体"/>
          <w:sz w:val="22"/>
        </w:rPr>
        <w:t xml:space="preserve">。</w:t>
      </w:r>
      <w:r>
        <w:rPr>
          <w:rFonts w:hint="eastAsia" w:ascii="宋体" w:hAnsi="宋体" w:cs="宋体"/>
          <w:sz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 缺陷责任期与保修</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15.2缺陷责任期</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缺陷责任期的具体期限：</w:t>
      </w:r>
      <w:r>
        <w:rPr>
          <w:rFonts w:hint="eastAsia" w:ascii="宋体" w:hAnsi="宋体" w:cs="宋体"/>
          <w:sz w:val="22"/>
          <w:szCs w:val="22"/>
          <w:u w:val="single"/>
        </w:rPr>
        <w:t xml:space="preserve">自竣工验收合格之日起24个月</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15.3 质量保证金</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关于是否扣留质量保证金的约定：</w:t>
      </w:r>
      <w:r>
        <w:rPr>
          <w:rFonts w:hint="eastAsia" w:ascii="宋体" w:hAnsi="宋体" w:cs="宋体"/>
          <w:sz w:val="22"/>
          <w:szCs w:val="22"/>
          <w:u w:val="single"/>
        </w:rPr>
        <w:t xml:space="preserve">是</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在工程项目竣工前，承包人按专用合同条款第3.7条提供履约担保的，发包人不得同时预留工程质量保证金。</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40" w:name="_Toc13346"/>
      <w:r>
        <w:rPr>
          <w:rFonts w:hint="eastAsia" w:ascii="宋体" w:hAnsi="宋体" w:cs="宋体"/>
          <w:sz w:val="22"/>
          <w:szCs w:val="22"/>
        </w:rPr>
        <w:t xml:space="preserve">15.3.1 承包人提供质量保证金的方式</w:t>
      </w:r>
      <w:bookmarkEnd w:id="440"/>
      <w:r>
        <w:rPr>
          <w:rFonts w:hint="eastAsia" w:ascii="宋体" w:hAnsi="宋体" w:cs="宋体"/>
          <w:sz w:val="22"/>
          <w:szCs w:val="22"/>
        </w:rPr>
        <w:t xml:space="preserve">：</w:t>
      </w:r>
      <w:r>
        <w:rPr>
          <w:rFonts w:hint="eastAsia" w:ascii="宋体" w:hAnsi="宋体" w:cs="宋体"/>
          <w:sz w:val="22"/>
          <w:szCs w:val="22"/>
          <w:u w:val="single"/>
        </w:rPr>
        <w:t xml:space="preserve">质量保证金采用以下第（3）种方式；（3）其他方式:审计决算价款的3%</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41" w:name="_Toc22248"/>
      <w:r>
        <w:rPr>
          <w:rFonts w:hint="eastAsia" w:ascii="宋体" w:hAnsi="宋体" w:cs="宋体"/>
          <w:sz w:val="22"/>
          <w:szCs w:val="22"/>
        </w:rPr>
        <w:t xml:space="preserve">15.3.2 质量保证金的扣留</w:t>
      </w:r>
      <w:bookmarkEnd w:id="441"/>
      <w:r>
        <w:rPr>
          <w:rFonts w:hint="eastAsia" w:ascii="宋体" w:hAnsi="宋体" w:cs="宋体"/>
          <w:sz w:val="22"/>
          <w:szCs w:val="22"/>
        </w:rPr>
        <w:t xml:space="preserve">：</w:t>
      </w:r>
      <w:r>
        <w:rPr>
          <w:rFonts w:hint="eastAsia" w:ascii="宋体" w:hAnsi="宋体" w:cs="宋体"/>
          <w:sz w:val="22"/>
          <w:szCs w:val="22"/>
          <w:u w:val="single"/>
        </w:rPr>
        <w:t xml:space="preserve">质量保证金的扣留采取以下第（2）种方式；</w:t>
      </w:r>
      <w:bookmarkStart w:id="442" w:name="_Toc1316"/>
      <w:r>
        <w:rPr>
          <w:rFonts w:hint="eastAsia" w:ascii="宋体" w:hAnsi="宋体" w:cs="宋体"/>
          <w:sz w:val="22"/>
          <w:szCs w:val="22"/>
          <w:u w:val="single"/>
        </w:rPr>
        <w:t xml:space="preserve">（2）工程竣工结算时一次性扣留质量保证金</w:t>
      </w:r>
      <w:bookmarkEnd w:id="442"/>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关于质量保证金的补充约定：</w:t>
      </w:r>
      <w:r>
        <w:rPr>
          <w:rFonts w:hint="eastAsia" w:ascii="宋体" w:hAnsi="宋体" w:cs="宋体"/>
          <w:sz w:val="22"/>
          <w:szCs w:val="22"/>
          <w:u w:val="single"/>
        </w:rPr>
        <w:t xml:space="preserve">质量保证金在质保期满后退还（无息）</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15.4保修</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15.4.1 保修责任</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工程保修期为：</w:t>
      </w:r>
      <w:r>
        <w:rPr>
          <w:rFonts w:hint="eastAsia" w:ascii="宋体" w:hAnsi="宋体" w:cs="宋体"/>
          <w:sz w:val="22"/>
          <w:szCs w:val="22"/>
          <w:u w:val="single"/>
        </w:rPr>
        <w:t xml:space="preserve">自竣工验收合格之日起24个月</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15.4.3 修复通知</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承包人收到保修通知并到达工程现场的合理时间：</w:t>
      </w:r>
      <w:r>
        <w:rPr>
          <w:rFonts w:hint="eastAsia" w:ascii="宋体" w:hAnsi="宋体" w:cs="宋体"/>
          <w:sz w:val="22"/>
          <w:szCs w:val="22"/>
          <w:u w:val="single"/>
        </w:rPr>
        <w:t xml:space="preserve">24小时内，最长不得超过48小时</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43" w:name="_Toc3579"/>
      <w:r>
        <w:rPr>
          <w:rFonts w:hint="eastAsia" w:ascii="宋体" w:hAnsi="宋体" w:cs="宋体"/>
          <w:sz w:val="22"/>
          <w:szCs w:val="22"/>
        </w:rPr>
        <w:t xml:space="preserve">16. 违约</w:t>
      </w:r>
      <w:bookmarkEnd w:id="443"/>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44" w:name="_Toc29507"/>
      <w:r>
        <w:rPr>
          <w:rFonts w:hint="eastAsia" w:ascii="宋体" w:hAnsi="宋体" w:cs="宋体"/>
          <w:sz w:val="22"/>
          <w:szCs w:val="22"/>
        </w:rPr>
        <w:t xml:space="preserve">16.1 发包人违约</w:t>
      </w:r>
      <w:bookmarkEnd w:id="444"/>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16.1.1发包人违约的情形</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发包人违约的其他情形：</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right="-420" w:firstLine="440"/>
        <w:spacing w:line="400" w:lineRule="exact"/>
        <w:rPr>
          <w:rFonts w:hint="eastAsia" w:ascii="宋体" w:hAnsi="宋体" w:cs="宋体"/>
          <w:sz w:val="22"/>
          <w:szCs w:val="22"/>
        </w:rPr>
      </w:pPr>
      <w:r>
        <w:rPr>
          <w:rFonts w:hint="eastAsia" w:ascii="宋体" w:hAnsi="宋体" w:cs="宋体"/>
          <w:sz w:val="22"/>
          <w:szCs w:val="22"/>
        </w:rPr>
        <w:t xml:space="preserve">16.1.2 发包人违约的责任</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发包人违约责任的承担方式和计算方法：</w:t>
      </w:r>
      <w:r>
        <w:rPr>
          <w:rFonts w:hint="eastAsia" w:ascii="宋体" w:hAnsi="宋体" w:cs="宋体"/>
          <w:sz w:val="22"/>
          <w:szCs w:val="22"/>
        </w:rPr>
      </w:r>
      <w:r/>
    </w:p>
    <w:p>
      <w:pPr>
        <w:pStyle w:val="957"/>
        <w:numPr>
          <w:ilvl w:val="0"/>
          <w:numId w:val="10"/>
        </w:numPr>
        <w:ind w:left="-420" w:right="-420" w:firstLine="440"/>
        <w:spacing w:line="400" w:lineRule="exact"/>
        <w:rPr>
          <w:rFonts w:hint="eastAsia" w:ascii="宋体" w:hAnsi="宋体" w:cs="宋体"/>
          <w:sz w:val="22"/>
          <w:szCs w:val="22"/>
        </w:rPr>
      </w:pPr>
      <w:r>
        <w:rPr>
          <w:rFonts w:hint="eastAsia" w:ascii="宋体" w:hAnsi="宋体" w:cs="宋体"/>
          <w:sz w:val="22"/>
          <w:szCs w:val="22"/>
          <w:u w:val="single"/>
        </w:rPr>
        <w:t xml:space="preserve">因发包人</w:t>
      </w:r>
      <w:r>
        <w:rPr>
          <w:rFonts w:hint="eastAsia" w:ascii="宋体" w:hAnsi="宋体" w:cs="宋体"/>
          <w:sz w:val="22"/>
          <w:szCs w:val="22"/>
          <w:u w:val="single"/>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16.1.3 因发包人违约解除合同</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承包人按16.1.1项〔发包人违约的情形〕约定暂停施工满</w:t>
      </w:r>
      <w:r>
        <w:rPr>
          <w:rFonts w:hint="eastAsia" w:ascii="宋体" w:hAnsi="宋体" w:cs="宋体"/>
          <w:sz w:val="22"/>
          <w:szCs w:val="22"/>
          <w:u w:val="single"/>
        </w:rPr>
        <w:t xml:space="preserve"> / </w:t>
      </w:r>
      <w:r>
        <w:rPr>
          <w:rFonts w:hint="eastAsia" w:ascii="宋体" w:hAnsi="宋体" w:cs="宋体"/>
          <w:sz w:val="22"/>
          <w:szCs w:val="22"/>
        </w:rPr>
        <w:t xml:space="preserve">天后发包人仍不纠正其违约行为并致使合同目的不能实现的，承包人有权解除合同。</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45" w:name="_Toc21686"/>
      <w:r>
        <w:rPr>
          <w:rFonts w:hint="eastAsia" w:ascii="宋体" w:hAnsi="宋体" w:cs="宋体"/>
          <w:sz w:val="22"/>
          <w:szCs w:val="22"/>
        </w:rPr>
        <w:t xml:space="preserve">16.2 承包人违约</w:t>
      </w:r>
      <w:bookmarkEnd w:id="445"/>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16.2.1 承包人违约的情形</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承包人违约的其他情形：</w:t>
      </w:r>
      <w:r>
        <w:rPr>
          <w:rFonts w:hint="eastAsia" w:ascii="宋体" w:hAnsi="宋体" w:cs="宋体"/>
          <w:sz w:val="22"/>
          <w:szCs w:val="22"/>
          <w:u w:val="single"/>
        </w:rPr>
        <w:t xml:space="preserve">按专用合同中补充条款执行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16.2.2承包人违约的责任</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承包人违约责任的承担方式和计算方法：</w:t>
      </w:r>
      <w:r>
        <w:rPr>
          <w:rFonts w:hint="eastAsia" w:ascii="宋体" w:hAnsi="宋体" w:cs="宋体"/>
          <w:sz w:val="22"/>
          <w:szCs w:val="22"/>
          <w:u w:val="single"/>
        </w:rPr>
        <w:t xml:space="preserve">经济处罚、索赔（不免除或减轻承包人应承担的违约责任）；按专用合同相关条款执行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16.2.3 因承包人违约解除合同</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关于承包人违约解除合同的特别约定：</w:t>
      </w:r>
      <w:r>
        <w:rPr>
          <w:rFonts w:hint="eastAsia" w:ascii="宋体" w:hAnsi="宋体" w:cs="宋体"/>
          <w:sz w:val="22"/>
          <w:szCs w:val="22"/>
          <w:u w:val="single"/>
        </w:rPr>
        <w:t xml:space="preserve">（1）出现违约情况时，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发包人继续使用的行为不免除或减轻承包人应承担的违约责任。（2）承包人将其承包的全部工程转包给他人或者肢</w:t>
      </w:r>
      <w:r>
        <w:rPr>
          <w:rFonts w:hint="eastAsia" w:ascii="宋体" w:hAnsi="宋体" w:cs="宋体"/>
          <w:sz w:val="22"/>
          <w:szCs w:val="22"/>
          <w:u w:val="single"/>
        </w:rPr>
        <w:t xml:space="preserve">解以后以分包的名义分别转包给他人，发包人有权解除合同。（3）因人力不可抗力原因导致工程停建、缓建，使合同不能继续履行，发承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rPr>
          <w:rFonts w:hint="eastAsia" w:ascii="宋体" w:hAnsi="宋体" w:cs="宋体"/>
          <w:sz w:val="22"/>
          <w:szCs w:val="22"/>
          <w:u w:val="single"/>
        </w:rPr>
        <w:t xml:space="preserve">5）因任何原因解除合同的，合同解除后，承包人均需妥善做好已完工程和已购材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发包人继续使用承包人在施工现场的材料、设备、临时工程、承包人文件和由承包人或以其名义编制的其他文件的费用承担方式：</w:t>
      </w:r>
      <w:r>
        <w:rPr>
          <w:rFonts w:hint="eastAsia" w:ascii="宋体" w:hAnsi="宋体" w:cs="宋体"/>
          <w:sz w:val="22"/>
          <w:szCs w:val="22"/>
          <w:u w:val="single"/>
        </w:rPr>
        <w:t xml:space="preserve">发承双方商定、确定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 不可抗力</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17.1 不可抗力的确认</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除通用合同条款约定的不可抗力事件之外，视为不可抗力的其他情形：</w:t>
      </w:r>
      <w:r>
        <w:rPr>
          <w:rFonts w:hint="eastAsia" w:ascii="宋体" w:hAnsi="宋体" w:cs="宋体"/>
          <w:sz w:val="22"/>
          <w:szCs w:val="22"/>
          <w:u w:val="single"/>
        </w:rPr>
        <w:t xml:space="preserve">根据实际情况，由发包人确定</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17.4 因不可抗力解除合同</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合同解除后，发包人应在商定或确定发包人应支付款项后</w:t>
      </w:r>
      <w:r>
        <w:rPr>
          <w:rFonts w:hint="eastAsia" w:ascii="宋体" w:hAnsi="宋体" w:cs="宋体"/>
          <w:sz w:val="22"/>
          <w:szCs w:val="22"/>
          <w:u w:val="single"/>
        </w:rPr>
        <w:t xml:space="preserve">30</w:t>
      </w:r>
      <w:r>
        <w:rPr>
          <w:rFonts w:hint="eastAsia" w:ascii="宋体" w:hAnsi="宋体" w:cs="宋体"/>
          <w:sz w:val="22"/>
          <w:szCs w:val="22"/>
        </w:rPr>
        <w:t xml:space="preserve">天内完成款项的支付。</w:t>
      </w:r>
      <w:r>
        <w:rPr>
          <w:rFonts w:hint="eastAsia" w:ascii="宋体" w:hAnsi="宋体" w:cs="宋体"/>
          <w:sz w:val="22"/>
          <w:szCs w:val="22"/>
        </w:rPr>
      </w:r>
      <w:r/>
    </w:p>
    <w:p>
      <w:pPr>
        <w:pStyle w:val="957"/>
        <w:numPr>
          <w:ilvl w:val="0"/>
          <w:numId w:val="11"/>
        </w:numPr>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保险</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18.1 工程保险</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关于工程保险的特别约定：承包人应投保建筑工程一切险或安装工程一切险并并承担费用。</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18.2 工伤保险：</w:t>
      </w:r>
      <w:r>
        <w:rPr>
          <w:rFonts w:hint="eastAsia" w:ascii="宋体" w:hAnsi="宋体" w:cs="宋体"/>
          <w:sz w:val="22"/>
          <w:szCs w:val="22"/>
          <w:u w:val="single"/>
        </w:rPr>
        <w:t xml:space="preserve">发包人、承包人、监理人和为履行合同聘请的第三方等应依照法律规定要求参加工伤保险，费用由各方自行承担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46" w:name="_Toc9966"/>
      <w:r>
        <w:rPr>
          <w:rFonts w:hint="eastAsia" w:ascii="宋体" w:hAnsi="宋体" w:cs="宋体"/>
          <w:sz w:val="22"/>
          <w:szCs w:val="22"/>
        </w:rPr>
        <w:t xml:space="preserve">18.3 其他保险</w:t>
      </w:r>
      <w:bookmarkEnd w:id="446"/>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关于其他保险的约定：</w:t>
      </w:r>
      <w:r>
        <w:rPr>
          <w:rFonts w:hint="eastAsia" w:ascii="宋体" w:hAnsi="宋体" w:cs="宋体"/>
          <w:sz w:val="22"/>
          <w:szCs w:val="22"/>
          <w:u w:val="single"/>
        </w:rPr>
        <w:t xml:space="preserve">承包人可以为其施工现场的全部人员办理意外伤害保险并支付保险费，包括其员工及为履行合同聘请的第三方的人员</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承包人是否应为其施工设备等办理财产保险：</w:t>
      </w:r>
      <w:r>
        <w:rPr>
          <w:rFonts w:hint="eastAsia" w:ascii="宋体" w:hAnsi="宋体" w:cs="宋体"/>
          <w:sz w:val="22"/>
          <w:szCs w:val="22"/>
          <w:u w:val="single"/>
        </w:rPr>
        <w:t xml:space="preserve">承包人负责办理现场各种施工设施、设备、材料等的保险，并支付相应费用</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18.7 通知义务</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关于变更保险合同时的通知义务的约定：</w:t>
      </w:r>
      <w:r>
        <w:rPr>
          <w:rFonts w:hint="eastAsia" w:ascii="宋体" w:hAnsi="宋体" w:cs="宋体"/>
          <w:sz w:val="22"/>
          <w:szCs w:val="22"/>
          <w:u w:val="single"/>
        </w:rPr>
        <w:t xml:space="preserve">变更除工伤保险之外的保险合同时，应事先征得发包人同意，并通知监理人</w:t>
      </w:r>
      <w:r>
        <w:rPr>
          <w:rFonts w:hint="eastAsia" w:ascii="宋体" w:hAnsi="宋体" w:cs="宋体"/>
          <w:sz w:val="22"/>
          <w:szCs w:val="22"/>
        </w:rPr>
        <w:t xml:space="preserve">。</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20. 争议解决</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20.3 争议评审</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合同当事人是否同意将工程争议提交争议评审小组决定：</w:t>
      </w:r>
      <w:r>
        <w:rPr>
          <w:rFonts w:hint="eastAsia" w:ascii="宋体" w:hAnsi="宋体" w:cs="宋体"/>
          <w:sz w:val="22"/>
          <w:szCs w:val="22"/>
          <w:u w:val="single"/>
        </w:rPr>
        <w:t xml:space="preserve">发承双方根据具体事宜确定</w:t>
      </w:r>
      <w:r>
        <w:rPr>
          <w:rFonts w:hint="eastAsia" w:ascii="宋体" w:hAnsi="宋体" w:cs="宋体"/>
          <w:sz w:val="22"/>
          <w:szCs w:val="22"/>
        </w:rPr>
        <w:t xml:space="preserve">。  </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47" w:name="_Toc21891"/>
      <w:r>
        <w:rPr>
          <w:rFonts w:hint="eastAsia" w:ascii="宋体" w:hAnsi="宋体" w:cs="宋体"/>
          <w:sz w:val="22"/>
          <w:szCs w:val="22"/>
        </w:rPr>
        <w:t xml:space="preserve">20.3.1 争议评审小组的确定</w:t>
      </w:r>
      <w:bookmarkEnd w:id="447"/>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u w:val="single"/>
        </w:rPr>
      </w:pPr>
      <w:r>
        <w:rPr>
          <w:rFonts w:hint="eastAsia" w:ascii="宋体" w:hAnsi="宋体" w:cs="宋体"/>
          <w:sz w:val="22"/>
          <w:szCs w:val="22"/>
        </w:rPr>
        <w:t xml:space="preserve">争议评审小组成员的确定：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u w:val="single"/>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选定争议评审员的期限：</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争议评审小组成员的报酬承担方式：</w:t>
      </w:r>
      <w:r>
        <w:rPr>
          <w:rFonts w:hint="eastAsia" w:ascii="宋体" w:hAnsi="宋体" w:cs="宋体"/>
          <w:sz w:val="22"/>
          <w:szCs w:val="22"/>
          <w:u w:val="single"/>
        </w:rPr>
        <w:t xml:space="preserve">由承包人承担</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其他事项的约定：</w:t>
      </w:r>
      <w:r>
        <w:rPr>
          <w:rFonts w:hint="eastAsia" w:ascii="宋体" w:hAnsi="宋体" w:cs="宋体"/>
          <w:sz w:val="22"/>
          <w:szCs w:val="22"/>
          <w:u w:val="single"/>
        </w:rPr>
        <w:t xml:space="preserve">无</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bookmarkStart w:id="448" w:name="_Toc18435"/>
      <w:r>
        <w:rPr>
          <w:rFonts w:hint="eastAsia" w:ascii="宋体" w:hAnsi="宋体" w:cs="宋体"/>
          <w:sz w:val="22"/>
          <w:szCs w:val="22"/>
        </w:rPr>
        <w:t xml:space="preserve">20.3.2 争议评审小组的决定</w:t>
      </w:r>
      <w:bookmarkEnd w:id="448"/>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合同当事人关于本项的约定：</w:t>
      </w:r>
      <w:r>
        <w:rPr>
          <w:rFonts w:hint="eastAsia" w:ascii="宋体" w:hAnsi="宋体" w:cs="宋体"/>
          <w:sz w:val="22"/>
          <w:szCs w:val="22"/>
          <w:u w:val="single"/>
        </w:rPr>
        <w:t xml:space="preserve">按通用合同条款执行</w:t>
      </w:r>
      <w:r>
        <w:rPr>
          <w:rFonts w:hint="eastAsia" w:ascii="宋体" w:hAnsi="宋体" w:cs="宋体"/>
          <w:sz w:val="22"/>
          <w:szCs w:val="22"/>
        </w:rPr>
        <w:t xml:space="preserve">。</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20.4仲裁或诉讼</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因合同及合同有关事项发生的争议，按下列第</w:t>
      </w:r>
      <w:r>
        <w:rPr>
          <w:rFonts w:hint="eastAsia" w:ascii="宋体" w:hAnsi="宋体" w:cs="宋体"/>
          <w:sz w:val="22"/>
          <w:szCs w:val="22"/>
          <w:u w:val="single"/>
        </w:rPr>
        <w:t xml:space="preserve">（2）</w:t>
      </w:r>
      <w:r>
        <w:rPr>
          <w:rFonts w:hint="eastAsia" w:ascii="宋体" w:hAnsi="宋体" w:cs="宋体"/>
          <w:sz w:val="22"/>
          <w:szCs w:val="22"/>
        </w:rPr>
        <w:t xml:space="preserve">种方式解决：</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（1）向</w:t>
      </w:r>
      <w:r>
        <w:rPr>
          <w:rFonts w:hint="eastAsia" w:ascii="宋体" w:hAnsi="宋体" w:cs="宋体"/>
          <w:sz w:val="22"/>
          <w:szCs w:val="22"/>
          <w:u w:val="single"/>
        </w:rPr>
        <w:t xml:space="preserve">     /     </w:t>
      </w:r>
      <w:r>
        <w:rPr>
          <w:rFonts w:hint="eastAsia" w:ascii="宋体" w:hAnsi="宋体" w:cs="宋体"/>
          <w:sz w:val="22"/>
          <w:szCs w:val="22"/>
        </w:rPr>
        <w:t xml:space="preserve">仲裁委员会申请仲裁；</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（2）向</w:t>
      </w:r>
      <w:r>
        <w:rPr>
          <w:rFonts w:hint="eastAsia" w:ascii="宋体" w:hAnsi="宋体" w:cs="宋体"/>
          <w:sz w:val="22"/>
          <w:szCs w:val="22"/>
          <w:u w:val="single"/>
        </w:rPr>
        <w:t xml:space="preserve">发包人所在地</w:t>
      </w:r>
      <w:r>
        <w:rPr>
          <w:rFonts w:hint="eastAsia" w:ascii="宋体" w:hAnsi="宋体" w:cs="宋体"/>
          <w:sz w:val="22"/>
          <w:szCs w:val="22"/>
        </w:rPr>
        <w:t xml:space="preserve">人民法院起诉。</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以下部分是根据相关文件进行补充</w:t>
      </w:r>
      <w:r>
        <w:rPr>
          <w:rFonts w:hint="eastAsia" w:ascii="宋体" w:hAnsi="宋体" w:cs="宋体"/>
          <w:sz w:val="22"/>
          <w:szCs w:val="22"/>
        </w:rPr>
      </w:r>
      <w:r/>
    </w:p>
    <w:p>
      <w:pPr>
        <w:pStyle w:val="957"/>
        <w:ind w:left="-420" w:right="-420" w:firstLine="440"/>
        <w:spacing w:line="400" w:lineRule="exact"/>
        <w:rPr>
          <w:rFonts w:hint="eastAsia" w:ascii="宋体" w:hAnsi="宋体" w:cs="宋体"/>
          <w:sz w:val="22"/>
          <w:szCs w:val="22"/>
        </w:rPr>
      </w:pPr>
      <w:r>
        <w:rPr>
          <w:rFonts w:hint="eastAsia" w:ascii="宋体" w:hAnsi="宋体" w:cs="宋体"/>
          <w:sz w:val="22"/>
          <w:szCs w:val="22"/>
        </w:rPr>
        <w:t xml:space="preserve">21. 补充条款</w:t>
      </w:r>
      <w:r>
        <w:rPr>
          <w:rFonts w:hint="eastAsia" w:ascii="宋体" w:hAnsi="宋体" w:cs="宋体"/>
          <w:sz w:val="22"/>
          <w:szCs w:val="22"/>
        </w:rPr>
      </w:r>
      <w:r/>
    </w:p>
    <w:p>
      <w:pPr>
        <w:pStyle w:val="733"/>
        <w:ind w:left="-420" w:right="-420" w:firstLine="440"/>
        <w:spacing w:line="400" w:lineRule="exact"/>
        <w:widowControl/>
        <w:rPr>
          <w:rFonts w:hint="eastAsia" w:ascii="宋体" w:hAnsi="宋体" w:cs="宋体"/>
          <w:bCs/>
          <w:sz w:val="22"/>
        </w:rPr>
      </w:pPr>
      <w:r>
        <w:rPr>
          <w:rFonts w:hint="eastAsia" w:ascii="宋体" w:hAnsi="宋体" w:cs="宋体"/>
          <w:bCs/>
          <w:sz w:val="22"/>
        </w:rPr>
        <w:t xml:space="preserve">21.1.</w:t>
      </w:r>
      <w:r>
        <w:rPr>
          <w:rFonts w:hint="eastAsia" w:ascii="宋体" w:hAnsi="宋体" w:cs="宋体"/>
          <w:bCs/>
          <w:sz w:val="22"/>
          <w:u w:val="single"/>
        </w:rPr>
        <w:t xml:space="preserve">串通投标行为合同管理实施细则（以宿政发﹝2017﹞56号为准），包括但不限于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w:t>
      </w:r>
      <w:r>
        <w:rPr>
          <w:rFonts w:hint="eastAsia" w:ascii="宋体" w:hAnsi="宋体" w:cs="宋体"/>
          <w:bCs/>
          <w:sz w:val="22"/>
          <w:u w:val="single"/>
        </w:rPr>
        <w:t xml:space="preserve">标和弄虚作假行为的，均视同承包人存在违约责任，承包人应向发包人支付不低于合同金额2%的违约金（发包人可根据工程具体规模适当调整违约金比例，原则上1000万元以下工程不低于3%）；（三）承包人存在串通投标或弄虚作假行为，被行政监管部门查处并依法作出行政处罚的，不影响本合同违约责任履行，承包人仍须按合同约定向发包人支付违约金；（四）承包人应按照投标承诺和备案合同约定派驻现场技术、经济管理人员，并确保项目管理机构主要成员常驻施工现场，原则上不得调整；确需调整的，需经发包人同意。发包人应在进场施工前严格核对进场施工</w:t>
      </w:r>
      <w:r>
        <w:rPr>
          <w:rFonts w:hint="eastAsia" w:ascii="宋体" w:hAnsi="宋体" w:cs="宋体"/>
          <w:bCs/>
          <w:sz w:val="22"/>
          <w:u w:val="single"/>
        </w:rPr>
        <w:t xml:space="preserve">队伍，承包人擅自改变项目负责人及主要管理人员的，一律不得进场施工；（五）实行承包人项目管理机构主要成员现场签订考勤制度。项目管理机构主要成员每月出勤率不低于80%，否则，承包人向发包人支付不少于合同金额2%的违约金（发包人可根据工程具体规模适当调整违约金比例，原则上1000万元以下工程不低于3%）；（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rPr>
          <w:rFonts w:hint="eastAsia" w:ascii="宋体" w:hAnsi="宋体" w:cs="宋体"/>
          <w:bCs/>
          <w:sz w:val="22"/>
        </w:rPr>
        <w:t xml:space="preserve">。 </w:t>
      </w:r>
      <w:r>
        <w:rPr>
          <w:rFonts w:hint="eastAsia" w:ascii="宋体" w:hAnsi="宋体" w:cs="宋体"/>
          <w:bCs/>
          <w:sz w:val="22"/>
        </w:rPr>
      </w:r>
      <w:r/>
    </w:p>
    <w:p>
      <w:pPr>
        <w:pStyle w:val="961"/>
        <w:ind w:left="-420" w:right="-420" w:firstLine="440"/>
        <w:spacing w:line="400" w:lineRule="exact"/>
        <w:widowControl/>
        <w:rPr>
          <w:rFonts w:hint="eastAsia" w:ascii="宋体" w:hAnsi="宋体" w:cs="宋体"/>
          <w:bCs/>
          <w:sz w:val="22"/>
        </w:rPr>
      </w:pPr>
      <w:r>
        <w:rPr>
          <w:rFonts w:hint="eastAsia" w:ascii="宋体" w:hAnsi="宋体" w:cs="宋体"/>
          <w:bCs/>
          <w:sz w:val="22"/>
          <w:u w:val="single"/>
        </w:rPr>
        <w:t xml:space="preserve">21.2农民工工资管理按照人社部发〔2021〕65号、苏建建管﹝2016﹞707号、宿政发﹝2017﹞56号等文件执行；</w:t>
      </w:r>
      <w:r>
        <w:rPr>
          <w:rFonts w:hint="eastAsia" w:ascii="宋体" w:hAnsi="宋体" w:cs="宋体"/>
          <w:bCs/>
          <w:sz w:val="22"/>
        </w:rPr>
      </w:r>
      <w:r/>
    </w:p>
    <w:p>
      <w:pPr>
        <w:pStyle w:val="957"/>
        <w:ind w:left="-420" w:right="-420" w:firstLine="440"/>
        <w:spacing w:line="400" w:lineRule="exact"/>
        <w:rPr>
          <w:rFonts w:hint="eastAsia" w:ascii="宋体" w:hAnsi="宋体" w:cs="宋体"/>
          <w:bCs/>
          <w:sz w:val="22"/>
          <w:szCs w:val="22"/>
        </w:rPr>
      </w:pPr>
      <w:r>
        <w:rPr>
          <w:rFonts w:hint="eastAsia" w:ascii="宋体" w:hAnsi="宋体" w:cs="宋体"/>
          <w:bCs/>
          <w:sz w:val="22"/>
          <w:szCs w:val="22"/>
        </w:rPr>
        <w:t xml:space="preserve">21.3.</w:t>
      </w:r>
      <w:r>
        <w:rPr>
          <w:rFonts w:hint="eastAsia" w:ascii="宋体" w:hAnsi="宋体" w:cs="宋体"/>
          <w:bCs/>
          <w:sz w:val="22"/>
          <w:szCs w:val="22"/>
          <w:u w:val="single"/>
        </w:rPr>
        <w:t xml:space="preserve">转包违法分包行为合同管理实施细则（以宿政发﹝2017﹞56号为准），包括但不限于以下内容：（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w:t>
      </w:r>
      <w:r>
        <w:rPr>
          <w:rFonts w:hint="eastAsia" w:ascii="宋体" w:hAnsi="宋体" w:cs="宋体"/>
          <w:bCs/>
          <w:sz w:val="22"/>
          <w:szCs w:val="22"/>
          <w:u w:val="single"/>
        </w:rPr>
        <w:t xml:space="preserve">同约定的期限和方式支付合同价款；承包人承诺按照法律规定及合同约定组织完成工程施工，确保工程质量和安金，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问内举证</w:t>
      </w:r>
      <w:r>
        <w:rPr>
          <w:rFonts w:hint="eastAsia" w:ascii="宋体" w:hAnsi="宋体" w:cs="宋体"/>
          <w:bCs/>
          <w:sz w:val="22"/>
          <w:szCs w:val="22"/>
          <w:u w:val="single"/>
        </w:rPr>
        <w:t xml:space="preserve">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w:t>
      </w:r>
      <w:r>
        <w:rPr>
          <w:rFonts w:hint="eastAsia" w:ascii="宋体" w:hAnsi="宋体" w:cs="宋体"/>
          <w:bCs/>
          <w:sz w:val="22"/>
          <w:szCs w:val="22"/>
        </w:rPr>
        <w:t xml:space="preserve">。 </w:t>
      </w:r>
      <w:r>
        <w:rPr>
          <w:rFonts w:hint="eastAsia" w:ascii="宋体" w:hAnsi="宋体" w:cs="宋体"/>
          <w:bCs/>
          <w:sz w:val="22"/>
          <w:szCs w:val="22"/>
        </w:rPr>
      </w:r>
      <w:r/>
    </w:p>
    <w:p>
      <w:pPr>
        <w:pStyle w:val="957"/>
        <w:ind w:left="-420" w:right="-420" w:firstLine="440"/>
        <w:spacing w:line="400" w:lineRule="exact"/>
        <w:rPr>
          <w:rFonts w:hint="eastAsia" w:ascii="宋体" w:hAnsi="宋体" w:cs="宋体"/>
          <w:bCs/>
          <w:sz w:val="22"/>
          <w:szCs w:val="22"/>
        </w:rPr>
      </w:pPr>
      <w:r>
        <w:rPr>
          <w:rFonts w:hint="eastAsia" w:ascii="宋体" w:hAnsi="宋体" w:cs="宋体"/>
          <w:bCs/>
          <w:sz w:val="22"/>
          <w:szCs w:val="22"/>
        </w:rPr>
        <w:t xml:space="preserve">21.4.</w:t>
      </w:r>
      <w:r>
        <w:rPr>
          <w:rFonts w:hint="eastAsia" w:ascii="宋体" w:hAnsi="宋体" w:cs="宋体"/>
          <w:bCs/>
          <w:sz w:val="22"/>
          <w:szCs w:val="22"/>
          <w:u w:val="single"/>
        </w:rPr>
        <w:t xml:space="preserve">环境污染行为合同管理实施细则（以宿政发﹝2017﹞56号为准），包括但不限于以下内容：（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cs="宋体"/>
          <w:bCs/>
          <w:sz w:val="22"/>
          <w:szCs w:val="22"/>
          <w:u w:val="single"/>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rPr>
          <w:rFonts w:hint="eastAsia" w:ascii="宋体" w:hAnsi="宋体" w:cs="宋体"/>
          <w:bCs/>
          <w:sz w:val="22"/>
          <w:szCs w:val="22"/>
        </w:rPr>
      </w:r>
      <w:r/>
    </w:p>
    <w:p>
      <w:pPr>
        <w:pStyle w:val="733"/>
        <w:ind w:left="-420" w:right="-420" w:firstLine="440"/>
        <w:spacing w:line="400" w:lineRule="exact"/>
        <w:rPr>
          <w:rFonts w:hint="eastAsia" w:ascii="宋体" w:hAnsi="宋体" w:cs="宋体"/>
          <w:sz w:val="22"/>
        </w:rPr>
      </w:pPr>
      <w:r>
        <w:rPr>
          <w:rFonts w:hint="eastAsia" w:ascii="宋体" w:hAnsi="宋体" w:cs="宋体"/>
          <w:bCs/>
          <w:sz w:val="22"/>
        </w:rPr>
        <w:t xml:space="preserve">21.5</w:t>
      </w:r>
      <w:r>
        <w:rPr>
          <w:rFonts w:hint="eastAsia" w:ascii="宋体" w:hAnsi="宋体" w:cs="宋体"/>
          <w:sz w:val="22"/>
          <w:u w:val="single"/>
        </w:rPr>
        <w:t xml:space="preserve">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rPr>
          <w:rFonts w:hint="eastAsia" w:ascii="宋体" w:hAnsi="宋体" w:cs="宋体"/>
          <w:sz w:val="22"/>
        </w:rPr>
        <w:t xml:space="preserve">。</w:t>
      </w:r>
      <w:r>
        <w:rPr>
          <w:rFonts w:hint="eastAsia" w:ascii="宋体" w:hAnsi="宋体" w:cs="宋体"/>
          <w:sz w:val="22"/>
        </w:rPr>
      </w:r>
      <w:r/>
    </w:p>
    <w:p>
      <w:pPr>
        <w:pStyle w:val="733"/>
        <w:ind w:left="-420" w:right="-420" w:firstLine="440"/>
        <w:spacing w:line="400" w:lineRule="exact"/>
        <w:rPr>
          <w:rFonts w:hint="eastAsia" w:ascii="宋体" w:hAnsi="宋体" w:cs="宋体"/>
          <w:sz w:val="22"/>
        </w:rPr>
      </w:pPr>
      <w:r>
        <w:rPr>
          <w:rFonts w:hint="eastAsia" w:ascii="宋体" w:hAnsi="宋体" w:cs="宋体"/>
          <w:bCs/>
          <w:sz w:val="22"/>
        </w:rPr>
        <w:t xml:space="preserve">21.6.</w:t>
      </w:r>
      <w:r>
        <w:rPr>
          <w:rFonts w:hint="eastAsia" w:ascii="宋体" w:hAnsi="宋体" w:cs="宋体"/>
          <w:bCs/>
          <w:sz w:val="22"/>
          <w:u w:val="single"/>
        </w:rPr>
        <w:t xml:space="preserve">相关人员配备执行《江苏省建设工程施工项目经理部和项目监理机构主要管理人员配备办法》的通知（苏建建管〔2014〕701号）文件：投标人中标后，由招标人对按照投标文件中核验除项目经理外的其他人员（投标文件中列出的人员不满足规定的需另行配备）。其他人员核验按</w:t>
      </w:r>
      <w:r>
        <w:rPr>
          <w:rFonts w:hint="eastAsia" w:ascii="宋体" w:hAnsi="宋体" w:cs="宋体"/>
          <w:sz w:val="22"/>
          <w:u w:val="single"/>
        </w:rPr>
        <w:t xml:space="preserve">投标截止前6个月内人员的劳动合同、养老保险或医疗保险、执业证书标准执行，相关人员</w:t>
      </w:r>
      <w:r>
        <w:rPr>
          <w:rFonts w:hint="eastAsia" w:ascii="宋体" w:hAnsi="宋体" w:cs="宋体"/>
          <w:bCs/>
          <w:sz w:val="22"/>
          <w:u w:val="single"/>
        </w:rPr>
        <w:t xml:space="preserve">要服从发包人设立的工程项目管理部的管理，并纳入管理部的日常考核，严格履行请销假制度。未按规定的由招标人按《江苏省建设工程施工项目经理部和项目监理机构主要管理人员配备办法》苏建建管〔2014〕701号文件及相关规定进行处理</w:t>
      </w:r>
      <w:r>
        <w:rPr>
          <w:rFonts w:hint="eastAsia" w:ascii="宋体" w:hAnsi="宋体" w:cs="宋体"/>
          <w:sz w:val="22"/>
          <w:u w:val="single"/>
        </w:rPr>
        <w:t xml:space="preserve">。</w:t>
      </w:r>
      <w:r>
        <w:rPr>
          <w:rFonts w:hint="eastAsia" w:ascii="宋体" w:hAnsi="宋体" w:cs="宋体"/>
          <w:sz w:val="22"/>
        </w:rPr>
      </w:r>
      <w:r/>
    </w:p>
    <w:p>
      <w:pPr>
        <w:pStyle w:val="733"/>
        <w:ind w:left="-420" w:right="-420" w:firstLine="440"/>
        <w:spacing w:line="400" w:lineRule="exact"/>
        <w:rPr>
          <w:rFonts w:hint="eastAsia" w:ascii="宋体" w:hAnsi="宋体" w:cs="宋体"/>
          <w:bCs/>
          <w:sz w:val="22"/>
          <w:u w:val="single"/>
        </w:rPr>
      </w:pPr>
      <w:r>
        <w:rPr>
          <w:rFonts w:hint="eastAsia" w:ascii="宋体" w:hAnsi="宋体" w:cs="宋体"/>
          <w:sz w:val="22"/>
        </w:rPr>
        <w:t xml:space="preserve">21.7.</w:t>
      </w:r>
      <w:r>
        <w:rPr>
          <w:rFonts w:hint="eastAsia" w:ascii="宋体" w:hAnsi="宋体" w:cs="宋体"/>
          <w:sz w:val="22"/>
          <w:u w:val="single"/>
        </w:rPr>
        <w:t xml:space="preserve">自中标通知书发出后3日内，承包人投标文件上列出的项目管理机构人员到岗；自中标通知书发出后7日内，承包人提交经设计、建设单位批准的施工组织设计；自中标通知书发出后30日内，承包人</w:t>
      </w:r>
      <w:r>
        <w:rPr>
          <w:rFonts w:hint="eastAsia" w:ascii="宋体" w:hAnsi="宋体" w:cs="宋体"/>
          <w:bCs/>
          <w:sz w:val="22"/>
          <w:u w:val="single"/>
        </w:rPr>
        <w:t xml:space="preserve">完成履约保证金缴纳、合同签订、合同信息归集，否则将取消中标资格，投标保证金不予退还，记录不良行为予以公示,并按相关规定进行处罚；承包人需建立施工现场材料、设备、劳动、采购、租赁合同签定制度及项目经理的考勤制度；承包人按照招标文件约定足额提供履约担保（中标价5%，工程建设完成经验收合格后一次性退还；无息）；招标人委托县公共资源交易中心对中标人缴纳的履约担保进行统一代收代管；本合同中所有涉及发包人支付款项期限，均以工程所在地财政部门资金审批后计算。</w:t>
      </w:r>
      <w:r>
        <w:rPr>
          <w:rFonts w:hint="eastAsia" w:ascii="宋体" w:hAnsi="宋体" w:cs="宋体"/>
          <w:bCs/>
          <w:sz w:val="22"/>
          <w:u w:val="single"/>
        </w:rPr>
      </w:r>
      <w:r/>
    </w:p>
    <w:p>
      <w:pPr>
        <w:pStyle w:val="733"/>
        <w:ind w:left="-420" w:right="-420" w:firstLine="440"/>
        <w:spacing w:line="400" w:lineRule="exact"/>
        <w:rPr>
          <w:rFonts w:hint="eastAsia" w:ascii="宋体" w:hAnsi="宋体" w:cs="宋体"/>
          <w:sz w:val="22"/>
          <w:u w:val="single"/>
        </w:rPr>
      </w:pPr>
      <w:r>
        <w:rPr>
          <w:rFonts w:hint="eastAsia" w:ascii="宋体" w:hAnsi="宋体" w:cs="宋体"/>
          <w:sz w:val="22"/>
        </w:rPr>
        <w:t xml:space="preserve">21.8</w:t>
      </w:r>
      <w:r>
        <w:rPr>
          <w:rFonts w:hint="eastAsia" w:ascii="宋体" w:hAnsi="宋体" w:cs="宋体"/>
          <w:sz w:val="22"/>
          <w:u w:val="single"/>
        </w:rPr>
        <w:t xml:space="preserve">工程送审价审减率在3%以下的，审计费用由发包人承担；审减率在3%~5%范围的，审计费用由承包人承担；审减率超过5%的，承包人除承担审计费用外，并处以审减额10%的罚款，该罚款由审计部门在出具审计报告时直接从审定价中扣除。</w:t>
      </w:r>
      <w:r>
        <w:rPr>
          <w:rFonts w:hint="eastAsia" w:ascii="宋体" w:hAnsi="宋体" w:cs="宋体"/>
          <w:sz w:val="22"/>
          <w:u w:val="single"/>
        </w:rPr>
      </w:r>
      <w:r/>
    </w:p>
    <w:p>
      <w:pPr>
        <w:pStyle w:val="733"/>
        <w:ind w:left="-420" w:right="-420" w:firstLine="440"/>
        <w:spacing w:line="400" w:lineRule="exact"/>
        <w:rPr>
          <w:rFonts w:hint="eastAsia" w:ascii="宋体" w:hAnsi="宋体" w:cs="宋体"/>
          <w:sz w:val="22"/>
          <w:u w:val="single"/>
        </w:rPr>
      </w:pPr>
      <w:r>
        <w:rPr>
          <w:rFonts w:hint="eastAsia" w:ascii="宋体" w:hAnsi="宋体" w:cs="宋体"/>
          <w:sz w:val="22"/>
          <w:u w:val="single"/>
        </w:rPr>
        <w:t xml:space="preserve">21.9项目竣工后，将对污水处理厂处理水量及出水水质进行考核。在进水水质符合要求的情况下，如实际污水处理量或出水水质任一指标未达标准的，该工程不予支付工程款，已建设施归招标人所有，中标人需向招标人缴纳中标额10%的赔偿金。</w:t>
      </w:r>
      <w:r>
        <w:rPr>
          <w:rFonts w:hint="eastAsia" w:ascii="宋体" w:hAnsi="宋体" w:cs="宋体"/>
          <w:sz w:val="22"/>
          <w:u w:val="single"/>
        </w:rPr>
      </w:r>
      <w:r/>
    </w:p>
    <w:p>
      <w:pPr>
        <w:pStyle w:val="957"/>
        <w:ind w:left="-420" w:right="-420" w:firstLine="442"/>
        <w:jc w:val="center"/>
        <w:spacing w:line="400" w:lineRule="exact"/>
        <w:rPr>
          <w:rFonts w:hint="eastAsia" w:ascii="宋体" w:hAnsi="宋体" w:cs="宋体"/>
          <w:color w:val="ff0000"/>
        </w:rPr>
      </w:pPr>
      <w:r>
        <w:rPr>
          <w:rFonts w:hint="eastAsia" w:ascii="宋体" w:hAnsi="宋体" w:cs="宋体"/>
          <w:b/>
          <w:bCs/>
          <w:color w:val="000000"/>
          <w:sz w:val="22"/>
          <w:szCs w:val="22"/>
        </w:rPr>
        <w:t xml:space="preserve">项目管理机构主要成员</w:t>
      </w:r>
      <w:r>
        <w:rPr>
          <w:rFonts w:hint="eastAsia" w:ascii="宋体" w:hAnsi="宋体" w:cs="宋体"/>
          <w:color w:val="ff0000"/>
        </w:rPr>
      </w:r>
      <w:r/>
    </w:p>
    <w:tbl>
      <w:tblPr>
        <w:tblW w:w="89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34"/>
        <w:gridCol w:w="1255"/>
        <w:gridCol w:w="2683"/>
        <w:gridCol w:w="2652"/>
      </w:tblGrid>
      <w:tr>
        <w:trPr>
          <w:trHeight w:val="680"/>
        </w:trPr>
        <w:tc>
          <w:tcPr>
            <w:tcW w:w="813" w:type="dxa"/>
            <w:vAlign w:val="center"/>
            <w:textDirection w:val="lrTb"/>
            <w:noWrap w:val="false"/>
          </w:tcPr>
          <w:p>
            <w:pPr>
              <w:pStyle w:val="733"/>
              <w:ind w:right="-210"/>
              <w:jc w:val="center"/>
              <w:spacing w:line="300" w:lineRule="exac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534" w:type="dxa"/>
            <w:vAlign w:val="center"/>
            <w:textDirection w:val="lrTb"/>
            <w:noWrap w:val="false"/>
          </w:tcPr>
          <w:p>
            <w:pPr>
              <w:pStyle w:val="733"/>
              <w:ind w:right="-210"/>
              <w:jc w:val="center"/>
              <w:spacing w:line="300" w:lineRule="exact"/>
              <w:rPr>
                <w:rFonts w:ascii="宋体" w:hAnsi="宋体" w:cs="宋体"/>
                <w:color w:val="000000"/>
                <w:szCs w:val="21"/>
              </w:rPr>
            </w:pPr>
            <w:r>
              <w:rPr>
                <w:rFonts w:hint="eastAsia" w:ascii="宋体" w:hAnsi="宋体" w:cs="宋体"/>
                <w:color w:val="000000"/>
                <w:szCs w:val="21"/>
              </w:rPr>
              <w:t xml:space="preserve">岗位</w:t>
            </w:r>
            <w:r>
              <w:rPr>
                <w:rFonts w:ascii="宋体" w:hAnsi="宋体" w:cs="宋体"/>
                <w:color w:val="000000"/>
                <w:szCs w:val="21"/>
              </w:rPr>
            </w:r>
            <w:r/>
          </w:p>
        </w:tc>
        <w:tc>
          <w:tcPr>
            <w:tcW w:w="1255" w:type="dxa"/>
            <w:vAlign w:val="top"/>
            <w:textDirection w:val="lrTb"/>
            <w:noWrap w:val="false"/>
          </w:tcPr>
          <w:p>
            <w:pPr>
              <w:pStyle w:val="733"/>
              <w:ind w:right="-210"/>
              <w:jc w:val="center"/>
              <w:spacing w:line="300" w:lineRule="exact"/>
              <w:rPr>
                <w:rFonts w:ascii="宋体" w:hAnsi="宋体" w:cs="宋体"/>
                <w:color w:val="000000"/>
                <w:szCs w:val="21"/>
              </w:rPr>
            </w:pPr>
            <w:r>
              <w:rPr>
                <w:rFonts w:hint="eastAsia" w:ascii="宋体" w:hAnsi="宋体" w:cs="宋体"/>
                <w:color w:val="000000"/>
                <w:szCs w:val="21"/>
              </w:rPr>
              <w:t xml:space="preserve">姓名</w:t>
            </w:r>
            <w:r>
              <w:rPr>
                <w:rFonts w:ascii="宋体" w:hAnsi="宋体" w:cs="宋体"/>
                <w:color w:val="000000"/>
                <w:szCs w:val="21"/>
              </w:rPr>
            </w:r>
            <w:r/>
          </w:p>
        </w:tc>
        <w:tc>
          <w:tcPr>
            <w:tcW w:w="2683" w:type="dxa"/>
            <w:vAlign w:val="center"/>
            <w:textDirection w:val="lrTb"/>
            <w:noWrap w:val="false"/>
          </w:tcPr>
          <w:p>
            <w:pPr>
              <w:pStyle w:val="733"/>
              <w:ind w:right="-210"/>
              <w:jc w:val="center"/>
              <w:spacing w:line="300" w:lineRule="exact"/>
              <w:rPr>
                <w:rFonts w:ascii="宋体" w:hAnsi="宋体" w:cs="宋体"/>
                <w:color w:val="000000"/>
                <w:szCs w:val="21"/>
              </w:rPr>
            </w:pPr>
            <w:r>
              <w:rPr>
                <w:rFonts w:hint="eastAsia" w:ascii="宋体" w:hAnsi="宋体" w:cs="宋体"/>
                <w:color w:val="000000"/>
                <w:szCs w:val="21"/>
              </w:rPr>
              <w:t xml:space="preserve">身份证号</w:t>
            </w:r>
            <w:r>
              <w:rPr>
                <w:rFonts w:ascii="宋体" w:hAnsi="宋体" w:cs="宋体"/>
                <w:color w:val="000000"/>
                <w:szCs w:val="21"/>
              </w:rPr>
            </w:r>
            <w:r/>
          </w:p>
        </w:tc>
        <w:tc>
          <w:tcPr>
            <w:tcW w:w="2652" w:type="dxa"/>
            <w:vAlign w:val="center"/>
            <w:textDirection w:val="lrTb"/>
            <w:noWrap w:val="false"/>
          </w:tcPr>
          <w:p>
            <w:pPr>
              <w:pStyle w:val="733"/>
              <w:ind w:right="-210"/>
              <w:jc w:val="center"/>
              <w:spacing w:line="300" w:lineRule="exact"/>
              <w:rPr>
                <w:rFonts w:ascii="宋体" w:hAnsi="宋体" w:cs="宋体"/>
                <w:color w:val="000000"/>
                <w:szCs w:val="21"/>
              </w:rPr>
            </w:pPr>
            <w:r>
              <w:rPr>
                <w:rFonts w:hint="eastAsia" w:ascii="宋体" w:hAnsi="宋体" w:cs="宋体"/>
                <w:color w:val="000000"/>
                <w:szCs w:val="21"/>
              </w:rPr>
              <w:t xml:space="preserve">注册证书</w:t>
            </w:r>
            <w:r>
              <w:rPr>
                <w:rFonts w:ascii="宋体" w:hAnsi="宋体" w:cs="宋体"/>
                <w:color w:val="000000"/>
                <w:szCs w:val="21"/>
              </w:rPr>
            </w:r>
            <w:r/>
          </w:p>
        </w:tc>
      </w:tr>
      <w:tr>
        <w:trPr>
          <w:trHeight w:val="680"/>
        </w:trPr>
        <w:tc>
          <w:tcPr>
            <w:tcW w:w="813" w:type="dxa"/>
            <w:vAlign w:val="center"/>
            <w:textDirection w:val="lrTb"/>
            <w:noWrap w:val="false"/>
          </w:tcPr>
          <w:p>
            <w:pPr>
              <w:pStyle w:val="733"/>
              <w:ind w:right="-210"/>
              <w:jc w:val="center"/>
              <w:spacing w:line="30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534" w:type="dxa"/>
            <w:vAlign w:val="center"/>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1255"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2683"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2652"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r>
      <w:tr>
        <w:trPr>
          <w:trHeight w:val="680"/>
        </w:trPr>
        <w:tc>
          <w:tcPr>
            <w:tcW w:w="813" w:type="dxa"/>
            <w:vAlign w:val="center"/>
            <w:textDirection w:val="lrTb"/>
            <w:noWrap w:val="false"/>
          </w:tcPr>
          <w:p>
            <w:pPr>
              <w:pStyle w:val="733"/>
              <w:ind w:right="-210"/>
              <w:jc w:val="center"/>
              <w:spacing w:line="30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534" w:type="dxa"/>
            <w:vAlign w:val="center"/>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1255"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2683"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2652"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r>
      <w:tr>
        <w:trPr>
          <w:trHeight w:val="696"/>
        </w:trPr>
        <w:tc>
          <w:tcPr>
            <w:tcW w:w="813" w:type="dxa"/>
            <w:vAlign w:val="center"/>
            <w:textDirection w:val="lrTb"/>
            <w:noWrap w:val="false"/>
          </w:tcPr>
          <w:p>
            <w:pPr>
              <w:pStyle w:val="733"/>
              <w:ind w:right="-210"/>
              <w:jc w:val="center"/>
              <w:spacing w:line="30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534" w:type="dxa"/>
            <w:vAlign w:val="center"/>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1255"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2683"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c>
          <w:tcPr>
            <w:tcW w:w="2652" w:type="dxa"/>
            <w:vAlign w:val="top"/>
            <w:textDirection w:val="lrTb"/>
            <w:noWrap w:val="false"/>
          </w:tcPr>
          <w:p>
            <w:pPr>
              <w:pStyle w:val="733"/>
              <w:ind w:right="-210"/>
              <w:jc w:val="center"/>
              <w:spacing w:line="300" w:lineRule="exact"/>
              <w:rPr>
                <w:rFonts w:ascii="宋体" w:hAnsi="宋体" w:cs="宋体"/>
                <w:color w:val="000000"/>
                <w:szCs w:val="21"/>
              </w:rPr>
            </w:pPr>
            <w:r>
              <w:rPr>
                <w:rFonts w:ascii="宋体" w:hAnsi="宋体" w:cs="宋体"/>
                <w:color w:val="000000"/>
                <w:szCs w:val="21"/>
              </w:rPr>
            </w:r>
            <w:r/>
          </w:p>
        </w:tc>
      </w:tr>
    </w:tbl>
    <w:p>
      <w:pPr>
        <w:pStyle w:val="959"/>
        <w:rPr>
          <w:rFonts w:hint="eastAsia" w:ascii="宋体" w:hAnsi="宋体"/>
          <w:color w:val="ff0000"/>
          <w:sz w:val="20"/>
          <w:highlight w:val="white"/>
        </w:rPr>
      </w:pPr>
      <w:r>
        <w:rPr>
          <w:rFonts w:hint="eastAsia" w:ascii="宋体" w:hAnsi="宋体"/>
          <w:color w:val="ff0000"/>
          <w:sz w:val="20"/>
          <w:highlight w:val="white"/>
        </w:rPr>
        <w:t xml:space="preserve"> </w:t>
      </w:r>
      <w:r>
        <w:rPr>
          <w:rFonts w:hint="eastAsia" w:ascii="宋体" w:hAnsi="宋体"/>
          <w:color w:val="ff0000"/>
          <w:sz w:val="20"/>
          <w:highlight w:val="white"/>
        </w:rPr>
      </w:r>
      <w:r/>
    </w:p>
    <w:p>
      <w:pPr>
        <w:pStyle w:val="735"/>
        <w:rPr>
          <w:rFonts w:hint="eastAsia" w:ascii="宋体" w:hAnsi="宋体"/>
          <w:color w:val="000080"/>
          <w:sz w:val="20"/>
          <w:highlight w:val="white"/>
        </w:rPr>
      </w:pPr>
      <w:r>
        <w:rPr>
          <w:rFonts w:hint="eastAsia" w:ascii="宋体" w:hAnsi="宋体"/>
          <w:color w:val="000080"/>
          <w:sz w:val="20"/>
          <w:highlight w:val="white"/>
        </w:rPr>
        <w:t xml:space="preserve"> </w:t>
      </w:r>
      <w:r>
        <w:rPr>
          <w:rFonts w:hint="eastAsia" w:ascii="宋体" w:hAnsi="宋体"/>
          <w:color w:val="000080"/>
          <w:sz w:val="20"/>
          <w:highlight w:val="white"/>
        </w:rPr>
      </w:r>
      <w:r/>
    </w:p>
    <w:p>
      <w:pPr>
        <w:pStyle w:val="674"/>
        <w:rPr>
          <w:rFonts w:hint="eastAsia"/>
          <w:color w:val="000080"/>
          <w:sz w:val="20"/>
          <w:highlight w:val="white"/>
        </w:rPr>
      </w:pPr>
      <w:r>
        <w:rPr>
          <w:color w:val="000080"/>
          <w:sz w:val="20"/>
          <w:highlight w:val="white"/>
        </w:rPr>
        <w:t xml:space="preserve"> </w:t>
      </w:r>
      <w:bookmarkEnd w:id="196"/>
      <w:r>
        <w:rPr>
          <w:rFonts w:hint="eastAsia"/>
          <w:color w:val="000080"/>
          <w:sz w:val="20"/>
          <w:highlight w:val="white"/>
        </w:rPr>
      </w:r>
      <w:r/>
    </w:p>
    <w:p>
      <w:pPr>
        <w:pStyle w:val="957"/>
        <w:ind w:left="-420" w:right="-420" w:firstLine="400"/>
        <w:jc w:val="center"/>
        <w:spacing w:line="360" w:lineRule="exact"/>
        <w:rPr>
          <w:rFonts w:hint="eastAsia" w:ascii="新宋体" w:hAnsi="新宋体" w:eastAsia="新宋体" w:cs="新宋体"/>
          <w:b/>
          <w:bCs/>
          <w:sz w:val="36"/>
          <w:szCs w:val="36"/>
        </w:rPr>
      </w:pPr>
      <w:r>
        <w:br w:type="page" w:clear="all"/>
      </w:r>
      <w:r>
        <w:rPr>
          <w:rFonts w:hint="eastAsia" w:ascii="宋体" w:hAnsi="宋体" w:cs="方正黑体_GBK"/>
          <w:b/>
          <w:bCs/>
          <w:sz w:val="30"/>
          <w:szCs w:val="30"/>
        </w:rPr>
        <w:t xml:space="preserve">第四部分 调试验收及托管运营专用合同条款</w:t>
      </w:r>
      <w:r>
        <w:rPr>
          <w:rFonts w:hint="eastAsia" w:ascii="新宋体" w:hAnsi="新宋体" w:eastAsia="新宋体" w:cs="新宋体"/>
          <w:b/>
          <w:bCs/>
          <w:sz w:val="36"/>
          <w:szCs w:val="36"/>
        </w:rPr>
      </w:r>
      <w:r/>
    </w:p>
    <w:p>
      <w:pPr>
        <w:pStyle w:val="838"/>
        <w:ind w:firstLine="482"/>
        <w:spacing w:line="360" w:lineRule="exact"/>
        <w:rPr>
          <w:rFonts w:hint="eastAsia" w:ascii="新宋体" w:hAnsi="新宋体" w:eastAsia="新宋体" w:cs="新宋体"/>
          <w:sz w:val="24"/>
        </w:rPr>
      </w:pPr>
      <w:r>
        <w:rPr>
          <w:rFonts w:hint="eastAsia" w:ascii="新宋体" w:hAnsi="新宋体" w:eastAsia="新宋体" w:cs="新宋体"/>
          <w:b/>
          <w:bCs/>
          <w:sz w:val="24"/>
        </w:rPr>
        <w:t xml:space="preserve">工程概况</w:t>
      </w:r>
      <w:r>
        <w:rPr>
          <w:rFonts w:hint="eastAsia" w:ascii="新宋体" w:hAnsi="新宋体" w:eastAsia="新宋体" w:cs="新宋体"/>
          <w:sz w:val="24"/>
        </w:rPr>
        <w:t xml:space="preserve">：</w:t>
      </w:r>
      <w:r>
        <w:rPr>
          <w:rFonts w:hint="eastAsia" w:ascii="新宋体" w:hAnsi="新宋体" w:eastAsia="新宋体" w:cs="新宋体"/>
          <w:sz w:val="24"/>
        </w:rPr>
      </w:r>
      <w:r/>
    </w:p>
    <w:p>
      <w:pPr>
        <w:pStyle w:val="847"/>
        <w:ind w:firstLine="480"/>
        <w:spacing w:line="360" w:lineRule="exact"/>
        <w:rPr>
          <w:rFonts w:hint="eastAsia" w:ascii="新宋体" w:hAnsi="新宋体" w:eastAsia="新宋体" w:cs="新宋体"/>
          <w:szCs w:val="24"/>
        </w:rPr>
      </w:pPr>
      <w:r>
        <w:rPr>
          <w:rFonts w:hint="eastAsia" w:ascii="新宋体" w:hAnsi="新宋体" w:eastAsia="新宋体" w:cs="新宋体"/>
          <w:szCs w:val="24"/>
        </w:rPr>
        <w:t xml:space="preserve">本项目为</w:t>
      </w:r>
      <w:r>
        <w:rPr>
          <w:rFonts w:ascii="新宋体" w:hAnsi="新宋体" w:eastAsia="新宋体" w:cs="新宋体"/>
          <w:szCs w:val="24"/>
        </w:rPr>
        <w:t xml:space="preserve">沭阳县陇集镇污水处理厂提质提标工程</w:t>
      </w:r>
      <w:r>
        <w:rPr>
          <w:rFonts w:hint="eastAsia" w:ascii="新宋体" w:hAnsi="新宋体" w:eastAsia="新宋体" w:cs="新宋体"/>
          <w:szCs w:val="24"/>
        </w:rPr>
        <w:t xml:space="preserve">，处理规模为 1500 m3/d。工程位于江苏省沭阳县陇集镇。</w:t>
      </w:r>
      <w:r>
        <w:rPr>
          <w:rFonts w:hint="eastAsia" w:ascii="新宋体" w:hAnsi="新宋体" w:eastAsia="新宋体" w:cs="新宋体"/>
          <w:szCs w:val="24"/>
        </w:rPr>
      </w:r>
      <w:r/>
    </w:p>
    <w:p>
      <w:pPr>
        <w:pStyle w:val="838"/>
        <w:ind w:firstLine="120"/>
        <w:spacing w:line="360" w:lineRule="exact"/>
        <w:rPr>
          <w:rFonts w:hint="eastAsia" w:ascii="新宋体" w:hAnsi="新宋体" w:eastAsia="新宋体" w:cs="新宋体"/>
          <w:sz w:val="24"/>
        </w:rPr>
      </w:pPr>
      <w:r>
        <w:rPr>
          <w:rFonts w:hint="eastAsia" w:ascii="新宋体" w:hAnsi="新宋体" w:eastAsia="新宋体" w:cs="新宋体"/>
          <w:bCs/>
          <w:sz w:val="24"/>
        </w:rPr>
        <w:t xml:space="preserve">1.1.1设计进出水水质</w:t>
      </w:r>
      <w:r>
        <w:rPr>
          <w:rFonts w:hint="eastAsia" w:ascii="新宋体" w:hAnsi="新宋体" w:eastAsia="新宋体" w:cs="新宋体"/>
          <w:sz w:val="24"/>
        </w:rPr>
      </w:r>
      <w:r/>
    </w:p>
    <w:p>
      <w:pPr>
        <w:pStyle w:val="847"/>
        <w:ind w:firstLine="480"/>
        <w:spacing w:line="360" w:lineRule="exact"/>
        <w:rPr>
          <w:rFonts w:hint="eastAsia" w:ascii="新宋体" w:hAnsi="新宋体" w:eastAsia="新宋体" w:cs="新宋体"/>
          <w:szCs w:val="24"/>
        </w:rPr>
      </w:pPr>
      <w:r>
        <w:rPr>
          <w:rFonts w:hint="eastAsia" w:ascii="新宋体" w:hAnsi="新宋体" w:eastAsia="新宋体" w:cs="新宋体"/>
          <w:szCs w:val="24"/>
        </w:rPr>
        <w:t xml:space="preserve">本工程设计进出水水质主要指标如下表所示。</w:t>
      </w:r>
      <w:r>
        <w:rPr>
          <w:rFonts w:hint="eastAsia" w:ascii="新宋体" w:hAnsi="新宋体" w:eastAsia="新宋体" w:cs="新宋体"/>
          <w:szCs w:val="24"/>
        </w:rPr>
      </w:r>
      <w:r/>
    </w:p>
    <w:p>
      <w:pPr>
        <w:pStyle w:val="838"/>
        <w:ind w:firstLine="400"/>
        <w:spacing w:line="360" w:lineRule="exact"/>
        <w:rPr>
          <w:rFonts w:hint="eastAsia" w:ascii="新宋体" w:hAnsi="新宋体" w:eastAsia="新宋体"/>
          <w:sz w:val="24"/>
        </w:rPr>
      </w:pPr>
      <w:r/>
      <w:bookmarkStart w:id="449" w:name="_Toc475429759"/>
      <w:r/>
      <w:bookmarkStart w:id="450" w:name="_Toc475116213"/>
      <w:r>
        <w:rPr>
          <w:rFonts w:hint="eastAsia"/>
          <w:color w:val="000000"/>
          <w:szCs w:val="20"/>
        </w:rPr>
        <w:t xml:space="preserve">                                  </w:t>
      </w:r>
      <w:r>
        <w:rPr>
          <w:rFonts w:hint="eastAsia" w:ascii="新宋体" w:hAnsi="新宋体" w:eastAsia="新宋体"/>
          <w:b/>
          <w:sz w:val="24"/>
        </w:rPr>
        <w:t xml:space="preserve">进水水质</w:t>
      </w:r>
      <w:r>
        <w:rPr>
          <w:rFonts w:hint="eastAsia" w:ascii="新宋体" w:hAnsi="新宋体" w:eastAsia="新宋体"/>
          <w:sz w:val="24"/>
        </w:rPr>
      </w:r>
      <w:r/>
    </w:p>
    <w:tbl>
      <w:tblPr>
        <w:tblW w:w="0" w:type="auto"/>
        <w:jc w:val="center"/>
        <w:tblInd w:w="-108" w:type="dxa"/>
        <w:tblBorders>
          <w:top w:val="single" w:color="000000" w:sz="8" w:space="0"/>
          <w:left w:val="single" w:color="000000" w:sz="4" w:space="0"/>
          <w:bottom w:val="single" w:color="000000" w:sz="8"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4"/>
        <w:gridCol w:w="1024"/>
        <w:gridCol w:w="1024"/>
        <w:gridCol w:w="1025"/>
        <w:gridCol w:w="1025"/>
        <w:gridCol w:w="1025"/>
        <w:gridCol w:w="1025"/>
      </w:tblGrid>
      <w:tr>
        <w:trPr>
          <w:cantSplit/>
          <w:trHeight w:val="340"/>
        </w:trPr>
        <w:tc>
          <w:tcPr>
            <w:tcW w:w="1834" w:type="dxa"/>
            <w:vAlign w:val="center"/>
            <w:textDirection w:val="lrTb"/>
            <w:noWrap w:val="false"/>
          </w:tcPr>
          <w:p>
            <w:pPr>
              <w:pStyle w:val="848"/>
              <w:spacing w:line="440" w:lineRule="exact"/>
              <w:rPr>
                <w:rFonts w:hint="eastAsia" w:ascii="新宋体" w:hAnsi="新宋体" w:eastAsia="新宋体"/>
                <w:sz w:val="20"/>
                <w:szCs w:val="20"/>
              </w:rPr>
            </w:pPr>
            <w:r>
              <w:rPr>
                <w:rFonts w:hint="eastAsia" w:ascii="新宋体" w:hAnsi="新宋体" w:eastAsia="新宋体"/>
                <w:sz w:val="20"/>
                <w:szCs w:val="20"/>
              </w:rPr>
              <w:t xml:space="preserve">进水水质</w:t>
            </w:r>
            <w:r>
              <w:rPr>
                <w:rFonts w:hint="eastAsia" w:ascii="新宋体" w:hAnsi="新宋体" w:eastAsia="新宋体"/>
                <w:sz w:val="20"/>
                <w:szCs w:val="20"/>
              </w:rPr>
            </w:r>
            <w:r/>
          </w:p>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（单位：</w:t>
            </w:r>
            <w:r>
              <w:rPr>
                <w:rFonts w:ascii="新宋体" w:hAnsi="新宋体" w:eastAsia="新宋体"/>
                <w:sz w:val="20"/>
                <w:szCs w:val="20"/>
              </w:rPr>
              <w:t xml:space="preserve">mg/1</w:t>
            </w:r>
            <w:r>
              <w:rPr>
                <w:rFonts w:hint="eastAsia" w:ascii="新宋体" w:hAnsi="新宋体" w:eastAsia="新宋体"/>
                <w:sz w:val="20"/>
                <w:szCs w:val="20"/>
              </w:rPr>
              <w:t xml:space="preserve">）</w:t>
            </w:r>
            <w:r>
              <w:rPr>
                <w:rFonts w:ascii="新宋体" w:hAnsi="新宋体" w:eastAsia="新宋体"/>
                <w:sz w:val="20"/>
                <w:szCs w:val="20"/>
              </w:rPr>
            </w:r>
            <w:r/>
          </w:p>
        </w:tc>
        <w:tc>
          <w:tcPr>
            <w:tcW w:w="1024" w:type="dxa"/>
            <w:vAlign w:val="center"/>
            <w:textDirection w:val="lrTb"/>
            <w:noWrap w:val="false"/>
          </w:tcPr>
          <w:p>
            <w:pPr>
              <w:pStyle w:val="848"/>
              <w:spacing w:line="440" w:lineRule="exact"/>
              <w:rPr>
                <w:rFonts w:hint="eastAsia" w:ascii="新宋体" w:hAnsi="新宋体" w:eastAsia="新宋体"/>
                <w:b/>
                <w:bCs/>
                <w:sz w:val="20"/>
                <w:szCs w:val="20"/>
              </w:rPr>
            </w:pPr>
            <w:r>
              <w:rPr>
                <w:rFonts w:hint="eastAsia" w:ascii="新宋体" w:hAnsi="新宋体" w:eastAsia="新宋体"/>
                <w:b/>
                <w:sz w:val="20"/>
                <w:szCs w:val="20"/>
              </w:rPr>
              <w:t xml:space="preserve">≤330</w:t>
            </w:r>
            <w:r>
              <w:rPr>
                <w:rFonts w:hint="eastAsia" w:ascii="新宋体" w:hAnsi="新宋体" w:eastAsia="新宋体"/>
                <w:b/>
                <w:bCs/>
                <w:sz w:val="20"/>
                <w:szCs w:val="20"/>
              </w:rPr>
            </w:r>
            <w:r/>
          </w:p>
        </w:tc>
        <w:tc>
          <w:tcPr>
            <w:tcW w:w="1024" w:type="dxa"/>
            <w:vAlign w:val="center"/>
            <w:textDirection w:val="lrTb"/>
            <w:noWrap w:val="false"/>
          </w:tcPr>
          <w:p>
            <w:pPr>
              <w:pStyle w:val="848"/>
              <w:spacing w:line="440" w:lineRule="exact"/>
              <w:rPr>
                <w:rFonts w:hint="eastAsia" w:ascii="新宋体" w:hAnsi="新宋体" w:eastAsia="新宋体"/>
                <w:b/>
                <w:bCs/>
                <w:sz w:val="20"/>
                <w:szCs w:val="20"/>
              </w:rPr>
            </w:pPr>
            <w:r>
              <w:rPr>
                <w:rFonts w:hint="eastAsia" w:ascii="新宋体" w:hAnsi="新宋体" w:eastAsia="新宋体"/>
                <w:b/>
                <w:sz w:val="20"/>
                <w:szCs w:val="20"/>
              </w:rPr>
              <w:t xml:space="preserve">≤</w:t>
            </w:r>
            <w:r>
              <w:rPr>
                <w:rFonts w:hint="eastAsia" w:ascii="新宋体" w:hAnsi="新宋体" w:eastAsia="新宋体"/>
                <w:b/>
                <w:bCs/>
                <w:sz w:val="20"/>
                <w:szCs w:val="20"/>
              </w:rPr>
              <w:t xml:space="preserve">160</w:t>
            </w:r>
            <w:r>
              <w:rPr>
                <w:rFonts w:hint="eastAsia" w:ascii="新宋体" w:hAnsi="新宋体" w:eastAsia="新宋体"/>
                <w:b/>
                <w:bCs/>
                <w:sz w:val="20"/>
                <w:szCs w:val="20"/>
              </w:rPr>
            </w:r>
            <w:r/>
          </w:p>
        </w:tc>
        <w:tc>
          <w:tcPr>
            <w:tcW w:w="1025" w:type="dxa"/>
            <w:vAlign w:val="center"/>
            <w:textDirection w:val="lrTb"/>
            <w:noWrap w:val="false"/>
          </w:tcPr>
          <w:p>
            <w:pPr>
              <w:pStyle w:val="848"/>
              <w:spacing w:line="440" w:lineRule="exact"/>
              <w:rPr>
                <w:rFonts w:ascii="新宋体" w:hAnsi="新宋体" w:eastAsia="新宋体"/>
                <w:b/>
                <w:bCs/>
                <w:sz w:val="20"/>
                <w:szCs w:val="20"/>
              </w:rPr>
            </w:pPr>
            <w:r>
              <w:rPr>
                <w:rFonts w:hint="eastAsia" w:ascii="新宋体" w:hAnsi="新宋体" w:eastAsia="新宋体"/>
                <w:b/>
                <w:sz w:val="20"/>
                <w:szCs w:val="20"/>
              </w:rPr>
              <w:t xml:space="preserve">≤220</w:t>
            </w:r>
            <w:r>
              <w:rPr>
                <w:rFonts w:ascii="新宋体" w:hAnsi="新宋体" w:eastAsia="新宋体"/>
                <w:b/>
                <w:bCs/>
                <w:sz w:val="20"/>
                <w:szCs w:val="20"/>
              </w:rPr>
            </w:r>
            <w:r/>
          </w:p>
        </w:tc>
        <w:tc>
          <w:tcPr>
            <w:tcW w:w="1025" w:type="dxa"/>
            <w:vAlign w:val="center"/>
            <w:textDirection w:val="lrTb"/>
            <w:noWrap w:val="false"/>
          </w:tcPr>
          <w:p>
            <w:pPr>
              <w:pStyle w:val="848"/>
              <w:spacing w:line="440" w:lineRule="exact"/>
              <w:rPr>
                <w:rFonts w:ascii="新宋体" w:hAnsi="新宋体" w:eastAsia="新宋体"/>
                <w:b/>
                <w:bCs/>
                <w:sz w:val="20"/>
                <w:szCs w:val="20"/>
              </w:rPr>
            </w:pPr>
            <w:r>
              <w:rPr>
                <w:rFonts w:hint="eastAsia" w:ascii="新宋体" w:hAnsi="新宋体" w:eastAsia="新宋体"/>
                <w:b/>
                <w:sz w:val="20"/>
                <w:szCs w:val="20"/>
              </w:rPr>
              <w:t xml:space="preserve">≤30</w:t>
            </w:r>
            <w:r>
              <w:rPr>
                <w:rFonts w:ascii="新宋体" w:hAnsi="新宋体" w:eastAsia="新宋体"/>
                <w:b/>
                <w:bCs/>
                <w:sz w:val="20"/>
                <w:szCs w:val="20"/>
              </w:rPr>
            </w:r>
            <w:r/>
          </w:p>
        </w:tc>
        <w:tc>
          <w:tcPr>
            <w:tcW w:w="1025" w:type="dxa"/>
            <w:vAlign w:val="center"/>
            <w:textDirection w:val="lrTb"/>
            <w:noWrap w:val="false"/>
          </w:tcPr>
          <w:p>
            <w:pPr>
              <w:pStyle w:val="848"/>
              <w:spacing w:line="440" w:lineRule="exact"/>
              <w:rPr>
                <w:rFonts w:ascii="新宋体" w:hAnsi="新宋体" w:eastAsia="新宋体"/>
                <w:b/>
                <w:bCs/>
                <w:sz w:val="20"/>
                <w:szCs w:val="20"/>
              </w:rPr>
            </w:pPr>
            <w:r>
              <w:rPr>
                <w:rFonts w:hint="eastAsia" w:ascii="新宋体" w:hAnsi="新宋体" w:eastAsia="新宋体"/>
                <w:b/>
                <w:sz w:val="20"/>
                <w:szCs w:val="20"/>
              </w:rPr>
              <w:t xml:space="preserve">≤4</w:t>
            </w:r>
            <w:r>
              <w:rPr>
                <w:rFonts w:ascii="新宋体" w:hAnsi="新宋体" w:eastAsia="新宋体"/>
                <w:b/>
                <w:sz w:val="20"/>
                <w:szCs w:val="20"/>
              </w:rPr>
              <w:t xml:space="preserve">0</w:t>
            </w:r>
            <w:r>
              <w:rPr>
                <w:rFonts w:ascii="新宋体" w:hAnsi="新宋体" w:eastAsia="新宋体"/>
                <w:b/>
                <w:bCs/>
                <w:sz w:val="20"/>
                <w:szCs w:val="20"/>
              </w:rPr>
            </w:r>
            <w:r/>
          </w:p>
        </w:tc>
        <w:tc>
          <w:tcPr>
            <w:tcW w:w="1025" w:type="dxa"/>
            <w:vAlign w:val="center"/>
            <w:textDirection w:val="lrTb"/>
            <w:noWrap w:val="false"/>
          </w:tcPr>
          <w:p>
            <w:pPr>
              <w:pStyle w:val="848"/>
              <w:spacing w:line="440" w:lineRule="exact"/>
              <w:rPr>
                <w:rFonts w:ascii="新宋体" w:hAnsi="新宋体" w:eastAsia="新宋体"/>
                <w:b/>
                <w:bCs/>
                <w:sz w:val="20"/>
                <w:szCs w:val="20"/>
              </w:rPr>
            </w:pPr>
            <w:r>
              <w:rPr>
                <w:rFonts w:hint="eastAsia" w:ascii="新宋体" w:hAnsi="新宋体" w:eastAsia="新宋体"/>
                <w:b/>
                <w:sz w:val="20"/>
                <w:szCs w:val="20"/>
              </w:rPr>
              <w:t xml:space="preserve">≤4</w:t>
            </w:r>
            <w:r>
              <w:rPr>
                <w:rFonts w:ascii="新宋体" w:hAnsi="新宋体" w:eastAsia="新宋体"/>
                <w:b/>
                <w:bCs/>
                <w:sz w:val="20"/>
                <w:szCs w:val="20"/>
              </w:rPr>
            </w:r>
            <w:r/>
          </w:p>
        </w:tc>
      </w:tr>
      <w:tr>
        <w:trPr>
          <w:cantSplit/>
          <w:trHeight w:val="340"/>
        </w:trPr>
        <w:tc>
          <w:tcPr>
            <w:tcW w:w="1834" w:type="dxa"/>
            <w:vAlign w:val="center"/>
            <w:textDirection w:val="lrTb"/>
            <w:noWrap w:val="false"/>
          </w:tcPr>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水质指标</w:t>
            </w:r>
            <w:r>
              <w:rPr>
                <w:rFonts w:ascii="新宋体" w:hAnsi="新宋体" w:eastAsia="新宋体"/>
                <w:sz w:val="20"/>
                <w:szCs w:val="20"/>
              </w:rPr>
            </w:r>
            <w:r/>
          </w:p>
        </w:tc>
        <w:tc>
          <w:tcPr>
            <w:tcW w:w="1024" w:type="dxa"/>
            <w:vAlign w:val="center"/>
            <w:textDirection w:val="lrTb"/>
            <w:noWrap w:val="false"/>
          </w:tcPr>
          <w:p>
            <w:pPr>
              <w:pStyle w:val="848"/>
              <w:spacing w:line="440" w:lineRule="exact"/>
              <w:rPr>
                <w:rFonts w:hint="eastAsia" w:ascii="新宋体" w:hAnsi="新宋体" w:eastAsia="新宋体"/>
                <w:sz w:val="20"/>
                <w:szCs w:val="20"/>
                <w:vertAlign w:val="subscript"/>
              </w:rPr>
            </w:pPr>
            <w:r>
              <w:rPr>
                <w:rFonts w:ascii="新宋体" w:hAnsi="新宋体" w:eastAsia="新宋体"/>
                <w:sz w:val="20"/>
                <w:szCs w:val="20"/>
              </w:rPr>
              <w:t xml:space="preserve">COD</w:t>
            </w:r>
            <w:r>
              <w:rPr>
                <w:rFonts w:ascii="新宋体" w:hAnsi="新宋体" w:eastAsia="新宋体"/>
                <w:sz w:val="20"/>
                <w:szCs w:val="20"/>
                <w:vertAlign w:val="subscript"/>
              </w:rPr>
              <w:t xml:space="preserve">cr</w:t>
            </w:r>
            <w:r>
              <w:rPr>
                <w:rFonts w:hint="eastAsia" w:ascii="新宋体" w:hAnsi="新宋体" w:eastAsia="新宋体"/>
                <w:sz w:val="20"/>
                <w:szCs w:val="20"/>
                <w:vertAlign w:val="subscript"/>
              </w:rPr>
            </w:r>
            <w:r/>
          </w:p>
        </w:tc>
        <w:tc>
          <w:tcPr>
            <w:tcW w:w="1024" w:type="dxa"/>
            <w:vAlign w:val="center"/>
            <w:textDirection w:val="lrTb"/>
            <w:noWrap w:val="false"/>
          </w:tcPr>
          <w:p>
            <w:pPr>
              <w:pStyle w:val="848"/>
              <w:spacing w:line="440" w:lineRule="exact"/>
              <w:rPr>
                <w:rFonts w:hint="eastAsia" w:ascii="新宋体" w:hAnsi="新宋体" w:eastAsia="新宋体"/>
                <w:sz w:val="20"/>
                <w:szCs w:val="20"/>
                <w:vertAlign w:val="subscript"/>
              </w:rPr>
            </w:pPr>
            <w:r>
              <w:rPr>
                <w:rFonts w:ascii="新宋体" w:hAnsi="新宋体" w:eastAsia="新宋体"/>
                <w:sz w:val="20"/>
                <w:szCs w:val="20"/>
              </w:rPr>
              <w:t xml:space="preserve">BOD</w:t>
            </w:r>
            <w:r>
              <w:rPr>
                <w:rFonts w:ascii="新宋体" w:hAnsi="新宋体" w:eastAsia="新宋体"/>
                <w:sz w:val="20"/>
                <w:szCs w:val="20"/>
                <w:vertAlign w:val="subscript"/>
              </w:rPr>
              <w:t xml:space="preserve">5</w:t>
            </w:r>
            <w:r>
              <w:rPr>
                <w:rFonts w:hint="eastAsia" w:ascii="新宋体" w:hAnsi="新宋体" w:eastAsia="新宋体"/>
                <w:sz w:val="20"/>
                <w:szCs w:val="20"/>
                <w:vertAlign w:val="subscript"/>
              </w:rPr>
            </w:r>
            <w:r/>
          </w:p>
        </w:tc>
        <w:tc>
          <w:tcPr>
            <w:tcW w:w="1025"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SS</w:t>
            </w:r>
            <w:r>
              <w:rPr>
                <w:rFonts w:hint="eastAsia" w:ascii="新宋体" w:hAnsi="新宋体" w:eastAsia="新宋体"/>
                <w:sz w:val="20"/>
                <w:szCs w:val="20"/>
              </w:rPr>
            </w:r>
            <w:r/>
          </w:p>
        </w:tc>
        <w:tc>
          <w:tcPr>
            <w:tcW w:w="1025"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NH</w:t>
            </w:r>
            <w:r>
              <w:rPr>
                <w:rFonts w:ascii="新宋体" w:hAnsi="新宋体" w:eastAsia="新宋体"/>
                <w:sz w:val="20"/>
                <w:szCs w:val="20"/>
                <w:vertAlign w:val="subscript"/>
              </w:rPr>
              <w:t xml:space="preserve">3</w:t>
            </w:r>
            <w:r>
              <w:rPr>
                <w:rFonts w:ascii="新宋体" w:hAnsi="新宋体" w:eastAsia="新宋体"/>
                <w:sz w:val="20"/>
                <w:szCs w:val="20"/>
              </w:rPr>
              <w:t xml:space="preserve">-N</w:t>
            </w:r>
            <w:r>
              <w:rPr>
                <w:rFonts w:hint="eastAsia" w:ascii="新宋体" w:hAnsi="新宋体" w:eastAsia="新宋体"/>
                <w:sz w:val="20"/>
                <w:szCs w:val="20"/>
              </w:rPr>
            </w:r>
            <w:r/>
          </w:p>
        </w:tc>
        <w:tc>
          <w:tcPr>
            <w:tcW w:w="1025"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TN</w:t>
            </w:r>
            <w:r>
              <w:rPr>
                <w:rFonts w:hint="eastAsia" w:ascii="新宋体" w:hAnsi="新宋体" w:eastAsia="新宋体"/>
                <w:sz w:val="20"/>
                <w:szCs w:val="20"/>
              </w:rPr>
            </w:r>
            <w:r/>
          </w:p>
        </w:tc>
        <w:tc>
          <w:tcPr>
            <w:tcW w:w="1025"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TP</w:t>
            </w:r>
            <w:r>
              <w:rPr>
                <w:rFonts w:hint="eastAsia" w:ascii="新宋体" w:hAnsi="新宋体" w:eastAsia="新宋体"/>
                <w:sz w:val="20"/>
                <w:szCs w:val="20"/>
              </w:rPr>
            </w:r>
            <w:r/>
          </w:p>
        </w:tc>
      </w:tr>
    </w:tbl>
    <w:p>
      <w:pPr>
        <w:pStyle w:val="674"/>
        <w:ind w:firstLine="402"/>
        <w:spacing w:line="340" w:lineRule="exact"/>
        <w:rPr>
          <w:rFonts w:hint="eastAsia" w:ascii="宋体" w:hAnsi="宋体"/>
          <w:b/>
          <w:sz w:val="20"/>
          <w:szCs w:val="20"/>
        </w:rPr>
      </w:pPr>
      <w:r>
        <w:rPr>
          <w:rFonts w:hint="eastAsia" w:ascii="宋体" w:hAnsi="宋体"/>
          <w:b/>
          <w:sz w:val="20"/>
          <w:szCs w:val="20"/>
        </w:rPr>
        <w:t xml:space="preserve">注：设计最低水温按10摄氏度计算。</w:t>
      </w:r>
      <w:r>
        <w:rPr>
          <w:rFonts w:hint="eastAsia" w:ascii="宋体" w:hAnsi="宋体"/>
          <w:b/>
          <w:sz w:val="20"/>
          <w:szCs w:val="20"/>
        </w:rPr>
      </w:r>
      <w:r/>
    </w:p>
    <w:p>
      <w:pPr>
        <w:pStyle w:val="674"/>
        <w:ind w:firstLine="402"/>
        <w:spacing w:line="340" w:lineRule="exact"/>
        <w:rPr>
          <w:rFonts w:ascii="宋体" w:hAnsi="宋体"/>
          <w:b/>
          <w:sz w:val="20"/>
          <w:szCs w:val="20"/>
        </w:rPr>
      </w:pPr>
      <w:r>
        <w:rPr>
          <w:rFonts w:hint="eastAsia" w:ascii="宋体" w:hAnsi="宋体"/>
          <w:b/>
          <w:sz w:val="20"/>
          <w:szCs w:val="20"/>
        </w:rPr>
        <w:t xml:space="preserve">上表为设计进水上限水质，运营人应当自行开展实地研究与论证，进一步确定进水常规水质设计参数，可能存在工业污水排入污水管网问题，设计上应已充分考虑工业废水和生活废水的混合，部分时段可能需处理工业污水。</w:t>
      </w:r>
      <w:r>
        <w:rPr>
          <w:rFonts w:ascii="宋体" w:hAnsi="宋体"/>
          <w:b/>
          <w:sz w:val="20"/>
          <w:szCs w:val="20"/>
        </w:rPr>
      </w:r>
      <w:r/>
    </w:p>
    <w:p>
      <w:pPr>
        <w:pStyle w:val="838"/>
        <w:ind w:firstLine="3373"/>
        <w:spacing w:line="440" w:lineRule="exact"/>
        <w:rPr>
          <w:rFonts w:ascii="新宋体" w:hAnsi="新宋体" w:eastAsia="新宋体"/>
          <w:b/>
          <w:sz w:val="24"/>
        </w:rPr>
      </w:pPr>
      <w:r>
        <w:rPr>
          <w:rFonts w:hint="eastAsia" w:ascii="新宋体" w:hAnsi="新宋体" w:eastAsia="新宋体"/>
          <w:b/>
          <w:sz w:val="24"/>
        </w:rPr>
        <w:t xml:space="preserve">污水排放标准</w:t>
      </w:r>
      <w:r>
        <w:rPr>
          <w:rFonts w:ascii="新宋体" w:hAnsi="新宋体" w:eastAsia="新宋体"/>
          <w:b/>
          <w:sz w:val="24"/>
        </w:rPr>
      </w:r>
      <w:r/>
    </w:p>
    <w:tbl>
      <w:tblPr>
        <w:tblW w:w="87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1"/>
        <w:gridCol w:w="1024"/>
        <w:gridCol w:w="1024"/>
        <w:gridCol w:w="787"/>
        <w:gridCol w:w="1263"/>
        <w:gridCol w:w="1025"/>
        <w:gridCol w:w="1025"/>
        <w:gridCol w:w="1021"/>
      </w:tblGrid>
      <w:tr>
        <w:trPr>
          <w:cantSplit/>
          <w:trHeight w:val="340"/>
        </w:trPr>
        <w:tc>
          <w:tcPr>
            <w:tcW w:w="1581" w:type="dxa"/>
            <w:vAlign w:val="center"/>
            <w:textDirection w:val="lrTb"/>
            <w:noWrap w:val="false"/>
          </w:tcPr>
          <w:p>
            <w:pPr>
              <w:pStyle w:val="848"/>
              <w:spacing w:line="440" w:lineRule="exact"/>
              <w:rPr>
                <w:rFonts w:hint="eastAsia" w:ascii="新宋体" w:hAnsi="新宋体" w:eastAsia="新宋体"/>
                <w:sz w:val="20"/>
                <w:szCs w:val="20"/>
              </w:rPr>
            </w:pPr>
            <w:r>
              <w:rPr>
                <w:rFonts w:hint="eastAsia" w:ascii="新宋体" w:hAnsi="新宋体" w:eastAsia="新宋体"/>
                <w:sz w:val="20"/>
                <w:szCs w:val="20"/>
              </w:rPr>
              <w:t xml:space="preserve">水质指标</w:t>
            </w:r>
            <w:r>
              <w:rPr>
                <w:rFonts w:hint="eastAsia" w:ascii="新宋体" w:hAnsi="新宋体" w:eastAsia="新宋体"/>
                <w:sz w:val="20"/>
                <w:szCs w:val="20"/>
              </w:rPr>
            </w:r>
            <w:r/>
          </w:p>
        </w:tc>
        <w:tc>
          <w:tcPr>
            <w:tcW w:w="1024"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BOD5</w:t>
            </w:r>
            <w:r>
              <w:rPr>
                <w:rFonts w:hint="eastAsia" w:ascii="新宋体" w:hAnsi="新宋体" w:eastAsia="新宋体"/>
                <w:sz w:val="20"/>
                <w:szCs w:val="20"/>
              </w:rPr>
            </w:r>
            <w:r/>
          </w:p>
        </w:tc>
        <w:tc>
          <w:tcPr>
            <w:tcW w:w="1024"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CODcr</w:t>
            </w:r>
            <w:r>
              <w:rPr>
                <w:rFonts w:hint="eastAsia" w:ascii="新宋体" w:hAnsi="新宋体" w:eastAsia="新宋体"/>
                <w:sz w:val="20"/>
                <w:szCs w:val="20"/>
              </w:rPr>
            </w:r>
            <w:r/>
          </w:p>
        </w:tc>
        <w:tc>
          <w:tcPr>
            <w:tcW w:w="787"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SS</w:t>
            </w:r>
            <w:r>
              <w:rPr>
                <w:rFonts w:hint="eastAsia" w:ascii="新宋体" w:hAnsi="新宋体" w:eastAsia="新宋体"/>
                <w:sz w:val="20"/>
                <w:szCs w:val="20"/>
              </w:rPr>
            </w:r>
            <w:r/>
          </w:p>
        </w:tc>
        <w:tc>
          <w:tcPr>
            <w:tcW w:w="1263"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TN</w:t>
            </w:r>
            <w:r>
              <w:rPr>
                <w:rFonts w:hint="eastAsia" w:ascii="新宋体" w:hAnsi="新宋体" w:eastAsia="新宋体"/>
                <w:sz w:val="20"/>
                <w:szCs w:val="20"/>
              </w:rPr>
            </w:r>
            <w:r/>
          </w:p>
        </w:tc>
        <w:tc>
          <w:tcPr>
            <w:tcW w:w="1025"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NH3-N</w:t>
            </w:r>
            <w:r>
              <w:rPr>
                <w:rFonts w:hint="eastAsia" w:ascii="新宋体" w:hAnsi="新宋体" w:eastAsia="新宋体"/>
                <w:sz w:val="20"/>
                <w:szCs w:val="20"/>
              </w:rPr>
            </w:r>
            <w:r/>
          </w:p>
        </w:tc>
        <w:tc>
          <w:tcPr>
            <w:tcW w:w="1025" w:type="dxa"/>
            <w:vAlign w:val="center"/>
            <w:textDirection w:val="lrTb"/>
            <w:noWrap w:val="false"/>
          </w:tcPr>
          <w:p>
            <w:pPr>
              <w:pStyle w:val="848"/>
              <w:spacing w:line="440" w:lineRule="exact"/>
              <w:rPr>
                <w:rFonts w:hint="eastAsia" w:ascii="新宋体" w:hAnsi="新宋体" w:eastAsia="新宋体"/>
                <w:sz w:val="20"/>
                <w:szCs w:val="20"/>
              </w:rPr>
            </w:pPr>
            <w:r>
              <w:rPr>
                <w:rFonts w:ascii="新宋体" w:hAnsi="新宋体" w:eastAsia="新宋体"/>
                <w:sz w:val="20"/>
                <w:szCs w:val="20"/>
              </w:rPr>
              <w:t xml:space="preserve">TP</w:t>
            </w:r>
            <w:r>
              <w:rPr>
                <w:rFonts w:hint="eastAsia" w:ascii="新宋体" w:hAnsi="新宋体" w:eastAsia="新宋体"/>
                <w:sz w:val="20"/>
                <w:szCs w:val="20"/>
              </w:rPr>
            </w:r>
            <w:r/>
          </w:p>
        </w:tc>
        <w:tc>
          <w:tcPr>
            <w:tcW w:w="1021" w:type="dxa"/>
            <w:vAlign w:val="center"/>
            <w:textDirection w:val="lrTb"/>
            <w:noWrap w:val="false"/>
          </w:tcPr>
          <w:p>
            <w:pPr>
              <w:pStyle w:val="848"/>
              <w:spacing w:line="440" w:lineRule="exact"/>
              <w:rPr>
                <w:rFonts w:ascii="新宋体" w:hAnsi="新宋体" w:eastAsia="新宋体"/>
                <w:sz w:val="20"/>
                <w:szCs w:val="20"/>
              </w:rPr>
            </w:pPr>
            <w:r>
              <w:rPr>
                <w:rFonts w:ascii="新宋体" w:hAnsi="新宋体" w:eastAsia="新宋体"/>
                <w:sz w:val="20"/>
                <w:szCs w:val="20"/>
              </w:rPr>
              <w:t xml:space="preserve">PH</w:t>
            </w:r>
            <w:r>
              <w:rPr>
                <w:rFonts w:ascii="新宋体" w:hAnsi="新宋体" w:eastAsia="新宋体"/>
                <w:sz w:val="20"/>
                <w:szCs w:val="20"/>
              </w:rPr>
            </w:r>
            <w:r/>
          </w:p>
        </w:tc>
      </w:tr>
      <w:tr>
        <w:trPr>
          <w:cantSplit/>
          <w:trHeight w:val="340"/>
        </w:trPr>
        <w:tc>
          <w:tcPr>
            <w:tcW w:w="1581" w:type="dxa"/>
            <w:vAlign w:val="center"/>
            <w:textDirection w:val="lrTb"/>
            <w:noWrap w:val="false"/>
          </w:tcPr>
          <w:p>
            <w:pPr>
              <w:pStyle w:val="848"/>
              <w:spacing w:line="440" w:lineRule="exact"/>
              <w:rPr>
                <w:rFonts w:hint="eastAsia" w:ascii="新宋体" w:hAnsi="新宋体" w:eastAsia="新宋体"/>
                <w:sz w:val="20"/>
                <w:szCs w:val="20"/>
              </w:rPr>
            </w:pPr>
            <w:r>
              <w:rPr>
                <w:rFonts w:hint="eastAsia" w:ascii="新宋体" w:hAnsi="新宋体" w:eastAsia="新宋体"/>
                <w:sz w:val="20"/>
                <w:szCs w:val="20"/>
              </w:rPr>
              <w:t xml:space="preserve">出水水质</w:t>
            </w:r>
            <w:r>
              <w:rPr>
                <w:rFonts w:hint="eastAsia" w:ascii="新宋体" w:hAnsi="新宋体" w:eastAsia="新宋体"/>
                <w:sz w:val="20"/>
                <w:szCs w:val="20"/>
              </w:rPr>
            </w:r>
            <w:r/>
          </w:p>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（单位：</w:t>
            </w:r>
            <w:r>
              <w:rPr>
                <w:rFonts w:ascii="新宋体" w:hAnsi="新宋体" w:eastAsia="新宋体"/>
                <w:sz w:val="20"/>
                <w:szCs w:val="20"/>
              </w:rPr>
              <w:t xml:space="preserve">mg/1</w:t>
            </w:r>
            <w:r>
              <w:rPr>
                <w:rFonts w:hint="eastAsia" w:ascii="新宋体" w:hAnsi="新宋体" w:eastAsia="新宋体"/>
                <w:sz w:val="20"/>
                <w:szCs w:val="20"/>
              </w:rPr>
              <w:t xml:space="preserve">）</w:t>
            </w:r>
            <w:r>
              <w:rPr>
                <w:rFonts w:ascii="新宋体" w:hAnsi="新宋体" w:eastAsia="新宋体"/>
                <w:sz w:val="20"/>
                <w:szCs w:val="20"/>
              </w:rPr>
            </w:r>
            <w:r/>
          </w:p>
        </w:tc>
        <w:tc>
          <w:tcPr>
            <w:tcW w:w="1024" w:type="dxa"/>
            <w:vAlign w:val="center"/>
            <w:textDirection w:val="lrTb"/>
            <w:noWrap w:val="false"/>
          </w:tcPr>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w:t>
            </w:r>
            <w:r>
              <w:rPr>
                <w:rFonts w:ascii="新宋体" w:hAnsi="新宋体" w:eastAsia="新宋体"/>
                <w:sz w:val="20"/>
                <w:szCs w:val="20"/>
              </w:rPr>
              <w:t xml:space="preserve">10</w:t>
            </w:r>
            <w:r>
              <w:rPr>
                <w:rFonts w:ascii="新宋体" w:hAnsi="新宋体" w:eastAsia="新宋体"/>
                <w:sz w:val="20"/>
                <w:szCs w:val="20"/>
              </w:rPr>
            </w:r>
            <w:r/>
          </w:p>
        </w:tc>
        <w:tc>
          <w:tcPr>
            <w:tcW w:w="1024" w:type="dxa"/>
            <w:vAlign w:val="center"/>
            <w:textDirection w:val="lrTb"/>
            <w:noWrap w:val="false"/>
          </w:tcPr>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w:t>
            </w:r>
            <w:r>
              <w:rPr>
                <w:rFonts w:ascii="新宋体" w:hAnsi="新宋体" w:eastAsia="新宋体"/>
                <w:sz w:val="20"/>
                <w:szCs w:val="20"/>
              </w:rPr>
              <w:t xml:space="preserve">50</w:t>
            </w:r>
            <w:r>
              <w:rPr>
                <w:rFonts w:ascii="新宋体" w:hAnsi="新宋体" w:eastAsia="新宋体"/>
                <w:sz w:val="20"/>
                <w:szCs w:val="20"/>
              </w:rPr>
            </w:r>
            <w:r/>
          </w:p>
        </w:tc>
        <w:tc>
          <w:tcPr>
            <w:tcW w:w="787" w:type="dxa"/>
            <w:vAlign w:val="center"/>
            <w:textDirection w:val="lrTb"/>
            <w:noWrap w:val="false"/>
          </w:tcPr>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w:t>
            </w:r>
            <w:r>
              <w:rPr>
                <w:rFonts w:ascii="新宋体" w:hAnsi="新宋体" w:eastAsia="新宋体"/>
                <w:sz w:val="20"/>
                <w:szCs w:val="20"/>
              </w:rPr>
              <w:t xml:space="preserve">10</w:t>
            </w:r>
            <w:r>
              <w:rPr>
                <w:rFonts w:ascii="新宋体" w:hAnsi="新宋体" w:eastAsia="新宋体"/>
                <w:sz w:val="20"/>
                <w:szCs w:val="20"/>
              </w:rPr>
            </w:r>
            <w:r/>
          </w:p>
        </w:tc>
        <w:tc>
          <w:tcPr>
            <w:tcW w:w="1263" w:type="dxa"/>
            <w:vAlign w:val="center"/>
            <w:textDirection w:val="lrTb"/>
            <w:noWrap w:val="false"/>
          </w:tcPr>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≤12（</w:t>
            </w:r>
            <w:r>
              <w:rPr>
                <w:rFonts w:ascii="新宋体" w:hAnsi="新宋体" w:eastAsia="新宋体"/>
                <w:sz w:val="20"/>
                <w:szCs w:val="20"/>
              </w:rPr>
              <w:t xml:space="preserve">15</w:t>
            </w:r>
            <w:r>
              <w:rPr>
                <w:rFonts w:hint="eastAsia" w:ascii="新宋体" w:hAnsi="新宋体" w:eastAsia="新宋体"/>
                <w:sz w:val="20"/>
                <w:szCs w:val="20"/>
              </w:rPr>
              <w:t xml:space="preserve">）</w:t>
            </w:r>
            <w:r>
              <w:rPr>
                <w:rFonts w:ascii="新宋体" w:hAnsi="新宋体" w:eastAsia="新宋体"/>
                <w:sz w:val="20"/>
                <w:szCs w:val="20"/>
              </w:rPr>
            </w:r>
            <w:r/>
          </w:p>
        </w:tc>
        <w:tc>
          <w:tcPr>
            <w:tcW w:w="1025" w:type="dxa"/>
            <w:vAlign w:val="center"/>
            <w:textDirection w:val="lrTb"/>
            <w:noWrap w:val="false"/>
          </w:tcPr>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≤4（6）</w:t>
            </w:r>
            <w:r>
              <w:rPr>
                <w:rFonts w:ascii="新宋体" w:hAnsi="新宋体" w:eastAsia="新宋体"/>
                <w:sz w:val="20"/>
                <w:szCs w:val="20"/>
              </w:rPr>
            </w:r>
            <w:r/>
          </w:p>
        </w:tc>
        <w:tc>
          <w:tcPr>
            <w:tcW w:w="1025" w:type="dxa"/>
            <w:vAlign w:val="center"/>
            <w:textDirection w:val="lrTb"/>
            <w:noWrap w:val="false"/>
          </w:tcPr>
          <w:p>
            <w:pPr>
              <w:pStyle w:val="848"/>
              <w:spacing w:line="440" w:lineRule="exact"/>
              <w:rPr>
                <w:rFonts w:ascii="新宋体" w:hAnsi="新宋体" w:eastAsia="新宋体"/>
                <w:sz w:val="20"/>
                <w:szCs w:val="20"/>
              </w:rPr>
            </w:pPr>
            <w:r>
              <w:rPr>
                <w:rFonts w:hint="eastAsia" w:ascii="新宋体" w:hAnsi="新宋体" w:eastAsia="新宋体"/>
                <w:sz w:val="20"/>
                <w:szCs w:val="20"/>
              </w:rPr>
              <w:t xml:space="preserve">≤</w:t>
            </w:r>
            <w:r>
              <w:rPr>
                <w:rFonts w:ascii="新宋体" w:hAnsi="新宋体" w:eastAsia="新宋体"/>
                <w:sz w:val="20"/>
                <w:szCs w:val="20"/>
              </w:rPr>
              <w:t xml:space="preserve">0.5</w:t>
            </w:r>
            <w:r>
              <w:rPr>
                <w:rFonts w:ascii="新宋体" w:hAnsi="新宋体" w:eastAsia="新宋体"/>
                <w:sz w:val="20"/>
                <w:szCs w:val="20"/>
              </w:rPr>
            </w:r>
            <w:r/>
          </w:p>
        </w:tc>
        <w:tc>
          <w:tcPr>
            <w:tcW w:w="1021" w:type="dxa"/>
            <w:vAlign w:val="center"/>
            <w:textDirection w:val="lrTb"/>
            <w:noWrap w:val="false"/>
          </w:tcPr>
          <w:p>
            <w:pPr>
              <w:pStyle w:val="848"/>
              <w:spacing w:line="440" w:lineRule="exact"/>
              <w:rPr>
                <w:rFonts w:ascii="新宋体" w:hAnsi="新宋体" w:eastAsia="新宋体"/>
                <w:sz w:val="20"/>
                <w:szCs w:val="20"/>
              </w:rPr>
            </w:pPr>
            <w:r>
              <w:rPr>
                <w:rFonts w:ascii="新宋体" w:hAnsi="新宋体" w:eastAsia="新宋体"/>
                <w:sz w:val="20"/>
                <w:szCs w:val="20"/>
              </w:rPr>
              <w:t xml:space="preserve">6-9</w:t>
            </w:r>
            <w:r>
              <w:rPr>
                <w:rFonts w:ascii="新宋体" w:hAnsi="新宋体" w:eastAsia="新宋体"/>
                <w:sz w:val="20"/>
                <w:szCs w:val="20"/>
              </w:rPr>
            </w:r>
            <w:r/>
          </w:p>
        </w:tc>
      </w:tr>
    </w:tbl>
    <w:p>
      <w:pPr>
        <w:pStyle w:val="674"/>
        <w:ind w:firstLine="402"/>
        <w:jc w:val="left"/>
        <w:spacing w:line="360" w:lineRule="exact"/>
        <w:rPr>
          <w:rFonts w:hint="eastAsia" w:ascii="宋体" w:hAnsi="宋体"/>
          <w:b/>
          <w:sz w:val="20"/>
          <w:szCs w:val="20"/>
        </w:rPr>
      </w:pPr>
      <w:r>
        <w:rPr>
          <w:rFonts w:hint="eastAsia" w:ascii="宋体" w:hAnsi="宋体"/>
          <w:b/>
          <w:sz w:val="20"/>
          <w:szCs w:val="20"/>
        </w:rPr>
        <w:t xml:space="preserve">每年11月1日至次年3月31日执行括号内排放限值。</w:t>
      </w:r>
      <w:r>
        <w:rPr>
          <w:rFonts w:hint="eastAsia" w:ascii="宋体" w:hAnsi="宋体"/>
          <w:b/>
          <w:sz w:val="20"/>
          <w:szCs w:val="20"/>
        </w:rPr>
      </w:r>
      <w:r/>
    </w:p>
    <w:p>
      <w:pPr>
        <w:pStyle w:val="838"/>
        <w:ind w:firstLine="480"/>
        <w:jc w:val="left"/>
        <w:keepLines/>
        <w:keepNext/>
        <w:spacing w:line="360" w:lineRule="exact"/>
        <w:tabs>
          <w:tab w:val="left" w:pos="833" w:leader="none"/>
        </w:tabs>
        <w:rPr>
          <w:rFonts w:hint="eastAsia" w:ascii="新宋体" w:hAnsi="新宋体" w:eastAsia="新宋体" w:cs="新宋体"/>
          <w:bCs/>
          <w:sz w:val="24"/>
        </w:rPr>
        <w:outlineLvl w:val="2"/>
      </w:pPr>
      <w:r>
        <w:rPr>
          <w:rFonts w:hint="eastAsia" w:ascii="新宋体" w:hAnsi="新宋体" w:eastAsia="新宋体" w:cs="新宋体"/>
          <w:sz w:val="24"/>
        </w:rPr>
        <w:t xml:space="preserve">1.1.3</w:t>
      </w:r>
      <w:bookmarkStart w:id="451" w:name="_Toc9471"/>
      <w:r>
        <w:rPr>
          <w:rFonts w:hint="eastAsia" w:ascii="新宋体" w:hAnsi="新宋体" w:eastAsia="新宋体" w:cs="新宋体"/>
          <w:bCs/>
          <w:sz w:val="24"/>
        </w:rPr>
        <w:t xml:space="preserve">污水厂总图布置</w:t>
      </w:r>
      <w:bookmarkEnd w:id="449"/>
      <w:r/>
      <w:bookmarkEnd w:id="450"/>
      <w:r/>
      <w:bookmarkEnd w:id="451"/>
      <w:r>
        <w:rPr>
          <w:rFonts w:hint="eastAsia" w:ascii="新宋体" w:hAnsi="新宋体" w:eastAsia="新宋体" w:cs="新宋体"/>
          <w:bCs/>
          <w:sz w:val="24"/>
        </w:rPr>
      </w:r>
      <w:r/>
    </w:p>
    <w:p>
      <w:pPr>
        <w:pStyle w:val="838"/>
        <w:ind w:firstLine="480"/>
        <w:jc w:val="left"/>
        <w:keepLines/>
        <w:keepNext/>
        <w:spacing w:line="360" w:lineRule="exact"/>
        <w:tabs>
          <w:tab w:val="left" w:pos="833" w:leader="none"/>
        </w:tabs>
        <w:rPr>
          <w:rFonts w:hint="eastAsia" w:ascii="新宋体" w:hAnsi="新宋体" w:eastAsia="新宋体" w:cs="新宋体"/>
          <w:bCs/>
          <w:sz w:val="24"/>
        </w:rPr>
        <w:outlineLvl w:val="2"/>
        <w:suppressLineNumbers/>
      </w:pPr>
      <w:r/>
      <w:bookmarkStart w:id="452" w:name="_Toc475429760"/>
      <w:r/>
      <w:bookmarkStart w:id="453" w:name="_Toc475116214"/>
      <w:r>
        <w:rPr>
          <w:rFonts w:hint="eastAsia" w:ascii="新宋体" w:hAnsi="新宋体" w:eastAsia="新宋体" w:cs="新宋体"/>
          <w:bCs/>
          <w:sz w:val="24"/>
        </w:rPr>
        <w:t xml:space="preserve">由投标人提供。</w:t>
      </w:r>
      <w:bookmarkEnd w:id="452"/>
      <w:r/>
      <w:bookmarkEnd w:id="453"/>
      <w:r>
        <w:rPr>
          <w:rFonts w:hint="eastAsia" w:ascii="新宋体" w:hAnsi="新宋体" w:eastAsia="新宋体" w:cs="新宋体"/>
          <w:bCs/>
          <w:sz w:val="24"/>
        </w:rPr>
      </w:r>
      <w:r/>
    </w:p>
    <w:p>
      <w:pPr>
        <w:pStyle w:val="838"/>
        <w:ind w:firstLine="480"/>
        <w:jc w:val="left"/>
        <w:keepLines/>
        <w:keepNext/>
        <w:spacing w:line="360" w:lineRule="exact"/>
        <w:tabs>
          <w:tab w:val="left" w:pos="833" w:leader="none"/>
        </w:tabs>
        <w:rPr>
          <w:rFonts w:hint="eastAsia" w:ascii="新宋体" w:hAnsi="新宋体" w:eastAsia="新宋体" w:cs="新宋体"/>
          <w:b/>
          <w:bCs/>
          <w:sz w:val="24"/>
        </w:rPr>
        <w:outlineLvl w:val="2"/>
      </w:pPr>
      <w:r/>
      <w:bookmarkStart w:id="454" w:name="_Toc475116215"/>
      <w:r/>
      <w:bookmarkStart w:id="455" w:name="_Toc475429761"/>
      <w:r>
        <w:rPr>
          <w:rFonts w:hint="eastAsia" w:ascii="新宋体" w:hAnsi="新宋体" w:eastAsia="新宋体" w:cs="新宋体"/>
          <w:sz w:val="24"/>
        </w:rPr>
        <w:t xml:space="preserve">1.1.4</w:t>
      </w:r>
      <w:bookmarkStart w:id="456" w:name="_Toc428378060"/>
      <w:r/>
      <w:bookmarkStart w:id="457" w:name="_Toc31787140"/>
      <w:r/>
      <w:bookmarkStart w:id="458" w:name="_Toc503949433"/>
      <w:r/>
      <w:bookmarkStart w:id="459" w:name="_Toc30034"/>
      <w:r/>
      <w:bookmarkStart w:id="460" w:name="_Toc428371041"/>
      <w:r/>
      <w:bookmarkStart w:id="461" w:name="_Toc57806243"/>
      <w:r/>
      <w:bookmarkStart w:id="462" w:name="_Toc428377811"/>
      <w:r/>
      <w:bookmarkStart w:id="463" w:name="_Toc428371196"/>
      <w:r/>
      <w:bookmarkStart w:id="464" w:name="_Toc30175754"/>
      <w:r/>
      <w:bookmarkStart w:id="465" w:name="_Toc428371351"/>
      <w:r/>
      <w:bookmarkStart w:id="466" w:name="_Toc504459963"/>
      <w:r/>
      <w:bookmarkStart w:id="467" w:name="_Toc116896479"/>
      <w:r/>
      <w:bookmarkStart w:id="468" w:name="_Toc428370886"/>
      <w:r/>
      <w:bookmarkStart w:id="469" w:name="_Toc57872191"/>
      <w:r>
        <w:rPr>
          <w:rFonts w:hint="eastAsia" w:ascii="新宋体" w:hAnsi="新宋体" w:eastAsia="新宋体" w:cs="新宋体"/>
          <w:b/>
          <w:bCs/>
          <w:sz w:val="24"/>
        </w:rPr>
        <w:t xml:space="preserve">处理工艺流程</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Pr>
          <w:rFonts w:hint="eastAsia" w:ascii="新宋体" w:hAnsi="新宋体" w:eastAsia="新宋体" w:cs="新宋体"/>
          <w:b/>
          <w:bCs/>
          <w:sz w:val="24"/>
        </w:rPr>
      </w:r>
      <w:r/>
    </w:p>
    <w:p>
      <w:pPr>
        <w:pStyle w:val="850"/>
        <w:ind w:firstLine="482"/>
        <w:jc w:val="left"/>
        <w:spacing w:line="360" w:lineRule="exact"/>
        <w:rPr>
          <w:rFonts w:hint="eastAsia" w:ascii="新宋体" w:hAnsi="新宋体" w:eastAsia="新宋体" w:cs="新宋体"/>
          <w:b/>
          <w:bCs/>
          <w:szCs w:val="24"/>
        </w:rPr>
      </w:pPr>
      <w:r>
        <w:rPr>
          <w:rFonts w:hint="eastAsia" w:ascii="新宋体" w:hAnsi="新宋体" w:eastAsia="新宋体" w:cs="新宋体"/>
          <w:b/>
          <w:bCs/>
          <w:szCs w:val="24"/>
        </w:rPr>
        <w:t xml:space="preserve">污水处理</w:t>
      </w:r>
      <w:r>
        <w:rPr>
          <w:rFonts w:hint="eastAsia" w:ascii="新宋体" w:hAnsi="新宋体" w:eastAsia="新宋体" w:cs="新宋体"/>
          <w:b/>
          <w:bCs/>
          <w:szCs w:val="24"/>
        </w:rPr>
      </w:r>
      <w:r/>
    </w:p>
    <w:p>
      <w:pPr>
        <w:pStyle w:val="838"/>
        <w:ind w:firstLine="480"/>
        <w:jc w:val="left"/>
        <w:spacing w:line="360" w:lineRule="exact"/>
        <w:rPr>
          <w:rFonts w:hint="eastAsia" w:ascii="新宋体" w:hAnsi="新宋体" w:eastAsia="新宋体" w:cs="新宋体"/>
          <w:sz w:val="24"/>
        </w:rPr>
      </w:pPr>
      <w:r>
        <w:rPr>
          <w:rFonts w:hint="eastAsia" w:ascii="新宋体" w:hAnsi="新宋体" w:eastAsia="新宋体" w:cs="新宋体"/>
          <w:sz w:val="24"/>
        </w:rPr>
        <w:t xml:space="preserve">应按照业主要求处理。</w:t>
      </w:r>
      <w:r>
        <w:rPr>
          <w:rFonts w:hint="eastAsia" w:ascii="新宋体" w:hAnsi="新宋体" w:eastAsia="新宋体" w:cs="新宋体"/>
          <w:sz w:val="24"/>
        </w:rPr>
      </w:r>
      <w:r/>
    </w:p>
    <w:p>
      <w:pPr>
        <w:pStyle w:val="850"/>
        <w:ind w:firstLine="482"/>
        <w:jc w:val="left"/>
        <w:spacing w:line="360" w:lineRule="exact"/>
        <w:rPr>
          <w:rFonts w:hint="eastAsia" w:ascii="新宋体" w:hAnsi="新宋体" w:eastAsia="新宋体" w:cs="新宋体"/>
          <w:b/>
          <w:bCs/>
          <w:szCs w:val="24"/>
        </w:rPr>
      </w:pPr>
      <w:r>
        <w:rPr>
          <w:rFonts w:hint="eastAsia" w:ascii="新宋体" w:hAnsi="新宋体" w:eastAsia="新宋体" w:cs="新宋体"/>
          <w:b/>
          <w:bCs/>
          <w:szCs w:val="24"/>
        </w:rPr>
        <w:t xml:space="preserve">污泥处理</w:t>
      </w:r>
      <w:r>
        <w:rPr>
          <w:rFonts w:hint="eastAsia" w:ascii="新宋体" w:hAnsi="新宋体" w:eastAsia="新宋体" w:cs="新宋体"/>
          <w:b/>
          <w:bCs/>
          <w:szCs w:val="24"/>
        </w:rPr>
      </w:r>
      <w:r/>
    </w:p>
    <w:p>
      <w:pPr>
        <w:pStyle w:val="838"/>
        <w:ind w:firstLine="480"/>
        <w:jc w:val="left"/>
        <w:spacing w:line="360" w:lineRule="exact"/>
        <w:rPr>
          <w:rFonts w:hint="eastAsia" w:ascii="新宋体" w:hAnsi="新宋体" w:eastAsia="新宋体" w:cs="新宋体"/>
          <w:sz w:val="24"/>
        </w:rPr>
      </w:pPr>
      <w:r>
        <w:rPr>
          <w:rFonts w:hint="eastAsia" w:ascii="新宋体" w:hAnsi="新宋体" w:eastAsia="新宋体" w:cs="新宋体"/>
          <w:sz w:val="24"/>
        </w:rPr>
        <w:t xml:space="preserve">应按照业主要求处理。</w:t>
      </w:r>
      <w:r>
        <w:rPr>
          <w:rFonts w:hint="eastAsia" w:ascii="新宋体" w:hAnsi="新宋体" w:eastAsia="新宋体" w:cs="新宋体"/>
          <w:sz w:val="24"/>
        </w:rPr>
      </w:r>
      <w:r/>
    </w:p>
    <w:p>
      <w:pPr>
        <w:pStyle w:val="851"/>
        <w:ind w:firstLine="482"/>
        <w:jc w:val="left"/>
        <w:spacing w:line="360" w:lineRule="exact"/>
        <w:rPr>
          <w:rFonts w:hint="eastAsia" w:ascii="新宋体" w:hAnsi="新宋体" w:eastAsia="新宋体" w:cs="新宋体"/>
          <w:b/>
          <w:bCs/>
          <w:szCs w:val="24"/>
        </w:rPr>
      </w:pPr>
      <w:r>
        <w:rPr>
          <w:rFonts w:hint="eastAsia" w:ascii="新宋体" w:hAnsi="新宋体" w:eastAsia="新宋体" w:cs="新宋体"/>
          <w:b/>
          <w:bCs/>
          <w:szCs w:val="24"/>
        </w:rPr>
        <w:t xml:space="preserve">泵站工程</w:t>
      </w:r>
      <w:r>
        <w:rPr>
          <w:rFonts w:hint="eastAsia" w:ascii="新宋体" w:hAnsi="新宋体" w:eastAsia="新宋体" w:cs="新宋体"/>
          <w:b/>
          <w:bCs/>
          <w:szCs w:val="24"/>
        </w:rPr>
      </w:r>
      <w:r/>
    </w:p>
    <w:p>
      <w:pPr>
        <w:pStyle w:val="838"/>
        <w:ind w:firstLine="480"/>
        <w:jc w:val="left"/>
        <w:spacing w:line="360" w:lineRule="exact"/>
        <w:rPr>
          <w:rFonts w:hint="eastAsia" w:ascii="新宋体" w:hAnsi="新宋体" w:eastAsia="新宋体" w:cs="新宋体"/>
          <w:sz w:val="24"/>
        </w:rPr>
      </w:pPr>
      <w:r>
        <w:rPr>
          <w:rFonts w:hint="eastAsia" w:ascii="新宋体" w:hAnsi="新宋体" w:eastAsia="新宋体" w:cs="新宋体"/>
          <w:sz w:val="24"/>
        </w:rPr>
        <w:t xml:space="preserve">应按照业主要求处理。</w:t>
      </w:r>
      <w:r>
        <w:rPr>
          <w:rFonts w:hint="eastAsia" w:ascii="新宋体" w:hAnsi="新宋体" w:eastAsia="新宋体" w:cs="新宋体"/>
          <w:sz w:val="24"/>
        </w:rPr>
      </w:r>
      <w:r/>
    </w:p>
    <w:p>
      <w:pPr>
        <w:pStyle w:val="838"/>
        <w:ind w:firstLine="482"/>
        <w:jc w:val="left"/>
        <w:spacing w:line="360" w:lineRule="exact"/>
        <w:rPr>
          <w:rFonts w:hint="eastAsia" w:ascii="新宋体" w:hAnsi="新宋体" w:eastAsia="新宋体" w:cs="新宋体"/>
          <w:b/>
          <w:bCs/>
          <w:sz w:val="24"/>
        </w:rPr>
      </w:pPr>
      <w:r>
        <w:rPr>
          <w:rFonts w:hint="eastAsia" w:ascii="新宋体" w:hAnsi="新宋体" w:eastAsia="新宋体" w:cs="新宋体"/>
          <w:b/>
          <w:bCs/>
          <w:sz w:val="24"/>
        </w:rPr>
        <w:t xml:space="preserve">1.2工程范围</w:t>
      </w:r>
      <w:r>
        <w:rPr>
          <w:rFonts w:hint="eastAsia" w:ascii="新宋体" w:hAnsi="新宋体" w:eastAsia="新宋体" w:cs="新宋体"/>
          <w:b/>
          <w:bCs/>
          <w:sz w:val="24"/>
        </w:rPr>
      </w:r>
      <w:r/>
    </w:p>
    <w:p>
      <w:pPr>
        <w:pStyle w:val="838"/>
        <w:ind w:firstLine="480"/>
        <w:jc w:val="left"/>
        <w:spacing w:line="360" w:lineRule="exact"/>
        <w:rPr>
          <w:rFonts w:hint="eastAsia" w:ascii="新宋体" w:hAnsi="新宋体" w:eastAsia="新宋体" w:cs="新宋体"/>
          <w:sz w:val="24"/>
        </w:rPr>
      </w:pPr>
      <w:r>
        <w:rPr>
          <w:rFonts w:hint="eastAsia" w:ascii="新宋体" w:hAnsi="新宋体" w:eastAsia="新宋体" w:cs="新宋体"/>
          <w:sz w:val="24"/>
        </w:rPr>
        <w:t xml:space="preserve">1.2.1概述</w:t>
      </w:r>
      <w:r>
        <w:rPr>
          <w:rFonts w:hint="eastAsia" w:ascii="新宋体" w:hAnsi="新宋体" w:eastAsia="新宋体" w:cs="新宋体"/>
          <w:sz w:val="24"/>
        </w:rPr>
      </w:r>
      <w:r/>
    </w:p>
    <w:p>
      <w:pPr>
        <w:pStyle w:val="1065"/>
        <w:ind w:firstLine="480"/>
        <w:jc w:val="left"/>
        <w:spacing w:line="360" w:lineRule="exact"/>
        <w:rPr>
          <w:rFonts w:hint="eastAsia" w:ascii="新宋体" w:hAnsi="新宋体" w:eastAsia="新宋体" w:cs="新宋体"/>
        </w:rPr>
      </w:pPr>
      <w:r>
        <w:rPr>
          <w:rStyle w:val="1064"/>
          <w:rFonts w:hint="eastAsia" w:ascii="新宋体" w:hAnsi="新宋体" w:eastAsia="新宋体" w:cs="新宋体"/>
        </w:rPr>
        <w:t xml:space="preserve">本期工程在按照业主施工要求实施，投标人完成包括但不限于土木工程建设、设备采购、设备安装、设备调试、工艺调试、试运行、人员培训、售后服务及环保验收后运行一年的服务等。基于本工程由乙方负责调试，环评，环保验收及运营。本污水处理厂调试验收托管运营的合同如下：</w:t>
      </w:r>
      <w:r>
        <w:rPr>
          <w:rFonts w:hint="eastAsia" w:ascii="新宋体" w:hAnsi="新宋体" w:eastAsia="新宋体" w:cs="新宋体"/>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36"/>
          <w:szCs w:val="36"/>
        </w:rPr>
        <w:br w:type="page" w:clear="all"/>
      </w:r>
      <w:r>
        <w:rPr>
          <w:rFonts w:hint="eastAsia" w:ascii="新宋体" w:hAnsi="新宋体" w:eastAsia="新宋体" w:cs="新宋体"/>
          <w:b/>
          <w:sz w:val="28"/>
          <w:szCs w:val="28"/>
        </w:rPr>
        <w:t xml:space="preserve">一、 定义和释义</w:t>
      </w:r>
      <w:r>
        <w:rPr>
          <w:rFonts w:hint="eastAsia" w:ascii="新宋体" w:hAnsi="新宋体" w:eastAsia="新宋体" w:cs="新宋体"/>
          <w:b/>
          <w:sz w:val="28"/>
          <w:szCs w:val="28"/>
        </w:rPr>
      </w:r>
      <w:r/>
    </w:p>
    <w:p>
      <w:pPr>
        <w:pStyle w:val="852"/>
        <w:ind w:firstLine="480"/>
        <w:jc w:val="left"/>
        <w:spacing w:before="0" w:after="0" w:line="400" w:lineRule="exact"/>
        <w:rPr>
          <w:rFonts w:hint="eastAsia" w:ascii="新宋体" w:hAnsi="新宋体" w:eastAsia="新宋体" w:cs="新宋体"/>
          <w:b w:val="0"/>
          <w:bCs w:val="0"/>
          <w:sz w:val="24"/>
          <w:szCs w:val="24"/>
        </w:rPr>
      </w:pPr>
      <w:r/>
      <w:bookmarkStart w:id="470" w:name="_Toc475116216"/>
      <w:r/>
      <w:bookmarkStart w:id="471" w:name="_Toc475429762"/>
      <w:r/>
      <w:bookmarkStart w:id="472" w:name="_Toc326735931"/>
      <w:r/>
      <w:bookmarkStart w:id="473" w:name="_Toc474676897"/>
      <w:r>
        <w:rPr>
          <w:rFonts w:hint="eastAsia" w:ascii="新宋体" w:hAnsi="新宋体" w:eastAsia="新宋体" w:cs="新宋体"/>
          <w:b w:val="0"/>
          <w:bCs w:val="0"/>
          <w:sz w:val="24"/>
          <w:szCs w:val="24"/>
        </w:rPr>
        <w:t xml:space="preserve">第一条 定义</w:t>
      </w:r>
      <w:bookmarkEnd w:id="470"/>
      <w:r/>
      <w:bookmarkEnd w:id="471"/>
      <w:r/>
      <w:bookmarkEnd w:id="472"/>
      <w:r/>
      <w:bookmarkEnd w:id="473"/>
      <w:r>
        <w:rPr>
          <w:rFonts w:hint="eastAsia" w:ascii="新宋体" w:hAnsi="新宋体" w:eastAsia="新宋体" w:cs="新宋体"/>
          <w:b w:val="0"/>
          <w:bCs w:val="0"/>
          <w:sz w:val="24"/>
          <w:szCs w:val="24"/>
        </w:rPr>
      </w:r>
      <w:r/>
    </w:p>
    <w:p>
      <w:pPr>
        <w:pStyle w:val="838"/>
        <w:ind w:firstLine="480"/>
        <w:jc w:val="left"/>
        <w:spacing w:line="400" w:lineRule="exact"/>
        <w:rPr>
          <w:rFonts w:ascii="新宋体" w:hAnsi="新宋体" w:eastAsia="新宋体" w:cs="新宋体"/>
          <w:sz w:val="24"/>
        </w:rPr>
      </w:pPr>
      <w:r>
        <w:rPr>
          <w:rFonts w:hint="eastAsia" w:ascii="新宋体" w:hAnsi="新宋体" w:eastAsia="新宋体" w:cs="新宋体"/>
          <w:sz w:val="24"/>
        </w:rPr>
        <w:t xml:space="preserve">（1）保底水量：指甲方承诺的托管运行期内任一运营日的最低污水处理量，如果任一运营 日的实际污水处理量低于该水量，甲方仍须按该水量计付乙方污水处理服务费。</w:t>
      </w:r>
      <w:r>
        <w:rPr>
          <w:rFonts w:ascii="新宋体" w:hAnsi="新宋体" w:eastAsia="新宋体" w:cs="新宋体"/>
          <w:sz w:val="24"/>
        </w:rPr>
        <w:t xml:space="preserve">该项目无保底水量，来水将优先由原污水处理厂处理。</w:t>
      </w:r>
      <w:r>
        <w:rPr>
          <w:rFonts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（2）实际日污水处理量：指每一运营日从流量计上读取的进水或出水水量。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（3）实际月处理水量：每月的月初至月底双方从流量计上读取的进水或出水水量。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（4）污水处理服务费：指甲方就乙方所运行的污水处理厂按本协议规定处理污水所应向乙方支付的费用。污水处理服务费单价为：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元/吨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（6）污水处理厂：指乙方依据甲方委托所运行的</w:t>
      </w:r>
      <w:r>
        <w:rPr>
          <w:rFonts w:ascii="新宋体" w:hAnsi="新宋体" w:eastAsia="新宋体" w:cs="新宋体"/>
          <w:sz w:val="24"/>
          <w:u w:val="single"/>
        </w:rPr>
        <w:t xml:space="preserve">沭阳县陇集镇污水处理厂提质提标</w:t>
      </w:r>
      <w:r>
        <w:rPr>
          <w:rFonts w:hint="eastAsia" w:ascii="新宋体" w:hAnsi="新宋体" w:eastAsia="新宋体" w:cs="新宋体"/>
          <w:sz w:val="24"/>
          <w:u w:val="single"/>
        </w:rPr>
        <w:t xml:space="preserve">工程</w:t>
      </w:r>
      <w:r>
        <w:rPr>
          <w:rFonts w:hint="eastAsia" w:ascii="新宋体" w:hAnsi="新宋体" w:eastAsia="新宋体" w:cs="新宋体"/>
          <w:sz w:val="24"/>
        </w:rPr>
        <w:t xml:space="preserve">，乙方拥有协议期内的生产运行权，该污水处理厂的固定资产所有权归甲方所有。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（7）项目设施：指</w:t>
      </w:r>
      <w:r>
        <w:rPr>
          <w:rFonts w:hint="eastAsia" w:ascii="新宋体" w:hAnsi="新宋体" w:eastAsia="新宋体" w:cs="新宋体"/>
          <w:sz w:val="24"/>
          <w:u w:val="single"/>
        </w:rPr>
        <w:t xml:space="preserve"> </w:t>
      </w:r>
      <w:r>
        <w:rPr>
          <w:rFonts w:ascii="新宋体" w:hAnsi="新宋体" w:eastAsia="新宋体" w:cs="新宋体"/>
          <w:sz w:val="24"/>
          <w:u w:val="single"/>
        </w:rPr>
        <w:t xml:space="preserve">沭阳县陇集镇污水处理厂提质提标工程</w:t>
      </w:r>
      <w:r>
        <w:rPr>
          <w:rFonts w:hint="eastAsia" w:ascii="新宋体" w:hAnsi="新宋体" w:eastAsia="新宋体" w:cs="新宋体"/>
          <w:sz w:val="24"/>
        </w:rPr>
        <w:t xml:space="preserve">的全部实物资产。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（8）项目或本项目：指由甲方与乙方签署本协议，授予乙方在托管运营期限内运行项目 设施的独家权利，由乙方提供污水处理服务并收取污水处理服务费，在托管运营期满后将项目设施全部完全、无偿移交给甲方，并保证正常运行。（对于因生产需要，双方协调处理添置的设备仪器，按折旧法移交甲方，合理收取一定费用）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（9）法律变更：指立法机关和政府部门颁布、修改、废除或重新解释的任何适用法律。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（10）污泥：指在污水处理过程中产生的泥类物质。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（11）日常检测指标：指项目设施运行期间日常必须检测的理化指标，包括：进出水的化学需氧量CODcr、悬浮物SS、氨氮NH3-N、TN、TP、PH值等。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（12）不可抗力：指本协议25.1款所规定的不能合理预见、不能克服并且不能避免的事件。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（13）常规运营惯例：指污水处理厂的运营者进行类似本项目的运营时所采用或接受的惯 例、方法和作法。该等作法包括但不限于：</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(a)项目设施设备完好率不低于95%； (b)正常运营条件下及合理预测非正常条件下拥有所需的充足材料、资源和供应品；(c)由专业技术人员使用适当设备、工具和程序实施正常维护和修理，以确保项</w:t>
      </w:r>
      <w:r>
        <w:rPr>
          <w:rFonts w:hint="eastAsia" w:ascii="新宋体" w:hAnsi="新宋体" w:eastAsia="新宋体" w:cs="新宋体"/>
          <w:sz w:val="24"/>
        </w:rPr>
        <w:t xml:space="preserve">目设施长期、可靠和安全地运行；各类技术管理人员应保持适当的比例； (d)拥有足够数量、充足经验并经过培训的工作人员，以恰当有效地按照项目设施各项有关设备的操作手册和规范运营，并能够处理紧急情况； (e)制定应对突发事件的应急预案；  (f)经常进行恰当的监测和测试，以确保项目设施的正常运行；  (g)按照国家有关安全生产管理的规定安全平稳运行项目设施，并保证工人、公众及环境的安全，并遵守有关设备设施的操作规程及各项限制性要求； (h)符合城市文明创建的要求，包括厂容厂貌、室内外环境、设施设备卫生管理等。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（14）本协议：指承包方和发包方双方所达成的协议，即由双方签订的关于本项目的基本文件，以 及为解释执行、调整本协议所签订的所有的附件、附录和其他文件。</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第二条 解释</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对本协议的解释应依照以下原则进行：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（1）除非本协议另有规定，其中提到的条款和附件均指本协议之条款和附件。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（2）除非本协议另有规定，提及的一方或双方均为本协议的一方或双方及其正当的 继任者或受让人。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（3）本协议中使用的“协议中”、“协议内”、“协议下”等语句及类似用语，其所指 应为本协议的全部而并非本协议的任何特定条款。除非本协议另有明确规定，当使用词组“包括”时，无论其是否包含“但不限于”字样，仍应被视作为对本协议任何其它相关条款的全部包括。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（4）本协议任何章、条或款的小标题不应视为对协议的当然解释，本协议的各个组 成部分都具有同样的法律效力和同等的重要性。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（5）在本协议中，无论何处及由任何人发出或颁发任何通知、同意、批准、证明或 决定，除另有说明外，均指其书面形式。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（6）除本协议另有规定外，本协议中使用的“天”、“日”均指公历日。</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（7）提及本协议时应包括以任何方式修改、补充和替代的本协议及其附件。</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（8）中小型维修、大型维修：所有维修费用均由乙方承担。</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二、双方的陈述和保证</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第三条 甲方的陈述与保证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3.1甲方负责污水处理厂运行监管。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3.2甲方保证不存在任何与本项目有关的由甲方作为一方签署、并可能对乙方产生重大不利影响的合同、协议和任何未决或即将进行的诉讼。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3.3甲方保证接受已签署的托管运营协议的约束，并按照本协议的规定向乙方支付污水处理服务费。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3.4甲方保证由于国家或地方污水排放标准发生变化，引起乙方处理成本发生较大变化时，甲乙双方将另行商定污水处理单价。甲方保证进水水质在合同约定范围内，若超过双方约定的进水水质标准，如涉及（工业）重金属及有毒有害物质污水进入该污水处理厂，造成活性污泥中毒或死亡，进而影响系统处理效果，则由此造成的一切损失均由甲方承担。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3.5甲方保证对乙方的监管将按照国家、省、市、行业有关法律、法规、规章、标准及规范的规定执行。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3.6甲方保证因更名、合并、分立、撤销或权限变化时，甲方全部权利及义务均由新的污水处理行业行政主管部门享有和承担。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3.7甲方保证对于本协议执行过程中的任何通知、同意、批准、证明或决定都不无故扣押或拖延，如果是收件方，将签署回执并注明收到时间。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第四条 乙方的陈述与保证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4.1乙方保证是一家依照中华人民共和国法律合法成立的有限公司。乙方将有权根据其公司成立批准文件、工商登记文件、章程从事污水处理运营业务，并履行其在本协议下的所有义务。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4.2乙方保证本协议的签署和履行将不违反对其具有约束力的任何法律、法规和合同性文件的规定。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4.3乙方保证在签署本协议之前，不存在任何与本项目有关的，由乙方作为一方签署、并可能对项目或甲方产生重大不利影响的合同、协议和任何未决或即将进行的诉讼或仲裁</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4.4乙方保证加强对项目设施的运行维护，确保项目设施完好并正常运行。</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4.5乙方保证接受已签署的托管运营协议的约束。</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4.6乙方保证严格遵守国家、省、市、行业的法律、法规、规章、标准及规范的规定。</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4.7乙方保证接受甲方以及其他相关政府部门的监管，遵守城市总体规划和污水处理专项规划，满足社会对污水处理服务的需求，履行政府在污水处理服务事业方面对市民的承诺。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4.8乙方保证，对于本协议中任何通知、同意、批准、证明或决定都不无故扣押或拖延，如果是收件方，将签署回执并注明收到时间。</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b/>
          <w:sz w:val="28"/>
          <w:szCs w:val="28"/>
        </w:rPr>
      </w:pPr>
      <w:r>
        <w:rPr>
          <w:rFonts w:hint="eastAsia" w:ascii="新宋体" w:hAnsi="新宋体" w:eastAsia="新宋体" w:cs="新宋体"/>
          <w:sz w:val="24"/>
        </w:rPr>
        <w:t xml:space="preserve"> 4.9乙方托管运营包含：    A、负责污水处理厂的运营管理，包括污水处理厂所需的水电、人工药剂、办公、管理费用。但不包含环保部门征收的一切检测费用。   B、负责污水处理设施、设备的中、小修及维护保养。   C、负责污泥的稳定、脱水减容。</w:t>
      </w:r>
      <w:r>
        <w:rPr>
          <w:rFonts w:hint="eastAsia" w:ascii="新宋体" w:hAnsi="新宋体" w:eastAsia="新宋体" w:cs="新宋体"/>
          <w:b/>
          <w:sz w:val="28"/>
          <w:szCs w:val="28"/>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三、双方的基本义务</w:t>
      </w:r>
      <w:r>
        <w:rPr>
          <w:rFonts w:hint="eastAsia" w:ascii="新宋体" w:hAnsi="新宋体" w:eastAsia="新宋体" w:cs="新宋体"/>
          <w:b/>
          <w:sz w:val="28"/>
          <w:szCs w:val="28"/>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第五条 甲方的基本义务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5.1在托管运营期内，甲方应根据本协议的规定向乙方支付污水处理服务费。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第六条 乙方的基本义务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6.1在托管运营期内，乙方负责项目设施的管理、运行、维修，并在托管运营期满时将项目设施完好、无偿移交给甲方，并保证能正常运行。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6.2乙方应始终按照常规运营惯例、检验与维护手册以及项目设施的设备制造商提供的资料维护项目设施，以保证项目设施处于良好的运行状态。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6.3乙方应按本协议要求，按时向甲方通报运行情况，提交与本项目有关的报告、数据、资料。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6.4乙方确保进厂污水经过处理达标排放。 </w:t>
      </w:r>
      <w:r>
        <w:rPr>
          <w:rFonts w:hint="eastAsia" w:ascii="新宋体" w:hAnsi="新宋体" w:eastAsia="新宋体" w:cs="新宋体"/>
          <w:sz w:val="24"/>
        </w:rPr>
      </w:r>
      <w:r/>
    </w:p>
    <w:p>
      <w:pPr>
        <w:pStyle w:val="674"/>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 6.5乙方运行时产生的栅渣、沉砂及污泥等固体废物须运往甲方指定地点</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处消纳，乙方运往甲方指定地点的相关运输费用由乙方承担。污泥外运涉及的处置相关费用全部由乙方负责承担。</w:t>
      </w:r>
      <w:r>
        <w:rPr>
          <w:rFonts w:hint="eastAsia" w:ascii="新宋体" w:hAnsi="新宋体" w:eastAsia="新宋体" w:cs="新宋体"/>
          <w:sz w:val="24"/>
          <w:szCs w:val="24"/>
        </w:rPr>
      </w:r>
      <w:r/>
    </w:p>
    <w:p>
      <w:pPr>
        <w:pStyle w:val="674"/>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6.6 保修工作范围：①在约定的质量保证期内，包括但不限于土建工程维修、设备维修、软件维护、工艺性能恢复等。②项目运营期间，投标人须负责厂区内、管网、泵站等日常运营维护工作。</w:t>
      </w:r>
      <w:r>
        <w:rPr>
          <w:rFonts w:hint="eastAsia" w:ascii="新宋体" w:hAnsi="新宋体" w:eastAsia="新宋体" w:cs="新宋体"/>
          <w:sz w:val="24"/>
          <w:szCs w:val="24"/>
        </w:rPr>
      </w:r>
      <w:r/>
    </w:p>
    <w:p>
      <w:pPr>
        <w:pStyle w:val="674"/>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6.7上述过程中，无论何种原因，对现场现有条件的破坏，均由承包人负责恢复，费用由承包人承担。</w:t>
      </w:r>
      <w:r>
        <w:rPr>
          <w:rFonts w:hint="eastAsia" w:ascii="新宋体" w:hAnsi="新宋体" w:eastAsia="新宋体" w:cs="新宋体"/>
          <w:sz w:val="24"/>
          <w:szCs w:val="24"/>
        </w:rPr>
      </w:r>
      <w:r/>
    </w:p>
    <w:p>
      <w:pPr>
        <w:pStyle w:val="838"/>
        <w:jc w:val="center"/>
        <w:spacing w:line="360" w:lineRule="auto"/>
        <w:widowControl/>
        <w:rPr>
          <w:rFonts w:hint="eastAsia" w:ascii="新宋体" w:hAnsi="新宋体" w:eastAsia="新宋体" w:cs="新宋体"/>
          <w:sz w:val="24"/>
        </w:rPr>
      </w:pPr>
      <w:r>
        <w:rPr>
          <w:rFonts w:hint="eastAsia" w:ascii="新宋体" w:hAnsi="新宋体" w:eastAsia="新宋体" w:cs="新宋体"/>
          <w:b/>
          <w:sz w:val="28"/>
          <w:szCs w:val="28"/>
        </w:rPr>
        <w:t xml:space="preserve">四、污水处理服务费用的计算与支付</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第七条 污水处理服务费的计算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7.1污水处理服务费的计算方法按附录1计算，项目进场时间由甲方书面通知为准，乙方开始正式商业运营的日期即为甲方开始正式付费的日期。</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7.2污水处理服务费单价按附录1规定执行。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7.3月处理量的计算按附录1计算。</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7.4每月污水处理服务费按附录1计算。</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7.5计价说明  本污水处理服务单价由生产费用、管理费用和人员工资等三部分组成，包括但不仅限于：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7.5.1生产费用包括：水费、电费、絮凝药剂费、正常维修维护保养费(限中小型维修保养 费)；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7.5.2管理费用包括：办公费、差旅费、邮电通讯费、业务招待费、安全保卫费、绿化养护费等，不含环保部门征收的一切水质检测费（检测协议及检测费用由甲方负责）；</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7.5.3人员工资包括经乙方录用的所有人员的工资和补助、社保。</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第八条 污水处理服务费的支付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8.1 乙方在每月开始前的五个工作日内将上月的《月度水量报告》《月度水质报告》等（但不限于）提交给甲方监管部门。</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8.2甲方支付污水处理服务费的义务在运营期内的每个季度，甲方应根据本合同附录1确定的付费计算原则向乙方支付相应的污水处理服务费。</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8.3乙方应按照附录1的规定进行计算和调整，以准确核算其在本合同项下就提供污水处 理服务应获得的服务费，并且应清楚地解释其计算并提供第9.5条项下提交的服务费发票所要求的详情。如甲方要求，乙方应提供所有证明记录和资料的复印件以便甲方能够核实该计算。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8.4甲方应按时向乙方支付污水处理服务费，所有此等费用均以人民币支付。款项应按照本合同的第9.4条确定的帐户和付款方式支付。</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8.5甲方监管部门在接到报告后的十个工作日内甲方负责督促并完成办理款项支付的一切审核程序，并支付给乙方上月发生的污水处理服务费。支付方式可通过电汇、银行转帐等方式汇入乙方指定帐户。逾期则追究相应的违约责任（根据26.4条款）。费用审核流程如下：</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第九条 付款程序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9.1乙方应在每个运营季度结束后五（5）个工作日内，按照第8.3条款计算的金额，向甲方开具付款通知账单，同时应提供所有相应的证明记录和资料的复印件以便甲方能够核实上述计算。 </w:t>
      </w:r>
      <w:r>
        <w:rPr>
          <w:rFonts w:hint="eastAsia" w:ascii="新宋体" w:hAnsi="新宋体" w:eastAsia="新宋体" w:cs="新宋体"/>
          <w:sz w:val="24"/>
        </w:rPr>
      </w:r>
      <w:r/>
    </w:p>
    <w:p>
      <w:pPr>
        <w:pStyle w:val="838"/>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 9.2甲方在收到乙方提交的付款通知账单之日起，应对乙方送交的付款通知账单和相关资料的计算结果进行复核确认。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9.3甲方在核准确认无争议应付污水处理服务费金额后，应在收到乙方付款通知账单日后的七个工作日（“应付款日”）内及时通知乙方开具并递交与前述核准确认金额相符的服务费凭证给甲方，并向财政局或其指定付费机构提交经相关部门核准后的付费凭证，向乙方支付当月应付的污水处理服务费款额。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9.4政府相关部门的核准政府相关部门（包括本项目行政主管部门、财政拨款部门或价格核定部门）将有权就任何一月污水处理服务费支付金额的计算、提议的单价调整方案是否与本合同中获得双方确认的公式和计算方法以及国家有关价格规定是否一致进行核实。</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9.5 收费发票或凭证  乙方在申请获得污水处理服务付费时，应按照政府方要求提交适宜的服务费发票或收款凭证。</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9.6 利息  如果一方在本合同项下应向另一方支付的任何款项在到期之后未能支付，付款一方应支付按当时人民银行公布的一年期银行贷款利率计算的违约利息，该利息应依照前述约定利率自到期之日(包括该日)至收款方收到款项之日(不包括该日) 按日累计，按月计算。</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9.7 税项说明  项目中标报价中的污水处理服务费中不包括所有现在及将来的运营商根据适用法律规定应缴纳的增值税等流转税种（所得税除外），但甲方向乙方支付任何污水处理服务费应根据适用法律考虑乙方应纳税款，使其不会因缴纳或扣除任何税款而减少预期收入。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第十条  延迟支付时的协调责任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10.1若甲方未能根据本合同的约定按时向财政部门提交污水处理服务费支付意见，则乙方 可向甲方发出催办通知（“催办通知”）， 甲方应在该催办通知出具后的三个工作日内将协调结果反馈。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10.2有争议的金额  甲方如对乙方提交的运营付费申请单显示的金额或对本合同项下的其他付款要求有任何异议，应在收到运营付费申请单之日后的三天内通知乙方并说明原因，并在到期日先行支付无争议部分的金额，否则应视为无异议并应全额核准支付。任何有关剩余金额的争议应首先在争议出现后五个工作日内协商解决。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10.3未付款项的支付  如果甲方对乙方提交的运营付费申请单显示的或要求的任何或部分金额有争议，且随后根据争议解决条款，确认甲方尚未支付的任何应付款项应由甲方知会县财政部门支付给乙方。</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10.4违约金的扣减  如果发生违约情况，乙方应根据计算需要向甲方支付的违约金金额，并将该金额从污水处理服务费的发票金额中减扣。违约金计算的细节应在付款通知账单中列明。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b/>
          <w:sz w:val="28"/>
          <w:szCs w:val="28"/>
        </w:rPr>
      </w:pPr>
      <w:r>
        <w:rPr>
          <w:rFonts w:hint="eastAsia" w:ascii="新宋体" w:hAnsi="新宋体" w:eastAsia="新宋体" w:cs="新宋体"/>
          <w:sz w:val="24"/>
        </w:rPr>
        <w:t xml:space="preserve">10.5 服务费收费凭证  乙方在收到甲方核准确认的支付金额通知后三个工作日内，应根据适用法律向甲方及时开具服务费收款凭证。</w:t>
      </w:r>
      <w:r>
        <w:rPr>
          <w:rFonts w:hint="eastAsia" w:ascii="新宋体" w:hAnsi="新宋体" w:eastAsia="新宋体" w:cs="新宋体"/>
          <w:b/>
          <w:sz w:val="28"/>
          <w:szCs w:val="28"/>
        </w:rPr>
      </w:r>
      <w:r/>
    </w:p>
    <w:p>
      <w:pPr>
        <w:pStyle w:val="838"/>
        <w:jc w:val="center"/>
        <w:spacing w:line="440" w:lineRule="exact"/>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五、资产管理与项目设施的移交</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第十一条 资产所有权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11.1 托管运营期间，污水处理厂内的原有设施、设备的所有权及 土地使用权归甲方所有。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11.2托管运营期间，因污水处理需要并经甲方同意后乙方新增的设施、设备，新增设备的所有权归乙方所有；托管运营期满后，如甲方要求留置，在甲方支付给乙方相应的购置、安装费用后，所有权归甲方所有。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第十二条 项目设施移交的范围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12.1移交的项目设施以现场清点数目为准，并制定交接清单，最终的交接清单需经承包方、发包方双方签字盖章后生效。（注：主要构筑物及相关工艺参数表 以现场实际交接单为准）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12.2移交的内容还包括维持本项目正常运行和维护必需的所有技术图纸、规程、规范、资 料；生产运行的有关图纸资料和技术文件，包括运行手册、运行记录、设计图纸以及设备寿命消耗及管理表，运行和维护项目设施所需的专有技术、专利、计算机软件及其他知识产权。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12.3 甲方根据项目自身工期进度提前</w:t>
      </w:r>
      <w:r>
        <w:rPr>
          <w:rFonts w:hint="eastAsia" w:ascii="新宋体" w:hAnsi="新宋体" w:eastAsia="新宋体" w:cs="新宋体"/>
          <w:sz w:val="24"/>
          <w:u w:val="single"/>
        </w:rPr>
        <w:t xml:space="preserve">  壹  </w:t>
      </w:r>
      <w:r>
        <w:rPr>
          <w:rFonts w:hint="eastAsia" w:ascii="新宋体" w:hAnsi="新宋体" w:eastAsia="新宋体" w:cs="新宋体"/>
          <w:sz w:val="24"/>
        </w:rPr>
        <w:t xml:space="preserve">个月事先以书面方式告知乙方，确定乙方正式 介入项目试运营日期。乙方为了更好的配合甲方对于该运营项目的设备调试及运营调试，可提前派出相关人员介入协助配合。乙方派出相关人员介入后，乙方在此期间所产生的一切费用，甲方全额承担。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第十三条  移交工作小组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13.1项目设施移交工作由甲方和乙方共同组建移交工作小组，在试运营进驻运营前一周内 成立移交工作小组，负责完成设施设备清点、运行交接、人员安置以及其他必要的前期工作。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13.2移交工作小组工作至项目设施移交完成之日解散。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13.3移交工作小组在进行上述工作过程中发生的必要费用，由双方对该费用确认后平均分担。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第十四条 责任的划分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14.1设施、设备移交时将进行相关的设备检测，检测中发现的项目设施、设备存在的缺陷 或损坏，形成设备缺陷表单。移交方应负责修复该缺陷或损坏，接收方可协助修复。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14.2 设施、设备移交后，凡属设备供应方合同保修责任期内的，仍应由甲方协助乙方联系维修。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14.3移交过程中，若一方对移交资产的设备、设施的性能及完好程度存在异议时，由双方 共同委托具有资产评估能力的机构对存在争议的资产进行评估，评估结果具有最终效力，对双方都具有约束力。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第十五条 项目设施的移交回转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15.1本协议届满后，乙方无偿将项目设施交回甲方（但不包括乙方更新、改造的设施、设 备，如涉及可参照合同11.2条款执行）。同时保证项目设施处于良好的运行状态。</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15.2 项目设施的移交回转过程及内容同项目设施的移交过程。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六、人员办公场地安置</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第十六条 人员办公场地安置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16.1托管运营期间乙方负责运行管理人员编制，其中人员岗位安排由乙方自行确定.</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16.2在托管运营期间，乙方应对聘用人员按国家规定的各种劳动保险费用（五险）进行支付，所有费用由乙方负责支付和办理。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16.3本协议提前终止时,乙方在其全部人员撤离前,应确保甲方相关人员具备基本的运行能 力,确保项目设备、设施的连续运转。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16.4 乙方进驻时，甲方提供的办公场地整体配套设施（宿舍、食堂、办公桌椅、网络宽带、电脑设备、化验室仪器设备等）由乙方负责。</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16.5 乙方应保证运营结束时，设备应保证95%的完好率，如产生的设备更换费用由乙方承担，设备更换品牌必须与设计院要求和招标文件一致。乙方应保证每个污水厂白天至少有1名具有运营资质的操作人员，晚间至少有1名具有运营资质的操作人员。在调试及运营期内，具有运营资质的操作人员不得减少。（操作人员必须具有国家环保产业协会或国家环保部颁发的有效的运营人员考试合格证书，工种为：污废水处理工）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七、项目设施的运行和维护</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第十七条 项目设施的运行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17.1乙方应保证项目设施每日正常运转。因设施设备检修需暂停服务时，须报甲方批准。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17.2运行中发生设施设备重大事故或人身伤亡事故时，乙方须负全部责任并及时采取措施 处理同时立即报告甲方。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17.3对整个项目设施设备改造须事先征得甲方同意。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第十八条 项目设施的维护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18.1项目设施的运行与维护应符合中国法律、法规和国家行业规范、标准的要求，包括《城 市污水处理厂运行、维护及其安全技术规程》（CJJ60-94）。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18.2乙方应制定保证设施设备完好的措施和计划，并接受甲方对有关设施设备完好情况的 检查。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18.3 在托管运营期内，因生产所发生的设施、设备中、小维修、维护保养费用、水电费用、办公费用由乙方承担。运营过程中涉及的大修、技改由则由乙方提出方案报甲方审批，费用由甲方负责承担。 （注：设施设备中、小维修一年内不得超过三次）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第十九条 甲方的监管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19.1甲方或政府其他相关行业管理部门有权派员在任何时候进入乙方的项目设施，监督项 目设施的运行和维护，了解乙方的生产经营信息，但不得干涉、延误或干扰乙方履行其在本协议下的权利和义务。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19.2甲方所派人员发现问题时有提问和要求乙方回答的权利，并有权检查包括乙方的生产 记录、设备检修和检测记录在内的全部运营记录。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八、水质检测</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第二十条 水质检测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20.1进水和出水的水质应通过日常检测指标确定，符合设计进水水质及尾水排放标准。乙方应按照国家规定的检测分析方法进 行检测，并如实向甲方报告检测结果。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20.2乙方应接受经甲方委托的具有资质的检测机构按照20.1款规定的检测程序、办法、 标准和周期进行检测。</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20.3乙方应记录日常检测和在线检测的所有结果，并存档备查。检测指标项目经双方约定如下：</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20.4乙方应于每月开始的五个工作日内将上月的列明日常检测指标的《月度水质报告》报送甲方，报告上月的每日进水和出水水质，对进出水水质严重不符合本协议规定标准的检测报告应立即报送。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第二十一条 水样采取和储存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21.1水样的采集应符合国家标准《水质采样方案设计技术规定》（GB12997-91）、《水质采 样技术指导》（GB12998-91）以及《地表水和污水监测技术规范》（ HJ/T91-2002）的要求。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21.2水样储存应符合国家标准《水质采样样品的保存和管理技术规定》（GB12999-91）的要求。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21.3用于检测水质的进水水样和出水水样应分别在双方共同确认的接入点和交付点采集。 进水水样和出水水样的采样间隔不得大于五小时，每日提取采样设备采集混合水样。</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21.4每次提取的水样应分装A、B两瓶，A瓶用于乙方自行检测，B瓶留作备用水样。每瓶 备用水样应不少于2000ml，瓶上须明确标明采样日期和采样点，进水和出水的备用水样须分开在4℃保存，保存时限为四十八小时。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第二十二条 甲方的核实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22.1甲方有权对乙方的检测程序、结果、设备和仪器进行检查；就乙方进行的日常检测， 甲方有权委托具有资质的水质检测机构，进行一项或多项检测，以核实乙方提供的结果。甲方抽查采样时须有乙方人员在场。经通知后，乙方人员拒不到场的，不影响抽查结果的有效性。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22.2甲方核实或抽查的结果与乙方自检结果不一致时，以双方认可的有资质的第三方检测 结果为准。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22.3甲方委托的检验机构进行上述核实或检查的费用应由甲方承担，但是如果核实或检查 的结果表明乙方检测结果不符合标准时，则乙方应负担该等费用。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九、计量</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第二十三条 计量方法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23.1污水处理厂出水口安装电磁流量计各一台，双方约定 以出水口流量计为付费计量仪表。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23.2在本协议期内甲方应定期对流量计进行检查、校准和测试。（参见附录2计量方式）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23.3甲乙双方的代表应在每个月的最后一日联合对现场流量计的读数进行记录。双方对现场流量计读数共同确认后，以出水口流量计作为该月的实际污水处理量。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第二十四条 计量结果的异议与确认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24.1若计量装置发生意外故障，乙方应及时书面通知甲方并予以说明，经甲方确认后，则 发生故障期间的每日污水处理量按上个月的日平均污水处理量计算。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24.2任一方如对水量计量结果有异议，应自异议发生之日起3天内向对方书面提出，并可 聘请双方认可的专业机构对计量装置进行检测，经检查若确实存在问题应立即纠正，检测费用由被异议方支付；反之，则由异议方支付。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十、不可抗力</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第二十五条 不可抗力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25.1本协议中所指的不可抗力是指：（1）雷电、地震、火山爆发、滑坡、水灾、冰灾、暴雨、海啸、台风、龙卷风或旱灾等自然灾害 ；（2）流行病、饥荒或瘟疫；（3）战争行为、入侵、武装冲突或外敌行为、封锁或军事力量的使用，暴乱或恐怖 行为； （4）全国性、地区性、城市性或行业性罢工；（5）由于不能归因于乙方的原因引起的连续壹个月以上的供电中断；（6）国家征用、征收；（7）导致本协议实际上不能履行的法律变更。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25.2任何一方如果因不可抗力而导致不能全部或部分履行本协议规定义务的，在不可抗力 的影响范围内该方可全部或部分免除在本协议项下的相应义务，并不承担任何责任。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25.3受到不可抗力影响的一方应尽一切合理努力和采取合理措施以继续履行其在本协议下 的义务，减少不可抗力对其造成的影响。双方应协商制定并实施补救计划及合理的替代措施以消除不可抗力的影响。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十一、违约责任</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第二十六条 违约责任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26.1任何一方违反本协议规定的任何条款或条件导致本协议不能履行或部分不能履行，违 约一方应承担违约责任，并赔偿由此给对方造成的经济损失。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26.2在协议期内，任何一方非因不可抗力或协议中规定的条款而解除本协议的应支付给对方违约金，违约金=日保底水量×污水处理服务费单价×剩余运营天数×15。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26.3甲方在本协议期内，不得与任何第三方签署与本协议项下的任何事宜构成竞争的任何 协议及违反本协议项下的任何事宜的任何协议。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第二十七条 责任划分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27.1在协议期内，属乙方自身的原因导致乙方所排放的出水不达标受到政府及有关部门的 行政处罚或追究任何法律责任时，由乙方承担一切经济损失及一切法律责任,同时不予支付当月污水处理服务费。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27.2 当进水水质标准和水量超过约定值的10%以内时，当时间不超过两周，乙方应保证能达标并正常运行。当时间超过两周，甲方应免除乙方的不达标责任。</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27.4 当乙方施工的管网因标高和施工质量引起的问题，导致引进的水不能进入污水处理厂，引起的一切责任由乙方承担，甲方有权责令乙方整改，整改费用由乙方承担。当发生环境污染事故时，所产生的法律责任和社会责任均由乙方承担。</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十二、争议的解决</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第二十八条 争议的解决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28.1对本协议有关的任何争议，双方应友好协商解决。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28.2争议未能解决的，可以通过向工程所在地区法院诉讼解决。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第二十九条 法律效力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29.1本协议的订立、履行、效力及解释均适合中国法律。如本协议有关条款与国家法律、 法规相抵触，则对相应条款进行修改、完善，本协议其他条款继续履行。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29.2对本协议的修改、变更、补充，必须经甲乙双方在共同协商的基础上签署书面补充协 议，补充协议与本协议具有同等效力。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29.3本协议的任何条款或任何部分的无效或不可强制执行，不应以任何方式影响本协议的 任何其他条款或任何部分的效力。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29.4除非导致协议的终止，针对本协议的任何违约责任的追究及责任承担，均不影响本协 议之继续履行。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29.5本协议所有附件是本协议不可分割的组成部分，与本协议具有同等法律效力。</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29.6本协议自签署之日即对双方产生同等的约束力及法律效力。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十三、托管运营期限</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第三十条 托管运营期限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30.1 甲方授予乙方的托管运营期限为一周年，乙方施工内容经验收合格，并通过环保验收通过后，由甲方通知乙方开始运营之日起生效。</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30.2 运营期计算为正式交接日起至次年该日期止为一年度运营周期。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30.3 协议期满前一个月,双方可协商是否续签下一年度托管运行事宜，甲方有权确定下一 年度的其他运营方案，同等条件下乙方享有优先权。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第三十一条  终止事件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本合同应在下述任一事件最先发生之时终止：根据第25.1条，由于不可抗力事件终止本合同；  根据第31.1条规定，在乙方违约事件后，甲方终止本合同；根据第31.2条规定，在甲方违约事件后，乙方终止本合同。</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31.1乙方违约事件  下述每一条款所述事件，如果不是由于甲方或不可抗力所致并且未在允许的时间（如有）内得到改正，应视为乙方违约事件，甲方有权立即发出终止意向通知： a）在一个运营年，除经批准的项目设施正常大修期间外，在进水达标的情况下出水未达到出水水质标准的情况总共</w:t>
      </w:r>
      <w:r>
        <w:rPr>
          <w:rFonts w:hint="eastAsia" w:ascii="新宋体" w:hAnsi="新宋体" w:eastAsia="新宋体" w:cs="新宋体"/>
          <w:sz w:val="24"/>
        </w:rPr>
        <w:t xml:space="preserve">超过二十（20）个运营日；  b）乙方未能根据本合同运营和维护项目设施，致使在项目场地或附近的人员和财产的安全受到严重不良影响或产生严重不良后果； c）乙方依中国法律清算或其资不抵债；  d）乙方在本合同中作的声明被证明在提供时严重有误，使其履行本合同项下义务的能力受到严重不利影响；  e）乙方及其雇员蓄意损坏或破坏政府方进水管网的任何部分；  f）乙方未能履行其在本合同项下的任何其它义务而构成对本合同的重大违约，并且乙方在收到甲方发出说明该违约的书面通知和要求其对此进行补救后的二十（20）天之内未能补救。</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31.2甲方违约事件  下述每一条款所述事件，如果不是由于乙方违约事件或不可抗力所致，并且未能在允许的时间（如有）内得到补救，应视为甲方违约事件，乙方有权立即发出终止意向通知：  a)甲方在本合同中做的声明被证明在提供时严重有误，使甲方履行本合同项下义务的能力受到严重不利影响；  b) 甲方严重违反本合同项下的义务，并在收到乙方发出说明此违约的书面通知和要求甲方就此进行补救的书面通知后三十（30）天内，甲方未能补救。</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31.3终止意向通知  任何终止意向通知均应适当详细说明导致发出该通知(“终止意向通知”)的违约事件情况。同时，任一方向另一方发出的任何终止意向通知应同时提交给对方一份书面函件。在发出终止意向通知后，双方应在三十（30）天期限内，或双方书面同意的更长期内协商避免终止本合同而应采取的措施。</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31.4 终止通知受第31.5条约束，在第31.3条规定的协商期满时，除非双方另外达成一致意见； 导致终止意向通知的乙方违约事件或甲方违约事件已得到补救；  发出终止意向通知的一方可向另一方发出通知（“终止通知”）并在上述各方收到通知后，立即终止本合同。</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31.5甲方的权利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31.5.1甲方经营项目设施的权利  (a) 在经营期内，如果乙方违约事件发生并持续，并对乙方根据本协议运营和维护污水处理厂设施的能力产生严重不利影响，则在甲方发出终止意向通知之后并直至终止通知之间甲方</w:t>
      </w:r>
      <w:r>
        <w:rPr>
          <w:rFonts w:hint="eastAsia" w:ascii="新宋体" w:hAnsi="新宋体" w:eastAsia="新宋体" w:cs="新宋体"/>
          <w:sz w:val="24"/>
        </w:rPr>
        <w:t xml:space="preserve">有权，但无义务，替代乙方接管项目设施的运营，以使项目设施继续运营或完成任何必要的修理以保证项目设施不间断地收纳输送污水和处理进厂污水，在此情况下，乙方应承担与甲方合作的义务。  (b)  任何情况下，甲方选择接管运营项目设施不应视为本项目经营权的转让或承担乙方作为项目设施拥有权人的义务。  (c)  在甲方运营项目设施期间，乙方无义务获取在甲方接管项目设施的运营之日以后发生的运营费用。在因乙方发生违约事件甲方发出终止意向通知之日起，甲方无义务向乙方支付任何服务费，直至乙方按照本协议接替或承担项目设施的运营。</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31.5.2 甲方在任何时候终止本协议的权利  如果在乙方违约事件发生之后，甲方已发出终止意向通知，并且乙方违约事件在协商期满之日前未得以补救，则甲方应有权在上述日期之后的任何时候发出正式终止通知以终止本协议。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31.6 终止的一般后果  本协议终止后，双方在本协议项下不再有进一步的义务，但根据第31.7条可能到期应付的任何款项，以及本协议到期或终止之前发生的而在本协议到期或终止之日尚未支付的付款义务除外；本协议的终止不影响本协议中争议解决条款和任何在本协议终止后仍然有效的其它条款。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31.7 终止后的补偿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31.7．1乙方违约事件导致的终止  如果甲方因乙方严重违约事件而根据31.1（a）至（f）条规定终止本协议，甲方有权收回对乙方授予的托管运营权。</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31.7.2 甲方违约事件导致的终止  如果在生效日后乙方因甲方违约事件根据第31.2条终止本协议，则乙方应将项目设施转让给甲方。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31.7.3 不可抗力事件导致的终止  因不可抗力事件导致任何一方终止本协议，甲方应向乙方支付一定的合理补偿。甲方支付该项补偿后，乙方应将项目设施移交给甲方。</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31.8对责任的限制  (a) 本合同终止后，甲方不应就上述终止或导致上述终止的任何事件向乙方承担任何责任，但根据本合同已事先约定的应付未付款项、违约赔偿和解决有关补偿费的支付除外(如有的话)。 (b) 本合同终止后，乙方应单独负责终止与项目有关的所有对外事务，以确保项目设施在终止收回日无负债、无对外担保、无法律诉讼等情况，除非乙方与甲方就项目设施在终止移交日的债权债务处理等事项已另外达成协议。</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 31.9终止的后果  本合同终止后，除在该终止或期满前产生的义务外,双方在本合同项下无其它义 务。该终止不得影响有关解决争议的规定、本章的规定或本合同明确规定在该终止后继续有效的其它规定。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十四、其他</w:t>
      </w:r>
      <w:r>
        <w:rPr>
          <w:rFonts w:hint="eastAsia" w:ascii="新宋体" w:hAnsi="新宋体" w:eastAsia="新宋体" w:cs="新宋体"/>
          <w:b/>
          <w:sz w:val="28"/>
          <w:szCs w:val="28"/>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三十二 相关修改</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32.1对合同条款做出任何修改，均须由甲、乙方双方协商，以书面补充合同形式进行。</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32.2本合同经甲、乙双方签字盖章后立即生效，共制作正本四份，签约双方各执二份，具 有同等法律效力。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32.3 合同附件：   附录1  污水处理服务费的计算 </w:t>
      </w:r>
      <w:r>
        <w:rPr>
          <w:rFonts w:hint="eastAsia" w:ascii="新宋体" w:hAnsi="新宋体" w:eastAsia="新宋体" w:cs="新宋体"/>
          <w:sz w:val="24"/>
        </w:rPr>
      </w:r>
      <w:r/>
    </w:p>
    <w:p>
      <w:pPr>
        <w:pStyle w:val="838"/>
        <w:ind w:firstLine="480"/>
        <w:spacing w:line="440" w:lineRule="exact"/>
        <w:rPr>
          <w:rFonts w:hint="eastAsia" w:ascii="新宋体" w:hAnsi="新宋体" w:eastAsia="新宋体" w:cs="新宋体"/>
          <w:sz w:val="24"/>
        </w:rPr>
      </w:pPr>
      <w:r>
        <w:rPr>
          <w:rFonts w:hint="eastAsia" w:ascii="新宋体" w:hAnsi="新宋体" w:eastAsia="新宋体" w:cs="新宋体"/>
          <w:sz w:val="24"/>
        </w:rPr>
        <w:t xml:space="preserve">附录2  处理污水量的计量  </w:t>
      </w: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sz w:val="24"/>
        </w:rPr>
      </w:pPr>
      <w:r>
        <w:rPr>
          <w:rFonts w:hint="eastAsia" w:ascii="新宋体" w:hAnsi="新宋体" w:eastAsia="新宋体" w:cs="新宋体"/>
          <w:sz w:val="24"/>
        </w:rPr>
      </w:r>
      <w:r/>
    </w:p>
    <w:p>
      <w:pPr>
        <w:pStyle w:val="838"/>
        <w:jc w:val="center"/>
        <w:spacing w:line="440" w:lineRule="exact"/>
        <w:rPr>
          <w:rFonts w:hint="eastAsia" w:ascii="新宋体" w:hAnsi="新宋体" w:eastAsia="新宋体" w:cs="新宋体"/>
          <w:sz w:val="24"/>
        </w:rPr>
      </w:pPr>
      <w:r>
        <w:rPr>
          <w:rFonts w:hint="eastAsia" w:ascii="新宋体" w:hAnsi="新宋体" w:eastAsia="新宋体" w:cs="新宋体"/>
          <w:sz w:val="24"/>
        </w:rPr>
      </w:r>
      <w:r/>
    </w:p>
    <w:p>
      <w:pPr>
        <w:pStyle w:val="838"/>
        <w:spacing w:line="440" w:lineRule="exact"/>
        <w:rPr>
          <w:rFonts w:hint="eastAsia" w:ascii="新宋体" w:hAnsi="新宋体" w:eastAsia="新宋体" w:cs="新宋体"/>
          <w:b/>
          <w:sz w:val="24"/>
        </w:rPr>
      </w:pPr>
      <w:r>
        <w:rPr>
          <w:rFonts w:hint="eastAsia" w:ascii="新宋体" w:hAnsi="新宋体" w:eastAsia="新宋体" w:cs="新宋体"/>
          <w:sz w:val="24"/>
        </w:rPr>
        <w:br w:type="page" w:clear="all"/>
      </w:r>
      <w:r>
        <w:rPr>
          <w:rFonts w:hint="eastAsia" w:ascii="新宋体" w:hAnsi="新宋体" w:eastAsia="新宋体" w:cs="新宋体"/>
          <w:b/>
          <w:sz w:val="24"/>
        </w:rPr>
        <w:t xml:space="preserve">附录1   污水处理服务费的计算    </w:t>
      </w:r>
      <w:r>
        <w:rPr>
          <w:rFonts w:hint="eastAsia" w:ascii="新宋体" w:hAnsi="新宋体" w:eastAsia="新宋体" w:cs="新宋体"/>
          <w:b/>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以污水处理厂的正常运营、达标排放为前提，甲方应区分不同情况，依照本附录公式或方法的约定按月计算应实际支付给乙方的污水处理服务费。为简明表述起见做如下设定：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Qm ：污水厂出水流量计记录的当月实际污水处理总量（m³）；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qd ：污水厂近期设计日处理水量（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万m³/日），</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Q0 ：污水厂每月正常处理量，对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污水处理厂取Q0=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×当月日历天数 Qmax：污水厂每月最大供水量,对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 污水处理厂取Qmax=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×当月日历天数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1. Qm≤Q0时应付服务费  在托管运营期间任一运营月，以每月正常处理量Q0为标准值，如当月记录污水处理总量Qm≤Q0，则当月应付污水处理服务费为：  Cn＝Pn×Q0   其中：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Cn：当月应付污水处理服务费（元）；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Pn：当期执行的污水处理服务费单价（元/立方米）。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2.  Q0＜Qm≤Qmax时污水处理服务费  在托管运营期间任一运营月，以每月最大处理量Qmax为上限，如果当月记录污水处理总量Qm满足：Q0＜Qm≤Qmax ，则当月应付污水处理服务费为：  Cn＝Pn×Qm    其中：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Cn：当月应付污水处理服务费（元）；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Pn：当期执行的污水处理服务费单价（元/立方米）。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3. 不可抗力事件造成的停产补偿费用  在托管运营期间，不可抗力事件造成停产，甲方向乙方支付停产期间的人工费和直接水电费。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4．甲方要求停产或限产运行时的补偿费用  停产时，甲方向乙方支付停产期间的人工费、直接水电费。限产期间污水量按qd×天数×70%计量。</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5 未经甲方批准停产或限产运行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未经甲方批准停产或限产运行，该停产和限产服务期间甲方将不承担支付污水处理服务费和补偿费，并有权追究运营商未能及时处理收集输送进厂污水的违约责任，每发现一次处罚金伍仟元人民币（￥5000.00元）。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6. 污水处理服务费单价  污水处理服务费单价是指甲方向乙方所经营污水处理厂支付污水处理服务费用的单价，以元/立方米表示。在本合同签署之日，污水处理服务费单价按乙方报出的单价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元/立方米计算，该单价即为乙方运营期内污水处理服务费的支付标准。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7、每月实付污水处理服务费  按本附录前述约定的方法计算出每月应付污水处理服务费后，在扣除了无争议的违约金款项后，即有：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当月实付污水处理服务费=当月应付污水处理服务费－当月应扣减违约金  </w:t>
      </w:r>
      <w:r>
        <w:rPr>
          <w:rFonts w:hint="eastAsia" w:ascii="新宋体" w:hAnsi="新宋体" w:eastAsia="新宋体" w:cs="新宋体"/>
          <w:sz w:val="24"/>
        </w:rPr>
      </w:r>
      <w:r/>
    </w:p>
    <w:p>
      <w:pPr>
        <w:pStyle w:val="838"/>
        <w:ind w:firstLine="480"/>
        <w:jc w:val="left"/>
        <w:spacing w:line="400" w:lineRule="exact"/>
        <w:rPr>
          <w:rFonts w:hint="eastAsia" w:ascii="新宋体" w:hAnsi="新宋体" w:eastAsia="新宋体" w:cs="新宋体"/>
          <w:sz w:val="24"/>
        </w:rPr>
      </w:pPr>
      <w:r>
        <w:rPr>
          <w:rFonts w:hint="eastAsia" w:ascii="新宋体" w:hAnsi="新宋体" w:eastAsia="新宋体" w:cs="新宋体"/>
          <w:sz w:val="24"/>
        </w:rPr>
        <w:t xml:space="preserve">甲方将自污水处理厂通过环保达标验收后正式商业运行开始日起计，按日历月份每月向运营商支付污水处理服务费。运营商每月应按照本合同的有关规定和以上当月实付服务费金额向甲方开具收款凭证。</w:t>
      </w:r>
      <w:r>
        <w:rPr>
          <w:rFonts w:hint="eastAsia" w:ascii="新宋体" w:hAnsi="新宋体" w:eastAsia="新宋体" w:cs="新宋体"/>
          <w:sz w:val="24"/>
        </w:rPr>
      </w:r>
      <w:r/>
    </w:p>
    <w:p>
      <w:pPr>
        <w:pStyle w:val="838"/>
        <w:spacing w:line="440" w:lineRule="exact"/>
        <w:rPr>
          <w:rFonts w:hint="eastAsia" w:ascii="新宋体" w:hAnsi="新宋体" w:eastAsia="新宋体" w:cs="新宋体"/>
          <w:sz w:val="24"/>
        </w:rPr>
      </w:pPr>
      <w:r>
        <w:rPr>
          <w:rFonts w:hint="eastAsia" w:ascii="新宋体" w:hAnsi="新宋体" w:eastAsia="新宋体" w:cs="新宋体"/>
          <w:sz w:val="24"/>
        </w:rPr>
        <w:br w:type="page" w:clear="all"/>
      </w:r>
      <w:r>
        <w:rPr>
          <w:rFonts w:hint="eastAsia" w:ascii="新宋体" w:hAnsi="新宋体" w:eastAsia="新宋体" w:cs="新宋体"/>
          <w:b/>
          <w:sz w:val="24"/>
        </w:rPr>
        <w:t xml:space="preserve">附录2   处理污水量的计量</w:t>
      </w:r>
      <w:r>
        <w:rPr>
          <w:rFonts w:hint="eastAsia" w:ascii="新宋体" w:hAnsi="新宋体" w:eastAsia="新宋体" w:cs="新宋体"/>
          <w:sz w:val="24"/>
        </w:rPr>
      </w:r>
      <w:r/>
    </w:p>
    <w:p>
      <w:pPr>
        <w:pStyle w:val="838"/>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（1）乙方应在污水处理厂政府方建设时已安装好的进、出水流量计位置完成污水处理厂进、出水水量的计量工作。  </w:t>
      </w:r>
      <w:r>
        <w:rPr>
          <w:rFonts w:hint="eastAsia" w:ascii="新宋体" w:hAnsi="新宋体" w:eastAsia="新宋体" w:cs="新宋体"/>
          <w:sz w:val="24"/>
        </w:rPr>
      </w:r>
      <w:r/>
    </w:p>
    <w:p>
      <w:pPr>
        <w:pStyle w:val="838"/>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（2）乙方应按本合同规定进行流量计的连续测量、计算和记录出水量，并应确保这些流量计能够以在线方式分别向污水处理厂的中央控制室连续传送上述计量结果，包括瞬时和时、日、月和年的累计流量。  </w:t>
      </w:r>
      <w:r>
        <w:rPr>
          <w:rFonts w:hint="eastAsia" w:ascii="新宋体" w:hAnsi="新宋体" w:eastAsia="新宋体" w:cs="新宋体"/>
          <w:sz w:val="24"/>
        </w:rPr>
      </w:r>
      <w:r/>
    </w:p>
    <w:p>
      <w:pPr>
        <w:pStyle w:val="838"/>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（3）出水流量计由乙方在每月的最后一日抄表，以确定出水水量，水量将以立方米计算，甲方有权随时核查乙方的抄表记录。  </w:t>
      </w:r>
      <w:r>
        <w:rPr>
          <w:rFonts w:hint="eastAsia" w:ascii="新宋体" w:hAnsi="新宋体" w:eastAsia="新宋体" w:cs="新宋体"/>
          <w:sz w:val="24"/>
        </w:rPr>
      </w:r>
      <w:r/>
    </w:p>
    <w:p>
      <w:pPr>
        <w:pStyle w:val="838"/>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（4）出水计量点所计量的出水水量应作为乙方处理的实际水量。  </w:t>
      </w:r>
      <w:r>
        <w:rPr>
          <w:rFonts w:hint="eastAsia" w:ascii="新宋体" w:hAnsi="新宋体" w:eastAsia="新宋体" w:cs="新宋体"/>
          <w:sz w:val="24"/>
        </w:rPr>
      </w:r>
      <w:r/>
    </w:p>
    <w:p>
      <w:pPr>
        <w:pStyle w:val="838"/>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（5）在某一个月（n）内出水总水量（Qn）应等于出水流量计当月所记录的水量（VM）减去该流量计上月（n-1）记录的出水量。  即：Qn =VM(n)-VM(n-1)  </w:t>
      </w:r>
      <w:r>
        <w:rPr>
          <w:rFonts w:hint="eastAsia" w:ascii="新宋体" w:hAnsi="新宋体" w:eastAsia="新宋体" w:cs="新宋体"/>
          <w:sz w:val="24"/>
        </w:rPr>
      </w:r>
      <w:r/>
    </w:p>
    <w:p>
      <w:pPr>
        <w:pStyle w:val="838"/>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（6）在污水处理厂任一个发生暂停或限产服务的月度，乙方应对暂停或限产期间每日的进、出水流量计做连续、单独的计量记录。  </w:t>
      </w:r>
      <w:r>
        <w:rPr>
          <w:rFonts w:hint="eastAsia" w:ascii="新宋体" w:hAnsi="新宋体" w:eastAsia="新宋体" w:cs="新宋体"/>
          <w:sz w:val="24"/>
        </w:rPr>
      </w:r>
      <w:r/>
    </w:p>
    <w:p>
      <w:pPr>
        <w:pStyle w:val="838"/>
        <w:ind w:left="420"/>
        <w:spacing w:line="440" w:lineRule="exact"/>
        <w:rPr>
          <w:rFonts w:hint="eastAsia" w:ascii="新宋体" w:hAnsi="新宋体" w:eastAsia="新宋体" w:cs="新宋体"/>
          <w:sz w:val="24"/>
        </w:rPr>
      </w:pPr>
      <w:r>
        <w:rPr>
          <w:rFonts w:hint="eastAsia" w:ascii="新宋体" w:hAnsi="新宋体" w:eastAsia="新宋体" w:cs="新宋体"/>
          <w:sz w:val="24"/>
        </w:rPr>
        <w:t xml:space="preserve">（7）在污水处理厂开始商业试运营日之月份（0）起，双方应立即将所有流量计确立一个基础读数，以确定每一污水流量计的VM(0)值。此后，流量计不得归零，如果因技术原因必须归零时，乙方至少提前三（3）个工作日书面通知甲方。流量计归零时，需要有甲方指定代表或监督员到场。</w:t>
      </w:r>
      <w:r>
        <w:rPr>
          <w:rFonts w:hint="eastAsia" w:ascii="新宋体" w:hAnsi="新宋体" w:eastAsia="新宋体" w:cs="新宋体"/>
          <w:sz w:val="24"/>
        </w:rPr>
      </w:r>
      <w:r/>
    </w:p>
    <w:p>
      <w:pPr>
        <w:pStyle w:val="674"/>
      </w:pPr>
      <w:r/>
      <w:r/>
    </w:p>
    <w:p>
      <w:pPr>
        <w:pStyle w:val="674"/>
        <w:rPr>
          <w:rFonts w:hint="eastAsia"/>
        </w:rPr>
      </w:pPr>
      <w:r>
        <w:rPr>
          <w:rFonts w:hint="eastAsia"/>
        </w:rPr>
      </w:r>
      <w:r/>
    </w:p>
    <w:p>
      <w:pPr>
        <w:pStyle w:val="714"/>
        <w:jc w:val="center"/>
        <w:spacing w:before="120" w:after="120" w:line="0" w:lineRule="atLeast"/>
        <w:rPr>
          <w:rFonts w:hint="eastAsia" w:ascii="Times New Roman" w:hAnsi="Times New Roman"/>
          <w:sz w:val="24"/>
          <w:szCs w:val="24"/>
        </w:rPr>
      </w:pPr>
      <w:r>
        <w:rPr>
          <w:rFonts w:ascii="Times New Roman" w:hAnsi="Times New Roman" w:eastAsia="黑体"/>
          <w:bCs/>
          <w:sz w:val="44"/>
        </w:rPr>
        <w:br w:type="page" w:clear="all"/>
      </w:r>
      <w:r>
        <w:rPr>
          <w:rFonts w:hint="eastAsia" w:ascii="Times New Roman" w:hAnsi="Times New Roman" w:eastAsia="黑体"/>
          <w:bCs/>
          <w:sz w:val="44"/>
        </w:rPr>
        <w:t xml:space="preserve">第</w:t>
      </w:r>
      <w:bookmarkEnd w:id="195"/>
      <w:r>
        <w:rPr>
          <w:rFonts w:hint="eastAsia" w:ascii="Times New Roman" w:hAnsi="Times New Roman" w:eastAsia="黑体"/>
          <w:bCs/>
          <w:sz w:val="44"/>
        </w:rPr>
        <w:t xml:space="preserve">四章 采购需求</w:t>
      </w:r>
      <w:bookmarkEnd w:id="193"/>
      <w:r/>
      <w:bookmarkEnd w:id="194"/>
      <w:r/>
      <w:bookmarkEnd w:id="198"/>
      <w:r>
        <w:rPr>
          <w:rFonts w:hint="eastAsia" w:ascii="Times New Roman" w:hAnsi="Times New Roman"/>
          <w:sz w:val="24"/>
          <w:szCs w:val="24"/>
        </w:rPr>
      </w:r>
      <w:r/>
    </w:p>
    <w:p>
      <w:pPr>
        <w:pStyle w:val="674"/>
        <w:ind w:firstLine="480"/>
        <w:jc w:val="left"/>
        <w:spacing w:line="400" w:lineRule="exact"/>
        <w:rPr>
          <w:rFonts w:hint="eastAsia" w:cs="Courier New"/>
          <w:sz w:val="24"/>
          <w:szCs w:val="24"/>
        </w:rPr>
      </w:pPr>
      <w:r/>
      <w:bookmarkStart w:id="474" w:name="_Toc49090575"/>
      <w:r/>
      <w:bookmarkStart w:id="475" w:name="_Toc26554093"/>
      <w:r>
        <w:rPr>
          <w:rFonts w:hint="eastAsia" w:cs="Courier New"/>
          <w:sz w:val="24"/>
          <w:szCs w:val="24"/>
        </w:rPr>
        <w:t xml:space="preserve">一、项目属性：服务类项目</w:t>
      </w:r>
      <w:r>
        <w:rPr>
          <w:rFonts w:hint="eastAsia" w:cs="Courier New"/>
          <w:sz w:val="24"/>
          <w:szCs w:val="24"/>
        </w:rPr>
      </w:r>
      <w:r/>
    </w:p>
    <w:p>
      <w:pPr>
        <w:pStyle w:val="674"/>
        <w:ind w:firstLine="480"/>
        <w:jc w:val="left"/>
        <w:spacing w:line="400" w:lineRule="exact"/>
        <w:rPr>
          <w:rFonts w:hint="eastAsia" w:cs="Courier New"/>
          <w:sz w:val="24"/>
          <w:szCs w:val="24"/>
        </w:rPr>
      </w:pPr>
      <w:r>
        <w:rPr>
          <w:rFonts w:hint="eastAsia" w:cs="Courier New"/>
          <w:sz w:val="24"/>
          <w:szCs w:val="24"/>
        </w:rPr>
        <w:t xml:space="preserve">二、本项目采购标的对应的中小企业划分标准所属行业：其他未列明行业。</w:t>
      </w:r>
      <w:r>
        <w:rPr>
          <w:rFonts w:hint="eastAsia" w:cs="Courier New"/>
          <w:sz w:val="24"/>
          <w:szCs w:val="24"/>
        </w:rPr>
      </w:r>
      <w:r/>
    </w:p>
    <w:p>
      <w:pPr>
        <w:pStyle w:val="674"/>
        <w:ind w:firstLine="480"/>
        <w:jc w:val="left"/>
        <w:spacing w:line="400" w:lineRule="exact"/>
        <w:rPr>
          <w:rFonts w:hint="eastAsia" w:cs="Courier New"/>
          <w:sz w:val="24"/>
          <w:szCs w:val="24"/>
          <w:highlight w:val="yellow"/>
        </w:rPr>
      </w:pPr>
      <w:r>
        <w:rPr>
          <w:rFonts w:hint="eastAsia" w:cs="Courier New"/>
          <w:sz w:val="24"/>
          <w:szCs w:val="24"/>
        </w:rPr>
        <w:t xml:space="preserve">三、本项目不接受进口产品。</w:t>
      </w:r>
      <w:r>
        <w:rPr>
          <w:rFonts w:hint="eastAsia" w:cs="Courier New"/>
          <w:sz w:val="24"/>
          <w:szCs w:val="24"/>
          <w:highlight w:val="yellow"/>
        </w:rPr>
      </w:r>
      <w:r/>
    </w:p>
    <w:p>
      <w:pPr>
        <w:pStyle w:val="674"/>
        <w:ind w:firstLine="482"/>
        <w:jc w:val="left"/>
        <w:spacing w:line="400" w:lineRule="exact"/>
        <w:rPr>
          <w:rFonts w:hint="eastAsia"/>
          <w:b/>
          <w:bCs/>
          <w:sz w:val="24"/>
        </w:rPr>
      </w:pPr>
      <w:r>
        <w:rPr>
          <w:rFonts w:hint="eastAsia"/>
          <w:b/>
          <w:bCs/>
          <w:sz w:val="24"/>
        </w:rPr>
        <w:t xml:space="preserve">四、采购内容</w:t>
      </w:r>
      <w:r>
        <w:rPr>
          <w:rFonts w:hint="eastAsia"/>
          <w:b/>
          <w:bCs/>
          <w:sz w:val="24"/>
        </w:rPr>
      </w:r>
      <w:r/>
    </w:p>
    <w:p>
      <w:pPr>
        <w:pStyle w:val="674"/>
        <w:ind w:firstLine="482"/>
        <w:jc w:val="left"/>
        <w:spacing w:line="400" w:lineRule="exact"/>
        <w:rPr>
          <w:rFonts w:hint="eastAsia" w:cs="Courier New"/>
          <w:b/>
          <w:bCs/>
          <w:sz w:val="24"/>
          <w:szCs w:val="24"/>
        </w:rPr>
      </w:pPr>
      <w:r>
        <w:rPr>
          <w:rFonts w:hint="eastAsia" w:cs="Courier New"/>
          <w:b/>
          <w:bCs/>
          <w:sz w:val="24"/>
          <w:szCs w:val="24"/>
        </w:rPr>
        <w:t xml:space="preserve">1、项目设计：达到提供本工程设计参数要求，提供所需的全部图纸，包括总平面图、工艺设计图纸、电气设计图纸、结构图纸及</w:t>
      </w:r>
      <w:r>
        <w:rPr>
          <w:rFonts w:cs="Courier New"/>
          <w:b/>
          <w:bCs/>
          <w:sz w:val="24"/>
          <w:szCs w:val="24"/>
        </w:rPr>
        <w:t xml:space="preserve">设备安装和基础大样图等所有图纸（即中标后可立即按照提供的图纸进行施工）。</w:t>
      </w:r>
      <w:r>
        <w:rPr>
          <w:rFonts w:hint="eastAsia" w:cs="Courier New"/>
          <w:b/>
          <w:bCs/>
          <w:sz w:val="24"/>
          <w:szCs w:val="24"/>
        </w:rPr>
        <w:t xml:space="preserve">相关等</w:t>
      </w:r>
      <w:r>
        <w:rPr>
          <w:rFonts w:cs="Courier New"/>
          <w:b/>
          <w:bCs/>
          <w:sz w:val="24"/>
          <w:szCs w:val="24"/>
        </w:rPr>
        <w:t xml:space="preserve">且设计合理，设计依据符合相关规范及标准要求。设计深度需达到施工图标准，保证提供图纸的完整性</w:t>
      </w:r>
      <w:r>
        <w:rPr>
          <w:rFonts w:hint="eastAsia" w:cs="Courier New"/>
          <w:b/>
          <w:bCs/>
          <w:sz w:val="24"/>
          <w:szCs w:val="24"/>
        </w:rPr>
        <w:t xml:space="preserve">。（本项目不支付设计费用，请各投标单位自行考虑。中标后，设计成果归招标人所有。）</w:t>
      </w:r>
      <w:r>
        <w:rPr>
          <w:rFonts w:hint="eastAsia" w:cs="Courier New"/>
          <w:b/>
          <w:bCs/>
          <w:sz w:val="24"/>
          <w:szCs w:val="24"/>
        </w:rPr>
      </w:r>
      <w:r/>
    </w:p>
    <w:p>
      <w:pPr>
        <w:pStyle w:val="674"/>
        <w:ind w:firstLine="482"/>
        <w:jc w:val="left"/>
        <w:spacing w:line="400" w:lineRule="exact"/>
        <w:rPr>
          <w:rFonts w:hint="eastAsia" w:cs="Courier New"/>
          <w:b/>
          <w:bCs/>
          <w:sz w:val="24"/>
          <w:szCs w:val="24"/>
        </w:rPr>
      </w:pPr>
      <w:r>
        <w:rPr>
          <w:rFonts w:hint="eastAsia" w:cs="Courier New"/>
          <w:b/>
          <w:bCs/>
          <w:sz w:val="24"/>
          <w:szCs w:val="24"/>
        </w:rPr>
        <w:t xml:space="preserve">2、设备采购及安装：按照图纸设计进行采购按照</w:t>
      </w:r>
      <w:r>
        <w:rPr>
          <w:rFonts w:hint="eastAsia" w:cs="Courier New"/>
          <w:b/>
          <w:bCs/>
          <w:sz w:val="24"/>
          <w:szCs w:val="24"/>
        </w:rPr>
      </w:r>
      <w:r/>
    </w:p>
    <w:p>
      <w:pPr>
        <w:pStyle w:val="674"/>
        <w:ind w:firstLine="482"/>
        <w:jc w:val="left"/>
        <w:spacing w:line="400" w:lineRule="exact"/>
        <w:rPr>
          <w:rFonts w:hint="eastAsia" w:cs="Courier New"/>
          <w:b/>
          <w:bCs/>
          <w:sz w:val="24"/>
          <w:szCs w:val="24"/>
        </w:rPr>
      </w:pPr>
      <w:r>
        <w:rPr>
          <w:rFonts w:hint="eastAsia" w:cs="Courier New"/>
          <w:b/>
          <w:bCs/>
          <w:sz w:val="24"/>
          <w:szCs w:val="24"/>
        </w:rPr>
        <w:t xml:space="preserve">3、项目</w:t>
      </w:r>
      <w:r>
        <w:rPr>
          <w:rFonts w:hint="eastAsia" w:ascii="宋体" w:hAnsi="宋体" w:cs="宋体"/>
          <w:b/>
          <w:bCs/>
          <w:sz w:val="24"/>
          <w:szCs w:val="24"/>
        </w:rPr>
        <w:t xml:space="preserve">运营</w:t>
      </w:r>
      <w:r>
        <w:rPr>
          <w:rFonts w:hint="eastAsia" w:cs="Courier New"/>
          <w:b/>
          <w:bCs/>
          <w:sz w:val="24"/>
          <w:szCs w:val="24"/>
        </w:rPr>
        <w:t xml:space="preserve">：运营期365日历天，达标排放。</w:t>
      </w:r>
      <w:r>
        <w:rPr>
          <w:rFonts w:hint="eastAsia" w:cs="Courier New"/>
          <w:b/>
          <w:bCs/>
          <w:sz w:val="24"/>
          <w:szCs w:val="24"/>
        </w:rPr>
      </w:r>
      <w:r/>
    </w:p>
    <w:p>
      <w:pPr>
        <w:pStyle w:val="674"/>
        <w:ind w:firstLine="482"/>
        <w:jc w:val="left"/>
        <w:spacing w:line="400" w:lineRule="exact"/>
        <w:rPr>
          <w:rFonts w:hint="eastAsia"/>
          <w:b/>
          <w:bCs/>
          <w:sz w:val="24"/>
        </w:rPr>
      </w:pPr>
      <w:r>
        <w:rPr>
          <w:rFonts w:hint="eastAsia" w:cs="Courier New"/>
          <w:b/>
          <w:bCs/>
          <w:sz w:val="24"/>
          <w:szCs w:val="24"/>
        </w:rPr>
        <w:t xml:space="preserve">4、其他内容：投标报价</w:t>
      </w:r>
      <w:r>
        <w:rPr>
          <w:rFonts w:hint="eastAsia" w:ascii="宋体" w:hAnsi="宋体" w:cs="宋体"/>
          <w:b/>
          <w:bCs/>
          <w:sz w:val="24"/>
          <w:szCs w:val="24"/>
        </w:rPr>
        <w:t xml:space="preserve">包含但不限于施工图设计费、</w:t>
      </w:r>
      <w:r>
        <w:rPr>
          <w:rFonts w:hint="eastAsia" w:ascii="宋体" w:hAnsi="宋体" w:cs="宋体"/>
          <w:b/>
          <w:bCs/>
          <w:sz w:val="24"/>
          <w:szCs w:val="24"/>
        </w:rPr>
        <w:t xml:space="preserve">可研、初设、立项、排污许可证、环评报告及验收、设备采购、施工、安装、运营费用、安评（如需要）</w:t>
      </w:r>
      <w:r>
        <w:rPr>
          <w:rFonts w:hint="eastAsia"/>
          <w:b/>
          <w:bCs/>
          <w:sz w:val="24"/>
        </w:rPr>
        <w:t xml:space="preserve">等完成本项目所涉及到的一切相关费用。</w:t>
      </w:r>
      <w:r>
        <w:rPr>
          <w:rFonts w:hint="eastAsia"/>
          <w:b/>
          <w:bCs/>
          <w:sz w:val="24"/>
        </w:rPr>
      </w:r>
      <w:r/>
    </w:p>
    <w:p>
      <w:pPr>
        <w:pStyle w:val="674"/>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五、报价相关要求</w:t>
      </w:r>
      <w:r>
        <w:rPr>
          <w:rFonts w:hint="eastAsia" w:ascii="宋体" w:hAnsi="宋体" w:cs="宋体"/>
          <w:b/>
          <w:bCs/>
          <w:sz w:val="24"/>
          <w:szCs w:val="24"/>
        </w:rPr>
      </w:r>
      <w:r/>
    </w:p>
    <w:p>
      <w:pPr>
        <w:pStyle w:val="674"/>
        <w:ind w:firstLine="480"/>
        <w:jc w:val="left"/>
        <w:spacing w:line="400" w:lineRule="exact"/>
        <w:rPr>
          <w:rFonts w:hint="eastAsia" w:ascii="宋体" w:hAnsi="宋体" w:cs="宋体"/>
          <w:b/>
          <w:bCs/>
          <w:color w:val="ff0000"/>
          <w:sz w:val="24"/>
          <w:szCs w:val="24"/>
        </w:rPr>
      </w:pPr>
      <w:r>
        <w:rPr>
          <w:rFonts w:hint="eastAsia" w:ascii="宋体" w:hAnsi="宋体" w:cs="宋体"/>
          <w:sz w:val="24"/>
          <w:szCs w:val="24"/>
        </w:rPr>
        <w:t xml:space="preserve">1. 本工程为固定总价合同，采用总价报价，价款结算方式为：根据施工单位提供的投标报价及现场实际完成工程量进行结算。</w:t>
      </w:r>
      <w:r>
        <w:rPr>
          <w:rFonts w:hint="eastAsia" w:ascii="宋体" w:hAnsi="宋体" w:cs="宋体"/>
          <w:b/>
          <w:bCs/>
          <w:color w:val="ff0000"/>
          <w:sz w:val="24"/>
          <w:szCs w:val="24"/>
        </w:rPr>
        <w:t xml:space="preserve">报价的准确性由投标人负责，对于漏算工程量视同包含在合同总价中。</w:t>
      </w:r>
      <w:r>
        <w:rPr>
          <w:rFonts w:hint="eastAsia" w:ascii="宋体" w:hAnsi="宋体" w:cs="宋体"/>
          <w:b/>
          <w:bCs/>
          <w:color w:val="ff0000"/>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2. 投标单位在投标时，根据自身的设计图纸编制工程量清单及明细报价，工程量清单报价执行GB50500-2013标准及工程量计算规范要求。</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3. 在工程实施时，若实际完成工程量低于投标清单工程量或图纸工程量，结算时按实调整；若实际完成工程量高于投标清单工程量或图纸工程量，或者工程现场发生增项、图纸设计变更、增加项目，因设备运行需要调高参数等各项导致需增加工程时，原则上不予增加，按投标报价单价及工程量进行结算。如因特殊情况，确需增加项目的，需经招标人同意后再行增加。</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4. 除根据合同约定的专用条款13条［变更与调整］、第14款合同价格与支付、第21条补充条款以及合同中其它相关增减金额的约定进行调整外，合同价格不予调整。</w:t>
      </w:r>
      <w:r>
        <w:rPr>
          <w:rFonts w:hint="eastAsia" w:ascii="宋体" w:hAnsi="宋体" w:cs="宋体"/>
          <w:sz w:val="24"/>
          <w:szCs w:val="24"/>
        </w:rPr>
      </w:r>
      <w:r/>
    </w:p>
    <w:p>
      <w:pPr>
        <w:pStyle w:val="674"/>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六、沭阳县陇集镇污水处理厂提质提标项目技术要求</w:t>
      </w:r>
      <w:bookmarkStart w:id="476" w:name="_Toc47516542"/>
      <w:r/>
      <w:bookmarkStart w:id="477" w:name="_Toc120614281"/>
      <w:r/>
      <w:bookmarkStart w:id="478" w:name="_Toc10638090"/>
      <w:r>
        <w:rPr>
          <w:rFonts w:hint="eastAsia" w:ascii="宋体" w:hAnsi="宋体" w:cs="宋体"/>
          <w:b/>
          <w:bCs/>
          <w:sz w:val="24"/>
          <w:szCs w:val="24"/>
        </w:rPr>
      </w:r>
      <w:r/>
    </w:p>
    <w:p>
      <w:pPr>
        <w:pStyle w:val="674"/>
        <w:ind w:firstLine="482"/>
        <w:jc w:val="center"/>
        <w:spacing w:line="400" w:lineRule="exact"/>
        <w:rPr>
          <w:rFonts w:hint="eastAsia" w:ascii="宋体" w:hAnsi="宋体" w:cs="宋体"/>
          <w:b/>
          <w:bCs/>
          <w:sz w:val="24"/>
          <w:szCs w:val="24"/>
        </w:rPr>
      </w:pPr>
      <w:r>
        <w:rPr>
          <w:rFonts w:hint="eastAsia" w:ascii="宋体" w:hAnsi="宋体" w:cs="宋体"/>
          <w:b/>
          <w:bCs/>
          <w:sz w:val="24"/>
          <w:szCs w:val="24"/>
        </w:rPr>
        <w:t xml:space="preserve">沭阳县陇集镇污水处理厂提质提标项目技术要求</w:t>
      </w:r>
      <w:r>
        <w:rPr>
          <w:rFonts w:hint="eastAsia" w:ascii="宋体" w:hAnsi="宋体" w:cs="宋体"/>
          <w:b/>
          <w:bCs/>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1. 陇集镇污水处理厂覆盖陇集镇、刘集镇、耿圩镇北丁集片区，刘集镇、耿圩镇北丁集片区污水通过提升泵站输送至陇集镇。该厂原设计处理规模为2000t/d，扩建规模为1500t/d，扩建后污水处理厂总规模为3500 t/d。新增设施设计污水处理量、出水水质未达标准的，该工程不予支付工程款，已建设施归招标人所有，招标人将对中标人进行罚款，具体数额在合同中约定。</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★2. 陇集镇污水处理厂扩建设施布置于原厂东北角区域，具体边线位置及区域面积见总图。同时，原厂区西侧进出水仪表间、鼓风机房、南侧办公楼内机修间可使用（功能不限）。提醒：各潜在投标人须综合考虑现场情况，再行设计，可自行到现场地勘。设计时需综合考虑原鼓风机房、南侧办公楼基础，不得影响原有建筑物结构安全。超出规定边线位置及区域面积的，作无效标处理。</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★3. 陇集镇污水处理厂扩建工程地面须比自然地面高0.3m及以上。低于0.3m的，作无效标处理。</w:t>
      </w:r>
      <w:r>
        <w:rPr>
          <w:rFonts w:hint="eastAsia" w:ascii="宋体" w:hAnsi="宋体" w:cs="宋体"/>
          <w:sz w:val="24"/>
          <w:szCs w:val="24"/>
        </w:rPr>
      </w:r>
      <w:r/>
    </w:p>
    <w:p>
      <w:pPr>
        <w:pStyle w:val="674"/>
        <w:ind w:firstLine="480"/>
        <w:jc w:val="left"/>
        <w:spacing w:line="400" w:lineRule="exact"/>
        <w:rPr>
          <w:rFonts w:eastAsia="方正仿宋_GBK"/>
          <w:sz w:val="24"/>
          <w:szCs w:val="24"/>
        </w:rPr>
      </w:pPr>
      <w:r>
        <w:rPr>
          <w:rFonts w:hint="eastAsia" w:ascii="宋体" w:hAnsi="宋体" w:cs="宋体"/>
          <w:sz w:val="24"/>
          <w:szCs w:val="24"/>
        </w:rPr>
        <w:t xml:space="preserve">★4. 各潜在投标人须综合计算原厂用电负荷，考虑是否须新增供电设施。原厂用电负荷见原图纸，并结合常规（如设计处理规模为2000吨/天的生活污水处理厂）污水处理厂用电负荷测算。</w:t>
      </w:r>
      <w:r>
        <w:rPr>
          <w:rFonts w:hint="eastAsia" w:eastAsia="方正仿宋_GBK"/>
          <w:sz w:val="24"/>
          <w:szCs w:val="24"/>
          <w:highlight w:val="none"/>
        </w:rPr>
        <w:t xml:space="preserve">未提供用电负荷计算或者发现用电负荷不足但未新增供电设施的，作无效标处理。</w:t>
      </w:r>
      <w:r>
        <w:rPr>
          <w:rFonts w:eastAsia="方正仿宋_GBK"/>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5. 扩建工程污水处理流程为：自原厂区进水泵房取水，在原进水工艺管新增进水管网，原水提升至新建污水处理设施内，处理后出水达标排入附近河道，出水执行江苏省《城镇污水处理厂污染物排放标准》（DB32/4440-2022）C类标准，本新建污水处理设施所产生的剩余污泥经污泥泵、污泥管路送至原厂区污泥脱水车间处理。</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6. 进出水标准为</w:t>
      </w:r>
      <w:r>
        <w:rPr>
          <w:rFonts w:hint="eastAsia" w:ascii="宋体" w:hAnsi="宋体" w:cs="宋体"/>
          <w:sz w:val="24"/>
          <w:szCs w:val="24"/>
        </w:rPr>
      </w:r>
      <w:r/>
    </w:p>
    <w:p>
      <w:pPr>
        <w:pStyle w:val="838"/>
        <w:ind w:firstLine="3373"/>
        <w:spacing w:line="440" w:lineRule="exact"/>
        <w:rPr>
          <w:rFonts w:ascii="新宋体" w:hAnsi="新宋体" w:eastAsia="新宋体"/>
          <w:sz w:val="24"/>
        </w:rPr>
      </w:pPr>
      <w:r>
        <w:rPr>
          <w:rFonts w:hint="eastAsia" w:ascii="新宋体" w:hAnsi="新宋体" w:eastAsia="新宋体"/>
          <w:b/>
          <w:sz w:val="24"/>
        </w:rPr>
        <w:t xml:space="preserve">进水水质</w:t>
      </w:r>
      <w:r>
        <w:rPr>
          <w:rFonts w:ascii="新宋体" w:hAnsi="新宋体" w:eastAsia="新宋体"/>
          <w:sz w:val="24"/>
        </w:rPr>
      </w:r>
      <w:r/>
    </w:p>
    <w:tbl>
      <w:tblPr>
        <w:tblW w:w="0" w:type="auto"/>
        <w:jc w:val="center"/>
        <w:tblInd w:w="-108" w:type="dxa"/>
        <w:tblBorders>
          <w:top w:val="single" w:color="000000" w:sz="8" w:space="0"/>
          <w:left w:val="single" w:color="000000" w:sz="4" w:space="0"/>
          <w:bottom w:val="single" w:color="000000" w:sz="8"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9"/>
        <w:gridCol w:w="1205"/>
        <w:gridCol w:w="1205"/>
        <w:gridCol w:w="1207"/>
        <w:gridCol w:w="1207"/>
        <w:gridCol w:w="1207"/>
        <w:gridCol w:w="1207"/>
      </w:tblGrid>
      <w:tr>
        <w:trPr>
          <w:cantSplit/>
          <w:trHeight w:val="184"/>
        </w:trPr>
        <w:tc>
          <w:tcPr>
            <w:tcW w:w="2159" w:type="dxa"/>
            <w:vAlign w:val="center"/>
            <w:textDirection w:val="lrTb"/>
            <w:noWrap w:val="false"/>
          </w:tcPr>
          <w:p>
            <w:pPr>
              <w:pStyle w:val="848"/>
              <w:spacing w:line="440" w:lineRule="exact"/>
              <w:rPr>
                <w:rFonts w:ascii="新宋体" w:hAnsi="新宋体" w:eastAsia="新宋体"/>
                <w:sz w:val="24"/>
              </w:rPr>
            </w:pPr>
            <w:r>
              <w:rPr>
                <w:rFonts w:hint="eastAsia" w:ascii="新宋体" w:hAnsi="新宋体" w:eastAsia="新宋体"/>
                <w:sz w:val="24"/>
              </w:rPr>
              <w:t xml:space="preserve">进水水质</w:t>
            </w:r>
            <w:r>
              <w:rPr>
                <w:rFonts w:ascii="新宋体" w:hAnsi="新宋体" w:eastAsia="新宋体"/>
                <w:sz w:val="24"/>
              </w:rPr>
            </w:r>
            <w:r/>
          </w:p>
          <w:p>
            <w:pPr>
              <w:pStyle w:val="848"/>
              <w:spacing w:line="440" w:lineRule="exact"/>
              <w:rPr>
                <w:rFonts w:ascii="新宋体" w:hAnsi="新宋体" w:eastAsia="新宋体"/>
                <w:sz w:val="24"/>
              </w:rPr>
            </w:pPr>
            <w:r>
              <w:rPr>
                <w:rFonts w:hint="eastAsia" w:ascii="新宋体" w:hAnsi="新宋体" w:eastAsia="新宋体"/>
                <w:sz w:val="24"/>
              </w:rPr>
              <w:t xml:space="preserve">（单位：mg/1）</w:t>
            </w:r>
            <w:r>
              <w:rPr>
                <w:rFonts w:ascii="新宋体" w:hAnsi="新宋体" w:eastAsia="新宋体"/>
                <w:sz w:val="24"/>
              </w:rPr>
            </w:r>
            <w:r/>
          </w:p>
        </w:tc>
        <w:tc>
          <w:tcPr>
            <w:tcW w:w="1205" w:type="dxa"/>
            <w:vAlign w:val="center"/>
            <w:textDirection w:val="lrTb"/>
            <w:noWrap w:val="false"/>
          </w:tcPr>
          <w:p>
            <w:pPr>
              <w:pStyle w:val="848"/>
              <w:spacing w:line="440" w:lineRule="exact"/>
              <w:rPr>
                <w:rFonts w:ascii="新宋体" w:hAnsi="新宋体" w:eastAsia="新宋体"/>
                <w:b/>
                <w:bCs/>
                <w:sz w:val="24"/>
              </w:rPr>
            </w:pPr>
            <w:r>
              <w:rPr>
                <w:rFonts w:hint="eastAsia" w:ascii="新宋体" w:hAnsi="新宋体" w:eastAsia="新宋体"/>
                <w:b/>
                <w:sz w:val="24"/>
              </w:rPr>
              <w:t xml:space="preserve">≤330</w:t>
            </w:r>
            <w:r>
              <w:rPr>
                <w:rFonts w:ascii="新宋体" w:hAnsi="新宋体" w:eastAsia="新宋体"/>
                <w:b/>
                <w:bCs/>
                <w:sz w:val="24"/>
              </w:rPr>
            </w:r>
            <w:r/>
          </w:p>
        </w:tc>
        <w:tc>
          <w:tcPr>
            <w:tcW w:w="1205" w:type="dxa"/>
            <w:vAlign w:val="center"/>
            <w:textDirection w:val="lrTb"/>
            <w:noWrap w:val="false"/>
          </w:tcPr>
          <w:p>
            <w:pPr>
              <w:pStyle w:val="848"/>
              <w:spacing w:line="440" w:lineRule="exact"/>
              <w:rPr>
                <w:rFonts w:ascii="新宋体" w:hAnsi="新宋体" w:eastAsia="新宋体"/>
                <w:b/>
                <w:bCs/>
                <w:sz w:val="24"/>
              </w:rPr>
            </w:pPr>
            <w:r>
              <w:rPr>
                <w:rFonts w:hint="eastAsia" w:ascii="新宋体" w:hAnsi="新宋体" w:eastAsia="新宋体"/>
                <w:b/>
                <w:sz w:val="24"/>
              </w:rPr>
              <w:t xml:space="preserve">≤</w:t>
            </w:r>
            <w:r>
              <w:rPr>
                <w:rFonts w:hint="eastAsia" w:ascii="新宋体" w:hAnsi="新宋体" w:eastAsia="新宋体"/>
                <w:b/>
                <w:bCs/>
                <w:sz w:val="24"/>
              </w:rPr>
              <w:t xml:space="preserve">160</w:t>
            </w:r>
            <w:r>
              <w:rPr>
                <w:rFonts w:ascii="新宋体" w:hAnsi="新宋体" w:eastAsia="新宋体"/>
                <w:b/>
                <w:bCs/>
                <w:sz w:val="24"/>
              </w:rPr>
            </w:r>
            <w:r/>
          </w:p>
        </w:tc>
        <w:tc>
          <w:tcPr>
            <w:tcW w:w="1207" w:type="dxa"/>
            <w:vAlign w:val="center"/>
            <w:textDirection w:val="lrTb"/>
            <w:noWrap w:val="false"/>
          </w:tcPr>
          <w:p>
            <w:pPr>
              <w:pStyle w:val="848"/>
              <w:spacing w:line="440" w:lineRule="exact"/>
              <w:rPr>
                <w:rFonts w:ascii="新宋体" w:hAnsi="新宋体" w:eastAsia="新宋体"/>
                <w:b/>
                <w:bCs/>
                <w:sz w:val="24"/>
              </w:rPr>
            </w:pPr>
            <w:r>
              <w:rPr>
                <w:rFonts w:hint="eastAsia" w:ascii="新宋体" w:hAnsi="新宋体" w:eastAsia="新宋体"/>
                <w:b/>
                <w:sz w:val="24"/>
              </w:rPr>
              <w:t xml:space="preserve">≤220</w:t>
            </w:r>
            <w:r>
              <w:rPr>
                <w:rFonts w:ascii="新宋体" w:hAnsi="新宋体" w:eastAsia="新宋体"/>
                <w:b/>
                <w:bCs/>
                <w:sz w:val="24"/>
              </w:rPr>
            </w:r>
            <w:r/>
          </w:p>
        </w:tc>
        <w:tc>
          <w:tcPr>
            <w:tcW w:w="1207" w:type="dxa"/>
            <w:vAlign w:val="center"/>
            <w:textDirection w:val="lrTb"/>
            <w:noWrap w:val="false"/>
          </w:tcPr>
          <w:p>
            <w:pPr>
              <w:pStyle w:val="848"/>
              <w:spacing w:line="440" w:lineRule="exact"/>
              <w:rPr>
                <w:rFonts w:ascii="新宋体" w:hAnsi="新宋体" w:eastAsia="新宋体"/>
                <w:b/>
                <w:bCs/>
                <w:sz w:val="24"/>
              </w:rPr>
            </w:pPr>
            <w:r>
              <w:rPr>
                <w:rFonts w:hint="eastAsia" w:ascii="新宋体" w:hAnsi="新宋体" w:eastAsia="新宋体"/>
                <w:b/>
                <w:sz w:val="24"/>
              </w:rPr>
              <w:t xml:space="preserve">≤30</w:t>
            </w:r>
            <w:r>
              <w:rPr>
                <w:rFonts w:ascii="新宋体" w:hAnsi="新宋体" w:eastAsia="新宋体"/>
                <w:b/>
                <w:bCs/>
                <w:sz w:val="24"/>
              </w:rPr>
            </w:r>
            <w:r/>
          </w:p>
        </w:tc>
        <w:tc>
          <w:tcPr>
            <w:tcW w:w="1207" w:type="dxa"/>
            <w:vAlign w:val="center"/>
            <w:textDirection w:val="lrTb"/>
            <w:noWrap w:val="false"/>
          </w:tcPr>
          <w:p>
            <w:pPr>
              <w:pStyle w:val="848"/>
              <w:spacing w:line="440" w:lineRule="exact"/>
              <w:rPr>
                <w:rFonts w:ascii="新宋体" w:hAnsi="新宋体" w:eastAsia="新宋体"/>
                <w:b/>
                <w:bCs/>
                <w:sz w:val="24"/>
              </w:rPr>
            </w:pPr>
            <w:r>
              <w:rPr>
                <w:rFonts w:hint="eastAsia" w:ascii="新宋体" w:hAnsi="新宋体" w:eastAsia="新宋体"/>
                <w:b/>
                <w:sz w:val="24"/>
              </w:rPr>
              <w:t xml:space="preserve">≤40</w:t>
            </w:r>
            <w:r>
              <w:rPr>
                <w:rFonts w:ascii="新宋体" w:hAnsi="新宋体" w:eastAsia="新宋体"/>
                <w:b/>
                <w:bCs/>
                <w:sz w:val="24"/>
              </w:rPr>
            </w:r>
            <w:r/>
          </w:p>
        </w:tc>
        <w:tc>
          <w:tcPr>
            <w:tcW w:w="1207" w:type="dxa"/>
            <w:vAlign w:val="center"/>
            <w:textDirection w:val="lrTb"/>
            <w:noWrap w:val="false"/>
          </w:tcPr>
          <w:p>
            <w:pPr>
              <w:pStyle w:val="848"/>
              <w:spacing w:line="440" w:lineRule="exact"/>
              <w:rPr>
                <w:rFonts w:ascii="新宋体" w:hAnsi="新宋体" w:eastAsia="新宋体"/>
                <w:b/>
                <w:bCs/>
                <w:sz w:val="24"/>
              </w:rPr>
            </w:pPr>
            <w:r>
              <w:rPr>
                <w:rFonts w:hint="eastAsia" w:ascii="新宋体" w:hAnsi="新宋体" w:eastAsia="新宋体"/>
                <w:b/>
                <w:sz w:val="24"/>
              </w:rPr>
              <w:t xml:space="preserve">≤4</w:t>
            </w:r>
            <w:r>
              <w:rPr>
                <w:rFonts w:ascii="新宋体" w:hAnsi="新宋体" w:eastAsia="新宋体"/>
                <w:b/>
                <w:bCs/>
                <w:sz w:val="24"/>
              </w:rPr>
            </w:r>
            <w:r/>
          </w:p>
        </w:tc>
      </w:tr>
      <w:tr>
        <w:trPr>
          <w:cantSplit/>
          <w:trHeight w:val="96"/>
        </w:trPr>
        <w:tc>
          <w:tcPr>
            <w:tcW w:w="2159" w:type="dxa"/>
            <w:vAlign w:val="center"/>
            <w:textDirection w:val="lrTb"/>
            <w:noWrap w:val="false"/>
          </w:tcPr>
          <w:p>
            <w:pPr>
              <w:pStyle w:val="848"/>
              <w:spacing w:line="440" w:lineRule="exact"/>
              <w:rPr>
                <w:rFonts w:ascii="新宋体" w:hAnsi="新宋体" w:eastAsia="新宋体"/>
                <w:sz w:val="24"/>
              </w:rPr>
            </w:pPr>
            <w:r>
              <w:rPr>
                <w:rFonts w:hint="eastAsia" w:ascii="新宋体" w:hAnsi="新宋体" w:eastAsia="新宋体"/>
                <w:sz w:val="24"/>
              </w:rPr>
              <w:t xml:space="preserve">水质指标</w:t>
            </w:r>
            <w:r>
              <w:rPr>
                <w:rFonts w:ascii="新宋体" w:hAnsi="新宋体" w:eastAsia="新宋体"/>
                <w:sz w:val="24"/>
              </w:rPr>
            </w:r>
            <w:r/>
          </w:p>
        </w:tc>
        <w:tc>
          <w:tcPr>
            <w:tcW w:w="1205" w:type="dxa"/>
            <w:vAlign w:val="center"/>
            <w:textDirection w:val="lrTb"/>
            <w:noWrap w:val="false"/>
          </w:tcPr>
          <w:p>
            <w:pPr>
              <w:pStyle w:val="848"/>
              <w:spacing w:line="440" w:lineRule="exact"/>
              <w:rPr>
                <w:rFonts w:ascii="新宋体" w:hAnsi="新宋体" w:eastAsia="新宋体"/>
                <w:sz w:val="24"/>
                <w:vertAlign w:val="subscript"/>
              </w:rPr>
            </w:pPr>
            <w:r>
              <w:rPr>
                <w:rFonts w:hint="eastAsia" w:ascii="新宋体" w:hAnsi="新宋体" w:eastAsia="新宋体"/>
                <w:sz w:val="24"/>
              </w:rPr>
              <w:t xml:space="preserve">COD</w:t>
            </w:r>
            <w:r>
              <w:rPr>
                <w:rFonts w:hint="eastAsia" w:ascii="新宋体" w:hAnsi="新宋体" w:eastAsia="新宋体"/>
                <w:sz w:val="24"/>
                <w:vertAlign w:val="subscript"/>
              </w:rPr>
              <w:t xml:space="preserve">cr</w:t>
            </w:r>
            <w:r>
              <w:rPr>
                <w:rFonts w:ascii="新宋体" w:hAnsi="新宋体" w:eastAsia="新宋体"/>
                <w:sz w:val="24"/>
                <w:vertAlign w:val="subscript"/>
              </w:rPr>
            </w:r>
            <w:r/>
          </w:p>
        </w:tc>
        <w:tc>
          <w:tcPr>
            <w:tcW w:w="1205" w:type="dxa"/>
            <w:vAlign w:val="center"/>
            <w:textDirection w:val="lrTb"/>
            <w:noWrap w:val="false"/>
          </w:tcPr>
          <w:p>
            <w:pPr>
              <w:pStyle w:val="848"/>
              <w:spacing w:line="440" w:lineRule="exact"/>
              <w:rPr>
                <w:rFonts w:ascii="新宋体" w:hAnsi="新宋体" w:eastAsia="新宋体"/>
                <w:sz w:val="24"/>
                <w:vertAlign w:val="subscript"/>
              </w:rPr>
            </w:pPr>
            <w:r>
              <w:rPr>
                <w:rFonts w:hint="eastAsia" w:ascii="新宋体" w:hAnsi="新宋体" w:eastAsia="新宋体"/>
                <w:sz w:val="24"/>
              </w:rPr>
              <w:t xml:space="preserve">BOD</w:t>
            </w:r>
            <w:r>
              <w:rPr>
                <w:rFonts w:hint="eastAsia" w:ascii="新宋体" w:hAnsi="新宋体" w:eastAsia="新宋体"/>
                <w:sz w:val="24"/>
                <w:vertAlign w:val="subscript"/>
              </w:rPr>
              <w:t xml:space="preserve">5</w:t>
            </w:r>
            <w:r>
              <w:rPr>
                <w:rFonts w:ascii="新宋体" w:hAnsi="新宋体" w:eastAsia="新宋体"/>
                <w:sz w:val="24"/>
                <w:vertAlign w:val="subscript"/>
              </w:rPr>
            </w:r>
            <w:r/>
          </w:p>
        </w:tc>
        <w:tc>
          <w:tcPr>
            <w:tcW w:w="1207" w:type="dxa"/>
            <w:vAlign w:val="center"/>
            <w:textDirection w:val="lrTb"/>
            <w:noWrap w:val="false"/>
          </w:tcPr>
          <w:p>
            <w:pPr>
              <w:pStyle w:val="848"/>
              <w:spacing w:line="440" w:lineRule="exact"/>
              <w:rPr>
                <w:rFonts w:ascii="新宋体" w:hAnsi="新宋体" w:eastAsia="新宋体"/>
                <w:sz w:val="24"/>
              </w:rPr>
            </w:pPr>
            <w:r>
              <w:rPr>
                <w:rFonts w:hint="eastAsia" w:ascii="新宋体" w:hAnsi="新宋体" w:eastAsia="新宋体"/>
                <w:sz w:val="24"/>
              </w:rPr>
              <w:t xml:space="preserve">SS</w:t>
            </w:r>
            <w:r>
              <w:rPr>
                <w:rFonts w:ascii="新宋体" w:hAnsi="新宋体" w:eastAsia="新宋体"/>
                <w:sz w:val="24"/>
              </w:rPr>
            </w:r>
            <w:r/>
          </w:p>
        </w:tc>
        <w:tc>
          <w:tcPr>
            <w:tcW w:w="1207" w:type="dxa"/>
            <w:vAlign w:val="center"/>
            <w:textDirection w:val="lrTb"/>
            <w:noWrap w:val="false"/>
          </w:tcPr>
          <w:p>
            <w:pPr>
              <w:pStyle w:val="848"/>
              <w:spacing w:line="440" w:lineRule="exact"/>
              <w:rPr>
                <w:rFonts w:ascii="新宋体" w:hAnsi="新宋体" w:eastAsia="新宋体"/>
                <w:sz w:val="24"/>
              </w:rPr>
            </w:pPr>
            <w:r>
              <w:rPr>
                <w:rFonts w:hint="eastAsia" w:ascii="新宋体" w:hAnsi="新宋体" w:eastAsia="新宋体"/>
                <w:sz w:val="24"/>
              </w:rPr>
              <w:t xml:space="preserve">NH</w:t>
            </w:r>
            <w:r>
              <w:rPr>
                <w:rFonts w:hint="eastAsia" w:ascii="新宋体" w:hAnsi="新宋体" w:eastAsia="新宋体"/>
                <w:sz w:val="24"/>
                <w:vertAlign w:val="subscript"/>
              </w:rPr>
              <w:t xml:space="preserve">3</w:t>
            </w:r>
            <w:r>
              <w:rPr>
                <w:rFonts w:hint="eastAsia" w:ascii="新宋体" w:hAnsi="新宋体" w:eastAsia="新宋体"/>
                <w:sz w:val="24"/>
              </w:rPr>
              <w:t xml:space="preserve">-N</w:t>
            </w:r>
            <w:r>
              <w:rPr>
                <w:rFonts w:ascii="新宋体" w:hAnsi="新宋体" w:eastAsia="新宋体"/>
                <w:sz w:val="24"/>
              </w:rPr>
            </w:r>
            <w:r/>
          </w:p>
        </w:tc>
        <w:tc>
          <w:tcPr>
            <w:tcW w:w="1207" w:type="dxa"/>
            <w:vAlign w:val="center"/>
            <w:textDirection w:val="lrTb"/>
            <w:noWrap w:val="false"/>
          </w:tcPr>
          <w:p>
            <w:pPr>
              <w:pStyle w:val="848"/>
              <w:spacing w:line="440" w:lineRule="exact"/>
              <w:rPr>
                <w:rFonts w:ascii="新宋体" w:hAnsi="新宋体" w:eastAsia="新宋体"/>
                <w:sz w:val="24"/>
              </w:rPr>
            </w:pPr>
            <w:r>
              <w:rPr>
                <w:rFonts w:hint="eastAsia" w:ascii="新宋体" w:hAnsi="新宋体" w:eastAsia="新宋体"/>
                <w:sz w:val="24"/>
              </w:rPr>
              <w:t xml:space="preserve">TN</w:t>
            </w:r>
            <w:r>
              <w:rPr>
                <w:rFonts w:ascii="新宋体" w:hAnsi="新宋体" w:eastAsia="新宋体"/>
                <w:sz w:val="24"/>
              </w:rPr>
            </w:r>
            <w:r/>
          </w:p>
        </w:tc>
        <w:tc>
          <w:tcPr>
            <w:tcW w:w="1207" w:type="dxa"/>
            <w:vAlign w:val="center"/>
            <w:textDirection w:val="lrTb"/>
            <w:noWrap w:val="false"/>
          </w:tcPr>
          <w:p>
            <w:pPr>
              <w:pStyle w:val="848"/>
              <w:spacing w:line="440" w:lineRule="exact"/>
              <w:rPr>
                <w:rFonts w:ascii="新宋体" w:hAnsi="新宋体" w:eastAsia="新宋体"/>
                <w:sz w:val="24"/>
              </w:rPr>
            </w:pPr>
            <w:r>
              <w:rPr>
                <w:rFonts w:hint="eastAsia" w:ascii="新宋体" w:hAnsi="新宋体" w:eastAsia="新宋体"/>
                <w:sz w:val="24"/>
              </w:rPr>
              <w:t xml:space="preserve">TP</w:t>
            </w:r>
            <w:r>
              <w:rPr>
                <w:rFonts w:ascii="新宋体" w:hAnsi="新宋体" w:eastAsia="新宋体"/>
                <w:sz w:val="24"/>
              </w:rPr>
            </w:r>
            <w:r/>
          </w:p>
        </w:tc>
      </w:tr>
    </w:tbl>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注：设计最低水温按10摄氏度计算。</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上表为设计进水上限水质，投标人应当自行开展实地研究与论证，进一步确定进水常规水质设计参数，可能存在工业污水排入污水管网问题，设计上应已充分考虑工业废水和生活废水的混合，部分时段可能需处理工业污水。</w:t>
      </w:r>
      <w:r>
        <w:rPr>
          <w:rFonts w:hint="eastAsia" w:ascii="宋体" w:hAnsi="宋体" w:cs="宋体"/>
          <w:sz w:val="24"/>
          <w:szCs w:val="24"/>
        </w:rPr>
      </w:r>
      <w:r/>
    </w:p>
    <w:p>
      <w:pPr>
        <w:pStyle w:val="838"/>
        <w:ind w:firstLine="3373"/>
        <w:spacing w:line="440" w:lineRule="exact"/>
        <w:rPr>
          <w:rFonts w:hint="eastAsia" w:ascii="新宋体" w:hAnsi="新宋体" w:eastAsia="新宋体"/>
          <w:b/>
          <w:sz w:val="24"/>
        </w:rPr>
      </w:pPr>
      <w:r>
        <w:rPr>
          <w:rFonts w:hint="eastAsia" w:ascii="新宋体" w:hAnsi="新宋体" w:eastAsia="新宋体"/>
          <w:b/>
          <w:sz w:val="24"/>
        </w:rPr>
        <w:t xml:space="preserve">污水排放标准</w:t>
      </w:r>
      <w:r>
        <w:rPr>
          <w:rFonts w:hint="eastAsia" w:ascii="新宋体" w:hAnsi="新宋体" w:eastAsia="新宋体"/>
          <w:b/>
          <w:sz w:val="24"/>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2"/>
        <w:gridCol w:w="1023"/>
        <w:gridCol w:w="1024"/>
        <w:gridCol w:w="787"/>
        <w:gridCol w:w="1263"/>
        <w:gridCol w:w="1025"/>
        <w:gridCol w:w="1025"/>
        <w:gridCol w:w="1021"/>
      </w:tblGrid>
      <w:tr>
        <w:trPr>
          <w:cantSplit/>
          <w:trHeight w:val="340"/>
        </w:trPr>
        <w:tc>
          <w:tcPr>
            <w:tcW w:w="1834"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水质指标</w:t>
            </w:r>
            <w:r>
              <w:rPr>
                <w:rFonts w:ascii="新宋体" w:hAnsi="新宋体" w:eastAsia="新宋体"/>
                <w:color w:val="ff0000"/>
                <w:sz w:val="24"/>
              </w:rPr>
            </w:r>
            <w:r/>
          </w:p>
        </w:tc>
        <w:tc>
          <w:tcPr>
            <w:tcW w:w="1024" w:type="dxa"/>
            <w:vAlign w:val="center"/>
            <w:textDirection w:val="lrTb"/>
            <w:noWrap w:val="false"/>
          </w:tcPr>
          <w:p>
            <w:pPr>
              <w:pStyle w:val="848"/>
              <w:spacing w:line="440" w:lineRule="exact"/>
              <w:rPr>
                <w:rFonts w:ascii="新宋体" w:hAnsi="新宋体" w:eastAsia="新宋体"/>
                <w:color w:val="ff0000"/>
                <w:sz w:val="24"/>
                <w:vertAlign w:val="subscript"/>
              </w:rPr>
            </w:pPr>
            <w:r>
              <w:rPr>
                <w:rFonts w:hint="eastAsia" w:ascii="新宋体" w:hAnsi="新宋体" w:eastAsia="新宋体"/>
                <w:color w:val="ff0000"/>
                <w:sz w:val="24"/>
              </w:rPr>
              <w:t xml:space="preserve">BOD</w:t>
            </w:r>
            <w:r>
              <w:rPr>
                <w:rFonts w:hint="eastAsia" w:ascii="新宋体" w:hAnsi="新宋体" w:eastAsia="新宋体"/>
                <w:color w:val="ff0000"/>
                <w:sz w:val="24"/>
                <w:vertAlign w:val="subscript"/>
              </w:rPr>
              <w:t xml:space="preserve">5</w:t>
            </w:r>
            <w:r>
              <w:rPr>
                <w:rFonts w:ascii="新宋体" w:hAnsi="新宋体" w:eastAsia="新宋体"/>
                <w:color w:val="ff0000"/>
                <w:sz w:val="24"/>
                <w:vertAlign w:val="subscript"/>
              </w:rPr>
            </w:r>
            <w:r/>
          </w:p>
        </w:tc>
        <w:tc>
          <w:tcPr>
            <w:tcW w:w="1024"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CODcr</w:t>
            </w:r>
            <w:r>
              <w:rPr>
                <w:rFonts w:ascii="新宋体" w:hAnsi="新宋体" w:eastAsia="新宋体"/>
                <w:color w:val="ff0000"/>
                <w:sz w:val="24"/>
              </w:rPr>
            </w:r>
            <w:r/>
          </w:p>
        </w:tc>
        <w:tc>
          <w:tcPr>
            <w:tcW w:w="787"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SS</w:t>
            </w:r>
            <w:r>
              <w:rPr>
                <w:rFonts w:ascii="新宋体" w:hAnsi="新宋体" w:eastAsia="新宋体"/>
                <w:color w:val="ff0000"/>
                <w:sz w:val="24"/>
              </w:rPr>
            </w:r>
            <w:r/>
          </w:p>
        </w:tc>
        <w:tc>
          <w:tcPr>
            <w:tcW w:w="1263"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TN（以N为计）</w:t>
            </w:r>
            <w:r>
              <w:rPr>
                <w:rFonts w:ascii="新宋体" w:hAnsi="新宋体" w:eastAsia="新宋体"/>
                <w:color w:val="ff0000"/>
                <w:sz w:val="24"/>
              </w:rPr>
            </w:r>
            <w:r/>
          </w:p>
        </w:tc>
        <w:tc>
          <w:tcPr>
            <w:tcW w:w="1025"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NH</w:t>
            </w:r>
            <w:r>
              <w:rPr>
                <w:rFonts w:hint="eastAsia" w:ascii="新宋体" w:hAnsi="新宋体" w:eastAsia="新宋体"/>
                <w:color w:val="ff0000"/>
                <w:sz w:val="24"/>
                <w:vertAlign w:val="subscript"/>
              </w:rPr>
              <w:t xml:space="preserve">3</w:t>
            </w:r>
            <w:r>
              <w:rPr>
                <w:rFonts w:hint="eastAsia" w:ascii="新宋体" w:hAnsi="新宋体" w:eastAsia="新宋体"/>
                <w:color w:val="ff0000"/>
                <w:sz w:val="24"/>
              </w:rPr>
              <w:t xml:space="preserve">-N</w:t>
            </w:r>
            <w:r>
              <w:rPr>
                <w:rFonts w:ascii="新宋体" w:hAnsi="新宋体" w:eastAsia="新宋体"/>
                <w:color w:val="ff0000"/>
                <w:sz w:val="24"/>
              </w:rPr>
            </w:r>
            <w:r/>
          </w:p>
        </w:tc>
        <w:tc>
          <w:tcPr>
            <w:tcW w:w="1025"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TP（以P为计）</w:t>
            </w:r>
            <w:r>
              <w:rPr>
                <w:rFonts w:ascii="新宋体" w:hAnsi="新宋体" w:eastAsia="新宋体"/>
                <w:color w:val="ff0000"/>
                <w:sz w:val="24"/>
              </w:rPr>
            </w:r>
            <w:r/>
          </w:p>
        </w:tc>
        <w:tc>
          <w:tcPr>
            <w:tcW w:w="1021"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PH</w:t>
            </w:r>
            <w:r>
              <w:rPr>
                <w:rFonts w:ascii="新宋体" w:hAnsi="新宋体" w:eastAsia="新宋体"/>
                <w:color w:val="ff0000"/>
                <w:sz w:val="24"/>
              </w:rPr>
            </w:r>
            <w:r/>
          </w:p>
        </w:tc>
      </w:tr>
      <w:tr>
        <w:trPr>
          <w:cantSplit/>
          <w:trHeight w:val="340"/>
        </w:trPr>
        <w:tc>
          <w:tcPr>
            <w:tcW w:w="1834"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出水水质</w:t>
            </w:r>
            <w:r>
              <w:rPr>
                <w:rFonts w:ascii="新宋体" w:hAnsi="新宋体" w:eastAsia="新宋体"/>
                <w:color w:val="ff0000"/>
                <w:sz w:val="24"/>
              </w:rPr>
            </w:r>
            <w:r/>
          </w:p>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（单位：mg/1）</w:t>
            </w:r>
            <w:r>
              <w:rPr>
                <w:rFonts w:ascii="新宋体" w:hAnsi="新宋体" w:eastAsia="新宋体"/>
                <w:color w:val="ff0000"/>
                <w:sz w:val="24"/>
              </w:rPr>
            </w:r>
            <w:r/>
          </w:p>
        </w:tc>
        <w:tc>
          <w:tcPr>
            <w:tcW w:w="1024" w:type="dxa"/>
            <w:vAlign w:val="center"/>
            <w:textDirection w:val="lrTb"/>
            <w:noWrap w:val="false"/>
          </w:tcPr>
          <w:p>
            <w:pPr>
              <w:pStyle w:val="848"/>
              <w:spacing w:line="440" w:lineRule="exact"/>
              <w:rPr>
                <w:rFonts w:ascii="新宋体" w:hAnsi="新宋体" w:eastAsia="新宋体"/>
                <w:bCs/>
                <w:color w:val="ff0000"/>
                <w:sz w:val="24"/>
              </w:rPr>
            </w:pPr>
            <w:r>
              <w:rPr>
                <w:rFonts w:hint="eastAsia" w:ascii="新宋体" w:hAnsi="新宋体" w:eastAsia="新宋体"/>
                <w:color w:val="ff0000"/>
                <w:sz w:val="24"/>
              </w:rPr>
              <w:t xml:space="preserve">≤10</w:t>
            </w:r>
            <w:r>
              <w:rPr>
                <w:rFonts w:ascii="新宋体" w:hAnsi="新宋体" w:eastAsia="新宋体"/>
                <w:bCs/>
                <w:color w:val="ff0000"/>
                <w:sz w:val="24"/>
              </w:rPr>
            </w:r>
            <w:r/>
          </w:p>
        </w:tc>
        <w:tc>
          <w:tcPr>
            <w:tcW w:w="1024" w:type="dxa"/>
            <w:vAlign w:val="center"/>
            <w:textDirection w:val="lrTb"/>
            <w:noWrap w:val="false"/>
          </w:tcPr>
          <w:p>
            <w:pPr>
              <w:pStyle w:val="848"/>
              <w:spacing w:line="440" w:lineRule="exact"/>
              <w:rPr>
                <w:rFonts w:ascii="新宋体" w:hAnsi="新宋体" w:eastAsia="新宋体"/>
                <w:bCs/>
                <w:color w:val="ff0000"/>
                <w:sz w:val="24"/>
              </w:rPr>
            </w:pPr>
            <w:r>
              <w:rPr>
                <w:rFonts w:hint="eastAsia" w:ascii="新宋体" w:hAnsi="新宋体" w:eastAsia="新宋体"/>
                <w:color w:val="ff0000"/>
                <w:sz w:val="24"/>
              </w:rPr>
              <w:t xml:space="preserve">≤</w:t>
            </w:r>
            <w:r>
              <w:rPr>
                <w:rFonts w:hint="eastAsia" w:ascii="新宋体" w:hAnsi="新宋体" w:eastAsia="新宋体"/>
                <w:bCs/>
                <w:color w:val="ff0000"/>
                <w:sz w:val="24"/>
              </w:rPr>
              <w:t xml:space="preserve">50</w:t>
            </w:r>
            <w:r>
              <w:rPr>
                <w:rFonts w:ascii="新宋体" w:hAnsi="新宋体" w:eastAsia="新宋体"/>
                <w:bCs/>
                <w:color w:val="ff0000"/>
                <w:sz w:val="24"/>
              </w:rPr>
            </w:r>
            <w:r/>
          </w:p>
        </w:tc>
        <w:tc>
          <w:tcPr>
            <w:tcW w:w="787" w:type="dxa"/>
            <w:vAlign w:val="center"/>
            <w:textDirection w:val="lrTb"/>
            <w:noWrap w:val="false"/>
          </w:tcPr>
          <w:p>
            <w:pPr>
              <w:pStyle w:val="848"/>
              <w:spacing w:line="440" w:lineRule="exact"/>
              <w:rPr>
                <w:rFonts w:ascii="新宋体" w:hAnsi="新宋体" w:eastAsia="新宋体"/>
                <w:bCs/>
                <w:color w:val="ff0000"/>
                <w:sz w:val="24"/>
              </w:rPr>
            </w:pPr>
            <w:r>
              <w:rPr>
                <w:rFonts w:hint="eastAsia" w:ascii="新宋体" w:hAnsi="新宋体" w:eastAsia="新宋体"/>
                <w:color w:val="ff0000"/>
                <w:sz w:val="24"/>
              </w:rPr>
              <w:t xml:space="preserve">≤10</w:t>
            </w:r>
            <w:r>
              <w:rPr>
                <w:rFonts w:ascii="新宋体" w:hAnsi="新宋体" w:eastAsia="新宋体"/>
                <w:bCs/>
                <w:color w:val="ff0000"/>
                <w:sz w:val="24"/>
              </w:rPr>
            </w:r>
            <w:r/>
          </w:p>
        </w:tc>
        <w:tc>
          <w:tcPr>
            <w:tcW w:w="1263" w:type="dxa"/>
            <w:vAlign w:val="center"/>
            <w:textDirection w:val="lrTb"/>
            <w:noWrap w:val="false"/>
          </w:tcPr>
          <w:p>
            <w:pPr>
              <w:pStyle w:val="848"/>
              <w:spacing w:line="440" w:lineRule="exact"/>
              <w:rPr>
                <w:rFonts w:ascii="新宋体" w:hAnsi="新宋体" w:eastAsia="新宋体"/>
                <w:bCs/>
                <w:color w:val="ff0000"/>
                <w:sz w:val="24"/>
              </w:rPr>
            </w:pPr>
            <w:r>
              <w:rPr>
                <w:rFonts w:hint="eastAsia" w:ascii="新宋体" w:hAnsi="新宋体" w:eastAsia="新宋体"/>
                <w:color w:val="ff0000"/>
                <w:sz w:val="24"/>
              </w:rPr>
              <w:t xml:space="preserve">≤12（</w:t>
            </w:r>
            <w:r>
              <w:rPr>
                <w:rFonts w:hint="eastAsia" w:ascii="新宋体" w:hAnsi="新宋体" w:eastAsia="新宋体"/>
                <w:bCs/>
                <w:color w:val="ff0000"/>
                <w:sz w:val="24"/>
              </w:rPr>
              <w:t xml:space="preserve">15）</w:t>
            </w:r>
            <w:r>
              <w:rPr>
                <w:rFonts w:ascii="新宋体" w:hAnsi="新宋体" w:eastAsia="新宋体"/>
                <w:bCs/>
                <w:color w:val="ff0000"/>
                <w:sz w:val="24"/>
              </w:rPr>
            </w:r>
            <w:r/>
          </w:p>
        </w:tc>
        <w:tc>
          <w:tcPr>
            <w:tcW w:w="1025" w:type="dxa"/>
            <w:vAlign w:val="center"/>
            <w:textDirection w:val="lrTb"/>
            <w:noWrap w:val="false"/>
          </w:tcPr>
          <w:p>
            <w:pPr>
              <w:pStyle w:val="848"/>
              <w:spacing w:line="440" w:lineRule="exact"/>
              <w:rPr>
                <w:rFonts w:ascii="新宋体" w:hAnsi="新宋体" w:eastAsia="新宋体"/>
                <w:bCs/>
                <w:color w:val="ff0000"/>
                <w:sz w:val="24"/>
              </w:rPr>
            </w:pPr>
            <w:r>
              <w:rPr>
                <w:rFonts w:hint="eastAsia" w:ascii="新宋体" w:hAnsi="新宋体" w:eastAsia="新宋体"/>
                <w:color w:val="ff0000"/>
                <w:sz w:val="24"/>
              </w:rPr>
              <w:t xml:space="preserve">≤4（6）</w:t>
            </w:r>
            <w:r>
              <w:rPr>
                <w:rFonts w:ascii="新宋体" w:hAnsi="新宋体" w:eastAsia="新宋体"/>
                <w:bCs/>
                <w:color w:val="ff0000"/>
                <w:sz w:val="24"/>
              </w:rPr>
            </w:r>
            <w:r/>
          </w:p>
        </w:tc>
        <w:tc>
          <w:tcPr>
            <w:tcW w:w="1025" w:type="dxa"/>
            <w:vAlign w:val="center"/>
            <w:textDirection w:val="lrTb"/>
            <w:noWrap w:val="false"/>
          </w:tcPr>
          <w:p>
            <w:pPr>
              <w:pStyle w:val="848"/>
              <w:spacing w:line="440" w:lineRule="exact"/>
              <w:rPr>
                <w:rFonts w:ascii="新宋体" w:hAnsi="新宋体" w:eastAsia="新宋体"/>
                <w:bCs/>
                <w:color w:val="ff0000"/>
                <w:sz w:val="24"/>
              </w:rPr>
            </w:pPr>
            <w:r>
              <w:rPr>
                <w:rFonts w:hint="eastAsia" w:ascii="新宋体" w:hAnsi="新宋体" w:eastAsia="新宋体"/>
                <w:color w:val="ff0000"/>
                <w:sz w:val="24"/>
              </w:rPr>
              <w:t xml:space="preserve">≤0.5</w:t>
            </w:r>
            <w:r>
              <w:rPr>
                <w:rFonts w:ascii="新宋体" w:hAnsi="新宋体" w:eastAsia="新宋体"/>
                <w:bCs/>
                <w:color w:val="ff0000"/>
                <w:sz w:val="24"/>
              </w:rPr>
            </w:r>
            <w:r/>
          </w:p>
        </w:tc>
        <w:tc>
          <w:tcPr>
            <w:tcW w:w="1021" w:type="dxa"/>
            <w:vAlign w:val="center"/>
            <w:textDirection w:val="lrTb"/>
            <w:noWrap w:val="false"/>
          </w:tcPr>
          <w:p>
            <w:pPr>
              <w:pStyle w:val="848"/>
              <w:spacing w:line="440" w:lineRule="exact"/>
              <w:rPr>
                <w:rFonts w:ascii="新宋体" w:hAnsi="新宋体" w:eastAsia="新宋体"/>
                <w:color w:val="ff0000"/>
                <w:sz w:val="24"/>
              </w:rPr>
            </w:pPr>
            <w:r>
              <w:rPr>
                <w:rFonts w:hint="eastAsia" w:ascii="新宋体" w:hAnsi="新宋体" w:eastAsia="新宋体"/>
                <w:color w:val="ff0000"/>
                <w:sz w:val="24"/>
              </w:rPr>
              <w:t xml:space="preserve">6-9</w:t>
            </w:r>
            <w:r>
              <w:rPr>
                <w:rFonts w:ascii="新宋体" w:hAnsi="新宋体" w:eastAsia="新宋体"/>
                <w:color w:val="ff0000"/>
                <w:sz w:val="24"/>
              </w:rPr>
            </w:r>
            <w:r/>
          </w:p>
        </w:tc>
      </w:tr>
    </w:tbl>
    <w:p>
      <w:pPr>
        <w:pStyle w:val="674"/>
        <w:ind w:firstLine="280"/>
        <w:spacing w:line="520" w:lineRule="exact"/>
        <w:rPr>
          <w:rFonts w:eastAsia="方正仿宋_GBK"/>
          <w:sz w:val="32"/>
          <w:szCs w:val="32"/>
        </w:rPr>
      </w:pPr>
      <w:r>
        <w:rPr>
          <w:rFonts w:hint="eastAsia" w:eastAsia="方正仿宋_GBK"/>
          <w:b/>
          <w:sz w:val="28"/>
          <w:szCs w:val="28"/>
        </w:rPr>
        <w:t xml:space="preserve">每年</w:t>
      </w:r>
      <w:r>
        <w:rPr>
          <w:rFonts w:eastAsia="方正仿宋_GBK"/>
          <w:b/>
          <w:sz w:val="28"/>
          <w:szCs w:val="28"/>
        </w:rPr>
        <w:t xml:space="preserve">11</w:t>
      </w:r>
      <w:r>
        <w:rPr>
          <w:rFonts w:hint="eastAsia" w:eastAsia="方正仿宋_GBK"/>
          <w:b/>
          <w:sz w:val="28"/>
          <w:szCs w:val="28"/>
        </w:rPr>
        <w:t xml:space="preserve">月</w:t>
      </w:r>
      <w:r>
        <w:rPr>
          <w:rFonts w:eastAsia="方正仿宋_GBK"/>
          <w:b/>
          <w:sz w:val="28"/>
          <w:szCs w:val="28"/>
        </w:rPr>
        <w:t xml:space="preserve">1</w:t>
      </w:r>
      <w:r>
        <w:rPr>
          <w:rFonts w:hint="eastAsia" w:eastAsia="方正仿宋_GBK"/>
          <w:b/>
          <w:sz w:val="28"/>
          <w:szCs w:val="28"/>
        </w:rPr>
        <w:t xml:space="preserve">日至次年</w:t>
      </w:r>
      <w:r>
        <w:rPr>
          <w:rFonts w:eastAsia="方正仿宋_GBK"/>
          <w:b/>
          <w:sz w:val="28"/>
          <w:szCs w:val="28"/>
        </w:rPr>
        <w:t xml:space="preserve">3</w:t>
      </w:r>
      <w:r>
        <w:rPr>
          <w:rFonts w:hint="eastAsia" w:eastAsia="方正仿宋_GBK"/>
          <w:b/>
          <w:sz w:val="28"/>
          <w:szCs w:val="28"/>
        </w:rPr>
        <w:t xml:space="preserve">月</w:t>
      </w:r>
      <w:r>
        <w:rPr>
          <w:rFonts w:eastAsia="方正仿宋_GBK"/>
          <w:b/>
          <w:sz w:val="28"/>
          <w:szCs w:val="28"/>
        </w:rPr>
        <w:t xml:space="preserve">31</w:t>
      </w:r>
      <w:r>
        <w:rPr>
          <w:rFonts w:hint="eastAsia" w:eastAsia="方正仿宋_GBK"/>
          <w:b/>
          <w:sz w:val="28"/>
          <w:szCs w:val="28"/>
        </w:rPr>
        <w:t xml:space="preserve">日执行括号内排放限值。</w:t>
      </w:r>
      <w:r>
        <w:rPr>
          <w:rFonts w:eastAsia="方正仿宋_GBK"/>
          <w:sz w:val="32"/>
          <w:szCs w:val="32"/>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7. 原有粗格栅及进水泵房、脱泥系统、供水系统、除臭系统可共用，供电系统在满足负荷率的情况下可共用。上述系统共用过程中产生的电费、药剂费、人工费、污泥处置、设备维修等费用根据各自处理量分配承担。具体情况由投标人与原运营单位协调解决。具体供水系统接入点根据现场情况确定。上述费用由投标人承担。</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8. 扩建的污水处理设施采用地上布置模式。受到场地限制，各潜在投标人须充分考虑现场布置、设备高度、设备吊装及运输等因素。同时，要结合现场高压线、管道、围墙及周围建筑进行综合考虑，不得出现设计方案无法施工或者对周围建筑物产生较大影响等情况。如出现上述问题，增加的费用由投标人自行承担。</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★9. 扩建污水处理设施处理流程及工艺建议如下：粗格栅及进水泵房（利用原厂区设备）</w:t>
      </w:r>
      <w:r>
        <w:rPr>
          <w:rFonts w:hint="eastAsia" w:ascii="宋体" w:hAnsi="宋体" w:cs="宋体"/>
          <w:sz w:val="24"/>
          <w:szCs w:val="24"/>
        </w:rPr>
        <w:t xml:space="preserve">+细格栅（如需要）+污水生化处理设备 +二沉池+深度处理系统设备（如需要）+紫外消毒设备（如需要）。设备可在上述建议方案基础上增减，达到设计标准即可。污水生化处理设备须采用A/A/O（A2O）工艺，不得采用MBR膜工艺，二沉池不得采用斜管填料，污水在设备内处理停留时间不得低于12小时，二沉池表面负荷不高于1.2m3/（m2·h）。投标人须提供详细的计算书。未提供计算书、未采用A/A/O工艺、二沉池采用斜管填料、污水在设备内处理停留时间低于12小时、二沉池表面负荷高于1.2m3/（m2·h）的，作无效标处理。</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★10. 扩建污水处理设施使用年限不得低于15年，各潜在投标人须做好设备防腐防锈处理。提供使用年限承诺书，未提供或使用年限低于15年的，按无效标处理。</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11. 扩建区域下方含有部分地下管网，须进行迁移。各潜在投标人投标时请一并考虑。</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★12. 投标单位投标时须提供设计方案说明（含各项计算参数，具体设备数量、参数及规格）、详细的设计图纸及污水生化处理设备、</w:t>
      </w:r>
      <w:r>
        <w:rPr>
          <w:rFonts w:hint="eastAsia" w:eastAsia="方正仿宋_GBK"/>
          <w:color w:val="ff0000"/>
          <w:sz w:val="24"/>
          <w:szCs w:val="24"/>
        </w:rPr>
        <w:t xml:space="preserve">深度处理系统设备</w:t>
      </w:r>
      <w:r>
        <w:rPr>
          <w:rFonts w:hint="eastAsia" w:ascii="宋体" w:hAnsi="宋体" w:cs="宋体"/>
          <w:sz w:val="24"/>
          <w:szCs w:val="24"/>
        </w:rPr>
        <w:t xml:space="preserve">（如有）详细的内部结构图（含内部详细的构件、各个区域的功能及效果、材料性质及规格）。上述内容未提供、提供不全，作无效标处理。</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★13. 污水生化处理设备、</w:t>
      </w:r>
      <w:r>
        <w:rPr>
          <w:rFonts w:hint="eastAsia" w:eastAsia="方正仿宋_GBK"/>
          <w:color w:val="ff0000"/>
          <w:sz w:val="24"/>
          <w:szCs w:val="24"/>
        </w:rPr>
        <w:t xml:space="preserve">深度处理系统设备</w:t>
      </w:r>
      <w:r>
        <w:rPr>
          <w:rFonts w:hint="eastAsia" w:ascii="宋体" w:hAnsi="宋体" w:cs="宋体"/>
          <w:sz w:val="24"/>
          <w:szCs w:val="24"/>
        </w:rPr>
        <w:t xml:space="preserve">材质须采用碳钢材料，做防腐防锈处理，并详</w:t>
      </w:r>
      <w:r>
        <w:rPr>
          <w:rFonts w:hint="eastAsia"/>
          <w:bCs/>
          <w:sz w:val="24"/>
          <w:highlight w:val="white"/>
        </w:rPr>
        <w:t xml:space="preserve">细描述防腐工艺，箱体</w:t>
      </w:r>
      <w:r>
        <w:rPr>
          <w:rFonts w:hint="eastAsia" w:ascii="宋体" w:hAnsi="宋体" w:cs="宋体"/>
          <w:sz w:val="24"/>
          <w:szCs w:val="24"/>
        </w:rPr>
        <w:t xml:space="preserve">厚度不低于10mm。箱体厚度低于10mm的，作无效标处理。</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14. 污水生化处理设备中的曝气设备建议采用罗茨风机。</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15. 工程须加装进出水电磁流量计，加装溶解氧、ORP、污泥浓度等过程性监控仪表。上述仪表运营费用由投标人承担。出水处加装COD、NH3-N、TP、TN、PH、SS在线检测仪器，此仪器运营费用由中标人承担。中标单位需建立中控系统，保障污水处理厂运营。</w:t>
      </w:r>
      <w:r>
        <w:rPr>
          <w:rFonts w:hint="eastAsia" w:ascii="宋体" w:hAnsi="宋体" w:cs="宋体"/>
          <w:sz w:val="24"/>
          <w:szCs w:val="24"/>
        </w:rPr>
      </w:r>
      <w:r/>
    </w:p>
    <w:p>
      <w:pPr>
        <w:pStyle w:val="674"/>
        <w:ind w:firstLine="480"/>
        <w:jc w:val="left"/>
        <w:spacing w:line="400" w:lineRule="exact"/>
        <w:rPr>
          <w:rFonts w:hint="eastAsia" w:ascii="宋体" w:hAnsi="宋体" w:cs="宋体"/>
          <w:sz w:val="24"/>
          <w:szCs w:val="24"/>
        </w:rPr>
      </w:pPr>
      <w:r>
        <w:rPr>
          <w:rFonts w:hint="eastAsia" w:ascii="宋体" w:hAnsi="宋体" w:cs="宋体"/>
          <w:sz w:val="24"/>
          <w:szCs w:val="24"/>
        </w:rPr>
        <w:t xml:space="preserve">16. 项目建成后，场地须全部硬化处理。在周围加设围栏。</w:t>
      </w:r>
      <w:r>
        <w:rPr>
          <w:rFonts w:hint="eastAsia" w:ascii="宋体" w:hAnsi="宋体" w:cs="宋体"/>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六、报价说明：</w:t>
      </w:r>
      <w:r>
        <w:rPr>
          <w:rFonts w:hint="eastAsia" w:ascii="宋体" w:hAnsi="宋体" w:cs="宋体"/>
          <w:b/>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1、报价清单综合说明</w:t>
      </w:r>
      <w:r>
        <w:rPr>
          <w:rFonts w:hint="eastAsia" w:ascii="宋体" w:hAnsi="宋体" w:cs="宋体"/>
          <w:b/>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1.1项目报价详见招标文件要求。</w:t>
      </w:r>
      <w:r>
        <w:rPr>
          <w:rFonts w:hint="eastAsia" w:ascii="宋体" w:hAnsi="宋体" w:cs="宋体"/>
          <w:b/>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1.2投标报价中应考虑招标文件中要求投标人承担的风险范围以及相关的费用。</w:t>
      </w:r>
      <w:r>
        <w:rPr>
          <w:rFonts w:hint="eastAsia" w:ascii="宋体" w:hAnsi="宋体" w:cs="宋体"/>
          <w:b/>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1.3投标总价为投标人在投标文件中提出的各项支付金额的总和为实施、完成招标工程并修补缺陷以及履行招标文件中约定的风险范围内的所有责任和义务所发生的全部费用。</w:t>
      </w:r>
      <w:r>
        <w:rPr>
          <w:rFonts w:hint="eastAsia" w:ascii="宋体" w:hAnsi="宋体" w:cs="宋体"/>
          <w:b/>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2．设计计价原则：无费用</w:t>
      </w:r>
      <w:r>
        <w:rPr>
          <w:rFonts w:hint="eastAsia" w:ascii="宋体" w:hAnsi="宋体" w:cs="宋体"/>
          <w:b/>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3．施工计价原则：依据现行国家、江苏省及宿迁市规范性计价文件进行计价 ，满足清单计价规范用表要求，清单格式详见附件（包括但不限于）。</w:t>
      </w:r>
      <w:r>
        <w:rPr>
          <w:rFonts w:hint="eastAsia" w:ascii="宋体" w:hAnsi="宋体" w:cs="宋体"/>
          <w:b/>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4．运营计价原则：自主报价</w:t>
      </w:r>
      <w:r>
        <w:rPr>
          <w:rFonts w:hint="eastAsia" w:ascii="宋体" w:hAnsi="宋体" w:cs="宋体"/>
          <w:b/>
          <w:sz w:val="24"/>
          <w:szCs w:val="24"/>
        </w:rPr>
      </w:r>
      <w:r/>
    </w:p>
    <w:p>
      <w:pPr>
        <w:pStyle w:val="674"/>
        <w:ind w:firstLine="482"/>
        <w:spacing w:line="520" w:lineRule="exact"/>
        <w:rPr>
          <w:rFonts w:hint="eastAsia" w:ascii="宋体" w:hAnsi="宋体" w:cs="宋体"/>
          <w:b/>
          <w:sz w:val="24"/>
          <w:szCs w:val="24"/>
        </w:rPr>
      </w:pPr>
      <w:r>
        <w:rPr>
          <w:rFonts w:hint="eastAsia" w:ascii="宋体" w:hAnsi="宋体" w:cs="宋体"/>
          <w:b/>
          <w:sz w:val="24"/>
          <w:szCs w:val="24"/>
        </w:rPr>
        <w:t xml:space="preserve">5. 其他方面（手续办理）：自主报价</w:t>
      </w:r>
      <w:r>
        <w:rPr>
          <w:rFonts w:hint="eastAsia" w:ascii="宋体" w:hAnsi="宋体" w:cs="宋体"/>
          <w:b/>
          <w:sz w:val="24"/>
          <w:szCs w:val="24"/>
        </w:rPr>
      </w:r>
      <w:r/>
    </w:p>
    <w:p>
      <w:pPr>
        <w:pStyle w:val="676"/>
        <w:ind w:firstLine="482"/>
        <w:jc w:val="left"/>
        <w:keepNext w:val="0"/>
        <w:spacing w:before="120" w:after="120"/>
        <w:rPr>
          <w:rFonts w:hint="eastAsia" w:ascii="宋体" w:hAnsi="宋体" w:cs="宋体"/>
          <w:b w:val="0"/>
          <w:sz w:val="24"/>
          <w:szCs w:val="24"/>
        </w:rPr>
      </w:pPr>
      <w:r>
        <w:rPr>
          <w:rFonts w:hint="eastAsia" w:ascii="宋体" w:hAnsi="宋体" w:cs="宋体"/>
          <w:sz w:val="24"/>
          <w:szCs w:val="24"/>
        </w:rPr>
        <w:t xml:space="preserve">★</w:t>
      </w:r>
      <w:r>
        <w:rPr>
          <w:rFonts w:hint="eastAsia" w:ascii="宋体" w:hAnsi="宋体" w:cs="宋体"/>
          <w:b w:val="0"/>
          <w:sz w:val="24"/>
          <w:szCs w:val="24"/>
        </w:rPr>
        <w:t xml:space="preserve">注：1、</w:t>
      </w:r>
      <w:r>
        <w:rPr>
          <w:rFonts w:hint="eastAsia" w:ascii="宋体" w:hAnsi="宋体" w:eastAsia="宋体" w:cs="宋体"/>
          <w:b w:val="0"/>
          <w:bCs w:val="0"/>
          <w:sz w:val="24"/>
          <w:szCs w:val="24"/>
        </w:rPr>
        <w:t xml:space="preserve">投标报价采用工程量清单格式计价，由投标人根据自身设计图纸自行编制，报价明细用表应符合建设工程工程量清单计价规范GB50500-2013标准及市政公用工程工程量计算规范要求。2、投标报价表格应至少包括：封-3投标总价封面、扉-3投标总价扉页、表-01总说明、表-04单位工程投标报价汇总表、表-08分部分项工程和单价措施项目清单与计价表、表-09综合单价分析表、表-11总价措施项目与计价表、表-12</w:t>
      </w:r>
      <w:r>
        <w:rPr>
          <w:rFonts w:hint="eastAsia" w:ascii="宋体" w:hAnsi="宋体" w:eastAsia="宋体" w:cs="宋体"/>
          <w:b w:val="0"/>
          <w:bCs w:val="0"/>
          <w:sz w:val="24"/>
          <w:szCs w:val="24"/>
          <w:lang w:val="en-US" w:eastAsia="zh-CN"/>
        </w:rPr>
        <w:t xml:space="preserve">其他项目清单与计价汇总表（表-12-1、表-12-2</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表-12-3、表-12-4、表-12-5）、</w:t>
      </w:r>
      <w:r>
        <w:rPr>
          <w:rFonts w:hint="eastAsia" w:ascii="宋体" w:hAnsi="宋体" w:eastAsia="宋体" w:cs="宋体"/>
          <w:b w:val="0"/>
          <w:bCs w:val="0"/>
          <w:sz w:val="24"/>
          <w:szCs w:val="24"/>
        </w:rPr>
        <w:t xml:space="preserve">表-13</w:t>
      </w:r>
      <w:r>
        <w:rPr>
          <w:rFonts w:hint="eastAsia" w:ascii="宋体" w:hAnsi="宋体" w:eastAsia="宋体" w:cs="宋体"/>
          <w:b w:val="0"/>
          <w:bCs w:val="0"/>
          <w:sz w:val="24"/>
          <w:szCs w:val="24"/>
          <w:lang w:val="en-US" w:eastAsia="zh-CN"/>
        </w:rPr>
        <w:t xml:space="preserve">规费、税金项目清单与计价表</w:t>
      </w:r>
      <w:r>
        <w:rPr>
          <w:rFonts w:hint="eastAsia" w:ascii="宋体" w:hAnsi="宋体" w:eastAsia="宋体" w:cs="宋体"/>
          <w:b w:val="0"/>
          <w:bCs w:val="0"/>
          <w:sz w:val="24"/>
          <w:szCs w:val="24"/>
        </w:rPr>
        <w:t xml:space="preserve">、表-21</w:t>
      </w:r>
      <w:r>
        <w:rPr>
          <w:rFonts w:hint="eastAsia" w:ascii="宋体" w:hAnsi="宋体" w:eastAsia="宋体" w:cs="宋体"/>
          <w:b w:val="0"/>
          <w:bCs w:val="0"/>
          <w:sz w:val="24"/>
          <w:szCs w:val="24"/>
          <w:lang w:val="en-US" w:eastAsia="zh-CN"/>
        </w:rPr>
        <w:t xml:space="preserve">承包人提供主要材料和工程设备一览表</w:t>
      </w:r>
      <w:r>
        <w:rPr>
          <w:rFonts w:hint="eastAsia" w:ascii="宋体" w:hAnsi="宋体" w:eastAsia="宋体" w:cs="宋体"/>
          <w:b w:val="0"/>
          <w:bCs w:val="0"/>
          <w:sz w:val="24"/>
          <w:szCs w:val="24"/>
        </w:rPr>
        <w:t xml:space="preserve">。未按上述要求提供工程量清单报价的作无效标处理。</w:t>
      </w:r>
      <w:r>
        <w:rPr>
          <w:rFonts w:hint="eastAsia" w:ascii="宋体" w:hAnsi="宋体" w:cs="宋体"/>
          <w:b w:val="0"/>
          <w:sz w:val="24"/>
          <w:szCs w:val="24"/>
        </w:rPr>
      </w:r>
      <w:r/>
    </w:p>
    <w:p>
      <w:pPr>
        <w:pStyle w:val="674"/>
        <w:ind w:firstLine="640"/>
        <w:jc w:val="center"/>
        <w:spacing w:line="520" w:lineRule="exact"/>
        <w:rPr>
          <w:rFonts w:eastAsia="方正仿宋_GBK"/>
          <w:sz w:val="32"/>
          <w:szCs w:val="32"/>
        </w:rPr>
      </w:pPr>
      <w:r>
        <w:rPr>
          <w:rFonts w:hint="eastAsia" w:eastAsia="方正仿宋_GBK"/>
          <w:sz w:val="32"/>
          <w:szCs w:val="32"/>
        </w:rPr>
        <w:t xml:space="preserve">部分重点设计参数计算过程说明（评分用）</w:t>
      </w:r>
      <w:r>
        <w:rPr>
          <w:rFonts w:eastAsia="方正仿宋_GBK"/>
          <w:sz w:val="32"/>
          <w:szCs w:val="32"/>
        </w:rPr>
      </w:r>
      <w:r/>
    </w:p>
    <w:p>
      <w:pPr>
        <w:pStyle w:val="706"/>
        <w:rPr>
          <w:rFonts w:eastAsia="宋体"/>
          <w:sz w:val="21"/>
          <w:szCs w:val="24"/>
        </w:rPr>
      </w:pPr>
      <w:r>
        <w:rPr>
          <w:rFonts w:eastAsia="宋体"/>
          <w:sz w:val="21"/>
          <w:szCs w:val="24"/>
        </w:rPr>
      </w:r>
      <w:r/>
    </w:p>
    <w:tbl>
      <w:tblPr>
        <w:tblW w:w="51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077"/>
        <w:gridCol w:w="1019"/>
        <w:gridCol w:w="5047"/>
        <w:gridCol w:w="1011"/>
      </w:tblGrid>
      <w:tr>
        <w:trPr>
          <w:cantSplit/>
          <w:trHeight w:val="392" w:hRule="exact"/>
          <w:tblHeader/>
        </w:trPr>
        <w:tc>
          <w:tcPr>
            <w:tcW w:w="473" w:type="dxa"/>
            <w:vAlign w:val="center"/>
            <w:textDirection w:val="lrTb"/>
            <w:noWrap w:val="false"/>
          </w:tcPr>
          <w:p>
            <w:pPr>
              <w:pStyle w:val="674"/>
              <w:jc w:val="center"/>
              <w:spacing w:line="340" w:lineRule="exact"/>
              <w:widowControl/>
              <w:rPr>
                <w:rFonts w:ascii="宋体" w:hAnsi="宋体" w:cs="宋体"/>
                <w:b/>
                <w:szCs w:val="24"/>
              </w:rPr>
            </w:pPr>
            <w:r>
              <w:rPr>
                <w:rFonts w:hint="eastAsia" w:ascii="宋体" w:hAnsi="宋体" w:cs="宋体"/>
                <w:b/>
              </w:rPr>
              <w:t xml:space="preserve">序号</w:t>
            </w:r>
            <w:r>
              <w:rPr>
                <w:rFonts w:ascii="宋体" w:hAnsi="宋体" w:cs="宋体"/>
                <w:b/>
                <w:szCs w:val="24"/>
              </w:rPr>
            </w:r>
            <w:r/>
          </w:p>
        </w:tc>
        <w:tc>
          <w:tcPr>
            <w:tcW w:w="1027" w:type="dxa"/>
            <w:vAlign w:val="center"/>
            <w:textDirection w:val="lrTb"/>
            <w:noWrap w:val="false"/>
          </w:tcPr>
          <w:p>
            <w:pPr>
              <w:pStyle w:val="674"/>
              <w:jc w:val="center"/>
              <w:spacing w:line="340" w:lineRule="exact"/>
              <w:widowControl/>
              <w:rPr>
                <w:rFonts w:ascii="宋体" w:hAnsi="宋体" w:cs="宋体"/>
                <w:b/>
                <w:szCs w:val="24"/>
              </w:rPr>
            </w:pPr>
            <w:r>
              <w:rPr>
                <w:rFonts w:hint="eastAsia" w:ascii="宋体" w:hAnsi="宋体" w:cs="宋体"/>
                <w:b/>
              </w:rPr>
              <w:t xml:space="preserve">项目</w:t>
            </w:r>
            <w:r>
              <w:rPr>
                <w:rFonts w:ascii="宋体" w:hAnsi="宋体" w:cs="宋体"/>
                <w:b/>
                <w:szCs w:val="24"/>
              </w:rPr>
            </w:r>
            <w:r/>
          </w:p>
        </w:tc>
        <w:tc>
          <w:tcPr>
            <w:tcW w:w="504" w:type="dxa"/>
            <w:vAlign w:val="center"/>
            <w:textDirection w:val="lrTb"/>
            <w:noWrap w:val="false"/>
          </w:tcPr>
          <w:p>
            <w:pPr>
              <w:pStyle w:val="674"/>
              <w:jc w:val="center"/>
              <w:spacing w:line="340" w:lineRule="exact"/>
              <w:widowControl/>
              <w:rPr>
                <w:rFonts w:ascii="宋体" w:hAnsi="宋体" w:cs="宋体"/>
                <w:b/>
                <w:szCs w:val="24"/>
              </w:rPr>
            </w:pPr>
            <w:r>
              <w:rPr>
                <w:rFonts w:hint="eastAsia" w:ascii="宋体" w:hAnsi="宋体" w:cs="宋体"/>
                <w:b/>
              </w:rPr>
              <w:t xml:space="preserve">单位</w:t>
            </w:r>
            <w:r>
              <w:rPr>
                <w:rFonts w:ascii="宋体" w:hAnsi="宋体" w:cs="宋体"/>
                <w:b/>
                <w:szCs w:val="24"/>
              </w:rPr>
            </w:r>
            <w:r/>
          </w:p>
        </w:tc>
        <w:tc>
          <w:tcPr>
            <w:tcW w:w="2496" w:type="dxa"/>
            <w:vAlign w:val="center"/>
            <w:textDirection w:val="lrTb"/>
            <w:noWrap w:val="false"/>
          </w:tcPr>
          <w:p>
            <w:pPr>
              <w:pStyle w:val="674"/>
              <w:jc w:val="center"/>
              <w:spacing w:line="340" w:lineRule="exact"/>
              <w:widowControl/>
              <w:rPr>
                <w:rFonts w:ascii="宋体" w:hAnsi="宋体" w:cs="宋体"/>
                <w:b/>
                <w:szCs w:val="24"/>
              </w:rPr>
            </w:pPr>
            <w:r>
              <w:rPr>
                <w:rFonts w:hint="eastAsia" w:ascii="宋体" w:hAnsi="宋体" w:cs="宋体"/>
                <w:b/>
              </w:rPr>
              <w:t xml:space="preserve">计算过程</w:t>
            </w:r>
            <w:r>
              <w:rPr>
                <w:rFonts w:ascii="宋体" w:hAnsi="宋体" w:cs="宋体"/>
                <w:b/>
                <w:szCs w:val="24"/>
              </w:rPr>
            </w:r>
            <w:r/>
          </w:p>
        </w:tc>
        <w:tc>
          <w:tcPr>
            <w:tcW w:w="500" w:type="dxa"/>
            <w:vAlign w:val="center"/>
            <w:textDirection w:val="lrTb"/>
            <w:noWrap w:val="false"/>
          </w:tcPr>
          <w:p>
            <w:pPr>
              <w:pStyle w:val="674"/>
              <w:jc w:val="center"/>
              <w:spacing w:line="340" w:lineRule="exact"/>
              <w:widowControl/>
              <w:rPr>
                <w:rFonts w:ascii="宋体" w:hAnsi="宋体" w:cs="宋体"/>
                <w:b/>
                <w:szCs w:val="24"/>
              </w:rPr>
            </w:pPr>
            <w:r>
              <w:rPr>
                <w:rFonts w:hint="eastAsia" w:ascii="宋体" w:hAnsi="宋体" w:cs="宋体"/>
                <w:b/>
              </w:rPr>
              <w:t xml:space="preserve">计算结果</w:t>
            </w:r>
            <w:r>
              <w:rPr>
                <w:rFonts w:ascii="宋体" w:hAnsi="宋体" w:cs="宋体"/>
                <w:b/>
                <w:szCs w:val="24"/>
              </w:rPr>
            </w:r>
            <w:r/>
          </w:p>
        </w:tc>
      </w:tr>
      <w:tr>
        <w:trPr>
          <w:cantSplit/>
          <w:trHeight w:val="2391" w:hRule="exact"/>
        </w:trPr>
        <w:tc>
          <w:tcPr>
            <w:tcW w:w="473" w:type="dxa"/>
            <w:vAlign w:val="center"/>
            <w:textDirection w:val="lrTb"/>
            <w:noWrap w:val="false"/>
          </w:tcPr>
          <w:p>
            <w:pPr>
              <w:pStyle w:val="674"/>
              <w:jc w:val="center"/>
              <w:spacing w:line="340" w:lineRule="exact"/>
              <w:widowControl/>
              <w:rPr>
                <w:rFonts w:ascii="宋体" w:hAnsi="宋体" w:cs="宋体"/>
                <w:szCs w:val="24"/>
              </w:rPr>
            </w:pPr>
            <w:r>
              <w:rPr>
                <w:rFonts w:hint="eastAsia" w:ascii="宋体" w:hAnsi="宋体" w:cs="宋体"/>
              </w:rPr>
              <w:t xml:space="preserve">1</w:t>
            </w:r>
            <w:r>
              <w:rPr>
                <w:rFonts w:ascii="宋体" w:hAnsi="宋体" w:cs="宋体"/>
                <w:szCs w:val="24"/>
              </w:rPr>
            </w:r>
            <w:r/>
          </w:p>
        </w:tc>
        <w:tc>
          <w:tcPr>
            <w:tcW w:w="1027" w:type="dxa"/>
            <w:vAlign w:val="center"/>
            <w:textDirection w:val="lrTb"/>
            <w:noWrap w:val="false"/>
          </w:tcPr>
          <w:p>
            <w:pPr>
              <w:pStyle w:val="674"/>
              <w:jc w:val="center"/>
              <w:spacing w:line="340" w:lineRule="exact"/>
              <w:widowControl/>
              <w:rPr>
                <w:rFonts w:ascii="宋体" w:hAnsi="宋体" w:cs="宋体"/>
                <w:szCs w:val="24"/>
              </w:rPr>
            </w:pPr>
            <w:r>
              <w:rPr>
                <w:rFonts w:hint="eastAsia" w:ascii="宋体" w:hAnsi="宋体" w:cs="宋体"/>
              </w:rPr>
              <w:t xml:space="preserve">AAO生化池有效容积</w:t>
            </w:r>
            <w:r>
              <w:rPr>
                <w:rFonts w:ascii="宋体" w:hAnsi="宋体" w:cs="宋体"/>
                <w:szCs w:val="24"/>
              </w:rPr>
            </w:r>
            <w:r/>
          </w:p>
          <w:p>
            <w:pPr>
              <w:pStyle w:val="674"/>
              <w:jc w:val="center"/>
              <w:spacing w:line="340" w:lineRule="exact"/>
              <w:widowControl/>
              <w:rPr>
                <w:rFonts w:ascii="宋体" w:hAnsi="宋体" w:cs="宋体"/>
                <w:szCs w:val="24"/>
              </w:rPr>
            </w:pPr>
            <w:r>
              <w:rPr>
                <w:rFonts w:hint="eastAsia" w:ascii="宋体" w:hAnsi="宋体" w:cs="宋体"/>
              </w:rPr>
              <w:t xml:space="preserve">（V</w:t>
            </w:r>
            <w:r>
              <w:rPr>
                <w:rFonts w:hint="eastAsia" w:ascii="宋体" w:hAnsi="宋体" w:cs="宋体"/>
                <w:vertAlign w:val="subscript"/>
              </w:rPr>
              <w:t xml:space="preserve">有效</w:t>
            </w:r>
            <w:r>
              <w:rPr>
                <w:rFonts w:hint="eastAsia" w:ascii="宋体" w:hAnsi="宋体" w:cs="宋体"/>
              </w:rPr>
              <w:t xml:space="preserve">）</w:t>
            </w:r>
            <w:r>
              <w:rPr>
                <w:rFonts w:ascii="宋体" w:hAnsi="宋体" w:cs="宋体"/>
                <w:szCs w:val="24"/>
              </w:rPr>
            </w:r>
            <w:r/>
          </w:p>
        </w:tc>
        <w:tc>
          <w:tcPr>
            <w:tcW w:w="504" w:type="dxa"/>
            <w:vAlign w:val="center"/>
            <w:textDirection w:val="lrTb"/>
            <w:noWrap w:val="false"/>
          </w:tcPr>
          <w:p>
            <w:pPr>
              <w:pStyle w:val="674"/>
              <w:jc w:val="center"/>
              <w:spacing w:line="340" w:lineRule="exact"/>
              <w:widowControl/>
              <w:rPr>
                <w:rFonts w:ascii="Calibri" w:hAnsi="Calibri"/>
                <w:szCs w:val="24"/>
              </w:rPr>
            </w:pPr>
            <w:r>
              <w:rPr>
                <w:rFonts w:hint="eastAsia" w:ascii="宋体" w:hAnsi="宋体" w:cs="宋体"/>
              </w:rPr>
              <w:t xml:space="preserve">m</w:t>
            </w:r>
            <w:r>
              <w:rPr>
                <w:rFonts w:hint="eastAsia" w:ascii="宋体" w:hAnsi="宋体" w:cs="宋体"/>
                <w:vertAlign w:val="superscript"/>
              </w:rPr>
              <w:t xml:space="preserve">3</w:t>
            </w:r>
            <w:r>
              <w:rPr>
                <w:rFonts w:ascii="Calibri" w:hAnsi="Calibri"/>
                <w:szCs w:val="24"/>
              </w:rPr>
            </w:r>
            <w:r/>
          </w:p>
        </w:tc>
        <w:tc>
          <w:tcPr>
            <w:tcW w:w="2496" w:type="dxa"/>
            <w:vAlign w:val="center"/>
            <w:textDirection w:val="lrTb"/>
            <w:noWrap w:val="false"/>
          </w:tcPr>
          <w:p>
            <w:pPr>
              <w:pStyle w:val="674"/>
              <w:jc w:val="left"/>
              <w:spacing w:line="340" w:lineRule="exact"/>
              <w:widowControl/>
              <w:rPr>
                <w:rFonts w:ascii="宋体" w:hAnsi="宋体" w:cs="宋体"/>
                <w:color w:val="000000"/>
                <w:szCs w:val="24"/>
              </w:rPr>
            </w:pPr>
            <w:r>
              <w:rPr>
                <w:rFonts w:hint="eastAsia" w:ascii="宋体" w:hAnsi="宋体" w:cs="宋体"/>
                <w:color w:val="000000"/>
              </w:rPr>
              <w:t xml:space="preserve">示例：</w:t>
            </w:r>
            <w:r>
              <w:rPr>
                <w:rFonts w:ascii="宋体" w:hAnsi="宋体" w:cs="宋体"/>
                <w:color w:val="000000"/>
                <w:szCs w:val="24"/>
              </w:rPr>
            </w:r>
            <w:r/>
          </w:p>
          <w:p>
            <w:pPr>
              <w:pStyle w:val="674"/>
              <w:jc w:val="left"/>
              <w:spacing w:line="340" w:lineRule="exact"/>
              <w:widowControl/>
              <w:rPr>
                <w:rFonts w:hint="eastAsia" w:ascii="宋体" w:hAnsi="宋体" w:cs="宋体"/>
                <w:color w:val="000000"/>
              </w:rPr>
            </w:pPr>
            <w:r>
              <w:rPr>
                <w:rFonts w:hint="eastAsia" w:ascii="宋体" w:hAnsi="宋体" w:cs="宋体"/>
                <w:color w:val="000000"/>
              </w:rPr>
              <w:t xml:space="preserve">V</w:t>
            </w:r>
            <w:r>
              <w:rPr>
                <w:rFonts w:hint="eastAsia" w:ascii="宋体" w:hAnsi="宋体" w:cs="宋体"/>
                <w:color w:val="000000"/>
                <w:vertAlign w:val="subscript"/>
              </w:rPr>
              <w:t xml:space="preserve">厌氧</w:t>
            </w:r>
            <w:r>
              <w:rPr>
                <w:rFonts w:hint="eastAsia" w:ascii="宋体" w:hAnsi="宋体" w:cs="宋体"/>
                <w:color w:val="000000"/>
              </w:rPr>
              <w:t xml:space="preserve">=L×B×H=</w:t>
            </w:r>
            <w:r>
              <w:rPr>
                <w:rFonts w:hint="eastAsia" w:ascii="宋体" w:hAnsi="宋体" w:cs="宋体"/>
                <w:color w:val="000000"/>
              </w:rPr>
            </w:r>
            <w:r/>
          </w:p>
          <w:p>
            <w:pPr>
              <w:pStyle w:val="674"/>
              <w:jc w:val="left"/>
              <w:spacing w:line="340" w:lineRule="exact"/>
              <w:widowControl/>
              <w:rPr>
                <w:rFonts w:hint="eastAsia" w:ascii="宋体" w:hAnsi="宋体" w:cs="宋体"/>
                <w:color w:val="000000"/>
                <w:vertAlign w:val="superscript"/>
              </w:rPr>
            </w:pPr>
            <w:r>
              <w:rPr>
                <w:rFonts w:hint="eastAsia" w:ascii="宋体" w:hAnsi="宋体" w:cs="宋体"/>
                <w:color w:val="000000"/>
              </w:rPr>
              <w:t xml:space="preserve">   10×6×3=180m</w:t>
            </w:r>
            <w:r>
              <w:rPr>
                <w:rFonts w:hint="eastAsia" w:ascii="宋体" w:hAnsi="宋体" w:cs="宋体"/>
                <w:color w:val="000000"/>
                <w:vertAlign w:val="superscript"/>
              </w:rPr>
              <w:t xml:space="preserve">3</w:t>
            </w:r>
            <w:r>
              <w:rPr>
                <w:rFonts w:hint="eastAsia" w:ascii="宋体" w:hAnsi="宋体" w:cs="宋体"/>
                <w:color w:val="000000"/>
                <w:vertAlign w:val="superscript"/>
              </w:rPr>
            </w:r>
            <w:r/>
          </w:p>
          <w:p>
            <w:pPr>
              <w:pStyle w:val="674"/>
              <w:jc w:val="left"/>
              <w:spacing w:line="340" w:lineRule="exact"/>
              <w:widowControl/>
              <w:rPr>
                <w:rFonts w:hint="eastAsia" w:ascii="宋体" w:hAnsi="宋体" w:cs="宋体"/>
                <w:color w:val="000000"/>
              </w:rPr>
            </w:pPr>
            <w:r>
              <w:rPr>
                <w:rFonts w:hint="eastAsia" w:ascii="宋体" w:hAnsi="宋体" w:cs="宋体"/>
                <w:color w:val="000000"/>
              </w:rPr>
              <w:t xml:space="preserve">V</w:t>
            </w:r>
            <w:r>
              <w:rPr>
                <w:rFonts w:hint="eastAsia" w:ascii="宋体" w:hAnsi="宋体" w:cs="宋体"/>
                <w:color w:val="000000"/>
                <w:vertAlign w:val="subscript"/>
              </w:rPr>
              <w:t xml:space="preserve">缺氧</w:t>
            </w:r>
            <w:r>
              <w:rPr>
                <w:rFonts w:hint="eastAsia" w:ascii="宋体" w:hAnsi="宋体" w:cs="宋体"/>
                <w:color w:val="000000"/>
              </w:rPr>
              <w:t xml:space="preserve">=L×B×H=</w:t>
            </w:r>
            <w:r>
              <w:rPr>
                <w:rFonts w:hint="eastAsia" w:ascii="宋体" w:hAnsi="宋体" w:cs="宋体"/>
                <w:color w:val="000000"/>
              </w:rPr>
            </w:r>
            <w:r/>
          </w:p>
          <w:p>
            <w:pPr>
              <w:pStyle w:val="674"/>
              <w:jc w:val="left"/>
              <w:spacing w:line="340" w:lineRule="exact"/>
              <w:widowControl/>
              <w:rPr>
                <w:rFonts w:hint="eastAsia" w:ascii="宋体" w:hAnsi="宋体" w:cs="宋体"/>
                <w:color w:val="000000"/>
                <w:vertAlign w:val="superscript"/>
              </w:rPr>
            </w:pPr>
            <w:r>
              <w:rPr>
                <w:rFonts w:hint="eastAsia" w:ascii="宋体" w:hAnsi="宋体" w:cs="宋体"/>
                <w:color w:val="000000"/>
              </w:rPr>
              <w:t xml:space="preserve">   20×6×3=360m</w:t>
            </w:r>
            <w:r>
              <w:rPr>
                <w:rFonts w:hint="eastAsia" w:ascii="宋体" w:hAnsi="宋体" w:cs="宋体"/>
                <w:color w:val="000000"/>
                <w:vertAlign w:val="superscript"/>
              </w:rPr>
              <w:t xml:space="preserve">3</w:t>
            </w:r>
            <w:r>
              <w:rPr>
                <w:rFonts w:hint="eastAsia" w:ascii="宋体" w:hAnsi="宋体" w:cs="宋体"/>
                <w:color w:val="000000"/>
                <w:vertAlign w:val="superscript"/>
              </w:rPr>
            </w:r>
            <w:r/>
          </w:p>
          <w:p>
            <w:pPr>
              <w:pStyle w:val="674"/>
              <w:jc w:val="left"/>
              <w:spacing w:line="340" w:lineRule="exact"/>
              <w:widowControl/>
              <w:rPr>
                <w:rFonts w:hint="eastAsia" w:ascii="宋体" w:hAnsi="宋体" w:cs="宋体"/>
                <w:color w:val="000000"/>
              </w:rPr>
            </w:pPr>
            <w:r>
              <w:rPr>
                <w:rFonts w:hint="eastAsia" w:ascii="宋体" w:hAnsi="宋体" w:cs="宋体"/>
                <w:color w:val="000000"/>
              </w:rPr>
              <w:t xml:space="preserve">V</w:t>
            </w:r>
            <w:r>
              <w:rPr>
                <w:rFonts w:hint="eastAsia" w:ascii="宋体" w:hAnsi="宋体" w:cs="宋体"/>
                <w:color w:val="000000"/>
                <w:vertAlign w:val="subscript"/>
              </w:rPr>
              <w:t xml:space="preserve">好氧</w:t>
            </w:r>
            <w:r>
              <w:rPr>
                <w:rFonts w:hint="eastAsia" w:ascii="宋体" w:hAnsi="宋体" w:cs="宋体"/>
                <w:color w:val="000000"/>
              </w:rPr>
              <w:t xml:space="preserve">=L×B×H=</w:t>
            </w:r>
            <w:r>
              <w:rPr>
                <w:rFonts w:hint="eastAsia" w:ascii="宋体" w:hAnsi="宋体" w:cs="宋体"/>
                <w:color w:val="000000"/>
              </w:rPr>
            </w:r>
            <w:r/>
          </w:p>
          <w:p>
            <w:pPr>
              <w:pStyle w:val="674"/>
              <w:jc w:val="left"/>
              <w:spacing w:line="340" w:lineRule="exact"/>
              <w:widowControl/>
              <w:rPr>
                <w:rFonts w:hint="eastAsia" w:ascii="宋体" w:hAnsi="宋体" w:cs="宋体"/>
                <w:color w:val="000000"/>
                <w:vertAlign w:val="superscript"/>
              </w:rPr>
            </w:pPr>
            <w:r>
              <w:rPr>
                <w:rFonts w:hint="eastAsia" w:ascii="宋体" w:hAnsi="宋体" w:cs="宋体"/>
                <w:color w:val="000000"/>
              </w:rPr>
              <w:t xml:space="preserve">   30×6×3=540m</w:t>
            </w:r>
            <w:r>
              <w:rPr>
                <w:rFonts w:hint="eastAsia" w:ascii="宋体" w:hAnsi="宋体" w:cs="宋体"/>
                <w:color w:val="000000"/>
                <w:vertAlign w:val="superscript"/>
              </w:rPr>
              <w:t xml:space="preserve">3</w:t>
            </w:r>
            <w:r>
              <w:rPr>
                <w:rFonts w:hint="eastAsia" w:ascii="宋体" w:hAnsi="宋体" w:cs="宋体"/>
                <w:color w:val="000000"/>
                <w:vertAlign w:val="superscript"/>
              </w:rPr>
            </w:r>
            <w:r/>
          </w:p>
          <w:p>
            <w:pPr>
              <w:pStyle w:val="706"/>
              <w:jc w:val="left"/>
              <w:spacing w:line="340" w:lineRule="exact"/>
              <w:rPr>
                <w:rFonts w:hint="eastAsia" w:ascii="Times New Roman" w:hAnsi="Times New Roman"/>
                <w:color w:val="000000"/>
              </w:rPr>
            </w:pPr>
            <w:r>
              <w:rPr>
                <w:color w:val="000000"/>
              </w:rPr>
              <w:t xml:space="preserve">V</w:t>
            </w:r>
            <w:r>
              <w:rPr>
                <w:rFonts w:hint="eastAsia"/>
                <w:color w:val="000000"/>
                <w:vertAlign w:val="subscript"/>
              </w:rPr>
              <w:t xml:space="preserve">有效</w:t>
            </w:r>
            <w:r>
              <w:rPr>
                <w:color w:val="000000"/>
              </w:rPr>
              <w:t xml:space="preserve">=</w:t>
            </w:r>
            <w:r>
              <w:rPr>
                <w:rFonts w:hint="eastAsia" w:ascii="宋体" w:hAnsi="宋体" w:cs="宋体"/>
                <w:color w:val="000000"/>
              </w:rPr>
              <w:t xml:space="preserve">V</w:t>
            </w:r>
            <w:r>
              <w:rPr>
                <w:rFonts w:hint="eastAsia" w:ascii="宋体" w:hAnsi="宋体" w:cs="宋体"/>
                <w:color w:val="000000"/>
                <w:vertAlign w:val="subscript"/>
              </w:rPr>
              <w:t xml:space="preserve">厌氧</w:t>
            </w:r>
            <w:r>
              <w:rPr>
                <w:rFonts w:hint="eastAsia" w:ascii="宋体" w:hAnsi="宋体" w:cs="宋体"/>
                <w:color w:val="000000"/>
              </w:rPr>
              <w:t xml:space="preserve">+V</w:t>
            </w:r>
            <w:r>
              <w:rPr>
                <w:rFonts w:hint="eastAsia" w:ascii="宋体" w:hAnsi="宋体" w:cs="宋体"/>
                <w:color w:val="000000"/>
                <w:vertAlign w:val="subscript"/>
              </w:rPr>
              <w:t xml:space="preserve">缺氧</w:t>
            </w:r>
            <w:r>
              <w:rPr>
                <w:rFonts w:hint="eastAsia" w:ascii="宋体" w:hAnsi="宋体" w:cs="宋体"/>
                <w:color w:val="000000"/>
              </w:rPr>
              <w:t xml:space="preserve">+V</w:t>
            </w:r>
            <w:r>
              <w:rPr>
                <w:rFonts w:hint="eastAsia" w:ascii="宋体" w:hAnsi="宋体" w:cs="宋体"/>
                <w:color w:val="000000"/>
                <w:vertAlign w:val="subscript"/>
              </w:rPr>
              <w:t xml:space="preserve">好氧</w:t>
            </w:r>
            <w:r>
              <w:rPr>
                <w:rFonts w:hint="eastAsia" w:ascii="宋体" w:hAnsi="宋体" w:cs="宋体"/>
                <w:color w:val="000000"/>
              </w:rPr>
              <w:t xml:space="preserve">=1080</w:t>
            </w:r>
            <w:r>
              <w:rPr>
                <w:rFonts w:hint="eastAsia" w:ascii="Times New Roman" w:hAnsi="Times New Roman"/>
                <w:color w:val="000000"/>
              </w:rPr>
            </w:r>
            <w:r/>
          </w:p>
          <w:p>
            <w:pPr>
              <w:pStyle w:val="706"/>
              <w:jc w:val="left"/>
              <w:spacing w:line="340" w:lineRule="exact"/>
              <w:rPr>
                <w:color w:val="000000"/>
              </w:rPr>
            </w:pPr>
            <w:r>
              <w:rPr>
                <w:color w:val="000000"/>
              </w:rPr>
            </w:r>
            <w:r/>
          </w:p>
          <w:p>
            <w:pPr>
              <w:pStyle w:val="706"/>
              <w:jc w:val="left"/>
              <w:spacing w:line="340" w:lineRule="exact"/>
              <w:rPr>
                <w:color w:val="000000"/>
              </w:rPr>
            </w:pPr>
            <w:r>
              <w:rPr>
                <w:color w:val="000000"/>
              </w:rPr>
            </w:r>
            <w:r/>
          </w:p>
          <w:p>
            <w:pPr>
              <w:pStyle w:val="706"/>
              <w:jc w:val="left"/>
              <w:spacing w:line="340" w:lineRule="exact"/>
              <w:rPr>
                <w:color w:val="000000"/>
              </w:rPr>
            </w:pPr>
            <w:r>
              <w:rPr>
                <w:color w:val="000000"/>
              </w:rPr>
            </w:r>
            <w:r/>
          </w:p>
        </w:tc>
        <w:tc>
          <w:tcPr>
            <w:tcW w:w="500" w:type="dxa"/>
            <w:vAlign w:val="center"/>
            <w:textDirection w:val="lrTb"/>
            <w:noWrap w:val="false"/>
          </w:tcPr>
          <w:p>
            <w:pPr>
              <w:pStyle w:val="674"/>
              <w:jc w:val="center"/>
              <w:spacing w:line="340" w:lineRule="exact"/>
              <w:widowControl/>
              <w:rPr>
                <w:rFonts w:ascii="宋体" w:hAnsi="宋体" w:cs="宋体"/>
                <w:color w:val="000000"/>
                <w:szCs w:val="24"/>
              </w:rPr>
            </w:pPr>
            <w:r>
              <w:rPr>
                <w:rFonts w:hint="eastAsia" w:ascii="宋体" w:hAnsi="宋体" w:cs="宋体"/>
                <w:color w:val="000000"/>
              </w:rPr>
              <w:t xml:space="preserve">1080</w:t>
            </w:r>
            <w:r>
              <w:rPr>
                <w:rFonts w:ascii="宋体" w:hAnsi="宋体" w:cs="宋体"/>
                <w:color w:val="000000"/>
                <w:szCs w:val="24"/>
              </w:rPr>
            </w:r>
            <w:r/>
          </w:p>
        </w:tc>
      </w:tr>
      <w:tr>
        <w:trPr>
          <w:cantSplit/>
          <w:trHeight w:val="1232" w:hRule="exact"/>
        </w:trPr>
        <w:tc>
          <w:tcPr>
            <w:tcW w:w="473" w:type="dxa"/>
            <w:vAlign w:val="center"/>
            <w:textDirection w:val="lrTb"/>
            <w:noWrap w:val="false"/>
          </w:tcPr>
          <w:p>
            <w:pPr>
              <w:pStyle w:val="674"/>
              <w:jc w:val="center"/>
              <w:spacing w:line="340" w:lineRule="exact"/>
              <w:widowControl/>
              <w:rPr>
                <w:rFonts w:ascii="宋体" w:hAnsi="宋体" w:cs="宋体"/>
                <w:szCs w:val="24"/>
              </w:rPr>
            </w:pPr>
            <w:r>
              <w:rPr>
                <w:rFonts w:hint="eastAsia" w:ascii="宋体" w:hAnsi="宋体" w:cs="宋体"/>
              </w:rPr>
              <w:t xml:space="preserve">2</w:t>
            </w:r>
            <w:r>
              <w:rPr>
                <w:rFonts w:ascii="宋体" w:hAnsi="宋体" w:cs="宋体"/>
                <w:szCs w:val="24"/>
              </w:rPr>
            </w:r>
            <w:r/>
          </w:p>
        </w:tc>
        <w:tc>
          <w:tcPr>
            <w:tcW w:w="1027" w:type="dxa"/>
            <w:vAlign w:val="center"/>
            <w:textDirection w:val="lrTb"/>
            <w:noWrap w:val="false"/>
          </w:tcPr>
          <w:p>
            <w:pPr>
              <w:pStyle w:val="674"/>
              <w:jc w:val="center"/>
              <w:spacing w:line="340" w:lineRule="exact"/>
              <w:widowControl/>
              <w:rPr>
                <w:rFonts w:ascii="宋体" w:hAnsi="宋体" w:cs="宋体"/>
                <w:szCs w:val="24"/>
              </w:rPr>
            </w:pPr>
            <w:r>
              <w:rPr>
                <w:rFonts w:hint="eastAsia" w:ascii="宋体" w:hAnsi="宋体" w:cs="宋体"/>
              </w:rPr>
              <w:t xml:space="preserve">AAO生化池总停留时间</w:t>
            </w:r>
            <w:r>
              <w:rPr>
                <w:rFonts w:ascii="宋体" w:hAnsi="宋体" w:cs="宋体"/>
                <w:szCs w:val="24"/>
              </w:rPr>
            </w:r>
            <w:r/>
          </w:p>
          <w:p>
            <w:pPr>
              <w:pStyle w:val="706"/>
              <w:jc w:val="center"/>
              <w:spacing w:line="340" w:lineRule="exact"/>
            </w:pPr>
            <w:r>
              <w:rPr>
                <w:rFonts w:hint="eastAsia" w:ascii="宋体" w:hAnsi="宋体" w:cs="宋体"/>
              </w:rPr>
              <w:t xml:space="preserve">(HRT）</w:t>
            </w:r>
            <w:r/>
          </w:p>
        </w:tc>
        <w:tc>
          <w:tcPr>
            <w:tcW w:w="504" w:type="dxa"/>
            <w:vAlign w:val="center"/>
            <w:textDirection w:val="lrTb"/>
            <w:noWrap w:val="false"/>
          </w:tcPr>
          <w:p>
            <w:pPr>
              <w:pStyle w:val="674"/>
              <w:jc w:val="center"/>
              <w:spacing w:line="340" w:lineRule="exact"/>
              <w:widowControl/>
              <w:rPr>
                <w:rFonts w:ascii="宋体" w:hAnsi="宋体" w:cs="宋体"/>
                <w:szCs w:val="24"/>
              </w:rPr>
            </w:pPr>
            <w:r>
              <w:rPr>
                <w:rFonts w:hint="eastAsia" w:ascii="宋体" w:hAnsi="宋体" w:cs="宋体"/>
              </w:rPr>
              <w:t xml:space="preserve">h</w:t>
            </w:r>
            <w:r>
              <w:rPr>
                <w:rFonts w:ascii="宋体" w:hAnsi="宋体" w:cs="宋体"/>
                <w:szCs w:val="24"/>
              </w:rPr>
            </w:r>
            <w:r/>
          </w:p>
        </w:tc>
        <w:tc>
          <w:tcPr>
            <w:tcW w:w="2496" w:type="dxa"/>
            <w:vAlign w:val="center"/>
            <w:textDirection w:val="lrTb"/>
            <w:noWrap w:val="false"/>
          </w:tcPr>
          <w:p>
            <w:pPr>
              <w:pStyle w:val="674"/>
              <w:spacing w:line="340" w:lineRule="exact"/>
              <w:widowControl/>
              <w:rPr>
                <w:rFonts w:ascii="宋体" w:hAnsi="宋体" w:cs="宋体"/>
                <w:color w:val="000000"/>
                <w:szCs w:val="24"/>
              </w:rPr>
            </w:pPr>
            <w:r>
              <w:rPr>
                <w:rFonts w:hint="eastAsia" w:ascii="宋体" w:hAnsi="宋体" w:cs="宋体"/>
                <w:color w:val="000000"/>
              </w:rPr>
              <w:t xml:space="preserve">示例：</w:t>
            </w:r>
            <w:r>
              <w:rPr>
                <w:rFonts w:ascii="宋体" w:hAnsi="宋体" w:cs="宋体"/>
                <w:color w:val="000000"/>
                <w:szCs w:val="24"/>
              </w:rPr>
            </w:r>
            <w:r/>
          </w:p>
          <w:p>
            <w:pPr>
              <w:pStyle w:val="674"/>
              <w:spacing w:line="340" w:lineRule="exact"/>
              <w:widowControl/>
              <w:rPr>
                <w:rFonts w:hint="eastAsia" w:ascii="宋体" w:hAnsi="宋体" w:cs="宋体"/>
                <w:color w:val="000000"/>
              </w:rPr>
            </w:pPr>
            <w:r>
              <w:rPr>
                <w:rFonts w:hint="eastAsia" w:ascii="宋体" w:hAnsi="宋体" w:cs="宋体"/>
                <w:color w:val="000000"/>
              </w:rPr>
              <w:t xml:space="preserve">HRT=V</w:t>
            </w:r>
            <w:r>
              <w:rPr>
                <w:rFonts w:hint="eastAsia" w:ascii="宋体" w:hAnsi="宋体" w:cs="宋体"/>
                <w:color w:val="000000"/>
                <w:vertAlign w:val="subscript"/>
              </w:rPr>
              <w:t xml:space="preserve">有效</w:t>
            </w:r>
            <w:r>
              <w:rPr>
                <w:rFonts w:hint="eastAsia" w:ascii="宋体" w:hAnsi="宋体" w:cs="宋体"/>
                <w:color w:val="000000"/>
              </w:rPr>
              <w:t xml:space="preserve">÷Q×24</w:t>
            </w:r>
            <w:r>
              <w:rPr>
                <w:rFonts w:hint="eastAsia" w:ascii="宋体" w:hAnsi="宋体" w:cs="宋体"/>
                <w:color w:val="000000"/>
              </w:rPr>
            </w:r>
            <w:r/>
          </w:p>
          <w:p>
            <w:pPr>
              <w:pStyle w:val="674"/>
              <w:spacing w:line="340" w:lineRule="exact"/>
              <w:widowControl/>
              <w:rPr>
                <w:rFonts w:ascii="宋体" w:hAnsi="宋体" w:cs="宋体"/>
                <w:color w:val="000000"/>
                <w:szCs w:val="24"/>
              </w:rPr>
            </w:pPr>
            <w:r>
              <w:rPr>
                <w:rFonts w:hint="eastAsia" w:ascii="宋体" w:hAnsi="宋体" w:cs="宋体"/>
                <w:color w:val="000000"/>
              </w:rPr>
              <w:t xml:space="preserve">=1080÷1500×24=17.28</w:t>
            </w:r>
            <w:r>
              <w:rPr>
                <w:rFonts w:ascii="宋体" w:hAnsi="宋体" w:cs="宋体"/>
                <w:color w:val="000000"/>
                <w:szCs w:val="24"/>
              </w:rPr>
            </w:r>
            <w:r/>
          </w:p>
        </w:tc>
        <w:tc>
          <w:tcPr>
            <w:tcW w:w="500" w:type="dxa"/>
            <w:vAlign w:val="center"/>
            <w:textDirection w:val="lrTb"/>
            <w:noWrap w:val="false"/>
          </w:tcPr>
          <w:p>
            <w:pPr>
              <w:pStyle w:val="674"/>
              <w:jc w:val="center"/>
              <w:spacing w:line="340" w:lineRule="exact"/>
              <w:widowControl/>
              <w:rPr>
                <w:rFonts w:ascii="宋体" w:hAnsi="宋体" w:cs="宋体"/>
                <w:color w:val="000000"/>
                <w:szCs w:val="24"/>
              </w:rPr>
            </w:pPr>
            <w:r>
              <w:rPr>
                <w:rFonts w:hint="eastAsia" w:ascii="宋体" w:hAnsi="宋体" w:cs="宋体"/>
                <w:color w:val="000000"/>
              </w:rPr>
              <w:t xml:space="preserve">17.28</w:t>
            </w:r>
            <w:r>
              <w:rPr>
                <w:rFonts w:ascii="宋体" w:hAnsi="宋体" w:cs="宋体"/>
                <w:color w:val="000000"/>
                <w:szCs w:val="24"/>
              </w:rPr>
            </w:r>
            <w:r/>
          </w:p>
        </w:tc>
      </w:tr>
      <w:tr>
        <w:trPr>
          <w:cantSplit/>
          <w:trHeight w:val="1739" w:hRule="exact"/>
        </w:trPr>
        <w:tc>
          <w:tcPr>
            <w:tcW w:w="473" w:type="dxa"/>
            <w:vAlign w:val="center"/>
            <w:textDirection w:val="lrTb"/>
            <w:noWrap w:val="false"/>
          </w:tcPr>
          <w:p>
            <w:pPr>
              <w:pStyle w:val="674"/>
              <w:jc w:val="center"/>
              <w:spacing w:line="340" w:lineRule="exact"/>
              <w:widowControl/>
              <w:rPr>
                <w:rFonts w:ascii="宋体" w:hAnsi="宋体" w:cs="宋体"/>
                <w:szCs w:val="24"/>
              </w:rPr>
            </w:pPr>
            <w:r>
              <w:rPr>
                <w:rFonts w:hint="eastAsia" w:ascii="宋体" w:hAnsi="宋体" w:cs="宋体"/>
              </w:rPr>
              <w:t xml:space="preserve">3</w:t>
            </w:r>
            <w:r>
              <w:rPr>
                <w:rFonts w:ascii="宋体" w:hAnsi="宋体" w:cs="宋体"/>
                <w:szCs w:val="24"/>
              </w:rPr>
            </w:r>
            <w:r/>
          </w:p>
        </w:tc>
        <w:tc>
          <w:tcPr>
            <w:tcW w:w="1027" w:type="dxa"/>
            <w:vAlign w:val="center"/>
            <w:textDirection w:val="lrTb"/>
            <w:noWrap w:val="false"/>
          </w:tcPr>
          <w:p>
            <w:pPr>
              <w:pStyle w:val="674"/>
              <w:jc w:val="center"/>
              <w:spacing w:line="340" w:lineRule="exact"/>
              <w:widowControl/>
              <w:rPr>
                <w:rFonts w:ascii="宋体" w:hAnsi="宋体" w:cs="宋体"/>
                <w:szCs w:val="24"/>
              </w:rPr>
            </w:pPr>
            <w:r>
              <w:rPr>
                <w:rFonts w:hint="eastAsia" w:ascii="宋体" w:hAnsi="宋体" w:cs="宋体"/>
              </w:rPr>
              <w:t xml:space="preserve">二沉池表面负荷</w:t>
            </w:r>
            <w:r>
              <w:rPr>
                <w:rFonts w:ascii="宋体" w:hAnsi="宋体" w:cs="宋体"/>
                <w:szCs w:val="24"/>
              </w:rPr>
            </w:r>
            <w:r/>
          </w:p>
          <w:p>
            <w:pPr>
              <w:pStyle w:val="706"/>
              <w:jc w:val="center"/>
              <w:spacing w:line="340" w:lineRule="exact"/>
            </w:pPr>
            <w:r>
              <w:rPr>
                <w:rFonts w:hint="eastAsia" w:ascii="宋体" w:hAnsi="宋体" w:cs="宋体"/>
              </w:rPr>
              <w:t xml:space="preserve">（q）</w:t>
            </w:r>
            <w:r/>
          </w:p>
        </w:tc>
        <w:tc>
          <w:tcPr>
            <w:tcW w:w="504" w:type="dxa"/>
            <w:vAlign w:val="center"/>
            <w:textDirection w:val="lrTb"/>
            <w:noWrap w:val="false"/>
          </w:tcPr>
          <w:p>
            <w:pPr>
              <w:pStyle w:val="674"/>
              <w:jc w:val="center"/>
              <w:spacing w:line="340" w:lineRule="exact"/>
              <w:widowControl/>
              <w:rPr>
                <w:rFonts w:ascii="宋体" w:hAnsi="宋体" w:cs="宋体"/>
                <w:szCs w:val="24"/>
              </w:rPr>
            </w:pPr>
            <w:r>
              <w:rPr>
                <w:rFonts w:hint="eastAsia" w:ascii="宋体" w:hAnsi="宋体" w:cs="宋体"/>
              </w:rPr>
              <w:t xml:space="preserve">m</w:t>
            </w:r>
            <w:r>
              <w:rPr>
                <w:rFonts w:hint="eastAsia" w:ascii="宋体" w:hAnsi="宋体" w:cs="宋体"/>
                <w:vertAlign w:val="superscript"/>
              </w:rPr>
              <w:t xml:space="preserve">3</w:t>
            </w:r>
            <w:r>
              <w:rPr>
                <w:rFonts w:hint="eastAsia" w:ascii="宋体" w:hAnsi="宋体" w:cs="宋体"/>
              </w:rPr>
              <w:t xml:space="preserve">/(m</w:t>
            </w:r>
            <w:r>
              <w:rPr>
                <w:rFonts w:hint="eastAsia" w:ascii="宋体" w:hAnsi="宋体" w:cs="宋体"/>
                <w:vertAlign w:val="superscript"/>
              </w:rPr>
              <w:t xml:space="preserve">2</w:t>
            </w:r>
            <w:r>
              <w:rPr>
                <w:rFonts w:hint="eastAsia" w:ascii="宋体" w:hAnsi="宋体" w:cs="宋体"/>
              </w:rPr>
              <w:t xml:space="preserve">·h）</w:t>
            </w:r>
            <w:r>
              <w:rPr>
                <w:rFonts w:ascii="宋体" w:hAnsi="宋体" w:cs="宋体"/>
                <w:szCs w:val="24"/>
              </w:rPr>
            </w:r>
            <w:r/>
          </w:p>
        </w:tc>
        <w:tc>
          <w:tcPr>
            <w:tcW w:w="2496" w:type="dxa"/>
            <w:vAlign w:val="center"/>
            <w:textDirection w:val="lrTb"/>
            <w:noWrap w:val="false"/>
          </w:tcPr>
          <w:p>
            <w:pPr>
              <w:pStyle w:val="674"/>
              <w:spacing w:line="340" w:lineRule="exact"/>
              <w:widowControl/>
              <w:rPr>
                <w:rFonts w:ascii="宋体" w:hAnsi="宋体" w:cs="宋体"/>
                <w:color w:val="000000"/>
                <w:szCs w:val="24"/>
              </w:rPr>
            </w:pPr>
            <w:r>
              <w:rPr>
                <w:rFonts w:hint="eastAsia" w:ascii="宋体" w:hAnsi="宋体" w:cs="宋体"/>
                <w:color w:val="000000"/>
              </w:rPr>
              <w:t xml:space="preserve">示例：</w:t>
            </w:r>
            <w:r>
              <w:rPr>
                <w:rFonts w:ascii="宋体" w:hAnsi="宋体" w:cs="宋体"/>
                <w:color w:val="000000"/>
                <w:szCs w:val="24"/>
              </w:rPr>
            </w:r>
            <w:r/>
          </w:p>
          <w:p>
            <w:pPr>
              <w:pStyle w:val="674"/>
              <w:spacing w:line="340" w:lineRule="exact"/>
              <w:widowControl/>
              <w:rPr>
                <w:rFonts w:hint="eastAsia" w:ascii="宋体" w:hAnsi="宋体" w:cs="宋体"/>
                <w:color w:val="000000"/>
              </w:rPr>
            </w:pPr>
            <w:r>
              <w:rPr>
                <w:rFonts w:hint="eastAsia" w:ascii="宋体" w:hAnsi="宋体" w:cs="宋体"/>
                <w:color w:val="000000"/>
              </w:rPr>
              <w:t xml:space="preserve">q=Q÷(B×L)÷24</w:t>
            </w:r>
            <w:r>
              <w:rPr>
                <w:rFonts w:hint="eastAsia" w:ascii="宋体" w:hAnsi="宋体" w:cs="宋体"/>
                <w:color w:val="000000"/>
              </w:rPr>
            </w:r>
            <w:r/>
          </w:p>
          <w:p>
            <w:pPr>
              <w:pStyle w:val="674"/>
              <w:jc w:val="left"/>
              <w:spacing w:line="340" w:lineRule="exact"/>
              <w:widowControl/>
              <w:rPr>
                <w:rFonts w:hint="eastAsia" w:ascii="宋体" w:hAnsi="宋体" w:cs="宋体"/>
                <w:color w:val="000000"/>
              </w:rPr>
            </w:pPr>
            <w:r>
              <w:rPr>
                <w:rFonts w:hint="eastAsia" w:ascii="宋体" w:hAnsi="宋体" w:cs="宋体"/>
                <w:color w:val="000000"/>
              </w:rPr>
              <w:t xml:space="preserve">=1500÷(3×17.5)÷24</w:t>
            </w:r>
            <w:r>
              <w:rPr>
                <w:rFonts w:hint="eastAsia" w:ascii="宋体" w:hAnsi="宋体" w:cs="宋体"/>
                <w:color w:val="000000"/>
              </w:rPr>
            </w:r>
            <w:r/>
          </w:p>
          <w:p>
            <w:pPr>
              <w:pStyle w:val="674"/>
              <w:jc w:val="left"/>
              <w:spacing w:line="340" w:lineRule="exact"/>
              <w:widowControl/>
              <w:rPr>
                <w:rFonts w:ascii="宋体" w:hAnsi="宋体" w:cs="宋体"/>
                <w:color w:val="000000"/>
                <w:szCs w:val="24"/>
              </w:rPr>
            </w:pPr>
            <w:r>
              <w:rPr>
                <w:rFonts w:hint="eastAsia" w:ascii="宋体" w:hAnsi="宋体" w:cs="宋体"/>
                <w:color w:val="000000"/>
              </w:rPr>
              <w:t xml:space="preserve">=1.19</w:t>
            </w:r>
            <w:r>
              <w:rPr>
                <w:rFonts w:ascii="宋体" w:hAnsi="宋体" w:cs="宋体"/>
                <w:color w:val="000000"/>
                <w:szCs w:val="24"/>
              </w:rPr>
            </w:r>
            <w:r/>
          </w:p>
        </w:tc>
        <w:tc>
          <w:tcPr>
            <w:tcW w:w="500" w:type="dxa"/>
            <w:vAlign w:val="center"/>
            <w:textDirection w:val="lrTb"/>
            <w:noWrap w:val="false"/>
          </w:tcPr>
          <w:p>
            <w:pPr>
              <w:pStyle w:val="674"/>
              <w:jc w:val="center"/>
              <w:spacing w:line="340" w:lineRule="exact"/>
              <w:widowControl/>
              <w:rPr>
                <w:rFonts w:ascii="宋体" w:hAnsi="宋体" w:cs="宋体"/>
                <w:color w:val="000000"/>
                <w:szCs w:val="24"/>
              </w:rPr>
            </w:pPr>
            <w:r>
              <w:rPr>
                <w:rFonts w:hint="eastAsia" w:ascii="宋体" w:hAnsi="宋体" w:cs="宋体"/>
                <w:color w:val="000000"/>
              </w:rPr>
              <w:t xml:space="preserve">1.19</w:t>
            </w:r>
            <w:r>
              <w:rPr>
                <w:rFonts w:ascii="宋体" w:hAnsi="宋体" w:cs="宋体"/>
                <w:color w:val="000000"/>
                <w:szCs w:val="24"/>
              </w:rPr>
            </w:r>
            <w:r/>
          </w:p>
        </w:tc>
      </w:tr>
    </w:tbl>
    <w:p>
      <w:pPr>
        <w:pStyle w:val="706"/>
        <w:rPr>
          <w:rFonts w:hint="eastAsia"/>
          <w:color w:val="ff0000"/>
        </w:rPr>
      </w:pPr>
      <w:r>
        <w:rPr>
          <w:rFonts w:hint="eastAsia"/>
          <w:color w:val="ff0000"/>
        </w:rPr>
        <w:t xml:space="preserve">注：</w:t>
      </w:r>
      <w:r>
        <w:rPr>
          <w:color w:val="ff0000"/>
        </w:rPr>
        <w:t xml:space="preserve">L</w:t>
      </w:r>
      <w:r>
        <w:rPr>
          <w:rFonts w:hint="eastAsia"/>
          <w:color w:val="ff0000"/>
        </w:rPr>
        <w:t xml:space="preserve">-------长度------米</w:t>
      </w:r>
      <w:r>
        <w:rPr>
          <w:rFonts w:hint="eastAsia"/>
          <w:color w:val="ff0000"/>
        </w:rPr>
      </w:r>
      <w:r/>
    </w:p>
    <w:p>
      <w:pPr>
        <w:pStyle w:val="706"/>
        <w:rPr>
          <w:rFonts w:hint="eastAsia"/>
          <w:color w:val="ff0000"/>
        </w:rPr>
      </w:pPr>
      <w:r>
        <w:rPr>
          <w:color w:val="ff0000"/>
        </w:rPr>
        <w:t xml:space="preserve">    B</w:t>
      </w:r>
      <w:r>
        <w:rPr>
          <w:rFonts w:hint="eastAsia"/>
          <w:color w:val="ff0000"/>
        </w:rPr>
        <w:t xml:space="preserve">------宽度------米</w:t>
      </w:r>
      <w:r>
        <w:rPr>
          <w:rFonts w:hint="eastAsia"/>
          <w:color w:val="ff0000"/>
        </w:rPr>
      </w:r>
      <w:r/>
    </w:p>
    <w:p>
      <w:pPr>
        <w:pStyle w:val="706"/>
        <w:ind w:firstLine="560"/>
        <w:rPr>
          <w:rFonts w:hint="eastAsia"/>
          <w:color w:val="ff0000"/>
        </w:rPr>
      </w:pPr>
      <w:r>
        <w:rPr>
          <w:rFonts w:hint="eastAsia"/>
          <w:color w:val="ff0000"/>
        </w:rPr>
        <w:t xml:space="preserve">H------高度------米</w:t>
      </w:r>
      <w:r>
        <w:rPr>
          <w:rFonts w:hint="eastAsia"/>
          <w:color w:val="ff0000"/>
        </w:rPr>
      </w:r>
      <w:r/>
    </w:p>
    <w:p>
      <w:pPr>
        <w:pStyle w:val="706"/>
        <w:ind w:firstLine="560"/>
        <w:rPr>
          <w:rFonts w:hint="eastAsia"/>
          <w:color w:val="ff0000"/>
        </w:rPr>
      </w:pPr>
      <w:r>
        <w:rPr>
          <w:rFonts w:hint="eastAsia"/>
          <w:color w:val="ff0000"/>
        </w:rPr>
        <w:t xml:space="preserve">Q------设计规模-----m3/天。该项目为1500 m3/天</w:t>
      </w:r>
      <w:r>
        <w:rPr>
          <w:rFonts w:hint="eastAsia"/>
          <w:color w:val="ff0000"/>
        </w:rPr>
      </w:r>
      <w:r/>
    </w:p>
    <w:p>
      <w:pPr>
        <w:pStyle w:val="674"/>
      </w:pPr>
      <w:r/>
      <w:r/>
    </w:p>
    <w:p>
      <w:pPr>
        <w:pStyle w:val="706"/>
        <w:jc w:val="center"/>
        <w:rPr>
          <w:rFonts w:hint="eastAsia" w:ascii="Times New Roman" w:eastAsia="黑体"/>
          <w:bCs/>
          <w:sz w:val="44"/>
        </w:rPr>
      </w:pPr>
      <w:r>
        <w:rPr>
          <w:rFonts w:ascii="Calibri" w:hAnsi="Calibri"/>
          <w:b/>
          <w:bCs/>
        </w:rPr>
        <w:br w:type="page" w:clear="all"/>
      </w:r>
      <w:bookmarkEnd w:id="476"/>
      <w:r/>
      <w:bookmarkEnd w:id="478"/>
      <w:r>
        <w:rPr>
          <w:rFonts w:hint="eastAsia" w:ascii="Times New Roman" w:eastAsia="黑体"/>
          <w:bCs/>
          <w:sz w:val="44"/>
        </w:rPr>
        <w:t xml:space="preserve">第五章  </w:t>
      </w:r>
      <w:r>
        <w:rPr>
          <w:rFonts w:hint="eastAsia" w:ascii="Times New Roman" w:eastAsia="黑体"/>
          <w:b/>
          <w:bCs/>
          <w:sz w:val="44"/>
        </w:rPr>
        <w:t xml:space="preserve"> 评标方法与评标标准</w:t>
      </w:r>
      <w:r>
        <w:rPr>
          <w:rFonts w:hint="eastAsia" w:ascii="Times New Roman" w:eastAsia="黑体"/>
          <w:bCs/>
          <w:sz w:val="44"/>
        </w:rPr>
      </w:r>
      <w:r/>
    </w:p>
    <w:p>
      <w:pPr>
        <w:pStyle w:val="674"/>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rPr>
          <w:rFonts w:hint="eastAsia" w:eastAsia="仿宋_GB2312"/>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33"/>
        <w:gridCol w:w="4836"/>
      </w:tblGrid>
      <w:tr>
        <w:trPr/>
        <w:tc>
          <w:tcPr>
            <w:tcW w:w="2499" w:type="dxa"/>
            <w:vAlign w:val="center"/>
            <w:textDirection w:val="lrTb"/>
            <w:noWrap w:val="false"/>
          </w:tcPr>
          <w:p>
            <w:pPr>
              <w:pStyle w:val="674"/>
              <w:jc w:val="center"/>
              <w:rPr>
                <w:szCs w:val="22"/>
              </w:rPr>
            </w:pPr>
            <w:r>
              <w:rPr>
                <w:szCs w:val="22"/>
              </w:rPr>
              <w:t xml:space="preserve">资格审查因素</w:t>
            </w:r>
            <w:r>
              <w:rPr>
                <w:szCs w:val="22"/>
              </w:rPr>
            </w:r>
            <w:r/>
          </w:p>
        </w:tc>
        <w:tc>
          <w:tcPr>
            <w:tcW w:w="2500" w:type="dxa"/>
            <w:vAlign w:val="center"/>
            <w:textDirection w:val="lrTb"/>
            <w:noWrap w:val="false"/>
          </w:tcPr>
          <w:p>
            <w:pPr>
              <w:pStyle w:val="674"/>
              <w:jc w:val="center"/>
              <w:rPr>
                <w:szCs w:val="22"/>
              </w:rPr>
            </w:pPr>
            <w:r>
              <w:rPr>
                <w:szCs w:val="22"/>
              </w:rPr>
              <w:t xml:space="preserve">审查标准</w:t>
            </w:r>
            <w:r>
              <w:rPr>
                <w:szCs w:val="22"/>
              </w:rPr>
            </w:r>
            <w:r/>
          </w:p>
        </w:tc>
      </w:tr>
      <w:tr>
        <w:trPr/>
        <w:tc>
          <w:tcPr>
            <w:tcW w:w="4833" w:type="dxa"/>
            <w:vAlign w:val="center"/>
            <w:textDirection w:val="lrTb"/>
            <w:noWrap w:val="false"/>
          </w:tcPr>
          <w:p>
            <w:pPr>
              <w:pStyle w:val="674"/>
              <w:jc w:val="left"/>
              <w:rPr>
                <w:szCs w:val="22"/>
              </w:rPr>
            </w:pPr>
            <w:r>
              <w:rPr>
                <w:szCs w:val="22"/>
              </w:rPr>
              <w:t xml:space="preserve">投标声明及承诺函</w:t>
            </w:r>
            <w:r>
              <w:rPr>
                <w:szCs w:val="22"/>
              </w:rPr>
            </w:r>
            <w:r/>
          </w:p>
        </w:tc>
        <w:tc>
          <w:tcPr>
            <w:tcW w:w="4836" w:type="dxa"/>
            <w:vAlign w:val="center"/>
            <w:textDirection w:val="lrTb"/>
            <w:noWrap w:val="false"/>
          </w:tcPr>
          <w:p>
            <w:pPr>
              <w:pStyle w:val="674"/>
              <w:jc w:val="left"/>
              <w:rPr>
                <w:szCs w:val="22"/>
              </w:rPr>
            </w:pPr>
            <w:r>
              <w:rPr>
                <w:szCs w:val="22"/>
              </w:rPr>
              <w:t xml:space="preserve">符合招标文件要求</w:t>
            </w:r>
            <w:r>
              <w:rPr>
                <w:szCs w:val="22"/>
              </w:rPr>
            </w:r>
            <w:r/>
          </w:p>
        </w:tc>
      </w:tr>
      <w:tr>
        <w:trPr/>
        <w:tc>
          <w:tcPr>
            <w:tcW w:w="4833" w:type="dxa"/>
            <w:vAlign w:val="center"/>
            <w:textDirection w:val="lrTb"/>
            <w:noWrap w:val="false"/>
          </w:tcPr>
          <w:p>
            <w:pPr>
              <w:pStyle w:val="674"/>
              <w:jc w:val="left"/>
              <w:rPr>
                <w:szCs w:val="22"/>
              </w:rPr>
            </w:pPr>
            <w:r>
              <w:rPr>
                <w:szCs w:val="22"/>
              </w:rPr>
              <w:t xml:space="preserve">信用信息</w:t>
            </w:r>
            <w:r>
              <w:rPr>
                <w:szCs w:val="22"/>
              </w:rPr>
            </w:r>
            <w:r/>
          </w:p>
        </w:tc>
        <w:tc>
          <w:tcPr>
            <w:tcW w:w="4836" w:type="dxa"/>
            <w:vAlign w:val="center"/>
            <w:textDirection w:val="lrTb"/>
            <w:noWrap w:val="false"/>
          </w:tcPr>
          <w:p>
            <w:pPr>
              <w:pStyle w:val="674"/>
              <w:jc w:val="left"/>
              <w:rPr>
                <w:szCs w:val="22"/>
              </w:rPr>
            </w:pPr>
            <w:r>
              <w:rPr>
                <w:szCs w:val="22"/>
              </w:rPr>
              <w:t xml:space="preserve">符合招标文件要求</w:t>
            </w:r>
            <w:r>
              <w:rPr>
                <w:szCs w:val="22"/>
              </w:rPr>
            </w:r>
            <w:r/>
          </w:p>
        </w:tc>
      </w:tr>
      <w:tr>
        <w:trPr/>
        <w:tc>
          <w:tcPr>
            <w:tcW w:w="4833" w:type="dxa"/>
            <w:vAlign w:val="center"/>
            <w:textDirection w:val="lrTb"/>
            <w:noWrap w:val="false"/>
          </w:tcPr>
          <w:p>
            <w:pPr>
              <w:pStyle w:val="674"/>
              <w:jc w:val="left"/>
              <w:rPr>
                <w:rFonts w:eastAsia="宋体"/>
                <w:szCs w:val="22"/>
                <w:lang w:val="en-US" w:eastAsia="zh-CN"/>
              </w:rPr>
            </w:pPr>
            <w:r>
              <w:rPr>
                <w:rFonts w:hint="eastAsia"/>
                <w:szCs w:val="22"/>
                <w:lang w:val="en-US" w:eastAsia="zh-CN"/>
              </w:rPr>
              <w:t xml:space="preserve">特定资格要求</w:t>
            </w:r>
            <w:r>
              <w:rPr>
                <w:rFonts w:eastAsia="宋体"/>
                <w:szCs w:val="22"/>
                <w:lang w:val="en-US" w:eastAsia="zh-CN"/>
              </w:rPr>
            </w:r>
            <w:r/>
          </w:p>
        </w:tc>
        <w:tc>
          <w:tcPr>
            <w:tcW w:w="4836" w:type="dxa"/>
            <w:vAlign w:val="center"/>
            <w:textDirection w:val="lrTb"/>
            <w:noWrap w:val="false"/>
          </w:tcPr>
          <w:p>
            <w:pPr>
              <w:pStyle w:val="674"/>
              <w:jc w:val="left"/>
              <w:rPr>
                <w:szCs w:val="22"/>
              </w:rPr>
            </w:pPr>
            <w:r>
              <w:rPr>
                <w:szCs w:val="22"/>
              </w:rPr>
              <w:t xml:space="preserve">符合招标文件要求</w:t>
            </w:r>
            <w:r>
              <w:rPr>
                <w:szCs w:val="22"/>
              </w:rPr>
            </w:r>
            <w:r/>
          </w:p>
        </w:tc>
      </w:tr>
      <w:tr>
        <w:trPr/>
        <w:tc>
          <w:tcPr>
            <w:tcW w:w="4833" w:type="dxa"/>
            <w:vAlign w:val="center"/>
            <w:textDirection w:val="lrTb"/>
            <w:noWrap w:val="false"/>
          </w:tcPr>
          <w:p>
            <w:pPr>
              <w:pStyle w:val="674"/>
              <w:jc w:val="left"/>
              <w:rPr>
                <w:szCs w:val="22"/>
              </w:rPr>
            </w:pPr>
            <w:r>
              <w:rPr>
                <w:szCs w:val="22"/>
              </w:rPr>
              <w:t xml:space="preserve">联合体投标</w:t>
            </w:r>
            <w:r>
              <w:rPr>
                <w:szCs w:val="22"/>
              </w:rPr>
            </w:r>
            <w:r/>
          </w:p>
        </w:tc>
        <w:tc>
          <w:tcPr>
            <w:tcW w:w="4836" w:type="dxa"/>
            <w:vAlign w:val="center"/>
            <w:textDirection w:val="lrTb"/>
            <w:noWrap w:val="false"/>
          </w:tcPr>
          <w:p>
            <w:pPr>
              <w:pStyle w:val="674"/>
              <w:jc w:val="left"/>
              <w:rPr>
                <w:szCs w:val="22"/>
              </w:rPr>
            </w:pPr>
            <w:r>
              <w:rPr>
                <w:szCs w:val="22"/>
              </w:rPr>
              <w:t xml:space="preserve">不接受联合体投标</w:t>
            </w:r>
            <w:r>
              <w:rPr>
                <w:szCs w:val="22"/>
              </w:rPr>
            </w:r>
            <w:r/>
          </w:p>
        </w:tc>
      </w:tr>
      <w:tr>
        <w:trPr/>
        <w:tc>
          <w:tcPr>
            <w:tcW w:w="4833" w:type="dxa"/>
            <w:vAlign w:val="center"/>
            <w:textDirection w:val="lrTb"/>
            <w:noWrap w:val="false"/>
          </w:tcPr>
          <w:p>
            <w:pPr>
              <w:pStyle w:val="674"/>
              <w:jc w:val="left"/>
              <w:rPr>
                <w:rFonts w:hint="eastAsia" w:eastAsia="宋体"/>
                <w:szCs w:val="22"/>
                <w:lang w:val="en-US" w:eastAsia="zh-CN"/>
              </w:rPr>
            </w:pPr>
            <w:r>
              <w:rPr>
                <w:rFonts w:hint="eastAsia"/>
                <w:szCs w:val="22"/>
                <w:lang w:val="en-US" w:eastAsia="zh-CN"/>
              </w:rPr>
              <w:t xml:space="preserve">其他</w:t>
            </w:r>
            <w:r>
              <w:rPr>
                <w:rFonts w:hint="eastAsia" w:eastAsia="宋体"/>
                <w:szCs w:val="22"/>
                <w:lang w:val="en-US" w:eastAsia="zh-CN"/>
              </w:rPr>
            </w:r>
            <w:r/>
          </w:p>
        </w:tc>
        <w:tc>
          <w:tcPr>
            <w:tcW w:w="4836" w:type="dxa"/>
            <w:vAlign w:val="center"/>
            <w:textDirection w:val="lrTb"/>
            <w:noWrap w:val="false"/>
          </w:tcPr>
          <w:p>
            <w:pPr>
              <w:pStyle w:val="674"/>
              <w:jc w:val="left"/>
              <w:rPr>
                <w:szCs w:val="22"/>
              </w:rPr>
            </w:pPr>
            <w:r>
              <w:rPr>
                <w:szCs w:val="22"/>
              </w:rPr>
              <w:t xml:space="preserve">符合招标文件要求</w:t>
            </w:r>
            <w:r>
              <w:rPr>
                <w:szCs w:val="22"/>
              </w:rPr>
            </w:r>
            <w:r/>
          </w:p>
        </w:tc>
      </w:tr>
    </w:tbl>
    <w:p>
      <w:pPr>
        <w:pStyle w:val="674"/>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rPr>
          <w:rFonts w:eastAsia="仿宋_GB2312"/>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33"/>
        <w:gridCol w:w="4836"/>
      </w:tblGrid>
      <w:tr>
        <w:trPr/>
        <w:tc>
          <w:tcPr>
            <w:tcW w:w="2499" w:type="dxa"/>
            <w:vAlign w:val="center"/>
            <w:textDirection w:val="lrTb"/>
            <w:noWrap w:val="false"/>
          </w:tcPr>
          <w:p>
            <w:pPr>
              <w:pStyle w:val="674"/>
              <w:jc w:val="center"/>
              <w:rPr>
                <w:szCs w:val="22"/>
              </w:rPr>
            </w:pPr>
            <w:r>
              <w:rPr>
                <w:szCs w:val="22"/>
              </w:rPr>
              <w:t xml:space="preserve">符合性审查因素</w:t>
            </w:r>
            <w:r>
              <w:rPr>
                <w:szCs w:val="22"/>
              </w:rPr>
            </w:r>
            <w:r/>
          </w:p>
        </w:tc>
        <w:tc>
          <w:tcPr>
            <w:tcW w:w="2500" w:type="dxa"/>
            <w:vAlign w:val="center"/>
            <w:textDirection w:val="lrTb"/>
            <w:noWrap w:val="false"/>
          </w:tcPr>
          <w:p>
            <w:pPr>
              <w:pStyle w:val="674"/>
              <w:jc w:val="center"/>
              <w:rPr>
                <w:szCs w:val="22"/>
              </w:rPr>
            </w:pPr>
            <w:r>
              <w:rPr>
                <w:szCs w:val="22"/>
              </w:rPr>
              <w:t xml:space="preserve">审查标准</w:t>
            </w:r>
            <w:r>
              <w:rPr>
                <w:szCs w:val="22"/>
              </w:rPr>
            </w:r>
            <w:r/>
          </w:p>
        </w:tc>
      </w:tr>
      <w:tr>
        <w:trPr/>
        <w:tc>
          <w:tcPr>
            <w:tcW w:w="4833" w:type="dxa"/>
            <w:vAlign w:val="center"/>
            <w:textDirection w:val="lrTb"/>
            <w:noWrap w:val="false"/>
          </w:tcPr>
          <w:p>
            <w:pPr>
              <w:pStyle w:val="674"/>
              <w:jc w:val="left"/>
              <w:rPr>
                <w:szCs w:val="22"/>
              </w:rPr>
            </w:pPr>
            <w:r>
              <w:rPr>
                <w:szCs w:val="22"/>
              </w:rPr>
              <w:t xml:space="preserve">法定代表人身份证明或授权委托书</w:t>
            </w:r>
            <w:r>
              <w:rPr>
                <w:szCs w:val="22"/>
              </w:rPr>
            </w:r>
            <w:r/>
          </w:p>
        </w:tc>
        <w:tc>
          <w:tcPr>
            <w:tcW w:w="4836" w:type="dxa"/>
            <w:vAlign w:val="center"/>
            <w:textDirection w:val="lrTb"/>
            <w:noWrap w:val="false"/>
          </w:tcPr>
          <w:p>
            <w:pPr>
              <w:pStyle w:val="674"/>
              <w:jc w:val="left"/>
              <w:rPr>
                <w:szCs w:val="22"/>
              </w:rPr>
            </w:pPr>
            <w:r>
              <w:rPr>
                <w:szCs w:val="22"/>
              </w:rPr>
              <w:t xml:space="preserve">符合招标文件要求</w:t>
            </w:r>
            <w:r>
              <w:rPr>
                <w:szCs w:val="22"/>
              </w:rPr>
            </w:r>
            <w:r/>
          </w:p>
        </w:tc>
      </w:tr>
      <w:tr>
        <w:trPr/>
        <w:tc>
          <w:tcPr>
            <w:tcW w:w="4833" w:type="dxa"/>
            <w:vAlign w:val="center"/>
            <w:textDirection w:val="lrTb"/>
            <w:noWrap w:val="false"/>
          </w:tcPr>
          <w:p>
            <w:pPr>
              <w:pStyle w:val="674"/>
              <w:jc w:val="left"/>
              <w:rPr>
                <w:szCs w:val="22"/>
              </w:rPr>
            </w:pPr>
            <w:r>
              <w:rPr>
                <w:szCs w:val="22"/>
              </w:rPr>
              <w:t xml:space="preserve">开标一览表及投标报价</w:t>
            </w:r>
            <w:r>
              <w:rPr>
                <w:szCs w:val="22"/>
              </w:rPr>
            </w:r>
            <w:r/>
          </w:p>
        </w:tc>
        <w:tc>
          <w:tcPr>
            <w:tcW w:w="4836" w:type="dxa"/>
            <w:vAlign w:val="center"/>
            <w:textDirection w:val="lrTb"/>
            <w:noWrap w:val="false"/>
          </w:tcPr>
          <w:p>
            <w:pPr>
              <w:pStyle w:val="674"/>
              <w:jc w:val="left"/>
              <w:rPr>
                <w:szCs w:val="22"/>
              </w:rPr>
            </w:pPr>
            <w:r>
              <w:rPr>
                <w:szCs w:val="22"/>
              </w:rPr>
              <w:t xml:space="preserve">格式、填写要求符合招标文件规定</w:t>
            </w:r>
            <w:r>
              <w:rPr>
                <w:szCs w:val="22"/>
              </w:rPr>
            </w:r>
            <w:r/>
          </w:p>
        </w:tc>
      </w:tr>
      <w:tr>
        <w:trPr/>
        <w:tc>
          <w:tcPr>
            <w:tcW w:w="4833" w:type="dxa"/>
            <w:vAlign w:val="center"/>
            <w:textDirection w:val="lrTb"/>
            <w:noWrap w:val="false"/>
          </w:tcPr>
          <w:p>
            <w:pPr>
              <w:pStyle w:val="674"/>
              <w:jc w:val="left"/>
              <w:rPr>
                <w:szCs w:val="22"/>
              </w:rPr>
            </w:pPr>
            <w:r>
              <w:rPr>
                <w:szCs w:val="22"/>
              </w:rPr>
              <w:t xml:space="preserve">技术标准和要求</w:t>
            </w:r>
            <w:r>
              <w:rPr>
                <w:szCs w:val="22"/>
              </w:rPr>
            </w:r>
            <w:r/>
          </w:p>
        </w:tc>
        <w:tc>
          <w:tcPr>
            <w:tcW w:w="4836" w:type="dxa"/>
            <w:vAlign w:val="center"/>
            <w:textDirection w:val="lrTb"/>
            <w:noWrap w:val="false"/>
          </w:tcPr>
          <w:p>
            <w:pPr>
              <w:pStyle w:val="674"/>
              <w:jc w:val="left"/>
              <w:rPr>
                <w:szCs w:val="22"/>
              </w:rPr>
            </w:pPr>
            <w:r>
              <w:rPr>
                <w:szCs w:val="22"/>
              </w:rPr>
              <w:t xml:space="preserve">符合招标文件要求</w:t>
            </w:r>
            <w:r>
              <w:rPr>
                <w:szCs w:val="22"/>
              </w:rPr>
            </w:r>
            <w:r/>
          </w:p>
        </w:tc>
      </w:tr>
      <w:tr>
        <w:trPr/>
        <w:tc>
          <w:tcPr>
            <w:tcW w:w="4833" w:type="dxa"/>
            <w:vAlign w:val="center"/>
            <w:textDirection w:val="lrTb"/>
            <w:noWrap w:val="false"/>
          </w:tcPr>
          <w:p>
            <w:pPr>
              <w:pStyle w:val="674"/>
              <w:jc w:val="left"/>
              <w:rPr>
                <w:szCs w:val="22"/>
              </w:rPr>
            </w:pPr>
            <w:r>
              <w:rPr>
                <w:szCs w:val="22"/>
              </w:rPr>
              <w:t xml:space="preserve">其他</w:t>
            </w:r>
            <w:r>
              <w:rPr>
                <w:szCs w:val="22"/>
              </w:rPr>
            </w:r>
            <w:r/>
          </w:p>
        </w:tc>
        <w:tc>
          <w:tcPr>
            <w:tcW w:w="4836" w:type="dxa"/>
            <w:vAlign w:val="center"/>
            <w:textDirection w:val="lrTb"/>
            <w:noWrap w:val="false"/>
          </w:tcPr>
          <w:p>
            <w:pPr>
              <w:pStyle w:val="674"/>
              <w:jc w:val="left"/>
              <w:rPr>
                <w:szCs w:val="22"/>
              </w:rPr>
            </w:pPr>
            <w:r>
              <w:rPr>
                <w:szCs w:val="22"/>
              </w:rPr>
              <w:t xml:space="preserve">符合招标文件要求</w:t>
            </w:r>
            <w:r>
              <w:rPr>
                <w:szCs w:val="22"/>
              </w:rPr>
            </w:r>
            <w:r/>
          </w:p>
        </w:tc>
      </w:tr>
    </w:tbl>
    <w:p>
      <w:pPr>
        <w:pStyle w:val="674"/>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rPr>
          <w:rFonts w:hint="eastAsia" w:eastAsia="仿宋_GB2312"/>
          <w:b/>
          <w:sz w:val="28"/>
          <w:szCs w:val="22"/>
          <w:highlight w:val="white"/>
        </w:rPr>
      </w:r>
      <w:r/>
    </w:p>
    <w:p>
      <w:pPr>
        <w:pStyle w:val="674"/>
        <w:ind w:firstLine="241"/>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sz w:val="24"/>
          <w:highlight w:val="white"/>
        </w:rPr>
      </w:r>
      <w:r/>
    </w:p>
    <w:p>
      <w:pPr>
        <w:pStyle w:val="674"/>
        <w:spacing w:line="500" w:lineRule="exact"/>
        <w:rPr>
          <w:rFonts w:hint="eastAsia"/>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sz w:val="24"/>
          <w:highlight w:val="white"/>
        </w:rPr>
      </w:r>
      <w:r/>
    </w:p>
    <w:p>
      <w:pPr>
        <w:pStyle w:val="674"/>
        <w:ind w:firstLine="480"/>
        <w:spacing w:line="500" w:lineRule="exact"/>
        <w:rPr>
          <w:rFonts w:hint="eastAsia"/>
          <w:sz w:val="24"/>
          <w:highlight w:val="white"/>
        </w:rPr>
      </w:pPr>
      <w:r>
        <w:rPr>
          <w:rFonts w:hint="eastAsia"/>
          <w:sz w:val="24"/>
          <w:highlight w:val="white"/>
        </w:rPr>
        <w:t xml:space="preserve">综合评分保留至小数点后两位。 </w:t>
      </w:r>
      <w:r>
        <w:rPr>
          <w:rFonts w:hint="eastAsia"/>
          <w:sz w:val="24"/>
          <w:highlight w:val="white"/>
        </w:rPr>
      </w:r>
      <w:r/>
    </w:p>
    <w:p>
      <w:pPr>
        <w:pStyle w:val="674"/>
        <w:ind w:firstLine="241"/>
        <w:jc w:val="left"/>
        <w:spacing w:line="500" w:lineRule="exact"/>
        <w:rPr>
          <w:rFonts w:hint="eastAsia"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eastAsia="仿宋_GB2312"/>
          <w:sz w:val="24"/>
        </w:rPr>
      </w:r>
      <w:r/>
    </w:p>
    <w:p>
      <w:pPr>
        <w:pStyle w:val="674"/>
        <w:rPr>
          <w:rFonts w:hint="eastAsia"/>
          <w:sz w:val="20"/>
          <w:highlight w:val="white"/>
        </w:rPr>
      </w:pPr>
      <w:r/>
      <w:bookmarkStart w:id="479" w:name="EBe0cfd1035ea44f689f97db50fccddc8b"/>
      <w:r>
        <w:rPr>
          <w:rFonts w:hint="eastAsia"/>
          <w:sz w:val="20"/>
          <w:highlight w:val="white"/>
        </w:rPr>
      </w:r>
      <w:r/>
    </w:p>
    <w:p>
      <w:pPr>
        <w:pStyle w:val="674"/>
        <w:jc w:val="center"/>
        <w:spacing w:line="600" w:lineRule="exact"/>
        <w:rPr>
          <w:rFonts w:hint="eastAsia" w:ascii="方正黑体_GBK" w:eastAsia="方正黑体_GBK"/>
          <w:sz w:val="32"/>
          <w:szCs w:val="32"/>
        </w:rPr>
      </w:pPr>
      <w:r/>
      <w:bookmarkEnd w:id="479"/>
      <w:r>
        <w:rPr>
          <w:rFonts w:ascii="方正黑体_GBK" w:eastAsia="方正黑体_GBK"/>
          <w:sz w:val="32"/>
          <w:szCs w:val="32"/>
        </w:rPr>
        <w:br w:type="page" w:clear="all"/>
      </w:r>
      <w:r>
        <w:rPr>
          <w:rFonts w:hint="eastAsia" w:ascii="方正黑体_GBK" w:eastAsia="方正黑体_GBK"/>
          <w:sz w:val="32"/>
          <w:szCs w:val="32"/>
        </w:rPr>
        <w:t xml:space="preserve">评分标准</w:t>
      </w:r>
      <w:r>
        <w:rPr>
          <w:rFonts w:hint="eastAsia" w:ascii="方正黑体_GBK" w:eastAsia="方正黑体_GBK"/>
          <w:sz w:val="32"/>
          <w:szCs w:val="32"/>
        </w:rPr>
      </w:r>
      <w:r/>
    </w:p>
    <w:tbl>
      <w:tblPr>
        <w:tblW w:w="499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021"/>
        <w:gridCol w:w="1525"/>
        <w:gridCol w:w="6532"/>
      </w:tblGrid>
      <w:tr>
        <w:trPr/>
        <w:tc>
          <w:tcPr>
            <w:tcW w:w="386" w:type="dxa"/>
            <w:vAlign w:val="center"/>
            <w:textDirection w:val="lrTb"/>
            <w:noWrap w:val="false"/>
          </w:tcPr>
          <w:p>
            <w:pPr>
              <w:pStyle w:val="674"/>
              <w:ind w:left="0" w:right="0" w:firstLine="0"/>
              <w:jc w:val="center"/>
              <w:keepLines w:val="0"/>
              <w:keepNext w:val="0"/>
              <w:pageBreakBefore w:val="0"/>
              <w:spacing w:line="320" w:lineRule="exact"/>
              <w:rPr>
                <w:rFonts w:ascii="宋体" w:hAnsi="宋体"/>
              </w:rPr>
            </w:pPr>
            <w:r>
              <w:rPr>
                <w:rFonts w:hint="eastAsia" w:ascii="宋体" w:hAnsi="宋体"/>
              </w:rPr>
              <w:t xml:space="preserve">序号</w:t>
            </w:r>
            <w:r>
              <w:rPr>
                <w:rFonts w:ascii="宋体" w:hAnsi="宋体"/>
              </w:rPr>
            </w:r>
            <w:r/>
          </w:p>
        </w:tc>
        <w:tc>
          <w:tcPr>
            <w:tcW w:w="519" w:type="dxa"/>
            <w:vAlign w:val="center"/>
            <w:textDirection w:val="lrTb"/>
            <w:noWrap w:val="false"/>
          </w:tcPr>
          <w:p>
            <w:pPr>
              <w:pStyle w:val="674"/>
              <w:ind w:left="0" w:right="0" w:firstLine="0"/>
              <w:jc w:val="center"/>
              <w:keepLines w:val="0"/>
              <w:keepNext w:val="0"/>
              <w:pageBreakBefore w:val="0"/>
              <w:spacing w:line="320" w:lineRule="exact"/>
              <w:rPr>
                <w:rFonts w:ascii="宋体" w:hAnsi="宋体"/>
              </w:rPr>
            </w:pPr>
            <w:r>
              <w:rPr>
                <w:rFonts w:hint="eastAsia" w:ascii="宋体" w:hAnsi="宋体"/>
              </w:rPr>
              <w:t xml:space="preserve">评审项</w:t>
            </w:r>
            <w:r>
              <w:rPr>
                <w:rFonts w:ascii="宋体" w:hAnsi="宋体"/>
              </w:rPr>
            </w:r>
            <w:r/>
          </w:p>
        </w:tc>
        <w:tc>
          <w:tcPr>
            <w:tcW w:w="775" w:type="dxa"/>
            <w:vAlign w:val="center"/>
            <w:textDirection w:val="lrTb"/>
            <w:noWrap w:val="false"/>
          </w:tcPr>
          <w:p>
            <w:pPr>
              <w:pStyle w:val="674"/>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评分因素</w:t>
            </w:r>
            <w:r>
              <w:rPr>
                <w:rFonts w:hint="eastAsia" w:ascii="宋体" w:hAnsi="宋体"/>
              </w:rPr>
            </w:r>
            <w:r/>
          </w:p>
          <w:p>
            <w:pPr>
              <w:pStyle w:val="674"/>
              <w:ind w:left="0" w:right="0" w:firstLine="0"/>
              <w:jc w:val="center"/>
              <w:keepLines w:val="0"/>
              <w:keepNext w:val="0"/>
              <w:pageBreakBefore w:val="0"/>
              <w:spacing w:line="320" w:lineRule="exact"/>
              <w:rPr>
                <w:rFonts w:ascii="宋体" w:hAnsi="宋体"/>
              </w:rPr>
            </w:pPr>
            <w:r>
              <w:rPr>
                <w:rFonts w:hint="eastAsia" w:ascii="宋体" w:hAnsi="宋体"/>
              </w:rPr>
              <w:t xml:space="preserve">（偏差率）</w:t>
            </w:r>
            <w:r>
              <w:rPr>
                <w:rFonts w:ascii="宋体" w:hAnsi="宋体"/>
              </w:rPr>
            </w:r>
            <w:r/>
          </w:p>
        </w:tc>
        <w:tc>
          <w:tcPr>
            <w:tcW w:w="3318" w:type="dxa"/>
            <w:vAlign w:val="center"/>
            <w:textDirection w:val="lrTb"/>
            <w:noWrap w:val="false"/>
          </w:tcPr>
          <w:p>
            <w:pPr>
              <w:pStyle w:val="674"/>
              <w:ind w:left="0" w:right="0" w:firstLine="0"/>
              <w:jc w:val="center"/>
              <w:keepLines w:val="0"/>
              <w:keepNext w:val="0"/>
              <w:pageBreakBefore w:val="0"/>
              <w:spacing w:line="320" w:lineRule="exact"/>
              <w:rPr>
                <w:rFonts w:ascii="宋体" w:hAnsi="宋体"/>
              </w:rPr>
            </w:pPr>
            <w:r>
              <w:rPr>
                <w:rFonts w:hint="eastAsia" w:ascii="宋体" w:hAnsi="宋体"/>
              </w:rPr>
              <w:t xml:space="preserve">评分标准</w:t>
            </w:r>
            <w:r>
              <w:rPr>
                <w:rFonts w:ascii="宋体" w:hAnsi="宋体"/>
              </w:rPr>
            </w:r>
            <w:r/>
          </w:p>
        </w:tc>
      </w:tr>
      <w:tr>
        <w:trPr>
          <w:trHeight w:val="8177"/>
        </w:trPr>
        <w:tc>
          <w:tcPr>
            <w:tcW w:w="386" w:type="dxa"/>
            <w:vAlign w:val="center"/>
            <w:vMerge w:val="restart"/>
            <w:textDirection w:val="lrTb"/>
            <w:noWrap w:val="false"/>
          </w:tcPr>
          <w:p>
            <w:pPr>
              <w:pStyle w:val="674"/>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1</w:t>
            </w:r>
            <w:r>
              <w:rPr>
                <w:rFonts w:hint="eastAsia" w:ascii="宋体" w:hAnsi="宋体"/>
              </w:rPr>
            </w:r>
            <w:r/>
          </w:p>
        </w:tc>
        <w:tc>
          <w:tcPr>
            <w:tcW w:w="519" w:type="dxa"/>
            <w:vAlign w:val="center"/>
            <w:vMerge w:val="restart"/>
            <w:textDirection w:val="lrTb"/>
            <w:noWrap w:val="false"/>
          </w:tcPr>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方案设计文件（43分）</w:t>
            </w:r>
            <w:r>
              <w:rPr>
                <w:rFonts w:ascii="宋体" w:hAnsi="宋体"/>
              </w:rPr>
            </w:r>
            <w:r/>
          </w:p>
        </w:tc>
        <w:tc>
          <w:tcPr>
            <w:tcW w:w="775" w:type="dxa"/>
            <w:vAlign w:val="center"/>
            <w:textDirection w:val="lrTb"/>
            <w:noWrap w:val="false"/>
          </w:tcPr>
          <w:p>
            <w:pPr>
              <w:pStyle w:val="674"/>
              <w:ind w:left="0" w:right="0" w:firstLine="0"/>
              <w:jc w:val="left"/>
              <w:keepLines w:val="0"/>
              <w:keepNext w:val="0"/>
              <w:pageBreakBefore w:val="0"/>
              <w:spacing w:line="320" w:lineRule="exact"/>
              <w:rPr>
                <w:rFonts w:ascii="宋体" w:hAnsi="宋体"/>
              </w:rPr>
            </w:pPr>
            <w:r>
              <w:rPr>
                <w:rFonts w:ascii="宋体" w:hAnsi="宋体"/>
              </w:rPr>
              <w:t xml:space="preserve">1.</w:t>
            </w:r>
            <w:r>
              <w:rPr>
                <w:rFonts w:hint="eastAsia" w:ascii="宋体" w:hAnsi="宋体"/>
              </w:rPr>
              <w:t xml:space="preserve"> 方案设计概述及说明</w:t>
            </w:r>
            <w:r>
              <w:rPr>
                <w:rFonts w:ascii="宋体" w:hAnsi="宋体"/>
              </w:rPr>
              <w:t xml:space="preserve">（工艺成熟、先进、流程合理</w:t>
            </w:r>
            <w:r>
              <w:rPr>
                <w:rFonts w:hint="eastAsia" w:ascii="宋体" w:hAnsi="宋体"/>
              </w:rPr>
              <w:t xml:space="preserve">；</w:t>
            </w:r>
            <w:r>
              <w:rPr>
                <w:rFonts w:ascii="宋体" w:hAnsi="宋体"/>
              </w:rPr>
              <w:t xml:space="preserve">技术先进、可靠、性价比高）</w:t>
            </w:r>
            <w:r>
              <w:rPr>
                <w:rFonts w:hint="eastAsia" w:ascii="宋体" w:hAnsi="宋体" w:eastAsia="宋体" w:cs="Times New Roman"/>
              </w:rPr>
              <w:t xml:space="preserve">（23分）</w:t>
            </w:r>
            <w:r>
              <w:rPr>
                <w:rFonts w:ascii="宋体" w:hAnsi="宋体"/>
              </w:rPr>
            </w:r>
            <w:r/>
          </w:p>
        </w:tc>
        <w:tc>
          <w:tcPr>
            <w:tcW w:w="3318" w:type="dxa"/>
            <w:vAlign w:val="center"/>
            <w:textDirection w:val="lrTb"/>
            <w:noWrap w:val="false"/>
          </w:tcPr>
          <w:p>
            <w:pPr>
              <w:pStyle w:val="674"/>
              <w:ind w:left="0" w:right="0" w:firstLine="0"/>
              <w:jc w:val="left"/>
              <w:keepLines w:val="0"/>
              <w:keepNext w:val="0"/>
              <w:pageBreakBefore w:val="0"/>
              <w:spacing w:line="320" w:lineRule="exact"/>
              <w:rPr>
                <w:rStyle w:val="1067"/>
                <w:szCs w:val="21"/>
              </w:rPr>
            </w:pPr>
            <w:r>
              <w:rPr>
                <w:rStyle w:val="1067"/>
                <w:szCs w:val="21"/>
              </w:rPr>
              <w:t xml:space="preserve">1.</w:t>
            </w:r>
            <w:r>
              <w:rPr>
                <w:rFonts w:hint="eastAsia" w:ascii="宋体" w:hAnsi="宋体"/>
              </w:rPr>
              <w:t xml:space="preserve">投标人自行勘察现状污水厂实际情况，</w:t>
            </w:r>
            <w:r>
              <w:rPr>
                <w:rStyle w:val="1067"/>
                <w:szCs w:val="21"/>
              </w:rPr>
              <w:t xml:space="preserve">对现有污水厂运行现状进行分析，对扩建的必要性进行理解，红线内场地可行性进行描述。要求数据详实、结论准确。数据详实性、结论准确性</w:t>
            </w:r>
            <w:r>
              <w:t xml:space="preserve">优于采购需求的得</w:t>
            </w:r>
            <w:r>
              <w:rPr>
                <w:rFonts w:hint="eastAsia"/>
              </w:rPr>
              <w:t xml:space="preserve">2</w:t>
            </w:r>
            <w:r>
              <w:t xml:space="preserve">分；</w:t>
            </w:r>
            <w:r>
              <w:rPr>
                <w:rStyle w:val="1067"/>
                <w:szCs w:val="21"/>
              </w:rPr>
              <w:t xml:space="preserve">数据详实性、结论准确性</w:t>
            </w:r>
            <w:r>
              <w:t xml:space="preserve">基本满足采购需求的得</w:t>
            </w:r>
            <w:r>
              <w:rPr>
                <w:rFonts w:hint="eastAsia"/>
              </w:rPr>
              <w:t xml:space="preserve">1</w:t>
            </w:r>
            <w:r>
              <w:t xml:space="preserve">分；</w:t>
            </w:r>
            <w:r>
              <w:rPr>
                <w:rStyle w:val="1067"/>
                <w:szCs w:val="21"/>
              </w:rPr>
              <w:t xml:space="preserve">数据详实性、结论准确性</w:t>
            </w:r>
            <w:r>
              <w:t xml:space="preserve">低于采购需求的</w:t>
            </w:r>
            <w:r>
              <w:rPr>
                <w:rFonts w:hint="eastAsia"/>
              </w:rPr>
              <w:t xml:space="preserve">或者</w:t>
            </w:r>
            <w:r>
              <w:t xml:space="preserve">未提供不得分。</w:t>
            </w:r>
            <w:r>
              <w:rPr>
                <w:rStyle w:val="1067"/>
                <w:szCs w:val="21"/>
              </w:rPr>
              <w:t xml:space="preserve">（本项最高2分）</w:t>
            </w:r>
            <w:r>
              <w:rPr>
                <w:rStyle w:val="1067"/>
                <w:szCs w:val="21"/>
              </w:rPr>
            </w:r>
            <w:r/>
          </w:p>
          <w:p>
            <w:pPr>
              <w:pStyle w:val="674"/>
              <w:ind w:left="0" w:right="0" w:firstLine="0"/>
              <w:jc w:val="left"/>
              <w:keepLines w:val="0"/>
              <w:keepNext w:val="0"/>
              <w:pageBreakBefore w:val="0"/>
              <w:spacing w:line="320" w:lineRule="exact"/>
              <w:rPr>
                <w:rStyle w:val="1067"/>
                <w:rFonts w:cs="Times New Roman"/>
                <w:b w:val="0"/>
                <w:bCs w:val="0"/>
                <w:i w:val="0"/>
                <w:iCs w:val="0"/>
                <w:szCs w:val="21"/>
              </w:rPr>
            </w:pPr>
            <w:r>
              <w:rPr>
                <w:rFonts w:hint="eastAsia" w:ascii="宋体" w:hAnsi="宋体"/>
              </w:rPr>
              <w:t xml:space="preserve">2. </w:t>
            </w:r>
            <w:r>
              <w:rPr>
                <w:rStyle w:val="1067"/>
                <w:sz w:val="21"/>
                <w:szCs w:val="21"/>
              </w:rPr>
              <w:t xml:space="preserve">投</w:t>
            </w:r>
            <w:r>
              <w:rPr>
                <w:rStyle w:val="1067"/>
                <w:rFonts w:cs="Times New Roman"/>
                <w:b w:val="0"/>
                <w:bCs w:val="0"/>
                <w:i w:val="0"/>
                <w:iCs w:val="0"/>
                <w:szCs w:val="21"/>
              </w:rPr>
              <w:t xml:space="preserve">标人对本扩建工程方案设计施工合理性进行阐述，主要针对扩建工程与现状污水处理厂的衔接，扩建工程施工中设备的运输、吊装、安装及与周围环境的衔接情况等。</w:t>
            </w:r>
            <w:r>
              <w:rPr>
                <w:rStyle w:val="1067"/>
                <w:rFonts w:hint="eastAsia" w:cs="Times New Roman"/>
                <w:b w:val="0"/>
                <w:bCs w:val="0"/>
                <w:i w:val="0"/>
                <w:iCs w:val="0"/>
                <w:szCs w:val="21"/>
              </w:rPr>
              <w:t xml:space="preserve">优于采购需求的得3分，基本满足采购需求的得2分，低于采购需求的得1分，未提供不得分。（本项最高3分）</w:t>
            </w:r>
            <w:r>
              <w:rPr>
                <w:rStyle w:val="1067"/>
                <w:rFonts w:cs="Times New Roman"/>
                <w:b w:val="0"/>
                <w:bCs w:val="0"/>
                <w:i w:val="0"/>
                <w:iCs w:val="0"/>
                <w:szCs w:val="21"/>
              </w:rPr>
            </w:r>
            <w:r/>
          </w:p>
          <w:p>
            <w:pPr>
              <w:pStyle w:val="674"/>
              <w:ind w:left="0" w:right="0" w:firstLine="0"/>
              <w:jc w:val="left"/>
              <w:keepLines w:val="0"/>
              <w:keepNext w:val="0"/>
              <w:pageBreakBefore w:val="0"/>
              <w:spacing w:line="320" w:lineRule="exact"/>
              <w:rPr>
                <w:rStyle w:val="1067"/>
                <w:rFonts w:cs="Times New Roman"/>
                <w:b w:val="0"/>
                <w:bCs w:val="0"/>
                <w:i w:val="0"/>
                <w:iCs w:val="0"/>
                <w:szCs w:val="21"/>
              </w:rPr>
            </w:pPr>
            <w:r>
              <w:rPr>
                <w:rStyle w:val="1067"/>
                <w:rFonts w:hint="eastAsia" w:cs="Times New Roman"/>
                <w:b w:val="0"/>
                <w:bCs w:val="0"/>
                <w:i w:val="0"/>
                <w:iCs w:val="0"/>
                <w:szCs w:val="21"/>
              </w:rPr>
              <w:t xml:space="preserve">3.投标人需对投标设计方案运行维护的合理性进行说明，主要从运行管理便利性、设备运行检修方便性、运行经济节约性及安全环保等方面进行说明。要求运行管理便利、设备运行检修方便、运行成本较低及安全环保。优于采购需求的得3分，基本满足采购需求的得2分，低于采购需求的得1分，未提供不得分。（本项最高3分）</w:t>
            </w:r>
            <w:r>
              <w:rPr>
                <w:rStyle w:val="1067"/>
                <w:rFonts w:cs="Times New Roman"/>
                <w:b w:val="0"/>
                <w:bCs w:val="0"/>
                <w:i w:val="0"/>
                <w:iCs w:val="0"/>
                <w:szCs w:val="21"/>
              </w:rPr>
            </w:r>
            <w:r/>
          </w:p>
          <w:p>
            <w:pPr>
              <w:pStyle w:val="674"/>
              <w:ind w:left="0" w:right="0" w:firstLine="0"/>
              <w:jc w:val="left"/>
              <w:keepLines w:val="0"/>
              <w:keepNext w:val="0"/>
              <w:pageBreakBefore w:val="0"/>
              <w:spacing w:line="320" w:lineRule="exact"/>
              <w:rPr>
                <w:rStyle w:val="1067"/>
                <w:rFonts w:cs="Times New Roman"/>
                <w:b w:val="0"/>
                <w:bCs w:val="0"/>
                <w:i w:val="0"/>
                <w:iCs w:val="0"/>
                <w:szCs w:val="21"/>
              </w:rPr>
            </w:pPr>
            <w:r>
              <w:rPr>
                <w:rStyle w:val="1067"/>
                <w:rFonts w:hint="eastAsia" w:cs="Times New Roman"/>
                <w:b w:val="0"/>
                <w:bCs w:val="0"/>
                <w:i w:val="0"/>
                <w:iCs w:val="0"/>
                <w:szCs w:val="21"/>
              </w:rPr>
              <w:t xml:space="preserve">4. 投标人对投标工艺总体设计进行阐述，主要说明设计工艺流程，工艺布置与配置及工艺处理程度等。要求方案设计与实际结合准确，</w:t>
            </w:r>
            <w:r>
              <w:rPr>
                <w:rStyle w:val="1067"/>
                <w:rFonts w:cs="Times New Roman"/>
                <w:b w:val="0"/>
                <w:bCs w:val="0"/>
                <w:i w:val="0"/>
                <w:iCs w:val="0"/>
                <w:szCs w:val="21"/>
              </w:rPr>
              <w:t xml:space="preserve">描述清晰明了。</w:t>
            </w:r>
            <w:r>
              <w:rPr>
                <w:rStyle w:val="1067"/>
                <w:rFonts w:hint="eastAsia" w:cs="Times New Roman"/>
                <w:b w:val="0"/>
                <w:bCs w:val="0"/>
                <w:i w:val="0"/>
                <w:iCs w:val="0"/>
                <w:szCs w:val="21"/>
              </w:rPr>
              <w:t xml:space="preserve">优于采购需求的得5分，基本满足采购需求的得3分，低于采购需求的得1分，未提供不得分。（本项最高5分）</w:t>
            </w:r>
            <w:r>
              <w:rPr>
                <w:rStyle w:val="1067"/>
                <w:rFonts w:cs="Times New Roman"/>
                <w:b w:val="0"/>
                <w:bCs w:val="0"/>
                <w:i w:val="0"/>
                <w:iCs w:val="0"/>
                <w:szCs w:val="21"/>
              </w:rPr>
            </w:r>
            <w:r/>
          </w:p>
          <w:p>
            <w:pPr>
              <w:pStyle w:val="674"/>
              <w:ind w:left="0" w:right="0" w:firstLine="0"/>
              <w:jc w:val="left"/>
              <w:keepLines w:val="0"/>
              <w:keepNext w:val="0"/>
              <w:pageBreakBefore w:val="0"/>
              <w:spacing w:line="320" w:lineRule="exact"/>
              <w:rPr>
                <w:rStyle w:val="1067"/>
                <w:rFonts w:cs="Times New Roman"/>
                <w:b w:val="0"/>
                <w:bCs w:val="0"/>
                <w:i w:val="0"/>
                <w:iCs w:val="0"/>
                <w:szCs w:val="21"/>
              </w:rPr>
            </w:pPr>
            <w:r>
              <w:rPr>
                <w:rStyle w:val="1067"/>
                <w:rFonts w:hint="eastAsia" w:cs="Times New Roman"/>
                <w:b w:val="0"/>
                <w:bCs w:val="0"/>
                <w:i w:val="0"/>
                <w:iCs w:val="0"/>
                <w:szCs w:val="21"/>
              </w:rPr>
              <w:t xml:space="preserve">5. 投标人需对投标工艺设计的生化池总水力停留时间进行说明，生化池停留时间考核，当生化池总停留时间大于14h时，得5分，低于14h时，得0分。</w:t>
            </w:r>
            <w:r>
              <w:rPr>
                <w:rStyle w:val="1067"/>
                <w:rFonts w:cs="Times New Roman"/>
                <w:b w:val="0"/>
                <w:bCs w:val="0"/>
                <w:i w:val="0"/>
                <w:iCs w:val="0"/>
                <w:szCs w:val="21"/>
              </w:rPr>
            </w:r>
            <w:r/>
          </w:p>
          <w:p>
            <w:pPr>
              <w:pStyle w:val="674"/>
              <w:ind w:left="0" w:right="0" w:firstLine="0"/>
              <w:jc w:val="left"/>
              <w:keepLines w:val="0"/>
              <w:keepNext w:val="0"/>
              <w:pageBreakBefore w:val="0"/>
              <w:spacing w:line="320" w:lineRule="exact"/>
              <w:rPr>
                <w:rFonts w:hint="eastAsia" w:ascii="宋体" w:hAnsi="宋体"/>
                <w:color w:val="00b050"/>
              </w:rPr>
            </w:pPr>
            <w:r>
              <w:rPr>
                <w:rStyle w:val="1067"/>
                <w:rFonts w:hint="eastAsia" w:cs="Times New Roman"/>
                <w:b w:val="0"/>
                <w:bCs w:val="0"/>
                <w:i w:val="0"/>
                <w:iCs w:val="0"/>
                <w:szCs w:val="21"/>
              </w:rPr>
              <w:t xml:space="preserve">6. 投标人需对投标工艺设计的二沉池表面负荷进行说明，二沉池表面负荷考核，当二沉池表面负荷低于1.1 m3/（m2·h）时，得5分，高于1.1 m3/（m2·h）时，得0分。</w:t>
            </w:r>
            <w:r>
              <w:rPr>
                <w:rFonts w:hint="eastAsia" w:ascii="宋体" w:hAnsi="宋体"/>
                <w:color w:val="00b050"/>
              </w:rPr>
            </w:r>
            <w:r/>
          </w:p>
        </w:tc>
      </w:tr>
      <w:tr>
        <w:trPr/>
        <w:tc>
          <w:tcPr>
            <w:tcW w:w="386" w:type="dxa"/>
            <w:vAlign w:val="center"/>
            <w:vMerge w:val="continue"/>
            <w:textDirection w:val="lrTb"/>
            <w:noWrap w:val="false"/>
          </w:tcPr>
          <w:p>
            <w:pPr>
              <w:pStyle w:val="674"/>
              <w:ind w:left="0" w:right="0" w:firstLine="0"/>
              <w:jc w:val="center"/>
              <w:keepLines w:val="0"/>
              <w:keepNext w:val="0"/>
              <w:pageBreakBefore w:val="0"/>
              <w:spacing w:line="320" w:lineRule="exact"/>
              <w:widowControl/>
              <w:rPr>
                <w:rFonts w:ascii="宋体" w:hAnsi="宋体"/>
              </w:rPr>
            </w:pPr>
            <w:r>
              <w:rPr>
                <w:rFonts w:ascii="宋体" w:hAnsi="宋体"/>
              </w:rPr>
            </w:r>
            <w:r/>
          </w:p>
        </w:tc>
        <w:tc>
          <w:tcPr>
            <w:tcW w:w="519" w:type="dxa"/>
            <w:vAlign w:val="center"/>
            <w:vMerge w:val="continue"/>
            <w:textDirection w:val="lrTb"/>
            <w:noWrap w:val="false"/>
          </w:tcPr>
          <w:p>
            <w:pPr>
              <w:pStyle w:val="674"/>
              <w:ind w:left="0" w:right="0" w:firstLine="0"/>
              <w:jc w:val="left"/>
              <w:keepLines w:val="0"/>
              <w:keepNext w:val="0"/>
              <w:pageBreakBefore w:val="0"/>
              <w:spacing w:line="320" w:lineRule="exact"/>
              <w:widowControl/>
              <w:rPr>
                <w:rFonts w:ascii="宋体" w:hAnsi="宋体"/>
              </w:rPr>
            </w:pPr>
            <w:r>
              <w:rPr>
                <w:rFonts w:ascii="宋体" w:hAnsi="宋体"/>
              </w:rPr>
            </w:r>
            <w:r/>
          </w:p>
        </w:tc>
        <w:tc>
          <w:tcPr>
            <w:tcW w:w="775" w:type="dxa"/>
            <w:vAlign w:val="center"/>
            <w:textDirection w:val="lrTb"/>
            <w:noWrap w:val="false"/>
          </w:tcPr>
          <w:p>
            <w:pPr>
              <w:pStyle w:val="674"/>
              <w:ind w:left="0" w:right="0" w:firstLine="0"/>
              <w:jc w:val="left"/>
              <w:keepLines w:val="0"/>
              <w:keepNext w:val="0"/>
              <w:pageBreakBefore w:val="0"/>
              <w:spacing w:line="320" w:lineRule="exact"/>
              <w:rPr>
                <w:rFonts w:hint="eastAsia" w:ascii="宋体" w:hAnsi="宋体"/>
              </w:rPr>
            </w:pPr>
            <w:r>
              <w:rPr>
                <w:rFonts w:ascii="宋体" w:hAnsi="宋体"/>
              </w:rPr>
              <w:t xml:space="preserve">2. 方案</w:t>
            </w:r>
            <w:r>
              <w:rPr>
                <w:rFonts w:hint="eastAsia" w:ascii="宋体" w:hAnsi="宋体"/>
              </w:rPr>
              <w:t xml:space="preserve">设计图纸成果</w:t>
            </w:r>
            <w:r>
              <w:rPr>
                <w:rFonts w:hint="eastAsia" w:ascii="宋体" w:hAnsi="宋体" w:eastAsia="宋体" w:cs="Times New Roman"/>
              </w:rPr>
              <w:t xml:space="preserve">（20分）</w:t>
            </w:r>
            <w:r>
              <w:rPr>
                <w:rFonts w:hint="eastAsia" w:ascii="宋体" w:hAnsi="宋体"/>
              </w:rPr>
            </w:r>
            <w:r/>
          </w:p>
        </w:tc>
        <w:tc>
          <w:tcPr>
            <w:tcW w:w="3318" w:type="dxa"/>
            <w:vAlign w:val="top"/>
            <w:textDirection w:val="lrTb"/>
            <w:noWrap w:val="false"/>
          </w:tcPr>
          <w:p>
            <w:pPr>
              <w:pStyle w:val="674"/>
              <w:ind w:left="0" w:right="0" w:firstLine="0"/>
              <w:jc w:val="left"/>
              <w:keepLines w:val="0"/>
              <w:keepNext w:val="0"/>
              <w:pageBreakBefore w:val="0"/>
              <w:spacing w:line="320" w:lineRule="exact"/>
              <w:rPr>
                <w:rFonts w:hint="eastAsia" w:ascii="宋体" w:hAnsi="宋体"/>
              </w:rPr>
            </w:pPr>
            <w:r>
              <w:rPr>
                <w:rStyle w:val="1066"/>
                <w:rFonts w:hint="eastAsia" w:ascii="宋体" w:hAnsi="宋体"/>
                <w:szCs w:val="21"/>
              </w:rPr>
              <w:t xml:space="preserve">提供本工程所需的全部图纸，包括总平面图、工艺设计图纸、电气设计图纸、结构图纸及</w:t>
            </w:r>
            <w:r>
              <w:rPr>
                <w:rStyle w:val="1067"/>
                <w:szCs w:val="21"/>
              </w:rPr>
              <w:t xml:space="preserve">设备安装和基础大样图等所有图纸（即中标后可立即按照提供的图纸进行施工</w:t>
            </w:r>
            <w:r>
              <w:rPr>
                <w:rStyle w:val="1067"/>
                <w:szCs w:val="21"/>
              </w:rPr>
              <w:t xml:space="preserve">，</w:t>
            </w:r>
            <w:r>
              <w:rPr>
                <w:rStyle w:val="1067"/>
                <w:szCs w:val="21"/>
              </w:rPr>
              <w:t xml:space="preserve">投标时提供PDF版本图纸）。</w:t>
            </w:r>
            <w:r>
              <w:rPr>
                <w:rStyle w:val="1066"/>
                <w:rFonts w:hint="eastAsia" w:ascii="宋体" w:hAnsi="宋体"/>
                <w:szCs w:val="21"/>
              </w:rPr>
              <w:t xml:space="preserve">相关等</w:t>
            </w:r>
            <w:r>
              <w:rPr>
                <w:rStyle w:val="1066"/>
                <w:rFonts w:ascii="宋体" w:hAnsi="宋体"/>
                <w:szCs w:val="21"/>
              </w:rPr>
              <w:t xml:space="preserve">且设计合理，设计依据符合相关规范及标准要求。</w:t>
            </w:r>
            <w:r>
              <w:rPr>
                <w:rStyle w:val="1067"/>
                <w:szCs w:val="21"/>
              </w:rPr>
              <w:t xml:space="preserve">设计深度需达到施工图标</w:t>
            </w:r>
            <w:r>
              <w:rPr>
                <w:rStyle w:val="1066"/>
                <w:rFonts w:ascii="宋体" w:hAnsi="宋体" w:eastAsia="宋体"/>
                <w:b w:val="0"/>
                <w:bCs w:val="0"/>
                <w:i w:val="0"/>
                <w:iCs w:val="0"/>
                <w:szCs w:val="21"/>
              </w:rPr>
              <w:t xml:space="preserve">准，保证提供图纸的完整性。图纸提供全面，设计参数与设计图纸对应准确，厌氧池、缺氧池等池体尺寸以及内、外回流标注清楚，各样参数选取正确，图纸深度达到施工图标准。</w:t>
            </w:r>
            <w:r>
              <w:rPr>
                <w:rStyle w:val="1066"/>
                <w:rFonts w:hint="eastAsia" w:ascii="宋体" w:hAnsi="宋体" w:eastAsia="宋体"/>
                <w:b w:val="0"/>
                <w:bCs w:val="0"/>
                <w:i w:val="0"/>
                <w:iCs w:val="0"/>
                <w:szCs w:val="21"/>
              </w:rPr>
              <w:t xml:space="preserve">优于采购需求的得20分，基本满足采购需求的得10分，低于采购需求的得2分，未提供不得分。（本项最高20分）</w:t>
            </w:r>
            <w:r>
              <w:rPr>
                <w:rFonts w:hint="eastAsia" w:ascii="宋体" w:hAnsi="宋体"/>
              </w:rPr>
            </w:r>
            <w:r/>
          </w:p>
        </w:tc>
      </w:tr>
      <w:tr>
        <w:trPr>
          <w:trHeight w:val="983"/>
        </w:trPr>
        <w:tc>
          <w:tcPr>
            <w:tcW w:w="386" w:type="dxa"/>
            <w:vAlign w:val="center"/>
            <w:textDirection w:val="lrTb"/>
            <w:noWrap w:val="false"/>
          </w:tcPr>
          <w:p>
            <w:pPr>
              <w:pStyle w:val="674"/>
              <w:ind w:left="0" w:right="0" w:firstLine="0"/>
              <w:jc w:val="center"/>
              <w:keepLines w:val="0"/>
              <w:keepNext w:val="0"/>
              <w:pageBreakBefore w:val="0"/>
              <w:spacing w:line="320" w:lineRule="exact"/>
              <w:rPr>
                <w:rFonts w:ascii="宋体" w:hAnsi="宋体"/>
              </w:rPr>
            </w:pPr>
            <w:r>
              <w:rPr>
                <w:rFonts w:ascii="宋体" w:hAnsi="宋体"/>
              </w:rPr>
              <w:t xml:space="preserve">2</w:t>
            </w:r>
            <w:r>
              <w:rPr>
                <w:rFonts w:ascii="宋体" w:hAnsi="宋体"/>
              </w:rPr>
            </w:r>
            <w:r/>
          </w:p>
        </w:tc>
        <w:tc>
          <w:tcPr>
            <w:tcW w:w="519" w:type="dxa"/>
            <w:vAlign w:val="center"/>
            <w:textDirection w:val="lrTb"/>
            <w:noWrap w:val="false"/>
          </w:tcPr>
          <w:p>
            <w:pPr>
              <w:pStyle w:val="674"/>
              <w:ind w:left="0" w:right="0" w:firstLine="0"/>
              <w:jc w:val="center"/>
              <w:keepLines w:val="0"/>
              <w:keepNext w:val="0"/>
              <w:pageBreakBefore w:val="0"/>
              <w:spacing w:line="320" w:lineRule="exact"/>
              <w:rPr>
                <w:rFonts w:ascii="宋体" w:hAnsi="宋体"/>
              </w:rPr>
            </w:pPr>
            <w:r>
              <w:rPr>
                <w:rFonts w:hint="eastAsia" w:ascii="宋体" w:hAnsi="宋体"/>
              </w:rPr>
              <w:t xml:space="preserve">报价分（15分）</w:t>
            </w:r>
            <w:r>
              <w:rPr>
                <w:rFonts w:ascii="宋体" w:hAnsi="宋体"/>
              </w:rPr>
            </w:r>
            <w:r/>
          </w:p>
        </w:tc>
        <w:tc>
          <w:tcPr>
            <w:tcW w:w="775" w:type="dxa"/>
            <w:vAlign w:val="center"/>
            <w:textDirection w:val="lrTb"/>
            <w:noWrap w:val="false"/>
          </w:tcPr>
          <w:p>
            <w:pPr>
              <w:pStyle w:val="674"/>
              <w:ind w:left="0" w:right="0" w:firstLine="0"/>
              <w:jc w:val="center"/>
              <w:keepLines w:val="0"/>
              <w:keepNext w:val="0"/>
              <w:pageBreakBefore w:val="0"/>
              <w:spacing w:line="320" w:lineRule="exact"/>
              <w:rPr>
                <w:szCs w:val="22"/>
              </w:rPr>
            </w:pPr>
            <w:r>
              <w:rPr>
                <w:rFonts w:hint="eastAsia"/>
                <w:szCs w:val="22"/>
              </w:rPr>
              <w:t xml:space="preserve">15</w:t>
            </w:r>
            <w:r>
              <w:rPr>
                <w:szCs w:val="22"/>
              </w:rPr>
              <w:t xml:space="preserve">.00分</w:t>
            </w:r>
            <w:r>
              <w:rPr>
                <w:szCs w:val="22"/>
              </w:rPr>
            </w:r>
            <w:r/>
          </w:p>
        </w:tc>
        <w:tc>
          <w:tcPr>
            <w:tcW w:w="3318" w:type="dxa"/>
            <w:vAlign w:val="center"/>
            <w:textDirection w:val="lrTb"/>
            <w:noWrap w:val="false"/>
          </w:tcPr>
          <w:p>
            <w:pPr>
              <w:pStyle w:val="674"/>
              <w:ind w:left="0" w:right="0" w:firstLine="0"/>
              <w:jc w:val="left"/>
              <w:keepLines w:val="0"/>
              <w:keepNext w:val="0"/>
              <w:pageBreakBefore w:val="0"/>
              <w:spacing w:line="320" w:lineRule="exact"/>
              <w:rPr>
                <w:szCs w:val="22"/>
              </w:rPr>
            </w:pPr>
            <w:r>
              <w:rPr>
                <w:rFonts w:hint="eastAsia"/>
                <w:szCs w:val="22"/>
              </w:rPr>
              <w:t xml:space="preserve">满足招标文件要求且投标价格最低的投标报价为评标基准价，其价格分为满分。其他投标人的价格分统一按照下列公式计算：投标报价得分</w:t>
            </w:r>
            <w:r>
              <w:rPr>
                <w:szCs w:val="22"/>
              </w:rPr>
              <w:t xml:space="preserve">=(</w:t>
            </w:r>
            <w:r>
              <w:rPr>
                <w:rFonts w:hint="eastAsia"/>
                <w:szCs w:val="22"/>
              </w:rPr>
              <w:t xml:space="preserve">评标基准价／投标报价</w:t>
            </w:r>
            <w:r>
              <w:rPr>
                <w:szCs w:val="22"/>
              </w:rPr>
              <w:t xml:space="preserve">)×1</w:t>
            </w:r>
            <w:r>
              <w:rPr>
                <w:rFonts w:hint="eastAsia"/>
                <w:szCs w:val="22"/>
              </w:rPr>
              <w:t xml:space="preserve">5（该结果四舍五入，保留两位小数）。</w:t>
            </w:r>
            <w:r>
              <w:rPr>
                <w:szCs w:val="22"/>
              </w:rPr>
            </w:r>
            <w:r/>
          </w:p>
        </w:tc>
      </w:tr>
      <w:tr>
        <w:trPr/>
        <w:tc>
          <w:tcPr>
            <w:tcW w:w="386" w:type="dxa"/>
            <w:vAlign w:val="center"/>
            <w:vMerge w:val="restart"/>
            <w:textDirection w:val="lrTb"/>
            <w:noWrap w:val="false"/>
          </w:tcPr>
          <w:p>
            <w:pPr>
              <w:pStyle w:val="674"/>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3</w:t>
            </w:r>
            <w:r>
              <w:rPr>
                <w:rFonts w:hint="eastAsia" w:ascii="宋体" w:hAnsi="宋体"/>
              </w:rPr>
            </w:r>
            <w:r/>
          </w:p>
        </w:tc>
        <w:tc>
          <w:tcPr>
            <w:tcW w:w="519" w:type="dxa"/>
            <w:vAlign w:val="center"/>
            <w:vMerge w:val="restart"/>
            <w:textDirection w:val="lrTb"/>
            <w:noWrap w:val="false"/>
          </w:tcPr>
          <w:p>
            <w:pPr>
              <w:pStyle w:val="674"/>
              <w:ind w:left="0" w:right="0" w:firstLine="0"/>
              <w:jc w:val="center"/>
              <w:keepLines w:val="0"/>
              <w:keepNext w:val="0"/>
              <w:pageBreakBefore w:val="0"/>
              <w:spacing w:line="320" w:lineRule="exact"/>
              <w:rPr>
                <w:rFonts w:ascii="宋体" w:hAnsi="宋体"/>
              </w:rPr>
            </w:pPr>
            <w:r>
              <w:rPr>
                <w:rFonts w:hint="eastAsia" w:ascii="宋体" w:hAnsi="宋体"/>
              </w:rPr>
              <w:t xml:space="preserve">施工管理方案（6分）</w:t>
            </w:r>
            <w:r>
              <w:rPr>
                <w:rFonts w:ascii="宋体" w:hAnsi="宋体"/>
              </w:rPr>
            </w:r>
            <w:r/>
          </w:p>
        </w:tc>
        <w:tc>
          <w:tcPr>
            <w:tcW w:w="775" w:type="dxa"/>
            <w:vAlign w:val="center"/>
            <w:textDirection w:val="lrTb"/>
            <w:noWrap w:val="false"/>
          </w:tcPr>
          <w:p>
            <w:pPr>
              <w:pStyle w:val="674"/>
              <w:ind w:left="0" w:right="0" w:firstLine="0"/>
              <w:jc w:val="center"/>
              <w:keepLines w:val="0"/>
              <w:keepNext w:val="0"/>
              <w:pageBreakBefore w:val="0"/>
              <w:spacing w:line="320" w:lineRule="exact"/>
              <w:rPr>
                <w:rFonts w:ascii="宋体" w:hAnsi="宋体"/>
              </w:rPr>
            </w:pPr>
            <w:r>
              <w:rPr>
                <w:rFonts w:ascii="宋体" w:hAnsi="宋体"/>
              </w:rPr>
              <w:t xml:space="preserve">1</w:t>
            </w:r>
            <w:r>
              <w:rPr>
                <w:rFonts w:hint="eastAsia" w:ascii="宋体" w:hAnsi="宋体"/>
              </w:rPr>
              <w:t xml:space="preserve">.施工进度管理（2分）</w:t>
            </w:r>
            <w:r>
              <w:rPr>
                <w:rFonts w:ascii="宋体" w:hAnsi="宋体"/>
              </w:rPr>
            </w:r>
            <w:r/>
          </w:p>
        </w:tc>
        <w:tc>
          <w:tcPr>
            <w:tcW w:w="3318" w:type="dxa"/>
            <w:vAlign w:val="center"/>
            <w:textDirection w:val="lrTb"/>
            <w:noWrap w:val="false"/>
          </w:tcPr>
          <w:p>
            <w:pPr>
              <w:pStyle w:val="674"/>
              <w:ind w:left="0" w:right="0" w:firstLine="0"/>
              <w:jc w:val="left"/>
              <w:keepLines w:val="0"/>
              <w:keepNext w:val="0"/>
              <w:pageBreakBefore w:val="0"/>
              <w:spacing w:line="320" w:lineRule="exact"/>
              <w:rPr>
                <w:rFonts w:hint="eastAsia" w:ascii="宋体" w:hAnsi="宋体"/>
                <w:color w:val="0000ff"/>
              </w:rPr>
            </w:pPr>
            <w:r>
              <w:rPr>
                <w:rFonts w:hint="eastAsia" w:ascii="Times New Roman" w:hAnsi="Times New Roman" w:eastAsia="宋体" w:cs="Times New Roman"/>
                <w:szCs w:val="22"/>
              </w:rPr>
              <w:t xml:space="preserve">对工程总承包施工进度计划和各阶段进度的保证措施进行评分。优于采购需求的得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分，基本满足采购需求的得</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分，低于采购需求的得</w:t>
            </w:r>
            <w:r>
              <w:rPr>
                <w:rFonts w:hint="eastAsia" w:ascii="Times New Roman" w:hAnsi="Times New Roman" w:eastAsia="宋体" w:cs="Times New Roman"/>
                <w:szCs w:val="22"/>
                <w:lang w:val="en-US" w:eastAsia="zh-CN"/>
              </w:rPr>
              <w:t xml:space="preserve">0.2</w:t>
            </w:r>
            <w:r>
              <w:rPr>
                <w:rFonts w:hint="eastAsia" w:ascii="Times New Roman" w:hAnsi="Times New Roman" w:eastAsia="宋体" w:cs="Times New Roman"/>
                <w:szCs w:val="22"/>
              </w:rPr>
              <w:t xml:space="preserve">分，未提供不得分。（本项最高1分）</w:t>
            </w:r>
            <w:r>
              <w:rPr>
                <w:rFonts w:hint="eastAsia" w:ascii="宋体" w:hAnsi="宋体"/>
                <w:color w:val="0000ff"/>
              </w:rPr>
            </w:r>
            <w:r/>
          </w:p>
        </w:tc>
      </w:tr>
      <w:tr>
        <w:trPr/>
        <w:tc>
          <w:tcPr>
            <w:tcW w:w="386" w:type="dxa"/>
            <w:vAlign w:val="center"/>
            <w:vMerge w:val="continue"/>
            <w:textDirection w:val="lrTb"/>
            <w:noWrap w:val="false"/>
          </w:tcPr>
          <w:p>
            <w:pPr>
              <w:pStyle w:val="674"/>
              <w:ind w:left="0" w:right="0" w:firstLine="0"/>
              <w:jc w:val="center"/>
              <w:keepLines w:val="0"/>
              <w:keepNext w:val="0"/>
              <w:pageBreakBefore w:val="0"/>
              <w:spacing w:line="320" w:lineRule="exact"/>
              <w:widowControl/>
              <w:rPr>
                <w:rFonts w:ascii="宋体" w:hAnsi="宋体"/>
              </w:rPr>
            </w:pPr>
            <w:r>
              <w:rPr>
                <w:rFonts w:ascii="宋体" w:hAnsi="宋体"/>
              </w:rPr>
            </w:r>
            <w:r/>
          </w:p>
        </w:tc>
        <w:tc>
          <w:tcPr>
            <w:tcW w:w="519" w:type="dxa"/>
            <w:vAlign w:val="center"/>
            <w:vMerge w:val="continue"/>
            <w:textDirection w:val="lrTb"/>
            <w:noWrap w:val="false"/>
          </w:tcPr>
          <w:p>
            <w:pPr>
              <w:pStyle w:val="674"/>
              <w:ind w:left="0" w:right="0" w:firstLine="0"/>
              <w:jc w:val="left"/>
              <w:keepLines w:val="0"/>
              <w:keepNext w:val="0"/>
              <w:pageBreakBefore w:val="0"/>
              <w:spacing w:line="320" w:lineRule="exact"/>
              <w:widowControl/>
              <w:rPr>
                <w:rFonts w:ascii="宋体" w:hAnsi="宋体"/>
              </w:rPr>
            </w:pPr>
            <w:r>
              <w:rPr>
                <w:rFonts w:ascii="宋体" w:hAnsi="宋体"/>
              </w:rPr>
            </w:r>
            <w:r/>
          </w:p>
        </w:tc>
        <w:tc>
          <w:tcPr>
            <w:tcW w:w="775" w:type="dxa"/>
            <w:vAlign w:val="center"/>
            <w:textDirection w:val="lrTb"/>
            <w:noWrap w:val="false"/>
          </w:tcPr>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2.施工质量管理（2分）</w:t>
            </w:r>
            <w:r>
              <w:rPr>
                <w:rFonts w:ascii="宋体" w:hAnsi="宋体"/>
              </w:rPr>
            </w:r>
            <w:r/>
          </w:p>
        </w:tc>
        <w:tc>
          <w:tcPr>
            <w:tcW w:w="3318" w:type="dxa"/>
            <w:vAlign w:val="center"/>
            <w:textDirection w:val="lrTb"/>
            <w:noWrap w:val="false"/>
          </w:tcPr>
          <w:p>
            <w:pPr>
              <w:pStyle w:val="674"/>
              <w:ind w:left="0" w:right="0" w:firstLine="0"/>
              <w:jc w:val="left"/>
              <w:keepLines w:val="0"/>
              <w:keepNext w:val="0"/>
              <w:pageBreakBefore w:val="0"/>
              <w:spacing w:line="320" w:lineRule="exact"/>
              <w:rPr>
                <w:rFonts w:hint="eastAsia" w:ascii="宋体" w:hAnsi="宋体"/>
                <w:color w:val="0000ff"/>
              </w:rPr>
            </w:pPr>
            <w:r>
              <w:rPr>
                <w:rFonts w:hint="eastAsia" w:ascii="Times New Roman" w:hAnsi="Times New Roman" w:eastAsia="宋体" w:cs="Times New Roman"/>
                <w:szCs w:val="22"/>
              </w:rPr>
              <w:t xml:space="preserve">对工程各分部分项工程的施工方案及质量保证措施进行评分。优于采购需求的得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分，基本满足采购需求的得</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分，低于采购需求</w:t>
            </w:r>
            <w:r>
              <w:rPr>
                <w:rFonts w:hint="eastAsia" w:ascii="宋体" w:hAnsi="宋体"/>
              </w:rPr>
              <w:t xml:space="preserve">的得0.2分，未提供不得分。</w:t>
            </w:r>
            <w:r>
              <w:rPr>
                <w:rStyle w:val="1066"/>
                <w:rFonts w:hint="eastAsia" w:ascii="宋体" w:hAnsi="宋体"/>
                <w:szCs w:val="21"/>
              </w:rPr>
              <w:t xml:space="preserve">（本项最高1分）</w:t>
            </w:r>
            <w:r>
              <w:rPr>
                <w:rFonts w:hint="eastAsia" w:ascii="宋体" w:hAnsi="宋体"/>
                <w:color w:val="0000ff"/>
              </w:rPr>
            </w:r>
            <w:r/>
          </w:p>
        </w:tc>
      </w:tr>
      <w:tr>
        <w:trPr/>
        <w:tc>
          <w:tcPr>
            <w:tcW w:w="386" w:type="dxa"/>
            <w:vAlign w:val="center"/>
            <w:vMerge w:val="continue"/>
            <w:textDirection w:val="lrTb"/>
            <w:noWrap w:val="false"/>
          </w:tcPr>
          <w:p>
            <w:pPr>
              <w:pStyle w:val="674"/>
              <w:ind w:left="0" w:right="0" w:firstLine="0"/>
              <w:jc w:val="center"/>
              <w:keepLines w:val="0"/>
              <w:keepNext w:val="0"/>
              <w:pageBreakBefore w:val="0"/>
              <w:spacing w:line="320" w:lineRule="exact"/>
              <w:widowControl/>
              <w:rPr>
                <w:rFonts w:ascii="宋体" w:hAnsi="宋体"/>
              </w:rPr>
            </w:pPr>
            <w:r>
              <w:rPr>
                <w:rFonts w:ascii="宋体" w:hAnsi="宋体"/>
              </w:rPr>
            </w:r>
            <w:r/>
          </w:p>
        </w:tc>
        <w:tc>
          <w:tcPr>
            <w:tcW w:w="519" w:type="dxa"/>
            <w:vAlign w:val="center"/>
            <w:vMerge w:val="continue"/>
            <w:textDirection w:val="lrTb"/>
            <w:noWrap w:val="false"/>
          </w:tcPr>
          <w:p>
            <w:pPr>
              <w:pStyle w:val="674"/>
              <w:ind w:left="0" w:right="0" w:firstLine="0"/>
              <w:jc w:val="left"/>
              <w:keepLines w:val="0"/>
              <w:keepNext w:val="0"/>
              <w:pageBreakBefore w:val="0"/>
              <w:spacing w:line="320" w:lineRule="exact"/>
              <w:widowControl/>
              <w:rPr>
                <w:rFonts w:ascii="宋体" w:hAnsi="宋体"/>
              </w:rPr>
            </w:pPr>
            <w:r>
              <w:rPr>
                <w:rFonts w:ascii="宋体" w:hAnsi="宋体"/>
              </w:rPr>
            </w:r>
            <w:r/>
          </w:p>
        </w:tc>
        <w:tc>
          <w:tcPr>
            <w:tcW w:w="775" w:type="dxa"/>
            <w:vAlign w:val="center"/>
            <w:textDirection w:val="lrTb"/>
            <w:noWrap w:val="false"/>
          </w:tcPr>
          <w:p>
            <w:pPr>
              <w:pStyle w:val="674"/>
              <w:ind w:left="0" w:right="0" w:firstLine="0"/>
              <w:jc w:val="left"/>
              <w:keepLines w:val="0"/>
              <w:keepNext w:val="0"/>
              <w:pageBreakBefore w:val="0"/>
              <w:spacing w:line="320" w:lineRule="exact"/>
              <w:rPr>
                <w:rFonts w:hint="eastAsia" w:ascii="宋体" w:hAnsi="宋体"/>
              </w:rPr>
            </w:pPr>
            <w:r>
              <w:rPr>
                <w:rFonts w:hint="eastAsia" w:ascii="宋体" w:hAnsi="宋体"/>
              </w:rPr>
              <w:t xml:space="preserve">3.施工安全管理</w:t>
            </w:r>
            <w:r>
              <w:rPr>
                <w:rFonts w:ascii="宋体" w:hAnsi="宋体"/>
              </w:rPr>
              <w:t xml:space="preserve">（</w:t>
            </w:r>
            <w:r>
              <w:rPr>
                <w:rFonts w:hint="eastAsia" w:ascii="宋体" w:hAnsi="宋体"/>
              </w:rPr>
              <w:t xml:space="preserve">2分）</w:t>
            </w:r>
            <w:r>
              <w:rPr>
                <w:rFonts w:hint="eastAsia" w:ascii="宋体" w:hAnsi="宋体"/>
              </w:rPr>
            </w:r>
            <w:r/>
          </w:p>
        </w:tc>
        <w:tc>
          <w:tcPr>
            <w:tcW w:w="3318" w:type="dxa"/>
            <w:vAlign w:val="center"/>
            <w:textDirection w:val="lrTb"/>
            <w:noWrap w:val="false"/>
          </w:tcPr>
          <w:p>
            <w:pPr>
              <w:pStyle w:val="674"/>
              <w:ind w:left="0" w:right="0" w:firstLine="0"/>
              <w:jc w:val="left"/>
              <w:keepLines w:val="0"/>
              <w:keepNext w:val="0"/>
              <w:pageBreakBefore w:val="0"/>
              <w:spacing w:line="320" w:lineRule="exact"/>
              <w:rPr>
                <w:rFonts w:hint="eastAsia" w:ascii="宋体" w:hAnsi="宋体"/>
                <w:color w:val="0000ff"/>
              </w:rPr>
            </w:pPr>
            <w:r>
              <w:rPr>
                <w:rFonts w:hint="eastAsia" w:ascii="Times New Roman" w:hAnsi="Times New Roman" w:eastAsia="宋体" w:cs="Times New Roman"/>
                <w:szCs w:val="22"/>
              </w:rPr>
              <w:t xml:space="preserve">对施工安全管理措施，安全文明施工及环境保护措施等安全管理进行评分。优于采购需求的得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分，基本满足采购需求的得</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分，低于采购需求的得0.2分，未提供不得分。（本项最高1分）</w:t>
            </w:r>
            <w:r>
              <w:rPr>
                <w:rFonts w:hint="eastAsia" w:ascii="宋体" w:hAnsi="宋体"/>
                <w:color w:val="0000ff"/>
              </w:rPr>
            </w:r>
            <w:r/>
          </w:p>
        </w:tc>
      </w:tr>
      <w:tr>
        <w:trPr/>
        <w:tc>
          <w:tcPr>
            <w:tcW w:w="386" w:type="dxa"/>
            <w:vAlign w:val="center"/>
            <w:textDirection w:val="lrTb"/>
            <w:noWrap w:val="false"/>
          </w:tcPr>
          <w:p>
            <w:pPr>
              <w:pStyle w:val="674"/>
              <w:ind w:left="0" w:right="0" w:firstLine="0"/>
              <w:jc w:val="center"/>
              <w:keepLines w:val="0"/>
              <w:keepNext w:val="0"/>
              <w:pageBreakBefore w:val="0"/>
              <w:spacing w:line="320" w:lineRule="exact"/>
              <w:widowControl/>
              <w:rPr>
                <w:rFonts w:ascii="宋体" w:hAnsi="宋体"/>
              </w:rPr>
            </w:pPr>
            <w:r>
              <w:rPr>
                <w:rFonts w:hint="eastAsia" w:ascii="宋体" w:hAnsi="宋体"/>
              </w:rPr>
              <w:t xml:space="preserve">4</w:t>
            </w:r>
            <w:r>
              <w:rPr>
                <w:rFonts w:ascii="宋体" w:hAnsi="宋体"/>
              </w:rPr>
            </w:r>
            <w:r/>
          </w:p>
        </w:tc>
        <w:tc>
          <w:tcPr>
            <w:tcW w:w="519" w:type="dxa"/>
            <w:vAlign w:val="center"/>
            <w:textDirection w:val="lrTb"/>
            <w:noWrap w:val="false"/>
          </w:tcPr>
          <w:p>
            <w:pPr>
              <w:pStyle w:val="674"/>
              <w:ind w:left="0" w:right="0" w:firstLine="0"/>
              <w:jc w:val="left"/>
              <w:keepLines w:val="0"/>
              <w:keepNext w:val="0"/>
              <w:pageBreakBefore w:val="0"/>
              <w:spacing w:line="320" w:lineRule="exact"/>
              <w:widowControl/>
              <w:rPr>
                <w:rFonts w:hint="eastAsia" w:ascii="宋体" w:hAnsi="宋体"/>
              </w:rPr>
            </w:pPr>
            <w:r>
              <w:rPr>
                <w:rFonts w:hint="eastAsia" w:ascii="宋体" w:hAnsi="宋体"/>
              </w:rPr>
              <w:t xml:space="preserve">调试运营方案（8分）</w:t>
            </w:r>
            <w:r>
              <w:rPr>
                <w:rFonts w:hint="eastAsia" w:ascii="宋体" w:hAnsi="宋体"/>
              </w:rPr>
            </w:r>
            <w:r/>
          </w:p>
        </w:tc>
        <w:tc>
          <w:tcPr>
            <w:gridSpan w:val="2"/>
            <w:tcW w:w="8057" w:type="dxa"/>
            <w:vAlign w:val="center"/>
            <w:textDirection w:val="lrTb"/>
            <w:noWrap w:val="false"/>
          </w:tcPr>
          <w:p>
            <w:pPr>
              <w:pStyle w:val="674"/>
              <w:numPr>
                <w:ilvl w:val="0"/>
                <w:numId w:val="12"/>
              </w:numPr>
              <w:ind w:left="0" w:right="0" w:firstLine="0"/>
              <w:jc w:val="left"/>
              <w:keepLines w:val="0"/>
              <w:keepNext w:val="0"/>
              <w:pageBreakBefore w:val="0"/>
              <w:spacing w:line="320" w:lineRule="exact"/>
              <w:widowControl/>
              <w:tabs>
                <w:tab w:val="left" w:pos="312" w:leader="none"/>
              </w:tabs>
              <w:rPr>
                <w:rFonts w:hint="eastAsia" w:ascii="宋体" w:hAnsi="宋体" w:eastAsia="宋体" w:cs="Times New Roman"/>
              </w:rPr>
            </w:pPr>
            <w:r>
              <w:rPr>
                <w:rFonts w:hint="eastAsia" w:ascii="宋体" w:hAnsi="宋体"/>
              </w:rPr>
              <w:t xml:space="preserve">调试方案：对</w:t>
            </w:r>
            <w:r>
              <w:rPr>
                <w:rFonts w:hint="eastAsia" w:ascii="宋体" w:hAnsi="宋体" w:eastAsia="宋体" w:cs="Times New Roman"/>
              </w:rPr>
              <w:t xml:space="preserve">项目设备的单机、联动调试及生化调试编制合理的方案，对方案进行评分。要求</w:t>
            </w:r>
            <w:r>
              <w:rPr>
                <w:rFonts w:ascii="宋体" w:hAnsi="宋体" w:eastAsia="宋体" w:cs="Times New Roman"/>
              </w:rPr>
              <w:t xml:space="preserve">调试方案描述清晰明了，内容详细，调试时间</w:t>
            </w:r>
            <w:r>
              <w:rPr>
                <w:rFonts w:hint="eastAsia" w:ascii="宋体" w:hAnsi="宋体" w:eastAsia="宋体" w:cs="Times New Roman"/>
              </w:rPr>
              <w:t xml:space="preserve">。优于采购需求的得4分，基本满足采购需求的得3分，低于采购需求的得1分，未提供不得分。（本项最高4分）</w:t>
            </w:r>
            <w:r>
              <w:rPr>
                <w:rFonts w:hint="eastAsia" w:ascii="宋体" w:hAnsi="宋体" w:eastAsia="宋体" w:cs="Times New Roman"/>
              </w:rPr>
            </w:r>
            <w:r/>
          </w:p>
          <w:p>
            <w:pPr>
              <w:pStyle w:val="674"/>
              <w:numPr>
                <w:ilvl w:val="0"/>
                <w:numId w:val="12"/>
              </w:numPr>
              <w:ind w:left="0" w:right="0" w:firstLine="0"/>
              <w:jc w:val="left"/>
              <w:keepLines w:val="0"/>
              <w:keepNext w:val="0"/>
              <w:pageBreakBefore w:val="0"/>
              <w:spacing w:line="320" w:lineRule="exact"/>
              <w:widowControl/>
              <w:tabs>
                <w:tab w:val="left" w:pos="312" w:leader="none"/>
              </w:tabs>
              <w:rPr>
                <w:rFonts w:hint="eastAsia" w:ascii="宋体" w:hAnsi="宋体"/>
                <w:color w:val="000000"/>
                <w:sz w:val="22"/>
              </w:rPr>
            </w:pPr>
            <w:r>
              <w:rPr>
                <w:rFonts w:hint="eastAsia" w:ascii="宋体" w:hAnsi="宋体" w:eastAsia="宋体" w:cs="Times New Roman"/>
              </w:rPr>
              <w:t xml:space="preserve">运营方案：对项目运营编制合理的运营方案，运营管理组织、制度、工艺管理、应急管理及合理的运营成本分析等进行描述的。要求</w:t>
            </w:r>
            <w:r>
              <w:rPr>
                <w:rFonts w:ascii="宋体" w:hAnsi="宋体" w:eastAsia="宋体" w:cs="Times New Roman"/>
              </w:rPr>
              <w:t xml:space="preserve">运营方案描述清晰明了，内容</w:t>
            </w:r>
            <w:r>
              <w:rPr>
                <w:rFonts w:hint="eastAsia" w:ascii="宋体" w:hAnsi="宋体" w:eastAsia="宋体" w:cs="Times New Roman"/>
              </w:rPr>
              <w:t xml:space="preserve">详细，运营成本低。优于采购需求的得4分，基本满足采购需</w:t>
            </w:r>
            <w:r>
              <w:rPr>
                <w:rFonts w:hint="eastAsia" w:ascii="宋体" w:hAnsi="宋体"/>
              </w:rPr>
              <w:t xml:space="preserve">求的得3分，低于采购需求的得1分，未提供不得分。</w:t>
            </w:r>
            <w:r>
              <w:rPr>
                <w:rStyle w:val="1066"/>
                <w:rFonts w:hint="eastAsia" w:ascii="宋体" w:hAnsi="宋体"/>
                <w:szCs w:val="21"/>
              </w:rPr>
              <w:t xml:space="preserve">（本项最高4分）</w:t>
            </w:r>
            <w:r>
              <w:rPr>
                <w:rFonts w:hint="eastAsia" w:ascii="宋体" w:hAnsi="宋体"/>
                <w:color w:val="000000"/>
                <w:sz w:val="22"/>
              </w:rPr>
            </w:r>
            <w:r/>
          </w:p>
        </w:tc>
      </w:tr>
      <w:tr>
        <w:trPr/>
        <w:tc>
          <w:tcPr>
            <w:tcW w:w="386" w:type="dxa"/>
            <w:vAlign w:val="center"/>
            <w:textDirection w:val="lrTb"/>
            <w:noWrap w:val="false"/>
          </w:tcPr>
          <w:p>
            <w:pPr>
              <w:pStyle w:val="674"/>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5</w:t>
            </w:r>
            <w:r>
              <w:rPr>
                <w:rFonts w:hint="eastAsia" w:ascii="宋体" w:hAnsi="宋体"/>
              </w:rPr>
            </w:r>
            <w:r/>
          </w:p>
        </w:tc>
        <w:tc>
          <w:tcPr>
            <w:tcW w:w="519" w:type="dxa"/>
            <w:vAlign w:val="center"/>
            <w:textDirection w:val="lrTb"/>
            <w:noWrap w:val="false"/>
          </w:tcPr>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项目管理机构（9分）</w:t>
            </w:r>
            <w:r>
              <w:rPr>
                <w:rFonts w:ascii="宋体" w:hAnsi="宋体"/>
              </w:rPr>
            </w:r>
            <w:r/>
          </w:p>
        </w:tc>
        <w:tc>
          <w:tcPr>
            <w:gridSpan w:val="2"/>
            <w:tcW w:w="8057" w:type="dxa"/>
            <w:vAlign w:val="center"/>
            <w:textDirection w:val="lrTb"/>
            <w:noWrap w:val="false"/>
          </w:tcPr>
          <w:p>
            <w:pPr>
              <w:pStyle w:val="674"/>
              <w:numPr>
                <w:ilvl w:val="0"/>
                <w:numId w:val="13"/>
              </w:numPr>
              <w:ind w:left="0" w:right="0" w:firstLine="0"/>
              <w:jc w:val="left"/>
              <w:keepLines w:val="0"/>
              <w:keepNext w:val="0"/>
              <w:pageBreakBefore w:val="0"/>
              <w:spacing w:line="320" w:lineRule="exact"/>
              <w:rPr>
                <w:rStyle w:val="1067"/>
                <w:szCs w:val="21"/>
              </w:rPr>
            </w:pPr>
            <w:r>
              <w:rPr>
                <w:rStyle w:val="1067"/>
                <w:szCs w:val="21"/>
              </w:rPr>
              <w:t xml:space="preserve">施工人员要求</w:t>
            </w:r>
            <w:r>
              <w:rPr>
                <w:rStyle w:val="1067"/>
                <w:rFonts w:hint="eastAsia" w:eastAsia="宋体"/>
                <w:szCs w:val="21"/>
                <w:lang w:eastAsia="zh-CN"/>
              </w:rPr>
              <w:t xml:space="preserve">：</w:t>
            </w:r>
            <w:r>
              <w:rPr>
                <w:rStyle w:val="1067"/>
                <w:szCs w:val="21"/>
              </w:rPr>
            </w:r>
            <w:r/>
          </w:p>
          <w:p>
            <w:pPr>
              <w:pStyle w:val="674"/>
              <w:ind w:left="0" w:right="0" w:firstLine="0"/>
              <w:jc w:val="left"/>
              <w:keepLines w:val="0"/>
              <w:keepNext w:val="0"/>
              <w:pageBreakBefore w:val="0"/>
              <w:spacing w:line="320" w:lineRule="exact"/>
              <w:rPr>
                <w:rStyle w:val="1067"/>
                <w:rFonts w:cs="Times New Roman"/>
                <w:b w:val="0"/>
                <w:bCs w:val="0"/>
                <w:i w:val="0"/>
                <w:iCs w:val="0"/>
                <w:szCs w:val="21"/>
              </w:rPr>
            </w:pPr>
            <w:r>
              <w:rPr>
                <w:rStyle w:val="1067"/>
                <w:szCs w:val="21"/>
              </w:rPr>
              <w:t xml:space="preserve">施工项目组配备人员中具有一级注册建造师（市政公用工程或机电安装工程专业）</w:t>
            </w:r>
            <w:r>
              <w:rPr>
                <w:rStyle w:val="1067"/>
                <w:rFonts w:cs="Times New Roman"/>
                <w:b w:val="0"/>
                <w:bCs w:val="0"/>
                <w:i w:val="0"/>
                <w:iCs w:val="0"/>
                <w:szCs w:val="21"/>
              </w:rPr>
              <w:t xml:space="preserve">或注册一级造价工程师执业资格的，每有一人得</w:t>
            </w:r>
            <w:r>
              <w:rPr>
                <w:rStyle w:val="1067"/>
                <w:rFonts w:hint="eastAsia" w:cs="Times New Roman"/>
                <w:b w:val="0"/>
                <w:bCs w:val="0"/>
                <w:i w:val="0"/>
                <w:iCs w:val="0"/>
                <w:szCs w:val="21"/>
              </w:rPr>
              <w:t xml:space="preserve">1</w:t>
            </w:r>
            <w:r>
              <w:rPr>
                <w:rStyle w:val="1067"/>
                <w:rFonts w:cs="Times New Roman"/>
                <w:b w:val="0"/>
                <w:bCs w:val="0"/>
                <w:i w:val="0"/>
                <w:iCs w:val="0"/>
                <w:szCs w:val="21"/>
              </w:rPr>
              <w:t xml:space="preserve">分，如同时具有高级及以上工程师职称的，每人每项另加0.</w:t>
            </w:r>
            <w:r>
              <w:rPr>
                <w:rStyle w:val="1067"/>
                <w:rFonts w:hint="eastAsia" w:cs="Times New Roman"/>
                <w:b w:val="0"/>
                <w:bCs w:val="0"/>
                <w:i w:val="0"/>
                <w:iCs w:val="0"/>
                <w:szCs w:val="21"/>
              </w:rPr>
              <w:t xml:space="preserve">5</w:t>
            </w:r>
            <w:r>
              <w:rPr>
                <w:rStyle w:val="1067"/>
                <w:rFonts w:cs="Times New Roman"/>
                <w:b w:val="0"/>
                <w:bCs w:val="0"/>
                <w:i w:val="0"/>
                <w:iCs w:val="0"/>
                <w:szCs w:val="21"/>
              </w:rPr>
              <w:t xml:space="preserve">分；本项最高得 </w:t>
            </w:r>
            <w:r>
              <w:rPr>
                <w:rStyle w:val="1067"/>
                <w:rFonts w:hint="eastAsia" w:cs="Times New Roman"/>
                <w:b w:val="0"/>
                <w:bCs w:val="0"/>
                <w:i w:val="0"/>
                <w:iCs w:val="0"/>
                <w:szCs w:val="21"/>
              </w:rPr>
              <w:t xml:space="preserve">3</w:t>
            </w:r>
            <w:r>
              <w:rPr>
                <w:rStyle w:val="1067"/>
                <w:rFonts w:cs="Times New Roman"/>
                <w:b w:val="0"/>
                <w:bCs w:val="0"/>
                <w:i w:val="0"/>
                <w:iCs w:val="0"/>
                <w:szCs w:val="21"/>
              </w:rPr>
              <w:t xml:space="preserve">分；</w:t>
            </w:r>
            <w:r>
              <w:rPr>
                <w:rStyle w:val="1067"/>
                <w:rFonts w:cs="Times New Roman"/>
                <w:b w:val="0"/>
                <w:bCs w:val="0"/>
                <w:i w:val="0"/>
                <w:iCs w:val="0"/>
                <w:szCs w:val="21"/>
              </w:rPr>
            </w:r>
            <w:r/>
          </w:p>
          <w:p>
            <w:pPr>
              <w:pStyle w:val="674"/>
              <w:ind w:left="0" w:right="0" w:firstLine="0"/>
              <w:jc w:val="left"/>
              <w:keepLines w:val="0"/>
              <w:keepNext w:val="0"/>
              <w:pageBreakBefore w:val="0"/>
              <w:spacing w:line="320" w:lineRule="exact"/>
              <w:rPr>
                <w:rStyle w:val="1067"/>
                <w:rFonts w:hint="eastAsia" w:eastAsia="宋体" w:cs="Times New Roman"/>
                <w:b w:val="0"/>
                <w:bCs w:val="0"/>
                <w:i w:val="0"/>
                <w:iCs w:val="0"/>
                <w:szCs w:val="21"/>
                <w:lang w:eastAsia="zh-CN"/>
              </w:rPr>
            </w:pPr>
            <w:r>
              <w:rPr>
                <w:rStyle w:val="1067"/>
                <w:rFonts w:cs="Times New Roman"/>
                <w:b w:val="0"/>
                <w:bCs w:val="0"/>
                <w:i w:val="0"/>
                <w:iCs w:val="0"/>
                <w:szCs w:val="21"/>
              </w:rPr>
              <w:t xml:space="preserve">设计人员要求</w:t>
            </w:r>
            <w:r>
              <w:rPr>
                <w:rStyle w:val="1067"/>
                <w:rFonts w:hint="eastAsia" w:eastAsia="宋体" w:cs="Times New Roman"/>
                <w:b w:val="0"/>
                <w:bCs w:val="0"/>
                <w:i w:val="0"/>
                <w:iCs w:val="0"/>
                <w:szCs w:val="21"/>
                <w:lang w:eastAsia="zh-CN"/>
              </w:rPr>
              <w:t xml:space="preserve">：</w:t>
            </w:r>
            <w:r>
              <w:rPr>
                <w:rStyle w:val="1067"/>
                <w:rFonts w:hint="eastAsia" w:eastAsia="宋体" w:cs="Times New Roman"/>
                <w:b w:val="0"/>
                <w:bCs w:val="0"/>
                <w:i w:val="0"/>
                <w:iCs w:val="0"/>
                <w:szCs w:val="21"/>
                <w:lang w:eastAsia="zh-CN"/>
              </w:rPr>
            </w:r>
            <w:r/>
          </w:p>
          <w:p>
            <w:pPr>
              <w:pStyle w:val="674"/>
              <w:ind w:left="0" w:right="0" w:firstLine="0"/>
              <w:jc w:val="left"/>
              <w:keepLines w:val="0"/>
              <w:keepNext w:val="0"/>
              <w:pageBreakBefore w:val="0"/>
              <w:spacing w:line="320" w:lineRule="exact"/>
              <w:rPr>
                <w:rStyle w:val="1067"/>
                <w:rFonts w:cs="Times New Roman"/>
                <w:b w:val="0"/>
                <w:bCs w:val="0"/>
                <w:i w:val="0"/>
                <w:iCs w:val="0"/>
                <w:szCs w:val="21"/>
              </w:rPr>
            </w:pPr>
            <w:r>
              <w:rPr>
                <w:rStyle w:val="1067"/>
                <w:rFonts w:cs="Times New Roman"/>
                <w:b w:val="0"/>
                <w:bCs w:val="0"/>
                <w:i w:val="0"/>
                <w:iCs w:val="0"/>
                <w:szCs w:val="21"/>
              </w:rPr>
              <w:t xml:space="preserve">设计项目组配备人员中具有一级注册建筑工程师、一级注册结构工程师、注册公用设备工程师（ 给水排水）、注册电气工程师执业资格的，每有一人得</w:t>
            </w:r>
            <w:r>
              <w:rPr>
                <w:rStyle w:val="1067"/>
                <w:rFonts w:hint="eastAsia" w:cs="Times New Roman"/>
                <w:b w:val="0"/>
                <w:bCs w:val="0"/>
                <w:i w:val="0"/>
                <w:iCs w:val="0"/>
                <w:szCs w:val="21"/>
              </w:rPr>
              <w:t xml:space="preserve">1</w:t>
            </w:r>
            <w:r>
              <w:rPr>
                <w:rStyle w:val="1067"/>
                <w:rFonts w:cs="Times New Roman"/>
                <w:b w:val="0"/>
                <w:bCs w:val="0"/>
                <w:i w:val="0"/>
                <w:iCs w:val="0"/>
                <w:szCs w:val="21"/>
              </w:rPr>
              <w:t xml:space="preserve">分， 如同时具有高级及以上工程师职称的，每人每项另加 </w:t>
            </w:r>
            <w:r>
              <w:rPr>
                <w:rStyle w:val="1067"/>
                <w:rFonts w:hint="eastAsia" w:cs="Times New Roman"/>
                <w:b w:val="0"/>
                <w:bCs w:val="0"/>
                <w:i w:val="0"/>
                <w:iCs w:val="0"/>
                <w:szCs w:val="21"/>
              </w:rPr>
              <w:t xml:space="preserve">0.5</w:t>
            </w:r>
            <w:r>
              <w:rPr>
                <w:rStyle w:val="1067"/>
                <w:rFonts w:cs="Times New Roman"/>
                <w:b w:val="0"/>
                <w:bCs w:val="0"/>
                <w:i w:val="0"/>
                <w:iCs w:val="0"/>
                <w:szCs w:val="21"/>
              </w:rPr>
              <w:t xml:space="preserve"> 分；本项最高得</w:t>
            </w:r>
            <w:r>
              <w:rPr>
                <w:rStyle w:val="1067"/>
                <w:rFonts w:hint="eastAsia" w:cs="Times New Roman"/>
                <w:b w:val="0"/>
                <w:bCs w:val="0"/>
                <w:i w:val="0"/>
                <w:iCs w:val="0"/>
                <w:szCs w:val="21"/>
              </w:rPr>
              <w:t xml:space="preserve">6</w:t>
            </w:r>
            <w:r>
              <w:rPr>
                <w:rStyle w:val="1067"/>
                <w:rFonts w:cs="Times New Roman"/>
                <w:b w:val="0"/>
                <w:bCs w:val="0"/>
                <w:i w:val="0"/>
                <w:iCs w:val="0"/>
                <w:szCs w:val="21"/>
              </w:rPr>
              <w:t xml:space="preserve">分；</w:t>
            </w:r>
            <w:r>
              <w:rPr>
                <w:rStyle w:val="1067"/>
                <w:rFonts w:cs="Times New Roman"/>
                <w:b w:val="0"/>
                <w:bCs w:val="0"/>
                <w:i w:val="0"/>
                <w:iCs w:val="0"/>
                <w:szCs w:val="21"/>
              </w:rPr>
            </w:r>
            <w:r/>
          </w:p>
          <w:p>
            <w:pPr>
              <w:pStyle w:val="674"/>
              <w:ind w:left="0" w:right="0" w:firstLine="0"/>
              <w:jc w:val="left"/>
              <w:keepLines w:val="0"/>
              <w:keepNext w:val="0"/>
              <w:pageBreakBefore w:val="0"/>
              <w:spacing w:line="320" w:lineRule="exact"/>
              <w:rPr>
                <w:rFonts w:hint="eastAsia" w:ascii="宋体" w:hAnsi="宋体"/>
                <w:color w:val="ff0000"/>
              </w:rPr>
            </w:pPr>
            <w:r>
              <w:rPr>
                <w:rStyle w:val="1067"/>
                <w:rFonts w:cs="Times New Roman"/>
                <w:b w:val="0"/>
                <w:bCs w:val="0"/>
                <w:i w:val="0"/>
                <w:iCs w:val="0"/>
                <w:szCs w:val="21"/>
              </w:rPr>
              <w:t xml:space="preserve">备注1. 施工人员组成中，配备的建造师需到场参加施工管理，如不到场参与工程管理，将被罚款，具体数额在合同中约定。投标报价书需盖注册造价师执业印章。2.设计人员组成中，图纸上需加盖配备的建筑、结构人员执业印章。3. 上述所有人员存在证书重复的，仅计一项分数，不重复计分。投标人须将上述相关注册执业资格证书、职称证书原件扫描、社保证明材料（提供开标前6个月内本单位为其办理的任意一个月社会养老保险或医疗保险缴纳证明材料）。上传至投标文件中，否则不予计分。</w:t>
            </w:r>
            <w:r>
              <w:rPr>
                <w:rFonts w:hint="eastAsia" w:ascii="宋体" w:hAnsi="宋体"/>
                <w:color w:val="ff0000"/>
              </w:rPr>
            </w:r>
            <w:r/>
          </w:p>
        </w:tc>
      </w:tr>
      <w:tr>
        <w:trPr>
          <w:trHeight w:val="686"/>
        </w:trPr>
        <w:tc>
          <w:tcPr>
            <w:tcW w:w="386" w:type="dxa"/>
            <w:vAlign w:val="center"/>
            <w:textDirection w:val="lrTb"/>
            <w:noWrap w:val="false"/>
          </w:tcPr>
          <w:p>
            <w:pPr>
              <w:pStyle w:val="674"/>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6</w:t>
            </w:r>
            <w:r>
              <w:rPr>
                <w:rFonts w:hint="eastAsia" w:ascii="宋体" w:hAnsi="宋体"/>
              </w:rPr>
            </w:r>
            <w:r/>
          </w:p>
        </w:tc>
        <w:tc>
          <w:tcPr>
            <w:tcW w:w="519" w:type="dxa"/>
            <w:vAlign w:val="center"/>
            <w:textDirection w:val="lrTb"/>
            <w:noWrap w:val="false"/>
          </w:tcPr>
          <w:p>
            <w:pPr>
              <w:pStyle w:val="674"/>
              <w:ind w:left="0" w:right="0" w:firstLine="0"/>
              <w:jc w:val="left"/>
              <w:keepLines w:val="0"/>
              <w:keepNext w:val="0"/>
              <w:pageBreakBefore w:val="0"/>
              <w:spacing w:line="320" w:lineRule="exact"/>
              <w:rPr>
                <w:rFonts w:hint="eastAsia" w:ascii="宋体" w:hAnsi="宋体"/>
              </w:rPr>
            </w:pPr>
            <w:r>
              <w:rPr>
                <w:rFonts w:hint="eastAsia" w:ascii="宋体" w:hAnsi="宋体"/>
              </w:rPr>
              <w:t xml:space="preserve">业绩</w:t>
            </w:r>
            <w:r>
              <w:rPr>
                <w:rFonts w:hint="eastAsia" w:ascii="宋体" w:hAnsi="宋体"/>
              </w:rPr>
            </w:r>
            <w:r/>
          </w:p>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（9分）</w:t>
            </w:r>
            <w:r>
              <w:rPr>
                <w:rFonts w:ascii="宋体" w:hAnsi="宋体"/>
              </w:rPr>
            </w:r>
            <w:r/>
          </w:p>
        </w:tc>
        <w:tc>
          <w:tcPr>
            <w:tcW w:w="775" w:type="dxa"/>
            <w:vAlign w:val="center"/>
            <w:textDirection w:val="lrTb"/>
            <w:noWrap w:val="false"/>
          </w:tcPr>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投标人类似</w:t>
            </w:r>
            <w:r>
              <w:rPr>
                <w:rFonts w:hint="eastAsia" w:ascii="宋体" w:hAnsi="宋体"/>
                <w:lang w:val="en-US" w:eastAsia="zh-CN"/>
              </w:rPr>
              <w:t xml:space="preserve">工程</w:t>
            </w:r>
            <w:r>
              <w:rPr>
                <w:rFonts w:hint="eastAsia" w:ascii="宋体" w:hAnsi="宋体"/>
              </w:rPr>
              <w:t xml:space="preserve">业绩（9分）</w:t>
            </w:r>
            <w:r>
              <w:rPr>
                <w:rFonts w:ascii="宋体" w:hAnsi="宋体"/>
              </w:rPr>
            </w:r>
            <w:r/>
          </w:p>
        </w:tc>
        <w:tc>
          <w:tcPr>
            <w:tcW w:w="3318" w:type="dxa"/>
            <w:vAlign w:val="center"/>
            <w:textDirection w:val="lrTb"/>
            <w:noWrap w:val="false"/>
          </w:tcPr>
          <w:p>
            <w:pPr>
              <w:pStyle w:val="674"/>
              <w:ind w:left="0" w:right="0" w:firstLine="0"/>
              <w:jc w:val="left"/>
              <w:keepLines w:val="0"/>
              <w:keepNext w:val="0"/>
              <w:pageBreakBefore w:val="0"/>
              <w:spacing w:line="320" w:lineRule="exact"/>
              <w:rPr>
                <w:rFonts w:ascii="宋体" w:hAnsi="宋体"/>
                <w:color w:val="ff0000"/>
              </w:rPr>
            </w:pPr>
            <w:r>
              <w:rPr>
                <w:rFonts w:ascii="Calibri" w:hAnsi="Calibri" w:cs="Calibri"/>
                <w:color w:val="000000"/>
                <w:sz w:val="22"/>
              </w:rPr>
              <w:t xml:space="preserve">20</w:t>
            </w:r>
            <w:r>
              <w:rPr>
                <w:rFonts w:hint="eastAsia" w:ascii="Calibri" w:hAnsi="Calibri" w:cs="Calibri"/>
                <w:color w:val="000000"/>
                <w:sz w:val="22"/>
              </w:rPr>
              <w:t xml:space="preserve">21</w:t>
            </w:r>
            <w:r>
              <w:rPr>
                <w:rFonts w:ascii="宋体" w:hAnsi="宋体"/>
                <w:color w:val="000000"/>
                <w:sz w:val="22"/>
              </w:rPr>
              <w:t xml:space="preserve">年</w:t>
            </w:r>
            <w:r>
              <w:rPr>
                <w:rFonts w:hint="eastAsia" w:ascii="宋体" w:hAnsi="宋体"/>
                <w:color w:val="000000"/>
                <w:sz w:val="22"/>
              </w:rPr>
              <w:t xml:space="preserve">1月1日</w:t>
            </w:r>
            <w:r>
              <w:rPr>
                <w:rFonts w:ascii="宋体" w:hAnsi="宋体"/>
                <w:color w:val="000000"/>
                <w:sz w:val="22"/>
              </w:rPr>
              <w:t xml:space="preserve">以来</w:t>
            </w:r>
            <w:r>
              <w:rPr>
                <w:rFonts w:hint="eastAsia" w:ascii="宋体" w:hAnsi="宋体" w:eastAsia="宋体" w:cs="Times New Roman"/>
              </w:rPr>
              <w:t xml:space="preserve">（以竣工验收时间为准）</w:t>
            </w:r>
            <w:r>
              <w:rPr>
                <w:rFonts w:ascii="宋体" w:hAnsi="宋体"/>
                <w:color w:val="000000"/>
                <w:sz w:val="22"/>
              </w:rPr>
              <w:t xml:space="preserve">，投标人承担过类似项目业绩的每有一个得</w:t>
            </w:r>
            <w:r>
              <w:rPr>
                <w:rFonts w:hint="eastAsia" w:ascii="Calibri" w:hAnsi="Calibri" w:cs="Calibri"/>
                <w:color w:val="000000"/>
                <w:sz w:val="22"/>
              </w:rPr>
              <w:t xml:space="preserve">3</w:t>
            </w:r>
            <w:r>
              <w:rPr>
                <w:rFonts w:ascii="宋体" w:hAnsi="宋体"/>
                <w:color w:val="000000"/>
                <w:sz w:val="22"/>
              </w:rPr>
              <w:t xml:space="preserve">分，本项最高得</w:t>
            </w:r>
            <w:r>
              <w:rPr>
                <w:rFonts w:hint="eastAsia" w:ascii="Calibri" w:hAnsi="Calibri" w:cs="Calibri"/>
                <w:color w:val="000000"/>
                <w:sz w:val="22"/>
              </w:rPr>
              <w:t xml:space="preserve">9</w:t>
            </w:r>
            <w:r>
              <w:rPr>
                <w:rFonts w:ascii="宋体" w:hAnsi="宋体"/>
                <w:color w:val="000000"/>
                <w:sz w:val="22"/>
              </w:rPr>
              <w:t xml:space="preserve">分。</w:t>
            </w:r>
            <w:r>
              <w:rPr>
                <w:rFonts w:ascii="宋体" w:hAnsi="宋体"/>
                <w:color w:val="ff0000"/>
              </w:rPr>
            </w:r>
            <w:r/>
          </w:p>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业绩证明材料包括：①中标通知书；②施工合同；③工程竣工验收证明（工程竣工验收证明以建设单位、设计单位、监理单位、施工单位四方盖章为准，四方盖章缺一不可并且四方盖章须清晰、明确，否则不予认可），三者缺一不可。④</w:t>
            </w:r>
            <w:r>
              <w:rPr>
                <w:rFonts w:ascii="宋体" w:hAnsi="宋体"/>
              </w:rPr>
              <w:t xml:space="preserve">若投标人提供的评分业绩是以联合体形式完成的</w:t>
            </w:r>
            <w:r>
              <w:rPr>
                <w:rFonts w:hint="eastAsia" w:ascii="宋体" w:hAnsi="宋体"/>
              </w:rPr>
              <w:t xml:space="preserve">，</w:t>
            </w:r>
            <w:r>
              <w:rPr>
                <w:rFonts w:ascii="宋体" w:hAnsi="宋体"/>
              </w:rPr>
              <w:t xml:space="preserve">则投标人必须为该评分业绩的联合体牵头人。</w:t>
            </w:r>
            <w:r>
              <w:rPr>
                <w:rFonts w:ascii="宋体" w:hAnsi="宋体"/>
              </w:rPr>
            </w:r>
            <w:r/>
          </w:p>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上述施工业绩证明材料应能够明确反映投标人名称、竣工验收日期、设计规模或工程规模、工程投资额等内容</w:t>
            </w:r>
            <w:r>
              <w:rPr>
                <w:rFonts w:ascii="宋体" w:hAnsi="宋体"/>
              </w:rPr>
              <w:t xml:space="preserve">,</w:t>
            </w:r>
            <w:r>
              <w:rPr>
                <w:rFonts w:hint="eastAsia" w:ascii="宋体" w:hAnsi="宋体"/>
              </w:rPr>
              <w:t xml:space="preserve">如上述材料不能体现业绩要求的相关指标，需补充提供发包人证明材料，否则不予认可。投标人对所提供业绩的真实性负责。投标人需将业绩证明材料原件扫描件上传至投标文件中，提供扫描件不全或扫描件模糊不清的不予认可。</w:t>
            </w:r>
            <w:r>
              <w:rPr>
                <w:rFonts w:ascii="宋体" w:hAnsi="宋体"/>
              </w:rPr>
            </w:r>
            <w:r/>
          </w:p>
        </w:tc>
      </w:tr>
      <w:tr>
        <w:trPr>
          <w:trHeight w:val="686"/>
        </w:trPr>
        <w:tc>
          <w:tcPr>
            <w:tcW w:w="386" w:type="dxa"/>
            <w:vAlign w:val="center"/>
            <w:textDirection w:val="lrTb"/>
            <w:noWrap w:val="false"/>
          </w:tcPr>
          <w:p>
            <w:pPr>
              <w:pStyle w:val="674"/>
              <w:ind w:left="0" w:right="0" w:firstLine="0"/>
              <w:jc w:val="center"/>
              <w:keepLines w:val="0"/>
              <w:keepNext w:val="0"/>
              <w:pageBreakBefore w:val="0"/>
              <w:spacing w:line="320" w:lineRule="exact"/>
              <w:rPr>
                <w:rFonts w:ascii="宋体" w:hAnsi="宋体"/>
              </w:rPr>
            </w:pPr>
            <w:r>
              <w:rPr>
                <w:rFonts w:hint="eastAsia" w:ascii="宋体" w:hAnsi="宋体"/>
              </w:rPr>
              <w:t xml:space="preserve">7</w:t>
            </w:r>
            <w:r>
              <w:rPr>
                <w:rFonts w:ascii="宋体" w:hAnsi="宋体"/>
              </w:rPr>
            </w:r>
            <w:r/>
          </w:p>
        </w:tc>
        <w:tc>
          <w:tcPr>
            <w:tcW w:w="519" w:type="dxa"/>
            <w:vAlign w:val="center"/>
            <w:textDirection w:val="lrTb"/>
            <w:noWrap w:val="false"/>
          </w:tcPr>
          <w:p>
            <w:pPr>
              <w:pStyle w:val="674"/>
              <w:ind w:left="0" w:right="0" w:firstLine="0"/>
              <w:jc w:val="left"/>
              <w:keepLines w:val="0"/>
              <w:keepNext w:val="0"/>
              <w:pageBreakBefore w:val="0"/>
              <w:spacing w:line="320" w:lineRule="exact"/>
              <w:rPr>
                <w:rFonts w:hint="eastAsia" w:ascii="宋体" w:hAnsi="宋体"/>
              </w:rPr>
            </w:pPr>
            <w:r>
              <w:rPr>
                <w:rFonts w:hint="eastAsia" w:ascii="宋体" w:hAnsi="宋体"/>
              </w:rPr>
              <w:t xml:space="preserve">企业综合实力（9分）</w:t>
            </w:r>
            <w:r>
              <w:rPr>
                <w:rFonts w:hint="eastAsia" w:ascii="宋体" w:hAnsi="宋体"/>
              </w:rPr>
            </w:r>
            <w:r/>
          </w:p>
        </w:tc>
        <w:tc>
          <w:tcPr>
            <w:tcW w:w="775" w:type="dxa"/>
            <w:vAlign w:val="center"/>
            <w:textDirection w:val="lrTb"/>
            <w:noWrap w:val="false"/>
          </w:tcPr>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投标人综合实力及科技技术研发实际（9分）</w:t>
            </w:r>
            <w:r>
              <w:rPr>
                <w:rFonts w:ascii="宋体" w:hAnsi="宋体"/>
              </w:rPr>
            </w:r>
            <w:r/>
          </w:p>
        </w:tc>
        <w:tc>
          <w:tcPr>
            <w:tcW w:w="3318" w:type="dxa"/>
            <w:vAlign w:val="center"/>
            <w:textDirection w:val="lrTb"/>
            <w:noWrap w:val="false"/>
          </w:tcPr>
          <w:p>
            <w:pPr>
              <w:pStyle w:val="674"/>
              <w:ind w:left="0" w:right="0" w:firstLine="0"/>
              <w:jc w:val="left"/>
              <w:keepLines w:val="0"/>
              <w:keepNext w:val="0"/>
              <w:pageBreakBefore w:val="0"/>
              <w:spacing w:line="320" w:lineRule="exact"/>
              <w:rPr>
                <w:rFonts w:ascii="宋体" w:hAnsi="宋体"/>
              </w:rPr>
            </w:pPr>
            <w:r>
              <w:rPr>
                <w:rFonts w:hint="eastAsia" w:ascii="宋体" w:hAnsi="宋体"/>
              </w:rPr>
              <w:t xml:space="preserve">1. 投标人获得污水处理方面的国务院、部级颁发的科技类奖项，每个得2分，最高得4分。</w:t>
            </w:r>
            <w:r>
              <w:rPr>
                <w:rFonts w:ascii="宋体" w:hAnsi="宋体"/>
              </w:rPr>
            </w:r>
            <w:r/>
          </w:p>
          <w:p>
            <w:pPr>
              <w:pStyle w:val="674"/>
              <w:ind w:left="0" w:right="0" w:firstLine="0"/>
              <w:jc w:val="left"/>
              <w:keepLines w:val="0"/>
              <w:keepNext w:val="0"/>
              <w:pageBreakBefore w:val="0"/>
              <w:spacing w:line="320" w:lineRule="exact"/>
              <w:rPr>
                <w:rFonts w:hint="eastAsia" w:ascii="宋体" w:hAnsi="宋体"/>
              </w:rPr>
            </w:pPr>
            <w:r>
              <w:rPr>
                <w:rFonts w:hint="eastAsia" w:ascii="宋体" w:hAnsi="宋体"/>
              </w:rPr>
              <w:t xml:space="preserve">2. 投标人获得过污水处理方面的省级政府、部门颁发的科技类奖项每个得1分，最高得3分。</w:t>
            </w:r>
            <w:r>
              <w:rPr>
                <w:rFonts w:hint="eastAsia" w:ascii="宋体" w:hAnsi="宋体"/>
              </w:rPr>
            </w:r>
            <w:r/>
          </w:p>
          <w:p>
            <w:pPr>
              <w:pStyle w:val="674"/>
              <w:ind w:left="0" w:right="0" w:firstLine="0"/>
              <w:jc w:val="left"/>
              <w:keepLines w:val="0"/>
              <w:keepNext w:val="0"/>
              <w:pageBreakBefore w:val="0"/>
              <w:spacing w:line="320" w:lineRule="exact"/>
              <w:rPr>
                <w:rFonts w:hint="eastAsia" w:ascii="宋体" w:hAnsi="宋体"/>
              </w:rPr>
            </w:pPr>
            <w:r>
              <w:rPr>
                <w:rFonts w:hint="eastAsia" w:ascii="宋体" w:hAnsi="宋体"/>
              </w:rPr>
              <w:t xml:space="preserve">3. 投标人获得过有效的污水处理设备或技术方面发明专利，每个得 0.5分，最多得2分。该专利应与本项目设计图纸上的工艺技术或主要设备（如 AO、AAO、脱氮除磷等技术和设备）相关。</w:t>
            </w:r>
            <w:r>
              <w:rPr>
                <w:rFonts w:hint="eastAsia" w:ascii="宋体" w:hAnsi="宋体"/>
              </w:rPr>
            </w:r>
            <w:r/>
          </w:p>
          <w:p>
            <w:pPr>
              <w:pStyle w:val="674"/>
              <w:ind w:left="0" w:right="0" w:firstLine="0"/>
              <w:jc w:val="left"/>
              <w:keepLines w:val="0"/>
              <w:keepNext w:val="0"/>
              <w:pageBreakBefore w:val="0"/>
              <w:spacing w:line="320" w:lineRule="exact"/>
              <w:rPr>
                <w:rFonts w:hint="eastAsia" w:ascii="宋体" w:hAnsi="宋体"/>
              </w:rPr>
            </w:pPr>
            <w:r>
              <w:rPr>
                <w:rFonts w:hint="eastAsia" w:ascii="宋体" w:hAnsi="宋体"/>
              </w:rPr>
              <w:t xml:space="preserve">注：投标人需将上述材料原件扫描件上传至投标文件中，提供扫描件不全或扫描件模糊不清的不予认可。</w:t>
            </w:r>
            <w:r>
              <w:rPr>
                <w:rFonts w:hint="eastAsia" w:ascii="宋体" w:hAnsi="宋体"/>
              </w:rPr>
            </w:r>
            <w:r/>
          </w:p>
        </w:tc>
      </w:tr>
      <w:tr>
        <w:trPr>
          <w:trHeight w:val="686"/>
        </w:trPr>
        <w:tc>
          <w:tcPr>
            <w:tcW w:w="386" w:type="dxa"/>
            <w:vAlign w:val="center"/>
            <w:vMerge w:val="restart"/>
            <w:textDirection w:val="lrTb"/>
            <w:noWrap w:val="false"/>
          </w:tcPr>
          <w:p>
            <w:pPr>
              <w:pStyle w:val="674"/>
              <w:ind w:left="0" w:right="0" w:firstLine="0"/>
              <w:jc w:val="center"/>
              <w:keepLines w:val="0"/>
              <w:keepNext w:val="0"/>
              <w:pageBreakBefore w:val="0"/>
              <w:spacing w:line="320" w:lineRule="exact"/>
              <w:rPr>
                <w:rFonts w:hint="eastAsia" w:ascii="宋体" w:hAnsi="宋体"/>
              </w:rPr>
            </w:pPr>
            <w:r>
              <w:rPr>
                <w:rFonts w:hint="eastAsia" w:ascii="宋体" w:hAnsi="宋体"/>
              </w:rPr>
              <w:t xml:space="preserve">8</w:t>
            </w:r>
            <w:r>
              <w:rPr>
                <w:rFonts w:hint="eastAsia" w:ascii="宋体" w:hAnsi="宋体"/>
              </w:rPr>
            </w:r>
            <w:r/>
          </w:p>
        </w:tc>
        <w:tc>
          <w:tcPr>
            <w:tcW w:w="519" w:type="dxa"/>
            <w:vAlign w:val="center"/>
            <w:textDirection w:val="lrTb"/>
            <w:noWrap w:val="false"/>
          </w:tcPr>
          <w:p>
            <w:pPr>
              <w:pStyle w:val="674"/>
              <w:ind w:left="0" w:right="0" w:firstLine="0"/>
              <w:jc w:val="left"/>
              <w:keepLines w:val="0"/>
              <w:keepNext w:val="0"/>
              <w:pageBreakBefore w:val="0"/>
              <w:spacing w:line="320" w:lineRule="exact"/>
              <w:rPr>
                <w:szCs w:val="22"/>
              </w:rPr>
            </w:pPr>
            <w:r>
              <w:rPr>
                <w:rFonts w:hint="eastAsia"/>
              </w:rPr>
              <w:t xml:space="preserve">环境标志产品</w:t>
            </w:r>
            <w:r>
              <w:rPr>
                <w:szCs w:val="22"/>
              </w:rPr>
            </w:r>
            <w:r/>
          </w:p>
        </w:tc>
        <w:tc>
          <w:tcPr>
            <w:tcW w:w="775" w:type="dxa"/>
            <w:vAlign w:val="center"/>
            <w:textDirection w:val="lrTb"/>
            <w:noWrap w:val="false"/>
          </w:tcPr>
          <w:p>
            <w:pPr>
              <w:pStyle w:val="674"/>
              <w:ind w:left="0" w:right="0" w:firstLine="0"/>
              <w:jc w:val="center"/>
              <w:keepLines w:val="0"/>
              <w:keepNext w:val="0"/>
              <w:pageBreakBefore w:val="0"/>
              <w:spacing w:line="320" w:lineRule="exact"/>
              <w:rPr>
                <w:szCs w:val="22"/>
              </w:rPr>
            </w:pPr>
            <w:r>
              <w:rPr>
                <w:rFonts w:hint="eastAsia"/>
              </w:rPr>
              <w:t xml:space="preserve">0.5</w:t>
            </w:r>
            <w:r>
              <w:rPr>
                <w:szCs w:val="22"/>
              </w:rPr>
            </w:r>
            <w:r/>
          </w:p>
        </w:tc>
        <w:tc>
          <w:tcPr>
            <w:tcW w:w="3318" w:type="dxa"/>
            <w:vAlign w:val="top"/>
            <w:textDirection w:val="lrTb"/>
            <w:noWrap w:val="false"/>
          </w:tcPr>
          <w:p>
            <w:pPr>
              <w:pStyle w:val="674"/>
              <w:ind w:left="0" w:right="0" w:firstLine="0"/>
              <w:jc w:val="left"/>
              <w:keepLines w:val="0"/>
              <w:keepNext w:val="0"/>
              <w:pageBreakBefore w:val="0"/>
              <w:spacing w:line="320" w:lineRule="exact"/>
              <w:rPr>
                <w:szCs w:val="22"/>
              </w:rPr>
            </w:pPr>
            <w: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w:t>
            </w:r>
            <w:r>
              <w:rPr>
                <w:rFonts w:hint="eastAsia"/>
              </w:rPr>
              <w:t xml:space="preserve">0.5</w:t>
            </w:r>
            <w:r>
              <w:t xml:space="preserve">分。未提供的不得分</w:t>
            </w:r>
            <w:r>
              <w:rPr>
                <w:rFonts w:hint="eastAsia"/>
              </w:rPr>
              <w:t xml:space="preserve">。</w:t>
            </w:r>
            <w:r>
              <w:rPr>
                <w:szCs w:val="22"/>
              </w:rPr>
            </w:r>
            <w:r/>
          </w:p>
        </w:tc>
      </w:tr>
      <w:tr>
        <w:trPr>
          <w:trHeight w:val="686"/>
        </w:trPr>
        <w:tc>
          <w:tcPr>
            <w:tcW w:w="386" w:type="dxa"/>
            <w:vAlign w:val="center"/>
            <w:vMerge w:val="continue"/>
            <w:textDirection w:val="lrTb"/>
            <w:noWrap w:val="false"/>
          </w:tcPr>
          <w:p>
            <w:pPr>
              <w:pStyle w:val="674"/>
              <w:ind w:left="0" w:right="0" w:firstLine="0"/>
              <w:jc w:val="left"/>
              <w:keepLines w:val="0"/>
              <w:keepNext w:val="0"/>
              <w:pageBreakBefore w:val="0"/>
              <w:spacing w:line="320" w:lineRule="exact"/>
              <w:rPr>
                <w:rFonts w:hint="eastAsia" w:ascii="宋体" w:hAnsi="宋体"/>
              </w:rPr>
            </w:pPr>
            <w:r>
              <w:rPr>
                <w:rFonts w:hint="eastAsia" w:ascii="宋体" w:hAnsi="宋体"/>
              </w:rPr>
            </w:r>
            <w:r/>
          </w:p>
        </w:tc>
        <w:tc>
          <w:tcPr>
            <w:tcW w:w="519" w:type="dxa"/>
            <w:vAlign w:val="center"/>
            <w:textDirection w:val="lrTb"/>
            <w:noWrap w:val="false"/>
          </w:tcPr>
          <w:p>
            <w:pPr>
              <w:pStyle w:val="674"/>
              <w:ind w:left="0" w:right="0" w:firstLine="0"/>
              <w:jc w:val="left"/>
              <w:keepLines w:val="0"/>
              <w:keepNext w:val="0"/>
              <w:pageBreakBefore w:val="0"/>
              <w:spacing w:line="320" w:lineRule="exact"/>
              <w:rPr>
                <w:szCs w:val="22"/>
              </w:rPr>
            </w:pPr>
            <w:r>
              <w:rPr>
                <w:rFonts w:ascii="Calibri" w:hAnsi="Calibri"/>
                <w:szCs w:val="22"/>
              </w:rPr>
              <w:t xml:space="preserve">节能产品</w:t>
            </w:r>
            <w:r>
              <w:rPr>
                <w:szCs w:val="22"/>
              </w:rPr>
            </w:r>
            <w:r/>
          </w:p>
        </w:tc>
        <w:tc>
          <w:tcPr>
            <w:tcW w:w="775" w:type="dxa"/>
            <w:vAlign w:val="center"/>
            <w:textDirection w:val="lrTb"/>
            <w:noWrap w:val="false"/>
          </w:tcPr>
          <w:p>
            <w:pPr>
              <w:pStyle w:val="674"/>
              <w:ind w:left="0" w:right="0" w:firstLine="0"/>
              <w:jc w:val="center"/>
              <w:keepLines w:val="0"/>
              <w:keepNext w:val="0"/>
              <w:pageBreakBefore w:val="0"/>
              <w:spacing w:line="320" w:lineRule="exact"/>
              <w:rPr>
                <w:szCs w:val="22"/>
              </w:rPr>
            </w:pPr>
            <w:r>
              <w:rPr>
                <w:rFonts w:hint="eastAsia" w:ascii="Calibri" w:hAnsi="Calibri"/>
                <w:szCs w:val="22"/>
              </w:rPr>
              <w:t xml:space="preserve">0.5</w:t>
            </w:r>
            <w:r>
              <w:rPr>
                <w:szCs w:val="22"/>
              </w:rPr>
            </w:r>
            <w:r/>
          </w:p>
        </w:tc>
        <w:tc>
          <w:tcPr>
            <w:tcW w:w="3318" w:type="dxa"/>
            <w:vAlign w:val="center"/>
            <w:textDirection w:val="lrTb"/>
            <w:noWrap w:val="false"/>
          </w:tcPr>
          <w:p>
            <w:pPr>
              <w:pStyle w:val="674"/>
              <w:ind w:left="0" w:right="0" w:firstLine="0"/>
              <w:jc w:val="left"/>
              <w:keepLines w:val="0"/>
              <w:keepNext w:val="0"/>
              <w:pageBreakBefore w:val="0"/>
              <w:spacing w:line="320" w:lineRule="exact"/>
              <w:rPr>
                <w:szCs w:val="22"/>
              </w:rPr>
            </w:pPr>
            <w:r>
              <w:rPr>
                <w:rFonts w:ascii="Calibri" w:hAnsi="Calibri"/>
                <w:szCs w:val="22"/>
              </w:rPr>
              <w:t xml:space="preserve">本项目工程量清单明细中的材料设备在财政部、生态环境部公布的“节能产品政府采购品目清单”内</w:t>
            </w:r>
            <w:r>
              <w:rPr>
                <w:rFonts w:hint="eastAsia"/>
                <w:szCs w:val="22"/>
              </w:rPr>
              <w:t xml:space="preserve">（</w:t>
            </w:r>
            <w:r>
              <w:rPr>
                <w:rFonts w:hint="eastAsia"/>
              </w:rPr>
              <w:t xml:space="preserve">强制采购的除外</w:t>
            </w:r>
            <w:r>
              <w:rPr>
                <w:rFonts w:hint="eastAsia"/>
                <w:szCs w:val="22"/>
              </w:rPr>
              <w:t xml:space="preserve">）</w:t>
            </w:r>
            <w:r>
              <w:rPr>
                <w:rFonts w:ascii="Calibri" w:hAnsi="Calibri"/>
                <w:szCs w:val="22"/>
              </w:rPr>
              <w:t xml:space="preserve">，且响应文件中提供国家市场监督管理局确定的列</w:t>
            </w:r>
            <w:r>
              <w:rPr>
                <w:rFonts w:hint="eastAsia"/>
                <w:szCs w:val="22"/>
              </w:rPr>
              <w:t xml:space="preserve">入</w:t>
            </w:r>
            <w:r>
              <w:rPr>
                <w:rFonts w:ascii="Calibri" w:hAnsi="Calibri"/>
                <w:szCs w:val="22"/>
              </w:rPr>
              <w:t xml:space="preserve">“市场监管总局关于发布参与实施政府采购节能产品、环境标志产品认证机构名录”内的认证机构出具的、有效期内的该产品节能产品认证证书扫描件的得 </w:t>
            </w:r>
            <w:r>
              <w:rPr>
                <w:rFonts w:hint="eastAsia" w:ascii="Calibri" w:hAnsi="Calibri"/>
                <w:szCs w:val="22"/>
              </w:rPr>
              <w:t xml:space="preserve">0.5</w:t>
            </w:r>
            <w:r>
              <w:rPr>
                <w:rFonts w:ascii="Calibri" w:hAnsi="Calibri"/>
                <w:szCs w:val="22"/>
              </w:rPr>
              <w:t xml:space="preserve">分。未提供的不得</w:t>
            </w:r>
            <w:r>
              <w:rPr>
                <w:rFonts w:hint="eastAsia"/>
                <w:szCs w:val="22"/>
              </w:rPr>
              <w:t xml:space="preserve">分</w:t>
            </w:r>
            <w:r>
              <w:rPr>
                <w:rFonts w:ascii="Calibri" w:hAnsi="Calibri"/>
                <w:szCs w:val="22"/>
              </w:rPr>
              <w:t xml:space="preserve">。</w:t>
            </w:r>
            <w:r>
              <w:rPr>
                <w:szCs w:val="22"/>
              </w:rPr>
            </w:r>
            <w:r/>
          </w:p>
        </w:tc>
      </w:tr>
    </w:tbl>
    <w:p>
      <w:pPr>
        <w:pStyle w:val="674"/>
        <w:ind w:firstLine="241"/>
        <w:spacing w:line="400" w:lineRule="exact"/>
        <w:rPr>
          <w:rFonts w:hint="eastAsia"/>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rPr>
          <w:rFonts w:hint="eastAsia"/>
          <w:sz w:val="24"/>
          <w:highlight w:val="white"/>
        </w:rPr>
      </w:r>
      <w:r/>
    </w:p>
    <w:p>
      <w:pPr>
        <w:pStyle w:val="674"/>
        <w:ind w:firstLine="241"/>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rPr>
          <w:rFonts w:hint="eastAsia" w:eastAsia="仿宋_GB2312"/>
          <w:b/>
          <w:sz w:val="24"/>
          <w:highlight w:val="white"/>
        </w:rPr>
      </w:r>
      <w:r/>
    </w:p>
    <w:p>
      <w:pPr>
        <w:pStyle w:val="674"/>
        <w:spacing w:line="500" w:lineRule="exact"/>
        <w:rPr>
          <w:rFonts w:hint="eastAsia"/>
          <w:b/>
          <w:sz w:val="24"/>
          <w:highlight w:val="white"/>
        </w:rPr>
      </w:pPr>
      <w:r>
        <w:rPr>
          <w:rFonts w:hint="eastAsia" w:eastAsia="仿宋_GB2312"/>
          <w:b/>
          <w:bCs/>
          <w:sz w:val="24"/>
          <w:highlight w:val="white"/>
        </w:rPr>
        <w:t xml:space="preserve">本项目落实的政府采购政策对应以下序号为</w:t>
      </w:r>
      <w:r>
        <w:rPr>
          <w:rFonts w:hint="eastAsia" w:eastAsia="仿宋_GB2312"/>
          <w:b/>
          <w:bCs/>
          <w:sz w:val="24"/>
          <w:highlight w:val="none"/>
          <w:u w:val="single"/>
        </w:rPr>
        <w:t xml:space="preserve"> 1、2、3、4  </w:t>
      </w:r>
      <w:r>
        <w:rPr>
          <w:rFonts w:hint="eastAsia"/>
          <w:b/>
          <w:sz w:val="24"/>
          <w:highlight w:val="white"/>
        </w:rPr>
      </w:r>
      <w:r/>
    </w:p>
    <w:p>
      <w:pPr>
        <w:pStyle w:val="674"/>
        <w:numPr>
          <w:ilvl w:val="0"/>
          <w:numId w:val="14"/>
        </w:numPr>
        <w:ind w:firstLine="480"/>
        <w:spacing w:line="460" w:lineRule="exact"/>
        <w:rPr>
          <w:rFonts w:hint="eastAsia" w:cs="仿宋_GB2312"/>
          <w:sz w:val="24"/>
          <w:highlight w:val="white"/>
        </w:rPr>
      </w:pPr>
      <w:r>
        <w:rPr>
          <w:rFonts w:hint="eastAsia" w:cs="仿宋_GB2312"/>
          <w:sz w:val="24"/>
          <w:highlight w:val="white"/>
        </w:rPr>
        <w:t xml:space="preserve">采购本国货物、工程和服务</w:t>
      </w:r>
      <w:r>
        <w:rPr>
          <w:rFonts w:hint="eastAsia"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rPr>
          <w:rFonts w:cs="仿宋_GB2312"/>
          <w:sz w:val="24"/>
          <w:highlight w:val="white"/>
        </w:rPr>
      </w:r>
      <w:r/>
    </w:p>
    <w:p>
      <w:pPr>
        <w:pStyle w:val="674"/>
        <w:ind w:firstLine="480"/>
        <w:spacing w:line="460" w:lineRule="exact"/>
        <w:rPr>
          <w:rFonts w:hint="eastAsia"/>
          <w:sz w:val="24"/>
          <w:highlight w:val="white"/>
        </w:rPr>
      </w:pPr>
      <w:r>
        <w:rPr>
          <w:rFonts w:hint="eastAsia"/>
          <w:sz w:val="24"/>
          <w:highlight w:val="white"/>
        </w:rPr>
        <w:t xml:space="preserve">本项目按以下第</w:t>
      </w:r>
      <w:r>
        <w:rPr>
          <w:rFonts w:hint="eastAsia"/>
          <w:b/>
          <w:bCs/>
          <w:sz w:val="24"/>
          <w:highlight w:val="none"/>
          <w:u w:val="single"/>
        </w:rPr>
        <w:t xml:space="preserve">（2）</w:t>
      </w:r>
      <w:r>
        <w:rPr>
          <w:rFonts w:hint="eastAsia"/>
          <w:sz w:val="24"/>
          <w:highlight w:val="white"/>
        </w:rPr>
        <w:t xml:space="preserve">种政策确定本项目落实的中小企业政策：</w:t>
      </w:r>
      <w:r>
        <w:rPr>
          <w:rFonts w:hint="eastAsia"/>
          <w:sz w:val="24"/>
          <w:highlight w:val="white"/>
        </w:rPr>
      </w:r>
      <w:r/>
    </w:p>
    <w:p>
      <w:pPr>
        <w:pStyle w:val="674"/>
        <w:ind w:firstLine="480"/>
        <w:spacing w:line="460" w:lineRule="exact"/>
        <w:rPr>
          <w:sz w:val="24"/>
          <w:highlight w:val="white"/>
        </w:rPr>
      </w:pPr>
      <w:r>
        <w:rPr>
          <w:rFonts w:hint="eastAsia"/>
          <w:sz w:val="24"/>
          <w:highlight w:val="white"/>
        </w:rPr>
        <w:t xml:space="preserve">（1）本项目专门面向中小企业（含监狱企业、残疾人福利企业）采购。</w:t>
      </w:r>
      <w:r>
        <w:rPr>
          <w:sz w:val="24"/>
          <w:highlight w:val="white"/>
        </w:rPr>
      </w:r>
      <w:r/>
    </w:p>
    <w:p>
      <w:pPr>
        <w:pStyle w:val="674"/>
        <w:ind w:firstLine="480"/>
        <w:spacing w:line="460" w:lineRule="exact"/>
        <w:rPr>
          <w:sz w:val="24"/>
          <w:highlight w:val="white"/>
        </w:rPr>
      </w:pPr>
      <w:r>
        <w:rPr>
          <w:rFonts w:hint="eastAsia"/>
          <w:sz w:val="24"/>
          <w:highlight w:val="white"/>
        </w:rPr>
        <w:t xml:space="preserve">（2）投标人提供的服务符合规定情形的，对小微企业报价给予扣除（扣除比例详见“投标人须知”-“政府采购政策”相关条款），用扣除后的价格参加评审。</w:t>
      </w:r>
      <w:r>
        <w:rPr>
          <w:sz w:val="24"/>
          <w:highlight w:val="white"/>
        </w:rPr>
      </w:r>
      <w:r/>
    </w:p>
    <w:p>
      <w:pPr>
        <w:pStyle w:val="674"/>
        <w:rPr>
          <w:rFonts w:hint="eastAsia"/>
          <w:sz w:val="24"/>
          <w:highlight w:val="green"/>
        </w:rPr>
      </w:pPr>
      <w:r>
        <w:rPr>
          <w:rFonts w:hint="eastAsia" w:cs="仿宋_GB2312"/>
          <w:sz w:val="24"/>
          <w:highlight w:val="white"/>
        </w:rPr>
        <w:t xml:space="preserve">投标人提供的服务符合下列情形的，对小微企业报价给予</w:t>
      </w:r>
      <w:r>
        <w:rPr>
          <w:rFonts w:hint="eastAsia" w:cs="仿宋_GB2312"/>
          <w:sz w:val="24"/>
          <w:highlight w:val="none"/>
          <w:u w:val="single"/>
        </w:rPr>
        <w:t xml:space="preserve"> 10%</w:t>
      </w:r>
      <w:r>
        <w:rPr>
          <w:rFonts w:hint="eastAsia" w:cs="仿宋_GB2312"/>
          <w:sz w:val="24"/>
          <w:highlight w:val="none"/>
        </w:rPr>
        <w:t xml:space="preserve">的</w:t>
      </w:r>
      <w:r>
        <w:rPr>
          <w:rFonts w:hint="eastAsia" w:cs="仿宋_GB2312"/>
          <w:sz w:val="24"/>
          <w:highlight w:val="white"/>
        </w:rPr>
        <w:t xml:space="preserve">扣除，用扣除后的价格参加评审。</w:t>
      </w:r>
      <w:r>
        <w:rPr>
          <w:rFonts w:hint="eastAsia"/>
          <w:sz w:val="24"/>
          <w:highlight w:val="green"/>
        </w:rPr>
      </w:r>
      <w:r/>
    </w:p>
    <w:p>
      <w:pPr>
        <w:pStyle w:val="674"/>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在服务采购项目中，服务由中小企业承接，即提供服务的人员为中小企业依照《中华人民共和国劳动合同法》订立劳动合同的从业人员。</w:t>
      </w:r>
      <w:r>
        <w:rPr>
          <w:sz w:val="24"/>
          <w:highlight w:val="white"/>
        </w:rPr>
      </w:r>
      <w:r/>
    </w:p>
    <w:p>
      <w:pPr>
        <w:pStyle w:val="674"/>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white"/>
        </w:rPr>
      </w:r>
      <w:r/>
    </w:p>
    <w:p>
      <w:pPr>
        <w:pStyle w:val="674"/>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white"/>
        </w:rPr>
      </w:r>
      <w:r/>
    </w:p>
    <w:p>
      <w:pPr>
        <w:pStyle w:val="674"/>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white"/>
        </w:rPr>
      </w:r>
      <w:r/>
    </w:p>
    <w:p>
      <w:pPr>
        <w:pStyle w:val="674"/>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rPr>
          <w:rFonts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rPr>
          <w:rFonts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rPr>
          <w:rFonts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rPr>
          <w:rFonts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white"/>
        </w:rPr>
      </w:r>
      <w:r/>
    </w:p>
    <w:p>
      <w:pPr>
        <w:pStyle w:val="674"/>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rPr>
          <w:rFonts w:cs="仿宋_GB2312"/>
          <w:sz w:val="24"/>
          <w:highlight w:val="white"/>
        </w:rPr>
      </w:r>
      <w:r/>
    </w:p>
    <w:p>
      <w:pPr>
        <w:pStyle w:val="674"/>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rPr>
      </w:r>
      <w:r/>
    </w:p>
    <w:p>
      <w:pPr>
        <w:pStyle w:val="674"/>
        <w:rPr>
          <w:rFonts w:hint="eastAsia"/>
        </w:rPr>
      </w:pPr>
      <w:r>
        <w:rPr>
          <w:rFonts w:hint="eastAsia"/>
        </w:rPr>
      </w:r>
      <w:r/>
    </w:p>
    <w:p>
      <w:pPr>
        <w:pStyle w:val="674"/>
        <w:rPr>
          <w:rFonts w:hint="eastAsia"/>
        </w:rPr>
      </w:pPr>
      <w:r>
        <w:rPr>
          <w:rFonts w:hint="eastAsia"/>
        </w:rPr>
      </w:r>
      <w:r/>
    </w:p>
    <w:p>
      <w:pPr>
        <w:pStyle w:val="772"/>
        <w:rPr>
          <w:rFonts w:hint="eastAsia" w:ascii="Times New Roman" w:hAnsi="Times New Roman"/>
        </w:rPr>
      </w:pPr>
      <w:r>
        <w:rPr>
          <w:rFonts w:hint="eastAsia" w:ascii="Times New Roman" w:hAnsi="Times New Roman"/>
        </w:rPr>
      </w:r>
      <w:r/>
    </w:p>
    <w:p>
      <w:pPr>
        <w:pStyle w:val="674"/>
        <w:rPr>
          <w:rFonts w:hint="eastAsia"/>
        </w:rPr>
      </w:pPr>
      <w:r>
        <w:rPr>
          <w:rFonts w:hint="eastAsia"/>
        </w:rPr>
      </w:r>
      <w:r/>
    </w:p>
    <w:p>
      <w:pPr>
        <w:pStyle w:val="675"/>
        <w:rPr>
          <w:rFonts w:hint="eastAsia"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第六章  投标</w:t>
      </w:r>
      <w:bookmarkEnd w:id="474"/>
      <w:r/>
      <w:bookmarkEnd w:id="475"/>
      <w:r/>
      <w:bookmarkEnd w:id="477"/>
      <w:r>
        <w:rPr>
          <w:rFonts w:hint="eastAsia" w:ascii="Times New Roman" w:eastAsia="黑体"/>
          <w:bCs/>
          <w:sz w:val="44"/>
        </w:rPr>
        <w:t xml:space="preserve">文件格式 </w:t>
      </w:r>
      <w:r>
        <w:rPr>
          <w:rFonts w:hint="eastAsia" w:ascii="Times New Roman" w:eastAsia="黑体"/>
          <w:bCs/>
          <w:sz w:val="44"/>
        </w:rPr>
      </w:r>
      <w:r/>
    </w:p>
    <w:p>
      <w:pPr>
        <w:pStyle w:val="674"/>
        <w:jc w:val="center"/>
        <w:rPr>
          <w:rFonts w:hint="eastAsia"/>
          <w:b/>
          <w:sz w:val="72"/>
        </w:rPr>
      </w:pPr>
      <w:r/>
      <w:bookmarkStart w:id="480" w:name="_Hlt26671244"/>
      <w:r/>
      <w:bookmarkEnd w:id="480"/>
      <w:r/>
      <w:bookmarkStart w:id="481" w:name="_Hlt26955039"/>
      <w:r/>
      <w:bookmarkEnd w:id="481"/>
      <w:r/>
      <w:bookmarkStart w:id="482" w:name="_Toc120614282"/>
      <w:r/>
      <w:bookmarkStart w:id="483" w:name="_Toc26554094"/>
      <w:r/>
      <w:bookmarkStart w:id="484" w:name="_Toc49090576"/>
      <w:r>
        <w:rPr>
          <w:rFonts w:hint="eastAsia"/>
          <w:b/>
          <w:sz w:val="72"/>
        </w:rPr>
      </w:r>
      <w:r/>
    </w:p>
    <w:p>
      <w:pPr>
        <w:pStyle w:val="674"/>
        <w:jc w:val="center"/>
        <w:rPr>
          <w:rFonts w:hint="eastAsia"/>
          <w:b/>
          <w:sz w:val="72"/>
        </w:rPr>
      </w:pPr>
      <w:r>
        <w:rPr>
          <w:rFonts w:hint="eastAsia"/>
          <w:b/>
          <w:sz w:val="72"/>
        </w:rPr>
      </w:r>
      <w:r/>
    </w:p>
    <w:p>
      <w:pPr>
        <w:pStyle w:val="674"/>
        <w:jc w:val="center"/>
        <w:rPr>
          <w:rFonts w:hint="eastAsia"/>
          <w:b/>
          <w:sz w:val="72"/>
        </w:rPr>
      </w:pPr>
      <w:r>
        <w:rPr>
          <w:rFonts w:hint="eastAsia"/>
          <w:b/>
          <w:sz w:val="72"/>
        </w:rPr>
      </w:r>
      <w:r/>
    </w:p>
    <w:p>
      <w:pPr>
        <w:pStyle w:val="674"/>
        <w:jc w:val="center"/>
        <w:rPr>
          <w:rFonts w:hint="eastAsia"/>
          <w:b/>
          <w:sz w:val="72"/>
        </w:rPr>
      </w:pPr>
      <w:r>
        <w:rPr>
          <w:rFonts w:hint="eastAsia"/>
          <w:b/>
          <w:sz w:val="72"/>
        </w:rPr>
        <w:t xml:space="preserve">投  标  文  件</w:t>
      </w:r>
      <w:r>
        <w:rPr>
          <w:rFonts w:hint="eastAsia"/>
          <w:b/>
          <w:sz w:val="72"/>
        </w:rPr>
      </w:r>
      <w:r/>
    </w:p>
    <w:p>
      <w:pPr>
        <w:pStyle w:val="674"/>
        <w:jc w:val="center"/>
        <w:rPr>
          <w:rFonts w:hint="eastAsia"/>
          <w:b/>
          <w:sz w:val="72"/>
        </w:rPr>
      </w:pPr>
      <w:r>
        <w:rPr>
          <w:rFonts w:hint="eastAsia"/>
          <w:b/>
          <w:sz w:val="72"/>
        </w:rPr>
      </w:r>
      <w:r/>
    </w:p>
    <w:p>
      <w:pPr>
        <w:pStyle w:val="674"/>
        <w:jc w:val="center"/>
        <w:rPr>
          <w:rFonts w:hint="eastAsia"/>
          <w:b/>
          <w:sz w:val="72"/>
        </w:rPr>
      </w:pPr>
      <w:r>
        <w:rPr>
          <w:rFonts w:hint="eastAsia"/>
          <w:b/>
          <w:sz w:val="72"/>
        </w:rPr>
      </w:r>
      <w:r/>
    </w:p>
    <w:p>
      <w:pPr>
        <w:pStyle w:val="674"/>
        <w:jc w:val="center"/>
        <w:rPr>
          <w:rFonts w:hint="eastAsia"/>
          <w:b/>
          <w:sz w:val="36"/>
        </w:rPr>
      </w:pPr>
      <w:r>
        <w:rPr>
          <w:rFonts w:hint="eastAsia"/>
          <w:b/>
          <w:sz w:val="36"/>
        </w:rPr>
      </w:r>
      <w:r/>
    </w:p>
    <w:p>
      <w:pPr>
        <w:pStyle w:val="674"/>
        <w:jc w:val="center"/>
        <w:rPr>
          <w:rFonts w:hint="eastAsia"/>
          <w:b/>
          <w:sz w:val="36"/>
        </w:rPr>
      </w:pPr>
      <w:r>
        <w:rPr>
          <w:rFonts w:hint="eastAsia"/>
          <w:b/>
          <w:sz w:val="36"/>
        </w:rPr>
      </w:r>
      <w:r/>
    </w:p>
    <w:p>
      <w:pPr>
        <w:pStyle w:val="674"/>
        <w:jc w:val="center"/>
        <w:rPr>
          <w:rFonts w:hint="eastAsia"/>
          <w:b/>
          <w:sz w:val="36"/>
        </w:rPr>
      </w:pPr>
      <w:r>
        <w:rPr>
          <w:rFonts w:hint="eastAsia"/>
          <w:b/>
          <w:sz w:val="36"/>
        </w:rPr>
      </w:r>
      <w:r/>
    </w:p>
    <w:p>
      <w:pPr>
        <w:pStyle w:val="674"/>
        <w:jc w:val="center"/>
        <w:rPr>
          <w:rFonts w:hint="eastAsia"/>
          <w:b/>
          <w:sz w:val="36"/>
        </w:rPr>
      </w:pPr>
      <w:r>
        <w:rPr>
          <w:rFonts w:hint="eastAsia"/>
          <w:b/>
          <w:sz w:val="36"/>
        </w:rPr>
      </w:r>
      <w:r/>
    </w:p>
    <w:p>
      <w:pPr>
        <w:pStyle w:val="674"/>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674"/>
        <w:ind w:firstLine="1084"/>
        <w:rPr>
          <w:rFonts w:hint="eastAsia"/>
          <w:b/>
          <w:sz w:val="36"/>
          <w:u w:val="single"/>
        </w:rPr>
      </w:pPr>
      <w:r>
        <w:rPr>
          <w:rFonts w:hint="eastAsia"/>
          <w:b/>
          <w:sz w:val="36"/>
        </w:rPr>
        <w:t xml:space="preserve">项 目 编 号：</w:t>
      </w:r>
      <w:r>
        <w:rPr>
          <w:rFonts w:hint="eastAsia"/>
          <w:b/>
          <w:sz w:val="36"/>
          <w:u w:val="single"/>
        </w:rPr>
        <w:t xml:space="preserve">               </w:t>
      </w:r>
      <w:r>
        <w:rPr>
          <w:rFonts w:hint="eastAsia"/>
          <w:b/>
          <w:sz w:val="36"/>
          <w:u w:val="single"/>
        </w:rPr>
      </w:r>
      <w:r/>
    </w:p>
    <w:p>
      <w:pPr>
        <w:pStyle w:val="674"/>
        <w:rPr>
          <w:rFonts w:hint="eastAsia"/>
          <w:b/>
          <w:sz w:val="36"/>
          <w:u w:val="single"/>
        </w:rPr>
      </w:pPr>
      <w:r>
        <w:rPr>
          <w:rFonts w:hint="eastAsia"/>
          <w:b/>
          <w:sz w:val="36"/>
        </w:rPr>
        <w:t xml:space="preserve">      投标人名称 ：</w:t>
      </w:r>
      <w:r>
        <w:rPr>
          <w:rFonts w:hint="eastAsia"/>
          <w:b/>
          <w:sz w:val="36"/>
          <w:u w:val="single"/>
        </w:rPr>
        <w:t xml:space="preserve">（加盖CA电子公章）</w:t>
      </w:r>
      <w:r>
        <w:rPr>
          <w:rFonts w:hint="eastAsia"/>
          <w:b/>
          <w:sz w:val="36"/>
          <w:u w:val="single"/>
        </w:rPr>
      </w:r>
      <w:r/>
    </w:p>
    <w:p>
      <w:pPr>
        <w:pStyle w:val="674"/>
        <w:rPr>
          <w:rFonts w:hint="eastAsia"/>
          <w:b/>
          <w:sz w:val="36"/>
          <w:u w:val="single"/>
        </w:rPr>
      </w:pPr>
      <w:r>
        <w:rPr>
          <w:rFonts w:hint="eastAsia"/>
          <w:b/>
          <w:sz w:val="36"/>
        </w:rPr>
        <w:t xml:space="preserve">      日      期 ：</w:t>
      </w:r>
      <w:r>
        <w:rPr>
          <w:rFonts w:hint="eastAsia"/>
          <w:b/>
          <w:sz w:val="36"/>
          <w:u w:val="single"/>
        </w:rPr>
        <w:t xml:space="preserve">               </w:t>
      </w:r>
      <w:r>
        <w:rPr>
          <w:rFonts w:hint="eastAsia"/>
          <w:b/>
          <w:sz w:val="36"/>
          <w:u w:val="single"/>
        </w:rPr>
      </w:r>
      <w:r/>
    </w:p>
    <w:p>
      <w:pPr>
        <w:pStyle w:val="674"/>
        <w:jc w:val="center"/>
        <w:spacing w:line="440" w:lineRule="exact"/>
        <w:rPr>
          <w:rFonts w:hint="eastAsia"/>
          <w:b/>
          <w:bCs/>
          <w:sz w:val="32"/>
          <w:szCs w:val="32"/>
        </w:rPr>
      </w:pPr>
      <w:r>
        <w:rPr>
          <w:rFonts w:hint="eastAsia"/>
          <w:b/>
          <w:bCs/>
          <w:sz w:val="32"/>
          <w:szCs w:val="32"/>
        </w:rPr>
      </w:r>
      <w:r/>
    </w:p>
    <w:p>
      <w:pPr>
        <w:pStyle w:val="674"/>
        <w:spacing w:line="440" w:lineRule="exact"/>
      </w:pPr>
      <w:r/>
      <w:r/>
    </w:p>
    <w:p>
      <w:pPr>
        <w:pStyle w:val="674"/>
        <w:ind w:firstLine="1084"/>
        <w:rPr>
          <w:b/>
          <w:bCs/>
          <w:sz w:val="32"/>
          <w:szCs w:val="32"/>
        </w:rPr>
      </w:pPr>
      <w:r>
        <w:rPr>
          <w:b/>
          <w:sz w:val="36"/>
          <w:u w:val="single"/>
        </w:rPr>
        <w:br w:type="page" w:clear="all"/>
      </w:r>
      <w:r>
        <w:rPr>
          <w:b/>
          <w:bCs/>
          <w:sz w:val="32"/>
          <w:szCs w:val="32"/>
        </w:rPr>
      </w:r>
      <w:r/>
    </w:p>
    <w:p>
      <w:pPr>
        <w:pStyle w:val="674"/>
        <w:jc w:val="center"/>
        <w:spacing w:line="440" w:lineRule="exact"/>
        <w:rPr>
          <w:rFonts w:hint="eastAsia"/>
          <w:b/>
          <w:bCs/>
          <w:sz w:val="32"/>
          <w:szCs w:val="32"/>
        </w:rPr>
      </w:pPr>
      <w:r>
        <w:rPr>
          <w:rFonts w:hint="eastAsia"/>
          <w:b/>
          <w:bCs/>
          <w:sz w:val="32"/>
          <w:szCs w:val="32"/>
        </w:rPr>
        <w:t xml:space="preserve">投标文件目录</w:t>
      </w:r>
      <w:r>
        <w:rPr>
          <w:rFonts w:hint="eastAsia"/>
          <w:b/>
          <w:bCs/>
          <w:sz w:val="32"/>
          <w:szCs w:val="32"/>
        </w:rPr>
      </w:r>
      <w:r/>
    </w:p>
    <w:p>
      <w:pPr>
        <w:pStyle w:val="674"/>
        <w:jc w:val="center"/>
        <w:spacing w:line="440" w:lineRule="exact"/>
        <w:rPr>
          <w:rFonts w:hint="eastAsia"/>
          <w:b/>
          <w:bCs/>
          <w:sz w:val="32"/>
          <w:szCs w:val="32"/>
        </w:rPr>
      </w:pPr>
      <w:r>
        <w:rPr>
          <w:rFonts w:hint="eastAsia"/>
          <w:b/>
          <w:bCs/>
          <w:sz w:val="32"/>
          <w:szCs w:val="32"/>
        </w:rPr>
      </w:r>
      <w:r/>
    </w:p>
    <w:p>
      <w:pPr>
        <w:pStyle w:val="674"/>
        <w:ind w:firstLine="560"/>
        <w:spacing w:line="600" w:lineRule="exact"/>
        <w:rPr>
          <w:rFonts w:cs="宋体"/>
          <w:sz w:val="28"/>
          <w:szCs w:val="28"/>
        </w:rPr>
      </w:pPr>
      <w:r>
        <w:rPr>
          <w:rFonts w:hint="eastAsia" w:cs="宋体"/>
          <w:sz w:val="28"/>
          <w:szCs w:val="28"/>
        </w:rPr>
        <w:t xml:space="preserve">一、投标声明及承诺函</w:t>
      </w:r>
      <w:r>
        <w:rPr>
          <w:rFonts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二、投标人基本情况</w:t>
      </w:r>
      <w:r>
        <w:rPr>
          <w:rFonts w:hint="eastAsia"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三、满足特定资格要求的证明文件（如果设置特定资格要求，则需要提供）</w:t>
      </w:r>
      <w:r>
        <w:rPr>
          <w:rFonts w:hint="eastAsia"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四、法人授权书</w:t>
      </w:r>
      <w:r>
        <w:rPr>
          <w:rFonts w:hint="eastAsia"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五、开标一览表</w:t>
      </w:r>
      <w:r>
        <w:rPr>
          <w:rFonts w:hint="eastAsia" w:cs="宋体"/>
          <w:sz w:val="28"/>
          <w:szCs w:val="28"/>
        </w:rPr>
      </w:r>
      <w:r/>
    </w:p>
    <w:p>
      <w:pPr>
        <w:pStyle w:val="674"/>
        <w:ind w:firstLine="560"/>
        <w:spacing w:line="600" w:lineRule="exact"/>
        <w:rPr>
          <w:rFonts w:cs="宋体"/>
          <w:sz w:val="28"/>
          <w:szCs w:val="28"/>
        </w:rPr>
      </w:pPr>
      <w:r>
        <w:rPr>
          <w:rFonts w:hint="eastAsia" w:cs="宋体"/>
          <w:sz w:val="28"/>
          <w:szCs w:val="28"/>
        </w:rPr>
        <w:t xml:space="preserve">六、投标报价明细表</w:t>
      </w:r>
      <w:r>
        <w:rPr>
          <w:rFonts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七、中小企业声明函</w:t>
      </w:r>
      <w:r>
        <w:rPr>
          <w:rFonts w:hint="eastAsia"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八、技术要求响应及偏离表</w:t>
      </w:r>
      <w:r>
        <w:rPr>
          <w:rFonts w:hint="eastAsia"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九、项目组成员</w:t>
      </w:r>
      <w:r>
        <w:rPr>
          <w:rFonts w:hint="eastAsia"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十、企业业绩</w:t>
      </w:r>
      <w:r>
        <w:rPr>
          <w:rFonts w:hint="eastAsia" w:cs="宋体"/>
          <w:sz w:val="28"/>
          <w:szCs w:val="28"/>
        </w:rPr>
      </w:r>
      <w:r/>
    </w:p>
    <w:p>
      <w:pPr>
        <w:pStyle w:val="674"/>
        <w:ind w:firstLine="560"/>
        <w:spacing w:line="600" w:lineRule="exact"/>
        <w:rPr>
          <w:rFonts w:hint="eastAsia" w:cs="宋体"/>
          <w:sz w:val="28"/>
          <w:szCs w:val="28"/>
        </w:rPr>
      </w:pPr>
      <w:r>
        <w:rPr>
          <w:rFonts w:hint="eastAsia" w:cs="宋体"/>
          <w:sz w:val="28"/>
          <w:szCs w:val="28"/>
        </w:rPr>
        <w:t xml:space="preserve">十一、投标所需其他材料</w:t>
      </w:r>
      <w:r>
        <w:rPr>
          <w:rFonts w:hint="eastAsia" w:cs="宋体"/>
          <w:sz w:val="28"/>
          <w:szCs w:val="28"/>
        </w:rPr>
      </w:r>
      <w:r/>
    </w:p>
    <w:p>
      <w:pPr>
        <w:pStyle w:val="727"/>
        <w:tabs>
          <w:tab w:val="right" w:pos="8720" w:leader="dot"/>
        </w:tabs>
        <w:rPr>
          <w:rFonts w:ascii="Times New Roman" w:hAnsi="Times New Roman"/>
          <w:caps w:val="0"/>
          <w:lang w:val="en-US" w:eastAsia="zh-CN"/>
        </w:rPr>
      </w:pPr>
      <w:r>
        <w:rPr>
          <w:rFonts w:ascii="Times New Roman" w:hAnsi="Times New Roman"/>
          <w:caps w:val="0"/>
          <w:lang w:val="en-US" w:eastAsia="zh-CN"/>
        </w:rPr>
      </w:r>
      <w:r/>
    </w:p>
    <w:p>
      <w:pPr>
        <w:pStyle w:val="674"/>
        <w:ind w:firstLine="480"/>
        <w:spacing w:line="440" w:lineRule="exact"/>
        <w:rPr>
          <w:sz w:val="24"/>
        </w:rPr>
      </w:pPr>
      <w:r>
        <w:rPr>
          <w:sz w:val="24"/>
        </w:rPr>
      </w:r>
      <w:r/>
    </w:p>
    <w:p>
      <w:pPr>
        <w:pStyle w:val="674"/>
        <w:ind w:firstLine="480"/>
        <w:spacing w:line="440" w:lineRule="exact"/>
        <w:rPr>
          <w:sz w:val="24"/>
        </w:rPr>
      </w:pPr>
      <w:r>
        <w:rPr>
          <w:sz w:val="24"/>
        </w:rPr>
      </w:r>
      <w:r/>
    </w:p>
    <w:p>
      <w:pPr>
        <w:pStyle w:val="674"/>
        <w:ind w:firstLine="480"/>
        <w:spacing w:line="440" w:lineRule="exact"/>
        <w:rPr>
          <w:sz w:val="24"/>
        </w:rPr>
      </w:pPr>
      <w:r>
        <w:rPr>
          <w:sz w:val="24"/>
        </w:rPr>
      </w:r>
      <w:r/>
    </w:p>
    <w:p>
      <w:pPr>
        <w:pStyle w:val="674"/>
        <w:ind w:firstLine="480"/>
        <w:spacing w:line="440" w:lineRule="exact"/>
        <w:rPr>
          <w:sz w:val="24"/>
        </w:rPr>
      </w:pPr>
      <w:r>
        <w:rPr>
          <w:sz w:val="24"/>
        </w:rPr>
      </w:r>
      <w:r/>
    </w:p>
    <w:p>
      <w:pPr>
        <w:pStyle w:val="674"/>
        <w:ind w:firstLine="480"/>
        <w:spacing w:line="440" w:lineRule="exact"/>
        <w:rPr>
          <w:sz w:val="24"/>
        </w:rPr>
      </w:pPr>
      <w:r>
        <w:rPr>
          <w:sz w:val="24"/>
        </w:rPr>
      </w:r>
      <w:r/>
    </w:p>
    <w:p>
      <w:pPr>
        <w:pStyle w:val="813"/>
      </w:pPr>
      <w:r/>
      <w:bookmarkStart w:id="485" w:name="_Toc23838"/>
      <w:r/>
      <w:r/>
    </w:p>
    <w:p>
      <w:pPr>
        <w:pStyle w:val="813"/>
      </w:pPr>
      <w:r/>
      <w:r/>
    </w:p>
    <w:p>
      <w:pPr>
        <w:pStyle w:val="813"/>
      </w:pPr>
      <w:r/>
      <w:r/>
    </w:p>
    <w:p>
      <w:pPr>
        <w:pStyle w:val="813"/>
      </w:pPr>
      <w:r>
        <w:br w:type="page" w:clear="all"/>
      </w:r>
      <w:r/>
    </w:p>
    <w:p>
      <w:pPr>
        <w:pStyle w:val="811"/>
        <w:rPr>
          <w:rFonts w:hint="eastAsia" w:ascii="Times New Roman" w:hAnsi="Times New Roman"/>
          <w:b/>
          <w:sz w:val="32"/>
          <w:szCs w:val="32"/>
        </w:rPr>
      </w:pPr>
      <w:r/>
      <w:bookmarkEnd w:id="485"/>
      <w:r>
        <w:rPr>
          <w:rFonts w:hint="eastAsia" w:ascii="Times New Roman" w:hAnsi="Times New Roman"/>
          <w:b/>
          <w:sz w:val="32"/>
          <w:szCs w:val="32"/>
        </w:rPr>
        <w:t xml:space="preserve">一、</w:t>
      </w:r>
      <w:bookmarkEnd w:id="482"/>
      <w:r/>
      <w:bookmarkEnd w:id="483"/>
      <w:r/>
      <w:bookmarkEnd w:id="484"/>
      <w:r/>
      <w:bookmarkStart w:id="486" w:name="_Toc120614284"/>
      <w:r>
        <w:rPr>
          <w:rFonts w:hint="eastAsia" w:ascii="Times New Roman" w:hAnsi="Times New Roman"/>
          <w:b/>
          <w:sz w:val="32"/>
          <w:szCs w:val="32"/>
        </w:rPr>
        <w:t xml:space="preserve">投标声明及承诺函</w:t>
      </w:r>
      <w:r>
        <w:rPr>
          <w:rFonts w:hint="eastAsia" w:ascii="Times New Roman" w:hAnsi="Times New Roman"/>
          <w:b/>
          <w:sz w:val="32"/>
          <w:szCs w:val="32"/>
        </w:rPr>
      </w:r>
      <w:r/>
    </w:p>
    <w:p>
      <w:pPr>
        <w:pStyle w:val="811"/>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rPr>
          <w:rFonts w:ascii="Times New Roman" w:hAnsi="Times New Roman" w:eastAsia="方正仿宋_GBK"/>
          <w:sz w:val="24"/>
          <w:szCs w:val="24"/>
          <w:u w:val="single"/>
        </w:rPr>
      </w:r>
      <w:r/>
    </w:p>
    <w:p>
      <w:pPr>
        <w:pStyle w:val="81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rPr>
          <w:rFonts w:ascii="Times New Roman" w:hAnsi="Times New Roman" w:eastAsia="方正仿宋_GBK"/>
          <w:sz w:val="24"/>
          <w:szCs w:val="24"/>
        </w:rPr>
      </w:r>
      <w:r/>
    </w:p>
    <w:p>
      <w:pPr>
        <w:pStyle w:val="811"/>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rPr>
          <w:rFonts w:ascii="Times New Roman" w:hAnsi="Times New Roman" w:eastAsia="方正仿宋_GBK"/>
          <w:sz w:val="24"/>
        </w:rPr>
      </w:r>
      <w:r/>
    </w:p>
    <w:p>
      <w:pPr>
        <w:pStyle w:val="81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rPr>
      </w:r>
      <w:r/>
    </w:p>
    <w:p>
      <w:pPr>
        <w:pStyle w:val="81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rPr>
          <w:rFonts w:ascii="Times New Roman" w:hAnsi="Times New Roman" w:eastAsia="方正仿宋_GBK"/>
          <w:sz w:val="24"/>
          <w:szCs w:val="24"/>
        </w:rPr>
      </w:r>
      <w:r/>
    </w:p>
    <w:p>
      <w:pPr>
        <w:pStyle w:val="81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sz w:val="24"/>
          <w:szCs w:val="24"/>
        </w:rPr>
      </w:r>
      <w:r/>
    </w:p>
    <w:p>
      <w:pPr>
        <w:pStyle w:val="81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rPr>
      </w:r>
      <w:r/>
    </w:p>
    <w:p>
      <w:pPr>
        <w:pStyle w:val="81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rPr>
          <w:rFonts w:ascii="Times New Roman" w:hAnsi="Times New Roman" w:eastAsia="方正仿宋_GBK"/>
          <w:sz w:val="24"/>
          <w:szCs w:val="24"/>
        </w:rPr>
      </w:r>
      <w:r/>
    </w:p>
    <w:p>
      <w:pPr>
        <w:pStyle w:val="811"/>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811"/>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81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rPr>
          <w:rFonts w:ascii="Times New Roman" w:hAnsi="Times New Roman" w:eastAsia="方正仿宋_GBK"/>
          <w:sz w:val="24"/>
          <w:szCs w:val="24"/>
        </w:rPr>
      </w:r>
      <w:r/>
    </w:p>
    <w:p>
      <w:pPr>
        <w:pStyle w:val="811"/>
        <w:ind w:firstLine="480"/>
        <w:rPr>
          <w:rFonts w:ascii="Times New Roman" w:hAnsi="Times New Roman"/>
        </w:rPr>
      </w:pPr>
      <w:r>
        <w:rPr>
          <w:rFonts w:hint="eastAsia" w:ascii="Times New Roman" w:hAnsi="Times New Roman" w:eastAsia="方正仿宋_GBK"/>
          <w:sz w:val="24"/>
          <w:szCs w:val="24"/>
        </w:rPr>
        <w:t xml:space="preserve">日期：    年    月   日</w:t>
      </w:r>
      <w:r>
        <w:rPr>
          <w:rFonts w:ascii="Times New Roman" w:hAnsi="Times New Roman"/>
        </w:rPr>
      </w:r>
      <w:r/>
    </w:p>
    <w:p>
      <w:pPr>
        <w:pStyle w:val="813"/>
      </w:pPr>
      <w:r>
        <w:br w:type="page" w:clear="all"/>
      </w:r>
      <w:r>
        <w:rPr>
          <w:rFonts w:hint="eastAsia" w:eastAsia="宋体"/>
          <w:b/>
          <w:sz w:val="32"/>
          <w:szCs w:val="32"/>
        </w:rPr>
        <w:t xml:space="preserve">二、投标人基本情况</w:t>
      </w:r>
      <w:r/>
    </w:p>
    <w:p>
      <w:pPr>
        <w:pStyle w:val="814"/>
        <w:jc w:val="center"/>
        <w:rPr>
          <w:rFonts w:ascii="Times New Roman" w:hAnsi="Times New Roman"/>
          <w:sz w:val="44"/>
          <w:szCs w:val="44"/>
        </w:rPr>
      </w:pPr>
      <w:r>
        <w:rPr>
          <w:rFonts w:hint="eastAsia" w:ascii="Times New Roman" w:hAnsi="Times New Roman"/>
          <w:sz w:val="44"/>
          <w:szCs w:val="44"/>
        </w:rPr>
        <w:t xml:space="preserve">投标人基本情况表</w:t>
      </w:r>
      <w:r>
        <w:rPr>
          <w:rFonts w:ascii="Times New Roman" w:hAnsi="Times New Roman"/>
          <w:sz w:val="44"/>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rPr>
                <w:rFonts w:ascii="Times New Roman" w:hAnsi="Times New Roman" w:eastAsia="仿宋_GB2312"/>
                <w:sz w:val="24"/>
                <w:szCs w:val="24"/>
              </w:rPr>
            </w:r>
            <w:r/>
          </w:p>
        </w:tc>
        <w:tc>
          <w:tcPr>
            <w:gridSpan w:val="3"/>
            <w:tcW w:w="6998"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rPr>
                <w:rFonts w:ascii="Times New Roman" w:hAnsi="Times New Roman" w:eastAsia="仿宋_GB2312"/>
                <w:sz w:val="24"/>
                <w:szCs w:val="24"/>
              </w:rPr>
            </w:r>
            <w:r/>
          </w:p>
        </w:tc>
        <w:tc>
          <w:tcPr>
            <w:tcW w:w="3118"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rPr>
                <w:rFonts w:ascii="Times New Roman" w:hAnsi="Times New Roman" w:eastAsia="仿宋_GB2312"/>
                <w:sz w:val="24"/>
                <w:szCs w:val="24"/>
              </w:rPr>
            </w:r>
            <w:r/>
          </w:p>
        </w:tc>
        <w:tc>
          <w:tcPr>
            <w:tcW w:w="2604"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rPr>
                <w:rFonts w:ascii="Times New Roman" w:hAnsi="Times New Roman" w:eastAsia="仿宋_GB2312"/>
                <w:sz w:val="24"/>
                <w:szCs w:val="24"/>
              </w:rPr>
            </w:r>
            <w:r/>
          </w:p>
        </w:tc>
        <w:tc>
          <w:tcPr>
            <w:tcW w:w="3118"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rPr>
                <w:rFonts w:ascii="Times New Roman" w:hAnsi="Times New Roman" w:eastAsia="仿宋_GB2312"/>
                <w:sz w:val="24"/>
                <w:szCs w:val="24"/>
              </w:rPr>
            </w:r>
            <w:r/>
          </w:p>
        </w:tc>
        <w:tc>
          <w:tcPr>
            <w:tcW w:w="2604"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rPr>
                <w:rFonts w:ascii="Times New Roman" w:hAnsi="Times New Roman" w:eastAsia="仿宋_GB2312"/>
                <w:sz w:val="24"/>
                <w:szCs w:val="24"/>
              </w:rPr>
            </w:r>
            <w:r/>
          </w:p>
        </w:tc>
        <w:tc>
          <w:tcPr>
            <w:tcW w:w="3118"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rPr>
                <w:rFonts w:ascii="Times New Roman" w:hAnsi="Times New Roman" w:eastAsia="仿宋_GB2312"/>
                <w:sz w:val="24"/>
                <w:szCs w:val="24"/>
              </w:rPr>
            </w:r>
            <w:r/>
          </w:p>
        </w:tc>
        <w:tc>
          <w:tcPr>
            <w:tcW w:w="2604"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rPr>
                <w:rFonts w:ascii="Times New Roman" w:hAnsi="Times New Roman" w:eastAsia="仿宋_GB2312"/>
                <w:sz w:val="24"/>
                <w:szCs w:val="24"/>
              </w:rPr>
            </w:r>
            <w:r/>
          </w:p>
        </w:tc>
        <w:tc>
          <w:tcPr>
            <w:tcW w:w="3118"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rPr>
                <w:rFonts w:ascii="Times New Roman" w:hAnsi="Times New Roman" w:eastAsia="仿宋_GB2312"/>
                <w:sz w:val="24"/>
                <w:szCs w:val="24"/>
              </w:rPr>
            </w:r>
            <w:r/>
          </w:p>
        </w:tc>
        <w:tc>
          <w:tcPr>
            <w:tcW w:w="2604"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rPr>
                <w:rFonts w:ascii="Times New Roman" w:hAnsi="Times New Roman" w:eastAsia="仿宋_GB2312"/>
                <w:sz w:val="24"/>
                <w:szCs w:val="24"/>
              </w:rPr>
            </w:r>
            <w:r/>
          </w:p>
        </w:tc>
        <w:tc>
          <w:tcPr>
            <w:gridSpan w:val="3"/>
            <w:tcW w:w="6998"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rPr>
                <w:rFonts w:ascii="Times New Roman" w:hAnsi="Times New Roman" w:eastAsia="仿宋_GB2312"/>
                <w:sz w:val="24"/>
                <w:szCs w:val="24"/>
              </w:rPr>
            </w:r>
            <w:r/>
          </w:p>
        </w:tc>
        <w:tc>
          <w:tcPr>
            <w:tcW w:w="3118"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rPr>
                <w:rFonts w:ascii="Times New Roman" w:hAnsi="Times New Roman" w:eastAsia="仿宋_GB2312"/>
                <w:sz w:val="24"/>
                <w:szCs w:val="24"/>
              </w:rPr>
            </w:r>
            <w:r/>
          </w:p>
        </w:tc>
        <w:tc>
          <w:tcPr>
            <w:tcW w:w="2604"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rPr>
                <w:rFonts w:ascii="Times New Roman" w:hAnsi="Times New Roman" w:eastAsia="仿宋_GB2312"/>
                <w:sz w:val="24"/>
                <w:szCs w:val="24"/>
              </w:rPr>
            </w:r>
            <w:r/>
          </w:p>
        </w:tc>
        <w:tc>
          <w:tcPr>
            <w:tcW w:w="3118"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rPr>
                <w:rFonts w:ascii="Times New Roman" w:hAnsi="Times New Roman" w:eastAsia="仿宋_GB2312"/>
                <w:sz w:val="24"/>
                <w:szCs w:val="24"/>
              </w:rPr>
            </w:r>
            <w:r/>
          </w:p>
        </w:tc>
        <w:tc>
          <w:tcPr>
            <w:tcW w:w="2604" w:type="dxa"/>
            <w:vAlign w:val="center"/>
            <w:textDirection w:val="lrTb"/>
            <w:noWrap w:val="false"/>
          </w:tcPr>
          <w:p>
            <w:pPr>
              <w:pStyle w:val="81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81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rPr>
                <w:rFonts w:ascii="Times New Roman" w:hAnsi="Times New Roman" w:eastAsia="仿宋_GB2312"/>
                <w:sz w:val="24"/>
                <w:szCs w:val="24"/>
              </w:rPr>
            </w:r>
            <w:r/>
          </w:p>
        </w:tc>
        <w:tc>
          <w:tcPr>
            <w:gridSpan w:val="3"/>
            <w:tcW w:w="6998" w:type="dxa"/>
            <w:vAlign w:val="top"/>
            <w:textDirection w:val="lrTb"/>
            <w:noWrap w:val="false"/>
          </w:tcPr>
          <w:p>
            <w:pPr>
              <w:pStyle w:val="814"/>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81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rPr>
                <w:rFonts w:ascii="Times New Roman" w:hAnsi="Times New Roman" w:eastAsia="仿宋_GB2312"/>
                <w:sz w:val="24"/>
                <w:szCs w:val="24"/>
              </w:rPr>
            </w:r>
            <w:r/>
          </w:p>
        </w:tc>
        <w:tc>
          <w:tcPr>
            <w:gridSpan w:val="3"/>
            <w:tcW w:w="6998" w:type="dxa"/>
            <w:vAlign w:val="center"/>
            <w:textDirection w:val="lrTb"/>
            <w:noWrap w:val="false"/>
          </w:tcPr>
          <w:p>
            <w:pPr>
              <w:pStyle w:val="814"/>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rPr>
                <w:rFonts w:ascii="Times New Roman" w:hAnsi="Times New Roman" w:eastAsia="仿宋_GB2312"/>
                <w:sz w:val="24"/>
                <w:szCs w:val="24"/>
              </w:rPr>
            </w:r>
            <w:r/>
          </w:p>
        </w:tc>
      </w:tr>
    </w:tbl>
    <w:p>
      <w:pPr>
        <w:pStyle w:val="674"/>
        <w:ind w:firstLine="480"/>
        <w:spacing w:line="440" w:lineRule="exact"/>
        <w:rPr>
          <w:sz w:val="24"/>
        </w:rPr>
      </w:pPr>
      <w:r>
        <w:rPr>
          <w:sz w:val="24"/>
        </w:rPr>
      </w:r>
      <w:r/>
    </w:p>
    <w:p>
      <w:pPr>
        <w:pStyle w:val="674"/>
        <w:ind w:firstLine="480"/>
        <w:spacing w:line="440" w:lineRule="exact"/>
        <w:rPr>
          <w:sz w:val="24"/>
        </w:rPr>
      </w:pPr>
      <w:r>
        <w:rPr>
          <w:sz w:val="24"/>
        </w:rPr>
      </w:r>
      <w:r/>
    </w:p>
    <w:p>
      <w:pPr>
        <w:pStyle w:val="674"/>
        <w:ind w:firstLine="480"/>
        <w:spacing w:line="440" w:lineRule="exact"/>
        <w:rPr>
          <w:sz w:val="24"/>
        </w:rPr>
      </w:pPr>
      <w:r>
        <w:rPr>
          <w:sz w:val="24"/>
        </w:rPr>
      </w:r>
      <w:r/>
    </w:p>
    <w:p>
      <w:pPr>
        <w:pStyle w:val="811"/>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674"/>
        <w:rPr>
          <w:rFonts w:hint="eastAsia" w:eastAsia="黑体"/>
          <w:i/>
          <w:sz w:val="32"/>
          <w:szCs w:val="32"/>
          <w:u w:val="single"/>
        </w:rPr>
      </w:pPr>
      <w:r>
        <w:br w:type="page" w:clear="all"/>
      </w:r>
      <w:r>
        <w:rPr>
          <w:rFonts w:hint="eastAsia"/>
          <w:b/>
          <w:sz w:val="32"/>
          <w:szCs w:val="32"/>
        </w:rPr>
        <w:t xml:space="preserve">三、特定资格要求的证明文件</w:t>
      </w:r>
      <w:r>
        <w:rPr>
          <w:rFonts w:hint="eastAsia" w:eastAsia="黑体"/>
          <w:i/>
          <w:sz w:val="32"/>
          <w:szCs w:val="32"/>
          <w:u w:val="single"/>
        </w:rPr>
      </w:r>
      <w:r/>
    </w:p>
    <w:p>
      <w:pPr>
        <w:pStyle w:val="674"/>
        <w:spacing w:line="460" w:lineRule="exact"/>
        <w:rPr>
          <w:rFonts w:hint="eastAsia"/>
          <w:bCs/>
          <w:sz w:val="24"/>
        </w:rPr>
      </w:pPr>
      <w:r>
        <w:rPr>
          <w:rFonts w:hint="eastAsia"/>
          <w:sz w:val="24"/>
        </w:rPr>
        <w:t xml:space="preserve">    如果本项目申请人的特定资格要求中要求提供的，必须提供。</w:t>
      </w:r>
      <w:r>
        <w:rPr>
          <w:rFonts w:hint="eastAsia"/>
          <w:bCs/>
          <w:sz w:val="24"/>
        </w:rPr>
      </w:r>
      <w:r/>
    </w:p>
    <w:p>
      <w:pPr>
        <w:pStyle w:val="674"/>
        <w:spacing w:line="460" w:lineRule="exact"/>
        <w:rPr>
          <w:rFonts w:hint="eastAsia"/>
          <w:bCs/>
          <w:sz w:val="24"/>
        </w:rPr>
      </w:pPr>
      <w:r>
        <w:rPr>
          <w:rFonts w:hint="eastAsia"/>
          <w:bCs/>
          <w:sz w:val="24"/>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770"/>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770"/>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jc w:val="center"/>
        <w:rPr>
          <w:rFonts w:hint="eastAsia" w:eastAsia="黑体"/>
          <w:i/>
          <w:sz w:val="32"/>
          <w:szCs w:val="32"/>
          <w:u w:val="single"/>
        </w:rPr>
      </w:pPr>
      <w:r>
        <w:rPr>
          <w:rFonts w:hint="eastAsia" w:eastAsia="黑体"/>
          <w:i/>
          <w:sz w:val="32"/>
          <w:szCs w:val="32"/>
          <w:u w:val="single"/>
        </w:rPr>
      </w:r>
      <w:r/>
    </w:p>
    <w:p>
      <w:pPr>
        <w:pStyle w:val="674"/>
        <w:rPr>
          <w:rFonts w:hint="eastAsia"/>
          <w:b/>
          <w:sz w:val="32"/>
          <w:szCs w:val="32"/>
        </w:rPr>
      </w:pPr>
      <w:r>
        <w:rPr>
          <w:rFonts w:hint="eastAsia"/>
          <w:b/>
          <w:sz w:val="32"/>
          <w:szCs w:val="32"/>
        </w:rPr>
        <w:t xml:space="preserve">四、法人授权书</w:t>
      </w:r>
      <w:r>
        <w:rPr>
          <w:rFonts w:hint="eastAsia"/>
          <w:b/>
          <w:sz w:val="32"/>
          <w:szCs w:val="32"/>
        </w:rPr>
      </w:r>
      <w:r/>
    </w:p>
    <w:p>
      <w:pPr>
        <w:pStyle w:val="78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8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81"/>
        <w:ind w:firstLine="480"/>
        <w:tabs>
          <w:tab w:val="left" w:pos="360" w:leader="none"/>
        </w:tabs>
        <w:rPr>
          <w:rFonts w:hint="eastAsia"/>
          <w:sz w:val="24"/>
          <w:szCs w:val="24"/>
        </w:rPr>
      </w:pPr>
      <w:r>
        <w:rPr>
          <w:rFonts w:hint="eastAsia"/>
          <w:sz w:val="24"/>
          <w:szCs w:val="24"/>
        </w:rPr>
        <w:t xml:space="preserve">      日期：</w:t>
      </w:r>
      <w:bookmarkStart w:id="487" w:name="_Hlt26955070"/>
      <w:r/>
      <w:bookmarkEnd w:id="487"/>
      <w:r/>
      <w:bookmarkStart w:id="488" w:name="_格式3__银行出具的资信证明"/>
      <w:r/>
      <w:bookmarkEnd w:id="488"/>
      <w:r/>
      <w:bookmarkStart w:id="489" w:name="_Hlt26671380"/>
      <w:r/>
      <w:bookmarkEnd w:id="489"/>
      <w:r>
        <w:rPr>
          <w:rFonts w:hint="eastAsia"/>
          <w:sz w:val="24"/>
          <w:szCs w:val="24"/>
          <w:u w:val="single"/>
        </w:rPr>
        <w:t xml:space="preserve">                                         </w:t>
      </w:r>
      <w:r>
        <w:rPr>
          <w:rFonts w:hint="eastAsia"/>
          <w:sz w:val="24"/>
          <w:szCs w:val="24"/>
        </w:rPr>
      </w:r>
      <w:r/>
    </w:p>
    <w:p>
      <w:pPr>
        <w:pStyle w:val="689"/>
        <w:rPr>
          <w:rFonts w:hint="eastAsia"/>
          <w:i/>
          <w:sz w:val="24"/>
          <w:szCs w:val="24"/>
          <w:u w:val="single"/>
        </w:rPr>
      </w:pPr>
      <w:r>
        <w:rPr>
          <w:rFonts w:hint="eastAsia"/>
          <w:i/>
          <w:sz w:val="24"/>
          <w:szCs w:val="24"/>
          <w:u w:val="single"/>
        </w:rPr>
      </w:r>
      <w:r/>
    </w:p>
    <w:p>
      <w:pPr>
        <w:pStyle w:val="689"/>
        <w:ind w:firstLine="0"/>
        <w:rPr>
          <w:rFonts w:hint="eastAsia"/>
        </w:rPr>
      </w:pPr>
      <w:r>
        <w:rPr>
          <w:rFonts w:hint="eastAsia"/>
        </w:rPr>
      </w:r>
      <w:r/>
    </w:p>
    <w:p>
      <w:pPr>
        <w:pStyle w:val="674"/>
        <w:spacing w:line="460" w:lineRule="exact"/>
        <w:rPr>
          <w:rFonts w:hint="eastAsia" w:eastAsia="楷体"/>
          <w:bCs/>
          <w:sz w:val="24"/>
          <w:szCs w:val="24"/>
        </w:rPr>
      </w:pPr>
      <w:r>
        <w:rPr>
          <w:rFonts w:hint="eastAsia" w:eastAsia="楷体"/>
          <w:bCs/>
          <w:sz w:val="24"/>
          <w:szCs w:val="24"/>
        </w:rPr>
      </w:r>
      <w:r/>
    </w:p>
    <w:p>
      <w:pPr>
        <w:pStyle w:val="674"/>
        <w:spacing w:line="460" w:lineRule="exact"/>
        <w:rPr>
          <w:rFonts w:hint="eastAsia"/>
          <w:bCs/>
          <w:sz w:val="24"/>
        </w:rPr>
      </w:pPr>
      <w:r>
        <w:rPr>
          <w:rFonts w:hint="eastAsia"/>
          <w:bCs/>
          <w:sz w:val="24"/>
        </w:rPr>
      </w:r>
      <w:r/>
    </w:p>
    <w:p>
      <w:pPr>
        <w:pStyle w:val="674"/>
        <w:rPr>
          <w:rFonts w:hint="eastAsia" w:eastAsia="宋体"/>
          <w:sz w:val="24"/>
          <w:szCs w:val="20"/>
          <w:lang w:val="en-US" w:eastAsia="zh-CN"/>
        </w:rPr>
      </w:pPr>
      <w:r>
        <w:rPr>
          <w:bCs/>
          <w:sz w:val="24"/>
        </w:rPr>
        <w:br w:type="page" w:clear="all"/>
      </w:r>
      <w:r>
        <w:rPr>
          <w:rFonts w:hint="eastAsia"/>
          <w:b/>
          <w:sz w:val="32"/>
          <w:szCs w:val="32"/>
        </w:rPr>
        <w:t xml:space="preserve">五、开标一览表</w:t>
      </w:r>
      <w:r>
        <w:rPr>
          <w:rFonts w:hint="eastAsia" w:eastAsia="宋体"/>
          <w:sz w:val="24"/>
          <w:szCs w:val="20"/>
          <w:lang w:val="en-US" w:eastAsia="zh-CN"/>
        </w:rPr>
      </w:r>
      <w:r/>
    </w:p>
    <w:p>
      <w:pPr>
        <w:pStyle w:val="674"/>
        <w:ind w:firstLine="480"/>
        <w:rPr>
          <w:rFonts w:hint="eastAsia"/>
          <w:sz w:val="24"/>
          <w:szCs w:val="24"/>
        </w:rPr>
      </w:pPr>
      <w:r>
        <w:rPr>
          <w:rFonts w:hint="eastAsia"/>
          <w:sz w:val="24"/>
          <w:szCs w:val="24"/>
        </w:rPr>
        <w:t xml:space="preserve">投标人全称（加盖CA电子签章）：</w:t>
      </w:r>
      <w:r>
        <w:rPr>
          <w:rFonts w:hint="eastAsia"/>
          <w:sz w:val="24"/>
          <w:szCs w:val="24"/>
        </w:rPr>
      </w:r>
      <w:r/>
    </w:p>
    <w:p>
      <w:pPr>
        <w:pStyle w:val="674"/>
        <w:ind w:firstLine="480"/>
        <w:rPr>
          <w:sz w:val="24"/>
          <w:szCs w:val="24"/>
        </w:rPr>
      </w:pPr>
      <w:r>
        <w:rPr>
          <w:rFonts w:hint="eastAsia"/>
          <w:sz w:val="24"/>
          <w:szCs w:val="24"/>
        </w:rPr>
        <w:t xml:space="preserve">项目名称：</w:t>
      </w:r>
      <w:r>
        <w:rPr>
          <w:sz w:val="24"/>
          <w:szCs w:val="24"/>
        </w:rPr>
      </w:r>
      <w:r/>
    </w:p>
    <w:p>
      <w:pPr>
        <w:pStyle w:val="674"/>
        <w:ind w:firstLine="480"/>
        <w:rPr>
          <w:sz w:val="24"/>
          <w:szCs w:val="24"/>
        </w:rPr>
      </w:pPr>
      <w:r>
        <w:rPr>
          <w:rFonts w:hint="eastAsia"/>
          <w:sz w:val="24"/>
          <w:szCs w:val="24"/>
        </w:rPr>
        <w:t xml:space="preserve">招标编号：                                   分包号：</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4"/>
              <w:rPr>
                <w:rFonts w:hint="eastAsia"/>
                <w:sz w:val="24"/>
                <w:szCs w:val="24"/>
              </w:rPr>
            </w:pPr>
            <w:r>
              <w:rPr>
                <w:rFonts w:hint="eastAsia" w:cs="宋体"/>
                <w:sz w:val="24"/>
                <w:szCs w:val="24"/>
              </w:rPr>
              <w:t xml:space="preserve">                      </w:t>
            </w:r>
            <w:r>
              <w:rPr>
                <w:rFonts w:hint="eastAsia"/>
                <w:sz w:val="24"/>
                <w:szCs w:val="24"/>
              </w:rPr>
              <w:t xml:space="preserve">投标总报价</w:t>
            </w:r>
            <w:r>
              <w:rPr>
                <w:rFonts w:hint="eastAsia"/>
                <w:sz w:val="24"/>
                <w:szCs w:val="24"/>
              </w:rPr>
            </w:r>
            <w:r/>
          </w:p>
        </w:tc>
      </w:tr>
      <w:tr>
        <w:trPr>
          <w:cantSplit/>
          <w:trHeight w:val="612"/>
        </w:trPr>
        <w:tc>
          <w:tcPr>
            <w:tcW w:w="8206" w:type="dxa"/>
            <w:vAlign w:val="center"/>
            <w:textDirection w:val="lrTb"/>
            <w:noWrap w:val="false"/>
          </w:tcPr>
          <w:p>
            <w:pPr>
              <w:pStyle w:val="783"/>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bl>
    <w:p>
      <w:pPr>
        <w:pStyle w:val="674"/>
        <w:rPr>
          <w:sz w:val="24"/>
          <w:szCs w:val="24"/>
        </w:rPr>
      </w:pPr>
      <w:r>
        <w:rPr>
          <w:sz w:val="24"/>
          <w:szCs w:val="24"/>
        </w:rPr>
      </w:r>
      <w:r/>
    </w:p>
    <w:p>
      <w:pPr>
        <w:pStyle w:val="674"/>
        <w:rPr>
          <w:sz w:val="24"/>
          <w:szCs w:val="24"/>
        </w:rPr>
      </w:pPr>
      <w:r>
        <w:rPr>
          <w:rFonts w:hint="eastAsia"/>
          <w:sz w:val="24"/>
          <w:szCs w:val="24"/>
        </w:rPr>
        <w:t xml:space="preserve">         </w:t>
      </w:r>
      <w:r>
        <w:rPr>
          <w:sz w:val="24"/>
          <w:szCs w:val="24"/>
        </w:rPr>
      </w:r>
      <w:r/>
    </w:p>
    <w:p>
      <w:pPr>
        <w:pStyle w:val="674"/>
        <w:ind w:firstLine="480"/>
        <w:rPr>
          <w:rFonts w:hint="eastAsia"/>
          <w:sz w:val="24"/>
          <w:szCs w:val="24"/>
        </w:rPr>
      </w:pPr>
      <w:r>
        <w:rPr>
          <w:rFonts w:hint="eastAsia"/>
          <w:sz w:val="24"/>
          <w:szCs w:val="24"/>
        </w:rPr>
        <w:t xml:space="preserve">                               </w:t>
      </w:r>
      <w:r>
        <w:rPr>
          <w:rFonts w:hint="eastAsia"/>
          <w:sz w:val="24"/>
          <w:szCs w:val="24"/>
        </w:rPr>
      </w:r>
      <w:r/>
    </w:p>
    <w:p>
      <w:pPr>
        <w:pStyle w:val="674"/>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sz w:val="24"/>
          <w:szCs w:val="24"/>
        </w:rPr>
      </w:r>
      <w:r/>
    </w:p>
    <w:p>
      <w:pPr>
        <w:pStyle w:val="674"/>
        <w:ind w:firstLine="480"/>
        <w:rPr>
          <w:rFonts w:hint="eastAsia"/>
          <w:sz w:val="24"/>
          <w:szCs w:val="24"/>
        </w:rPr>
      </w:pPr>
      <w:r>
        <w:rPr>
          <w:rFonts w:hint="eastAsia"/>
          <w:sz w:val="24"/>
          <w:szCs w:val="24"/>
        </w:rPr>
      </w:r>
      <w:r/>
    </w:p>
    <w:p>
      <w:pPr>
        <w:pStyle w:val="674"/>
        <w:ind w:firstLine="480"/>
        <w:rPr>
          <w:rFonts w:hint="eastAsia"/>
          <w:sz w:val="24"/>
          <w:szCs w:val="24"/>
        </w:rPr>
      </w:pPr>
      <w:r>
        <w:rPr>
          <w:rFonts w:hint="eastAsia"/>
          <w:sz w:val="24"/>
          <w:szCs w:val="24"/>
        </w:rPr>
      </w:r>
      <w:r/>
    </w:p>
    <w:p>
      <w:pPr>
        <w:pStyle w:val="674"/>
        <w:jc w:val="center"/>
        <w:rPr>
          <w:rFonts w:hint="eastAsia" w:cs="仿宋"/>
          <w:b/>
          <w:bCs/>
          <w:sz w:val="32"/>
          <w:szCs w:val="32"/>
        </w:rPr>
      </w:pPr>
      <w:r>
        <w:rPr>
          <w:rFonts w:hint="eastAsia" w:cs="仿宋"/>
          <w:b/>
          <w:bCs/>
          <w:sz w:val="32"/>
          <w:szCs w:val="32"/>
        </w:rPr>
      </w:r>
      <w:r/>
    </w:p>
    <w:p>
      <w:pPr>
        <w:pStyle w:val="674"/>
        <w:jc w:val="center"/>
        <w:rPr>
          <w:rFonts w:hint="eastAsia"/>
          <w:bCs/>
          <w:sz w:val="24"/>
        </w:rPr>
      </w:pPr>
      <w:r>
        <w:rPr>
          <w:rFonts w:hint="eastAsia"/>
        </w:rPr>
        <w:br w:type="page" w:clear="all"/>
      </w:r>
      <w:r>
        <w:rPr>
          <w:rFonts w:hint="eastAsia"/>
          <w:bCs/>
          <w:sz w:val="24"/>
        </w:rPr>
      </w:r>
      <w:r/>
    </w:p>
    <w:p>
      <w:pPr>
        <w:pStyle w:val="674"/>
        <w:ind w:firstLine="480"/>
        <w:rPr>
          <w:rFonts w:hint="eastAsia" w:eastAsia="宋体"/>
          <w:b/>
          <w:sz w:val="32"/>
          <w:szCs w:val="32"/>
          <w:lang w:eastAsia="zh-CN"/>
        </w:rPr>
      </w:pPr>
      <w:r>
        <w:rPr>
          <w:rFonts w:hint="eastAsia"/>
          <w:b/>
          <w:sz w:val="32"/>
          <w:szCs w:val="32"/>
        </w:rPr>
        <w:t xml:space="preserve">七、</w:t>
      </w:r>
      <w:r>
        <w:rPr>
          <w:rFonts w:hint="eastAsia" w:ascii="宋体" w:hAnsi="宋体" w:cs="宋体"/>
          <w:b w:val="0"/>
          <w:bCs w:val="0"/>
          <w:color w:val="ff0000"/>
          <w:sz w:val="24"/>
          <w:szCs w:val="24"/>
        </w:rPr>
        <w:t xml:space="preserve">★</w:t>
      </w:r>
      <w:r>
        <w:rPr>
          <w:rFonts w:hint="eastAsia"/>
          <w:b/>
          <w:sz w:val="32"/>
          <w:szCs w:val="32"/>
        </w:rPr>
        <w:t xml:space="preserve">投标报价明细表</w:t>
      </w:r>
      <w:r>
        <w:rPr>
          <w:rFonts w:hint="eastAsia"/>
          <w:b/>
          <w:sz w:val="32"/>
          <w:szCs w:val="32"/>
          <w:lang w:eastAsia="zh-CN"/>
        </w:rPr>
        <w:t xml:space="preserve">（</w:t>
      </w:r>
      <w:r>
        <w:rPr>
          <w:rFonts w:hint="eastAsia"/>
          <w:b/>
          <w:sz w:val="32"/>
          <w:szCs w:val="32"/>
          <w:lang w:val="en-US" w:eastAsia="zh-CN"/>
        </w:rPr>
        <w:t xml:space="preserve">按下列要求自行提供</w:t>
      </w:r>
      <w:r>
        <w:rPr>
          <w:rFonts w:hint="eastAsia"/>
          <w:b/>
          <w:sz w:val="32"/>
          <w:szCs w:val="32"/>
          <w:lang w:eastAsia="zh-CN"/>
        </w:rPr>
        <w:t xml:space="preserve">）</w:t>
      </w:r>
      <w:r>
        <w:rPr>
          <w:rFonts w:hint="eastAsia" w:eastAsia="宋体"/>
          <w:b/>
          <w:sz w:val="32"/>
          <w:szCs w:val="32"/>
          <w:lang w:eastAsia="zh-CN"/>
        </w:rPr>
      </w:r>
      <w:r/>
    </w:p>
    <w:tbl>
      <w:tblPr>
        <w:tblW w:w="10005" w:type="dxa"/>
        <w:tblInd w:w="-15" w:type="dxa"/>
        <w:tblLayout w:type="autofit"/>
        <w:tblCellMar>
          <w:left w:w="108" w:type="dxa"/>
          <w:top w:w="0" w:type="dxa"/>
          <w:right w:w="108" w:type="dxa"/>
          <w:bottom w:w="0" w:type="dxa"/>
        </w:tblCellMar>
        <w:tblLook w:val="04A0" w:firstRow="1" w:lastRow="0" w:firstColumn="1" w:lastColumn="0" w:noHBand="0" w:noVBand="1"/>
      </w:tblPr>
      <w:tblGrid>
        <w:gridCol w:w="750"/>
        <w:gridCol w:w="1905"/>
        <w:gridCol w:w="2790"/>
        <w:gridCol w:w="1410"/>
        <w:gridCol w:w="3150"/>
      </w:tblGrid>
      <w:tr>
        <w:trPr>
          <w:trHeight w:val="975"/>
        </w:trPr>
        <w:tc>
          <w:tcPr>
            <w:gridSpan w:val="5"/>
            <w:tcBorders>
              <w:top w:val="none" w:color="000000" w:sz="4" w:space="0"/>
              <w:left w:val="none" w:color="000000" w:sz="4" w:space="0"/>
              <w:bottom w:val="single" w:color="000000" w:sz="4" w:space="0"/>
              <w:right w:val="none" w:color="000000" w:sz="4" w:space="0"/>
            </w:tcBorders>
            <w:tcW w:w="10005" w:type="dxa"/>
            <w:vAlign w:val="center"/>
            <w:textDirection w:val="lrTb"/>
            <w:noWrap w:val="false"/>
          </w:tcPr>
          <w:p>
            <w:pPr>
              <w:pStyle w:val="674"/>
              <w:jc w:val="center"/>
              <w:spacing w:line="360" w:lineRule="exac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沭阳县陇集镇污水处理厂提质提标项目</w:t>
            </w:r>
            <w:r>
              <w:rPr>
                <w:rFonts w:hint="eastAsia" w:ascii="宋体" w:hAnsi="宋体" w:cs="宋体"/>
                <w:color w:val="000000"/>
                <w:sz w:val="28"/>
                <w:szCs w:val="28"/>
                <w:lang w:bidi="ar"/>
              </w:rPr>
            </w:r>
            <w:r/>
          </w:p>
          <w:p>
            <w:pPr>
              <w:pStyle w:val="674"/>
              <w:jc w:val="center"/>
              <w:spacing w:line="360" w:lineRule="exact"/>
              <w:widowControl/>
              <w:rPr>
                <w:rFonts w:hint="eastAsia" w:ascii="宋体" w:hAnsi="宋体" w:cs="宋体"/>
                <w:color w:val="000000"/>
              </w:rPr>
            </w:pPr>
            <w:r>
              <w:rPr>
                <w:rFonts w:hint="eastAsia" w:ascii="宋体" w:hAnsi="宋体" w:cs="宋体"/>
                <w:color w:val="000000"/>
                <w:sz w:val="28"/>
                <w:szCs w:val="28"/>
                <w:lang w:bidi="ar"/>
              </w:rPr>
              <w:t xml:space="preserve">费用统计表</w:t>
            </w:r>
            <w:r>
              <w:rPr>
                <w:rFonts w:hint="eastAsia" w:ascii="宋体" w:hAnsi="宋体" w:cs="宋体"/>
                <w:color w:val="000000"/>
              </w:rPr>
            </w:r>
            <w:r/>
          </w:p>
        </w:tc>
      </w:tr>
      <w:tr>
        <w:trPr>
          <w:trHeight w:val="9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序号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子项目名称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项目内容</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line="260" w:lineRule="exact"/>
              <w:widowControl/>
              <w:rPr>
                <w:rFonts w:hint="eastAsia" w:ascii="宋体" w:hAnsi="宋体" w:cs="宋体"/>
                <w:color w:val="000000"/>
                <w:lang w:bidi="ar"/>
              </w:rPr>
            </w:pPr>
            <w:r>
              <w:rPr>
                <w:rFonts w:hint="eastAsia" w:ascii="宋体" w:hAnsi="宋体" w:cs="宋体"/>
                <w:color w:val="000000"/>
                <w:lang w:bidi="ar"/>
              </w:rPr>
              <w:t xml:space="preserve">费用报价</w:t>
            </w:r>
            <w:r>
              <w:rPr>
                <w:rFonts w:hint="eastAsia" w:ascii="宋体" w:hAnsi="宋体" w:cs="宋体"/>
                <w:color w:val="000000"/>
                <w:lang w:bidi="ar"/>
              </w:rPr>
            </w:r>
            <w:r/>
          </w:p>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备注</w:t>
            </w:r>
            <w:r>
              <w:rPr>
                <w:rFonts w:hint="eastAsia" w:ascii="宋体" w:hAnsi="宋体" w:cs="宋体"/>
                <w:color w:val="000000"/>
              </w:rPr>
            </w:r>
            <w:r/>
          </w:p>
        </w:tc>
      </w:tr>
      <w:tr>
        <w:trPr>
          <w:trHeight w:val="127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陇集污水处理厂扩建项目设备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在陇集污水处理厂扩建处理规模为</w:t>
            </w:r>
            <w:r>
              <w:rPr>
                <w:rStyle w:val="1069"/>
                <w:rFonts w:hint="eastAsia" w:ascii="宋体" w:hAnsi="宋体" w:cs="宋体"/>
                <w:sz w:val="21"/>
                <w:szCs w:val="21"/>
                <w:lang w:bidi="ar"/>
              </w:rPr>
              <w:t xml:space="preserve">1500t/d</w:t>
            </w:r>
            <w:r>
              <w:rPr>
                <w:rStyle w:val="1070"/>
                <w:rFonts w:hint="eastAsia" w:ascii="宋体" w:hAnsi="宋体" w:eastAsia="宋体" w:cs="宋体"/>
                <w:sz w:val="21"/>
                <w:szCs w:val="21"/>
                <w:lang w:bidi="ar"/>
              </w:rPr>
              <w:t xml:space="preserve">的一体化污水处理设备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74"/>
              <w:jc w:val="center"/>
              <w:spacing w:line="260" w:lineRule="exact"/>
              <w:widowControl/>
              <w:rPr>
                <w:rFonts w:hint="eastAsia" w:ascii="宋体" w:hAnsi="宋体" w:cs="宋体"/>
                <w:color w:val="000000"/>
              </w:rPr>
            </w:pPr>
            <w:r>
              <w:rPr>
                <w:rStyle w:val="1070"/>
                <w:rFonts w:hint="eastAsia" w:ascii="宋体" w:hAnsi="宋体" w:eastAsia="宋体" w:cs="宋体"/>
                <w:sz w:val="21"/>
                <w:szCs w:val="21"/>
                <w:lang w:bidi="ar"/>
              </w:rPr>
              <w:t xml:space="preserve">设备为一体化设备，项目包含设备采购、安装等内容，设计处理规模为</w:t>
            </w:r>
            <w:r>
              <w:rPr>
                <w:rStyle w:val="1069"/>
                <w:rFonts w:hint="eastAsia" w:ascii="宋体" w:hAnsi="宋体" w:cs="宋体"/>
                <w:sz w:val="21"/>
                <w:szCs w:val="21"/>
                <w:lang w:bidi="ar"/>
              </w:rPr>
              <w:t xml:space="preserve">1500</w:t>
            </w:r>
            <w:r>
              <w:rPr>
                <w:rStyle w:val="1070"/>
                <w:rFonts w:hint="eastAsia" w:ascii="宋体" w:hAnsi="宋体" w:eastAsia="宋体" w:cs="宋体"/>
                <w:sz w:val="21"/>
                <w:szCs w:val="21"/>
                <w:lang w:bidi="ar"/>
              </w:rPr>
              <w:t xml:space="preserve">吨</w:t>
            </w:r>
            <w:r>
              <w:rPr>
                <w:rStyle w:val="1069"/>
                <w:rFonts w:hint="eastAsia" w:ascii="宋体" w:hAnsi="宋体" w:cs="宋体"/>
                <w:sz w:val="21"/>
                <w:szCs w:val="21"/>
                <w:lang w:bidi="ar"/>
              </w:rPr>
              <w:t xml:space="preserve">/</w:t>
            </w:r>
            <w:r>
              <w:rPr>
                <w:rStyle w:val="1070"/>
                <w:rFonts w:hint="eastAsia" w:ascii="宋体" w:hAnsi="宋体" w:eastAsia="宋体" w:cs="宋体"/>
                <w:sz w:val="21"/>
                <w:szCs w:val="21"/>
                <w:lang w:bidi="ar"/>
              </w:rPr>
              <w:t xml:space="preserve">天。</w:t>
            </w:r>
            <w:r>
              <w:rPr>
                <w:rFonts w:hint="eastAsia" w:ascii="宋体" w:hAnsi="宋体" w:cs="宋体"/>
                <w:color w:val="000000"/>
              </w:rPr>
            </w:r>
            <w:r/>
          </w:p>
        </w:tc>
      </w:tr>
      <w:tr>
        <w:trPr>
          <w:trHeight w:val="97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陇集污水处理厂扩建项目在线监测设备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出水处加装</w:t>
            </w:r>
            <w:r>
              <w:rPr>
                <w:rStyle w:val="1069"/>
                <w:rFonts w:hint="eastAsia" w:ascii="宋体" w:hAnsi="宋体" w:cs="宋体"/>
                <w:sz w:val="21"/>
                <w:szCs w:val="21"/>
                <w:lang w:bidi="ar"/>
              </w:rPr>
              <w:t xml:space="preserve">COD</w:t>
            </w:r>
            <w:r>
              <w:rPr>
                <w:rStyle w:val="1070"/>
                <w:rFonts w:hint="eastAsia" w:ascii="宋体" w:hAnsi="宋体" w:eastAsia="宋体" w:cs="宋体"/>
                <w:sz w:val="21"/>
                <w:szCs w:val="21"/>
                <w:lang w:bidi="ar"/>
              </w:rPr>
              <w:t xml:space="preserve">、</w:t>
            </w:r>
            <w:r>
              <w:rPr>
                <w:rStyle w:val="1069"/>
                <w:rFonts w:hint="eastAsia" w:ascii="宋体" w:hAnsi="宋体" w:cs="宋体"/>
                <w:sz w:val="21"/>
                <w:szCs w:val="21"/>
                <w:lang w:bidi="ar"/>
              </w:rPr>
              <w:t xml:space="preserve">NH3-N</w:t>
            </w:r>
            <w:r>
              <w:rPr>
                <w:rStyle w:val="1070"/>
                <w:rFonts w:hint="eastAsia" w:ascii="宋体" w:hAnsi="宋体" w:eastAsia="宋体" w:cs="宋体"/>
                <w:sz w:val="21"/>
                <w:szCs w:val="21"/>
                <w:lang w:bidi="ar"/>
              </w:rPr>
              <w:t xml:space="preserve">、</w:t>
            </w:r>
            <w:r>
              <w:rPr>
                <w:rStyle w:val="1069"/>
                <w:rFonts w:hint="eastAsia" w:ascii="宋体" w:hAnsi="宋体" w:cs="宋体"/>
                <w:sz w:val="21"/>
                <w:szCs w:val="21"/>
                <w:lang w:bidi="ar"/>
              </w:rPr>
              <w:t xml:space="preserve">TP</w:t>
            </w:r>
            <w:r>
              <w:rPr>
                <w:rStyle w:val="1070"/>
                <w:rFonts w:hint="eastAsia" w:ascii="宋体" w:hAnsi="宋体" w:eastAsia="宋体" w:cs="宋体"/>
                <w:sz w:val="21"/>
                <w:szCs w:val="21"/>
                <w:lang w:bidi="ar"/>
              </w:rPr>
              <w:t xml:space="preserve">、</w:t>
            </w:r>
            <w:r>
              <w:rPr>
                <w:rStyle w:val="1069"/>
                <w:rFonts w:hint="eastAsia" w:ascii="宋体" w:hAnsi="宋体" w:cs="宋体"/>
                <w:sz w:val="21"/>
                <w:szCs w:val="21"/>
                <w:lang w:bidi="ar"/>
              </w:rPr>
              <w:t xml:space="preserve">TN</w:t>
            </w:r>
            <w:r>
              <w:rPr>
                <w:rStyle w:val="1070"/>
                <w:rFonts w:hint="eastAsia" w:ascii="宋体" w:hAnsi="宋体" w:eastAsia="宋体" w:cs="宋体"/>
                <w:sz w:val="21"/>
                <w:szCs w:val="21"/>
                <w:lang w:bidi="ar"/>
              </w:rPr>
              <w:t xml:space="preserve">、</w:t>
            </w:r>
            <w:r>
              <w:rPr>
                <w:rStyle w:val="1069"/>
                <w:rFonts w:hint="eastAsia" w:ascii="宋体" w:hAnsi="宋体" w:cs="宋体"/>
                <w:sz w:val="21"/>
                <w:szCs w:val="21"/>
                <w:lang w:bidi="ar"/>
              </w:rPr>
              <w:t xml:space="preserve">PH</w:t>
            </w:r>
            <w:r>
              <w:rPr>
                <w:rStyle w:val="1070"/>
                <w:rFonts w:hint="eastAsia" w:ascii="宋体" w:hAnsi="宋体" w:eastAsia="宋体" w:cs="宋体"/>
                <w:sz w:val="21"/>
                <w:szCs w:val="21"/>
                <w:lang w:bidi="ar"/>
              </w:rPr>
              <w:t xml:space="preserve">、</w:t>
            </w:r>
            <w:r>
              <w:rPr>
                <w:rStyle w:val="1069"/>
                <w:rFonts w:hint="eastAsia" w:ascii="宋体" w:hAnsi="宋体" w:cs="宋体"/>
                <w:sz w:val="21"/>
                <w:szCs w:val="21"/>
                <w:lang w:bidi="ar"/>
              </w:rPr>
              <w:t xml:space="preserve">SS</w:t>
            </w:r>
            <w:r>
              <w:rPr>
                <w:rStyle w:val="1070"/>
                <w:rFonts w:hint="eastAsia" w:ascii="宋体" w:hAnsi="宋体" w:eastAsia="宋体" w:cs="宋体"/>
                <w:sz w:val="21"/>
                <w:szCs w:val="21"/>
                <w:lang w:bidi="ar"/>
              </w:rPr>
              <w:t xml:space="preserve">在线检测仪器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74"/>
              <w:jc w:val="center"/>
              <w:spacing w:line="260" w:lineRule="exact"/>
              <w:widowControl/>
              <w:rPr>
                <w:rFonts w:hint="eastAsia" w:ascii="宋体" w:hAnsi="宋体" w:cs="宋体"/>
                <w:color w:val="000000"/>
              </w:rPr>
            </w:pPr>
            <w:r>
              <w:rPr>
                <w:rStyle w:val="1070"/>
                <w:rFonts w:hint="eastAsia" w:ascii="宋体" w:hAnsi="宋体" w:eastAsia="宋体" w:cs="宋体"/>
                <w:sz w:val="21"/>
                <w:szCs w:val="21"/>
                <w:lang w:bidi="ar"/>
              </w:rPr>
              <w:t xml:space="preserve">含设备采购、安装等费用。</w:t>
            </w:r>
            <w:r>
              <w:rPr>
                <w:rFonts w:hint="eastAsia" w:ascii="宋体" w:hAnsi="宋体" w:cs="宋体"/>
                <w:color w:val="000000"/>
              </w:rPr>
            </w:r>
            <w:r/>
          </w:p>
        </w:tc>
      </w:tr>
      <w:tr>
        <w:trPr>
          <w:trHeight w:val="901"/>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运营费用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运营规模</w:t>
            </w:r>
            <w:r>
              <w:rPr>
                <w:rStyle w:val="1069"/>
                <w:rFonts w:hint="eastAsia" w:ascii="宋体" w:hAnsi="宋体" w:cs="宋体"/>
                <w:sz w:val="21"/>
                <w:szCs w:val="21"/>
                <w:lang w:bidi="ar"/>
              </w:rPr>
              <w:t xml:space="preserve">1500</w:t>
            </w:r>
            <w:r>
              <w:rPr>
                <w:rStyle w:val="1070"/>
                <w:rFonts w:hint="eastAsia" w:ascii="宋体" w:hAnsi="宋体" w:eastAsia="宋体" w:cs="宋体"/>
                <w:sz w:val="21"/>
                <w:szCs w:val="21"/>
                <w:lang w:bidi="ar"/>
              </w:rPr>
              <w:t xml:space="preserve">吨</w:t>
            </w:r>
            <w:r>
              <w:rPr>
                <w:rStyle w:val="1069"/>
                <w:rFonts w:hint="eastAsia" w:ascii="宋体" w:hAnsi="宋体" w:cs="宋体"/>
                <w:sz w:val="21"/>
                <w:szCs w:val="21"/>
                <w:lang w:bidi="ar"/>
              </w:rPr>
              <w:t xml:space="preserve">/</w:t>
            </w:r>
            <w:r>
              <w:rPr>
                <w:rStyle w:val="1070"/>
                <w:rFonts w:hint="eastAsia" w:ascii="宋体" w:hAnsi="宋体" w:eastAsia="宋体" w:cs="宋体"/>
                <w:sz w:val="21"/>
                <w:szCs w:val="21"/>
                <w:lang w:bidi="ar"/>
              </w:rPr>
              <w:t xml:space="preserve">天，运营期</w:t>
            </w:r>
            <w:r>
              <w:rPr>
                <w:rStyle w:val="1069"/>
                <w:rFonts w:hint="eastAsia" w:ascii="宋体" w:hAnsi="宋体" w:cs="宋体"/>
                <w:sz w:val="21"/>
                <w:szCs w:val="21"/>
                <w:lang w:bidi="ar"/>
              </w:rPr>
              <w:t xml:space="preserve">1</w:t>
            </w:r>
            <w:r>
              <w:rPr>
                <w:rStyle w:val="1070"/>
                <w:rFonts w:hint="eastAsia" w:ascii="宋体" w:hAnsi="宋体" w:eastAsia="宋体" w:cs="宋体"/>
                <w:sz w:val="21"/>
                <w:szCs w:val="21"/>
                <w:lang w:bidi="ar"/>
              </w:rPr>
              <w:t xml:space="preserve">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74"/>
              <w:jc w:val="center"/>
              <w:spacing w:line="260" w:lineRule="exact"/>
              <w:widowControl/>
              <w:rPr>
                <w:rFonts w:hint="eastAsia" w:ascii="宋体" w:hAnsi="宋体" w:cs="宋体"/>
                <w:color w:val="000000"/>
              </w:rPr>
            </w:pPr>
            <w:r>
              <w:rPr>
                <w:rStyle w:val="1070"/>
                <w:rFonts w:hint="eastAsia" w:ascii="宋体" w:hAnsi="宋体" w:eastAsia="宋体" w:cs="宋体"/>
                <w:sz w:val="21"/>
                <w:szCs w:val="21"/>
                <w:lang w:bidi="ar"/>
              </w:rPr>
              <w:t xml:space="preserve">一体化污水处理设备运营，包含人工费、药剂费、电费等所有运营费用。按每天处理</w:t>
            </w:r>
            <w:r>
              <w:rPr>
                <w:rStyle w:val="1069"/>
                <w:rFonts w:hint="eastAsia" w:ascii="宋体" w:hAnsi="宋体" w:cs="宋体"/>
                <w:sz w:val="21"/>
                <w:szCs w:val="21"/>
                <w:lang w:bidi="ar"/>
              </w:rPr>
              <w:t xml:space="preserve">1500</w:t>
            </w:r>
            <w:r>
              <w:rPr>
                <w:rStyle w:val="1070"/>
                <w:rFonts w:hint="eastAsia" w:ascii="宋体" w:hAnsi="宋体" w:eastAsia="宋体" w:cs="宋体"/>
                <w:sz w:val="21"/>
                <w:szCs w:val="21"/>
                <w:lang w:bidi="ar"/>
              </w:rPr>
              <w:t xml:space="preserve">吨污水进行报价，后期按实结算。</w:t>
            </w:r>
            <w:r>
              <w:rPr>
                <w:rFonts w:hint="eastAsia" w:ascii="宋体" w:hAnsi="宋体" w:cs="宋体"/>
                <w:color w:val="000000"/>
              </w:rPr>
            </w:r>
            <w:r/>
          </w:p>
        </w:tc>
      </w:tr>
      <w:tr>
        <w:trPr>
          <w:trHeight w:val="121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none" w:color="000000" w:sz="4" w:space="0"/>
              <w:left w:val="single" w:color="000000" w:sz="4" w:space="0"/>
              <w:bottom w:val="none" w:color="000000" w:sz="4" w:space="0"/>
              <w:right w:val="single" w:color="000000" w:sz="4" w:space="0"/>
            </w:tcBorders>
            <w:tcW w:w="1905"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刘集一体化泵站设备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新建刘集一体化泵站工程及相关配套设施</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35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74"/>
              <w:jc w:val="center"/>
              <w:spacing w:line="260" w:lineRule="exact"/>
              <w:widowControl/>
              <w:rPr>
                <w:rFonts w:hint="eastAsia" w:ascii="宋体" w:hAnsi="宋体" w:cs="宋体"/>
                <w:color w:val="000000"/>
              </w:rPr>
            </w:pPr>
            <w:r>
              <w:rPr>
                <w:rStyle w:val="1070"/>
                <w:rFonts w:hint="eastAsia" w:ascii="宋体" w:hAnsi="宋体" w:eastAsia="宋体" w:cs="宋体"/>
                <w:sz w:val="21"/>
                <w:szCs w:val="21"/>
                <w:lang w:bidi="ar"/>
              </w:rPr>
              <w:t xml:space="preserve">含土方开挖、钢筋混凝土安装及浇筑、预埋件安装、管道连接、一体化提升泵站设备采购、安装等内容。</w:t>
            </w:r>
            <w:r>
              <w:rPr>
                <w:rStyle w:val="1071"/>
                <w:rFonts w:hint="eastAsia" w:ascii="宋体" w:hAnsi="宋体" w:eastAsia="宋体" w:cs="宋体"/>
                <w:sz w:val="21"/>
                <w:szCs w:val="21"/>
                <w:lang w:bidi="ar"/>
              </w:rPr>
              <w:t xml:space="preserve">此项为不可竞争费用。</w:t>
            </w:r>
            <w:r>
              <w:rPr>
                <w:rFonts w:hint="eastAsia" w:ascii="宋体" w:hAnsi="宋体" w:cs="宋体"/>
                <w:color w:val="000000"/>
              </w:rPr>
            </w:r>
            <w:r/>
          </w:p>
        </w:tc>
      </w:tr>
      <w:tr>
        <w:trPr>
          <w:trHeight w:val="112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其他</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可研、初设、立项、排污许可、环评、环保验收等项目所有手续办理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可研、初设、立项、排污许可证、环评报告及验收等所有项目手续办理费用。</w:t>
            </w:r>
            <w:r>
              <w:rPr>
                <w:rFonts w:hint="eastAsia" w:ascii="宋体" w:hAnsi="宋体" w:cs="宋体"/>
                <w:color w:val="000000"/>
              </w:rPr>
            </w:r>
            <w:r/>
          </w:p>
        </w:tc>
      </w:tr>
      <w:tr>
        <w:trPr>
          <w:trHeight w:val="8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lang w:bidi="ar"/>
              </w:rPr>
              <w:t xml:space="preserve">合计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74"/>
              <w:jc w:val="center"/>
              <w:spacing w:line="260" w:lineRule="exact"/>
              <w:widowControl/>
              <w:rPr>
                <w:rFonts w:hint="eastAsia" w:ascii="宋体" w:hAnsi="宋体" w:cs="宋体"/>
                <w:color w:val="000000"/>
              </w:rPr>
            </w:pPr>
            <w:r>
              <w:rPr>
                <w:rFonts w:hint="eastAsia" w:ascii="宋体" w:hAnsi="宋体" w:cs="宋体"/>
                <w:color w:val="000000"/>
              </w:rPr>
            </w:r>
            <w:r/>
          </w:p>
        </w:tc>
      </w:tr>
    </w:tbl>
    <w:p>
      <w:pPr>
        <w:pStyle w:val="676"/>
        <w:ind w:firstLine="480"/>
        <w:jc w:val="left"/>
        <w:keepNext w:val="0"/>
        <w:spacing w:before="120" w:after="120"/>
        <w:rPr>
          <w:rFonts w:hint="eastAsia" w:ascii="宋体" w:hAnsi="宋体" w:eastAsia="宋体" w:cs="宋体"/>
          <w:b w:val="0"/>
          <w:bCs w:val="0"/>
          <w:color w:val="ff0000"/>
          <w:sz w:val="24"/>
          <w:szCs w:val="24"/>
        </w:rPr>
      </w:pPr>
      <w:r>
        <w:rPr>
          <w:rFonts w:hint="eastAsia" w:ascii="宋体" w:hAnsi="宋体" w:cs="宋体"/>
          <w:b w:val="0"/>
          <w:bCs w:val="0"/>
          <w:color w:val="ff0000"/>
          <w:sz w:val="24"/>
          <w:szCs w:val="24"/>
        </w:rPr>
        <w:t xml:space="preserve">★</w:t>
      </w:r>
      <w:r>
        <w:rPr>
          <w:rFonts w:hint="eastAsia" w:ascii="宋体" w:hAnsi="宋体" w:cs="宋体"/>
          <w:b w:val="0"/>
          <w:bCs w:val="0"/>
          <w:color w:val="ff0000"/>
          <w:sz w:val="24"/>
          <w:szCs w:val="24"/>
        </w:rPr>
        <w:t xml:space="preserve">注：1、</w:t>
      </w:r>
      <w:r>
        <w:rPr>
          <w:rFonts w:hint="eastAsia" w:ascii="宋体" w:hAnsi="宋体" w:eastAsia="宋体" w:cs="宋体"/>
          <w:b w:val="0"/>
          <w:bCs w:val="0"/>
          <w:color w:val="ff0000"/>
          <w:sz w:val="24"/>
          <w:szCs w:val="24"/>
        </w:rPr>
        <w:t xml:space="preserve">投标报价采用工程量清单格式计价，由投标人根据自身设计图纸自行编制，报价明细用表应符合建设工程工程量清单计价规范GB50500-2013标准及市政公用工程工程量计算规范要求。2、投标报价表格应至少包括：封-3投标总价封面、扉-3投标总价扉页、表-01总说明、表-04单位工程投标报价汇总表、表-08分部分项工程和单价措施项目清单与计价表、表-09综合单价分析表、表-11总价措施项目与计价表、表-12</w:t>
      </w:r>
      <w:r>
        <w:rPr>
          <w:rFonts w:hint="eastAsia" w:ascii="宋体" w:hAnsi="宋体" w:eastAsia="宋体" w:cs="宋体"/>
          <w:b w:val="0"/>
          <w:bCs w:val="0"/>
          <w:color w:val="ff0000"/>
          <w:sz w:val="24"/>
          <w:szCs w:val="24"/>
          <w:lang w:val="en-US" w:eastAsia="zh-CN"/>
        </w:rPr>
        <w:t xml:space="preserve">其他项目清单与计价汇总表（表-12-1、表-12-2</w:t>
      </w:r>
      <w:r>
        <w:rPr>
          <w:rFonts w:hint="eastAsia" w:ascii="宋体" w:hAnsi="宋体" w:eastAsia="宋体" w:cs="宋体"/>
          <w:b w:val="0"/>
          <w:bCs w:val="0"/>
          <w:color w:val="ff0000"/>
          <w:sz w:val="24"/>
          <w:szCs w:val="24"/>
        </w:rPr>
        <w:t xml:space="preserve">、</w:t>
      </w:r>
      <w:r>
        <w:rPr>
          <w:rFonts w:hint="eastAsia" w:ascii="宋体" w:hAnsi="宋体" w:eastAsia="宋体" w:cs="宋体"/>
          <w:b w:val="0"/>
          <w:bCs w:val="0"/>
          <w:color w:val="ff0000"/>
          <w:sz w:val="24"/>
          <w:szCs w:val="24"/>
          <w:lang w:val="en-US" w:eastAsia="zh-CN"/>
        </w:rPr>
        <w:t xml:space="preserve">表-12-3、表-12-4、表-12-5）、</w:t>
      </w:r>
      <w:r>
        <w:rPr>
          <w:rFonts w:hint="eastAsia" w:ascii="宋体" w:hAnsi="宋体" w:eastAsia="宋体" w:cs="宋体"/>
          <w:b w:val="0"/>
          <w:bCs w:val="0"/>
          <w:color w:val="ff0000"/>
          <w:sz w:val="24"/>
          <w:szCs w:val="24"/>
        </w:rPr>
        <w:t xml:space="preserve">表-13</w:t>
      </w:r>
      <w:r>
        <w:rPr>
          <w:rFonts w:hint="eastAsia" w:ascii="宋体" w:hAnsi="宋体" w:eastAsia="宋体" w:cs="宋体"/>
          <w:b w:val="0"/>
          <w:bCs w:val="0"/>
          <w:color w:val="ff0000"/>
          <w:sz w:val="24"/>
          <w:szCs w:val="24"/>
          <w:lang w:val="en-US" w:eastAsia="zh-CN"/>
        </w:rPr>
        <w:t xml:space="preserve">规费、税金项目清单与计价表</w:t>
      </w:r>
      <w:r>
        <w:rPr>
          <w:rFonts w:hint="eastAsia" w:ascii="宋体" w:hAnsi="宋体" w:eastAsia="宋体" w:cs="宋体"/>
          <w:b w:val="0"/>
          <w:bCs w:val="0"/>
          <w:color w:val="ff0000"/>
          <w:sz w:val="24"/>
          <w:szCs w:val="24"/>
        </w:rPr>
        <w:t xml:space="preserve">、表-21</w:t>
      </w:r>
      <w:r>
        <w:rPr>
          <w:rFonts w:hint="eastAsia" w:ascii="宋体" w:hAnsi="宋体" w:eastAsia="宋体" w:cs="宋体"/>
          <w:b w:val="0"/>
          <w:bCs w:val="0"/>
          <w:color w:val="ff0000"/>
          <w:sz w:val="24"/>
          <w:szCs w:val="24"/>
          <w:lang w:val="en-US" w:eastAsia="zh-CN"/>
        </w:rPr>
        <w:t xml:space="preserve">承包人提供主要材料和工程设备一览表</w:t>
      </w:r>
      <w:r>
        <w:rPr>
          <w:rFonts w:hint="eastAsia" w:ascii="宋体" w:hAnsi="宋体" w:eastAsia="宋体" w:cs="宋体"/>
          <w:b w:val="0"/>
          <w:bCs w:val="0"/>
          <w:color w:val="ff0000"/>
          <w:sz w:val="24"/>
          <w:szCs w:val="24"/>
        </w:rPr>
        <w:t xml:space="preserve">。未按上述要求提供工程量清单报价的作无效标处理。</w:t>
      </w:r>
      <w:r>
        <w:rPr>
          <w:rFonts w:hint="eastAsia" w:ascii="宋体" w:hAnsi="宋体" w:eastAsia="宋体" w:cs="宋体"/>
          <w:b w:val="0"/>
          <w:bCs w:val="0"/>
          <w:color w:val="ff0000"/>
          <w:sz w:val="24"/>
          <w:szCs w:val="24"/>
        </w:rPr>
      </w:r>
      <w:r/>
    </w:p>
    <w:p>
      <w:pPr>
        <w:pStyle w:val="676"/>
        <w:jc w:val="left"/>
        <w:keepNext w:val="0"/>
        <w:spacing w:before="120" w:after="120"/>
        <w:rPr>
          <w:rFonts w:hint="eastAsia" w:ascii="Times New Roman" w:hAnsi="Times New Roman" w:eastAsia="宋体" w:cs="Times New Roman"/>
          <w:sz w:val="32"/>
          <w:szCs w:val="32"/>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八、中小企业声明函（服务）（分包号：**）</w:t>
      </w:r>
      <w:r>
        <w:rPr>
          <w:rFonts w:hint="eastAsia" w:ascii="Times New Roman" w:hAnsi="Times New Roman" w:eastAsia="宋体" w:cs="Times New Roman"/>
          <w:sz w:val="32"/>
          <w:szCs w:val="32"/>
        </w:rPr>
      </w:r>
      <w:r/>
    </w:p>
    <w:p>
      <w:pPr>
        <w:pStyle w:val="674"/>
        <w:ind w:firstLine="360"/>
        <w:spacing w:line="560" w:lineRule="exact"/>
        <w:rPr>
          <w:rFonts w:hint="eastAsia"/>
          <w:sz w:val="24"/>
          <w:szCs w:val="24"/>
        </w:rPr>
      </w:pPr>
      <w:r>
        <w:rPr>
          <w:rFonts w:hint="eastAsia"/>
          <w:sz w:val="24"/>
          <w:szCs w:val="24"/>
        </w:rPr>
        <w:t xml:space="preserve">本公司（联合体）郑重声明，根据《政府采购促进中小企业发展管理办法》(财库[2020]46号)的规定，本公司（联合体）参加江苏省政府采购代理机构组织的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（项目名称）（分包号：**）</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sz w:val="24"/>
          <w:szCs w:val="24"/>
        </w:rPr>
      </w:r>
      <w:r/>
    </w:p>
    <w:p>
      <w:pPr>
        <w:pStyle w:val="674"/>
        <w:ind w:firstLine="360"/>
        <w:spacing w:line="360" w:lineRule="auto"/>
        <w:rPr>
          <w:rFonts w:hint="eastAsia"/>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rPr>
          <w:rFonts w:hint="eastAsia"/>
          <w:i/>
          <w:sz w:val="24"/>
          <w:szCs w:val="24"/>
          <w:u w:val="single"/>
        </w:rPr>
      </w:r>
      <w:r/>
    </w:p>
    <w:p>
      <w:pPr>
        <w:pStyle w:val="674"/>
        <w:ind w:firstLine="360"/>
        <w:spacing w:line="360" w:lineRule="auto"/>
        <w:rPr>
          <w:rFonts w:hint="eastAsia"/>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rPr>
          <w:rFonts w:hint="eastAsia"/>
          <w:i/>
          <w:sz w:val="24"/>
          <w:szCs w:val="24"/>
          <w:u w:val="single"/>
        </w:rPr>
      </w:r>
      <w:r/>
    </w:p>
    <w:p>
      <w:pPr>
        <w:pStyle w:val="674"/>
        <w:ind w:firstLine="360"/>
        <w:spacing w:line="360" w:lineRule="auto"/>
        <w:rPr>
          <w:rFonts w:hint="eastAsia"/>
          <w:sz w:val="24"/>
          <w:szCs w:val="24"/>
        </w:rPr>
      </w:pPr>
      <w:r>
        <w:rPr>
          <w:rFonts w:hint="eastAsia"/>
          <w:sz w:val="24"/>
          <w:szCs w:val="24"/>
        </w:rPr>
        <w:t xml:space="preserve">……</w:t>
      </w:r>
      <w:r>
        <w:rPr>
          <w:rFonts w:hint="eastAsia"/>
          <w:sz w:val="24"/>
          <w:szCs w:val="24"/>
        </w:rPr>
      </w:r>
      <w:r/>
    </w:p>
    <w:p>
      <w:pPr>
        <w:pStyle w:val="674"/>
        <w:ind w:firstLine="36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rPr>
          <w:rFonts w:hint="eastAsia"/>
          <w:sz w:val="24"/>
          <w:szCs w:val="24"/>
        </w:rPr>
      </w:r>
      <w:r/>
    </w:p>
    <w:p>
      <w:pPr>
        <w:pStyle w:val="674"/>
        <w:ind w:firstLine="360"/>
        <w:spacing w:line="360" w:lineRule="auto"/>
        <w:rPr>
          <w:rFonts w:hint="eastAsia"/>
          <w:sz w:val="24"/>
          <w:szCs w:val="24"/>
        </w:rPr>
      </w:pPr>
      <w:r>
        <w:rPr>
          <w:rFonts w:hint="eastAsia"/>
          <w:sz w:val="24"/>
          <w:szCs w:val="24"/>
        </w:rPr>
        <w:t xml:space="preserve">本企业对上述声明内容的真实性负责。如有虚假，将依法承担相应责任。</w:t>
      </w:r>
      <w:r>
        <w:rPr>
          <w:rFonts w:hint="eastAsia"/>
          <w:sz w:val="24"/>
          <w:szCs w:val="24"/>
        </w:rPr>
      </w:r>
      <w:r/>
    </w:p>
    <w:p>
      <w:pPr>
        <w:pStyle w:val="674"/>
        <w:ind w:firstLine="360"/>
        <w:spacing w:line="360" w:lineRule="auto"/>
        <w:rPr>
          <w:rFonts w:hint="eastAsia"/>
          <w:sz w:val="24"/>
          <w:szCs w:val="24"/>
        </w:rPr>
      </w:pPr>
      <w:r>
        <w:rPr>
          <w:rFonts w:hint="eastAsia"/>
          <w:sz w:val="24"/>
          <w:szCs w:val="24"/>
        </w:rPr>
      </w:r>
      <w:r/>
    </w:p>
    <w:p>
      <w:pPr>
        <w:pStyle w:val="674"/>
        <w:ind w:firstLine="360"/>
        <w:spacing w:line="360" w:lineRule="auto"/>
        <w:rPr>
          <w:rFonts w:hint="eastAsia"/>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sz w:val="24"/>
          <w:szCs w:val="24"/>
        </w:rPr>
      </w:r>
      <w:r/>
    </w:p>
    <w:p>
      <w:pPr>
        <w:pStyle w:val="674"/>
        <w:ind w:right="720"/>
        <w:spacing w:line="360" w:lineRule="auto"/>
        <w:rPr>
          <w:rFonts w:hint="eastAsia"/>
          <w:sz w:val="24"/>
          <w:szCs w:val="24"/>
        </w:rPr>
      </w:pPr>
      <w:r>
        <w:rPr>
          <w:rFonts w:hint="eastAsia"/>
          <w:sz w:val="24"/>
          <w:szCs w:val="24"/>
        </w:rPr>
      </w:r>
      <w:r/>
    </w:p>
    <w:p>
      <w:pPr>
        <w:pStyle w:val="674"/>
        <w:ind w:right="180" w:firstLine="360"/>
        <w:jc w:val="right"/>
        <w:spacing w:line="360" w:lineRule="auto"/>
        <w:rPr>
          <w:rFonts w:hint="eastAsia"/>
          <w:sz w:val="24"/>
          <w:szCs w:val="24"/>
        </w:rPr>
      </w:pPr>
      <w:r>
        <w:rPr>
          <w:rFonts w:hint="eastAsia"/>
          <w:sz w:val="24"/>
          <w:szCs w:val="24"/>
        </w:rPr>
        <w:t xml:space="preserve">企业名称：（加盖CA电子公章）</w:t>
      </w:r>
      <w:r>
        <w:rPr>
          <w:rFonts w:hint="eastAsia"/>
          <w:sz w:val="24"/>
          <w:szCs w:val="24"/>
        </w:rPr>
      </w:r>
      <w:r/>
    </w:p>
    <w:p>
      <w:pPr>
        <w:pStyle w:val="674"/>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rFonts w:hint="eastAsia"/>
          <w:sz w:val="24"/>
          <w:szCs w:val="24"/>
        </w:rPr>
      </w:r>
      <w:r/>
    </w:p>
    <w:p>
      <w:pPr>
        <w:pStyle w:val="674"/>
        <w:spacing w:line="460" w:lineRule="exact"/>
        <w:rPr>
          <w:rFonts w:hint="eastAsia" w:eastAsia="黑体"/>
          <w:iCs/>
          <w:sz w:val="32"/>
          <w:szCs w:val="32"/>
        </w:rPr>
      </w:pPr>
      <w:r>
        <w:rPr>
          <w:rFonts w:eastAsia="黑体"/>
          <w:b/>
          <w:sz w:val="32"/>
          <w:szCs w:val="32"/>
        </w:rPr>
        <w:br w:type="page" w:clear="all"/>
      </w:r>
      <w:r>
        <w:rPr>
          <w:rFonts w:hint="eastAsia" w:eastAsia="黑体"/>
          <w:b/>
          <w:sz w:val="32"/>
          <w:szCs w:val="32"/>
        </w:rPr>
        <w:t xml:space="preserve">八</w:t>
      </w:r>
      <w:r>
        <w:rPr>
          <w:rFonts w:hint="eastAsia" w:eastAsia="黑体"/>
          <w:iCs/>
          <w:sz w:val="32"/>
          <w:szCs w:val="32"/>
        </w:rPr>
        <w:t xml:space="preserve">、残疾人福利性单位声明函</w:t>
      </w:r>
      <w:r>
        <w:rPr>
          <w:rFonts w:hint="eastAsia" w:eastAsia="黑体"/>
          <w:iCs/>
          <w:sz w:val="32"/>
          <w:szCs w:val="32"/>
        </w:rPr>
      </w:r>
      <w:r/>
    </w:p>
    <w:p>
      <w:pPr>
        <w:pStyle w:val="674"/>
        <w:jc w:val="center"/>
        <w:spacing w:line="360" w:lineRule="auto"/>
        <w:rPr>
          <w:rFonts w:hint="eastAsia" w:eastAsia="黑体"/>
          <w:sz w:val="32"/>
          <w:szCs w:val="32"/>
        </w:rPr>
        <w:outlineLvl w:val="0"/>
      </w:pPr>
      <w:r>
        <w:rPr>
          <w:rFonts w:hint="eastAsia" w:eastAsia="黑体"/>
          <w:sz w:val="32"/>
          <w:szCs w:val="32"/>
        </w:rPr>
        <w:t xml:space="preserve">残疾人福利性单位声明函</w:t>
      </w:r>
      <w:r>
        <w:rPr>
          <w:rFonts w:hint="eastAsia" w:eastAsia="黑体"/>
          <w:sz w:val="32"/>
          <w:szCs w:val="32"/>
        </w:rPr>
      </w:r>
      <w:r/>
    </w:p>
    <w:p>
      <w:pPr>
        <w:pStyle w:val="674"/>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项目（分包号：**）采购活动由本单位提供服务。</w:t>
      </w:r>
      <w:r>
        <w:rPr>
          <w:rFonts w:hint="eastAsia"/>
          <w:sz w:val="24"/>
        </w:rPr>
      </w:r>
      <w:r/>
    </w:p>
    <w:p>
      <w:pPr>
        <w:pStyle w:val="674"/>
        <w:ind w:firstLine="480"/>
        <w:spacing w:line="360" w:lineRule="auto"/>
        <w:rPr>
          <w:sz w:val="24"/>
        </w:rPr>
      </w:pPr>
      <w:r>
        <w:rPr>
          <w:rFonts w:hint="eastAsia"/>
          <w:sz w:val="24"/>
        </w:rPr>
        <w:t xml:space="preserve">本单位对上述声明的真实性负责。如有虚假，将依法承担相应责任。</w:t>
      </w:r>
      <w:r>
        <w:rPr>
          <w:sz w:val="24"/>
        </w:rPr>
      </w:r>
      <w:r/>
    </w:p>
    <w:p>
      <w:pPr>
        <w:pStyle w:val="674"/>
        <w:ind w:firstLine="480"/>
        <w:spacing w:line="360" w:lineRule="auto"/>
        <w:rPr>
          <w:rFonts w:hint="eastAsia"/>
          <w:sz w:val="24"/>
        </w:rPr>
      </w:pPr>
      <w:r>
        <w:rPr>
          <w:rFonts w:hint="eastAsia"/>
          <w:sz w:val="24"/>
        </w:rPr>
      </w:r>
      <w:r/>
    </w:p>
    <w:p>
      <w:pPr>
        <w:pStyle w:val="674"/>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rPr>
          <w:sz w:val="24"/>
        </w:rPr>
      </w:r>
      <w:r/>
    </w:p>
    <w:p>
      <w:pPr>
        <w:pStyle w:val="674"/>
        <w:ind w:firstLine="624"/>
        <w:spacing w:line="360" w:lineRule="auto"/>
        <w:rPr>
          <w:rFonts w:eastAsia="仿宋_GB2312"/>
          <w:spacing w:val="6"/>
          <w:sz w:val="30"/>
          <w:szCs w:val="30"/>
        </w:rPr>
      </w:pPr>
      <w:r>
        <w:rPr>
          <w:rFonts w:eastAsia="仿宋_GB2312"/>
          <w:spacing w:val="6"/>
          <w:sz w:val="30"/>
          <w:szCs w:val="30"/>
        </w:rPr>
      </w:r>
      <w:r/>
    </w:p>
    <w:p>
      <w:pPr>
        <w:pStyle w:val="815"/>
        <w:spacing w:line="360" w:lineRule="auto"/>
        <w:rPr>
          <w:rFonts w:ascii="Times New Roman" w:hAnsi="Times New Roman"/>
        </w:rPr>
      </w:pPr>
      <w:r>
        <w:rPr>
          <w:rFonts w:ascii="Times New Roman" w:hAnsi="Times New Roman"/>
        </w:rPr>
      </w:r>
      <w:r/>
    </w:p>
    <w:p>
      <w:pPr>
        <w:pStyle w:val="674"/>
        <w:ind w:right="180" w:firstLine="360"/>
        <w:jc w:val="right"/>
        <w:spacing w:line="360" w:lineRule="auto"/>
        <w:rPr>
          <w:rFonts w:hint="eastAsia"/>
          <w:sz w:val="24"/>
          <w:szCs w:val="24"/>
        </w:rPr>
      </w:pPr>
      <w:r>
        <w:rPr>
          <w:rFonts w:hint="eastAsia"/>
          <w:sz w:val="24"/>
          <w:szCs w:val="24"/>
        </w:rPr>
        <w:t xml:space="preserve">企业名称：（加盖CA电子公章）</w:t>
      </w:r>
      <w:r>
        <w:rPr>
          <w:rFonts w:hint="eastAsia"/>
          <w:sz w:val="24"/>
          <w:szCs w:val="24"/>
        </w:rPr>
      </w:r>
      <w:r/>
    </w:p>
    <w:p>
      <w:pPr>
        <w:pStyle w:val="674"/>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rFonts w:hint="eastAsia"/>
          <w:sz w:val="24"/>
          <w:szCs w:val="24"/>
        </w:rPr>
      </w:r>
      <w:r/>
    </w:p>
    <w:p>
      <w:pPr>
        <w:pStyle w:val="674"/>
        <w:spacing w:line="560" w:lineRule="exact"/>
        <w:rPr>
          <w:rFonts w:hint="eastAsia" w:eastAsia="黑体"/>
          <w:b/>
          <w:sz w:val="32"/>
          <w:szCs w:val="32"/>
        </w:rPr>
      </w:pPr>
      <w:r>
        <w:rPr>
          <w:rFonts w:eastAsia="黑体"/>
          <w:b/>
          <w:sz w:val="32"/>
          <w:szCs w:val="32"/>
        </w:rPr>
        <w:br w:type="page" w:clear="all"/>
      </w:r>
      <w:r>
        <w:rPr>
          <w:rFonts w:hint="eastAsia" w:eastAsia="黑体"/>
          <w:b/>
          <w:sz w:val="32"/>
          <w:szCs w:val="32"/>
        </w:rPr>
        <w:t xml:space="preserve">九、技术要求响应及偏离表（分包号：**）</w:t>
      </w:r>
      <w:r>
        <w:rPr>
          <w:rFonts w:hint="eastAsia"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74"/>
              <w:jc w:val="center"/>
              <w:rPr>
                <w:rFonts w:hint="eastAsia"/>
                <w:sz w:val="24"/>
                <w:szCs w:val="24"/>
              </w:rPr>
            </w:pPr>
            <w:r>
              <w:rPr>
                <w:rFonts w:hint="eastAsia"/>
                <w:sz w:val="24"/>
                <w:szCs w:val="24"/>
              </w:rPr>
              <w:t xml:space="preserve">序号</w:t>
            </w:r>
            <w:r>
              <w:rPr>
                <w:rFonts w:hint="eastAsia"/>
                <w:sz w:val="24"/>
                <w:szCs w:val="24"/>
              </w:rPr>
            </w:r>
            <w:r/>
          </w:p>
        </w:tc>
        <w:tc>
          <w:tcPr>
            <w:tcW w:w="3291" w:type="dxa"/>
            <w:vAlign w:val="center"/>
            <w:textDirection w:val="lrTb"/>
            <w:noWrap w:val="false"/>
          </w:tcPr>
          <w:p>
            <w:pPr>
              <w:pStyle w:val="745"/>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w:t>
            </w:r>
            <w:r>
              <w:rPr>
                <w:rFonts w:ascii="Times New Roman" w:hAnsi="Times New Roman"/>
                <w:i/>
                <w:iCs/>
                <w:u w:val="single"/>
              </w:rPr>
              <w:t xml:space="preserve">加斜体下划线内容或</w:t>
            </w:r>
            <w:r>
              <w:rPr>
                <w:rFonts w:ascii="Times New Roman" w:hAnsi="Times New Roman"/>
              </w:rPr>
              <w:t xml:space="preserve">打“★”内容）</w:t>
            </w:r>
            <w:r>
              <w:rPr>
                <w:rFonts w:hint="eastAsia" w:ascii="Times New Roman" w:hAnsi="Times New Roman"/>
              </w:rPr>
            </w:r>
            <w:r/>
          </w:p>
        </w:tc>
        <w:tc>
          <w:tcPr>
            <w:tcW w:w="2852" w:type="dxa"/>
            <w:vAlign w:val="center"/>
            <w:textDirection w:val="lrTb"/>
            <w:noWrap w:val="false"/>
          </w:tcPr>
          <w:p>
            <w:pPr>
              <w:pStyle w:val="745"/>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rPr>
                <w:rFonts w:hint="eastAsia" w:ascii="Times New Roman" w:hAnsi="Times New Roman"/>
              </w:rPr>
            </w:r>
            <w:r/>
          </w:p>
        </w:tc>
        <w:tc>
          <w:tcPr>
            <w:tcW w:w="1308" w:type="dxa"/>
            <w:vAlign w:val="center"/>
            <w:textDirection w:val="lrTb"/>
            <w:noWrap w:val="false"/>
          </w:tcPr>
          <w:p>
            <w:pPr>
              <w:pStyle w:val="745"/>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rPr>
                <w:rFonts w:hint="eastAsia" w:ascii="Times New Roman" w:hAnsi="Times New Roman"/>
              </w:rPr>
            </w:r>
            <w:r/>
          </w:p>
        </w:tc>
        <w:tc>
          <w:tcPr>
            <w:tcW w:w="1173" w:type="dxa"/>
            <w:vAlign w:val="center"/>
            <w:textDirection w:val="lrTb"/>
            <w:noWrap w:val="false"/>
          </w:tcPr>
          <w:p>
            <w:pPr>
              <w:pStyle w:val="674"/>
              <w:jc w:val="center"/>
              <w:rPr>
                <w:rFonts w:hint="eastAsia"/>
                <w:sz w:val="24"/>
                <w:szCs w:val="24"/>
              </w:rPr>
            </w:pPr>
            <w:r>
              <w:rPr>
                <w:rFonts w:hint="eastAsia"/>
                <w:sz w:val="24"/>
                <w:szCs w:val="24"/>
              </w:rPr>
              <w:t xml:space="preserve">证明</w:t>
            </w:r>
            <w:r>
              <w:rPr>
                <w:rFonts w:hint="eastAsia"/>
                <w:sz w:val="24"/>
                <w:szCs w:val="24"/>
              </w:rPr>
            </w:r>
            <w:r/>
          </w:p>
          <w:p>
            <w:pPr>
              <w:pStyle w:val="674"/>
              <w:jc w:val="center"/>
              <w:rPr>
                <w:rFonts w:hint="eastAsia"/>
                <w:sz w:val="24"/>
                <w:szCs w:val="24"/>
              </w:rPr>
            </w:pPr>
            <w:r>
              <w:rPr>
                <w:rFonts w:hint="eastAsia"/>
                <w:sz w:val="24"/>
                <w:szCs w:val="24"/>
              </w:rPr>
              <w:t xml:space="preserve">材料</w:t>
            </w:r>
            <w:r>
              <w:rPr>
                <w:rFonts w:hint="eastAsia"/>
                <w:sz w:val="24"/>
                <w:szCs w:val="24"/>
              </w:rPr>
            </w:r>
            <w:r/>
          </w:p>
        </w:tc>
      </w:tr>
      <w:tr>
        <w:trPr>
          <w:cantSplit/>
          <w:trHeight w:val="640"/>
        </w:trPr>
        <w:tc>
          <w:tcPr>
            <w:tcW w:w="545" w:type="dxa"/>
            <w:vAlign w:val="top"/>
            <w:textDirection w:val="lrTb"/>
            <w:noWrap w:val="false"/>
          </w:tcPr>
          <w:p>
            <w:pPr>
              <w:pStyle w:val="674"/>
              <w:jc w:val="center"/>
              <w:rPr>
                <w:rFonts w:hint="eastAsia"/>
                <w:sz w:val="24"/>
                <w:szCs w:val="24"/>
              </w:rPr>
            </w:pPr>
            <w:r>
              <w:rPr>
                <w:rFonts w:hint="eastAsia"/>
                <w:sz w:val="24"/>
                <w:szCs w:val="24"/>
              </w:rPr>
            </w:r>
            <w:r/>
          </w:p>
        </w:tc>
        <w:tc>
          <w:tcPr>
            <w:tcW w:w="3291" w:type="dxa"/>
            <w:vAlign w:val="top"/>
            <w:textDirection w:val="lrTb"/>
            <w:noWrap w:val="false"/>
          </w:tcPr>
          <w:p>
            <w:pPr>
              <w:pStyle w:val="674"/>
              <w:jc w:val="center"/>
              <w:rPr>
                <w:rFonts w:hint="eastAsia"/>
                <w:sz w:val="24"/>
                <w:szCs w:val="24"/>
              </w:rPr>
            </w:pPr>
            <w:r>
              <w:rPr>
                <w:rFonts w:hint="eastAsia"/>
                <w:sz w:val="24"/>
                <w:szCs w:val="24"/>
              </w:rPr>
            </w:r>
            <w:r/>
          </w:p>
        </w:tc>
        <w:tc>
          <w:tcPr>
            <w:tcW w:w="2852" w:type="dxa"/>
            <w:vAlign w:val="top"/>
            <w:textDirection w:val="lrTb"/>
            <w:noWrap w:val="false"/>
          </w:tcPr>
          <w:p>
            <w:pPr>
              <w:pStyle w:val="674"/>
              <w:jc w:val="center"/>
              <w:rPr>
                <w:rFonts w:hint="eastAsia"/>
                <w:sz w:val="24"/>
                <w:szCs w:val="24"/>
              </w:rPr>
            </w:pPr>
            <w:r>
              <w:rPr>
                <w:rFonts w:hint="eastAsia"/>
                <w:sz w:val="24"/>
                <w:szCs w:val="24"/>
              </w:rPr>
            </w:r>
            <w:r/>
          </w:p>
        </w:tc>
        <w:tc>
          <w:tcPr>
            <w:tcW w:w="1308" w:type="dxa"/>
            <w:vAlign w:val="top"/>
            <w:textDirection w:val="lrTb"/>
            <w:noWrap w:val="false"/>
          </w:tcPr>
          <w:p>
            <w:pPr>
              <w:pStyle w:val="674"/>
              <w:jc w:val="center"/>
              <w:rPr>
                <w:rFonts w:hint="eastAsia"/>
                <w:sz w:val="24"/>
                <w:szCs w:val="24"/>
              </w:rPr>
            </w:pPr>
            <w:r>
              <w:rPr>
                <w:rFonts w:hint="eastAsia"/>
                <w:sz w:val="24"/>
                <w:szCs w:val="24"/>
              </w:rPr>
            </w:r>
            <w:r/>
          </w:p>
        </w:tc>
        <w:tc>
          <w:tcPr>
            <w:tcW w:w="1173" w:type="dxa"/>
            <w:vAlign w:val="top"/>
            <w:textDirection w:val="lrTb"/>
            <w:noWrap w:val="false"/>
          </w:tcPr>
          <w:p>
            <w:pPr>
              <w:pStyle w:val="67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4"/>
              <w:jc w:val="center"/>
              <w:rPr>
                <w:rFonts w:hint="eastAsia"/>
                <w:sz w:val="24"/>
                <w:szCs w:val="24"/>
              </w:rPr>
            </w:pPr>
            <w:r>
              <w:rPr>
                <w:rFonts w:hint="eastAsia"/>
                <w:sz w:val="24"/>
                <w:szCs w:val="24"/>
              </w:rPr>
            </w:r>
            <w:r/>
          </w:p>
        </w:tc>
        <w:tc>
          <w:tcPr>
            <w:tcW w:w="3291" w:type="dxa"/>
            <w:vAlign w:val="top"/>
            <w:textDirection w:val="lrTb"/>
            <w:noWrap w:val="false"/>
          </w:tcPr>
          <w:p>
            <w:pPr>
              <w:pStyle w:val="674"/>
              <w:jc w:val="center"/>
              <w:rPr>
                <w:rFonts w:hint="eastAsia"/>
                <w:sz w:val="24"/>
                <w:szCs w:val="24"/>
              </w:rPr>
            </w:pPr>
            <w:r>
              <w:rPr>
                <w:rFonts w:hint="eastAsia"/>
                <w:sz w:val="24"/>
                <w:szCs w:val="24"/>
              </w:rPr>
            </w:r>
            <w:r/>
          </w:p>
        </w:tc>
        <w:tc>
          <w:tcPr>
            <w:tcW w:w="2852" w:type="dxa"/>
            <w:vAlign w:val="top"/>
            <w:textDirection w:val="lrTb"/>
            <w:noWrap w:val="false"/>
          </w:tcPr>
          <w:p>
            <w:pPr>
              <w:pStyle w:val="674"/>
              <w:jc w:val="center"/>
              <w:rPr>
                <w:rFonts w:hint="eastAsia"/>
                <w:sz w:val="24"/>
                <w:szCs w:val="24"/>
              </w:rPr>
            </w:pPr>
            <w:r>
              <w:rPr>
                <w:rFonts w:hint="eastAsia"/>
                <w:sz w:val="24"/>
                <w:szCs w:val="24"/>
              </w:rPr>
            </w:r>
            <w:r/>
          </w:p>
        </w:tc>
        <w:tc>
          <w:tcPr>
            <w:tcW w:w="1308" w:type="dxa"/>
            <w:vAlign w:val="top"/>
            <w:textDirection w:val="lrTb"/>
            <w:noWrap w:val="false"/>
          </w:tcPr>
          <w:p>
            <w:pPr>
              <w:pStyle w:val="674"/>
              <w:jc w:val="center"/>
              <w:rPr>
                <w:rFonts w:hint="eastAsia"/>
                <w:sz w:val="24"/>
                <w:szCs w:val="24"/>
              </w:rPr>
            </w:pPr>
            <w:r>
              <w:rPr>
                <w:rFonts w:hint="eastAsia"/>
                <w:sz w:val="24"/>
                <w:szCs w:val="24"/>
              </w:rPr>
            </w:r>
            <w:r/>
          </w:p>
        </w:tc>
        <w:tc>
          <w:tcPr>
            <w:tcW w:w="1173" w:type="dxa"/>
            <w:vAlign w:val="top"/>
            <w:textDirection w:val="lrTb"/>
            <w:noWrap w:val="false"/>
          </w:tcPr>
          <w:p>
            <w:pPr>
              <w:pStyle w:val="67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4"/>
              <w:jc w:val="center"/>
              <w:rPr>
                <w:rFonts w:hint="eastAsia"/>
                <w:sz w:val="24"/>
                <w:szCs w:val="24"/>
              </w:rPr>
            </w:pPr>
            <w:r>
              <w:rPr>
                <w:rFonts w:hint="eastAsia"/>
                <w:sz w:val="24"/>
                <w:szCs w:val="24"/>
              </w:rPr>
            </w:r>
            <w:r/>
          </w:p>
        </w:tc>
        <w:tc>
          <w:tcPr>
            <w:tcW w:w="3291" w:type="dxa"/>
            <w:vAlign w:val="top"/>
            <w:textDirection w:val="lrTb"/>
            <w:noWrap w:val="false"/>
          </w:tcPr>
          <w:p>
            <w:pPr>
              <w:pStyle w:val="674"/>
              <w:jc w:val="center"/>
              <w:rPr>
                <w:rFonts w:hint="eastAsia"/>
                <w:sz w:val="24"/>
                <w:szCs w:val="24"/>
              </w:rPr>
            </w:pPr>
            <w:r>
              <w:rPr>
                <w:rFonts w:hint="eastAsia"/>
                <w:sz w:val="24"/>
                <w:szCs w:val="24"/>
              </w:rPr>
            </w:r>
            <w:r/>
          </w:p>
        </w:tc>
        <w:tc>
          <w:tcPr>
            <w:tcW w:w="2852" w:type="dxa"/>
            <w:vAlign w:val="top"/>
            <w:textDirection w:val="lrTb"/>
            <w:noWrap w:val="false"/>
          </w:tcPr>
          <w:p>
            <w:pPr>
              <w:pStyle w:val="674"/>
              <w:jc w:val="center"/>
              <w:rPr>
                <w:rFonts w:hint="eastAsia"/>
                <w:sz w:val="24"/>
                <w:szCs w:val="24"/>
              </w:rPr>
            </w:pPr>
            <w:r>
              <w:rPr>
                <w:rFonts w:hint="eastAsia"/>
                <w:sz w:val="24"/>
                <w:szCs w:val="24"/>
              </w:rPr>
            </w:r>
            <w:r/>
          </w:p>
        </w:tc>
        <w:tc>
          <w:tcPr>
            <w:tcW w:w="1308" w:type="dxa"/>
            <w:vAlign w:val="top"/>
            <w:textDirection w:val="lrTb"/>
            <w:noWrap w:val="false"/>
          </w:tcPr>
          <w:p>
            <w:pPr>
              <w:pStyle w:val="674"/>
              <w:jc w:val="center"/>
              <w:rPr>
                <w:rFonts w:hint="eastAsia"/>
                <w:sz w:val="24"/>
                <w:szCs w:val="24"/>
              </w:rPr>
            </w:pPr>
            <w:r>
              <w:rPr>
                <w:rFonts w:hint="eastAsia"/>
                <w:sz w:val="24"/>
                <w:szCs w:val="24"/>
              </w:rPr>
            </w:r>
            <w:r/>
          </w:p>
        </w:tc>
        <w:tc>
          <w:tcPr>
            <w:tcW w:w="1173" w:type="dxa"/>
            <w:vAlign w:val="top"/>
            <w:textDirection w:val="lrTb"/>
            <w:noWrap w:val="false"/>
          </w:tcPr>
          <w:p>
            <w:pPr>
              <w:pStyle w:val="67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4"/>
              <w:jc w:val="center"/>
              <w:rPr>
                <w:rFonts w:hint="eastAsia"/>
                <w:sz w:val="24"/>
                <w:szCs w:val="24"/>
              </w:rPr>
            </w:pPr>
            <w:r>
              <w:rPr>
                <w:rFonts w:hint="eastAsia"/>
                <w:sz w:val="24"/>
                <w:szCs w:val="24"/>
              </w:rPr>
            </w:r>
            <w:r/>
          </w:p>
        </w:tc>
        <w:tc>
          <w:tcPr>
            <w:tcW w:w="3291" w:type="dxa"/>
            <w:vAlign w:val="top"/>
            <w:textDirection w:val="lrTb"/>
            <w:noWrap w:val="false"/>
          </w:tcPr>
          <w:p>
            <w:pPr>
              <w:pStyle w:val="674"/>
              <w:jc w:val="center"/>
              <w:rPr>
                <w:rFonts w:hint="eastAsia"/>
                <w:sz w:val="24"/>
                <w:szCs w:val="24"/>
              </w:rPr>
            </w:pPr>
            <w:r>
              <w:rPr>
                <w:rFonts w:hint="eastAsia"/>
                <w:sz w:val="24"/>
                <w:szCs w:val="24"/>
              </w:rPr>
            </w:r>
            <w:r/>
          </w:p>
        </w:tc>
        <w:tc>
          <w:tcPr>
            <w:tcW w:w="2852" w:type="dxa"/>
            <w:vAlign w:val="top"/>
            <w:textDirection w:val="lrTb"/>
            <w:noWrap w:val="false"/>
          </w:tcPr>
          <w:p>
            <w:pPr>
              <w:pStyle w:val="674"/>
              <w:jc w:val="center"/>
              <w:rPr>
                <w:rFonts w:hint="eastAsia"/>
                <w:sz w:val="24"/>
                <w:szCs w:val="24"/>
              </w:rPr>
            </w:pPr>
            <w:r>
              <w:rPr>
                <w:rFonts w:hint="eastAsia"/>
                <w:sz w:val="24"/>
                <w:szCs w:val="24"/>
              </w:rPr>
            </w:r>
            <w:r/>
          </w:p>
        </w:tc>
        <w:tc>
          <w:tcPr>
            <w:tcW w:w="1308" w:type="dxa"/>
            <w:vAlign w:val="top"/>
            <w:textDirection w:val="lrTb"/>
            <w:noWrap w:val="false"/>
          </w:tcPr>
          <w:p>
            <w:pPr>
              <w:pStyle w:val="674"/>
              <w:jc w:val="center"/>
              <w:rPr>
                <w:rFonts w:hint="eastAsia"/>
                <w:sz w:val="24"/>
                <w:szCs w:val="24"/>
              </w:rPr>
            </w:pPr>
            <w:r>
              <w:rPr>
                <w:rFonts w:hint="eastAsia"/>
                <w:sz w:val="24"/>
                <w:szCs w:val="24"/>
              </w:rPr>
            </w:r>
            <w:r/>
          </w:p>
        </w:tc>
        <w:tc>
          <w:tcPr>
            <w:tcW w:w="1173" w:type="dxa"/>
            <w:vAlign w:val="top"/>
            <w:textDirection w:val="lrTb"/>
            <w:noWrap w:val="false"/>
          </w:tcPr>
          <w:p>
            <w:pPr>
              <w:pStyle w:val="67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4"/>
              <w:jc w:val="center"/>
              <w:rPr>
                <w:rFonts w:hint="eastAsia"/>
                <w:sz w:val="24"/>
                <w:szCs w:val="24"/>
              </w:rPr>
            </w:pPr>
            <w:r>
              <w:rPr>
                <w:rFonts w:hint="eastAsia"/>
                <w:sz w:val="24"/>
                <w:szCs w:val="24"/>
              </w:rPr>
            </w:r>
            <w:r/>
          </w:p>
        </w:tc>
        <w:tc>
          <w:tcPr>
            <w:tcW w:w="3291" w:type="dxa"/>
            <w:vAlign w:val="top"/>
            <w:textDirection w:val="lrTb"/>
            <w:noWrap w:val="false"/>
          </w:tcPr>
          <w:p>
            <w:pPr>
              <w:pStyle w:val="674"/>
              <w:jc w:val="center"/>
              <w:rPr>
                <w:rFonts w:hint="eastAsia"/>
                <w:sz w:val="24"/>
                <w:szCs w:val="24"/>
              </w:rPr>
            </w:pPr>
            <w:r>
              <w:rPr>
                <w:rFonts w:hint="eastAsia"/>
                <w:sz w:val="24"/>
                <w:szCs w:val="24"/>
              </w:rPr>
            </w:r>
            <w:r/>
          </w:p>
        </w:tc>
        <w:tc>
          <w:tcPr>
            <w:tcW w:w="2852" w:type="dxa"/>
            <w:vAlign w:val="top"/>
            <w:textDirection w:val="lrTb"/>
            <w:noWrap w:val="false"/>
          </w:tcPr>
          <w:p>
            <w:pPr>
              <w:pStyle w:val="674"/>
              <w:jc w:val="center"/>
              <w:rPr>
                <w:rFonts w:hint="eastAsia"/>
                <w:sz w:val="24"/>
                <w:szCs w:val="24"/>
              </w:rPr>
            </w:pPr>
            <w:r>
              <w:rPr>
                <w:rFonts w:hint="eastAsia"/>
                <w:sz w:val="24"/>
                <w:szCs w:val="24"/>
              </w:rPr>
            </w:r>
            <w:r/>
          </w:p>
        </w:tc>
        <w:tc>
          <w:tcPr>
            <w:tcW w:w="1308" w:type="dxa"/>
            <w:vAlign w:val="top"/>
            <w:textDirection w:val="lrTb"/>
            <w:noWrap w:val="false"/>
          </w:tcPr>
          <w:p>
            <w:pPr>
              <w:pStyle w:val="674"/>
              <w:jc w:val="center"/>
              <w:rPr>
                <w:rFonts w:hint="eastAsia"/>
                <w:sz w:val="24"/>
                <w:szCs w:val="24"/>
              </w:rPr>
            </w:pPr>
            <w:r>
              <w:rPr>
                <w:rFonts w:hint="eastAsia"/>
                <w:sz w:val="24"/>
                <w:szCs w:val="24"/>
              </w:rPr>
            </w:r>
            <w:r/>
          </w:p>
        </w:tc>
        <w:tc>
          <w:tcPr>
            <w:tcW w:w="1173" w:type="dxa"/>
            <w:vAlign w:val="top"/>
            <w:textDirection w:val="lrTb"/>
            <w:noWrap w:val="false"/>
          </w:tcPr>
          <w:p>
            <w:pPr>
              <w:pStyle w:val="67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4"/>
              <w:jc w:val="center"/>
              <w:rPr>
                <w:rFonts w:hint="eastAsia"/>
                <w:sz w:val="24"/>
                <w:szCs w:val="24"/>
              </w:rPr>
            </w:pPr>
            <w:r>
              <w:rPr>
                <w:rFonts w:hint="eastAsia"/>
                <w:sz w:val="24"/>
                <w:szCs w:val="24"/>
              </w:rPr>
            </w:r>
            <w:r/>
          </w:p>
        </w:tc>
        <w:tc>
          <w:tcPr>
            <w:tcW w:w="3291" w:type="dxa"/>
            <w:vAlign w:val="top"/>
            <w:textDirection w:val="lrTb"/>
            <w:noWrap w:val="false"/>
          </w:tcPr>
          <w:p>
            <w:pPr>
              <w:pStyle w:val="674"/>
              <w:jc w:val="center"/>
              <w:rPr>
                <w:rFonts w:hint="eastAsia"/>
                <w:sz w:val="24"/>
                <w:szCs w:val="24"/>
              </w:rPr>
            </w:pPr>
            <w:r>
              <w:rPr>
                <w:rFonts w:hint="eastAsia"/>
                <w:sz w:val="24"/>
                <w:szCs w:val="24"/>
              </w:rPr>
            </w:r>
            <w:r/>
          </w:p>
        </w:tc>
        <w:tc>
          <w:tcPr>
            <w:tcW w:w="2852" w:type="dxa"/>
            <w:vAlign w:val="top"/>
            <w:textDirection w:val="lrTb"/>
            <w:noWrap w:val="false"/>
          </w:tcPr>
          <w:p>
            <w:pPr>
              <w:pStyle w:val="674"/>
              <w:jc w:val="center"/>
              <w:rPr>
                <w:rFonts w:hint="eastAsia"/>
                <w:sz w:val="24"/>
                <w:szCs w:val="24"/>
              </w:rPr>
            </w:pPr>
            <w:r>
              <w:rPr>
                <w:rFonts w:hint="eastAsia"/>
                <w:sz w:val="24"/>
                <w:szCs w:val="24"/>
              </w:rPr>
            </w:r>
            <w:r/>
          </w:p>
        </w:tc>
        <w:tc>
          <w:tcPr>
            <w:tcW w:w="1308" w:type="dxa"/>
            <w:vAlign w:val="top"/>
            <w:textDirection w:val="lrTb"/>
            <w:noWrap w:val="false"/>
          </w:tcPr>
          <w:p>
            <w:pPr>
              <w:pStyle w:val="674"/>
              <w:jc w:val="center"/>
              <w:rPr>
                <w:rFonts w:hint="eastAsia"/>
                <w:sz w:val="24"/>
                <w:szCs w:val="24"/>
              </w:rPr>
            </w:pPr>
            <w:r>
              <w:rPr>
                <w:rFonts w:hint="eastAsia"/>
                <w:sz w:val="24"/>
                <w:szCs w:val="24"/>
              </w:rPr>
            </w:r>
            <w:r/>
          </w:p>
        </w:tc>
        <w:tc>
          <w:tcPr>
            <w:tcW w:w="1173" w:type="dxa"/>
            <w:vAlign w:val="top"/>
            <w:textDirection w:val="lrTb"/>
            <w:noWrap w:val="false"/>
          </w:tcPr>
          <w:p>
            <w:pPr>
              <w:pStyle w:val="67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4"/>
              <w:jc w:val="center"/>
              <w:rPr>
                <w:rFonts w:hint="eastAsia"/>
                <w:sz w:val="24"/>
                <w:szCs w:val="24"/>
              </w:rPr>
            </w:pPr>
            <w:r>
              <w:rPr>
                <w:rFonts w:hint="eastAsia"/>
                <w:sz w:val="24"/>
                <w:szCs w:val="24"/>
              </w:rPr>
            </w:r>
            <w:r/>
          </w:p>
        </w:tc>
        <w:tc>
          <w:tcPr>
            <w:tcW w:w="3291" w:type="dxa"/>
            <w:vAlign w:val="top"/>
            <w:textDirection w:val="lrTb"/>
            <w:noWrap w:val="false"/>
          </w:tcPr>
          <w:p>
            <w:pPr>
              <w:pStyle w:val="674"/>
              <w:jc w:val="center"/>
              <w:rPr>
                <w:rFonts w:hint="eastAsia"/>
                <w:sz w:val="24"/>
                <w:szCs w:val="24"/>
              </w:rPr>
            </w:pPr>
            <w:r>
              <w:rPr>
                <w:rFonts w:hint="eastAsia"/>
                <w:sz w:val="24"/>
                <w:szCs w:val="24"/>
              </w:rPr>
            </w:r>
            <w:r/>
          </w:p>
        </w:tc>
        <w:tc>
          <w:tcPr>
            <w:tcW w:w="2852" w:type="dxa"/>
            <w:vAlign w:val="top"/>
            <w:textDirection w:val="lrTb"/>
            <w:noWrap w:val="false"/>
          </w:tcPr>
          <w:p>
            <w:pPr>
              <w:pStyle w:val="674"/>
              <w:jc w:val="center"/>
              <w:rPr>
                <w:rFonts w:hint="eastAsia"/>
                <w:sz w:val="24"/>
                <w:szCs w:val="24"/>
              </w:rPr>
            </w:pPr>
            <w:r>
              <w:rPr>
                <w:rFonts w:hint="eastAsia"/>
                <w:sz w:val="24"/>
                <w:szCs w:val="24"/>
              </w:rPr>
            </w:r>
            <w:r/>
          </w:p>
        </w:tc>
        <w:tc>
          <w:tcPr>
            <w:tcW w:w="1308" w:type="dxa"/>
            <w:vAlign w:val="top"/>
            <w:textDirection w:val="lrTb"/>
            <w:noWrap w:val="false"/>
          </w:tcPr>
          <w:p>
            <w:pPr>
              <w:pStyle w:val="674"/>
              <w:jc w:val="center"/>
              <w:rPr>
                <w:rFonts w:hint="eastAsia"/>
                <w:sz w:val="24"/>
                <w:szCs w:val="24"/>
              </w:rPr>
            </w:pPr>
            <w:r>
              <w:rPr>
                <w:rFonts w:hint="eastAsia"/>
                <w:sz w:val="24"/>
                <w:szCs w:val="24"/>
              </w:rPr>
            </w:r>
            <w:r/>
          </w:p>
        </w:tc>
        <w:tc>
          <w:tcPr>
            <w:tcW w:w="1173" w:type="dxa"/>
            <w:vAlign w:val="top"/>
            <w:textDirection w:val="lrTb"/>
            <w:noWrap w:val="false"/>
          </w:tcPr>
          <w:p>
            <w:pPr>
              <w:pStyle w:val="674"/>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4"/>
              <w:jc w:val="center"/>
              <w:rPr>
                <w:rFonts w:hint="eastAsia"/>
                <w:sz w:val="24"/>
                <w:szCs w:val="24"/>
              </w:rPr>
            </w:pPr>
            <w:r>
              <w:rPr>
                <w:rFonts w:hint="eastAsia"/>
                <w:sz w:val="24"/>
                <w:szCs w:val="24"/>
              </w:rPr>
            </w:r>
            <w:r/>
          </w:p>
        </w:tc>
        <w:tc>
          <w:tcPr>
            <w:tcW w:w="3291" w:type="dxa"/>
            <w:vAlign w:val="top"/>
            <w:textDirection w:val="lrTb"/>
            <w:noWrap w:val="false"/>
          </w:tcPr>
          <w:p>
            <w:pPr>
              <w:pStyle w:val="674"/>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674"/>
              <w:jc w:val="center"/>
              <w:rPr>
                <w:rFonts w:hint="eastAsia"/>
                <w:sz w:val="24"/>
                <w:szCs w:val="24"/>
              </w:rPr>
            </w:pPr>
            <w:r>
              <w:rPr>
                <w:rFonts w:hint="eastAsia"/>
                <w:sz w:val="24"/>
                <w:szCs w:val="24"/>
              </w:rPr>
            </w:r>
            <w:r/>
          </w:p>
        </w:tc>
        <w:tc>
          <w:tcPr>
            <w:tcW w:w="1308" w:type="dxa"/>
            <w:vAlign w:val="top"/>
            <w:textDirection w:val="lrTb"/>
            <w:noWrap w:val="false"/>
          </w:tcPr>
          <w:p>
            <w:pPr>
              <w:pStyle w:val="674"/>
              <w:jc w:val="center"/>
              <w:rPr>
                <w:rFonts w:hint="eastAsia"/>
                <w:sz w:val="24"/>
                <w:szCs w:val="24"/>
              </w:rPr>
            </w:pPr>
            <w:r>
              <w:rPr>
                <w:rFonts w:hint="eastAsia"/>
                <w:sz w:val="24"/>
                <w:szCs w:val="24"/>
              </w:rPr>
            </w:r>
            <w:r/>
          </w:p>
        </w:tc>
        <w:tc>
          <w:tcPr>
            <w:tcW w:w="1173" w:type="dxa"/>
            <w:vAlign w:val="top"/>
            <w:textDirection w:val="lrTb"/>
            <w:noWrap w:val="false"/>
          </w:tcPr>
          <w:p>
            <w:pPr>
              <w:pStyle w:val="674"/>
              <w:jc w:val="center"/>
              <w:rPr>
                <w:rFonts w:hint="eastAsia"/>
                <w:sz w:val="24"/>
                <w:szCs w:val="24"/>
              </w:rPr>
            </w:pPr>
            <w:r>
              <w:rPr>
                <w:rFonts w:hint="eastAsia"/>
                <w:sz w:val="24"/>
                <w:szCs w:val="24"/>
              </w:rPr>
            </w:r>
            <w:r/>
          </w:p>
        </w:tc>
      </w:tr>
    </w:tbl>
    <w:p>
      <w:pPr>
        <w:pStyle w:val="674"/>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必须对技术要求和商务要求中的实质性要求（加斜体下划线内容或打“★”内容）做出明确响应，否则作无效响应处理。</w:t>
      </w:r>
      <w:r>
        <w:rPr>
          <w:sz w:val="24"/>
        </w:rPr>
      </w:r>
      <w:r/>
    </w:p>
    <w:p>
      <w:pPr>
        <w:pStyle w:val="674"/>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rPr>
          <w:sz w:val="24"/>
        </w:rPr>
      </w:r>
      <w:r/>
    </w:p>
    <w:p>
      <w:pPr>
        <w:pStyle w:val="674"/>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rPr>
          <w:sz w:val="24"/>
        </w:rPr>
      </w:r>
      <w:r/>
    </w:p>
    <w:p>
      <w:pPr>
        <w:pStyle w:val="674"/>
        <w:spacing w:line="588" w:lineRule="exact"/>
        <w:rPr>
          <w:rFonts w:hint="eastAsia"/>
          <w:sz w:val="24"/>
        </w:rPr>
      </w:pPr>
      <w:r>
        <w:rPr>
          <w:rFonts w:hint="eastAsia"/>
          <w:sz w:val="24"/>
        </w:rPr>
        <w:t xml:space="preserve">4.行数不够，可自行添加。</w:t>
      </w:r>
      <w:r>
        <w:rPr>
          <w:rFonts w:hint="eastAsia"/>
          <w:sz w:val="24"/>
        </w:rPr>
      </w:r>
      <w:r/>
    </w:p>
    <w:p>
      <w:pPr>
        <w:pStyle w:val="674"/>
        <w:jc w:val="center"/>
        <w:rPr>
          <w:rFonts w:hint="eastAsia" w:eastAsia="黑体"/>
          <w:b/>
          <w:sz w:val="36"/>
        </w:rPr>
      </w:pPr>
      <w:r>
        <w:rPr>
          <w:rFonts w:hint="eastAsia" w:eastAsia="黑体"/>
          <w:b/>
          <w:sz w:val="36"/>
        </w:rPr>
      </w:r>
      <w:r/>
    </w:p>
    <w:p>
      <w:pPr>
        <w:pStyle w:val="818"/>
        <w:rPr>
          <w:rFonts w:hint="eastAsia" w:ascii="Times New Roman" w:hAnsi="Times New Roman"/>
        </w:rPr>
        <w:outlineLvl w:val="1"/>
      </w:pPr>
      <w:r>
        <w:rPr>
          <w:rFonts w:hint="eastAsia" w:ascii="Times New Roman" w:hAnsi="Times New Roman"/>
        </w:rPr>
      </w:r>
      <w:r/>
    </w:p>
    <w:p>
      <w:pPr>
        <w:pStyle w:val="818"/>
        <w:rPr>
          <w:rFonts w:hint="eastAsia" w:ascii="Times New Roman" w:hAnsi="Times New Roman"/>
        </w:rPr>
        <w:outlineLvl w:val="1"/>
      </w:pPr>
      <w:r>
        <w:rPr>
          <w:rFonts w:hint="eastAsia" w:ascii="Times New Roman" w:hAnsi="Times New Roman"/>
        </w:rPr>
      </w:r>
      <w:r/>
    </w:p>
    <w:p>
      <w:pPr>
        <w:pStyle w:val="818"/>
        <w:rPr>
          <w:rFonts w:hint="eastAsia" w:ascii="Times New Roman" w:hAnsi="Times New Roman"/>
        </w:rPr>
        <w:outlineLvl w:val="1"/>
      </w:pPr>
      <w:r>
        <w:rPr>
          <w:rFonts w:hint="eastAsia" w:ascii="Times New Roman" w:hAnsi="Times New Roman"/>
        </w:rPr>
      </w:r>
      <w:r/>
    </w:p>
    <w:p>
      <w:pPr>
        <w:pStyle w:val="818"/>
        <w:rPr>
          <w:rFonts w:hint="eastAsia" w:ascii="Times New Roman" w:hAnsi="Times New Roman"/>
        </w:rPr>
        <w:outlineLvl w:val="1"/>
      </w:pPr>
      <w:r>
        <w:rPr>
          <w:rFonts w:hint="eastAsia" w:ascii="Times New Roman" w:hAnsi="Times New Roman"/>
        </w:rPr>
      </w:r>
      <w:r/>
    </w:p>
    <w:p>
      <w:pPr>
        <w:pStyle w:val="818"/>
        <w:rPr>
          <w:rFonts w:ascii="Times New Roman" w:hAnsi="Times New Roman"/>
        </w:rPr>
        <w:outlineLvl w:val="1"/>
      </w:pPr>
      <w:r>
        <w:rPr>
          <w:rFonts w:hint="eastAsia" w:ascii="Times New Roman" w:hAnsi="Times New Roman"/>
        </w:rPr>
        <w:t xml:space="preserve">十、</w:t>
      </w:r>
      <w:r>
        <w:rPr>
          <w:rFonts w:ascii="Times New Roman" w:hAnsi="Times New Roman"/>
        </w:rPr>
        <w:t xml:space="preserve">项目组人员</w:t>
      </w:r>
      <w:r>
        <w:rPr>
          <w:rFonts w:ascii="Times New Roman" w:hAnsi="Times New Roman"/>
        </w:rPr>
      </w:r>
      <w:r/>
    </w:p>
    <w:p>
      <w:pPr>
        <w:pStyle w:val="745"/>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19"/>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姓名</w:t>
            </w:r>
            <w:r>
              <w:rPr>
                <w:rFonts w:eastAsia="仿宋_GB2312" w:cs="仿宋_GB2312"/>
                <w:sz w:val="28"/>
                <w:szCs w:val="28"/>
              </w:rPr>
            </w:r>
            <w:r/>
          </w:p>
        </w:tc>
        <w:tc>
          <w:tcPr>
            <w:tcW w:w="1843" w:type="dxa"/>
            <w:vAlign w:val="center"/>
            <w:textDirection w:val="lrTb"/>
            <w:noWrap w:val="false"/>
          </w:tcPr>
          <w:p>
            <w:pPr>
              <w:pStyle w:val="819"/>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职务</w:t>
            </w:r>
            <w:r>
              <w:rPr>
                <w:rFonts w:eastAsia="仿宋_GB2312" w:cs="仿宋_GB2312"/>
                <w:sz w:val="28"/>
                <w:szCs w:val="28"/>
              </w:rPr>
            </w:r>
            <w:r/>
          </w:p>
        </w:tc>
        <w:tc>
          <w:tcPr>
            <w:tcW w:w="992" w:type="dxa"/>
            <w:vAlign w:val="center"/>
            <w:textDirection w:val="lrTb"/>
            <w:noWrap w:val="false"/>
          </w:tcPr>
          <w:p>
            <w:pPr>
              <w:pStyle w:val="819"/>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学历</w:t>
            </w:r>
            <w:r>
              <w:rPr>
                <w:rFonts w:eastAsia="仿宋_GB2312" w:cs="仿宋_GB2312"/>
                <w:sz w:val="28"/>
                <w:szCs w:val="28"/>
              </w:rPr>
            </w:r>
            <w:r/>
          </w:p>
        </w:tc>
        <w:tc>
          <w:tcPr>
            <w:tcW w:w="1984" w:type="dxa"/>
            <w:vAlign w:val="center"/>
            <w:textDirection w:val="lrTb"/>
            <w:noWrap w:val="false"/>
          </w:tcPr>
          <w:p>
            <w:pPr>
              <w:pStyle w:val="819"/>
              <w:ind w:firstLine="280"/>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身份证号</w:t>
            </w:r>
            <w:r>
              <w:rPr>
                <w:rFonts w:eastAsia="仿宋_GB2312" w:cs="仿宋_GB2312"/>
                <w:sz w:val="28"/>
                <w:szCs w:val="28"/>
              </w:rPr>
            </w:r>
            <w:r/>
          </w:p>
        </w:tc>
        <w:tc>
          <w:tcPr>
            <w:tcW w:w="1702" w:type="dxa"/>
            <w:vAlign w:val="center"/>
            <w:textDirection w:val="lrTb"/>
            <w:noWrap w:val="false"/>
          </w:tcPr>
          <w:p>
            <w:pPr>
              <w:pStyle w:val="819"/>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相关证书</w:t>
            </w:r>
            <w:r>
              <w:rPr>
                <w:rFonts w:eastAsia="仿宋_GB2312" w:cs="仿宋_GB2312"/>
                <w:sz w:val="28"/>
                <w:szCs w:val="28"/>
              </w:rPr>
            </w:r>
            <w:r/>
          </w:p>
        </w:tc>
        <w:tc>
          <w:tcPr>
            <w:tcW w:w="962" w:type="dxa"/>
            <w:vAlign w:val="center"/>
            <w:textDirection w:val="lrTb"/>
            <w:noWrap w:val="false"/>
          </w:tcPr>
          <w:p>
            <w:pPr>
              <w:pStyle w:val="819"/>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备注</w:t>
            </w: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45"/>
              <w:jc w:val="center"/>
              <w:rPr>
                <w:rFonts w:ascii="Times New Roman" w:hAnsi="Times New Roman"/>
                <w:sz w:val="20"/>
                <w:szCs w:val="20"/>
              </w:rPr>
              <w:framePr w:vAnchor="page" w:hAnchor="page" w:xAlign="center" w:y="74"/>
            </w:pPr>
            <w:r>
              <w:rPr>
                <w:rFonts w:hint="eastAsia" w:ascii="Times New Roman" w:hAnsi="Times New Roman" w:eastAsia="仿宋_GB2312" w:cs="仿宋_GB2312"/>
                <w:sz w:val="28"/>
                <w:szCs w:val="28"/>
                <w:lang w:bidi="ar"/>
              </w:rPr>
              <w:t xml:space="preserve">项目经理</w:t>
            </w:r>
            <w:r>
              <w:rPr>
                <w:rFonts w:ascii="Times New Roman" w:hAnsi="Times New Roman"/>
                <w:sz w:val="20"/>
                <w:szCs w:val="20"/>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45"/>
              <w:jc w:val="center"/>
              <w:rPr>
                <w:rFonts w:hint="eastAsia"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lang w:bidi="ar"/>
              </w:rPr>
              <w:t xml:space="preserve">......</w:t>
            </w:r>
            <w:r>
              <w:rPr>
                <w:rFonts w:hint="eastAsia" w:ascii="Times New Roman" w:hAnsi="Times New Roman"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45"/>
              <w:ind w:firstLine="280"/>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lang w:bidi="ar"/>
              </w:rPr>
              <w:t xml:space="preserve">......</w:t>
            </w:r>
            <w:r>
              <w:rPr>
                <w:rFonts w:ascii="Times New Roman" w:hAnsi="Times New Roman"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45"/>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45"/>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819"/>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bl>
    <w:p>
      <w:pPr>
        <w:pStyle w:val="745"/>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rPr>
          <w:rFonts w:ascii="Times New Roman" w:hAnsi="Times New Roman" w:eastAsia="仿宋_GB2312" w:cs="仿宋_GB2312"/>
        </w:rPr>
      </w:r>
      <w:r/>
    </w:p>
    <w:p>
      <w:pPr>
        <w:pStyle w:val="745"/>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820"/>
        <w:spacing w:line="500" w:lineRule="exact"/>
      </w:pPr>
      <w:r>
        <w:br w:type="page" w:clear="all"/>
      </w:r>
      <w:bookmarkStart w:id="490" w:name="_Toc11176"/>
      <w:r>
        <w:rPr>
          <w:rFonts w:hint="eastAsia" w:eastAsia="黑体" w:cs="黑体"/>
          <w:b/>
          <w:sz w:val="32"/>
        </w:rPr>
        <w:t xml:space="preserve">十一、</w:t>
      </w:r>
      <w:bookmarkEnd w:id="490"/>
      <w:r>
        <w:rPr>
          <w:rFonts w:hint="eastAsia" w:eastAsia="黑体" w:cs="黑体"/>
          <w:b/>
          <w:sz w:val="32"/>
        </w:rPr>
        <w:t xml:space="preserve">企业业绩</w:t>
      </w:r>
      <w:r/>
    </w:p>
    <w:p>
      <w:pPr>
        <w:pStyle w:val="821"/>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rPr>
          <w:rFonts w:ascii="Times New Roman" w:hAnsi="Times New Roman"/>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22"/>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822"/>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822"/>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822"/>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82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2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2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22"/>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82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2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2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22"/>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82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2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2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22"/>
              <w:jc w:val="center"/>
              <w:spacing w:line="560" w:lineRule="exact"/>
              <w:rPr>
                <w:rFonts w:eastAsia="仿宋_GB2312"/>
                <w:sz w:val="28"/>
              </w:rPr>
            </w:pPr>
            <w:r>
              <w:rPr>
                <w:rFonts w:eastAsia="仿宋_GB2312"/>
                <w:sz w:val="28"/>
              </w:rPr>
            </w:r>
            <w:r/>
          </w:p>
        </w:tc>
      </w:tr>
      <w:tr>
        <w:trPr>
          <w:trHeight w:val="1525"/>
        </w:trPr>
        <w:tc>
          <w:tcPr>
            <w:tcW w:w="1229" w:type="dxa"/>
            <w:vAlign w:val="top"/>
            <w:textDirection w:val="lrTb"/>
            <w:noWrap w:val="false"/>
          </w:tcPr>
          <w:p>
            <w:pPr>
              <w:pStyle w:val="82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2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2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22"/>
              <w:jc w:val="center"/>
              <w:spacing w:line="560" w:lineRule="exact"/>
              <w:rPr>
                <w:rFonts w:eastAsia="仿宋_GB2312"/>
                <w:sz w:val="28"/>
              </w:rPr>
            </w:pPr>
            <w:r>
              <w:rPr>
                <w:rFonts w:eastAsia="仿宋_GB2312"/>
                <w:sz w:val="28"/>
              </w:rPr>
            </w:r>
            <w:r/>
          </w:p>
        </w:tc>
      </w:tr>
    </w:tbl>
    <w:p>
      <w:pPr>
        <w:pStyle w:val="821"/>
        <w:rPr>
          <w:rFonts w:ascii="Times New Roman" w:hAnsi="Times New Roman"/>
        </w:rPr>
      </w:pPr>
      <w:r>
        <w:rPr>
          <w:rFonts w:hint="eastAsia" w:ascii="Times New Roman" w:hAnsi="Times New Roman" w:eastAsia="仿宋_GB2312"/>
          <w:b/>
          <w:sz w:val="24"/>
        </w:rPr>
        <w:t xml:space="preserve">注：请填写此表，并按要求上传业绩资料电子件。</w:t>
      </w:r>
      <w:r>
        <w:rPr>
          <w:rFonts w:ascii="Times New Roman" w:hAnsi="Times New Roman"/>
        </w:rPr>
      </w:r>
      <w:r/>
    </w:p>
    <w:p>
      <w:pPr>
        <w:pStyle w:val="823"/>
        <w:rPr>
          <w:rFonts w:ascii="Times New Roman" w:hAnsi="Times New Roman"/>
        </w:rPr>
        <w:outlineLvl w:val="1"/>
      </w:pPr>
      <w:r>
        <w:rPr>
          <w:rFonts w:ascii="Times New Roman" w:hAnsi="Times New Roman"/>
        </w:rPr>
        <w:br w:type="page" w:clear="all"/>
      </w:r>
      <w:bookmarkStart w:id="491" w:name="_Toc28140"/>
      <w:r>
        <w:rPr>
          <w:rFonts w:hint="eastAsia" w:ascii="Times New Roman" w:hAnsi="Times New Roman"/>
        </w:rPr>
        <w:t xml:space="preserve">十二</w:t>
      </w:r>
      <w:r>
        <w:rPr>
          <w:rFonts w:ascii="Times New Roman" w:hAnsi="Times New Roman"/>
        </w:rPr>
        <w:t xml:space="preserve">、投标所需其他材料</w:t>
      </w:r>
      <w:bookmarkEnd w:id="491"/>
      <w:r>
        <w:rPr>
          <w:rFonts w:ascii="Times New Roman" w:hAnsi="Times New Roman"/>
        </w:rPr>
      </w:r>
      <w:r/>
    </w:p>
    <w:p>
      <w:pPr>
        <w:pStyle w:val="824"/>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rPr>
      </w:r>
      <w:r/>
    </w:p>
    <w:p>
      <w:pPr>
        <w:pStyle w:val="674"/>
        <w:rPr>
          <w:sz w:val="20"/>
          <w:highlight w:val="white"/>
        </w:rPr>
      </w:pPr>
      <w:r>
        <w:rPr>
          <w:rFonts w:hint="eastAsia"/>
          <w:sz w:val="20"/>
          <w:highlight w:val="white"/>
        </w:rPr>
        <w:t xml:space="preserve"> </w:t>
      </w:r>
      <w:r>
        <w:rPr>
          <w:sz w:val="20"/>
          <w:highlight w:val="white"/>
        </w:rPr>
      </w:r>
      <w:r/>
    </w:p>
    <w:p>
      <w:pPr>
        <w:pStyle w:val="674"/>
      </w:pPr>
      <w:r/>
      <w:r/>
    </w:p>
    <w:p>
      <w:pPr>
        <w:pStyle w:val="674"/>
        <w:rPr>
          <w:rFonts w:hint="eastAsia" w:eastAsia="黑体"/>
          <w:sz w:val="32"/>
        </w:rPr>
      </w:pPr>
      <w:r>
        <w:rPr>
          <w:rFonts w:hint="eastAsia" w:eastAsia="黑体"/>
          <w:sz w:val="32"/>
        </w:rPr>
      </w:r>
      <w:r/>
    </w:p>
    <w:p>
      <w:pPr>
        <w:pStyle w:val="674"/>
        <w:rPr>
          <w:rFonts w:hint="eastAsia" w:eastAsia="黑体"/>
          <w:sz w:val="32"/>
        </w:rPr>
      </w:pPr>
      <w:r>
        <w:rPr>
          <w:rFonts w:hint="eastAsia" w:eastAsia="黑体"/>
          <w:sz w:val="32"/>
        </w:rPr>
      </w:r>
      <w:r/>
    </w:p>
    <w:p>
      <w:pPr>
        <w:pStyle w:val="674"/>
        <w:rPr>
          <w:rFonts w:hint="eastAsia" w:eastAsia="黑体"/>
          <w:sz w:val="32"/>
        </w:rPr>
      </w:pPr>
      <w:r>
        <w:rPr>
          <w:rFonts w:hint="eastAsia" w:eastAsia="黑体"/>
          <w:sz w:val="32"/>
        </w:rPr>
      </w:r>
      <w:r/>
    </w:p>
    <w:p>
      <w:pPr>
        <w:pStyle w:val="674"/>
        <w:rPr>
          <w:rFonts w:hint="eastAsia" w:eastAsia="黑体"/>
          <w:sz w:val="32"/>
        </w:rPr>
      </w:pPr>
      <w:r>
        <w:rPr>
          <w:rFonts w:hint="eastAsia" w:eastAsia="黑体"/>
          <w:sz w:val="32"/>
        </w:rPr>
      </w:r>
      <w:r/>
    </w:p>
    <w:p>
      <w:pPr>
        <w:pStyle w:val="674"/>
        <w:spacing w:line="480" w:lineRule="auto"/>
        <w:rPr>
          <w:rFonts w:hint="eastAsia"/>
          <w:sz w:val="24"/>
        </w:rPr>
      </w:pPr>
      <w:r/>
      <w:bookmarkEnd w:id="486"/>
      <w:r>
        <w:rPr>
          <w:rFonts w:hint="eastAsia"/>
          <w:sz w:val="24"/>
        </w:rPr>
      </w:r>
      <w:r/>
    </w:p>
    <w:p>
      <w:pPr>
        <w:pStyle w:val="674"/>
        <w:spacing w:line="480" w:lineRule="auto"/>
        <w:rPr>
          <w:rFonts w:hint="eastAsia"/>
          <w:sz w:val="30"/>
        </w:rPr>
      </w:pPr>
      <w:r>
        <w:rPr>
          <w:rFonts w:hint="eastAsia"/>
          <w:sz w:val="30"/>
        </w:rPr>
      </w:r>
      <w:r/>
    </w:p>
    <w:p>
      <w:pPr>
        <w:pStyle w:val="689"/>
        <w:ind w:firstLine="0"/>
        <w:rPr>
          <w:rFonts w:hint="eastAsia"/>
          <w:sz w:val="24"/>
        </w:rPr>
      </w:pPr>
      <w:r/>
      <w:bookmarkStart w:id="492" w:name="_Hlt26955066"/>
      <w:r/>
      <w:bookmarkEnd w:id="492"/>
      <w:r/>
      <w:bookmarkStart w:id="493" w:name="_Hlt26609389"/>
      <w:r/>
      <w:bookmarkEnd w:id="493"/>
      <w:r/>
      <w:bookmarkStart w:id="494" w:name="_Hlt26671374"/>
      <w:r/>
      <w:bookmarkEnd w:id="494"/>
      <w:r/>
      <w:bookmarkStart w:id="495" w:name="_Toc462564146"/>
      <w:r>
        <w:rPr>
          <w:rFonts w:hint="eastAsia"/>
          <w:sz w:val="24"/>
        </w:rPr>
      </w:r>
      <w:r/>
    </w:p>
    <w:p>
      <w:pPr>
        <w:pStyle w:val="674"/>
        <w:rPr>
          <w:rFonts w:hint="eastAsia"/>
          <w:sz w:val="24"/>
        </w:rPr>
      </w:pPr>
      <w:r>
        <w:rPr>
          <w:rFonts w:hint="eastAsia"/>
          <w:sz w:val="24"/>
        </w:rPr>
      </w:r>
      <w:r/>
    </w:p>
    <w:p>
      <w:pPr>
        <w:pStyle w:val="770"/>
        <w:ind w:firstLine="480"/>
        <w:rPr>
          <w:rFonts w:hint="eastAsia" w:ascii="Times New Roman" w:hAnsi="Times New Roman"/>
          <w:sz w:val="24"/>
        </w:rPr>
      </w:pPr>
      <w:r>
        <w:rPr>
          <w:rFonts w:hint="eastAsia" w:ascii="Times New Roman" w:hAnsi="Times New Roman"/>
          <w:sz w:val="24"/>
        </w:rPr>
      </w:r>
      <w:r/>
    </w:p>
    <w:p>
      <w:pPr>
        <w:pStyle w:val="770"/>
        <w:ind w:firstLine="480"/>
        <w:rPr>
          <w:rFonts w:hint="eastAsia" w:ascii="Times New Roman" w:hAnsi="Times New Roman"/>
          <w:sz w:val="24"/>
        </w:rPr>
      </w:pPr>
      <w:r>
        <w:rPr>
          <w:rFonts w:hint="eastAsia" w:ascii="Times New Roman" w:hAnsi="Times New Roman"/>
          <w:sz w:val="24"/>
        </w:rPr>
      </w:r>
      <w:r/>
    </w:p>
    <w:p>
      <w:pPr>
        <w:pStyle w:val="770"/>
        <w:ind w:firstLine="480"/>
        <w:rPr>
          <w:rFonts w:hint="eastAsia" w:ascii="Times New Roman" w:hAnsi="Times New Roman"/>
          <w:sz w:val="24"/>
        </w:rPr>
      </w:pPr>
      <w:r>
        <w:rPr>
          <w:rFonts w:hint="eastAsia" w:ascii="Times New Roman" w:hAnsi="Times New Roman"/>
          <w:sz w:val="24"/>
        </w:rPr>
      </w:r>
      <w:r/>
    </w:p>
    <w:p>
      <w:pPr>
        <w:pStyle w:val="770"/>
        <w:ind w:firstLine="480"/>
        <w:rPr>
          <w:rFonts w:hint="eastAsia" w:ascii="Times New Roman" w:hAnsi="Times New Roman"/>
          <w:sz w:val="24"/>
        </w:rPr>
      </w:pPr>
      <w:r>
        <w:rPr>
          <w:rFonts w:hint="eastAsia" w:ascii="Times New Roman" w:hAnsi="Times New Roman"/>
          <w:sz w:val="24"/>
        </w:rPr>
      </w:r>
      <w:r/>
    </w:p>
    <w:p>
      <w:pPr>
        <w:pStyle w:val="770"/>
        <w:ind w:firstLine="480"/>
        <w:rPr>
          <w:rFonts w:hint="eastAsia" w:ascii="Times New Roman" w:hAnsi="Times New Roman"/>
          <w:sz w:val="24"/>
        </w:rPr>
      </w:pPr>
      <w:r>
        <w:rPr>
          <w:rFonts w:hint="eastAsia" w:ascii="Times New Roman" w:hAnsi="Times New Roman"/>
          <w:sz w:val="24"/>
        </w:rPr>
      </w:r>
      <w:r/>
    </w:p>
    <w:p>
      <w:pPr>
        <w:pStyle w:val="770"/>
        <w:ind w:firstLine="480"/>
        <w:rPr>
          <w:rFonts w:hint="eastAsia" w:ascii="Times New Roman" w:hAnsi="Times New Roman"/>
          <w:sz w:val="24"/>
        </w:rPr>
      </w:pPr>
      <w:r>
        <w:rPr>
          <w:rFonts w:hint="eastAsia" w:ascii="Times New Roman" w:hAnsi="Times New Roman"/>
          <w:sz w:val="24"/>
        </w:rPr>
      </w:r>
      <w:r/>
    </w:p>
    <w:p>
      <w:pPr>
        <w:pStyle w:val="674"/>
        <w:jc w:val="center"/>
        <w:rPr>
          <w:rFonts w:hint="eastAsia" w:eastAsia="黑体"/>
          <w:b/>
          <w:sz w:val="32"/>
          <w:szCs w:val="32"/>
        </w:rPr>
      </w:pPr>
      <w:r/>
      <w:bookmarkEnd w:id="192"/>
      <w:r/>
      <w:bookmarkEnd w:id="197"/>
      <w:r/>
      <w:bookmarkEnd w:id="495"/>
      <w:r/>
      <w:bookmarkStart w:id="496" w:name="_格式2__法定代表人授权书"/>
      <w:r/>
      <w:bookmarkEnd w:id="496"/>
      <w:r>
        <w:rPr>
          <w:rFonts w:hint="eastAsia" w:eastAsia="黑体"/>
          <w:b/>
          <w:sz w:val="32"/>
          <w:szCs w:val="32"/>
        </w:rPr>
      </w:r>
      <w:r/>
    </w:p>
    <w:p>
      <w:pPr>
        <w:pStyle w:val="674"/>
        <w:jc w:val="center"/>
        <w:rPr>
          <w:rFonts w:hint="eastAsia" w:eastAsia="黑体"/>
          <w:b/>
          <w:sz w:val="32"/>
          <w:szCs w:val="32"/>
        </w:rPr>
      </w:pPr>
      <w:r>
        <w:rPr>
          <w:rFonts w:hint="eastAsia" w:eastAsia="黑体"/>
          <w:b/>
          <w:sz w:val="32"/>
          <w:szCs w:val="32"/>
        </w:rPr>
      </w:r>
      <w:r/>
    </w:p>
    <w:p>
      <w:pPr>
        <w:pStyle w:val="674"/>
        <w:rPr>
          <w:rFonts w:hint="eastAsia" w:eastAsia="黑体"/>
          <w:b/>
          <w:sz w:val="32"/>
          <w:szCs w:val="32"/>
        </w:rPr>
      </w:pPr>
      <w:r>
        <w:rPr>
          <w:rFonts w:hint="eastAsia" w:eastAsia="黑体"/>
          <w:b/>
          <w:sz w:val="32"/>
          <w:szCs w:val="32"/>
        </w:rPr>
      </w:r>
      <w:r/>
    </w:p>
    <w:p>
      <w:pPr>
        <w:pStyle w:val="674"/>
        <w:rPr>
          <w:rFonts w:hint="eastAsia" w:eastAsia="黑体"/>
          <w:b/>
          <w:sz w:val="32"/>
          <w:szCs w:val="32"/>
        </w:rPr>
      </w:pPr>
      <w:r>
        <w:rPr>
          <w:rFonts w:hint="eastAsia" w:eastAsia="黑体"/>
          <w:b/>
          <w:sz w:val="32"/>
          <w:szCs w:val="32"/>
        </w:rPr>
      </w:r>
      <w:r/>
    </w:p>
    <w:p>
      <w:pPr>
        <w:pStyle w:val="674"/>
        <w:jc w:val="left"/>
        <w:spacing w:line="400" w:lineRule="exact"/>
        <w:widowControl/>
        <w:rPr>
          <w:sz w:val="24"/>
          <w:szCs w:val="24"/>
        </w:rPr>
      </w:pPr>
      <w:r>
        <w:rPr>
          <w:sz w:val="24"/>
          <w:szCs w:val="24"/>
        </w:rPr>
      </w:r>
      <w:r/>
    </w:p>
    <w:p>
      <w:pPr>
        <w:pStyle w:val="689"/>
        <w:rPr>
          <w:rFonts w:hint="eastAsia"/>
          <w:sz w:val="24"/>
          <w:szCs w:val="24"/>
        </w:rPr>
      </w:pPr>
      <w:r>
        <w:rPr>
          <w:rFonts w:hint="eastAsia"/>
          <w:sz w:val="24"/>
          <w:szCs w:val="24"/>
        </w:rPr>
      </w:r>
      <w:r/>
    </w:p>
    <w:p>
      <w:pPr>
        <w:pStyle w:val="689"/>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仿宋">
    <w:panose1 w:val="02010609060101010101"/>
  </w:font>
  <w:font w:name="华文细黑">
    <w:panose1 w:val="02010600040101010101"/>
  </w:font>
  <w:font w:name="Times">
    <w:panose1 w:val="02020603050405020304"/>
  </w:font>
  <w:font w:name="Tahoma">
    <w:panose1 w:val="020B0604030504040204"/>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57"/>
        <w:rFonts w:ascii="宋体" w:hAnsi="宋体"/>
      </w:rPr>
      <w:framePr w:wrap="around" w:vAnchor="text" w:hAnchor="margin" w:xAlign="center" w:y="1"/>
    </w:pPr>
    <w:r>
      <w:rPr>
        <w:rFonts w:ascii="宋体" w:hAnsi="宋体"/>
      </w:rPr>
      <w:fldChar w:fldCharType="begin"/>
    </w:r>
    <w:r>
      <w:rPr>
        <w:rStyle w:val="757"/>
        <w:rFonts w:ascii="宋体" w:hAnsi="宋体"/>
      </w:rPr>
      <w:instrText xml:space="preserve">PAGE  </w:instrText>
    </w:r>
    <w:r>
      <w:rPr>
        <w:rFonts w:ascii="宋体" w:hAnsi="宋体"/>
      </w:rPr>
      <w:fldChar w:fldCharType="separate"/>
    </w:r>
    <w:r>
      <w:rPr>
        <w:rStyle w:val="757"/>
        <w:rFonts w:ascii="宋体" w:hAnsi="宋体"/>
      </w:rPr>
      <w:t xml:space="preserve">８３</w:t>
    </w:r>
    <w:r>
      <w:rPr>
        <w:rFonts w:ascii="宋体" w:hAnsi="宋体"/>
      </w:rPr>
      <w:fldChar w:fldCharType="end"/>
    </w:r>
    <w:r>
      <w:rPr>
        <w:rStyle w:val="757"/>
        <w:rFonts w:ascii="宋体" w:hAnsi="宋体"/>
      </w:rPr>
    </w:r>
    <w:r/>
  </w:p>
  <w:p>
    <w:pPr>
      <w:pStyle w:val="7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57"/>
      </w:rPr>
      <w:framePr w:wrap="around" w:vAnchor="text" w:hAnchor="margin" w:xAlign="center" w:y="1"/>
    </w:pPr>
    <w:r>
      <w:fldChar w:fldCharType="begin"/>
    </w:r>
    <w:r>
      <w:rPr>
        <w:rStyle w:val="757"/>
      </w:rPr>
      <w:instrText xml:space="preserve">PAGE  </w:instrText>
    </w:r>
    <w:r>
      <w:fldChar w:fldCharType="separate"/>
    </w:r>
    <w:r>
      <w:rPr>
        <w:rStyle w:val="757"/>
      </w:rPr>
      <w:t xml:space="preserve">1</w:t>
    </w:r>
    <w:r>
      <w:fldChar w:fldCharType="end"/>
    </w:r>
    <w:r>
      <w:rPr>
        <w:rStyle w:val="757"/>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75"/>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92"/>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674"/>
        <w:ind w:left="444" w:hanging="444"/>
      </w:pPr>
      <w:rPr>
        <w:rFonts w:ascii="Times New Roman" w:hAnsi="Times New Roman"/>
      </w:rPr>
    </w:lvl>
    <w:lvl w:ilvl="1">
      <w:start w:val="1"/>
      <w:numFmt w:val="lowerLetter"/>
      <w:isLgl w:val="false"/>
      <w:suff w:val="tab"/>
      <w:lvlText w:val="%2)"/>
      <w:lvlJc w:val="left"/>
      <w:pPr>
        <w:pStyle w:val="674"/>
        <w:ind w:left="880" w:hanging="440"/>
      </w:pPr>
    </w:lvl>
    <w:lvl w:ilvl="2">
      <w:start w:val="1"/>
      <w:numFmt w:val="lowerRoman"/>
      <w:isLgl w:val="false"/>
      <w:suff w:val="tab"/>
      <w:lvlText w:val="%3."/>
      <w:lvlJc w:val="right"/>
      <w:pPr>
        <w:pStyle w:val="674"/>
        <w:ind w:left="1320" w:hanging="440"/>
      </w:pPr>
    </w:lvl>
    <w:lvl w:ilvl="3">
      <w:start w:val="1"/>
      <w:numFmt w:val="decimal"/>
      <w:isLgl w:val="false"/>
      <w:suff w:val="tab"/>
      <w:lvlText w:val="%4."/>
      <w:lvlJc w:val="left"/>
      <w:pPr>
        <w:pStyle w:val="674"/>
        <w:ind w:left="1760" w:hanging="440"/>
      </w:pPr>
    </w:lvl>
    <w:lvl w:ilvl="4">
      <w:start w:val="1"/>
      <w:numFmt w:val="lowerLetter"/>
      <w:isLgl w:val="false"/>
      <w:suff w:val="tab"/>
      <w:lvlText w:val="%5)"/>
      <w:lvlJc w:val="left"/>
      <w:pPr>
        <w:pStyle w:val="674"/>
        <w:ind w:left="2200" w:hanging="440"/>
      </w:pPr>
    </w:lvl>
    <w:lvl w:ilvl="5">
      <w:start w:val="1"/>
      <w:numFmt w:val="lowerRoman"/>
      <w:isLgl w:val="false"/>
      <w:suff w:val="tab"/>
      <w:lvlText w:val="%6."/>
      <w:lvlJc w:val="right"/>
      <w:pPr>
        <w:pStyle w:val="674"/>
        <w:ind w:left="2640" w:hanging="440"/>
      </w:pPr>
    </w:lvl>
    <w:lvl w:ilvl="6">
      <w:start w:val="1"/>
      <w:numFmt w:val="decimal"/>
      <w:isLgl w:val="false"/>
      <w:suff w:val="tab"/>
      <w:lvlText w:val="%7."/>
      <w:lvlJc w:val="left"/>
      <w:pPr>
        <w:pStyle w:val="674"/>
        <w:ind w:left="3080" w:hanging="440"/>
      </w:pPr>
    </w:lvl>
    <w:lvl w:ilvl="7">
      <w:start w:val="1"/>
      <w:numFmt w:val="lowerLetter"/>
      <w:isLgl w:val="false"/>
      <w:suff w:val="tab"/>
      <w:lvlText w:val="%8)"/>
      <w:lvlJc w:val="left"/>
      <w:pPr>
        <w:pStyle w:val="674"/>
        <w:ind w:left="3520" w:hanging="440"/>
      </w:pPr>
    </w:lvl>
    <w:lvl w:ilvl="8">
      <w:start w:val="1"/>
      <w:numFmt w:val="lowerRoman"/>
      <w:isLgl w:val="false"/>
      <w:suff w:val="tab"/>
      <w:lvlText w:val="%9."/>
      <w:lvlJc w:val="right"/>
      <w:pPr>
        <w:pStyle w:val="674"/>
        <w:ind w:left="3960" w:hanging="440"/>
      </w:pPr>
    </w:lvl>
  </w:abstractNum>
  <w:abstractNum w:abstractNumId="5">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6">
    <w:multiLevelType w:val="hybridMultilevel"/>
    <w:lvl w:ilvl="0">
      <w:start w:val="1"/>
      <w:numFmt w:val="decimal"/>
      <w:pStyle w:val="842"/>
      <w:isLgl w:val="false"/>
      <w:suff w:val="tab"/>
      <w:lvlText w:val="附件%1"/>
      <w:lvlJc w:val="left"/>
      <w:pPr>
        <w:pStyle w:val="674"/>
        <w:ind w:left="3681" w:hanging="420"/>
      </w:pPr>
      <w:rPr>
        <w:sz w:val="30"/>
        <w:szCs w:val="30"/>
      </w:rPr>
    </w:lvl>
    <w:lvl w:ilvl="1">
      <w:start w:val="1"/>
      <w:numFmt w:val="lowerLetter"/>
      <w:isLgl w:val="false"/>
      <w:suff w:val="tab"/>
      <w:lvlText w:val="%2)"/>
      <w:lvlJc w:val="left"/>
      <w:pPr>
        <w:pStyle w:val="674"/>
        <w:ind w:left="983" w:hanging="420"/>
      </w:pPr>
    </w:lvl>
    <w:lvl w:ilvl="2">
      <w:start w:val="1"/>
      <w:numFmt w:val="lowerRoman"/>
      <w:isLgl w:val="false"/>
      <w:suff w:val="tab"/>
      <w:lvlText w:val="%3."/>
      <w:lvlJc w:val="right"/>
      <w:pPr>
        <w:pStyle w:val="674"/>
        <w:ind w:left="1403" w:hanging="420"/>
      </w:pPr>
    </w:lvl>
    <w:lvl w:ilvl="3">
      <w:start w:val="1"/>
      <w:numFmt w:val="decimal"/>
      <w:isLgl w:val="false"/>
      <w:suff w:val="tab"/>
      <w:lvlText w:val="%4."/>
      <w:lvlJc w:val="left"/>
      <w:pPr>
        <w:pStyle w:val="674"/>
        <w:ind w:left="1823" w:hanging="420"/>
      </w:pPr>
    </w:lvl>
    <w:lvl w:ilvl="4">
      <w:start w:val="1"/>
      <w:numFmt w:val="lowerLetter"/>
      <w:isLgl w:val="false"/>
      <w:suff w:val="tab"/>
      <w:lvlText w:val="%5)"/>
      <w:lvlJc w:val="left"/>
      <w:pPr>
        <w:pStyle w:val="674"/>
        <w:ind w:left="2243" w:hanging="420"/>
      </w:pPr>
    </w:lvl>
    <w:lvl w:ilvl="5">
      <w:start w:val="1"/>
      <w:numFmt w:val="lowerRoman"/>
      <w:isLgl w:val="false"/>
      <w:suff w:val="tab"/>
      <w:lvlText w:val="%6."/>
      <w:lvlJc w:val="right"/>
      <w:pPr>
        <w:pStyle w:val="674"/>
        <w:ind w:left="2663" w:hanging="420"/>
      </w:pPr>
    </w:lvl>
    <w:lvl w:ilvl="6">
      <w:start w:val="1"/>
      <w:numFmt w:val="decimal"/>
      <w:isLgl w:val="false"/>
      <w:suff w:val="tab"/>
      <w:lvlText w:val="%7."/>
      <w:lvlJc w:val="left"/>
      <w:pPr>
        <w:pStyle w:val="674"/>
        <w:ind w:left="3083" w:hanging="420"/>
      </w:pPr>
    </w:lvl>
    <w:lvl w:ilvl="7">
      <w:start w:val="1"/>
      <w:numFmt w:val="lowerLetter"/>
      <w:isLgl w:val="false"/>
      <w:suff w:val="tab"/>
      <w:lvlText w:val="%8)"/>
      <w:lvlJc w:val="left"/>
      <w:pPr>
        <w:pStyle w:val="674"/>
        <w:ind w:left="3503" w:hanging="420"/>
      </w:pPr>
    </w:lvl>
    <w:lvl w:ilvl="8">
      <w:start w:val="1"/>
      <w:numFmt w:val="lowerRoman"/>
      <w:isLgl w:val="false"/>
      <w:suff w:val="tab"/>
      <w:lvlText w:val="%9."/>
      <w:lvlJc w:val="right"/>
      <w:pPr>
        <w:pStyle w:val="674"/>
        <w:ind w:left="3923" w:hanging="420"/>
      </w:pPr>
    </w:lvl>
  </w:abstractNum>
  <w:abstractNum w:abstractNumId="7">
    <w:multiLevelType w:val="hybridMultilevel"/>
    <w:lvl w:ilvl="0">
      <w:start w:val="1"/>
      <w:numFmt w:val="chineseCountingThousand"/>
      <w:pStyle w:val="837"/>
      <w:isLgl w:val="false"/>
      <w:suff w:val="tab"/>
      <w:lvlText w:val="%1、"/>
      <w:lvlJc w:val="left"/>
      <w:pPr>
        <w:pStyle w:val="674"/>
        <w:ind w:left="425" w:hanging="425"/>
      </w:pPr>
    </w:lvl>
    <w:lvl w:ilvl="1">
      <w:start w:val="1"/>
      <w:numFmt w:val="decimal"/>
      <w:isLgl w:val="false"/>
      <w:suff w:val="tab"/>
      <w:lvlText w:val="%1.%2"/>
      <w:lvlJc w:val="left"/>
      <w:pPr>
        <w:pStyle w:val="674"/>
        <w:ind w:left="992" w:hanging="567"/>
      </w:pPr>
    </w:lvl>
    <w:lvl w:ilvl="2">
      <w:start w:val="1"/>
      <w:numFmt w:val="decimal"/>
      <w:isLgl w:val="false"/>
      <w:suff w:val="tab"/>
      <w:lvlText w:val="%1.%2.%3"/>
      <w:lvlJc w:val="left"/>
      <w:pPr>
        <w:pStyle w:val="674"/>
        <w:ind w:left="1418" w:hanging="567"/>
      </w:pPr>
    </w:lvl>
    <w:lvl w:ilvl="3">
      <w:start w:val="1"/>
      <w:numFmt w:val="decimal"/>
      <w:isLgl w:val="false"/>
      <w:suff w:val="tab"/>
      <w:lvlText w:val="%1.%2.%3.%4"/>
      <w:lvlJc w:val="left"/>
      <w:pPr>
        <w:pStyle w:val="674"/>
        <w:ind w:left="1984" w:hanging="708"/>
      </w:pPr>
    </w:lvl>
    <w:lvl w:ilvl="4">
      <w:start w:val="1"/>
      <w:numFmt w:val="decimal"/>
      <w:isLgl w:val="false"/>
      <w:suff w:val="tab"/>
      <w:lvlText w:val="%1.%2.%3.%4.%5"/>
      <w:lvlJc w:val="left"/>
      <w:pPr>
        <w:pStyle w:val="674"/>
        <w:ind w:left="2551" w:hanging="850"/>
      </w:pPr>
    </w:lvl>
    <w:lvl w:ilvl="5">
      <w:start w:val="1"/>
      <w:numFmt w:val="decimal"/>
      <w:isLgl w:val="false"/>
      <w:suff w:val="tab"/>
      <w:lvlText w:val="%1.%2.%3.%4.%5.%6"/>
      <w:lvlJc w:val="left"/>
      <w:pPr>
        <w:pStyle w:val="674"/>
        <w:ind w:left="3260" w:hanging="1134"/>
      </w:pPr>
    </w:lvl>
    <w:lvl w:ilvl="6">
      <w:start w:val="1"/>
      <w:numFmt w:val="decimal"/>
      <w:isLgl w:val="false"/>
      <w:suff w:val="tab"/>
      <w:lvlText w:val="%1.%2.%3.%4.%5.%6.%7"/>
      <w:lvlJc w:val="left"/>
      <w:pPr>
        <w:pStyle w:val="674"/>
        <w:ind w:left="3827" w:hanging="1276"/>
      </w:pPr>
    </w:lvl>
    <w:lvl w:ilvl="7">
      <w:start w:val="1"/>
      <w:numFmt w:val="decimal"/>
      <w:isLgl w:val="false"/>
      <w:suff w:val="tab"/>
      <w:lvlText w:val="%1.%2.%3.%4.%5.%6.%7.%8"/>
      <w:lvlJc w:val="left"/>
      <w:pPr>
        <w:pStyle w:val="674"/>
        <w:ind w:left="4394" w:hanging="1418"/>
      </w:pPr>
    </w:lvl>
    <w:lvl w:ilvl="8">
      <w:start w:val="1"/>
      <w:numFmt w:val="decimal"/>
      <w:isLgl w:val="false"/>
      <w:suff w:val="tab"/>
      <w:lvlText w:val="%1.%2.%3.%4.%5.%6.%7.%8.%9"/>
      <w:lvlJc w:val="left"/>
      <w:pPr>
        <w:pStyle w:val="674"/>
        <w:ind w:left="5102" w:hanging="1700"/>
      </w:pPr>
    </w:lvl>
  </w:abstractNum>
  <w:abstractNum w:abstractNumId="8">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0"/>
      <w:numFmt w:val="decimal"/>
      <w:isLgl w:val="false"/>
      <w:suff w:val="nothing"/>
      <w:lvlText w:val="（%1）"/>
      <w:lvlJc w:val="left"/>
      <w:pPr>
        <w:pStyle w:val="674"/>
        <w:ind w:left="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2"/>
      <w:numFmt w:val="decimal"/>
      <w:isLgl w:val="false"/>
      <w:suff w:val="space"/>
      <w:lvlText w:val="%1."/>
      <w:lvlJc w:val="left"/>
      <w:pPr>
        <w:pStyle w:val="67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674"/>
        <w:ind w:left="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67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8"/>
      <w:numFmt w:val="decimal"/>
      <w:isLgl w:val="false"/>
      <w:suff w:val="space"/>
      <w:lvlText w:val="%1."/>
      <w:lvlJc w:val="left"/>
      <w:pPr>
        <w:pStyle w:val="67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7"/>
  </w:num>
  <w:num w:numId="5">
    <w:abstractNumId w:val="6"/>
  </w:num>
  <w:num w:numId="6">
    <w:abstractNumId w:val="8"/>
  </w:num>
  <w:num w:numId="7">
    <w:abstractNumId w:val="9"/>
    <w:lvlOverride w:ilvl="0">
      <w:startOverride w:val="10"/>
    </w:lvlOverride>
  </w:num>
  <w:num w:numId="8">
    <w:abstractNumId w:val="10"/>
    <w:lvlOverride w:ilvl="0">
      <w:startOverride w:val="12"/>
    </w:lvlOverride>
  </w:num>
  <w:num w:numId="9">
    <w:abstractNumId w:val="11"/>
    <w:lvlOverride w:ilvl="0">
      <w:startOverride w:val="2"/>
    </w:lvlOverride>
  </w:num>
  <w:num w:numId="10">
    <w:abstractNumId w:val="12"/>
    <w:lvlOverride w:ilvl="0">
      <w:startOverride w:val="1"/>
    </w:lvlOverride>
  </w:num>
  <w:num w:numId="11">
    <w:abstractNumId w:val="13"/>
    <w:lvlOverride w:ilvl="0">
      <w:startOverride w:val="18"/>
    </w:lvlOverride>
  </w:num>
  <w:num w:numId="12">
    <w:abstractNumId w:val="2"/>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sz w:val="21"/>
      <w:szCs w:val="21"/>
      <w:lang w:val="en-US" w:eastAsia="zh-CN" w:bidi="ar-SA"/>
    </w:rPr>
  </w:style>
  <w:style w:type="paragraph" w:styleId="675">
    <w:name w:val="标题 1"/>
    <w:basedOn w:val="674"/>
    <w:next w:val="674"/>
    <w:link w:val="686"/>
    <w:qFormat/>
    <w:pPr>
      <w:jc w:val="center"/>
      <w:keepNext/>
      <w:outlineLvl w:val="0"/>
    </w:pPr>
    <w:rPr>
      <w:rFonts w:ascii="楷体_GB2312" w:eastAsia="楷体_GB2312"/>
      <w:sz w:val="28"/>
      <w:szCs w:val="28"/>
    </w:rPr>
  </w:style>
  <w:style w:type="paragraph" w:styleId="676">
    <w:name w:val="标题 2"/>
    <w:basedOn w:val="674"/>
    <w:next w:val="674"/>
    <w:link w:val="687"/>
    <w:qFormat/>
    <w:pPr>
      <w:jc w:val="center"/>
      <w:keepLines/>
      <w:keepNext/>
      <w:spacing w:before="260" w:after="260" w:line="416" w:lineRule="auto"/>
      <w:outlineLvl w:val="1"/>
    </w:pPr>
    <w:rPr>
      <w:rFonts w:ascii="Arial" w:hAnsi="Arial" w:eastAsia="幼圆" w:cs="Arial"/>
      <w:b/>
      <w:bCs/>
      <w:sz w:val="44"/>
      <w:szCs w:val="44"/>
    </w:rPr>
  </w:style>
  <w:style w:type="paragraph" w:styleId="677">
    <w:name w:val="标题 3"/>
    <w:basedOn w:val="674"/>
    <w:next w:val="689"/>
    <w:link w:val="688"/>
    <w:qFormat/>
    <w:pPr>
      <w:keepLines/>
      <w:keepNext/>
      <w:spacing w:before="260" w:after="260" w:line="416" w:lineRule="auto"/>
      <w:outlineLvl w:val="2"/>
    </w:pPr>
    <w:rPr>
      <w:b/>
      <w:bCs/>
      <w:sz w:val="32"/>
      <w:szCs w:val="32"/>
    </w:rPr>
  </w:style>
  <w:style w:type="paragraph" w:styleId="678">
    <w:name w:val="标题 4"/>
    <w:basedOn w:val="674"/>
    <w:next w:val="689"/>
    <w:link w:val="691"/>
    <w:qFormat/>
    <w:pPr>
      <w:keepLines/>
      <w:keepNext/>
      <w:spacing w:before="280" w:after="290" w:line="376" w:lineRule="auto"/>
      <w:outlineLvl w:val="3"/>
    </w:pPr>
    <w:rPr>
      <w:rFonts w:ascii="Arial" w:hAnsi="Arial" w:eastAsia="黑体" w:cs="Arial"/>
      <w:b/>
      <w:bCs/>
      <w:sz w:val="28"/>
      <w:szCs w:val="28"/>
    </w:rPr>
  </w:style>
  <w:style w:type="paragraph" w:styleId="679">
    <w:name w:val="标题 5"/>
    <w:basedOn w:val="674"/>
    <w:next w:val="689"/>
    <w:link w:val="692"/>
    <w:qFormat/>
    <w:pPr>
      <w:keepNext/>
      <w:outlineLvl w:val="4"/>
    </w:pPr>
    <w:rPr>
      <w:rFonts w:ascii="宋体"/>
      <w:color w:val="000000"/>
      <w:sz w:val="28"/>
      <w:szCs w:val="28"/>
    </w:rPr>
  </w:style>
  <w:style w:type="paragraph" w:styleId="680">
    <w:name w:val="标题 6"/>
    <w:basedOn w:val="674"/>
    <w:next w:val="674"/>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6"/>
    <w:qFormat/>
    <w:pPr>
      <w:numPr>
        <w:ilvl w:val="8"/>
        <w:numId w:val="1"/>
      </w:numPr>
      <w:keepLines/>
      <w:keepNext/>
      <w:spacing w:before="240" w:after="64" w:line="320" w:lineRule="auto"/>
      <w:outlineLvl w:val="8"/>
    </w:pPr>
    <w:rPr>
      <w:rFonts w:ascii="Arial" w:hAnsi="Arial" w:eastAsia="黑体"/>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character" w:styleId="686">
    <w:name w:val=" Char Char25"/>
    <w:next w:val="686"/>
    <w:link w:val="675"/>
    <w:rPr>
      <w:rFonts w:ascii="楷体_GB2312" w:hAnsi="Times New Roman" w:eastAsia="楷体_GB2312" w:cs="Times New Roman"/>
      <w:sz w:val="28"/>
      <w:szCs w:val="28"/>
    </w:rPr>
  </w:style>
  <w:style w:type="character" w:styleId="687">
    <w:name w:val="2 Char1,2nd level Char1,Chapter Number/Appendix Letter Char1,DO NOT USE_h2 Char1,H1 Char1,H2 Char1,Header 2 Char1,Titre2 Char1,Underrubrik1 Char1,chn Char1,h2 Char1,l2 Char1,prop2 Char1,sect 1.2 Char1,标题 1.1 Char1,节 Char Char1"/>
    <w:next w:val="687"/>
    <w:link w:val="676"/>
    <w:rPr>
      <w:rFonts w:ascii="Arial" w:hAnsi="Arial" w:eastAsia="幼圆" w:cs="Arial"/>
      <w:b/>
      <w:bCs/>
      <w:sz w:val="44"/>
      <w:szCs w:val="44"/>
    </w:rPr>
  </w:style>
  <w:style w:type="character" w:styleId="688">
    <w:name w:val=" Char Char24"/>
    <w:next w:val="688"/>
    <w:link w:val="677"/>
    <w:rPr>
      <w:rFonts w:ascii="Times New Roman" w:hAnsi="Times New Roman" w:eastAsia="宋体" w:cs="Times New Roman"/>
      <w:b/>
      <w:bCs/>
      <w:sz w:val="32"/>
      <w:szCs w:val="32"/>
    </w:rPr>
  </w:style>
  <w:style w:type="paragraph" w:styleId="689">
    <w:name w:val="正文缩进"/>
    <w:basedOn w:val="674"/>
    <w:next w:val="674"/>
    <w:link w:val="690"/>
    <w:pPr>
      <w:ind w:firstLine="420"/>
    </w:pPr>
  </w:style>
  <w:style w:type="character" w:styleId="690">
    <w:name w:val="署名 Char Char"/>
    <w:next w:val="690"/>
    <w:link w:val="689"/>
    <w:rPr>
      <w:rFonts w:ascii="Times New Roman" w:hAnsi="Times New Roman" w:eastAsia="宋体" w:cs="Times New Roman"/>
      <w:szCs w:val="21"/>
    </w:rPr>
  </w:style>
  <w:style w:type="character" w:styleId="691">
    <w:name w:val=" Char Char23"/>
    <w:next w:val="691"/>
    <w:link w:val="678"/>
    <w:rPr>
      <w:rFonts w:ascii="Arial" w:hAnsi="Arial" w:eastAsia="黑体" w:cs="Arial"/>
      <w:b/>
      <w:bCs/>
      <w:sz w:val="28"/>
      <w:szCs w:val="28"/>
    </w:rPr>
  </w:style>
  <w:style w:type="character" w:styleId="692">
    <w:name w:val=" Char Char22"/>
    <w:next w:val="692"/>
    <w:link w:val="679"/>
    <w:rPr>
      <w:rFonts w:ascii="宋体" w:hAnsi="Times New Roman" w:eastAsia="宋体" w:cs="Times New Roman"/>
      <w:color w:val="000000"/>
      <w:sz w:val="28"/>
      <w:szCs w:val="28"/>
    </w:rPr>
  </w:style>
  <w:style w:type="character" w:styleId="693">
    <w:name w:val=" Char Char21"/>
    <w:next w:val="693"/>
    <w:link w:val="680"/>
    <w:rPr>
      <w:rFonts w:ascii="Arial" w:hAnsi="Arial" w:eastAsia="黑体" w:cs="Times New Roman"/>
      <w:b/>
      <w:bCs/>
      <w:sz w:val="24"/>
      <w:szCs w:val="24"/>
    </w:rPr>
  </w:style>
  <w:style w:type="character" w:styleId="694">
    <w:name w:val=" Char Char20"/>
    <w:next w:val="694"/>
    <w:link w:val="681"/>
    <w:rPr>
      <w:rFonts w:ascii="Times New Roman" w:hAnsi="Times New Roman" w:eastAsia="宋体" w:cs="Times New Roman"/>
      <w:b/>
      <w:bCs/>
      <w:sz w:val="24"/>
      <w:szCs w:val="24"/>
    </w:rPr>
  </w:style>
  <w:style w:type="character" w:styleId="695">
    <w:name w:val=" Char Char19"/>
    <w:next w:val="695"/>
    <w:link w:val="682"/>
    <w:rPr>
      <w:rFonts w:ascii="Arial" w:hAnsi="Arial" w:eastAsia="黑体" w:cs="Times New Roman"/>
      <w:sz w:val="24"/>
      <w:szCs w:val="24"/>
    </w:rPr>
  </w:style>
  <w:style w:type="character" w:styleId="696">
    <w:name w:val=" Char Char18"/>
    <w:next w:val="696"/>
    <w:link w:val="683"/>
    <w:rPr>
      <w:rFonts w:ascii="Arial" w:hAnsi="Arial" w:eastAsia="黑体" w:cs="Times New Roman"/>
      <w:szCs w:val="21"/>
    </w:rPr>
  </w:style>
  <w:style w:type="paragraph" w:styleId="697">
    <w:name w:val="列表 3"/>
    <w:basedOn w:val="674"/>
    <w:next w:val="697"/>
    <w:link w:val="674"/>
    <w:pPr>
      <w:ind w:left="100" w:hanging="200"/>
    </w:pPr>
  </w:style>
  <w:style w:type="paragraph" w:styleId="698">
    <w:name w:val="目录 7"/>
    <w:basedOn w:val="674"/>
    <w:next w:val="674"/>
    <w:link w:val="674"/>
    <w:semiHidden/>
    <w:pPr>
      <w:ind w:left="1260"/>
      <w:jc w:val="left"/>
    </w:pPr>
  </w:style>
  <w:style w:type="paragraph" w:styleId="699">
    <w:name w:val="题注"/>
    <w:basedOn w:val="674"/>
    <w:next w:val="674"/>
    <w:link w:val="674"/>
    <w:qFormat/>
    <w:rPr>
      <w:rFonts w:ascii="Cambria" w:hAnsi="Cambria" w:eastAsia="黑体"/>
      <w:sz w:val="20"/>
      <w:szCs w:val="20"/>
    </w:rPr>
  </w:style>
  <w:style w:type="paragraph" w:styleId="700">
    <w:name w:val="文档结构图"/>
    <w:basedOn w:val="674"/>
    <w:next w:val="700"/>
    <w:link w:val="701"/>
    <w:semiHidden/>
    <w:pPr>
      <w:shd w:val="clear" w:color="auto" w:fill="000080"/>
    </w:pPr>
  </w:style>
  <w:style w:type="character" w:styleId="701">
    <w:name w:val=" Char Char16"/>
    <w:next w:val="701"/>
    <w:link w:val="700"/>
    <w:semiHidden/>
    <w:rPr>
      <w:rFonts w:ascii="Times New Roman" w:hAnsi="Times New Roman" w:eastAsia="宋体" w:cs="Times New Roman"/>
      <w:szCs w:val="21"/>
      <w:shd w:val="clear" w:color="auto" w:fill="000080"/>
    </w:rPr>
  </w:style>
  <w:style w:type="paragraph" w:styleId="702">
    <w:name w:val="批注文字"/>
    <w:basedOn w:val="674"/>
    <w:next w:val="702"/>
    <w:link w:val="703"/>
    <w:semiHidden/>
    <w:pPr>
      <w:jc w:val="left"/>
    </w:pPr>
  </w:style>
  <w:style w:type="character" w:styleId="703">
    <w:name w:val=" Char Char15"/>
    <w:next w:val="703"/>
    <w:link w:val="702"/>
    <w:semiHidden/>
    <w:rPr>
      <w:rFonts w:ascii="Times New Roman" w:hAnsi="Times New Roman" w:eastAsia="宋体" w:cs="Times New Roman"/>
      <w:szCs w:val="21"/>
    </w:rPr>
  </w:style>
  <w:style w:type="paragraph" w:styleId="704">
    <w:name w:val="正文文本 3"/>
    <w:basedOn w:val="674"/>
    <w:next w:val="704"/>
    <w:link w:val="705"/>
    <w:rPr>
      <w:rFonts w:ascii="仿宋_GB2312" w:hAnsi="Arial" w:eastAsia="仿宋_GB2312"/>
      <w:sz w:val="32"/>
      <w:szCs w:val="32"/>
    </w:rPr>
  </w:style>
  <w:style w:type="character" w:styleId="705">
    <w:name w:val=" Char Char14"/>
    <w:next w:val="705"/>
    <w:link w:val="704"/>
    <w:rPr>
      <w:rFonts w:ascii="仿宋_GB2312" w:hAnsi="Arial" w:eastAsia="仿宋_GB2312" w:cs="Times New Roman"/>
      <w:sz w:val="32"/>
      <w:szCs w:val="32"/>
    </w:rPr>
  </w:style>
  <w:style w:type="paragraph" w:styleId="706">
    <w:name w:val="正文文本"/>
    <w:basedOn w:val="674"/>
    <w:next w:val="706"/>
    <w:link w:val="707"/>
    <w:rPr>
      <w:rFonts w:ascii="楷体_GB2312" w:hAnsi="Arial" w:eastAsia="楷体_GB2312"/>
      <w:sz w:val="28"/>
      <w:szCs w:val="28"/>
    </w:rPr>
  </w:style>
  <w:style w:type="character" w:styleId="707">
    <w:name w:val="手改 Char Char"/>
    <w:next w:val="707"/>
    <w:link w:val="706"/>
    <w:rPr>
      <w:rFonts w:ascii="楷体_GB2312" w:hAnsi="Arial" w:eastAsia="楷体_GB2312" w:cs="Times New Roman"/>
      <w:sz w:val="28"/>
      <w:szCs w:val="28"/>
    </w:rPr>
  </w:style>
  <w:style w:type="paragraph" w:styleId="708">
    <w:name w:val="正文文本缩进"/>
    <w:basedOn w:val="674"/>
    <w:next w:val="674"/>
    <w:link w:val="709"/>
    <w:pPr>
      <w:ind w:firstLine="645"/>
    </w:pPr>
    <w:rPr>
      <w:rFonts w:ascii="楷体_GB2312" w:eastAsia="楷体_GB2312"/>
      <w:sz w:val="32"/>
      <w:szCs w:val="32"/>
    </w:rPr>
  </w:style>
  <w:style w:type="character" w:styleId="709">
    <w:name w:val="正文文字4 Char Char"/>
    <w:next w:val="709"/>
    <w:link w:val="708"/>
    <w:rPr>
      <w:rFonts w:ascii="楷体_GB2312" w:hAnsi="Times New Roman" w:eastAsia="楷体_GB2312" w:cs="Times New Roman"/>
      <w:sz w:val="32"/>
      <w:szCs w:val="32"/>
    </w:rPr>
  </w:style>
  <w:style w:type="paragraph" w:styleId="710">
    <w:name w:val="列表 2"/>
    <w:basedOn w:val="674"/>
    <w:next w:val="710"/>
    <w:link w:val="674"/>
    <w:pPr>
      <w:ind w:left="100" w:hanging="200"/>
    </w:pPr>
  </w:style>
  <w:style w:type="paragraph" w:styleId="711">
    <w:name w:val="索引 4"/>
    <w:basedOn w:val="674"/>
    <w:next w:val="674"/>
    <w:link w:val="674"/>
    <w:pPr>
      <w:ind w:left="600"/>
    </w:pPr>
    <w:rPr>
      <w:szCs w:val="24"/>
    </w:rPr>
  </w:style>
  <w:style w:type="paragraph" w:styleId="712">
    <w:name w:val="目录 5"/>
    <w:basedOn w:val="674"/>
    <w:next w:val="674"/>
    <w:link w:val="674"/>
    <w:semiHidden/>
    <w:pPr>
      <w:ind w:left="840"/>
      <w:jc w:val="left"/>
    </w:pPr>
  </w:style>
  <w:style w:type="paragraph" w:styleId="713">
    <w:name w:val="目录 3"/>
    <w:basedOn w:val="674"/>
    <w:next w:val="674"/>
    <w:link w:val="674"/>
    <w:semiHidden/>
    <w:pPr>
      <w:ind w:left="420"/>
      <w:jc w:val="left"/>
    </w:pPr>
    <w:rPr>
      <w:i/>
      <w:iCs/>
      <w:szCs w:val="24"/>
    </w:rPr>
  </w:style>
  <w:style w:type="paragraph" w:styleId="714">
    <w:name w:val="纯文本"/>
    <w:basedOn w:val="674"/>
    <w:next w:val="714"/>
    <w:link w:val="715"/>
    <w:rPr>
      <w:rFonts w:ascii="宋体" w:hAnsi="Courier New" w:cs="Courier New"/>
    </w:rPr>
  </w:style>
  <w:style w:type="character" w:styleId="715">
    <w:name w:val=" Char Char13"/>
    <w:next w:val="715"/>
    <w:link w:val="714"/>
    <w:rPr>
      <w:rFonts w:ascii="宋体" w:hAnsi="Courier New" w:eastAsia="宋体" w:cs="Courier New"/>
      <w:szCs w:val="21"/>
    </w:rPr>
  </w:style>
  <w:style w:type="paragraph" w:styleId="716">
    <w:name w:val="目录 8"/>
    <w:basedOn w:val="674"/>
    <w:next w:val="674"/>
    <w:link w:val="674"/>
    <w:semiHidden/>
    <w:pPr>
      <w:ind w:left="1470"/>
      <w:jc w:val="left"/>
    </w:pPr>
  </w:style>
  <w:style w:type="paragraph" w:styleId="717">
    <w:name w:val="日期"/>
    <w:basedOn w:val="674"/>
    <w:next w:val="674"/>
    <w:link w:val="718"/>
    <w:rPr>
      <w:sz w:val="24"/>
      <w:szCs w:val="24"/>
    </w:rPr>
  </w:style>
  <w:style w:type="character" w:styleId="718">
    <w:name w:val=" Char Char12"/>
    <w:next w:val="718"/>
    <w:link w:val="717"/>
    <w:rPr>
      <w:rFonts w:ascii="Times New Roman" w:hAnsi="Times New Roman" w:eastAsia="宋体" w:cs="Times New Roman"/>
      <w:sz w:val="24"/>
      <w:szCs w:val="24"/>
    </w:rPr>
  </w:style>
  <w:style w:type="paragraph" w:styleId="719">
    <w:name w:val="正文文本缩进 2"/>
    <w:basedOn w:val="674"/>
    <w:next w:val="719"/>
    <w:link w:val="720"/>
    <w:pPr>
      <w:ind w:left="630" w:firstLine="645"/>
    </w:pPr>
    <w:rPr>
      <w:rFonts w:ascii="Arial" w:hAnsi="Arial" w:eastAsia="仿宋_GB2312" w:cs="Arial"/>
      <w:sz w:val="32"/>
      <w:szCs w:val="32"/>
    </w:rPr>
  </w:style>
  <w:style w:type="character" w:styleId="720">
    <w:name w:val=" Char Char11"/>
    <w:next w:val="720"/>
    <w:link w:val="719"/>
    <w:rPr>
      <w:rFonts w:ascii="Arial" w:hAnsi="Arial" w:eastAsia="仿宋_GB2312" w:cs="Arial"/>
      <w:sz w:val="32"/>
      <w:szCs w:val="32"/>
    </w:rPr>
  </w:style>
  <w:style w:type="paragraph" w:styleId="721">
    <w:name w:val="批注框文本"/>
    <w:basedOn w:val="674"/>
    <w:next w:val="721"/>
    <w:link w:val="722"/>
    <w:semiHidden/>
    <w:rPr>
      <w:sz w:val="18"/>
      <w:szCs w:val="18"/>
    </w:rPr>
  </w:style>
  <w:style w:type="character" w:styleId="722">
    <w:name w:val=" Char Char10"/>
    <w:next w:val="722"/>
    <w:link w:val="721"/>
    <w:semiHidden/>
    <w:rPr>
      <w:rFonts w:ascii="Times New Roman" w:hAnsi="Times New Roman" w:eastAsia="宋体" w:cs="Times New Roman"/>
      <w:sz w:val="18"/>
      <w:szCs w:val="18"/>
    </w:rPr>
  </w:style>
  <w:style w:type="paragraph" w:styleId="723">
    <w:name w:val="页脚"/>
    <w:basedOn w:val="674"/>
    <w:next w:val="723"/>
    <w:link w:val="724"/>
    <w:pPr>
      <w:jc w:val="left"/>
      <w:tabs>
        <w:tab w:val="center" w:pos="4153" w:leader="none"/>
        <w:tab w:val="right" w:pos="8306" w:leader="none"/>
      </w:tabs>
    </w:pPr>
    <w:rPr>
      <w:sz w:val="18"/>
      <w:szCs w:val="18"/>
    </w:rPr>
  </w:style>
  <w:style w:type="character" w:styleId="724">
    <w:name w:val=" Char Char9"/>
    <w:next w:val="724"/>
    <w:link w:val="723"/>
    <w:rPr>
      <w:rFonts w:ascii="Times New Roman" w:hAnsi="Times New Roman" w:eastAsia="宋体" w:cs="Times New Roman"/>
      <w:sz w:val="18"/>
      <w:szCs w:val="18"/>
    </w:rPr>
  </w:style>
  <w:style w:type="paragraph" w:styleId="725">
    <w:name w:val="页眉"/>
    <w:basedOn w:val="674"/>
    <w:next w:val="725"/>
    <w:link w:val="726"/>
    <w:pPr>
      <w:jc w:val="center"/>
      <w:tabs>
        <w:tab w:val="center" w:pos="4153" w:leader="none"/>
        <w:tab w:val="right" w:pos="8306" w:leader="none"/>
      </w:tabs>
      <w:pBdr>
        <w:bottom w:val="single" w:color="000000" w:sz="6" w:space="1"/>
      </w:pBdr>
    </w:pPr>
    <w:rPr>
      <w:sz w:val="18"/>
      <w:szCs w:val="18"/>
    </w:rPr>
  </w:style>
  <w:style w:type="character" w:styleId="726">
    <w:name w:val=" Char Char8"/>
    <w:next w:val="726"/>
    <w:link w:val="725"/>
    <w:rPr>
      <w:rFonts w:ascii="Times New Roman" w:hAnsi="Times New Roman" w:eastAsia="宋体" w:cs="Times New Roman"/>
      <w:sz w:val="18"/>
      <w:szCs w:val="18"/>
    </w:rPr>
  </w:style>
  <w:style w:type="paragraph" w:styleId="727">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8">
    <w:name w:val="目录 4"/>
    <w:basedOn w:val="674"/>
    <w:next w:val="674"/>
    <w:link w:val="674"/>
    <w:semiHidden/>
    <w:pPr>
      <w:ind w:left="630"/>
      <w:jc w:val="left"/>
    </w:pPr>
  </w:style>
  <w:style w:type="paragraph" w:styleId="729">
    <w:name w:val="副标题"/>
    <w:basedOn w:val="674"/>
    <w:next w:val="674"/>
    <w:link w:val="730"/>
    <w:qFormat/>
    <w:pPr>
      <w:jc w:val="center"/>
      <w:spacing w:before="240" w:after="60" w:line="312" w:lineRule="auto"/>
      <w:outlineLvl w:val="1"/>
    </w:pPr>
    <w:rPr>
      <w:rFonts w:ascii="Cambria" w:hAnsi="Cambria" w:eastAsia="Times New Roman"/>
      <w:b/>
      <w:bCs/>
      <w:sz w:val="32"/>
      <w:szCs w:val="32"/>
    </w:rPr>
  </w:style>
  <w:style w:type="character" w:styleId="730">
    <w:name w:val=" Char Char1"/>
    <w:next w:val="730"/>
    <w:link w:val="729"/>
    <w:rPr>
      <w:rFonts w:ascii="Cambria" w:hAnsi="Cambria"/>
      <w:b/>
      <w:bCs/>
      <w:sz w:val="32"/>
      <w:szCs w:val="32"/>
      <w:lang w:bidi="ar-SA"/>
    </w:rPr>
  </w:style>
  <w:style w:type="paragraph" w:styleId="731">
    <w:name w:val="列表"/>
    <w:basedOn w:val="674"/>
    <w:next w:val="731"/>
    <w:link w:val="674"/>
    <w:pPr>
      <w:ind w:left="200" w:hanging="200"/>
    </w:pPr>
  </w:style>
  <w:style w:type="paragraph" w:styleId="732">
    <w:name w:val="脚注文本"/>
    <w:basedOn w:val="733"/>
    <w:next w:val="735"/>
    <w:link w:val="734"/>
    <w:pPr>
      <w:jc w:val="left"/>
    </w:pPr>
  </w:style>
  <w:style w:type="paragraph" w:styleId="733">
    <w:name w:val="正文_21_0"/>
    <w:next w:val="733"/>
    <w:link w:val="674"/>
    <w:qFormat/>
    <w:pPr>
      <w:jc w:val="both"/>
      <w:widowControl w:val="off"/>
    </w:pPr>
    <w:rPr>
      <w:rFonts w:ascii="Calibri" w:hAnsi="Calibri"/>
      <w:sz w:val="21"/>
      <w:szCs w:val="22"/>
      <w:lang w:val="en-US" w:eastAsia="zh-CN" w:bidi="ar-SA"/>
    </w:rPr>
  </w:style>
  <w:style w:type="character" w:styleId="734">
    <w:name w:val=" Char Char"/>
    <w:next w:val="734"/>
    <w:link w:val="732"/>
    <w:rPr>
      <w:rFonts w:ascii="Calibri" w:hAnsi="Calibri" w:eastAsia="宋体"/>
      <w:sz w:val="21"/>
      <w:szCs w:val="22"/>
      <w:lang w:val="en-US" w:eastAsia="zh-CN" w:bidi="ar-SA"/>
    </w:rPr>
  </w:style>
  <w:style w:type="paragraph" w:styleId="735">
    <w:name w:val="正文_21"/>
    <w:next w:val="735"/>
    <w:link w:val="674"/>
    <w:qFormat/>
    <w:pPr>
      <w:jc w:val="both"/>
      <w:widowControl w:val="off"/>
    </w:pPr>
    <w:rPr>
      <w:rFonts w:ascii="Calibri" w:hAnsi="Calibri"/>
      <w:sz w:val="21"/>
      <w:szCs w:val="22"/>
      <w:lang w:val="en-US" w:eastAsia="zh-CN" w:bidi="ar-SA"/>
    </w:rPr>
  </w:style>
  <w:style w:type="paragraph" w:styleId="736">
    <w:name w:val="目录 6"/>
    <w:basedOn w:val="674"/>
    <w:next w:val="674"/>
    <w:link w:val="674"/>
    <w:semiHidden/>
    <w:pPr>
      <w:ind w:left="1050"/>
      <w:jc w:val="left"/>
    </w:pPr>
  </w:style>
  <w:style w:type="paragraph" w:styleId="737">
    <w:name w:val="正文文本缩进 3"/>
    <w:basedOn w:val="674"/>
    <w:next w:val="737"/>
    <w:link w:val="738"/>
    <w:pPr>
      <w:ind w:left="645" w:firstLine="645"/>
    </w:pPr>
    <w:rPr>
      <w:rFonts w:ascii="Arial" w:hAnsi="Arial" w:eastAsia="仿宋_GB2312" w:cs="Arial"/>
      <w:color w:val="ffff00"/>
      <w:sz w:val="32"/>
      <w:szCs w:val="32"/>
    </w:rPr>
  </w:style>
  <w:style w:type="character" w:styleId="738">
    <w:name w:val=" Char Char7"/>
    <w:next w:val="738"/>
    <w:link w:val="737"/>
    <w:rPr>
      <w:rFonts w:ascii="Arial" w:hAnsi="Arial" w:eastAsia="仿宋_GB2312" w:cs="Arial"/>
      <w:color w:val="ffff00"/>
      <w:sz w:val="32"/>
      <w:szCs w:val="32"/>
    </w:rPr>
  </w:style>
  <w:style w:type="paragraph" w:styleId="739">
    <w:name w:val="图表目录"/>
    <w:basedOn w:val="674"/>
    <w:next w:val="674"/>
    <w:link w:val="674"/>
    <w:semiHidden/>
    <w:pPr>
      <w:ind w:left="840" w:hanging="420"/>
    </w:pPr>
  </w:style>
  <w:style w:type="paragraph" w:styleId="740">
    <w:name w:val="目录 2"/>
    <w:basedOn w:val="674"/>
    <w:next w:val="674"/>
    <w:link w:val="674"/>
    <w:semiHidden/>
    <w:pPr>
      <w:ind w:left="210"/>
      <w:jc w:val="left"/>
    </w:pPr>
    <w:rPr>
      <w:smallCaps/>
      <w:szCs w:val="24"/>
    </w:rPr>
  </w:style>
  <w:style w:type="paragraph" w:styleId="741">
    <w:name w:val="目录 9"/>
    <w:basedOn w:val="674"/>
    <w:next w:val="674"/>
    <w:link w:val="674"/>
    <w:semiHidden/>
    <w:pPr>
      <w:ind w:left="1680"/>
      <w:jc w:val="left"/>
    </w:pPr>
  </w:style>
  <w:style w:type="paragraph" w:styleId="742">
    <w:name w:val="正文文本 2"/>
    <w:basedOn w:val="674"/>
    <w:next w:val="742"/>
    <w:link w:val="743"/>
    <w:pPr>
      <w:jc w:val="center"/>
      <w:widowControl/>
    </w:pPr>
    <w:rPr>
      <w:rFonts w:ascii="楷体_GB2312" w:eastAsia="楷体_GB2312"/>
      <w:sz w:val="28"/>
      <w:szCs w:val="28"/>
    </w:rPr>
  </w:style>
  <w:style w:type="character" w:styleId="743">
    <w:name w:val=" Char Char6"/>
    <w:next w:val="743"/>
    <w:link w:val="742"/>
    <w:rPr>
      <w:rFonts w:ascii="楷体_GB2312" w:hAnsi="Times New Roman" w:eastAsia="楷体_GB2312" w:cs="Times New Roman"/>
      <w:sz w:val="28"/>
      <w:szCs w:val="28"/>
    </w:rPr>
  </w:style>
  <w:style w:type="paragraph" w:styleId="744">
    <w:name w:val="列表接续 2"/>
    <w:basedOn w:val="674"/>
    <w:next w:val="744"/>
    <w:link w:val="674"/>
    <w:pPr>
      <w:ind w:left="840"/>
      <w:spacing w:after="120"/>
    </w:pPr>
    <w:rPr>
      <w:rFonts w:ascii="Calibri" w:hAnsi="Calibri"/>
      <w:szCs w:val="20"/>
    </w:rPr>
  </w:style>
  <w:style w:type="paragraph" w:styleId="745">
    <w:name w:val="普通(网站)"/>
    <w:basedOn w:val="674"/>
    <w:next w:val="745"/>
    <w:link w:val="674"/>
    <w:uiPriority w:val="99"/>
    <w:pPr>
      <w:jc w:val="left"/>
      <w:spacing w:before="100" w:beforeAutospacing="1" w:after="100" w:afterAutospacing="1"/>
      <w:widowControl/>
    </w:pPr>
    <w:rPr>
      <w:rFonts w:ascii="宋体" w:hAnsi="宋体" w:cs="宋体"/>
      <w:sz w:val="24"/>
      <w:szCs w:val="24"/>
    </w:rPr>
  </w:style>
  <w:style w:type="paragraph" w:styleId="746">
    <w:name w:val="索引 1"/>
    <w:basedOn w:val="674"/>
    <w:next w:val="674"/>
    <w:link w:val="674"/>
    <w:semiHidden/>
    <w:pPr>
      <w:spacing w:line="240" w:lineRule="atLeast"/>
    </w:pPr>
    <w:rPr>
      <w:b/>
      <w:bCs/>
    </w:rPr>
  </w:style>
  <w:style w:type="paragraph" w:styleId="747">
    <w:name w:val="标题"/>
    <w:basedOn w:val="674"/>
    <w:next w:val="674"/>
    <w:link w:val="748"/>
    <w:qFormat/>
    <w:pPr>
      <w:jc w:val="center"/>
      <w:spacing w:before="240" w:after="60" w:line="520" w:lineRule="exact"/>
      <w:outlineLvl w:val="0"/>
    </w:pPr>
    <w:rPr>
      <w:rFonts w:ascii="Cambria" w:hAnsi="Cambria"/>
      <w:b/>
      <w:bCs/>
      <w:sz w:val="32"/>
      <w:szCs w:val="32"/>
    </w:rPr>
  </w:style>
  <w:style w:type="character" w:styleId="748">
    <w:name w:val=" Char Char2"/>
    <w:next w:val="748"/>
    <w:link w:val="747"/>
    <w:rPr>
      <w:rFonts w:ascii="Cambria" w:hAnsi="Cambria" w:eastAsia="宋体"/>
      <w:b/>
      <w:bCs/>
      <w:sz w:val="32"/>
      <w:szCs w:val="32"/>
      <w:lang w:bidi="ar-SA"/>
    </w:rPr>
  </w:style>
  <w:style w:type="paragraph" w:styleId="749">
    <w:name w:val="批注主题"/>
    <w:basedOn w:val="702"/>
    <w:next w:val="702"/>
    <w:link w:val="750"/>
    <w:semiHidden/>
    <w:rPr>
      <w:b/>
      <w:bCs/>
    </w:rPr>
  </w:style>
  <w:style w:type="character" w:styleId="750">
    <w:name w:val=" Char Char5"/>
    <w:next w:val="750"/>
    <w:link w:val="749"/>
    <w:semiHidden/>
    <w:rPr>
      <w:rFonts w:ascii="Times New Roman" w:hAnsi="Times New Roman" w:eastAsia="宋体" w:cs="Times New Roman"/>
      <w:b/>
      <w:bCs/>
      <w:szCs w:val="21"/>
    </w:rPr>
  </w:style>
  <w:style w:type="paragraph" w:styleId="751">
    <w:name w:val="正文首行缩进"/>
    <w:basedOn w:val="674"/>
    <w:next w:val="751"/>
    <w:link w:val="752"/>
    <w:pPr>
      <w:ind w:firstLine="200"/>
      <w:spacing w:line="360" w:lineRule="auto"/>
    </w:pPr>
    <w:rPr>
      <w:rFonts w:ascii="仿宋_GB2312" w:eastAsia="仿宋_GB2312"/>
      <w:sz w:val="30"/>
      <w:szCs w:val="30"/>
    </w:rPr>
  </w:style>
  <w:style w:type="character" w:styleId="752">
    <w:name w:val=" Char Char4"/>
    <w:next w:val="752"/>
    <w:link w:val="751"/>
    <w:rPr>
      <w:rFonts w:ascii="仿宋_GB2312" w:hAnsi="Times New Roman" w:eastAsia="仿宋_GB2312" w:cs="Times New Roman"/>
      <w:sz w:val="30"/>
      <w:szCs w:val="30"/>
    </w:rPr>
  </w:style>
  <w:style w:type="paragraph" w:styleId="753">
    <w:name w:val="正文首行缩进 2"/>
    <w:basedOn w:val="708"/>
    <w:next w:val="753"/>
    <w:link w:val="754"/>
    <w:pPr>
      <w:ind w:firstLine="420"/>
      <w:spacing w:line="360" w:lineRule="auto"/>
    </w:pPr>
    <w:rPr>
      <w:rFonts w:ascii="宋体" w:hAnsi="宋体" w:eastAsia="宋体"/>
      <w:sz w:val="21"/>
      <w:szCs w:val="20"/>
    </w:rPr>
  </w:style>
  <w:style w:type="character" w:styleId="754">
    <w:name w:val=" Char Char3"/>
    <w:next w:val="754"/>
    <w:link w:val="753"/>
    <w:rPr>
      <w:rFonts w:ascii="宋体" w:hAnsi="宋体" w:eastAsia="宋体" w:cs="Times New Roman"/>
      <w:sz w:val="32"/>
      <w:szCs w:val="20"/>
    </w:rPr>
  </w:style>
  <w:style w:type="table" w:styleId="755">
    <w:name w:val="网格型"/>
    <w:basedOn w:val="685"/>
    <w:next w:val="755"/>
    <w:link w:val="674"/>
    <w:pPr>
      <w:jc w:val="both"/>
      <w:widowControl w:val="off"/>
    </w:pPr>
    <w:rPr>
      <w:rFonts w:ascii="Times New Roman" w:hAnsi="Times New Roman" w:eastAsia="宋体" w:cs="Times New Roman"/>
      <w:sz w:val="20"/>
      <w:szCs w:val="20"/>
    </w:rPr>
    <w:tblPr/>
  </w:style>
  <w:style w:type="character" w:styleId="756">
    <w:name w:val="要点"/>
    <w:next w:val="756"/>
    <w:link w:val="674"/>
    <w:qFormat/>
    <w:rPr>
      <w:b/>
      <w:bCs/>
    </w:rPr>
  </w:style>
  <w:style w:type="character" w:styleId="757">
    <w:name w:val="页码"/>
    <w:next w:val="757"/>
    <w:link w:val="674"/>
  </w:style>
  <w:style w:type="character" w:styleId="758">
    <w:name w:val="已访问的超链接"/>
    <w:next w:val="758"/>
    <w:link w:val="674"/>
    <w:rPr>
      <w:color w:val="800080"/>
      <w:u w:val="none"/>
    </w:rPr>
  </w:style>
  <w:style w:type="character" w:styleId="759">
    <w:name w:val="强调"/>
    <w:next w:val="759"/>
    <w:link w:val="674"/>
    <w:uiPriority w:val="20"/>
    <w:qFormat/>
    <w:rPr>
      <w:b w:val="0"/>
      <w:bCs w:val="0"/>
      <w:i w:val="0"/>
      <w:iCs w:val="0"/>
    </w:rPr>
  </w:style>
  <w:style w:type="character" w:styleId="760">
    <w:name w:val="HTML 定义"/>
    <w:next w:val="760"/>
    <w:link w:val="674"/>
    <w:uiPriority w:val="99"/>
    <w:unhideWhenUsed/>
    <w:rPr>
      <w:b w:val="0"/>
      <w:bCs w:val="0"/>
      <w:i w:val="0"/>
      <w:iCs w:val="0"/>
    </w:rPr>
  </w:style>
  <w:style w:type="character" w:styleId="761">
    <w:name w:val="HTML 打字机"/>
    <w:next w:val="761"/>
    <w:link w:val="674"/>
    <w:uiPriority w:val="99"/>
    <w:unhideWhenUsed/>
    <w:rPr>
      <w:rFonts w:ascii="monospace" w:hAnsi="monospace" w:eastAsia="monospace" w:cs="monospace"/>
      <w:sz w:val="20"/>
    </w:rPr>
  </w:style>
  <w:style w:type="character" w:styleId="762">
    <w:name w:val="HTML 缩写"/>
    <w:next w:val="762"/>
    <w:link w:val="674"/>
    <w:uiPriority w:val="99"/>
    <w:unhideWhenUsed/>
  </w:style>
  <w:style w:type="character" w:styleId="763">
    <w:name w:val="HTML 变量"/>
    <w:next w:val="763"/>
    <w:link w:val="674"/>
    <w:uiPriority w:val="99"/>
    <w:unhideWhenUsed/>
    <w:rPr>
      <w:b w:val="0"/>
      <w:bCs w:val="0"/>
      <w:i w:val="0"/>
      <w:iCs w:val="0"/>
    </w:rPr>
  </w:style>
  <w:style w:type="character" w:styleId="764">
    <w:name w:val="超链接"/>
    <w:next w:val="764"/>
    <w:link w:val="674"/>
    <w:rPr>
      <w:color w:val="0000ff"/>
      <w:u w:val="none"/>
    </w:rPr>
  </w:style>
  <w:style w:type="character" w:styleId="765">
    <w:name w:val="HTML 代码"/>
    <w:next w:val="765"/>
    <w:link w:val="674"/>
    <w:uiPriority w:val="99"/>
    <w:unhideWhenUsed/>
    <w:rPr>
      <w:rFonts w:ascii="monospace" w:hAnsi="monospace" w:eastAsia="monospace" w:cs="monospace"/>
      <w:b w:val="0"/>
      <w:bCs w:val="0"/>
      <w:i w:val="0"/>
      <w:iCs w:val="0"/>
      <w:sz w:val="20"/>
    </w:rPr>
  </w:style>
  <w:style w:type="character" w:styleId="766">
    <w:name w:val="批注引用"/>
    <w:next w:val="766"/>
    <w:link w:val="674"/>
    <w:semiHidden/>
    <w:rPr>
      <w:sz w:val="21"/>
      <w:szCs w:val="21"/>
    </w:rPr>
  </w:style>
  <w:style w:type="character" w:styleId="767">
    <w:name w:val="HTML 引文"/>
    <w:next w:val="767"/>
    <w:link w:val="674"/>
    <w:uiPriority w:val="99"/>
    <w:unhideWhenUsed/>
    <w:rPr>
      <w:b w:val="0"/>
      <w:bCs w:val="0"/>
      <w:i w:val="0"/>
      <w:iCs w:val="0"/>
    </w:rPr>
  </w:style>
  <w:style w:type="character" w:styleId="768">
    <w:name w:val="HTML 键盘"/>
    <w:next w:val="768"/>
    <w:link w:val="674"/>
    <w:uiPriority w:val="99"/>
    <w:unhideWhenUsed/>
    <w:rPr>
      <w:rFonts w:ascii="monospace" w:hAnsi="monospace" w:eastAsia="monospace" w:cs="monospace"/>
      <w:sz w:val="20"/>
    </w:rPr>
  </w:style>
  <w:style w:type="character" w:styleId="769">
    <w:name w:val="HTML 样本"/>
    <w:next w:val="769"/>
    <w:link w:val="674"/>
    <w:uiPriority w:val="99"/>
    <w:unhideWhenUsed/>
    <w:rPr>
      <w:rFonts w:ascii="monospace" w:hAnsi="monospace" w:eastAsia="monospace" w:cs="monospace"/>
    </w:rPr>
  </w:style>
  <w:style w:type="paragraph" w:styleId="770">
    <w:name w:val="正文空2字"/>
    <w:basedOn w:val="771"/>
    <w:next w:val="770"/>
    <w:link w:val="674"/>
    <w:uiPriority w:val="99"/>
    <w:qFormat/>
    <w:pPr>
      <w:ind w:firstLine="640"/>
      <w:spacing w:line="560" w:lineRule="exact"/>
      <w:widowControl w:val="off"/>
    </w:pPr>
    <w:rPr>
      <w:rFonts w:ascii="仿宋_GB2312" w:hAnsi="仿宋_GB2312" w:cs="仿宋_GB2312"/>
      <w:lang w:val="zh-TW"/>
    </w:rPr>
  </w:style>
  <w:style w:type="paragraph" w:styleId="771">
    <w:name w:val="左对齐正文"/>
    <w:next w:val="771"/>
    <w:link w:val="674"/>
    <w:uiPriority w:val="99"/>
    <w:qFormat/>
    <w:rPr>
      <w:rFonts w:ascii="Calibri" w:hAnsi="Calibri" w:eastAsia="仿宋_GB2312" w:cs="Calibri"/>
      <w:sz w:val="32"/>
      <w:szCs w:val="32"/>
      <w:lang w:val="en-US" w:eastAsia="zh-CN" w:bidi="ar-SA"/>
    </w:rPr>
  </w:style>
  <w:style w:type="paragraph" w:styleId="772">
    <w:name w:val="索引 41"/>
    <w:basedOn w:val="674"/>
    <w:next w:val="674"/>
    <w:link w:val="674"/>
    <w:semiHidden/>
    <w:qFormat/>
    <w:pPr>
      <w:ind w:left="1260"/>
    </w:pPr>
    <w:rPr>
      <w:rFonts w:ascii="Calibri" w:hAnsi="Calibri" w:eastAsia="Calibri" w:cs="宋体"/>
      <w:sz w:val="20"/>
      <w:lang w:val="zh-CN"/>
    </w:rPr>
  </w:style>
  <w:style w:type="character" w:styleId="773">
    <w:name w:val="font5 Char"/>
    <w:next w:val="773"/>
    <w:link w:val="674"/>
    <w:rPr>
      <w:rFonts w:ascii="宋体" w:hAnsi="宋体" w:eastAsia="宋体"/>
      <w:sz w:val="28"/>
      <w:szCs w:val="28"/>
      <w:lang w:val="en-US" w:eastAsia="zh-CN" w:bidi="ar-SA"/>
    </w:rPr>
  </w:style>
  <w:style w:type="character" w:styleId="774">
    <w:name w:val="二级目录 Char"/>
    <w:next w:val="774"/>
    <w:link w:val="775"/>
    <w:rPr>
      <w:b/>
      <w:sz w:val="30"/>
      <w:szCs w:val="28"/>
    </w:rPr>
  </w:style>
  <w:style w:type="paragraph" w:styleId="775">
    <w:name w:val="二级目录"/>
    <w:next w:val="674"/>
    <w:link w:val="774"/>
    <w:pPr>
      <w:numPr>
        <w:ilvl w:val="0"/>
        <w:numId w:val="2"/>
      </w:numPr>
      <w:tabs>
        <w:tab w:val="left" w:pos="907" w:leader="none"/>
        <w:tab w:val="left" w:pos="1145" w:leader="none"/>
      </w:tabs>
      <w:outlineLvl w:val="1"/>
    </w:pPr>
    <w:rPr>
      <w:b/>
      <w:sz w:val="30"/>
      <w:szCs w:val="28"/>
      <w:lang w:val="en-US" w:eastAsia="zh-CN" w:bidi="ar-SA"/>
    </w:rPr>
  </w:style>
  <w:style w:type="character" w:styleId="776">
    <w:name w:val="列出段落 Char,Bullet List Char,numbered Char,FooterText Char,List Paragraph1 Char,Paragraphe de liste1 Char"/>
    <w:next w:val="776"/>
    <w:link w:val="777"/>
    <w:rPr>
      <w:rFonts w:ascii="Calibri" w:hAnsi="Calibri"/>
      <w:sz w:val="24"/>
      <w:szCs w:val="24"/>
      <w:lang w:eastAsia="en-US" w:bidi="en-US"/>
    </w:rPr>
  </w:style>
  <w:style w:type="paragraph" w:styleId="777">
    <w:name w:val="列出段落1"/>
    <w:basedOn w:val="674"/>
    <w:next w:val="777"/>
    <w:link w:val="776"/>
    <w:qFormat/>
    <w:pPr>
      <w:contextualSpacing/>
      <w:ind w:left="720"/>
      <w:jc w:val="left"/>
      <w:widowControl/>
    </w:pPr>
    <w:rPr>
      <w:rFonts w:ascii="Calibri" w:hAnsi="Calibri" w:eastAsia="宋体" w:cs="Times New Roman"/>
      <w:sz w:val="24"/>
      <w:szCs w:val="24"/>
      <w:lang w:eastAsia="en-US" w:bidi="en-US"/>
    </w:rPr>
  </w:style>
  <w:style w:type="paragraph" w:styleId="778">
    <w:name w:val="Body Text(ch)"/>
    <w:basedOn w:val="674"/>
    <w:next w:val="706"/>
    <w:link w:val="674"/>
    <w:pPr>
      <w:spacing w:after="120"/>
    </w:pPr>
    <w:rPr>
      <w:rFonts w:ascii="宋体" w:hAnsi="Arial"/>
      <w:bCs/>
      <w:iCs/>
      <w:szCs w:val="24"/>
    </w:rPr>
  </w:style>
  <w:style w:type="paragraph" w:styleId="779">
    <w:name w:val="xl27"/>
    <w:basedOn w:val="674"/>
    <w:next w:val="779"/>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0">
    <w:name w:val="xl26"/>
    <w:basedOn w:val="674"/>
    <w:next w:val="780"/>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1">
    <w:name w:val="Char"/>
    <w:basedOn w:val="674"/>
    <w:next w:val="781"/>
    <w:link w:val="674"/>
    <w:pPr>
      <w:ind w:firstLine="200"/>
      <w:tabs>
        <w:tab w:val="left" w:pos="360" w:leader="none"/>
      </w:tabs>
    </w:pPr>
    <w:rPr>
      <w:sz w:val="28"/>
      <w:szCs w:val="30"/>
    </w:rPr>
  </w:style>
  <w:style w:type="paragraph" w:styleId="782">
    <w:name w:val=" Char"/>
    <w:basedOn w:val="700"/>
    <w:next w:val="782"/>
    <w:link w:val="674"/>
    <w:rPr>
      <w:rFonts w:ascii="Tahoma" w:hAnsi="Tahoma"/>
      <w:sz w:val="24"/>
      <w:szCs w:val="24"/>
    </w:rPr>
  </w:style>
  <w:style w:type="paragraph" w:styleId="783">
    <w:name w:val="普通正文"/>
    <w:basedOn w:val="674"/>
    <w:next w:val="783"/>
    <w:link w:val="674"/>
    <w:pPr>
      <w:ind w:firstLine="480"/>
      <w:jc w:val="left"/>
      <w:spacing w:before="120" w:after="120" w:line="360" w:lineRule="auto"/>
    </w:pPr>
    <w:rPr>
      <w:rFonts w:ascii="Arial" w:hAnsi="Arial"/>
      <w:sz w:val="24"/>
      <w:szCs w:val="24"/>
    </w:rPr>
  </w:style>
  <w:style w:type="paragraph" w:styleId="784">
    <w:name w:val="table_lines"/>
    <w:basedOn w:val="674"/>
    <w:next w:val="784"/>
    <w:link w:val="674"/>
    <w:pPr>
      <w:jc w:val="left"/>
      <w:widowControl/>
    </w:pPr>
    <w:rPr>
      <w:sz w:val="20"/>
      <w:szCs w:val="20"/>
      <w:lang w:val="de-DE" w:eastAsia="de-DE"/>
    </w:rPr>
  </w:style>
  <w:style w:type="paragraph" w:styleId="785">
    <w:name w:val="附录1"/>
    <w:next w:val="785"/>
    <w:link w:val="674"/>
    <w:pPr>
      <w:numPr>
        <w:ilvl w:val="0"/>
        <w:numId w:val="2"/>
      </w:numPr>
      <w:spacing w:before="240" w:line="600" w:lineRule="atLeast"/>
      <w:tabs>
        <w:tab w:val="left" w:pos="907" w:leader="none"/>
      </w:tabs>
    </w:pPr>
    <w:rPr>
      <w:b/>
      <w:i/>
      <w:sz w:val="28"/>
      <w:lang w:val="en-US" w:eastAsia="zh-CN" w:bidi="ar-SA"/>
    </w:rPr>
  </w:style>
  <w:style w:type="paragraph" w:styleId="786">
    <w:name w:val="font7"/>
    <w:basedOn w:val="674"/>
    <w:next w:val="786"/>
    <w:link w:val="674"/>
    <w:pPr>
      <w:jc w:val="left"/>
      <w:spacing w:before="100" w:beforeAutospacing="1" w:after="100" w:afterAutospacing="1"/>
      <w:widowControl/>
    </w:pPr>
    <w:rPr>
      <w:rFonts w:hint="eastAsia" w:ascii="宋体" w:hAnsi="宋体"/>
      <w:sz w:val="18"/>
      <w:szCs w:val="18"/>
    </w:rPr>
  </w:style>
  <w:style w:type="paragraph" w:styleId="787">
    <w:name w:val=" Char Char Char Char"/>
    <w:basedOn w:val="700"/>
    <w:next w:val="787"/>
    <w:link w:val="674"/>
    <w:pPr>
      <w:spacing w:line="360" w:lineRule="auto"/>
    </w:pPr>
    <w:rPr>
      <w:rFonts w:ascii="Tahoma" w:hAnsi="Tahoma"/>
      <w:sz w:val="24"/>
      <w:szCs w:val="24"/>
    </w:rPr>
  </w:style>
  <w:style w:type="paragraph" w:styleId="788">
    <w:name w:val="列出段落"/>
    <w:basedOn w:val="674"/>
    <w:next w:val="788"/>
    <w:link w:val="674"/>
    <w:qFormat/>
    <w:pPr>
      <w:contextualSpacing/>
      <w:ind w:left="720"/>
      <w:jc w:val="left"/>
      <w:widowControl/>
    </w:pPr>
    <w:rPr>
      <w:rFonts w:ascii="Calibri" w:hAnsi="Calibri"/>
      <w:sz w:val="24"/>
      <w:szCs w:val="24"/>
      <w:lang w:eastAsia="en-US" w:bidi="en-US"/>
    </w:rPr>
  </w:style>
  <w:style w:type="paragraph" w:styleId="789">
    <w:name w:val="4"/>
    <w:basedOn w:val="674"/>
    <w:next w:val="737"/>
    <w:link w:val="674"/>
    <w:pPr>
      <w:ind w:firstLine="420"/>
      <w:spacing w:line="360" w:lineRule="auto"/>
    </w:pPr>
    <w:rPr>
      <w:color w:val="ff0000"/>
      <w:sz w:val="24"/>
      <w:szCs w:val="24"/>
    </w:rPr>
  </w:style>
  <w:style w:type="paragraph" w:styleId="790">
    <w:name w:val="普通 (Web)"/>
    <w:basedOn w:val="674"/>
    <w:next w:val="790"/>
    <w:link w:val="674"/>
    <w:pPr>
      <w:jc w:val="left"/>
      <w:spacing w:before="100" w:beforeAutospacing="1" w:after="100" w:afterAutospacing="1"/>
      <w:widowControl/>
    </w:pPr>
    <w:rPr>
      <w:rFonts w:ascii="宋体" w:hAnsi="宋体"/>
      <w:sz w:val="24"/>
      <w:szCs w:val="24"/>
    </w:rPr>
  </w:style>
  <w:style w:type="paragraph" w:styleId="791">
    <w:name w:val=" Char Char Char Char Char Char Char Char Char Char"/>
    <w:basedOn w:val="674"/>
    <w:next w:val="791"/>
    <w:link w:val="674"/>
    <w:pPr>
      <w:spacing w:line="360" w:lineRule="auto"/>
    </w:pPr>
    <w:rPr>
      <w:sz w:val="24"/>
      <w:szCs w:val="20"/>
    </w:rPr>
  </w:style>
  <w:style w:type="paragraph" w:styleId="792">
    <w:name w:val="样式1"/>
    <w:basedOn w:val="674"/>
    <w:next w:val="792"/>
    <w:link w:val="674"/>
    <w:pPr>
      <w:numPr>
        <w:ilvl w:val="0"/>
        <w:numId w:val="3"/>
      </w:numPr>
      <w:tabs>
        <w:tab w:val="left" w:pos="709" w:leader="none"/>
      </w:tabs>
    </w:pPr>
    <w:rPr>
      <w:rFonts w:ascii="宋体" w:hAnsi="宋体"/>
    </w:rPr>
  </w:style>
  <w:style w:type="paragraph" w:styleId="793">
    <w:name w:val="font6"/>
    <w:basedOn w:val="674"/>
    <w:next w:val="793"/>
    <w:link w:val="674"/>
    <w:pPr>
      <w:jc w:val="left"/>
      <w:spacing w:before="100" w:beforeAutospacing="1" w:after="100" w:afterAutospacing="1"/>
      <w:widowControl/>
    </w:pPr>
    <w:rPr>
      <w:rFonts w:hint="eastAsia" w:ascii="宋体" w:hAnsi="宋体"/>
      <w:sz w:val="28"/>
      <w:szCs w:val="28"/>
      <w:u w:val="single"/>
    </w:rPr>
  </w:style>
  <w:style w:type="paragraph" w:styleId="794">
    <w:name w:val="xl25"/>
    <w:basedOn w:val="674"/>
    <w:next w:val="794"/>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5">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6">
    <w:name w:val="标题3"/>
    <w:basedOn w:val="674"/>
    <w:next w:val="674"/>
    <w:link w:val="674"/>
    <w:pPr>
      <w:ind w:firstLine="624"/>
      <w:spacing w:line="590" w:lineRule="atLeast"/>
    </w:pPr>
    <w:rPr>
      <w:rFonts w:ascii="方正黑体_GBK" w:eastAsia="方正黑体_GBK"/>
      <w:sz w:val="32"/>
      <w:szCs w:val="32"/>
    </w:rPr>
  </w:style>
  <w:style w:type="paragraph" w:styleId="797">
    <w:name w:val="xl24"/>
    <w:basedOn w:val="674"/>
    <w:next w:val="797"/>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8">
    <w:name w:val="xl29"/>
    <w:basedOn w:val="674"/>
    <w:next w:val="798"/>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9">
    <w:name w:val="Char Char Char Char Char Char Char Char"/>
    <w:basedOn w:val="674"/>
    <w:next w:val="799"/>
    <w:link w:val="674"/>
    <w:pPr>
      <w:jc w:val="left"/>
      <w:spacing w:after="160" w:line="240" w:lineRule="exact"/>
      <w:widowControl/>
    </w:pPr>
    <w:rPr>
      <w:rFonts w:ascii="Verdana" w:hAnsi="Verdana"/>
      <w:sz w:val="20"/>
      <w:szCs w:val="20"/>
      <w:lang w:eastAsia="en-US"/>
    </w:rPr>
  </w:style>
  <w:style w:type="paragraph" w:styleId="800">
    <w:name w:val="xl28"/>
    <w:basedOn w:val="674"/>
    <w:next w:val="800"/>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1">
    <w:name w:val=" Char Char Char Char Char Char Char Char"/>
    <w:basedOn w:val="674"/>
    <w:next w:val="801"/>
    <w:link w:val="674"/>
    <w:pPr>
      <w:jc w:val="left"/>
      <w:spacing w:after="160" w:line="240" w:lineRule="exact"/>
      <w:widowControl/>
    </w:pPr>
    <w:rPr>
      <w:rFonts w:ascii="Verdana" w:hAnsi="Verdana"/>
      <w:sz w:val="20"/>
      <w:szCs w:val="20"/>
      <w:lang w:eastAsia="en-US"/>
    </w:rPr>
  </w:style>
  <w:style w:type="paragraph" w:styleId="802">
    <w:name w:val="xl30"/>
    <w:basedOn w:val="674"/>
    <w:next w:val="802"/>
    <w:link w:val="674"/>
    <w:pPr>
      <w:jc w:val="center"/>
      <w:spacing w:before="100" w:beforeAutospacing="1" w:after="100" w:afterAutospacing="1"/>
      <w:widowControl/>
    </w:pPr>
    <w:rPr>
      <w:rFonts w:ascii="宋体" w:hAnsi="宋体"/>
      <w:b/>
      <w:bCs/>
      <w:sz w:val="36"/>
      <w:szCs w:val="36"/>
    </w:rPr>
  </w:style>
  <w:style w:type="paragraph" w:styleId="803">
    <w:name w:val="Char Char Char Char"/>
    <w:basedOn w:val="700"/>
    <w:next w:val="803"/>
    <w:link w:val="674"/>
    <w:pPr>
      <w:spacing w:line="360" w:lineRule="auto"/>
    </w:pPr>
    <w:rPr>
      <w:rFonts w:ascii="Tahoma" w:hAnsi="Tahoma"/>
      <w:sz w:val="24"/>
      <w:szCs w:val="24"/>
    </w:rPr>
  </w:style>
  <w:style w:type="paragraph" w:styleId="804">
    <w:name w:val="table_1stline"/>
    <w:basedOn w:val="674"/>
    <w:next w:val="804"/>
    <w:link w:val="674"/>
    <w:pPr>
      <w:jc w:val="left"/>
      <w:spacing w:before="120"/>
      <w:widowControl/>
    </w:pPr>
    <w:rPr>
      <w:bCs/>
      <w:sz w:val="20"/>
      <w:szCs w:val="20"/>
      <w:lang w:val="de-DE" w:eastAsia="de-DE"/>
    </w:rPr>
  </w:style>
  <w:style w:type="paragraph" w:styleId="805">
    <w:name w:val="font5"/>
    <w:basedOn w:val="674"/>
    <w:next w:val="805"/>
    <w:link w:val="674"/>
    <w:pPr>
      <w:jc w:val="left"/>
      <w:spacing w:before="100" w:beforeAutospacing="1" w:after="100" w:afterAutospacing="1"/>
      <w:widowControl/>
    </w:pPr>
    <w:rPr>
      <w:rFonts w:hint="eastAsia" w:ascii="宋体" w:hAnsi="宋体"/>
      <w:sz w:val="28"/>
      <w:szCs w:val="28"/>
    </w:rPr>
  </w:style>
  <w:style w:type="paragraph" w:styleId="806">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807">
    <w:name w:val="修订"/>
    <w:next w:val="807"/>
    <w:link w:val="674"/>
    <w:uiPriority w:val="99"/>
    <w:semiHidden/>
    <w:rPr>
      <w:sz w:val="21"/>
      <w:szCs w:val="21"/>
      <w:lang w:val="en-US" w:eastAsia="zh-CN" w:bidi="ar-SA"/>
    </w:rPr>
  </w:style>
  <w:style w:type="paragraph" w:styleId="808">
    <w:name w:val="无间隔"/>
    <w:next w:val="808"/>
    <w:link w:val="809"/>
    <w:uiPriority w:val="99"/>
    <w:qFormat/>
    <w:pPr>
      <w:jc w:val="both"/>
      <w:widowControl w:val="off"/>
    </w:pPr>
    <w:rPr>
      <w:sz w:val="21"/>
      <w:szCs w:val="21"/>
      <w:lang w:val="en-US" w:eastAsia="zh-CN" w:bidi="ar-SA"/>
    </w:rPr>
  </w:style>
  <w:style w:type="character" w:styleId="809">
    <w:name w:val="无间隔 Char"/>
    <w:next w:val="809"/>
    <w:link w:val="808"/>
    <w:rPr>
      <w:rFonts w:eastAsia="宋体"/>
      <w:sz w:val="21"/>
      <w:szCs w:val="21"/>
      <w:lang w:val="en-US" w:eastAsia="zh-CN" w:bidi="ar-SA"/>
    </w:rPr>
  </w:style>
  <w:style w:type="table" w:styleId="810">
    <w:name w:val="Table Normal"/>
    <w:next w:val="810"/>
    <w:link w:val="674"/>
    <w:qFormat/>
    <w:rPr>
      <w:lang w:val="en-US" w:eastAsia="zh-CN" w:bidi="ar-SA"/>
    </w:rPr>
    <w:tblPr/>
  </w:style>
  <w:style w:type="paragraph" w:styleId="811">
    <w:name w:val="Normal_5_0"/>
    <w:next w:val="811"/>
    <w:link w:val="674"/>
    <w:qFormat/>
    <w:pPr>
      <w:jc w:val="both"/>
      <w:widowControl w:val="off"/>
    </w:pPr>
    <w:rPr>
      <w:rFonts w:ascii="Calibri" w:hAnsi="Calibri"/>
      <w:sz w:val="21"/>
      <w:szCs w:val="22"/>
      <w:lang w:val="en-US" w:eastAsia="zh-CN" w:bidi="ar-SA"/>
    </w:rPr>
  </w:style>
  <w:style w:type="paragraph" w:styleId="812">
    <w:name w:val="Normal_6_0"/>
    <w:next w:val="812"/>
    <w:link w:val="674"/>
    <w:qFormat/>
    <w:rPr>
      <w:rFonts w:ascii="黑体" w:hAnsi="黑体" w:eastAsia="黑体" w:cs="黑体"/>
      <w:b/>
      <w:sz w:val="32"/>
      <w:szCs w:val="24"/>
      <w:lang w:val="en-US" w:eastAsia="zh-CN" w:bidi="ar-SA"/>
    </w:rPr>
  </w:style>
  <w:style w:type="paragraph" w:styleId="813">
    <w:name w:val="Normal_1_2"/>
    <w:next w:val="813"/>
    <w:link w:val="674"/>
    <w:qFormat/>
    <w:rPr>
      <w:rFonts w:eastAsia="Times New Roman"/>
      <w:sz w:val="24"/>
      <w:szCs w:val="24"/>
      <w:lang w:val="en-US" w:eastAsia="zh-CN" w:bidi="ar-SA"/>
    </w:rPr>
  </w:style>
  <w:style w:type="paragraph" w:styleId="814">
    <w:name w:val="正文_2"/>
    <w:next w:val="814"/>
    <w:link w:val="674"/>
    <w:qFormat/>
    <w:pPr>
      <w:jc w:val="both"/>
      <w:widowControl w:val="off"/>
    </w:pPr>
    <w:rPr>
      <w:rFonts w:ascii="Calibri" w:hAnsi="Calibri"/>
      <w:sz w:val="21"/>
      <w:szCs w:val="22"/>
      <w:lang w:val="en-US" w:eastAsia="zh-CN" w:bidi="ar-SA"/>
    </w:rPr>
  </w:style>
  <w:style w:type="paragraph" w:styleId="815">
    <w:name w:val="正文文本12"/>
    <w:basedOn w:val="674"/>
    <w:next w:val="815"/>
    <w:link w:val="674"/>
    <w:uiPriority w:val="1"/>
    <w:qFormat/>
    <w:pPr>
      <w:ind w:left="120"/>
    </w:pPr>
    <w:rPr>
      <w:rFonts w:ascii="宋体" w:hAnsi="宋体" w:eastAsia="宋体" w:cs="宋体"/>
      <w:sz w:val="21"/>
      <w:szCs w:val="21"/>
      <w:lang w:val="zh-CN" w:eastAsia="zh-CN" w:bidi="zh-CN"/>
    </w:rPr>
  </w:style>
  <w:style w:type="paragraph" w:styleId="816">
    <w:name w:val="正文2"/>
    <w:basedOn w:val="674"/>
    <w:next w:val="816"/>
    <w:link w:val="674"/>
    <w:qFormat/>
    <w:pPr>
      <w:ind w:firstLine="510"/>
      <w:spacing w:before="156" w:line="360" w:lineRule="auto"/>
    </w:pPr>
    <w:rPr>
      <w:sz w:val="24"/>
      <w:szCs w:val="20"/>
    </w:rPr>
  </w:style>
  <w:style w:type="paragraph" w:styleId="817">
    <w:name w:val="首行缩进"/>
    <w:basedOn w:val="674"/>
    <w:next w:val="817"/>
    <w:link w:val="674"/>
    <w:qFormat/>
    <w:pPr>
      <w:ind w:firstLine="480"/>
    </w:pPr>
    <w:rPr>
      <w:rFonts w:ascii="Times New Roman" w:hAnsi="Times New Roman" w:cs="Times New Roman"/>
      <w:lang w:val="zh-CN"/>
    </w:rPr>
  </w:style>
  <w:style w:type="paragraph" w:styleId="818">
    <w:name w:val="Normal_18_0"/>
    <w:next w:val="818"/>
    <w:link w:val="674"/>
    <w:qFormat/>
    <w:rPr>
      <w:rFonts w:ascii="黑体" w:hAnsi="黑体" w:eastAsia="黑体" w:cs="黑体"/>
      <w:b/>
      <w:sz w:val="32"/>
      <w:szCs w:val="24"/>
      <w:lang w:val="en-US" w:eastAsia="zh-CN" w:bidi="ar-SA"/>
    </w:rPr>
  </w:style>
  <w:style w:type="paragraph" w:styleId="819">
    <w:name w:val="正文_12_0_0_0_0"/>
    <w:basedOn w:val="674"/>
    <w:next w:val="819"/>
    <w:link w:val="674"/>
    <w:qFormat/>
    <w:rPr>
      <w:rFonts w:ascii="Times New Roman" w:hAnsi="Times New Roman"/>
      <w:szCs w:val="24"/>
    </w:rPr>
  </w:style>
  <w:style w:type="paragraph" w:styleId="820">
    <w:name w:val="正文_12_0_0_0"/>
    <w:next w:val="820"/>
    <w:link w:val="674"/>
    <w:qFormat/>
    <w:pPr>
      <w:jc w:val="both"/>
      <w:widowControl w:val="off"/>
    </w:pPr>
    <w:rPr>
      <w:sz w:val="21"/>
      <w:szCs w:val="24"/>
      <w:lang w:val="en-US" w:eastAsia="zh-CN" w:bidi="ar-SA"/>
    </w:rPr>
  </w:style>
  <w:style w:type="paragraph" w:styleId="821">
    <w:name w:val="正文_14_0"/>
    <w:next w:val="821"/>
    <w:link w:val="674"/>
    <w:qFormat/>
    <w:pPr>
      <w:jc w:val="both"/>
      <w:widowControl w:val="off"/>
    </w:pPr>
    <w:rPr>
      <w:rFonts w:ascii="Calibri" w:hAnsi="Calibri"/>
      <w:sz w:val="21"/>
      <w:szCs w:val="22"/>
      <w:lang w:val="en-US" w:eastAsia="zh-CN" w:bidi="ar-SA"/>
    </w:rPr>
  </w:style>
  <w:style w:type="paragraph" w:styleId="822">
    <w:name w:val="正文_14_0_0"/>
    <w:next w:val="822"/>
    <w:link w:val="674"/>
    <w:qFormat/>
    <w:pPr>
      <w:jc w:val="both"/>
      <w:widowControl w:val="off"/>
    </w:pPr>
    <w:rPr>
      <w:sz w:val="21"/>
      <w:szCs w:val="24"/>
      <w:lang w:val="en-US" w:eastAsia="zh-CN" w:bidi="ar-SA"/>
    </w:rPr>
  </w:style>
  <w:style w:type="paragraph" w:styleId="823">
    <w:name w:val="Normal_20"/>
    <w:next w:val="823"/>
    <w:link w:val="674"/>
    <w:qFormat/>
    <w:rPr>
      <w:rFonts w:ascii="黑体" w:hAnsi="黑体" w:eastAsia="黑体" w:cs="黑体"/>
      <w:b/>
      <w:sz w:val="32"/>
      <w:szCs w:val="24"/>
      <w:lang w:val="en-US" w:eastAsia="zh-CN" w:bidi="ar-SA"/>
    </w:rPr>
  </w:style>
  <w:style w:type="paragraph" w:styleId="824">
    <w:name w:val="正文_15_0"/>
    <w:next w:val="824"/>
    <w:link w:val="674"/>
    <w:qFormat/>
    <w:pPr>
      <w:jc w:val="both"/>
      <w:widowControl w:val="off"/>
    </w:pPr>
    <w:rPr>
      <w:rFonts w:ascii="Calibri" w:hAnsi="Calibri"/>
      <w:sz w:val="21"/>
      <w:szCs w:val="22"/>
      <w:lang w:val="en-US" w:eastAsia="zh-CN" w:bidi="ar-SA"/>
    </w:rPr>
  </w:style>
  <w:style w:type="paragraph" w:styleId="825">
    <w:name w:val="Normal_0"/>
    <w:next w:val="825"/>
    <w:link w:val="674"/>
    <w:qFormat/>
    <w:rPr>
      <w:rFonts w:ascii="黑体" w:hAnsi="黑体" w:eastAsia="黑体"/>
      <w:b/>
      <w:sz w:val="32"/>
      <w:szCs w:val="24"/>
      <w:lang w:val="en-US" w:eastAsia="zh-CN" w:bidi="ar-SA"/>
    </w:rPr>
  </w:style>
  <w:style w:type="paragraph" w:styleId="826">
    <w:name w:val="部分1"/>
    <w:basedOn w:val="674"/>
    <w:next w:val="826"/>
    <w:link w:val="674"/>
    <w:qFormat/>
    <w:pPr>
      <w:jc w:val="center"/>
      <w:keepNext/>
      <w:pageBreakBefore/>
      <w:spacing w:line="360" w:lineRule="auto"/>
      <w:tabs>
        <w:tab w:val="left" w:pos="720" w:leader="none"/>
      </w:tabs>
      <w:outlineLvl w:val="0"/>
    </w:pPr>
    <w:rPr>
      <w:rFonts w:eastAsia="黑体"/>
      <w:b/>
      <w:sz w:val="36"/>
      <w:szCs w:val="20"/>
    </w:rPr>
  </w:style>
  <w:style w:type="character" w:styleId="827">
    <w:name w:val="old"/>
    <w:next w:val="827"/>
    <w:link w:val="674"/>
    <w:rPr>
      <w:color w:val="999999"/>
    </w:rPr>
  </w:style>
  <w:style w:type="character" w:styleId="828">
    <w:name w:val="hour_am"/>
    <w:next w:val="828"/>
    <w:link w:val="674"/>
  </w:style>
  <w:style w:type="character" w:styleId="829">
    <w:name w:val="first-child"/>
    <w:next w:val="829"/>
    <w:link w:val="674"/>
  </w:style>
  <w:style w:type="character" w:styleId="830">
    <w:name w:val="layui-layer-tabnow"/>
    <w:next w:val="830"/>
    <w:link w:val="674"/>
    <w:rPr>
      <w:shd w:val="clear" w:color="auto" w:fill="ffffff"/>
    </w:rPr>
  </w:style>
  <w:style w:type="character" w:styleId="831">
    <w:name w:val="hover2"/>
    <w:next w:val="831"/>
    <w:link w:val="674"/>
    <w:rPr>
      <w:shd w:val="clear" w:color="auto" w:fill="eeeeee"/>
    </w:rPr>
  </w:style>
  <w:style w:type="character" w:styleId="832">
    <w:name w:val="hour_pm"/>
    <w:next w:val="832"/>
    <w:link w:val="674"/>
  </w:style>
  <w:style w:type="character" w:styleId="833">
    <w:name w:val="glyphicon"/>
    <w:next w:val="833"/>
    <w:link w:val="674"/>
  </w:style>
  <w:style w:type="paragraph" w:styleId="834">
    <w:name w:val="标题二、"/>
    <w:basedOn w:val="674"/>
    <w:next w:val="834"/>
    <w:link w:val="674"/>
    <w:uiPriority w:val="99"/>
    <w:qFormat/>
    <w:pPr>
      <w:ind w:firstLine="200"/>
      <w:spacing w:line="360" w:lineRule="auto"/>
      <w:outlineLvl w:val="2"/>
    </w:pPr>
    <w:rPr>
      <w:rFonts w:ascii="宋体" w:hAnsi="宋体"/>
      <w:b/>
      <w:szCs w:val="21"/>
    </w:rPr>
  </w:style>
  <w:style w:type="paragraph" w:styleId="835">
    <w:name w:val="同志们的样式"/>
    <w:basedOn w:val="674"/>
    <w:next w:val="835"/>
    <w:link w:val="674"/>
    <w:qFormat/>
    <w:pPr>
      <w:jc w:val="center"/>
      <w:spacing w:line="360" w:lineRule="auto"/>
    </w:pPr>
    <w:rPr>
      <w:rFonts w:ascii="黑体" w:hAnsi="宋体" w:eastAsia="黑体"/>
      <w:b/>
      <w:sz w:val="36"/>
      <w:szCs w:val="36"/>
    </w:rPr>
  </w:style>
  <w:style w:type="paragraph" w:styleId="836">
    <w:name w:val="TOC 标题2"/>
    <w:basedOn w:val="675"/>
    <w:next w:val="674"/>
    <w:link w:val="674"/>
    <w:qFormat/>
    <w:pPr>
      <w:keepLines/>
      <w:keepNext/>
      <w:spacing w:before="260" w:after="260" w:line="413" w:lineRule="auto"/>
      <w:widowControl w:val="off"/>
    </w:pPr>
    <w:rPr>
      <w:rFonts w:ascii="宋体" w:hAnsi="宋体" w:eastAsia="宋体" w:cs="Times New Roman"/>
      <w:sz w:val="36"/>
      <w:szCs w:val="44"/>
      <w:lang w:val="zh-CN"/>
    </w:rPr>
  </w:style>
  <w:style w:type="paragraph" w:styleId="837">
    <w:name w:val="协议书标题2"/>
    <w:basedOn w:val="676"/>
    <w:next w:val="674"/>
    <w:link w:val="674"/>
    <w:qFormat/>
    <w:pPr>
      <w:numPr>
        <w:ilvl w:val="0"/>
        <w:numId w:val="4"/>
      </w:numPr>
      <w:ind w:firstLine="0"/>
      <w:jc w:val="left"/>
      <w:keepLines w:val="0"/>
      <w:keepNext w:val="0"/>
      <w:spacing w:line="360" w:lineRule="auto"/>
      <w:tabs>
        <w:tab w:val="left" w:pos="567" w:leader="none"/>
      </w:tabs>
    </w:pPr>
    <w:rPr>
      <w:rFonts w:ascii="宋体" w:hAnsi="宋体" w:eastAsia="宋体"/>
      <w:sz w:val="24"/>
    </w:rPr>
  </w:style>
  <w:style w:type="paragraph" w:styleId="838">
    <w:name w:val="正文_0"/>
    <w:next w:val="838"/>
    <w:link w:val="674"/>
    <w:qFormat/>
    <w:pPr>
      <w:jc w:val="both"/>
      <w:widowControl w:val="off"/>
    </w:pPr>
    <w:rPr>
      <w:szCs w:val="24"/>
      <w:lang w:val="en-US" w:eastAsia="zh-CN" w:bidi="ar-SA"/>
    </w:rPr>
  </w:style>
  <w:style w:type="paragraph" w:styleId="839">
    <w:name w:val="table"/>
    <w:next w:val="839"/>
    <w:link w:val="674"/>
    <w:qFormat/>
    <w:pPr>
      <w:framePr w:hSpace="180" w:wrap="around" w:vAnchor="text" w:hAnchor="margin" w:y="1418"/>
    </w:pPr>
    <w:rPr>
      <w:rFonts w:ascii="宋体" w:hAnsi="Calibri"/>
      <w:sz w:val="24"/>
      <w:szCs w:val="22"/>
      <w:lang w:val="en-US" w:eastAsia="zh-CN" w:bidi="ar-SA"/>
    </w:rPr>
  </w:style>
  <w:style w:type="paragraph" w:styleId="840">
    <w:name w:val="专用标题2"/>
    <w:basedOn w:val="676"/>
    <w:next w:val="674"/>
    <w:link w:val="674"/>
    <w:qFormat/>
    <w:pPr>
      <w:ind w:firstLine="0"/>
      <w:keepLines w:val="0"/>
      <w:keepNext w:val="0"/>
      <w:spacing w:line="360" w:lineRule="auto"/>
      <w:tabs>
        <w:tab w:val="left" w:pos="993" w:leader="none"/>
      </w:tabs>
    </w:pPr>
    <w:rPr>
      <w:rFonts w:ascii="宋体" w:hAnsi="宋体" w:eastAsia="宋体" w:cs="Times"/>
    </w:rPr>
  </w:style>
  <w:style w:type="paragraph" w:styleId="841">
    <w:name w:val="正文_5_1"/>
    <w:next w:val="841"/>
    <w:link w:val="674"/>
    <w:qFormat/>
    <w:pPr>
      <w:jc w:val="both"/>
      <w:widowControl w:val="off"/>
    </w:pPr>
    <w:rPr>
      <w:rFonts w:ascii="Calibri" w:hAnsi="Calibri"/>
      <w:sz w:val="21"/>
      <w:szCs w:val="22"/>
      <w:lang w:val="en-US" w:eastAsia="zh-CN" w:bidi="ar-SA"/>
    </w:rPr>
  </w:style>
  <w:style w:type="paragraph" w:styleId="842">
    <w:name w:val="附件标题"/>
    <w:basedOn w:val="676"/>
    <w:next w:val="674"/>
    <w:link w:val="674"/>
    <w:qFormat/>
    <w:pPr>
      <w:numPr>
        <w:ilvl w:val="0"/>
        <w:numId w:val="5"/>
      </w:numPr>
      <w:ind w:firstLine="0"/>
      <w:jc w:val="center"/>
      <w:spacing w:line="360" w:lineRule="auto"/>
      <w:tabs>
        <w:tab w:val="left" w:pos="1134" w:leader="none"/>
      </w:tabs>
    </w:pPr>
    <w:rPr>
      <w:rFonts w:ascii="黑体" w:hAnsi="黑体"/>
      <w:sz w:val="30"/>
      <w:szCs w:val="30"/>
    </w:rPr>
  </w:style>
  <w:style w:type="paragraph" w:styleId="843">
    <w:name w:val="Normal_16"/>
    <w:next w:val="844"/>
    <w:link w:val="674"/>
    <w:qFormat/>
    <w:pPr>
      <w:jc w:val="both"/>
      <w:widowControl w:val="off"/>
    </w:pPr>
    <w:rPr>
      <w:rFonts w:ascii="Calibri" w:hAnsi="Calibri"/>
      <w:lang w:val="en-US" w:eastAsia="zh-CN" w:bidi="ar-SA"/>
    </w:rPr>
  </w:style>
  <w:style w:type="paragraph" w:styleId="844">
    <w:name w:val="Body Text Indent 2"/>
    <w:basedOn w:val="845"/>
    <w:next w:val="844"/>
    <w:link w:val="674"/>
    <w:qFormat/>
    <w:pPr>
      <w:ind w:firstLine="560"/>
    </w:pPr>
    <w:rPr>
      <w:rFonts w:ascii="宋体" w:hAnsi="宋体"/>
      <w:sz w:val="28"/>
      <w:szCs w:val="24"/>
    </w:rPr>
  </w:style>
  <w:style w:type="paragraph" w:styleId="845">
    <w:name w:val="Normal1"/>
    <w:next w:val="845"/>
    <w:link w:val="674"/>
    <w:qFormat/>
    <w:pPr>
      <w:jc w:val="both"/>
      <w:widowControl w:val="off"/>
    </w:pPr>
    <w:rPr>
      <w:lang w:val="en-US" w:eastAsia="zh-CN" w:bidi="ar-SA"/>
    </w:rPr>
  </w:style>
  <w:style w:type="paragraph" w:styleId="846">
    <w:name w:val="正文_0_2_0_0"/>
    <w:next w:val="846"/>
    <w:link w:val="674"/>
    <w:qFormat/>
    <w:pPr>
      <w:jc w:val="both"/>
      <w:widowControl w:val="off"/>
    </w:pPr>
    <w:rPr>
      <w:lang w:val="en-US" w:eastAsia="zh-CN" w:bidi="ar-SA"/>
    </w:rPr>
  </w:style>
  <w:style w:type="paragraph" w:styleId="847">
    <w:name w:val="+正文 Char8"/>
    <w:basedOn w:val="838"/>
    <w:next w:val="847"/>
    <w:link w:val="674"/>
    <w:pPr>
      <w:ind w:firstLine="200"/>
      <w:spacing w:line="360" w:lineRule="auto"/>
    </w:pPr>
    <w:rPr>
      <w:sz w:val="24"/>
      <w:szCs w:val="28"/>
    </w:rPr>
  </w:style>
  <w:style w:type="paragraph" w:styleId="848">
    <w:name w:val="+列表1"/>
    <w:basedOn w:val="838"/>
    <w:next w:val="848"/>
    <w:link w:val="849"/>
    <w:pPr>
      <w:jc w:val="center"/>
    </w:pPr>
    <w:rPr>
      <w:sz w:val="21"/>
    </w:rPr>
  </w:style>
  <w:style w:type="character" w:styleId="849">
    <w:name w:val="+列表1 Char"/>
    <w:next w:val="849"/>
    <w:link w:val="848"/>
    <w:rPr>
      <w:rFonts w:eastAsia="宋体"/>
      <w:sz w:val="21"/>
      <w:szCs w:val="24"/>
      <w:lang w:val="en-US" w:eastAsia="zh-CN" w:bidi="ar-SA"/>
    </w:rPr>
  </w:style>
  <w:style w:type="paragraph" w:styleId="850">
    <w:name w:val="+▲"/>
    <w:basedOn w:val="851"/>
    <w:next w:val="850"/>
    <w:link w:val="674"/>
    <w:pPr>
      <w:ind w:firstLine="0"/>
    </w:pPr>
  </w:style>
  <w:style w:type="paragraph" w:styleId="851">
    <w:name w:val="+正文"/>
    <w:basedOn w:val="838"/>
    <w:next w:val="851"/>
    <w:link w:val="674"/>
    <w:pPr>
      <w:ind w:firstLine="200"/>
      <w:spacing w:line="360" w:lineRule="auto"/>
    </w:pPr>
    <w:rPr>
      <w:sz w:val="24"/>
      <w:szCs w:val="28"/>
    </w:rPr>
  </w:style>
  <w:style w:type="paragraph" w:styleId="852">
    <w:name w:val="标题 2_1"/>
    <w:basedOn w:val="838"/>
    <w:next w:val="838"/>
    <w:link w:val="853"/>
    <w:qFormat/>
    <w:pPr>
      <w:keepLines/>
      <w:keepNext/>
      <w:spacing w:before="260" w:after="260" w:line="413" w:lineRule="auto"/>
      <w:outlineLvl w:val="1"/>
    </w:pPr>
    <w:rPr>
      <w:rFonts w:ascii="Cambria" w:hAnsi="Cambria"/>
      <w:b/>
      <w:bCs/>
      <w:sz w:val="32"/>
      <w:szCs w:val="32"/>
    </w:rPr>
  </w:style>
  <w:style w:type="character" w:styleId="853">
    <w:name w:val="标题 2 Char_1"/>
    <w:next w:val="853"/>
    <w:link w:val="852"/>
    <w:rPr>
      <w:rFonts w:ascii="Cambria" w:hAnsi="Cambria" w:eastAsia="宋体"/>
      <w:b/>
      <w:bCs/>
      <w:sz w:val="32"/>
      <w:szCs w:val="32"/>
      <w:lang w:val="en-US" w:eastAsia="zh-CN" w:bidi="ar-SA"/>
    </w:rPr>
  </w:style>
  <w:style w:type="character" w:styleId="854">
    <w:name w:val="first-child1"/>
    <w:next w:val="854"/>
    <w:link w:val="674"/>
  </w:style>
  <w:style w:type="paragraph" w:styleId="855">
    <w:name w:val="00-正文"/>
    <w:basedOn w:val="674"/>
    <w:next w:val="855"/>
    <w:link w:val="856"/>
    <w:qFormat/>
    <w:pPr>
      <w:ind w:firstLine="200"/>
      <w:spacing w:line="360" w:lineRule="auto"/>
    </w:pPr>
    <w:rPr>
      <w:rFonts w:eastAsia="Times New Roman"/>
      <w:sz w:val="24"/>
      <w:szCs w:val="22"/>
    </w:rPr>
  </w:style>
  <w:style w:type="character" w:styleId="856">
    <w:name w:val="00-正文 Char"/>
    <w:next w:val="856"/>
    <w:link w:val="855"/>
    <w:rPr>
      <w:sz w:val="24"/>
      <w:szCs w:val="22"/>
      <w:lang w:val="en-US" w:eastAsia="zh-CN" w:bidi="ar-SA"/>
    </w:rPr>
  </w:style>
  <w:style w:type="paragraph" w:styleId="857">
    <w:name w:val="msonospacing"/>
    <w:next w:val="857"/>
    <w:link w:val="674"/>
    <w:pPr>
      <w:jc w:val="center"/>
      <w:widowControl w:val="off"/>
    </w:pPr>
    <w:rPr>
      <w:rFonts w:eastAsia="黑体"/>
      <w:sz w:val="30"/>
      <w:szCs w:val="24"/>
      <w:lang w:val="en-US" w:eastAsia="zh-CN" w:bidi="ar-SA"/>
    </w:rPr>
  </w:style>
  <w:style w:type="paragraph" w:styleId="858">
    <w:name w:val="msormpane"/>
    <w:next w:val="858"/>
    <w:link w:val="674"/>
    <w:rPr>
      <w:sz w:val="21"/>
      <w:szCs w:val="24"/>
      <w:lang w:val="en-US" w:eastAsia="zh-CN" w:bidi="ar-SA"/>
    </w:rPr>
  </w:style>
  <w:style w:type="paragraph" w:styleId="859">
    <w:name w:val="msolistparagraph"/>
    <w:basedOn w:val="674"/>
    <w:next w:val="859"/>
    <w:link w:val="674"/>
    <w:pPr>
      <w:ind w:firstLine="420"/>
    </w:pPr>
    <w:rPr>
      <w:rFonts w:ascii="Calibri" w:hAnsi="Calibri"/>
      <w:szCs w:val="22"/>
    </w:rPr>
  </w:style>
  <w:style w:type="character" w:styleId="860">
    <w:name w:val="引用 Char"/>
    <w:next w:val="860"/>
    <w:link w:val="861"/>
    <w:rPr>
      <w:i/>
      <w:iCs/>
      <w:color w:val="000000"/>
      <w:lang w:bidi="ar-SA"/>
    </w:rPr>
  </w:style>
  <w:style w:type="paragraph" w:styleId="861">
    <w:name w:val="引用"/>
    <w:basedOn w:val="674"/>
    <w:next w:val="861"/>
    <w:link w:val="860"/>
    <w:qFormat/>
    <w:rPr>
      <w:rFonts w:eastAsia="Times New Roman"/>
      <w:i/>
      <w:iCs/>
      <w:color w:val="000000"/>
      <w:sz w:val="20"/>
      <w:szCs w:val="20"/>
    </w:rPr>
  </w:style>
  <w:style w:type="paragraph" w:styleId="862">
    <w:name w:val="msoquote"/>
    <w:basedOn w:val="674"/>
    <w:next w:val="674"/>
    <w:link w:val="674"/>
    <w:rPr>
      <w:rFonts w:ascii="Calibri" w:hAnsi="Calibri"/>
      <w:i/>
      <w:iCs/>
      <w:color w:val="000000"/>
      <w:szCs w:val="22"/>
    </w:rPr>
  </w:style>
  <w:style w:type="character" w:styleId="863">
    <w:name w:val="明显引用 Char"/>
    <w:next w:val="863"/>
    <w:link w:val="864"/>
    <w:rPr>
      <w:b/>
      <w:bCs/>
      <w:i/>
      <w:iCs/>
      <w:color w:val="4f81bd"/>
      <w:lang w:bidi="ar-SA"/>
    </w:rPr>
  </w:style>
  <w:style w:type="paragraph" w:styleId="864">
    <w:name w:val="明显引用"/>
    <w:basedOn w:val="674"/>
    <w:next w:val="864"/>
    <w:link w:val="863"/>
    <w:qFormat/>
    <w:rPr>
      <w:rFonts w:eastAsia="Times New Roman"/>
      <w:b/>
      <w:bCs/>
      <w:i/>
      <w:iCs/>
      <w:color w:val="4f81bd"/>
      <w:sz w:val="20"/>
      <w:szCs w:val="20"/>
    </w:rPr>
  </w:style>
  <w:style w:type="paragraph" w:styleId="865">
    <w:name w:val="msointensequote"/>
    <w:basedOn w:val="674"/>
    <w:next w:val="674"/>
    <w:link w:val="674"/>
    <w:pPr>
      <w:ind w:left="936" w:right="936"/>
      <w:spacing w:before="200" w:after="280"/>
      <w:pBdr>
        <w:bottom w:val="single" w:color="4F81BD" w:sz="4" w:space="4"/>
      </w:pBdr>
    </w:pPr>
    <w:rPr>
      <w:rFonts w:ascii="Calibri" w:hAnsi="Calibri"/>
      <w:b/>
      <w:bCs/>
      <w:i/>
      <w:iCs/>
      <w:color w:val="4f81bd"/>
      <w:szCs w:val="22"/>
    </w:rPr>
  </w:style>
  <w:style w:type="paragraph" w:styleId="866">
    <w:name w:val="msotocheading"/>
    <w:basedOn w:val="675"/>
    <w:next w:val="674"/>
    <w:link w:val="674"/>
    <w:pPr>
      <w:jc w:val="both"/>
      <w:keepLines/>
      <w:spacing w:before="480" w:line="276" w:lineRule="auto"/>
      <w:widowControl/>
      <w:outlineLvl w:val="9"/>
    </w:pPr>
    <w:rPr>
      <w:rFonts w:ascii="Cambria" w:hAnsi="Cambria" w:eastAsia="宋体"/>
      <w:b/>
      <w:color w:val="365f91"/>
      <w:szCs w:val="20"/>
    </w:rPr>
  </w:style>
  <w:style w:type="paragraph" w:styleId="867">
    <w:name w:val="样式 标题 3 + (中文) 黑体 小四 非加粗 段前: 7.8 磅 段后: 0 磅 行距: 固定值 20 磅"/>
    <w:basedOn w:val="677"/>
    <w:next w:val="867"/>
    <w:link w:val="674"/>
    <w:pPr>
      <w:spacing w:before="0" w:after="0" w:line="400" w:lineRule="exact"/>
    </w:pPr>
    <w:rPr>
      <w:rFonts w:eastAsia="黑体" w:cs="宋体"/>
      <w:b w:val="0"/>
      <w:sz w:val="24"/>
      <w:szCs w:val="20"/>
    </w:rPr>
  </w:style>
  <w:style w:type="paragraph" w:styleId="868">
    <w:name w:val="样式 标题 2 + Times New Roman 四号 非加粗 段前: 5 磅 段后: 0 磅 行距: 固定值 20..."/>
    <w:basedOn w:val="676"/>
    <w:next w:val="868"/>
    <w:link w:val="674"/>
    <w:pPr>
      <w:jc w:val="both"/>
      <w:spacing w:before="100" w:after="0" w:line="400" w:lineRule="exact"/>
    </w:pPr>
    <w:rPr>
      <w:rFonts w:ascii="Times New Roman" w:hAnsi="Times New Roman" w:eastAsia="黑体" w:cs="宋体"/>
      <w:b w:val="0"/>
      <w:sz w:val="28"/>
      <w:szCs w:val="20"/>
    </w:rPr>
  </w:style>
  <w:style w:type="paragraph" w:styleId="869">
    <w:name w:val="样式 标题 1 + 黑体 三号 非加粗 居中 段前: 6 磅 段后: 6 磅 行距: 固定值 20 磅"/>
    <w:basedOn w:val="675"/>
    <w:next w:val="869"/>
    <w:link w:val="674"/>
    <w:pPr>
      <w:keepLines/>
      <w:spacing w:before="120" w:after="120" w:line="400" w:lineRule="exact"/>
    </w:pPr>
    <w:rPr>
      <w:rFonts w:ascii="黑体" w:hAnsi="黑体" w:eastAsia="黑体" w:cs="宋体"/>
      <w:bCs/>
      <w:sz w:val="32"/>
      <w:szCs w:val="20"/>
    </w:rPr>
  </w:style>
  <w:style w:type="paragraph" w:styleId="870">
    <w:name w:val="1"/>
    <w:basedOn w:val="674"/>
    <w:next w:val="870"/>
    <w:link w:val="674"/>
    <w:rPr>
      <w:rFonts w:ascii="Calibri" w:hAnsi="Calibri"/>
      <w:szCs w:val="22"/>
    </w:rPr>
  </w:style>
  <w:style w:type="paragraph" w:styleId="871">
    <w:name w:val="6'"/>
    <w:basedOn w:val="674"/>
    <w:next w:val="871"/>
    <w:link w:val="674"/>
    <w:pPr>
      <w:jc w:val="center"/>
      <w:spacing w:line="320" w:lineRule="exact"/>
    </w:pPr>
    <w:rPr>
      <w:rFonts w:ascii="Calibri" w:hAnsi="Calibri"/>
      <w:spacing w:val="20"/>
      <w:szCs w:val="20"/>
    </w:rPr>
  </w:style>
  <w:style w:type="paragraph" w:styleId="872">
    <w:name w:val="表格"/>
    <w:basedOn w:val="674"/>
    <w:next w:val="872"/>
    <w:link w:val="674"/>
    <w:pPr>
      <w:jc w:val="center"/>
    </w:pPr>
    <w:rPr>
      <w:rFonts w:ascii="华文细黑" w:hAnsi="华文细黑"/>
      <w:szCs w:val="20"/>
    </w:rPr>
  </w:style>
  <w:style w:type="paragraph" w:styleId="873">
    <w:name w:val="表格文字"/>
    <w:basedOn w:val="674"/>
    <w:next w:val="873"/>
    <w:link w:val="674"/>
    <w:pPr>
      <w:jc w:val="left"/>
      <w:spacing w:line="420" w:lineRule="atLeast"/>
    </w:pPr>
    <w:rPr>
      <w:rFonts w:ascii="Calibri" w:hAnsi="Calibri"/>
      <w:szCs w:val="20"/>
    </w:rPr>
  </w:style>
  <w:style w:type="paragraph" w:styleId="874">
    <w:name w:val="默认段落字体 Para Char Char Char Char Char Char Char Char Char1 Char Char Char Char Char Char Char"/>
    <w:basedOn w:val="700"/>
    <w:next w:val="874"/>
    <w:link w:val="674"/>
    <w:rPr>
      <w:rFonts w:ascii="Tahoma" w:hAnsi="Tahoma"/>
      <w:sz w:val="24"/>
      <w:szCs w:val="20"/>
      <w:shd w:val="clear" w:color="auto" w:fill="000080"/>
    </w:rPr>
  </w:style>
  <w:style w:type="paragraph" w:styleId="875">
    <w:name w:val="Char Char Char Char Char Char Char Char Char Char Char Char Char"/>
    <w:basedOn w:val="674"/>
    <w:next w:val="875"/>
    <w:link w:val="674"/>
    <w:rPr>
      <w:rFonts w:ascii="Calibri" w:hAnsi="Calibri"/>
      <w:szCs w:val="20"/>
    </w:rPr>
  </w:style>
  <w:style w:type="paragraph" w:styleId="876">
    <w:name w:val="Char Char Char Char Char Char Char Char Char Char"/>
    <w:basedOn w:val="674"/>
    <w:next w:val="876"/>
    <w:link w:val="674"/>
    <w:rPr>
      <w:rFonts w:ascii="Tahoma" w:hAnsi="Tahoma"/>
      <w:sz w:val="24"/>
      <w:szCs w:val="20"/>
    </w:rPr>
  </w:style>
  <w:style w:type="character" w:styleId="877">
    <w:name w:val="标题6 Char"/>
    <w:next w:val="877"/>
    <w:link w:val="878"/>
    <w:rPr>
      <w:rFonts w:ascii="宋体" w:hAnsi="宋体" w:eastAsia="黑体"/>
      <w:sz w:val="32"/>
      <w:szCs w:val="32"/>
      <w:lang w:bidi="ar-SA"/>
    </w:rPr>
  </w:style>
  <w:style w:type="paragraph" w:styleId="878">
    <w:name w:val="标题6"/>
    <w:basedOn w:val="674"/>
    <w:next w:val="878"/>
    <w:link w:val="877"/>
    <w:pPr>
      <w:jc w:val="center"/>
      <w:keepLines/>
      <w:keepNext/>
      <w:spacing w:line="400" w:lineRule="exact"/>
      <w:outlineLvl w:val="2"/>
    </w:pPr>
    <w:rPr>
      <w:rFonts w:ascii="宋体" w:hAnsi="宋体" w:eastAsia="黑体"/>
      <w:sz w:val="32"/>
      <w:szCs w:val="32"/>
    </w:rPr>
  </w:style>
  <w:style w:type="character" w:styleId="879">
    <w:name w:val="正文文本缩进 Char_0"/>
    <w:next w:val="879"/>
    <w:link w:val="880"/>
    <w:rPr>
      <w:rFonts w:ascii="Calibri" w:hAnsi="Calibri" w:eastAsia="宋体"/>
      <w:lang w:bidi="ar-SA"/>
    </w:rPr>
  </w:style>
  <w:style w:type="paragraph" w:styleId="880">
    <w:name w:val="正文文本缩进_0"/>
    <w:basedOn w:val="838"/>
    <w:next w:val="880"/>
    <w:link w:val="879"/>
    <w:pPr>
      <w:ind w:left="420"/>
      <w:spacing w:after="120"/>
    </w:pPr>
    <w:rPr>
      <w:rFonts w:ascii="Calibri" w:hAnsi="Calibri"/>
      <w:szCs w:val="20"/>
    </w:rPr>
  </w:style>
  <w:style w:type="character" w:styleId="881">
    <w:name w:val="正文文本 Char_0"/>
    <w:next w:val="881"/>
    <w:link w:val="882"/>
    <w:rPr>
      <w:rFonts w:ascii="Calibri" w:hAnsi="Calibri" w:eastAsia="宋体"/>
      <w:lang w:bidi="ar-SA"/>
    </w:rPr>
  </w:style>
  <w:style w:type="paragraph" w:styleId="882">
    <w:name w:val="正文文本_0"/>
    <w:basedOn w:val="838"/>
    <w:next w:val="882"/>
    <w:link w:val="881"/>
    <w:pPr>
      <w:spacing w:after="120"/>
    </w:pPr>
    <w:rPr>
      <w:rFonts w:ascii="Calibri" w:hAnsi="Calibri"/>
      <w:szCs w:val="20"/>
    </w:rPr>
  </w:style>
  <w:style w:type="character" w:styleId="883">
    <w:name w:val="批注文字 Char_0"/>
    <w:next w:val="883"/>
    <w:link w:val="884"/>
    <w:rPr>
      <w:rFonts w:eastAsia="宋体"/>
      <w:lang w:bidi="ar-SA"/>
    </w:rPr>
  </w:style>
  <w:style w:type="paragraph" w:styleId="884">
    <w:name w:val="批注文字_0"/>
    <w:basedOn w:val="838"/>
    <w:next w:val="884"/>
    <w:link w:val="883"/>
    <w:pPr>
      <w:jc w:val="left"/>
    </w:pPr>
    <w:rPr>
      <w:szCs w:val="20"/>
    </w:rPr>
  </w:style>
  <w:style w:type="character" w:styleId="885">
    <w:name w:val="正文文本缩进 2 Char_0"/>
    <w:next w:val="885"/>
    <w:link w:val="886"/>
    <w:rPr>
      <w:rFonts w:ascii="Calibri" w:hAnsi="Calibri" w:eastAsia="宋体"/>
      <w:lang w:bidi="ar-SA"/>
    </w:rPr>
  </w:style>
  <w:style w:type="paragraph" w:styleId="886">
    <w:name w:val="正文文本缩进 2_0"/>
    <w:basedOn w:val="838"/>
    <w:next w:val="886"/>
    <w:link w:val="885"/>
    <w:pPr>
      <w:ind w:left="420"/>
      <w:spacing w:after="120" w:line="480" w:lineRule="auto"/>
    </w:pPr>
    <w:rPr>
      <w:rFonts w:ascii="Calibri" w:hAnsi="Calibri"/>
      <w:szCs w:val="20"/>
    </w:rPr>
  </w:style>
  <w:style w:type="paragraph" w:styleId="887">
    <w:name w:val="正文_1"/>
    <w:next w:val="887"/>
    <w:link w:val="674"/>
    <w:pPr>
      <w:jc w:val="both"/>
      <w:widowControl w:val="off"/>
    </w:pPr>
    <w:rPr>
      <w:sz w:val="21"/>
      <w:szCs w:val="24"/>
      <w:lang w:val="en-US" w:eastAsia="zh-CN" w:bidi="ar-SA"/>
    </w:rPr>
  </w:style>
  <w:style w:type="paragraph" w:styleId="888">
    <w:name w:val="正文_0_0"/>
    <w:next w:val="888"/>
    <w:link w:val="674"/>
    <w:pPr>
      <w:jc w:val="both"/>
      <w:widowControl w:val="off"/>
    </w:pPr>
    <w:rPr>
      <w:sz w:val="21"/>
      <w:szCs w:val="22"/>
      <w:lang w:val="en-US" w:eastAsia="zh-CN" w:bidi="ar-SA"/>
    </w:rPr>
  </w:style>
  <w:style w:type="paragraph" w:styleId="889">
    <w:name w:val="flNote"/>
    <w:basedOn w:val="674"/>
    <w:next w:val="889"/>
    <w:link w:val="674"/>
    <w:pPr>
      <w:jc w:val="center"/>
      <w:spacing w:before="320" w:after="160" w:line="360" w:lineRule="atLeast"/>
    </w:pPr>
    <w:rPr>
      <w:rFonts w:ascii="Arial" w:eastAsia="黑体"/>
      <w:sz w:val="30"/>
      <w:szCs w:val="20"/>
    </w:rPr>
  </w:style>
  <w:style w:type="character" w:styleId="890">
    <w:name w:val="标题4 Char Char"/>
    <w:next w:val="890"/>
    <w:link w:val="891"/>
    <w:rPr>
      <w:rFonts w:ascii="Arial" w:hAnsi="Arial"/>
      <w:b/>
      <w:bCs/>
      <w:sz w:val="24"/>
      <w:szCs w:val="32"/>
      <w:lang w:bidi="ar-SA"/>
    </w:rPr>
  </w:style>
  <w:style w:type="paragraph" w:styleId="891">
    <w:name w:val="标题4"/>
    <w:basedOn w:val="676"/>
    <w:next w:val="711"/>
    <w:link w:val="890"/>
    <w:pPr>
      <w:jc w:val="both"/>
      <w:spacing w:line="412" w:lineRule="auto"/>
    </w:pPr>
    <w:rPr>
      <w:rFonts w:eastAsia="Times New Roman" w:cs="Times New Roman"/>
      <w:sz w:val="24"/>
      <w:szCs w:val="32"/>
    </w:rPr>
  </w:style>
  <w:style w:type="character" w:styleId="892">
    <w:name w:val="标题5 Char Char"/>
    <w:next w:val="892"/>
    <w:link w:val="893"/>
    <w:rPr>
      <w:rFonts w:ascii="Arial" w:hAnsi="Arial"/>
      <w:b/>
      <w:bCs/>
      <w:sz w:val="24"/>
      <w:szCs w:val="32"/>
      <w:lang w:bidi="ar-SA"/>
    </w:rPr>
  </w:style>
  <w:style w:type="paragraph" w:styleId="893">
    <w:name w:val="标题5"/>
    <w:basedOn w:val="677"/>
    <w:next w:val="893"/>
    <w:link w:val="892"/>
    <w:pPr>
      <w:spacing w:line="412" w:lineRule="auto"/>
    </w:pPr>
    <w:rPr>
      <w:rFonts w:ascii="Arial" w:hAnsi="Arial" w:eastAsia="Times New Roman"/>
      <w:sz w:val="24"/>
    </w:rPr>
  </w:style>
  <w:style w:type="paragraph" w:styleId="894">
    <w:name w:val="空半行"/>
    <w:basedOn w:val="674"/>
    <w:next w:val="894"/>
    <w:link w:val="674"/>
    <w:pPr>
      <w:spacing w:line="120" w:lineRule="exact"/>
    </w:pPr>
    <w:rPr>
      <w:rFonts w:eastAsia="仿宋_GB2312"/>
      <w:color w:val="ffffff"/>
      <w:sz w:val="30"/>
      <w:szCs w:val="20"/>
    </w:rPr>
  </w:style>
  <w:style w:type="paragraph" w:styleId="895">
    <w:name w:val="正文_0_0_0"/>
    <w:next w:val="895"/>
    <w:link w:val="674"/>
    <w:pPr>
      <w:jc w:val="both"/>
      <w:widowControl w:val="off"/>
    </w:pPr>
    <w:rPr>
      <w:sz w:val="21"/>
      <w:szCs w:val="22"/>
      <w:lang w:val="en-US" w:eastAsia="zh-CN" w:bidi="ar-SA"/>
    </w:rPr>
  </w:style>
  <w:style w:type="paragraph" w:styleId="896">
    <w:name w:val="正文文本缩进_0_0"/>
    <w:basedOn w:val="888"/>
    <w:next w:val="896"/>
    <w:link w:val="674"/>
    <w:pPr>
      <w:ind w:left="420"/>
      <w:spacing w:after="120"/>
    </w:pPr>
    <w:rPr>
      <w:szCs w:val="20"/>
    </w:rPr>
  </w:style>
  <w:style w:type="paragraph" w:styleId="897">
    <w:name w:val="正文_0_0_0_0"/>
    <w:next w:val="897"/>
    <w:link w:val="674"/>
    <w:pPr>
      <w:jc w:val="both"/>
      <w:widowControl w:val="off"/>
    </w:pPr>
    <w:rPr>
      <w:sz w:val="21"/>
      <w:szCs w:val="22"/>
      <w:lang w:val="en-US" w:eastAsia="zh-CN" w:bidi="ar-SA"/>
    </w:rPr>
  </w:style>
  <w:style w:type="paragraph" w:styleId="898">
    <w:name w:val="正文_0_1"/>
    <w:next w:val="898"/>
    <w:link w:val="674"/>
    <w:pPr>
      <w:jc w:val="both"/>
      <w:widowControl w:val="off"/>
    </w:pPr>
    <w:rPr>
      <w:sz w:val="21"/>
      <w:szCs w:val="24"/>
      <w:lang w:val="en-US" w:eastAsia="zh-CN" w:bidi="ar-SA"/>
    </w:rPr>
  </w:style>
  <w:style w:type="paragraph" w:styleId="899">
    <w:name w:val="正文_1_0"/>
    <w:next w:val="899"/>
    <w:link w:val="674"/>
    <w:pPr>
      <w:jc w:val="both"/>
      <w:widowControl w:val="off"/>
    </w:pPr>
    <w:rPr>
      <w:sz w:val="21"/>
      <w:szCs w:val="24"/>
      <w:lang w:val="en-US" w:eastAsia="zh-CN" w:bidi="ar-SA"/>
    </w:rPr>
  </w:style>
  <w:style w:type="paragraph" w:styleId="900">
    <w:name w:val="正文_3"/>
    <w:next w:val="900"/>
    <w:link w:val="674"/>
    <w:pPr>
      <w:jc w:val="both"/>
      <w:widowControl w:val="off"/>
    </w:pPr>
    <w:rPr>
      <w:rFonts w:ascii="Calibri" w:hAnsi="Calibri"/>
      <w:sz w:val="21"/>
      <w:szCs w:val="22"/>
      <w:lang w:val="en-US" w:eastAsia="zh-CN" w:bidi="ar-SA"/>
    </w:rPr>
  </w:style>
  <w:style w:type="paragraph" w:styleId="901">
    <w:name w:val="正文_4"/>
    <w:next w:val="901"/>
    <w:link w:val="674"/>
    <w:pPr>
      <w:jc w:val="both"/>
      <w:widowControl w:val="off"/>
    </w:pPr>
    <w:rPr>
      <w:sz w:val="21"/>
      <w:lang w:val="en-US" w:eastAsia="zh-CN" w:bidi="ar-SA"/>
    </w:rPr>
  </w:style>
  <w:style w:type="character" w:styleId="902">
    <w:name w:val="正文文本缩进 2 Char_1"/>
    <w:next w:val="902"/>
    <w:link w:val="903"/>
    <w:semiHidden/>
    <w:rPr>
      <w:rFonts w:eastAsia="宋体"/>
      <w:lang w:bidi="ar-SA"/>
    </w:rPr>
  </w:style>
  <w:style w:type="paragraph" w:styleId="903">
    <w:name w:val="正文文本缩进 2_1"/>
    <w:basedOn w:val="901"/>
    <w:next w:val="903"/>
    <w:link w:val="902"/>
    <w:semiHidden/>
    <w:pPr>
      <w:ind w:left="420"/>
      <w:spacing w:after="120" w:line="480" w:lineRule="auto"/>
    </w:pPr>
    <w:rPr>
      <w:sz w:val="20"/>
    </w:rPr>
  </w:style>
  <w:style w:type="character" w:styleId="904">
    <w:name w:val="标题 4 Char_0"/>
    <w:next w:val="904"/>
    <w:link w:val="905"/>
    <w:semiHidden/>
    <w:rPr>
      <w:rFonts w:ascii="Arial" w:hAnsi="Arial" w:eastAsia="黑体"/>
      <w:b/>
      <w:sz w:val="28"/>
      <w:lang w:bidi="ar-SA"/>
    </w:rPr>
  </w:style>
  <w:style w:type="paragraph" w:styleId="905">
    <w:name w:val="标题 4_0"/>
    <w:basedOn w:val="901"/>
    <w:next w:val="901"/>
    <w:link w:val="904"/>
    <w:semiHidden/>
    <w:pPr>
      <w:keepLines/>
      <w:keepNext/>
      <w:spacing w:before="280" w:after="290" w:line="372" w:lineRule="auto"/>
      <w:outlineLvl w:val="3"/>
    </w:pPr>
    <w:rPr>
      <w:rFonts w:ascii="Arial" w:hAnsi="Arial" w:eastAsia="黑体"/>
      <w:b/>
      <w:sz w:val="28"/>
    </w:rPr>
  </w:style>
  <w:style w:type="character" w:styleId="906">
    <w:name w:val="正文文本 Char_1"/>
    <w:next w:val="906"/>
    <w:link w:val="907"/>
    <w:rPr>
      <w:rFonts w:eastAsia="宋体"/>
      <w:lang w:bidi="ar-SA"/>
    </w:rPr>
  </w:style>
  <w:style w:type="paragraph" w:styleId="907">
    <w:name w:val="正文文本_1"/>
    <w:basedOn w:val="901"/>
    <w:next w:val="907"/>
    <w:link w:val="906"/>
    <w:pPr>
      <w:spacing w:after="120"/>
    </w:pPr>
    <w:rPr>
      <w:sz w:val="20"/>
    </w:rPr>
  </w:style>
  <w:style w:type="paragraph" w:styleId="908">
    <w:name w:val="正文_5"/>
    <w:next w:val="908"/>
    <w:link w:val="674"/>
    <w:pPr>
      <w:jc w:val="both"/>
      <w:widowControl w:val="off"/>
    </w:pPr>
    <w:rPr>
      <w:sz w:val="21"/>
      <w:lang w:val="en-US" w:eastAsia="zh-CN" w:bidi="ar-SA"/>
    </w:rPr>
  </w:style>
  <w:style w:type="paragraph" w:styleId="909">
    <w:name w:val="正文1"/>
    <w:next w:val="909"/>
    <w:link w:val="674"/>
    <w:rPr>
      <w:rFonts w:eastAsia="Times New Roman"/>
      <w:sz w:val="24"/>
      <w:szCs w:val="24"/>
      <w:lang w:val="en-US" w:eastAsia="zh-CN" w:bidi="ar-SA"/>
    </w:rPr>
  </w:style>
  <w:style w:type="paragraph" w:styleId="910">
    <w:name w:val="正文_6"/>
    <w:next w:val="910"/>
    <w:link w:val="674"/>
    <w:pPr>
      <w:jc w:val="both"/>
      <w:widowControl w:val="off"/>
    </w:pPr>
    <w:rPr>
      <w:sz w:val="21"/>
      <w:szCs w:val="24"/>
      <w:lang w:val="en-US" w:eastAsia="zh-CN" w:bidi="ar-SA"/>
    </w:rPr>
  </w:style>
  <w:style w:type="paragraph" w:styleId="911">
    <w:name w:val="Normal_1"/>
    <w:next w:val="911"/>
    <w:link w:val="674"/>
    <w:rPr>
      <w:rFonts w:ascii="黑体" w:hAnsi="黑体" w:eastAsia="黑体"/>
      <w:b/>
      <w:sz w:val="32"/>
      <w:szCs w:val="24"/>
      <w:lang w:val="en-US" w:eastAsia="zh-CN" w:bidi="ar-SA"/>
    </w:rPr>
  </w:style>
  <w:style w:type="paragraph" w:styleId="912">
    <w:name w:val="正文_0_2"/>
    <w:next w:val="912"/>
    <w:link w:val="674"/>
    <w:pPr>
      <w:jc w:val="both"/>
      <w:widowControl w:val="off"/>
    </w:pPr>
    <w:rPr>
      <w:sz w:val="21"/>
      <w:szCs w:val="24"/>
      <w:lang w:val="en-US" w:eastAsia="zh-CN" w:bidi="ar-SA"/>
    </w:rPr>
  </w:style>
  <w:style w:type="paragraph" w:styleId="913">
    <w:name w:val="Normal_2"/>
    <w:next w:val="913"/>
    <w:link w:val="674"/>
    <w:rPr>
      <w:rFonts w:ascii="黑体" w:hAnsi="黑体" w:eastAsia="黑体"/>
      <w:b/>
      <w:sz w:val="32"/>
      <w:szCs w:val="24"/>
      <w:lang w:val="en-US" w:eastAsia="zh-CN" w:bidi="ar-SA"/>
    </w:rPr>
  </w:style>
  <w:style w:type="paragraph" w:styleId="914">
    <w:name w:val="正文_1_1"/>
    <w:next w:val="914"/>
    <w:link w:val="674"/>
    <w:pPr>
      <w:jc w:val="both"/>
      <w:widowControl w:val="off"/>
    </w:pPr>
    <w:rPr>
      <w:sz w:val="21"/>
      <w:szCs w:val="24"/>
      <w:lang w:val="en-US" w:eastAsia="zh-CN" w:bidi="ar-SA"/>
    </w:rPr>
  </w:style>
  <w:style w:type="paragraph" w:styleId="915">
    <w:name w:val="Normal_3"/>
    <w:next w:val="915"/>
    <w:link w:val="674"/>
    <w:rPr>
      <w:rFonts w:ascii="黑体" w:hAnsi="黑体" w:eastAsia="黑体"/>
      <w:b/>
      <w:sz w:val="32"/>
      <w:szCs w:val="24"/>
      <w:lang w:val="en-US" w:eastAsia="zh-CN" w:bidi="ar-SA"/>
    </w:rPr>
  </w:style>
  <w:style w:type="paragraph" w:styleId="916">
    <w:name w:val="正文_2_0"/>
    <w:next w:val="916"/>
    <w:link w:val="674"/>
    <w:pPr>
      <w:jc w:val="both"/>
      <w:widowControl w:val="off"/>
    </w:pPr>
    <w:rPr>
      <w:sz w:val="21"/>
      <w:szCs w:val="24"/>
      <w:lang w:val="en-US" w:eastAsia="zh-CN" w:bidi="ar-SA"/>
    </w:rPr>
  </w:style>
  <w:style w:type="paragraph" w:styleId="917">
    <w:name w:val="Normal_4"/>
    <w:next w:val="917"/>
    <w:link w:val="674"/>
    <w:rPr>
      <w:rFonts w:ascii="黑体" w:hAnsi="黑体" w:eastAsia="黑体"/>
      <w:b/>
      <w:sz w:val="32"/>
      <w:szCs w:val="24"/>
      <w:lang w:val="en-US" w:eastAsia="zh-CN" w:bidi="ar-SA"/>
    </w:rPr>
  </w:style>
  <w:style w:type="paragraph" w:styleId="918">
    <w:name w:val="正文_3_0"/>
    <w:next w:val="918"/>
    <w:link w:val="674"/>
    <w:pPr>
      <w:jc w:val="both"/>
      <w:widowControl w:val="off"/>
    </w:pPr>
    <w:rPr>
      <w:sz w:val="21"/>
      <w:szCs w:val="24"/>
      <w:lang w:val="en-US" w:eastAsia="zh-CN" w:bidi="ar-SA"/>
    </w:rPr>
  </w:style>
  <w:style w:type="paragraph" w:styleId="919">
    <w:name w:val="Normal_5"/>
    <w:next w:val="919"/>
    <w:link w:val="674"/>
    <w:rPr>
      <w:rFonts w:ascii="黑体" w:hAnsi="黑体" w:eastAsia="黑体"/>
      <w:b/>
      <w:sz w:val="32"/>
      <w:szCs w:val="24"/>
      <w:lang w:val="en-US" w:eastAsia="zh-CN" w:bidi="ar-SA"/>
    </w:rPr>
  </w:style>
  <w:style w:type="paragraph" w:styleId="920">
    <w:name w:val="正文_4_0"/>
    <w:next w:val="920"/>
    <w:link w:val="674"/>
    <w:pPr>
      <w:jc w:val="both"/>
      <w:widowControl w:val="off"/>
    </w:pPr>
    <w:rPr>
      <w:sz w:val="21"/>
      <w:szCs w:val="24"/>
      <w:lang w:val="en-US" w:eastAsia="zh-CN" w:bidi="ar-SA"/>
    </w:rPr>
  </w:style>
  <w:style w:type="paragraph" w:styleId="921">
    <w:name w:val="Normal_6"/>
    <w:next w:val="921"/>
    <w:link w:val="674"/>
    <w:rPr>
      <w:rFonts w:ascii="黑体" w:hAnsi="黑体" w:eastAsia="黑体"/>
      <w:b/>
      <w:sz w:val="32"/>
      <w:szCs w:val="24"/>
      <w:lang w:val="en-US" w:eastAsia="zh-CN" w:bidi="ar-SA"/>
    </w:rPr>
  </w:style>
  <w:style w:type="paragraph" w:styleId="922">
    <w:name w:val="正文_5_0"/>
    <w:next w:val="922"/>
    <w:link w:val="674"/>
    <w:pPr>
      <w:jc w:val="both"/>
      <w:widowControl w:val="off"/>
    </w:pPr>
    <w:rPr>
      <w:sz w:val="21"/>
      <w:szCs w:val="24"/>
      <w:lang w:val="en-US" w:eastAsia="zh-CN" w:bidi="ar-SA"/>
    </w:rPr>
  </w:style>
  <w:style w:type="paragraph" w:styleId="923">
    <w:name w:val="Normal_7"/>
    <w:next w:val="923"/>
    <w:link w:val="674"/>
    <w:rPr>
      <w:rFonts w:ascii="黑体" w:hAnsi="黑体" w:eastAsia="黑体"/>
      <w:b/>
      <w:sz w:val="32"/>
      <w:szCs w:val="24"/>
      <w:lang w:val="en-US" w:eastAsia="zh-CN" w:bidi="ar-SA"/>
    </w:rPr>
  </w:style>
  <w:style w:type="paragraph" w:styleId="924">
    <w:name w:val="正文_6_0"/>
    <w:next w:val="924"/>
    <w:link w:val="674"/>
    <w:pPr>
      <w:jc w:val="both"/>
      <w:widowControl w:val="off"/>
    </w:pPr>
    <w:rPr>
      <w:sz w:val="21"/>
      <w:szCs w:val="24"/>
      <w:lang w:val="en-US" w:eastAsia="zh-CN" w:bidi="ar-SA"/>
    </w:rPr>
  </w:style>
  <w:style w:type="paragraph" w:styleId="925">
    <w:name w:val="Normal_8"/>
    <w:next w:val="925"/>
    <w:link w:val="674"/>
    <w:rPr>
      <w:rFonts w:ascii="黑体" w:hAnsi="黑体" w:eastAsia="黑体"/>
      <w:b/>
      <w:sz w:val="32"/>
      <w:szCs w:val="24"/>
      <w:lang w:val="en-US" w:eastAsia="zh-CN" w:bidi="ar-SA"/>
    </w:rPr>
  </w:style>
  <w:style w:type="paragraph" w:styleId="926">
    <w:name w:val="正文_7"/>
    <w:next w:val="926"/>
    <w:link w:val="674"/>
    <w:pPr>
      <w:jc w:val="both"/>
      <w:widowControl w:val="off"/>
    </w:pPr>
    <w:rPr>
      <w:sz w:val="21"/>
      <w:szCs w:val="24"/>
      <w:lang w:val="en-US" w:eastAsia="zh-CN" w:bidi="ar-SA"/>
    </w:rPr>
  </w:style>
  <w:style w:type="paragraph" w:styleId="927">
    <w:name w:val="目录 1_0"/>
    <w:basedOn w:val="926"/>
    <w:next w:val="926"/>
    <w:link w:val="674"/>
    <w:pPr>
      <w:jc w:val="center"/>
      <w:spacing w:line="440" w:lineRule="exact"/>
    </w:pPr>
  </w:style>
  <w:style w:type="paragraph" w:styleId="928">
    <w:name w:val="正文_8"/>
    <w:next w:val="928"/>
    <w:link w:val="674"/>
    <w:pPr>
      <w:jc w:val="both"/>
      <w:widowControl w:val="off"/>
    </w:pPr>
    <w:rPr>
      <w:sz w:val="21"/>
      <w:szCs w:val="24"/>
      <w:lang w:val="en-US" w:eastAsia="zh-CN" w:bidi="ar-SA"/>
    </w:rPr>
  </w:style>
  <w:style w:type="character" w:styleId="929">
    <w:name w:val="标题 3 字符_0"/>
    <w:next w:val="929"/>
    <w:link w:val="930"/>
    <w:rPr>
      <w:rFonts w:eastAsia="宋体"/>
      <w:b/>
      <w:bCs/>
      <w:sz w:val="32"/>
      <w:szCs w:val="32"/>
      <w:lang w:bidi="ar-SA"/>
    </w:rPr>
  </w:style>
  <w:style w:type="paragraph" w:styleId="930">
    <w:name w:val="标题 3_0_0"/>
    <w:basedOn w:val="928"/>
    <w:next w:val="928"/>
    <w:link w:val="929"/>
    <w:pPr>
      <w:keepLines/>
      <w:keepNext/>
      <w:spacing w:before="260" w:after="260" w:line="415" w:lineRule="auto"/>
      <w:outlineLvl w:val="2"/>
    </w:pPr>
    <w:rPr>
      <w:b/>
      <w:bCs/>
      <w:sz w:val="32"/>
      <w:szCs w:val="32"/>
    </w:rPr>
  </w:style>
  <w:style w:type="paragraph" w:styleId="931">
    <w:name w:val="正文_9"/>
    <w:next w:val="931"/>
    <w:link w:val="674"/>
    <w:pPr>
      <w:jc w:val="both"/>
      <w:widowControl w:val="off"/>
    </w:pPr>
    <w:rPr>
      <w:sz w:val="21"/>
      <w:szCs w:val="24"/>
      <w:lang w:val="en-US" w:eastAsia="zh-CN" w:bidi="ar-SA"/>
    </w:rPr>
  </w:style>
  <w:style w:type="paragraph" w:styleId="932">
    <w:name w:val="正文_10"/>
    <w:next w:val="932"/>
    <w:link w:val="674"/>
    <w:pPr>
      <w:jc w:val="both"/>
      <w:widowControl w:val="off"/>
    </w:pPr>
    <w:rPr>
      <w:sz w:val="21"/>
      <w:szCs w:val="24"/>
      <w:lang w:val="en-US" w:eastAsia="zh-CN" w:bidi="ar-SA"/>
    </w:rPr>
  </w:style>
  <w:style w:type="paragraph" w:styleId="933">
    <w:name w:val="正文_11"/>
    <w:next w:val="933"/>
    <w:link w:val="674"/>
    <w:pPr>
      <w:jc w:val="both"/>
      <w:widowControl w:val="off"/>
    </w:pPr>
    <w:rPr>
      <w:sz w:val="21"/>
      <w:szCs w:val="24"/>
      <w:lang w:val="en-US" w:eastAsia="zh-CN" w:bidi="ar-SA"/>
    </w:rPr>
  </w:style>
  <w:style w:type="paragraph" w:styleId="934">
    <w:name w:val="正文_12"/>
    <w:next w:val="934"/>
    <w:link w:val="674"/>
    <w:pPr>
      <w:jc w:val="both"/>
      <w:widowControl w:val="off"/>
    </w:pPr>
    <w:rPr>
      <w:sz w:val="21"/>
      <w:szCs w:val="24"/>
      <w:lang w:val="en-US" w:eastAsia="zh-CN" w:bidi="ar-SA"/>
    </w:rPr>
  </w:style>
  <w:style w:type="paragraph" w:styleId="935">
    <w:name w:val="正文_13"/>
    <w:next w:val="935"/>
    <w:link w:val="674"/>
    <w:pPr>
      <w:jc w:val="both"/>
      <w:widowControl w:val="off"/>
    </w:pPr>
    <w:rPr>
      <w:rFonts w:ascii="Calibri" w:hAnsi="Calibri"/>
      <w:sz w:val="21"/>
      <w:szCs w:val="22"/>
      <w:lang w:val="en-US" w:eastAsia="zh-CN" w:bidi="ar-SA"/>
    </w:rPr>
  </w:style>
  <w:style w:type="paragraph" w:styleId="936">
    <w:name w:val="Normal_9"/>
    <w:next w:val="936"/>
    <w:link w:val="674"/>
    <w:rPr>
      <w:rFonts w:ascii="黑体" w:hAnsi="黑体" w:eastAsia="黑体"/>
      <w:b/>
      <w:sz w:val="32"/>
      <w:szCs w:val="24"/>
      <w:lang w:val="en-US" w:eastAsia="zh-CN" w:bidi="ar-SA"/>
    </w:rPr>
  </w:style>
  <w:style w:type="paragraph" w:styleId="937">
    <w:name w:val="正文_14"/>
    <w:next w:val="937"/>
    <w:link w:val="674"/>
    <w:pPr>
      <w:jc w:val="both"/>
      <w:widowControl w:val="off"/>
    </w:pPr>
    <w:rPr>
      <w:sz w:val="21"/>
      <w:szCs w:val="24"/>
      <w:lang w:val="en-US" w:eastAsia="zh-CN" w:bidi="ar-SA"/>
    </w:rPr>
  </w:style>
  <w:style w:type="paragraph" w:styleId="938">
    <w:name w:val="列表接续 2_0"/>
    <w:basedOn w:val="937"/>
    <w:next w:val="938"/>
    <w:link w:val="674"/>
    <w:pPr>
      <w:ind w:left="840"/>
      <w:spacing w:after="120"/>
    </w:pPr>
  </w:style>
  <w:style w:type="paragraph" w:styleId="939">
    <w:name w:val="Normal_10"/>
    <w:next w:val="939"/>
    <w:link w:val="674"/>
    <w:rPr>
      <w:rFonts w:ascii="黑体" w:hAnsi="黑体" w:eastAsia="黑体"/>
      <w:b/>
      <w:sz w:val="32"/>
      <w:szCs w:val="24"/>
      <w:lang w:val="en-US" w:eastAsia="zh-CN" w:bidi="ar-SA"/>
    </w:rPr>
  </w:style>
  <w:style w:type="paragraph" w:styleId="940">
    <w:name w:val="正文_15"/>
    <w:next w:val="940"/>
    <w:link w:val="674"/>
    <w:pPr>
      <w:jc w:val="both"/>
      <w:widowControl w:val="off"/>
    </w:pPr>
    <w:rPr>
      <w:sz w:val="21"/>
      <w:szCs w:val="24"/>
      <w:lang w:val="en-US" w:eastAsia="zh-CN" w:bidi="ar-SA"/>
    </w:rPr>
  </w:style>
  <w:style w:type="paragraph" w:styleId="941">
    <w:name w:val="Normal_11"/>
    <w:next w:val="941"/>
    <w:link w:val="674"/>
    <w:rPr>
      <w:rFonts w:ascii="黑体" w:hAnsi="黑体" w:eastAsia="黑体"/>
      <w:b/>
      <w:sz w:val="32"/>
      <w:szCs w:val="24"/>
      <w:lang w:val="en-US" w:eastAsia="zh-CN" w:bidi="ar-SA"/>
    </w:rPr>
  </w:style>
  <w:style w:type="paragraph" w:styleId="942">
    <w:name w:val="正文_16"/>
    <w:next w:val="942"/>
    <w:link w:val="674"/>
    <w:pPr>
      <w:jc w:val="both"/>
      <w:widowControl w:val="off"/>
    </w:pPr>
    <w:rPr>
      <w:sz w:val="21"/>
      <w:szCs w:val="24"/>
      <w:lang w:val="en-US" w:eastAsia="zh-CN" w:bidi="ar-SA"/>
    </w:rPr>
  </w:style>
  <w:style w:type="paragraph" w:styleId="943">
    <w:name w:val="Normal_12"/>
    <w:next w:val="943"/>
    <w:link w:val="674"/>
    <w:rPr>
      <w:rFonts w:ascii="黑体" w:hAnsi="黑体" w:eastAsia="黑体"/>
      <w:b/>
      <w:sz w:val="32"/>
      <w:szCs w:val="24"/>
      <w:lang w:val="en-US" w:eastAsia="zh-CN" w:bidi="ar-SA"/>
    </w:rPr>
  </w:style>
  <w:style w:type="paragraph" w:styleId="944">
    <w:name w:val="Normal_13"/>
    <w:next w:val="944"/>
    <w:link w:val="674"/>
    <w:rPr>
      <w:rFonts w:ascii="黑体" w:hAnsi="黑体" w:eastAsia="黑体"/>
      <w:b/>
      <w:sz w:val="32"/>
      <w:szCs w:val="24"/>
      <w:lang w:val="en-US" w:eastAsia="zh-CN" w:bidi="ar-SA"/>
    </w:rPr>
  </w:style>
  <w:style w:type="paragraph" w:styleId="945">
    <w:name w:val="正文_17"/>
    <w:next w:val="945"/>
    <w:link w:val="674"/>
    <w:pPr>
      <w:jc w:val="both"/>
      <w:widowControl w:val="off"/>
    </w:pPr>
    <w:rPr>
      <w:rFonts w:ascii="Calibri" w:hAnsi="Calibri"/>
      <w:sz w:val="21"/>
      <w:szCs w:val="22"/>
      <w:lang w:val="en-US" w:eastAsia="zh-CN" w:bidi="ar-SA"/>
    </w:rPr>
  </w:style>
  <w:style w:type="paragraph" w:styleId="946">
    <w:name w:val="Normal_14"/>
    <w:next w:val="946"/>
    <w:link w:val="674"/>
    <w:rPr>
      <w:rFonts w:ascii="黑体" w:hAnsi="黑体" w:eastAsia="黑体"/>
      <w:b/>
      <w:sz w:val="32"/>
      <w:szCs w:val="24"/>
      <w:lang w:val="en-US" w:eastAsia="zh-CN" w:bidi="ar-SA"/>
    </w:rPr>
  </w:style>
  <w:style w:type="paragraph" w:styleId="947">
    <w:name w:val="正文_18"/>
    <w:next w:val="947"/>
    <w:link w:val="674"/>
    <w:pPr>
      <w:jc w:val="both"/>
      <w:widowControl w:val="off"/>
    </w:pPr>
    <w:rPr>
      <w:rFonts w:ascii="Calibri" w:hAnsi="Calibri"/>
      <w:sz w:val="21"/>
      <w:szCs w:val="22"/>
      <w:lang w:val="en-US" w:eastAsia="zh-CN" w:bidi="ar-SA"/>
    </w:rPr>
  </w:style>
  <w:style w:type="paragraph" w:styleId="948">
    <w:name w:val="Normal_15"/>
    <w:next w:val="948"/>
    <w:link w:val="674"/>
    <w:rPr>
      <w:rFonts w:ascii="黑体" w:hAnsi="黑体" w:eastAsia="黑体"/>
      <w:b/>
      <w:sz w:val="32"/>
      <w:szCs w:val="24"/>
      <w:lang w:val="en-US" w:eastAsia="zh-CN" w:bidi="ar-SA"/>
    </w:rPr>
  </w:style>
  <w:style w:type="paragraph" w:styleId="949">
    <w:name w:val="正文_19"/>
    <w:next w:val="949"/>
    <w:link w:val="674"/>
    <w:pPr>
      <w:jc w:val="both"/>
      <w:widowControl w:val="off"/>
    </w:pPr>
    <w:rPr>
      <w:rFonts w:ascii="Calibri" w:hAnsi="Calibri"/>
      <w:sz w:val="21"/>
      <w:szCs w:val="22"/>
      <w:lang w:val="en-US" w:eastAsia="zh-CN" w:bidi="ar-SA"/>
    </w:rPr>
  </w:style>
  <w:style w:type="paragraph" w:styleId="950">
    <w:name w:val="Normal_0_0"/>
    <w:next w:val="950"/>
    <w:link w:val="674"/>
    <w:rPr>
      <w:rFonts w:ascii="黑体" w:hAnsi="黑体" w:eastAsia="黑体"/>
      <w:b/>
      <w:sz w:val="40"/>
      <w:szCs w:val="24"/>
      <w:lang w:val="en-US" w:eastAsia="zh-CN" w:bidi="ar-SA"/>
    </w:rPr>
  </w:style>
  <w:style w:type="paragraph" w:styleId="951">
    <w:name w:val="Normal_1_0"/>
    <w:next w:val="951"/>
    <w:link w:val="674"/>
    <w:rPr>
      <w:rFonts w:eastAsia="Times New Roman"/>
      <w:sz w:val="24"/>
      <w:szCs w:val="24"/>
      <w:lang w:val="en-US" w:eastAsia="zh-CN" w:bidi="ar-SA"/>
    </w:rPr>
  </w:style>
  <w:style w:type="paragraph" w:styleId="952">
    <w:name w:val="Normal_0_1"/>
    <w:next w:val="952"/>
    <w:link w:val="674"/>
    <w:rPr>
      <w:rFonts w:ascii="黑体" w:hAnsi="黑体" w:eastAsia="黑体"/>
      <w:b/>
      <w:sz w:val="32"/>
      <w:szCs w:val="24"/>
      <w:lang w:val="en-US" w:eastAsia="zh-CN" w:bidi="ar-SA"/>
    </w:rPr>
  </w:style>
  <w:style w:type="paragraph" w:styleId="953">
    <w:name w:val="正文_20"/>
    <w:next w:val="953"/>
    <w:link w:val="674"/>
    <w:pPr>
      <w:jc w:val="both"/>
      <w:widowControl w:val="off"/>
    </w:pPr>
    <w:rPr>
      <w:sz w:val="21"/>
      <w:szCs w:val="24"/>
      <w:lang w:val="en-US" w:eastAsia="zh-CN" w:bidi="ar-SA"/>
    </w:rPr>
  </w:style>
  <w:style w:type="paragraph" w:styleId="954">
    <w:name w:val="Default"/>
    <w:next w:val="954"/>
    <w:link w:val="674"/>
    <w:pPr>
      <w:widowControl w:val="off"/>
    </w:pPr>
    <w:rPr>
      <w:color w:val="000000"/>
      <w:sz w:val="24"/>
      <w:szCs w:val="24"/>
      <w:lang w:val="en-US" w:eastAsia="zh-CN" w:bidi="ar-SA"/>
    </w:rPr>
  </w:style>
  <w:style w:type="character" w:styleId="955">
    <w:name w:val="标题 1 Char_0"/>
    <w:next w:val="955"/>
    <w:link w:val="956"/>
    <w:rPr>
      <w:rFonts w:eastAsia="宋体"/>
      <w:b/>
      <w:bCs/>
      <w:sz w:val="44"/>
      <w:szCs w:val="44"/>
      <w:lang w:bidi="ar-SA"/>
    </w:rPr>
  </w:style>
  <w:style w:type="paragraph" w:styleId="956">
    <w:name w:val="标题 1_0"/>
    <w:basedOn w:val="838"/>
    <w:next w:val="838"/>
    <w:link w:val="955"/>
    <w:pPr>
      <w:keepLines/>
      <w:keepNext/>
      <w:spacing w:before="340" w:after="330" w:line="576" w:lineRule="auto"/>
      <w:outlineLvl w:val="0"/>
    </w:pPr>
    <w:rPr>
      <w:b/>
      <w:bCs/>
      <w:sz w:val="44"/>
      <w:szCs w:val="44"/>
    </w:rPr>
  </w:style>
  <w:style w:type="paragraph" w:styleId="957">
    <w:name w:val="正文_21_0_0"/>
    <w:next w:val="957"/>
    <w:link w:val="674"/>
    <w:pPr>
      <w:jc w:val="both"/>
      <w:widowControl w:val="off"/>
    </w:pPr>
    <w:rPr>
      <w:rFonts w:ascii="Calibri" w:hAnsi="Calibri" w:cs="Calibri"/>
      <w:lang w:val="en-US" w:eastAsia="zh-CN" w:bidi="ar-SA"/>
    </w:rPr>
  </w:style>
  <w:style w:type="paragraph" w:styleId="958">
    <w:name w:val="TOC 标题_0"/>
    <w:basedOn w:val="735"/>
    <w:next w:val="957"/>
    <w:link w:val="674"/>
    <w:pPr>
      <w:keepLines/>
      <w:keepNext/>
      <w:spacing w:before="340" w:after="330" w:line="576" w:lineRule="auto"/>
    </w:pPr>
    <w:rPr>
      <w:rFonts w:eastAsia="仿宋"/>
      <w:b/>
      <w:bCs/>
      <w:sz w:val="44"/>
      <w:szCs w:val="44"/>
    </w:rPr>
  </w:style>
  <w:style w:type="paragraph" w:styleId="959">
    <w:name w:val="正文_21_1"/>
    <w:next w:val="959"/>
    <w:link w:val="674"/>
    <w:pPr>
      <w:jc w:val="both"/>
      <w:widowControl w:val="off"/>
    </w:pPr>
    <w:rPr>
      <w:rFonts w:ascii="Calibri" w:hAnsi="Calibri"/>
      <w:sz w:val="21"/>
      <w:szCs w:val="22"/>
      <w:lang w:val="en-US" w:eastAsia="zh-CN" w:bidi="ar-SA"/>
    </w:rPr>
  </w:style>
  <w:style w:type="paragraph" w:styleId="960">
    <w:name w:val="正文_4_0_0"/>
    <w:next w:val="960"/>
    <w:link w:val="674"/>
    <w:pPr>
      <w:jc w:val="both"/>
      <w:widowControl w:val="off"/>
    </w:pPr>
    <w:rPr>
      <w:rFonts w:ascii="Calibri" w:hAnsi="Calibri"/>
      <w:sz w:val="21"/>
      <w:szCs w:val="22"/>
      <w:lang w:val="en-US" w:eastAsia="zh-CN" w:bidi="ar-SA"/>
    </w:rPr>
  </w:style>
  <w:style w:type="paragraph" w:styleId="961">
    <w:name w:val="普通(网站)_0"/>
    <w:basedOn w:val="733"/>
    <w:next w:val="961"/>
    <w:link w:val="674"/>
    <w:rPr>
      <w:sz w:val="24"/>
    </w:rPr>
  </w:style>
  <w:style w:type="paragraph" w:styleId="962">
    <w:name w:val="正文_22"/>
    <w:next w:val="962"/>
    <w:link w:val="674"/>
    <w:pPr>
      <w:jc w:val="both"/>
      <w:widowControl w:val="off"/>
    </w:pPr>
    <w:rPr>
      <w:sz w:val="21"/>
      <w:szCs w:val="22"/>
      <w:lang w:val="en-US" w:eastAsia="zh-CN" w:bidi="ar-SA"/>
    </w:rPr>
  </w:style>
  <w:style w:type="paragraph" w:styleId="963">
    <w:name w:val="Normal_0_2"/>
    <w:next w:val="963"/>
    <w:link w:val="674"/>
    <w:rPr>
      <w:rFonts w:ascii="黑体" w:hAnsi="黑体" w:eastAsia="黑体"/>
      <w:b/>
      <w:sz w:val="32"/>
      <w:szCs w:val="24"/>
      <w:lang w:val="en-US" w:eastAsia="zh-CN" w:bidi="ar-SA"/>
    </w:rPr>
  </w:style>
  <w:style w:type="paragraph" w:styleId="964">
    <w:name w:val="正文_6_1"/>
    <w:next w:val="964"/>
    <w:link w:val="674"/>
    <w:pPr>
      <w:jc w:val="both"/>
      <w:widowControl w:val="off"/>
    </w:pPr>
    <w:rPr>
      <w:rFonts w:ascii="Calibri" w:hAnsi="Calibri"/>
      <w:sz w:val="21"/>
      <w:szCs w:val="22"/>
      <w:lang w:val="en-US" w:eastAsia="zh-CN" w:bidi="ar-SA"/>
    </w:rPr>
  </w:style>
  <w:style w:type="paragraph" w:styleId="965">
    <w:name w:val="Normal_1_1"/>
    <w:next w:val="965"/>
    <w:link w:val="674"/>
    <w:pPr>
      <w:jc w:val="both"/>
      <w:widowControl w:val="off"/>
    </w:pPr>
    <w:rPr>
      <w:rFonts w:ascii="Calibri" w:hAnsi="Calibri"/>
      <w:sz w:val="21"/>
      <w:szCs w:val="22"/>
      <w:lang w:val="en-US" w:eastAsia="zh-CN" w:bidi="ar-SA"/>
    </w:rPr>
  </w:style>
  <w:style w:type="paragraph" w:styleId="966">
    <w:name w:val="Normal_2_0"/>
    <w:next w:val="966"/>
    <w:link w:val="674"/>
    <w:rPr>
      <w:rFonts w:ascii="黑体" w:hAnsi="黑体" w:eastAsia="黑体"/>
      <w:b/>
      <w:sz w:val="32"/>
      <w:szCs w:val="24"/>
      <w:lang w:val="en-US" w:eastAsia="zh-CN" w:bidi="ar-SA"/>
    </w:rPr>
  </w:style>
  <w:style w:type="paragraph" w:styleId="967">
    <w:name w:val="正文_23"/>
    <w:next w:val="967"/>
    <w:link w:val="674"/>
    <w:pPr>
      <w:jc w:val="both"/>
      <w:widowControl w:val="off"/>
    </w:pPr>
    <w:rPr>
      <w:rFonts w:ascii="Calibri" w:hAnsi="Calibri"/>
      <w:sz w:val="21"/>
      <w:szCs w:val="22"/>
      <w:lang w:val="en-US" w:eastAsia="zh-CN" w:bidi="ar-SA"/>
    </w:rPr>
  </w:style>
  <w:style w:type="paragraph" w:styleId="968">
    <w:name w:val="正文_0_2_0"/>
    <w:next w:val="968"/>
    <w:link w:val="674"/>
    <w:pPr>
      <w:jc w:val="both"/>
      <w:widowControl w:val="off"/>
    </w:pPr>
    <w:rPr>
      <w:sz w:val="21"/>
      <w:szCs w:val="24"/>
      <w:lang w:val="en-US" w:eastAsia="zh-CN" w:bidi="ar-SA"/>
    </w:rPr>
  </w:style>
  <w:style w:type="paragraph" w:styleId="969">
    <w:name w:val="Normal_3_0"/>
    <w:next w:val="969"/>
    <w:link w:val="674"/>
    <w:rPr>
      <w:rFonts w:ascii="黑体" w:hAnsi="黑体" w:eastAsia="黑体"/>
      <w:b/>
      <w:sz w:val="32"/>
      <w:szCs w:val="24"/>
      <w:lang w:val="en-US" w:eastAsia="zh-CN" w:bidi="ar-SA"/>
    </w:rPr>
  </w:style>
  <w:style w:type="paragraph" w:styleId="970">
    <w:name w:val="正文_0_3"/>
    <w:next w:val="970"/>
    <w:link w:val="674"/>
    <w:pPr>
      <w:jc w:val="both"/>
      <w:widowControl w:val="off"/>
    </w:pPr>
    <w:rPr>
      <w:rFonts w:ascii="Calibri" w:hAnsi="Calibri"/>
      <w:sz w:val="21"/>
      <w:szCs w:val="22"/>
      <w:lang w:val="en-US" w:eastAsia="zh-CN" w:bidi="ar-SA"/>
    </w:rPr>
  </w:style>
  <w:style w:type="paragraph" w:styleId="971">
    <w:name w:val="正文_1_1_0"/>
    <w:next w:val="971"/>
    <w:link w:val="674"/>
    <w:pPr>
      <w:jc w:val="both"/>
      <w:widowControl w:val="off"/>
    </w:pPr>
    <w:rPr>
      <w:sz w:val="21"/>
      <w:szCs w:val="24"/>
      <w:lang w:val="en-US" w:eastAsia="zh-CN" w:bidi="ar-SA"/>
    </w:rPr>
  </w:style>
  <w:style w:type="paragraph" w:styleId="972">
    <w:name w:val="Normal_4_0"/>
    <w:next w:val="972"/>
    <w:link w:val="674"/>
    <w:rPr>
      <w:rFonts w:ascii="黑体" w:hAnsi="黑体" w:eastAsia="黑体"/>
      <w:b/>
      <w:sz w:val="32"/>
      <w:szCs w:val="24"/>
      <w:lang w:val="en-US" w:eastAsia="zh-CN" w:bidi="ar-SA"/>
    </w:rPr>
  </w:style>
  <w:style w:type="paragraph" w:styleId="973">
    <w:name w:val="正文_2_0_0"/>
    <w:next w:val="973"/>
    <w:link w:val="674"/>
    <w:pPr>
      <w:jc w:val="both"/>
      <w:widowControl w:val="off"/>
    </w:pPr>
    <w:rPr>
      <w:rFonts w:ascii="Calibri" w:hAnsi="Calibri"/>
      <w:sz w:val="21"/>
      <w:szCs w:val="22"/>
      <w:lang w:val="en-US" w:eastAsia="zh-CN" w:bidi="ar-SA"/>
    </w:rPr>
  </w:style>
  <w:style w:type="paragraph" w:styleId="974">
    <w:name w:val="正文_1_2"/>
    <w:next w:val="974"/>
    <w:link w:val="674"/>
    <w:pPr>
      <w:jc w:val="both"/>
      <w:widowControl w:val="off"/>
    </w:pPr>
    <w:rPr>
      <w:rFonts w:ascii="Calibri" w:hAnsi="Calibri"/>
      <w:sz w:val="21"/>
      <w:szCs w:val="22"/>
      <w:lang w:val="en-US" w:eastAsia="zh-CN" w:bidi="ar-SA"/>
    </w:rPr>
  </w:style>
  <w:style w:type="paragraph" w:styleId="975">
    <w:name w:val="Normal_4_0_0"/>
    <w:next w:val="975"/>
    <w:link w:val="674"/>
    <w:rPr>
      <w:rFonts w:ascii="黑体" w:hAnsi="黑体" w:eastAsia="黑体"/>
      <w:b/>
      <w:sz w:val="32"/>
      <w:szCs w:val="24"/>
      <w:lang w:val="en-US" w:eastAsia="zh-CN" w:bidi="ar-SA"/>
    </w:rPr>
  </w:style>
  <w:style w:type="paragraph" w:styleId="976">
    <w:name w:val="正文_3_0_0"/>
    <w:next w:val="976"/>
    <w:link w:val="674"/>
    <w:pPr>
      <w:jc w:val="both"/>
      <w:widowControl w:val="off"/>
    </w:pPr>
    <w:rPr>
      <w:sz w:val="21"/>
      <w:lang w:val="en-US" w:eastAsia="zh-CN" w:bidi="ar-SA"/>
    </w:rPr>
  </w:style>
  <w:style w:type="paragraph" w:styleId="977">
    <w:name w:val="Normal_7_0"/>
    <w:next w:val="977"/>
    <w:link w:val="674"/>
    <w:rPr>
      <w:rFonts w:ascii="黑体" w:hAnsi="黑体" w:eastAsia="黑体"/>
      <w:b/>
      <w:sz w:val="32"/>
      <w:szCs w:val="24"/>
      <w:lang w:val="en-US" w:eastAsia="zh-CN" w:bidi="ar-SA"/>
    </w:rPr>
  </w:style>
  <w:style w:type="paragraph" w:styleId="978">
    <w:name w:val="Normal_8_0"/>
    <w:next w:val="978"/>
    <w:link w:val="674"/>
    <w:pPr>
      <w:jc w:val="both"/>
      <w:widowControl w:val="off"/>
    </w:pPr>
    <w:rPr>
      <w:rFonts w:ascii="Calibri" w:hAnsi="Calibri"/>
      <w:sz w:val="21"/>
      <w:szCs w:val="22"/>
      <w:lang w:val="en-US" w:eastAsia="zh-CN" w:bidi="ar-SA"/>
    </w:rPr>
  </w:style>
  <w:style w:type="paragraph" w:styleId="979">
    <w:name w:val="正文_7_0"/>
    <w:next w:val="979"/>
    <w:link w:val="674"/>
    <w:pPr>
      <w:jc w:val="both"/>
      <w:widowControl w:val="off"/>
    </w:pPr>
    <w:rPr>
      <w:rFonts w:ascii="Calibri" w:hAnsi="Calibri"/>
      <w:sz w:val="21"/>
      <w:szCs w:val="22"/>
      <w:lang w:val="en-US" w:eastAsia="zh-CN" w:bidi="ar-SA"/>
    </w:rPr>
  </w:style>
  <w:style w:type="paragraph" w:styleId="980">
    <w:name w:val="目录 1_0_0"/>
    <w:basedOn w:val="978"/>
    <w:next w:val="978"/>
    <w:link w:val="674"/>
    <w:pPr>
      <w:jc w:val="left"/>
      <w:spacing w:line="410" w:lineRule="atLeast"/>
    </w:pPr>
    <w:rPr>
      <w:rFonts w:ascii="宋体" w:hAnsi="Times New Roman"/>
      <w:sz w:val="24"/>
      <w:szCs w:val="20"/>
    </w:rPr>
  </w:style>
  <w:style w:type="paragraph" w:styleId="981">
    <w:name w:val="Normal_9_0"/>
    <w:next w:val="981"/>
    <w:link w:val="674"/>
    <w:pPr>
      <w:spacing w:after="160" w:line="256" w:lineRule="auto"/>
    </w:pPr>
    <w:rPr>
      <w:rFonts w:ascii="Calibri" w:hAnsi="Calibri"/>
      <w:sz w:val="22"/>
      <w:szCs w:val="22"/>
      <w:lang w:val="en-US" w:eastAsia="zh-CN" w:bidi="ar-SA"/>
    </w:rPr>
  </w:style>
  <w:style w:type="paragraph" w:styleId="982">
    <w:name w:val="Normal_10_0"/>
    <w:next w:val="982"/>
    <w:link w:val="674"/>
    <w:pPr>
      <w:jc w:val="both"/>
      <w:widowControl w:val="off"/>
    </w:pPr>
    <w:rPr>
      <w:rFonts w:ascii="Calibri" w:hAnsi="Calibri"/>
      <w:sz w:val="21"/>
      <w:szCs w:val="22"/>
      <w:lang w:val="en-US" w:eastAsia="zh-CN" w:bidi="ar-SA"/>
    </w:rPr>
  </w:style>
  <w:style w:type="paragraph" w:styleId="983">
    <w:name w:val="Normal_11_0"/>
    <w:next w:val="983"/>
    <w:link w:val="674"/>
    <w:rPr>
      <w:rFonts w:ascii="黑体" w:hAnsi="黑体" w:eastAsia="黑体"/>
      <w:b/>
      <w:sz w:val="32"/>
      <w:szCs w:val="24"/>
      <w:lang w:val="en-US" w:eastAsia="zh-CN" w:bidi="ar-SA"/>
    </w:rPr>
  </w:style>
  <w:style w:type="paragraph" w:styleId="984">
    <w:name w:val="正文_2_1"/>
    <w:next w:val="984"/>
    <w:link w:val="674"/>
    <w:pPr>
      <w:jc w:val="both"/>
      <w:widowControl w:val="off"/>
    </w:pPr>
    <w:rPr>
      <w:rFonts w:ascii="Calibri" w:hAnsi="Calibri"/>
      <w:sz w:val="21"/>
      <w:szCs w:val="22"/>
      <w:lang w:val="en-US" w:eastAsia="zh-CN" w:bidi="ar-SA"/>
    </w:rPr>
  </w:style>
  <w:style w:type="paragraph" w:styleId="985">
    <w:name w:val="正文_8_0"/>
    <w:next w:val="985"/>
    <w:link w:val="674"/>
    <w:pPr>
      <w:jc w:val="both"/>
      <w:widowControl w:val="off"/>
    </w:pPr>
    <w:rPr>
      <w:sz w:val="21"/>
      <w:szCs w:val="24"/>
      <w:lang w:val="en-US" w:eastAsia="zh-CN" w:bidi="ar-SA"/>
    </w:rPr>
  </w:style>
  <w:style w:type="paragraph" w:styleId="986">
    <w:name w:val="正文_3_1"/>
    <w:next w:val="986"/>
    <w:link w:val="674"/>
    <w:pPr>
      <w:spacing w:after="160" w:line="256" w:lineRule="auto"/>
    </w:pPr>
    <w:rPr>
      <w:rFonts w:ascii="Calibri" w:hAnsi="Calibri"/>
      <w:sz w:val="22"/>
      <w:szCs w:val="22"/>
      <w:lang w:val="en-US" w:eastAsia="zh-CN" w:bidi="ar-SA"/>
    </w:rPr>
  </w:style>
  <w:style w:type="paragraph" w:styleId="987">
    <w:name w:val="Normal_12_0"/>
    <w:next w:val="987"/>
    <w:link w:val="674"/>
    <w:rPr>
      <w:rFonts w:ascii="黑体" w:hAnsi="黑体" w:eastAsia="黑体"/>
      <w:b/>
      <w:sz w:val="32"/>
      <w:szCs w:val="24"/>
      <w:lang w:val="en-US" w:eastAsia="zh-CN" w:bidi="ar-SA"/>
    </w:rPr>
  </w:style>
  <w:style w:type="paragraph" w:styleId="988">
    <w:name w:val="Normal_8_0_0"/>
    <w:next w:val="988"/>
    <w:link w:val="674"/>
    <w:rPr>
      <w:rFonts w:ascii="黑体" w:hAnsi="黑体" w:eastAsia="黑体"/>
      <w:b/>
      <w:sz w:val="32"/>
      <w:szCs w:val="24"/>
      <w:lang w:val="en-US" w:eastAsia="zh-CN" w:bidi="ar-SA"/>
    </w:rPr>
  </w:style>
  <w:style w:type="paragraph" w:styleId="989">
    <w:name w:val="Normal_13_0"/>
    <w:next w:val="989"/>
    <w:link w:val="674"/>
    <w:rPr>
      <w:rFonts w:ascii="黑体" w:hAnsi="黑体" w:eastAsia="黑体"/>
      <w:b/>
      <w:sz w:val="32"/>
      <w:szCs w:val="24"/>
      <w:lang w:val="en-US" w:eastAsia="zh-CN" w:bidi="ar-SA"/>
    </w:rPr>
  </w:style>
  <w:style w:type="paragraph" w:styleId="990">
    <w:name w:val="正文_5_2"/>
    <w:next w:val="990"/>
    <w:link w:val="674"/>
    <w:pPr>
      <w:jc w:val="both"/>
      <w:widowControl w:val="off"/>
    </w:pPr>
    <w:rPr>
      <w:rFonts w:ascii="Calibri" w:hAnsi="Calibri"/>
      <w:sz w:val="21"/>
      <w:szCs w:val="22"/>
      <w:lang w:val="en-US" w:eastAsia="zh-CN" w:bidi="ar-SA"/>
    </w:rPr>
  </w:style>
  <w:style w:type="paragraph" w:styleId="991">
    <w:name w:val="正文_7_0_0"/>
    <w:next w:val="991"/>
    <w:link w:val="674"/>
    <w:pPr>
      <w:jc w:val="both"/>
      <w:widowControl w:val="off"/>
    </w:pPr>
    <w:rPr>
      <w:rFonts w:ascii="Calibri" w:hAnsi="Calibri"/>
      <w:sz w:val="21"/>
      <w:szCs w:val="22"/>
      <w:lang w:val="en-US" w:eastAsia="zh-CN" w:bidi="ar-SA"/>
    </w:rPr>
  </w:style>
  <w:style w:type="paragraph" w:styleId="992">
    <w:name w:val="样式 标题 3 + (中文) 黑体 小四 非加粗 段前: 7.8 磅 段后: 0 磅 行距: 固定值 20 磅_2_0"/>
    <w:basedOn w:val="990"/>
    <w:next w:val="992"/>
    <w:link w:val="674"/>
    <w:pPr>
      <w:keepLines/>
      <w:keepNext/>
      <w:spacing w:line="400" w:lineRule="exact"/>
      <w:outlineLvl w:val="2"/>
    </w:pPr>
    <w:rPr>
      <w:rFonts w:ascii="Times New Roman" w:hAnsi="Times New Roman" w:eastAsia="黑体"/>
      <w:sz w:val="24"/>
      <w:szCs w:val="20"/>
    </w:rPr>
  </w:style>
  <w:style w:type="paragraph" w:styleId="993">
    <w:name w:val="正文_10_0"/>
    <w:next w:val="993"/>
    <w:link w:val="674"/>
    <w:pPr>
      <w:jc w:val="both"/>
      <w:widowControl w:val="off"/>
    </w:pPr>
    <w:rPr>
      <w:sz w:val="21"/>
      <w:szCs w:val="24"/>
      <w:lang w:val="en-US" w:eastAsia="zh-CN" w:bidi="ar-SA"/>
    </w:rPr>
  </w:style>
  <w:style w:type="paragraph" w:styleId="994">
    <w:name w:val="Normal_14_0"/>
    <w:next w:val="994"/>
    <w:link w:val="674"/>
    <w:rPr>
      <w:rFonts w:ascii="黑体" w:hAnsi="黑体" w:eastAsia="黑体"/>
      <w:b/>
      <w:sz w:val="32"/>
      <w:szCs w:val="24"/>
      <w:lang w:val="en-US" w:eastAsia="zh-CN" w:bidi="ar-SA"/>
    </w:rPr>
  </w:style>
  <w:style w:type="paragraph" w:styleId="995">
    <w:name w:val="正文_9_0"/>
    <w:next w:val="995"/>
    <w:link w:val="674"/>
    <w:pPr>
      <w:jc w:val="both"/>
      <w:widowControl w:val="off"/>
    </w:pPr>
    <w:rPr>
      <w:rFonts w:ascii="Calibri" w:hAnsi="Calibri"/>
      <w:sz w:val="21"/>
      <w:szCs w:val="22"/>
      <w:lang w:val="en-US" w:eastAsia="zh-CN" w:bidi="ar-SA"/>
    </w:rPr>
  </w:style>
  <w:style w:type="paragraph" w:styleId="996">
    <w:name w:val="正文_4_0_1"/>
    <w:next w:val="996"/>
    <w:link w:val="674"/>
    <w:pPr>
      <w:jc w:val="both"/>
      <w:widowControl w:val="off"/>
    </w:pPr>
    <w:rPr>
      <w:rFonts w:ascii="Calibri" w:hAnsi="Calibri"/>
      <w:sz w:val="21"/>
      <w:szCs w:val="22"/>
      <w:lang w:val="en-US" w:eastAsia="zh-CN" w:bidi="ar-SA"/>
    </w:rPr>
  </w:style>
  <w:style w:type="paragraph" w:styleId="997">
    <w:name w:val="Normal_15_0"/>
    <w:next w:val="997"/>
    <w:link w:val="674"/>
    <w:rPr>
      <w:rFonts w:ascii="黑体" w:hAnsi="黑体" w:eastAsia="黑体"/>
      <w:b/>
      <w:sz w:val="32"/>
      <w:szCs w:val="24"/>
      <w:lang w:val="en-US" w:eastAsia="zh-CN" w:bidi="ar-SA"/>
    </w:rPr>
  </w:style>
  <w:style w:type="paragraph" w:styleId="998">
    <w:name w:val="正文_11_0"/>
    <w:next w:val="998"/>
    <w:link w:val="674"/>
    <w:pPr>
      <w:jc w:val="both"/>
      <w:widowControl w:val="off"/>
    </w:pPr>
    <w:rPr>
      <w:rFonts w:ascii="Calibri" w:hAnsi="Calibri"/>
      <w:sz w:val="21"/>
      <w:szCs w:val="22"/>
      <w:lang w:val="en-US" w:eastAsia="zh-CN" w:bidi="ar-SA"/>
    </w:rPr>
  </w:style>
  <w:style w:type="paragraph" w:styleId="999">
    <w:name w:val="正文_6_0_0"/>
    <w:next w:val="999"/>
    <w:link w:val="674"/>
    <w:pPr>
      <w:jc w:val="both"/>
      <w:widowControl w:val="off"/>
    </w:pPr>
    <w:rPr>
      <w:rFonts w:ascii="Calibri" w:hAnsi="Calibri"/>
      <w:sz w:val="21"/>
      <w:szCs w:val="22"/>
      <w:lang w:val="en-US" w:eastAsia="zh-CN" w:bidi="ar-SA"/>
    </w:rPr>
  </w:style>
  <w:style w:type="paragraph" w:styleId="1000">
    <w:name w:val="Normal_16_0"/>
    <w:next w:val="1000"/>
    <w:link w:val="674"/>
    <w:rPr>
      <w:rFonts w:ascii="黑体" w:hAnsi="黑体" w:eastAsia="黑体"/>
      <w:b/>
      <w:sz w:val="32"/>
      <w:szCs w:val="24"/>
      <w:lang w:val="en-US" w:eastAsia="zh-CN" w:bidi="ar-SA"/>
    </w:rPr>
  </w:style>
  <w:style w:type="paragraph" w:styleId="1001">
    <w:name w:val="Normal_18"/>
    <w:next w:val="1001"/>
    <w:link w:val="674"/>
    <w:rPr>
      <w:rFonts w:ascii="黑体" w:hAnsi="黑体" w:eastAsia="黑体"/>
      <w:b/>
      <w:sz w:val="32"/>
      <w:szCs w:val="24"/>
      <w:lang w:val="en-US" w:eastAsia="zh-CN" w:bidi="ar-SA"/>
    </w:rPr>
  </w:style>
  <w:style w:type="paragraph" w:styleId="1002">
    <w:name w:val="正文_16_0"/>
    <w:next w:val="1002"/>
    <w:link w:val="674"/>
    <w:pPr>
      <w:jc w:val="both"/>
      <w:widowControl w:val="off"/>
    </w:pPr>
    <w:rPr>
      <w:rFonts w:ascii="Calibri" w:hAnsi="Calibri"/>
      <w:lang w:val="en-US" w:eastAsia="zh-CN" w:bidi="ar-SA"/>
    </w:rPr>
  </w:style>
  <w:style w:type="paragraph" w:styleId="1003">
    <w:name w:val="正文_16_1"/>
    <w:next w:val="1003"/>
    <w:link w:val="674"/>
    <w:pPr>
      <w:jc w:val="both"/>
      <w:widowControl w:val="off"/>
    </w:pPr>
    <w:rPr>
      <w:rFonts w:ascii="Calibri" w:hAnsi="Calibri"/>
      <w:szCs w:val="24"/>
      <w:lang w:val="en-US" w:eastAsia="zh-CN" w:bidi="ar-SA"/>
    </w:rPr>
  </w:style>
  <w:style w:type="paragraph" w:styleId="1004">
    <w:name w:val="正文_15_1"/>
    <w:next w:val="1004"/>
    <w:link w:val="674"/>
    <w:pPr>
      <w:jc w:val="both"/>
      <w:widowControl w:val="off"/>
    </w:pPr>
    <w:rPr>
      <w:rFonts w:ascii="Calibri" w:hAnsi="Calibri"/>
      <w:szCs w:val="24"/>
      <w:lang w:val="en-US" w:eastAsia="zh-CN" w:bidi="ar-SA"/>
    </w:rPr>
  </w:style>
  <w:style w:type="paragraph" w:styleId="1005">
    <w:name w:val="Normal_19"/>
    <w:next w:val="1005"/>
    <w:link w:val="674"/>
    <w:rPr>
      <w:rFonts w:ascii="黑体" w:hAnsi="黑体" w:eastAsia="黑体"/>
      <w:b/>
      <w:sz w:val="32"/>
      <w:szCs w:val="24"/>
      <w:lang w:val="en-US" w:eastAsia="zh-CN" w:bidi="ar-SA"/>
    </w:rPr>
  </w:style>
  <w:style w:type="paragraph" w:styleId="1006">
    <w:name w:val="正文_17_0"/>
    <w:next w:val="1006"/>
    <w:link w:val="674"/>
    <w:pPr>
      <w:jc w:val="both"/>
      <w:widowControl w:val="off"/>
    </w:pPr>
    <w:rPr>
      <w:rFonts w:ascii="Calibri" w:hAnsi="Calibri"/>
      <w:sz w:val="21"/>
      <w:szCs w:val="22"/>
      <w:lang w:val="en-US" w:eastAsia="zh-CN" w:bidi="ar-SA"/>
    </w:rPr>
  </w:style>
  <w:style w:type="paragraph" w:styleId="1007">
    <w:name w:val="正文_12_0"/>
    <w:next w:val="1007"/>
    <w:link w:val="674"/>
    <w:pPr>
      <w:jc w:val="both"/>
      <w:widowControl w:val="off"/>
    </w:pPr>
    <w:rPr>
      <w:rFonts w:ascii="Calibri" w:hAnsi="Calibri"/>
      <w:sz w:val="21"/>
      <w:szCs w:val="22"/>
      <w:lang w:val="en-US" w:eastAsia="zh-CN" w:bidi="ar-SA"/>
    </w:rPr>
  </w:style>
  <w:style w:type="paragraph" w:styleId="1008">
    <w:name w:val="正文_13_0"/>
    <w:next w:val="1008"/>
    <w:link w:val="674"/>
    <w:pPr>
      <w:jc w:val="both"/>
      <w:widowControl w:val="off"/>
    </w:pPr>
    <w:rPr>
      <w:rFonts w:ascii="Calibri" w:hAnsi="Calibri"/>
      <w:sz w:val="21"/>
      <w:szCs w:val="22"/>
      <w:lang w:val="en-US" w:eastAsia="zh-CN" w:bidi="ar-SA"/>
    </w:rPr>
  </w:style>
  <w:style w:type="paragraph" w:styleId="1009">
    <w:name w:val="正文_18_0"/>
    <w:next w:val="1009"/>
    <w:link w:val="674"/>
    <w:pPr>
      <w:jc w:val="both"/>
      <w:widowControl w:val="off"/>
    </w:pPr>
    <w:rPr>
      <w:rFonts w:ascii="Calibri" w:hAnsi="Calibri"/>
      <w:sz w:val="21"/>
      <w:szCs w:val="22"/>
      <w:lang w:val="en-US" w:eastAsia="zh-CN" w:bidi="ar-SA"/>
    </w:rPr>
  </w:style>
  <w:style w:type="paragraph" w:styleId="1010">
    <w:name w:val="Normal_21"/>
    <w:next w:val="1010"/>
    <w:link w:val="674"/>
    <w:rPr>
      <w:rFonts w:ascii="黑体" w:hAnsi="黑体" w:eastAsia="黑体"/>
      <w:b/>
      <w:sz w:val="32"/>
      <w:szCs w:val="24"/>
      <w:lang w:val="en-US" w:eastAsia="zh-CN" w:bidi="ar-SA"/>
    </w:rPr>
  </w:style>
  <w:style w:type="paragraph" w:styleId="1011">
    <w:name w:val="Normal_22"/>
    <w:next w:val="1011"/>
    <w:link w:val="674"/>
    <w:rPr>
      <w:rFonts w:eastAsia="Times New Roman"/>
      <w:sz w:val="24"/>
      <w:szCs w:val="24"/>
      <w:lang w:val="en-US" w:eastAsia="zh-CN" w:bidi="ar-SA"/>
    </w:rPr>
  </w:style>
  <w:style w:type="paragraph" w:styleId="1012">
    <w:name w:val="Normal_23"/>
    <w:next w:val="1012"/>
    <w:link w:val="674"/>
    <w:rPr>
      <w:rFonts w:ascii="黑体" w:hAnsi="黑体" w:eastAsia="黑体"/>
      <w:b/>
      <w:sz w:val="32"/>
      <w:szCs w:val="24"/>
      <w:lang w:val="en-US" w:eastAsia="zh-CN" w:bidi="ar-SA"/>
    </w:rPr>
  </w:style>
  <w:style w:type="paragraph" w:styleId="1013">
    <w:name w:val="Normal_0_3"/>
    <w:next w:val="1013"/>
    <w:link w:val="674"/>
    <w:rPr>
      <w:rFonts w:ascii="黑体" w:hAnsi="黑体" w:eastAsia="黑体"/>
      <w:b/>
      <w:sz w:val="32"/>
      <w:szCs w:val="24"/>
      <w:lang w:val="en-US" w:eastAsia="zh-CN" w:bidi="ar-SA"/>
    </w:rPr>
  </w:style>
  <w:style w:type="paragraph" w:styleId="1014">
    <w:name w:val="Normal_0_4"/>
    <w:next w:val="1014"/>
    <w:link w:val="674"/>
    <w:rPr>
      <w:rFonts w:ascii="黑体" w:hAnsi="黑体" w:eastAsia="黑体"/>
      <w:b/>
      <w:sz w:val="32"/>
      <w:szCs w:val="24"/>
      <w:lang w:val="en-US" w:eastAsia="zh-CN" w:bidi="ar-SA"/>
    </w:rPr>
  </w:style>
  <w:style w:type="paragraph" w:styleId="1015">
    <w:name w:val="正文_20_0"/>
    <w:next w:val="1015"/>
    <w:link w:val="674"/>
    <w:pPr>
      <w:jc w:val="both"/>
      <w:widowControl w:val="off"/>
    </w:pPr>
    <w:rPr>
      <w:sz w:val="21"/>
      <w:szCs w:val="24"/>
      <w:lang w:val="en-US" w:eastAsia="zh-CN" w:bidi="ar-SA"/>
    </w:rPr>
  </w:style>
  <w:style w:type="character" w:styleId="1016">
    <w:name w:val="msosubtleemphasis"/>
    <w:next w:val="1016"/>
    <w:link w:val="674"/>
    <w:rPr>
      <w:i/>
      <w:iCs/>
      <w:color w:val="808080"/>
    </w:rPr>
  </w:style>
  <w:style w:type="character" w:styleId="1017">
    <w:name w:val="msointenseemphasis"/>
    <w:next w:val="1017"/>
    <w:link w:val="674"/>
    <w:rPr>
      <w:b/>
      <w:bCs/>
      <w:i/>
      <w:iCs/>
      <w:color w:val="4f81bd"/>
    </w:rPr>
  </w:style>
  <w:style w:type="character" w:styleId="1018">
    <w:name w:val="msosubtlereference"/>
    <w:next w:val="1018"/>
    <w:link w:val="674"/>
    <w:rPr>
      <w:smallCaps/>
      <w:color w:val="c0504d"/>
      <w:u w:val="single"/>
    </w:rPr>
  </w:style>
  <w:style w:type="character" w:styleId="1019">
    <w:name w:val="msointensereference"/>
    <w:next w:val="1019"/>
    <w:link w:val="674"/>
    <w:rPr>
      <w:b/>
      <w:bCs/>
      <w:smallCaps/>
      <w:color w:val="c0504d"/>
      <w:spacing w:val="5"/>
      <w:u w:val="single"/>
    </w:rPr>
  </w:style>
  <w:style w:type="character" w:styleId="1020">
    <w:name w:val="msobooktitle"/>
    <w:next w:val="1020"/>
    <w:link w:val="674"/>
    <w:rPr>
      <w:b/>
      <w:bCs/>
      <w:smallCaps/>
      <w:spacing w:val="5"/>
    </w:rPr>
  </w:style>
  <w:style w:type="character" w:styleId="1021">
    <w:name w:val="font161"/>
    <w:next w:val="1021"/>
    <w:link w:val="674"/>
    <w:rPr>
      <w:b/>
      <w:bCs/>
      <w:sz w:val="32"/>
      <w:szCs w:val="32"/>
    </w:rPr>
  </w:style>
  <w:style w:type="character" w:styleId="1022">
    <w:name w:val="标题 1.1 Char,2 Char,2nd level Char,Chapter Number/Appendix Letter Char,DO NOT USE_h2 Char,H1 Char,H2 Char,Header 2 Char,Titre2 Char,Underrubrik1 Char,chn Char,h2 Char,l2 Char,prop2 Char,sect 1.2 Char,标题 2 Char1,节 Char Char,节 Char1"/>
    <w:next w:val="1022"/>
    <w:link w:val="674"/>
    <w:rPr>
      <w:rFonts w:ascii="Arial" w:hAnsi="Arial" w:eastAsia="黑体" w:cs="Arial"/>
      <w:b/>
      <w:bCs/>
      <w:sz w:val="32"/>
      <w:szCs w:val="32"/>
      <w:lang w:val="en-US" w:eastAsia="zh-CN" w:bidi="ar-SA"/>
    </w:rPr>
  </w:style>
  <w:style w:type="character" w:styleId="1023">
    <w:name w:val="正文文本 Char1,手改 Char"/>
    <w:next w:val="1023"/>
    <w:link w:val="674"/>
    <w:rPr>
      <w:sz w:val="21"/>
      <w:szCs w:val="24"/>
    </w:rPr>
  </w:style>
  <w:style w:type="paragraph" w:styleId="1024">
    <w:name w:val="标题 2_0"/>
    <w:basedOn w:val="674"/>
    <w:next w:val="1024"/>
    <w:link w:val="1025"/>
    <w:rPr>
      <w:rFonts w:ascii="Calibri" w:hAnsi="Calibri"/>
      <w:szCs w:val="22"/>
    </w:rPr>
  </w:style>
  <w:style w:type="character" w:styleId="1025">
    <w:name w:val="标题 2 Char_0"/>
    <w:next w:val="1025"/>
    <w:link w:val="1024"/>
    <w:rPr>
      <w:rFonts w:ascii="Calibri" w:hAnsi="Calibri" w:eastAsia="宋体"/>
      <w:sz w:val="21"/>
      <w:szCs w:val="22"/>
      <w:lang w:val="en-US" w:eastAsia="zh-CN" w:bidi="ar-SA"/>
    </w:rPr>
  </w:style>
  <w:style w:type="character" w:styleId="1026">
    <w:name w:val="textcontents"/>
    <w:next w:val="1026"/>
    <w:link w:val="674"/>
    <w:rPr>
      <w:rFonts w:ascii="Times New Roman" w:hAnsi="Times New Roman" w:cs="Times New Roman"/>
    </w:rPr>
  </w:style>
  <w:style w:type="character" w:styleId="1027">
    <w:name w:val="日期 Char1"/>
    <w:next w:val="1027"/>
    <w:link w:val="674"/>
    <w:rPr>
      <w:sz w:val="21"/>
      <w:szCs w:val="22"/>
    </w:rPr>
  </w:style>
  <w:style w:type="character" w:styleId="1028">
    <w:name w:val="批注主题 Char1"/>
    <w:next w:val="1028"/>
    <w:link w:val="674"/>
    <w:rPr>
      <w:b/>
      <w:bCs/>
      <w:sz w:val="21"/>
      <w:szCs w:val="22"/>
    </w:rPr>
  </w:style>
  <w:style w:type="character" w:styleId="1029">
    <w:name w:val="批注文字 Char Char"/>
    <w:next w:val="1029"/>
    <w:link w:val="674"/>
    <w:rPr>
      <w:rFonts w:hint="eastAsia" w:ascii="宋体" w:hAnsi="Times New Roman" w:eastAsia="宋体" w:cs="Times New Roman"/>
      <w:sz w:val="28"/>
      <w:szCs w:val="20"/>
    </w:rPr>
  </w:style>
  <w:style w:type="character" w:styleId="1030">
    <w:name w:val="批注框文本 Char1"/>
    <w:next w:val="1030"/>
    <w:link w:val="674"/>
    <w:rPr>
      <w:sz w:val="18"/>
      <w:szCs w:val="18"/>
    </w:rPr>
  </w:style>
  <w:style w:type="character" w:styleId="1031">
    <w:name w:val="文档结构图 Char1"/>
    <w:next w:val="1031"/>
    <w:link w:val="674"/>
    <w:rPr>
      <w:rFonts w:hint="eastAsia" w:ascii="宋体" w:hAnsi="宋体" w:eastAsia="宋体"/>
      <w:sz w:val="18"/>
      <w:szCs w:val="18"/>
    </w:rPr>
  </w:style>
  <w:style w:type="character" w:styleId="1032">
    <w:name w:val="副标题 Char1"/>
    <w:next w:val="1032"/>
    <w:link w:val="674"/>
    <w:rPr>
      <w:rFonts w:ascii="Cambria" w:hAnsi="Cambria" w:eastAsia="宋体" w:cs="Times New Roman"/>
      <w:b/>
      <w:bCs/>
      <w:sz w:val="32"/>
      <w:szCs w:val="32"/>
    </w:rPr>
  </w:style>
  <w:style w:type="character" w:styleId="1033">
    <w:name w:val="明显引用 Char1"/>
    <w:next w:val="1033"/>
    <w:link w:val="674"/>
    <w:rPr>
      <w:rFonts w:ascii="Calibri" w:hAnsi="Calibri" w:eastAsia="宋体" w:cs="Times New Roman"/>
      <w:b/>
      <w:bCs/>
      <w:i/>
      <w:iCs/>
      <w:color w:val="4f81bd"/>
    </w:rPr>
  </w:style>
  <w:style w:type="character" w:styleId="1034">
    <w:name w:val="引用 Char1"/>
    <w:next w:val="1034"/>
    <w:link w:val="674"/>
    <w:rPr>
      <w:rFonts w:ascii="Calibri" w:hAnsi="Calibri" w:eastAsia="宋体" w:cs="Times New Roman"/>
      <w:i/>
      <w:iCs/>
      <w:color w:val="000000"/>
    </w:rPr>
  </w:style>
  <w:style w:type="paragraph" w:styleId="1035">
    <w:name w:val="标题 3_0"/>
    <w:basedOn w:val="674"/>
    <w:next w:val="1035"/>
    <w:link w:val="1036"/>
    <w:rPr>
      <w:rFonts w:ascii="Calibri" w:hAnsi="Calibri"/>
      <w:szCs w:val="22"/>
    </w:rPr>
  </w:style>
  <w:style w:type="character" w:styleId="1036">
    <w:name w:val="标题 3 Char_0"/>
    <w:next w:val="1036"/>
    <w:link w:val="1035"/>
    <w:semiHidden/>
    <w:rPr>
      <w:rFonts w:ascii="Calibri" w:hAnsi="Calibri" w:eastAsia="宋体"/>
      <w:sz w:val="21"/>
      <w:szCs w:val="22"/>
      <w:lang w:val="en-US" w:eastAsia="zh-CN" w:bidi="ar-SA"/>
    </w:rPr>
  </w:style>
  <w:style w:type="paragraph" w:styleId="1037">
    <w:name w:val="标题 3_1"/>
    <w:basedOn w:val="674"/>
    <w:next w:val="1037"/>
    <w:link w:val="1038"/>
    <w:rPr>
      <w:rFonts w:ascii="Calibri" w:hAnsi="Calibri"/>
      <w:szCs w:val="22"/>
    </w:rPr>
  </w:style>
  <w:style w:type="character" w:styleId="1038">
    <w:name w:val="标题 3 字符"/>
    <w:next w:val="1038"/>
    <w:link w:val="1037"/>
    <w:rPr>
      <w:rFonts w:ascii="Calibri" w:hAnsi="Calibri" w:eastAsia="宋体"/>
      <w:sz w:val="21"/>
      <w:szCs w:val="22"/>
      <w:lang w:val="en-US" w:eastAsia="zh-CN" w:bidi="ar-SA"/>
    </w:rPr>
  </w:style>
  <w:style w:type="paragraph" w:styleId="1039">
    <w:name w:val="标题 3_1_0"/>
    <w:basedOn w:val="674"/>
    <w:next w:val="1039"/>
    <w:link w:val="1040"/>
    <w:rPr>
      <w:rFonts w:ascii="Calibri" w:hAnsi="Calibri"/>
      <w:szCs w:val="22"/>
    </w:rPr>
  </w:style>
  <w:style w:type="character" w:styleId="1040">
    <w:name w:val="标题 3 字符_1"/>
    <w:next w:val="1040"/>
    <w:link w:val="1039"/>
    <w:rPr>
      <w:rFonts w:ascii="Calibri" w:hAnsi="Calibri" w:eastAsia="宋体"/>
      <w:sz w:val="21"/>
      <w:szCs w:val="22"/>
      <w:lang w:val="en-US" w:eastAsia="zh-CN" w:bidi="ar-SA"/>
    </w:rPr>
  </w:style>
  <w:style w:type="paragraph" w:styleId="1041">
    <w:name w:val="标题 3_2"/>
    <w:basedOn w:val="674"/>
    <w:next w:val="1041"/>
    <w:link w:val="1042"/>
    <w:rPr>
      <w:rFonts w:ascii="Calibri" w:hAnsi="Calibri"/>
      <w:szCs w:val="22"/>
    </w:rPr>
  </w:style>
  <w:style w:type="character" w:styleId="1042">
    <w:name w:val="标题 3 字符_2"/>
    <w:next w:val="1042"/>
    <w:link w:val="1041"/>
    <w:rPr>
      <w:rFonts w:ascii="Calibri" w:hAnsi="Calibri" w:eastAsia="宋体"/>
      <w:sz w:val="21"/>
      <w:szCs w:val="22"/>
      <w:lang w:val="en-US" w:eastAsia="zh-CN" w:bidi="ar-SA"/>
    </w:rPr>
  </w:style>
  <w:style w:type="paragraph" w:styleId="1043">
    <w:name w:val="标题 3_3"/>
    <w:basedOn w:val="674"/>
    <w:next w:val="1043"/>
    <w:link w:val="1044"/>
    <w:rPr>
      <w:rFonts w:ascii="Calibri" w:hAnsi="Calibri"/>
      <w:szCs w:val="22"/>
    </w:rPr>
  </w:style>
  <w:style w:type="character" w:styleId="1044">
    <w:name w:val="标题 3 字符_3"/>
    <w:next w:val="1044"/>
    <w:link w:val="1043"/>
    <w:rPr>
      <w:rFonts w:ascii="Calibri" w:hAnsi="Calibri" w:eastAsia="宋体"/>
      <w:sz w:val="21"/>
      <w:szCs w:val="22"/>
      <w:lang w:val="en-US" w:eastAsia="zh-CN" w:bidi="ar-SA"/>
    </w:rPr>
  </w:style>
  <w:style w:type="paragraph" w:styleId="1045">
    <w:name w:val="标题 3_4"/>
    <w:basedOn w:val="674"/>
    <w:next w:val="1045"/>
    <w:link w:val="1046"/>
    <w:rPr>
      <w:rFonts w:ascii="Calibri" w:hAnsi="Calibri"/>
      <w:szCs w:val="22"/>
    </w:rPr>
  </w:style>
  <w:style w:type="character" w:styleId="1046">
    <w:name w:val="标题 3 字符_4"/>
    <w:next w:val="1046"/>
    <w:link w:val="1045"/>
    <w:rPr>
      <w:rFonts w:ascii="Calibri" w:hAnsi="Calibri" w:eastAsia="宋体"/>
      <w:sz w:val="21"/>
      <w:szCs w:val="22"/>
      <w:lang w:val="en-US" w:eastAsia="zh-CN" w:bidi="ar-SA"/>
    </w:rPr>
  </w:style>
  <w:style w:type="paragraph" w:styleId="1047">
    <w:name w:val="标题 3_5"/>
    <w:basedOn w:val="674"/>
    <w:next w:val="1047"/>
    <w:link w:val="1048"/>
    <w:rPr>
      <w:rFonts w:ascii="Calibri" w:hAnsi="Calibri"/>
      <w:szCs w:val="22"/>
    </w:rPr>
  </w:style>
  <w:style w:type="character" w:styleId="1048">
    <w:name w:val="标题 3 Char_1"/>
    <w:next w:val="1048"/>
    <w:link w:val="1047"/>
    <w:semiHidden/>
    <w:rPr>
      <w:rFonts w:ascii="Calibri" w:hAnsi="Calibri" w:eastAsia="宋体"/>
      <w:sz w:val="21"/>
      <w:szCs w:val="22"/>
      <w:lang w:val="en-US" w:eastAsia="zh-CN" w:bidi="ar-SA"/>
    </w:rPr>
  </w:style>
  <w:style w:type="paragraph" w:styleId="1049">
    <w:name w:val="GW-正文"/>
    <w:basedOn w:val="674"/>
    <w:next w:val="1049"/>
    <w:link w:val="1050"/>
    <w:rPr>
      <w:rFonts w:ascii="Calibri" w:hAnsi="Calibri"/>
      <w:szCs w:val="22"/>
    </w:rPr>
  </w:style>
  <w:style w:type="character" w:styleId="1050">
    <w:name w:val="GW-正文 Char"/>
    <w:next w:val="1050"/>
    <w:link w:val="1049"/>
    <w:rPr>
      <w:rFonts w:ascii="Calibri" w:hAnsi="Calibri" w:eastAsia="宋体"/>
      <w:sz w:val="21"/>
      <w:szCs w:val="22"/>
      <w:lang w:val="en-US" w:eastAsia="zh-CN" w:bidi="ar-SA"/>
    </w:rPr>
  </w:style>
  <w:style w:type="paragraph" w:styleId="1051">
    <w:name w:val="GW-正文_0"/>
    <w:basedOn w:val="674"/>
    <w:next w:val="1051"/>
    <w:link w:val="1052"/>
    <w:rPr>
      <w:rFonts w:ascii="Calibri" w:hAnsi="Calibri"/>
      <w:szCs w:val="22"/>
    </w:rPr>
  </w:style>
  <w:style w:type="character" w:styleId="1052">
    <w:name w:val="GW-正文 Char_0"/>
    <w:next w:val="1052"/>
    <w:link w:val="1051"/>
    <w:rPr>
      <w:rFonts w:ascii="Calibri" w:hAnsi="Calibri" w:eastAsia="宋体"/>
      <w:sz w:val="21"/>
      <w:szCs w:val="22"/>
      <w:lang w:val="en-US" w:eastAsia="zh-CN" w:bidi="ar-SA"/>
    </w:rPr>
  </w:style>
  <w:style w:type="paragraph" w:styleId="1053">
    <w:name w:val="样式 标题 3 + (中文) 黑体 小四 非加粗 段前: 7.8 磅 段后: 0 磅 行距: 固定值 20 磅_0"/>
    <w:basedOn w:val="1037"/>
    <w:next w:val="1053"/>
    <w:link w:val="674"/>
    <w:pPr>
      <w:keepLines/>
      <w:keepNext/>
      <w:spacing w:line="400" w:lineRule="exact"/>
      <w:outlineLvl w:val="2"/>
    </w:pPr>
    <w:rPr>
      <w:rFonts w:ascii="Times New Roman" w:hAnsi="Times New Roman" w:eastAsia="黑体"/>
      <w:sz w:val="24"/>
      <w:szCs w:val="20"/>
    </w:rPr>
  </w:style>
  <w:style w:type="paragraph" w:styleId="1054">
    <w:name w:val="样式 标题 3 + (中文) 黑体 小四 非加粗 段前: 7.8 磅 段后: 0 磅 行距: 固定值 20 磅_1"/>
    <w:basedOn w:val="1039"/>
    <w:next w:val="1054"/>
    <w:link w:val="674"/>
    <w:pPr>
      <w:keepLines/>
      <w:keepNext/>
      <w:spacing w:line="400" w:lineRule="exact"/>
      <w:outlineLvl w:val="2"/>
    </w:pPr>
    <w:rPr>
      <w:rFonts w:ascii="Times New Roman" w:hAnsi="Times New Roman" w:eastAsia="黑体"/>
      <w:sz w:val="24"/>
      <w:szCs w:val="20"/>
    </w:rPr>
  </w:style>
  <w:style w:type="paragraph" w:styleId="1055">
    <w:name w:val="样式 标题 3 + (中文) 黑体 小四 非加粗 段前: 7.8 磅 段后: 0 磅 行距: 固定值 20 磅_0_0"/>
    <w:basedOn w:val="930"/>
    <w:next w:val="1055"/>
    <w:link w:val="674"/>
    <w:pPr>
      <w:spacing w:before="0" w:after="0" w:line="400" w:lineRule="exact"/>
    </w:pPr>
    <w:rPr>
      <w:rFonts w:eastAsia="黑体"/>
      <w:b w:val="0"/>
      <w:bCs w:val="0"/>
      <w:sz w:val="24"/>
      <w:szCs w:val="20"/>
    </w:rPr>
  </w:style>
  <w:style w:type="paragraph" w:styleId="1056">
    <w:name w:val="样式 标题 3 + (中文) 黑体 小四 非加粗 段前: 7.8 磅 段后: 0 磅 行距: 固定值 20 磅_2"/>
    <w:basedOn w:val="1041"/>
    <w:next w:val="1056"/>
    <w:link w:val="674"/>
    <w:pPr>
      <w:keepLines/>
      <w:keepNext/>
      <w:spacing w:line="400" w:lineRule="exact"/>
      <w:outlineLvl w:val="2"/>
    </w:pPr>
    <w:rPr>
      <w:rFonts w:ascii="Times New Roman" w:hAnsi="Times New Roman" w:eastAsia="黑体"/>
      <w:sz w:val="24"/>
      <w:szCs w:val="20"/>
    </w:rPr>
  </w:style>
  <w:style w:type="paragraph" w:styleId="1057">
    <w:name w:val="样式 标题 3 + (中文) 黑体 小四 非加粗 段前: 7.8 磅 段后: 0 磅 行距: 固定值 20 磅_3"/>
    <w:basedOn w:val="1043"/>
    <w:next w:val="1057"/>
    <w:link w:val="674"/>
    <w:pPr>
      <w:keepLines/>
      <w:keepNext/>
      <w:spacing w:line="400" w:lineRule="exact"/>
      <w:outlineLvl w:val="2"/>
    </w:pPr>
    <w:rPr>
      <w:rFonts w:ascii="Times New Roman" w:hAnsi="Times New Roman" w:eastAsia="黑体"/>
      <w:sz w:val="24"/>
      <w:szCs w:val="20"/>
    </w:rPr>
  </w:style>
  <w:style w:type="paragraph" w:styleId="1058">
    <w:name w:val="样式 标题 3 + (中文) 黑体 小四 非加粗 段前: 7.8 磅 段后: 0 磅 行距: 固定值 20 磅_4"/>
    <w:basedOn w:val="1045"/>
    <w:next w:val="1058"/>
    <w:link w:val="674"/>
    <w:pPr>
      <w:keepLines/>
      <w:keepNext/>
      <w:spacing w:line="400" w:lineRule="exact"/>
      <w:outlineLvl w:val="2"/>
    </w:pPr>
    <w:rPr>
      <w:rFonts w:ascii="Times New Roman" w:hAnsi="Times New Roman" w:eastAsia="黑体"/>
      <w:sz w:val="24"/>
      <w:szCs w:val="20"/>
    </w:rPr>
  </w:style>
  <w:style w:type="paragraph" w:styleId="1059">
    <w:name w:val="样式 标题 2 + Times New Roman 四号 非加粗 段前: 5 磅 段后: 0 磅 行距: 固定值 20..._1_0"/>
    <w:basedOn w:val="962"/>
    <w:next w:val="1059"/>
    <w:link w:val="674"/>
    <w:pPr>
      <w:keepLines/>
      <w:keepNext/>
      <w:spacing w:before="100" w:line="400" w:lineRule="exact"/>
      <w:outlineLvl w:val="1"/>
    </w:pPr>
    <w:rPr>
      <w:rFonts w:eastAsia="黑体" w:cs="宋体"/>
      <w:bCs/>
      <w:sz w:val="28"/>
      <w:szCs w:val="20"/>
    </w:rPr>
  </w:style>
  <w:style w:type="paragraph" w:styleId="1060">
    <w:name w:val="样式 标题 3 + (中文) 黑体 小四 非加粗 段前: 7.8 磅 段后: 0 磅 行距: 固定值 20 磅_5"/>
    <w:basedOn w:val="1047"/>
    <w:next w:val="1060"/>
    <w:link w:val="674"/>
    <w:pPr>
      <w:keepLines/>
      <w:keepNext/>
      <w:spacing w:line="400" w:lineRule="exact"/>
      <w:outlineLvl w:val="2"/>
    </w:pPr>
    <w:rPr>
      <w:rFonts w:ascii="Times New Roman" w:hAnsi="Times New Roman" w:eastAsia="黑体"/>
      <w:bCs/>
      <w:sz w:val="24"/>
      <w:szCs w:val="20"/>
    </w:rPr>
  </w:style>
  <w:style w:type="paragraph" w:styleId="1061">
    <w:name w:val="样式 标题 2 + Times New Roman 四号 非加粗 段前: 5 磅 段后: 0 磅 行距: 固定值 20..._0"/>
    <w:basedOn w:val="1024"/>
    <w:next w:val="1061"/>
    <w:link w:val="674"/>
    <w:pPr>
      <w:keepLines/>
      <w:keepNext/>
      <w:spacing w:before="100" w:line="400" w:lineRule="exact"/>
      <w:outlineLvl w:val="1"/>
    </w:pPr>
    <w:rPr>
      <w:rFonts w:ascii="Times New Roman" w:hAnsi="Times New Roman" w:eastAsia="黑体" w:cs="宋体"/>
      <w:sz w:val="28"/>
      <w:szCs w:val="20"/>
    </w:rPr>
  </w:style>
  <w:style w:type="paragraph" w:styleId="1062">
    <w:name w:val="样式 标题 2 + Times New Roman 四号 非加粗 段前: 5 磅 段后: 0 磅 行距: 固定值 20..._1"/>
    <w:basedOn w:val="852"/>
    <w:next w:val="1062"/>
    <w:link w:val="674"/>
    <w:pPr>
      <w:spacing w:before="100" w:after="0" w:line="400" w:lineRule="exact"/>
    </w:pPr>
    <w:rPr>
      <w:rFonts w:ascii="Times New Roman" w:hAnsi="Times New Roman" w:eastAsia="黑体" w:cs="宋体"/>
      <w:b w:val="0"/>
      <w:sz w:val="28"/>
      <w:szCs w:val="20"/>
    </w:rPr>
  </w:style>
  <w:style w:type="character" w:styleId="1063">
    <w:name w:val=" Char Char17"/>
    <w:next w:val="1063"/>
    <w:link w:val="674"/>
    <w:rPr>
      <w:rFonts w:ascii="Cambria" w:hAnsi="Cambria" w:eastAsia="宋体"/>
      <w:b/>
      <w:bCs/>
      <w:sz w:val="32"/>
      <w:szCs w:val="32"/>
      <w:lang w:val="en-US" w:eastAsia="zh-CN" w:bidi="ar-SA"/>
    </w:rPr>
  </w:style>
  <w:style w:type="character" w:styleId="1064">
    <w:name w:val="+正文 Char1"/>
    <w:next w:val="1064"/>
    <w:link w:val="674"/>
    <w:rPr>
      <w:rFonts w:eastAsia="宋体"/>
      <w:sz w:val="24"/>
      <w:szCs w:val="28"/>
      <w:lang w:val="en-US" w:eastAsia="zh-CN" w:bidi="ar-SA"/>
    </w:rPr>
  </w:style>
  <w:style w:type="paragraph" w:styleId="1065">
    <w:name w:val="+正文 Char Char7"/>
    <w:basedOn w:val="838"/>
    <w:next w:val="1065"/>
    <w:link w:val="674"/>
    <w:pPr>
      <w:ind w:firstLine="200"/>
      <w:spacing w:line="360" w:lineRule="auto"/>
    </w:pPr>
    <w:rPr>
      <w:sz w:val="24"/>
    </w:rPr>
  </w:style>
  <w:style w:type="character" w:styleId="1066">
    <w:name w:val="fontstyle01"/>
    <w:next w:val="1066"/>
    <w:link w:val="674"/>
    <w:rPr>
      <w:rFonts w:ascii="Times New Roman" w:hAnsi="Times New Roman" w:cs="Times New Roman"/>
      <w:color w:val="000000"/>
      <w:sz w:val="22"/>
      <w:szCs w:val="22"/>
    </w:rPr>
  </w:style>
  <w:style w:type="character" w:styleId="1067">
    <w:name w:val="fontstyle11"/>
    <w:next w:val="1067"/>
    <w:link w:val="674"/>
    <w:rPr>
      <w:rFonts w:hint="eastAsia" w:ascii="宋体" w:hAnsi="宋体" w:eastAsia="宋体"/>
      <w:color w:val="000000"/>
      <w:sz w:val="22"/>
      <w:szCs w:val="22"/>
    </w:rPr>
  </w:style>
  <w:style w:type="character" w:styleId="1068">
    <w:name w:val="fontstyle31"/>
    <w:next w:val="1068"/>
    <w:link w:val="674"/>
    <w:rPr>
      <w:rFonts w:ascii="Times New Roman" w:hAnsi="Times New Roman" w:cs="Times New Roman"/>
      <w:color w:val="000000"/>
      <w:sz w:val="22"/>
      <w:szCs w:val="22"/>
    </w:rPr>
  </w:style>
  <w:style w:type="character" w:styleId="1069">
    <w:name w:val="font31"/>
    <w:basedOn w:val="684"/>
    <w:next w:val="1069"/>
    <w:link w:val="674"/>
    <w:rPr>
      <w:rFonts w:ascii="Times New Roman" w:hAnsi="Times New Roman" w:cs="Times New Roman"/>
      <w:i w:val="0"/>
      <w:iCs w:val="0"/>
      <w:color w:val="000000"/>
      <w:sz w:val="24"/>
      <w:szCs w:val="24"/>
      <w:u w:val="none"/>
    </w:rPr>
  </w:style>
  <w:style w:type="character" w:styleId="1070">
    <w:name w:val="font41"/>
    <w:basedOn w:val="684"/>
    <w:next w:val="1070"/>
    <w:link w:val="674"/>
    <w:rPr>
      <w:rFonts w:ascii="方正仿宋_GBK" w:hAnsi="方正仿宋_GBK" w:eastAsia="方正仿宋_GBK" w:cs="方正仿宋_GBK"/>
      <w:i w:val="0"/>
      <w:iCs w:val="0"/>
      <w:color w:val="000000"/>
      <w:sz w:val="24"/>
      <w:szCs w:val="24"/>
      <w:u w:val="none"/>
    </w:rPr>
  </w:style>
  <w:style w:type="character" w:styleId="1071">
    <w:name w:val="font51"/>
    <w:basedOn w:val="684"/>
    <w:next w:val="1071"/>
    <w:link w:val="674"/>
    <w:rPr>
      <w:rFonts w:ascii="方正仿宋_GBK" w:hAnsi="方正仿宋_GBK" w:eastAsia="方正仿宋_GBK" w:cs="方正仿宋_GBK"/>
      <w:b/>
      <w:bCs/>
      <w:i w:val="0"/>
      <w:iCs w:val="0"/>
      <w:color w:val="000000"/>
      <w:sz w:val="24"/>
      <w:szCs w:val="24"/>
      <w:u w:val="none"/>
    </w:rPr>
  </w:style>
  <w:style w:type="character" w:styleId="15144" w:default="1">
    <w:name w:val="Default Paragraph Font"/>
    <w:uiPriority w:val="1"/>
    <w:semiHidden/>
    <w:unhideWhenUsed/>
  </w:style>
  <w:style w:type="numbering" w:styleId="15145" w:default="1">
    <w:name w:val="No List"/>
    <w:uiPriority w:val="99"/>
    <w:semiHidden/>
    <w:unhideWhenUsed/>
  </w:style>
  <w:style w:type="table" w:styleId="151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黄钰</cp:lastModifiedBy>
  <cp:revision>2</cp:revision>
  <dcterms:created xsi:type="dcterms:W3CDTF">2023-03-16T02:16:00Z</dcterms:created>
  <dcterms:modified xsi:type="dcterms:W3CDTF">2024-06-25T06:45:07Z</dcterms:modified>
</cp:coreProperties>
</file>