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olor w:val="auto"/>
          <w:sz w:val="32"/>
          <w:szCs w:val="21"/>
          <w:highlight w:val="none"/>
        </w:rPr>
      </w:pPr>
      <w:r>
        <w:rPr>
          <w:rFonts w:hint="eastAsia" w:ascii="宋体" w:hAnsi="宋体"/>
          <w:color w:val="auto"/>
          <w:sz w:val="32"/>
          <w:szCs w:val="21"/>
          <w:highlight w:val="none"/>
        </w:rPr>
        <w:t xml:space="preserve">编号：JSZC-320000-HCZX-G2025-0023</w:t>
      </w:r>
      <w:r/>
    </w:p>
    <w:p>
      <w:pPr>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sz w:val="32"/>
          <w:szCs w:val="21"/>
          <w:highlight w:val="none"/>
        </w:rPr>
      </w:pPr>
      <w:r>
        <w:rPr>
          <w:rFonts w:hint="eastAsia" w:ascii="宋体" w:hAnsi="宋体"/>
          <w:color w:val="auto"/>
          <w:sz w:val="32"/>
          <w:szCs w:val="21"/>
          <w:highlight w:val="none"/>
        </w:rPr>
        <w:t xml:space="preserve">扬州大学附属医院</w:t>
      </w:r>
      <w:r/>
    </w:p>
    <w:p>
      <w:pPr>
        <w:jc w:val="center"/>
        <w:spacing w:line="360" w:lineRule="auto"/>
        <w:rPr>
          <w:rFonts w:ascii="宋体" w:hAnsi="宋体"/>
          <w:color w:val="auto"/>
          <w:sz w:val="20"/>
          <w:szCs w:val="21"/>
          <w:highlight w:val="none"/>
        </w:rPr>
      </w:pPr>
      <w:r>
        <w:rPr>
          <w:rFonts w:hint="eastAsia" w:ascii="宋体" w:hAnsi="宋体"/>
          <w:color w:val="auto"/>
          <w:sz w:val="32"/>
          <w:szCs w:val="21"/>
          <w:highlight w:val="none"/>
        </w:rPr>
        <w:t xml:space="preserve">临床营养科2025年度固体饮料及复配食品添加剂采购项目公开招标文件</w:t>
      </w:r>
      <w:r/>
    </w:p>
    <w:p>
      <w:pPr>
        <w:pStyle w:val="888"/>
        <w:spacing w:line="360" w:lineRule="auto"/>
        <w:rPr>
          <w:rFonts w:ascii="宋体" w:hAnsi="宋体"/>
          <w:color w:val="auto"/>
          <w:highlight w:val="none"/>
        </w:rPr>
      </w:pPr>
      <w:r>
        <w:rPr>
          <w:color w:val="auto"/>
          <w:highlight w:val="none"/>
        </w:rPr>
        <mc:AlternateContent>
          <mc:Choice Requires="wpg">
            <w:drawing>
              <wp:inline xmlns:wp="http://schemas.openxmlformats.org/drawingml/2006/wordprocessingDrawing" distT="0" distB="0" distL="0" distR="0">
                <wp:extent cx="5480685" cy="4157345"/>
                <wp:effectExtent l="0" t="0" r="5715" b="3175"/>
                <wp:docPr id="2" name="图片 1" descr="980834574712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9808345747129441"/>
                        <pic:cNvPicPr>
                          <a:picLocks noChangeAspect="1"/>
                        </pic:cNvPicPr>
                        <pic:nvPr/>
                      </pic:nvPicPr>
                      <pic:blipFill>
                        <a:blip r:embed="rId15"/>
                        <a:stretch/>
                      </pic:blipFill>
                      <pic:spPr bwMode="auto">
                        <a:xfrm>
                          <a:off x="0" y="0"/>
                          <a:ext cx="5480685" cy="415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1.5pt;height:327.3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江苏汇诚投资咨询管理有限公司</w:t>
      </w: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2025年3月28日</w:t>
      </w:r>
      <w:r/>
    </w:p>
    <w:p>
      <w:pPr>
        <w:spacing w:line="360" w:lineRule="auto"/>
        <w:rPr>
          <w:rFonts w:ascii="宋体" w:hAnsi="宋体"/>
          <w:color w:val="auto"/>
          <w:highlight w:val="none"/>
        </w:rPr>
      </w:pPr>
      <w:r>
        <w:rPr>
          <w:rFonts w:ascii="宋体" w:hAnsi="宋体"/>
          <w:color w:val="auto"/>
          <w:highlight w:val="none"/>
        </w:rPr>
        <w:br w:type="page" w:clear="all"/>
      </w:r>
      <w:r/>
    </w:p>
    <w:p>
      <w:pPr>
        <w:jc w:val="center"/>
        <w:spacing w:line="360" w:lineRule="auto"/>
        <w:rPr>
          <w:rFonts w:ascii="宋体" w:hAnsi="宋体"/>
          <w:color w:val="auto"/>
          <w:sz w:val="32"/>
          <w:highlight w:val="none"/>
        </w:rPr>
      </w:pPr>
      <w:r>
        <w:rPr>
          <w:rFonts w:hint="eastAsia" w:ascii="宋体" w:hAnsi="宋体"/>
          <w:color w:val="auto"/>
          <w:sz w:val="32"/>
          <w:highlight w:val="none"/>
        </w:rPr>
        <w:t xml:space="preserve">目 录</w:t>
      </w:r>
      <w:r/>
    </w:p>
    <w:p>
      <w:pPr>
        <w:pStyle w:val="910"/>
        <w:spacing w:line="360" w:lineRule="auto"/>
        <w:tabs>
          <w:tab w:val="right" w:pos="8296" w:leader="dot"/>
        </w:tabs>
        <w:rPr>
          <w:rFonts w:ascii="宋体" w:hAnsi="宋体"/>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ascii="宋体" w:hAnsi="宋体"/>
          <w:color w:val="auto"/>
          <w:highlight w:val="none"/>
        </w:rPr>
        <w:tab/>
      </w:r>
      <w:r>
        <w:rPr>
          <w:rFonts w:hint="eastAsia" w:ascii="宋体" w:hAnsi="宋体"/>
          <w:color w:val="auto"/>
          <w:highlight w:val="none"/>
        </w:rPr>
        <w:t xml:space="preserve">3</w:t>
      </w:r>
      <w:r/>
    </w:p>
    <w:p>
      <w:pPr>
        <w:pStyle w:val="910"/>
        <w:spacing w:line="360" w:lineRule="auto"/>
        <w:tabs>
          <w:tab w:val="right" w:pos="8296" w:leader="dot"/>
        </w:tabs>
        <w:rPr>
          <w:rFonts w:hint="eastAsia" w:ascii="宋体" w:hAnsi="宋体" w:eastAsia="宋体"/>
          <w:color w:val="auto"/>
          <w:highlight w:val="none"/>
          <w:lang w:eastAsia="zh-CN"/>
        </w:rPr>
      </w:pPr>
      <w:r>
        <w:rPr>
          <w:rFonts w:hint="eastAsia" w:ascii="宋体" w:hAnsi="宋体"/>
          <w:color w:val="auto"/>
          <w:highlight w:val="none"/>
        </w:rPr>
        <w:t xml:space="preserve">第二章 投标人须知</w:t>
      </w:r>
      <w:r>
        <w:rPr>
          <w:rFonts w:hint="eastAsia" w:ascii="宋体" w:hAnsi="宋体"/>
          <w:color w:val="auto"/>
          <w:highlight w:val="none"/>
        </w:rPr>
        <w:tab/>
      </w:r>
      <w:r>
        <w:rPr>
          <w:rFonts w:hint="eastAsia" w:ascii="宋体" w:hAnsi="宋体"/>
          <w:color w:val="auto"/>
          <w:highlight w:val="none"/>
          <w:lang w:val="en-US" w:eastAsia="zh-CN"/>
        </w:rPr>
        <w:t xml:space="preserve">7</w:t>
      </w:r>
      <w:r/>
    </w:p>
    <w:p>
      <w:pPr>
        <w:pStyle w:val="910"/>
        <w:spacing w:line="360" w:lineRule="auto"/>
        <w:tabs>
          <w:tab w:val="right" w:pos="8296" w:leader="dot"/>
        </w:tabs>
        <w:rPr>
          <w:rFonts w:ascii="宋体" w:hAnsi="宋体"/>
          <w:color w:val="auto"/>
          <w:highlight w:val="none"/>
        </w:rPr>
      </w:pPr>
      <w:r>
        <w:rPr>
          <w:rFonts w:hint="eastAsia" w:ascii="宋体" w:hAnsi="宋体"/>
          <w:color w:val="auto"/>
          <w:highlight w:val="none"/>
        </w:rPr>
        <w:t xml:space="preserve">第三章 合同条款及格式</w:t>
      </w:r>
      <w:r>
        <w:rPr>
          <w:rFonts w:hint="eastAsia" w:ascii="宋体" w:hAnsi="宋体"/>
          <w:color w:val="auto"/>
          <w:highlight w:val="none"/>
        </w:rPr>
        <w:tab/>
      </w:r>
      <w:r>
        <w:rPr>
          <w:rFonts w:hint="eastAsia" w:ascii="宋体" w:hAnsi="宋体"/>
          <w:color w:val="auto"/>
          <w:highlight w:val="none"/>
        </w:rPr>
        <w:t xml:space="preserve">18</w:t>
      </w:r>
      <w:r/>
    </w:p>
    <w:p>
      <w:pPr>
        <w:pStyle w:val="910"/>
        <w:spacing w:line="360" w:lineRule="auto"/>
        <w:tabs>
          <w:tab w:val="right" w:pos="8296" w:leader="dot"/>
        </w:tabs>
        <w:rPr>
          <w:rFonts w:hint="eastAsia" w:ascii="宋体" w:hAnsi="宋体" w:eastAsia="宋体"/>
          <w:color w:val="auto"/>
          <w:highlight w:val="none"/>
          <w:lang w:eastAsia="zh-CN"/>
        </w:rPr>
      </w:pPr>
      <w:r>
        <w:rPr>
          <w:rFonts w:hint="eastAsia" w:ascii="宋体" w:hAnsi="宋体"/>
          <w:color w:val="auto"/>
          <w:highlight w:val="none"/>
        </w:rPr>
        <w:t xml:space="preserve">第四章 项目需求</w:t>
      </w:r>
      <w:r>
        <w:rPr>
          <w:rFonts w:hint="eastAsia" w:ascii="宋体" w:hAnsi="宋体"/>
          <w:color w:val="auto"/>
          <w:highlight w:val="none"/>
        </w:rPr>
        <w:tab/>
      </w: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p>
    <w:p>
      <w:pPr>
        <w:pStyle w:val="910"/>
        <w:spacing w:line="360" w:lineRule="auto"/>
        <w:tabs>
          <w:tab w:val="right" w:pos="8296" w:leader="dot"/>
        </w:tabs>
        <w:rPr>
          <w:rFonts w:ascii="宋体" w:hAnsi="宋体"/>
          <w:color w:val="auto"/>
          <w:highlight w:val="none"/>
        </w:rPr>
      </w:pPr>
      <w:r>
        <w:rPr>
          <w:rFonts w:hint="eastAsia" w:ascii="宋体" w:hAnsi="宋体"/>
          <w:color w:val="auto"/>
          <w:highlight w:val="none"/>
        </w:rPr>
        <w:t xml:space="preserve">第五章 评标方法及评标标准</w:t>
      </w:r>
      <w:r>
        <w:rPr>
          <w:rFonts w:hint="eastAsia" w:ascii="宋体" w:hAnsi="宋体"/>
          <w:color w:val="auto"/>
          <w:highlight w:val="none"/>
        </w:rPr>
        <w:tab/>
      </w:r>
      <w:r>
        <w:rPr>
          <w:rFonts w:hint="eastAsia" w:ascii="宋体" w:hAnsi="宋体"/>
          <w:color w:val="auto"/>
          <w:highlight w:val="none"/>
        </w:rPr>
        <w:t xml:space="preserve">27</w:t>
      </w:r>
      <w:r/>
    </w:p>
    <w:p>
      <w:pPr>
        <w:pStyle w:val="910"/>
        <w:spacing w:line="360" w:lineRule="auto"/>
        <w:tabs>
          <w:tab w:val="right" w:pos="8296" w:leader="dot"/>
        </w:tabs>
        <w:rPr>
          <w:rFonts w:hint="eastAsia" w:ascii="宋体" w:hAnsi="宋体" w:eastAsia="宋体"/>
          <w:color w:val="auto"/>
          <w:highlight w:val="none"/>
          <w:lang w:eastAsia="zh-CN"/>
        </w:rPr>
      </w:pPr>
      <w:r>
        <w:rPr>
          <w:rFonts w:hint="eastAsia" w:ascii="宋体" w:hAnsi="宋体"/>
          <w:color w:val="auto"/>
          <w:highlight w:val="none"/>
        </w:rPr>
        <w:t xml:space="preserve">第六章 投标文件格式</w:t>
      </w:r>
      <w:r>
        <w:rPr>
          <w:rFonts w:hint="eastAsia" w:ascii="宋体" w:hAnsi="宋体"/>
          <w:color w:val="auto"/>
          <w:highlight w:val="none"/>
        </w:rPr>
        <w:tab/>
      </w: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p>
    <w:p>
      <w:pPr>
        <w:spacing w:line="360" w:lineRule="auto"/>
        <w:rPr>
          <w:rFonts w:ascii="宋体" w:hAnsi="宋体"/>
          <w:color w:val="auto"/>
          <w:sz w:val="28"/>
          <w:highlight w:val="none"/>
        </w:rPr>
      </w:pPr>
      <w:r>
        <w:rPr>
          <w:rFonts w:hint="eastAsia" w:ascii="宋体" w:hAnsi="宋体"/>
          <w:color w:val="auto"/>
          <w:sz w:val="28"/>
          <w:highlight w:val="none"/>
        </w:rPr>
        <w:fldChar w:fldCharType="end"/>
      </w:r>
      <w:r/>
    </w:p>
    <w:p>
      <w:pPr>
        <w:pStyle w:val="886"/>
        <w:jc w:val="center"/>
        <w:spacing w:line="360" w:lineRule="auto"/>
        <w:rPr>
          <w:rFonts w:ascii="宋体" w:hAnsi="宋体"/>
          <w:color w:val="auto"/>
          <w:szCs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bookmarkStart w:id="0" w:name="_Toc55204177"/>
      <w:r/>
      <w:r/>
    </w:p>
    <w:p>
      <w:pPr>
        <w:pStyle w:val="886"/>
        <w:jc w:val="center"/>
        <w:spacing w:line="360" w:lineRule="auto"/>
        <w:rPr>
          <w:rFonts w:ascii="宋体" w:hAnsi="宋体"/>
          <w:color w:val="auto"/>
          <w:szCs w:val="36"/>
          <w:highlight w:val="none"/>
        </w:rPr>
      </w:pPr>
      <w:r>
        <w:rPr>
          <w:rFonts w:hint="eastAsia" w:ascii="宋体" w:hAnsi="宋体"/>
          <w:color w:val="auto"/>
          <w:szCs w:val="36"/>
          <w:highlight w:val="none"/>
        </w:rPr>
        <w:t xml:space="preserve">第一章 招标公告</w:t>
      </w:r>
      <w:bookmarkEnd w:id="0"/>
      <w:r/>
      <w:r/>
    </w:p>
    <w:p>
      <w:pPr>
        <w:ind w:firstLine="420"/>
        <w:spacing w:line="44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受扬州大学附属医院的委托，江苏汇诚投资咨询管理有限公司就其临床营养科2025年度固体饮料及复配食品添加剂采购项目(JSZC-320000-HCZX-G2025-0023号)进行公开招标</w:t>
      </w:r>
      <w:bookmarkStart w:id="76" w:name="_GoBack"/>
      <w:r/>
      <w:bookmarkEnd w:id="76"/>
      <w:r>
        <w:rPr>
          <w:rFonts w:hint="eastAsia" w:ascii="宋体" w:hAnsi="宋体" w:cs="宋体"/>
          <w:color w:val="auto"/>
          <w:szCs w:val="21"/>
          <w:highlight w:val="none"/>
        </w:rPr>
        <w:t xml:space="preserve">采购，欢迎符合条件的供应商投标。</w:t>
      </w:r>
      <w:r/>
    </w:p>
    <w:p>
      <w:pPr>
        <w:ind w:firstLine="422"/>
        <w:spacing w:line="440" w:lineRule="exact"/>
        <w:rPr>
          <w:rFonts w:ascii="宋体" w:hAnsi="宋体" w:cs="宋体"/>
          <w:b/>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highlight w:val="none"/>
        </w:rPr>
        <w:t xml:space="preserve">项目概况</w:t>
      </w:r>
      <w:r/>
    </w:p>
    <w:p>
      <w:pPr>
        <w:ind w:firstLine="420"/>
        <w:spacing w:line="440" w:lineRule="exact"/>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rPr>
        <w:t xml:space="preserve">扬州大学附属临床营养科2025年度固体饮料及复配食品添加剂</w:t>
      </w:r>
      <w:r>
        <w:rPr>
          <w:rFonts w:hint="eastAsia" w:ascii="宋体" w:hAnsi="宋体" w:cs="宋体"/>
          <w:color w:val="auto"/>
          <w:szCs w:val="21"/>
          <w:highlight w:val="none"/>
        </w:rPr>
        <w:t xml:space="preserve">招标项目的潜在投标人可在</w:t>
      </w:r>
      <w:r>
        <w:rPr>
          <w:rFonts w:hint="eastAsia" w:ascii="宋体" w:hAnsi="宋体" w:cs="宋体"/>
          <w:color w:val="auto"/>
          <w:szCs w:val="21"/>
          <w:highlight w:val="none"/>
          <w:u w:val="single"/>
          <w:lang w:eastAsia="zh-CN"/>
        </w:rPr>
        <w:t xml:space="preserve">“扬州大学附属医院网、扬州大学采管办网、江苏省政府采购网”</w:t>
      </w:r>
      <w:r>
        <w:rPr>
          <w:rFonts w:hint="eastAsia" w:ascii="宋体" w:hAnsi="宋体" w:cs="宋体"/>
          <w:color w:val="auto"/>
          <w:szCs w:val="21"/>
          <w:highlight w:val="none"/>
          <w:u w:val="single"/>
        </w:rPr>
        <w:t xml:space="preserve">自行免费下载</w:t>
      </w:r>
      <w:r>
        <w:rPr>
          <w:rFonts w:hint="eastAsia" w:ascii="宋体" w:hAnsi="宋体" w:cs="宋体"/>
          <w:color w:val="auto"/>
          <w:szCs w:val="21"/>
          <w:highlight w:val="none"/>
        </w:rPr>
        <w:t xml:space="preserve">招标文件，并于</w:t>
      </w:r>
      <w:r>
        <w:rPr>
          <w:rFonts w:hint="eastAsia" w:ascii="宋体" w:hAnsi="宋体" w:cs="宋体"/>
          <w:bCs/>
          <w:color w:val="auto"/>
          <w:szCs w:val="21"/>
          <w:highlight w:val="none"/>
          <w:u w:val="single"/>
        </w:rPr>
        <w:t xml:space="preserve">2025年4月18日09点30分（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spacing w:line="440" w:lineRule="exact"/>
        <w:tabs>
          <w:tab w:val="left" w:pos="266" w:leader="none"/>
        </w:tabs>
        <w:rPr>
          <w:rFonts w:ascii="宋体" w:hAnsi="宋体" w:cs="宋体"/>
          <w:b/>
          <w:bCs/>
          <w:color w:val="auto"/>
          <w:szCs w:val="21"/>
          <w:highlight w:val="none"/>
        </w:rPr>
      </w:pPr>
      <w:r/>
      <w:bookmarkStart w:id="1" w:name="_Toc28359002"/>
      <w:r/>
      <w:bookmarkStart w:id="2" w:name="_Toc35393790"/>
      <w:r/>
      <w:bookmarkStart w:id="3" w:name="_Toc38985263"/>
      <w:r/>
      <w:bookmarkStart w:id="4" w:name="_Toc28359079"/>
      <w:r/>
      <w:bookmarkStart w:id="5" w:name="_Toc35393621"/>
      <w:r/>
      <w:bookmarkStart w:id="6" w:name="_Hlk24379207"/>
      <w:r>
        <w:rPr>
          <w:rFonts w:hint="eastAsia" w:ascii="宋体" w:hAnsi="宋体" w:cs="宋体"/>
          <w:b/>
          <w:bCs/>
          <w:color w:val="auto"/>
          <w:szCs w:val="21"/>
          <w:highlight w:val="none"/>
        </w:rPr>
        <w:t xml:space="preserve">一、项目基本情况</w:t>
      </w:r>
      <w:bookmarkEnd w:id="1"/>
      <w:r/>
      <w:bookmarkEnd w:id="2"/>
      <w:r/>
      <w:bookmarkEnd w:id="3"/>
      <w:r/>
      <w:bookmarkEnd w:id="4"/>
      <w:r/>
      <w:bookmarkEnd w:id="5"/>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1.项目编号：JSZC-320000-HCZX-G2025-0023</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2.项目名称：</w:t>
      </w:r>
      <w:bookmarkEnd w:id="6"/>
      <w:r>
        <w:rPr>
          <w:rFonts w:hint="eastAsia" w:ascii="宋体" w:hAnsi="宋体" w:cs="宋体"/>
          <w:color w:val="auto"/>
          <w:szCs w:val="21"/>
          <w:highlight w:val="none"/>
        </w:rPr>
        <w:t xml:space="preserve">扬州大学附属医院临床营养科2025年度固体饮料及复配食品添加剂采购</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3.预算金额：205万元</w:t>
      </w:r>
      <w:r/>
    </w:p>
    <w:p>
      <w:pPr>
        <w:ind w:firstLine="420"/>
        <w:spacing w:line="440" w:lineRule="exact"/>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4.本项目设置最高限价，最高限价为160万元，超过最高限价为无效报价，做无效响应处理。</w:t>
      </w:r>
      <w:r/>
    </w:p>
    <w:p>
      <w:pPr>
        <w:ind w:firstLine="420"/>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5.采购需求：扬州大学附属医院临床营养科2025年度固体饮料及复配食品添加剂采购，具体详见招标文件第四章。</w:t>
      </w:r>
      <w:r/>
    </w:p>
    <w:p>
      <w:pPr>
        <w:ind w:firstLine="422"/>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color w:val="auto"/>
          <w:szCs w:val="21"/>
          <w:highlight w:val="none"/>
        </w:rPr>
        <w:t xml:space="preserve">合同履行期限：从2025年5月1日---2025年12月31日，计8个月。 </w:t>
      </w:r>
      <w:r/>
    </w:p>
    <w:p>
      <w:pPr>
        <w:ind w:firstLine="420"/>
        <w:spacing w:line="440" w:lineRule="exact"/>
        <w:rPr>
          <w:rFonts w:ascii="宋体" w:hAnsi="宋体" w:cs="宋体"/>
          <w:color w:val="auto"/>
          <w:szCs w:val="21"/>
          <w:highlight w:val="none"/>
        </w:rPr>
      </w:pPr>
      <w:r/>
      <w:bookmarkStart w:id="7" w:name="_Toc28359080"/>
      <w:r/>
      <w:bookmarkStart w:id="8" w:name="_Toc35393622"/>
      <w:r/>
      <w:bookmarkStart w:id="9" w:name="_Toc28359003"/>
      <w:r/>
      <w:bookmarkStart w:id="10" w:name="_Toc38985264"/>
      <w:r/>
      <w:bookmarkStart w:id="11" w:name="_Toc35393791"/>
      <w:r>
        <w:rPr>
          <w:rFonts w:hint="eastAsia" w:ascii="宋体" w:hAnsi="宋体" w:cs="宋体"/>
          <w:color w:val="auto"/>
          <w:szCs w:val="21"/>
          <w:highlight w:val="none"/>
        </w:rPr>
        <w:t xml:space="preserve">7.本项目不接受联合体投标。</w:t>
      </w:r>
      <w:r/>
    </w:p>
    <w:p>
      <w:pPr>
        <w:ind w:firstLine="420"/>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8.本项目不接受进口产品投标。</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bookmarkEnd w:id="11"/>
      <w:r/>
      <w:r/>
    </w:p>
    <w:p>
      <w:pPr>
        <w:ind w:firstLine="420"/>
        <w:spacing w:line="440" w:lineRule="exact"/>
        <w:rPr>
          <w:rFonts w:ascii="宋体" w:hAnsi="宋体" w:cs="宋体"/>
          <w:color w:val="auto"/>
          <w:szCs w:val="21"/>
          <w:highlight w:val="none"/>
        </w:rPr>
      </w:pPr>
      <w:r/>
      <w:bookmarkStart w:id="12" w:name="_Toc35393623"/>
      <w:r/>
      <w:bookmarkStart w:id="13" w:name="_Toc28359081"/>
      <w:r/>
      <w:bookmarkStart w:id="14" w:name="_Toc35393792"/>
      <w:r/>
      <w:bookmarkStart w:id="15" w:name="_Toc38985265"/>
      <w:r/>
      <w:bookmarkStart w:id="16" w:name="_Toc28359004"/>
      <w:r>
        <w:rPr>
          <w:rFonts w:hint="eastAsia" w:ascii="宋体" w:hAnsi="宋体" w:cs="宋体"/>
          <w:color w:val="auto"/>
          <w:szCs w:val="21"/>
          <w:highlight w:val="none"/>
        </w:rPr>
        <w:t xml:space="preserve">1.满足《中华人民共和国政府采购法》第二十二条规定，并提供下列材料：</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具备履行合同所必需的设备和专业技术能力的证明材料</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1.5参加本次政府采购活动前3年内在经营活动中没有重大违法记录的书面声明</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ind w:firstLine="420"/>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本项目专门面向中小企业采购，供应商须提供《中小企业声明函》。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无</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2"/>
      <w:r/>
      <w:bookmarkEnd w:id="13"/>
      <w:r/>
      <w:bookmarkEnd w:id="14"/>
      <w:r/>
      <w:bookmarkEnd w:id="15"/>
      <w:r/>
      <w:bookmarkEnd w:id="16"/>
      <w:r/>
      <w:r/>
    </w:p>
    <w:p>
      <w:pPr>
        <w:ind w:firstLine="420"/>
        <w:spacing w:line="440" w:lineRule="exact"/>
        <w:rPr>
          <w:rFonts w:ascii="宋体" w:hAnsi="宋体" w:cs="宋体"/>
          <w:color w:val="auto"/>
          <w:szCs w:val="21"/>
          <w:highlight w:val="none"/>
        </w:rPr>
      </w:pPr>
      <w:r/>
      <w:bookmarkStart w:id="17" w:name="_Toc28359005"/>
      <w:r/>
      <w:bookmarkStart w:id="18" w:name="_Toc28359082"/>
      <w:r/>
      <w:bookmarkStart w:id="19" w:name="_Toc35393624"/>
      <w:r/>
      <w:bookmarkStart w:id="20" w:name="_Toc35393793"/>
      <w:r/>
      <w:bookmarkStart w:id="21" w:name="_Toc38985266"/>
      <w:r>
        <w:rPr>
          <w:rFonts w:hint="eastAsia" w:ascii="宋体" w:hAnsi="宋体" w:cs="宋体"/>
          <w:color w:val="auto"/>
          <w:szCs w:val="21"/>
          <w:highlight w:val="none"/>
        </w:rPr>
        <w:t xml:space="preserve">1.时间：自招标文件公告发布之日起5个工作日。5个工作日后仍可下载招标文件，但不作为供应商权益受到损害的证明材料和依据。</w:t>
      </w:r>
      <w:r/>
    </w:p>
    <w:p>
      <w:pPr>
        <w:ind w:firstLine="422"/>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2.获取地点：</w:t>
      </w:r>
      <w:r>
        <w:rPr>
          <w:rFonts w:hint="eastAsia" w:ascii="宋体" w:hAnsi="宋体" w:cs="宋体"/>
          <w:color w:val="auto"/>
          <w:szCs w:val="21"/>
          <w:highlight w:val="none"/>
          <w:lang w:eastAsia="zh-CN"/>
        </w:rPr>
        <w:t xml:space="preserve">“扬州大学附属医院网、扬州大学采管办网、江苏省政府采购网”</w:t>
      </w:r>
      <w:r/>
    </w:p>
    <w:p>
      <w:pPr>
        <w:ind w:firstLine="422"/>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3.获取方式：自招标公告在“扬州大学附属医院网、扬州大学采管办网、江苏政府采购网”发布之日起5个工作日。招标文件在</w:t>
      </w:r>
      <w:r>
        <w:rPr>
          <w:rFonts w:hint="eastAsia" w:ascii="宋体" w:hAnsi="宋体" w:cs="宋体"/>
          <w:color w:val="auto"/>
          <w:szCs w:val="21"/>
          <w:highlight w:val="none"/>
          <w:lang w:eastAsia="zh-CN"/>
        </w:rPr>
        <w:t xml:space="preserve">“扬州大学附属医院网、扬州大学采管办网、江苏省政府采购网”</w:t>
      </w:r>
      <w:r>
        <w:rPr>
          <w:rFonts w:hint="eastAsia" w:ascii="宋体" w:hAnsi="宋体" w:cs="宋体"/>
          <w:color w:val="auto"/>
          <w:szCs w:val="21"/>
          <w:highlight w:val="none"/>
        </w:rPr>
        <w:t xml:space="preserve">上下载，供应商如确定参加投标，请如实填写《供应商参加投标确认函》，填写打印后加盖公章，拍照或扫描发送至邮箱（电子邮箱：2263852076@qq.com，邮件标题备注企业全称+项目简称，联系电话：0514-89787281）。如供应商未按上述要求去做，将自行承担所产生的风险。</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w:t>
      </w:r>
      <w:bookmarkEnd w:id="17"/>
      <w:r/>
      <w:bookmarkEnd w:id="18"/>
      <w:r>
        <w:rPr>
          <w:rFonts w:hint="eastAsia" w:ascii="宋体" w:hAnsi="宋体" w:cs="宋体"/>
          <w:b/>
          <w:bCs/>
          <w:color w:val="auto"/>
          <w:szCs w:val="21"/>
          <w:highlight w:val="none"/>
        </w:rPr>
        <w:t xml:space="preserve">截止时间、开标时间和地点</w:t>
      </w:r>
      <w:bookmarkEnd w:id="19"/>
      <w:r/>
      <w:bookmarkEnd w:id="20"/>
      <w:r/>
      <w:bookmarkEnd w:id="21"/>
      <w:r/>
      <w:r/>
    </w:p>
    <w:p>
      <w:pPr>
        <w:ind w:firstLine="420"/>
        <w:spacing w:line="44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2025年4月18日09点30分</w:t>
      </w:r>
      <w:r>
        <w:rPr>
          <w:rFonts w:hint="eastAsia" w:ascii="宋体" w:hAnsi="宋体" w:cs="宋体"/>
          <w:bCs/>
          <w:color w:val="auto"/>
          <w:szCs w:val="21"/>
          <w:highlight w:val="none"/>
        </w:rPr>
        <w:t xml:space="preserve">（北京时间）</w:t>
      </w:r>
      <w:r/>
    </w:p>
    <w:p>
      <w:pPr>
        <w:ind w:firstLine="420"/>
        <w:spacing w:line="440" w:lineRule="exact"/>
        <w:rPr>
          <w:rFonts w:ascii="宋体" w:hAnsi="宋体" w:cs="宋体"/>
          <w:color w:val="auto"/>
          <w:spacing w:val="-6"/>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color w:val="auto"/>
          <w:spacing w:val="-6"/>
          <w:szCs w:val="21"/>
          <w:highlight w:val="none"/>
          <w:u w:val="single"/>
        </w:rPr>
        <w:t xml:space="preserve">江苏汇诚投资咨询管理有限公司开标室（扬州市邗江北路68号旺角西入口三楼）</w:t>
      </w:r>
      <w:r/>
    </w:p>
    <w:p>
      <w:pPr>
        <w:ind w:firstLine="422"/>
        <w:spacing w:line="360" w:lineRule="auto"/>
        <w:rPr>
          <w:rFonts w:ascii="宋体" w:hAnsi="宋体" w:cs="宋体"/>
          <w:color w:val="auto"/>
          <w:spacing w:val="-6"/>
          <w:szCs w:val="21"/>
          <w:highlight w:val="none"/>
          <w:u w:val="single"/>
        </w:rPr>
      </w:pPr>
      <w:r>
        <w:rPr>
          <w:rFonts w:hint="eastAsia" w:ascii="宋体" w:hAnsi="宋体" w:cs="宋体"/>
          <w:b/>
          <w:bCs/>
          <w:i/>
          <w:iCs/>
          <w:color w:val="auto"/>
          <w:szCs w:val="21"/>
          <w:highlight w:val="none"/>
          <w:u w:val="single"/>
        </w:rPr>
        <w:t xml:space="preserve">注：投标人须由法定代表人或其授权委托人现场参加投标并递交投标文件，否则投标文件不予接收。递交投标文件时现场核查法定代表人或授权委托人身份证原件。</w:t>
      </w:r>
      <w:r/>
    </w:p>
    <w:p>
      <w:pPr>
        <w:spacing w:line="440" w:lineRule="exact"/>
        <w:tabs>
          <w:tab w:val="left" w:pos="266" w:leader="none"/>
        </w:tabs>
        <w:rPr>
          <w:rFonts w:ascii="宋体" w:hAnsi="宋体" w:cs="宋体"/>
          <w:b/>
          <w:bCs/>
          <w:color w:val="auto"/>
          <w:szCs w:val="21"/>
          <w:highlight w:val="none"/>
        </w:rPr>
      </w:pPr>
      <w:r/>
      <w:bookmarkStart w:id="22" w:name="_Toc35393802"/>
      <w:r/>
      <w:bookmarkStart w:id="23" w:name="_Toc28359093"/>
      <w:r/>
      <w:bookmarkStart w:id="24" w:name="_Toc28359016"/>
      <w:r/>
      <w:bookmarkStart w:id="25" w:name="_Toc35393633"/>
      <w:r/>
      <w:bookmarkStart w:id="26" w:name="_Toc28359084"/>
      <w:r/>
      <w:bookmarkStart w:id="27" w:name="_Toc28359007"/>
      <w:r/>
      <w:bookmarkStart w:id="28" w:name="_Toc35393794"/>
      <w:r/>
      <w:bookmarkStart w:id="29" w:name="_Toc35393625"/>
      <w:r/>
      <w:bookmarkStart w:id="30" w:name="_Toc38985267"/>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44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2025年4月18日09点30分（北京时间）</w:t>
      </w:r>
      <w:r/>
    </w:p>
    <w:p>
      <w:pPr>
        <w:ind w:firstLine="420"/>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pacing w:val="-6"/>
          <w:szCs w:val="21"/>
          <w:highlight w:val="none"/>
          <w:u w:val="single"/>
        </w:rPr>
        <w:t xml:space="preserve">江苏汇诚投资咨询管理有限公司开标室（扬州市邗江北路68号旺角西入口三楼）</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6"/>
      <w:r/>
      <w:bookmarkEnd w:id="27"/>
      <w:r/>
      <w:bookmarkEnd w:id="28"/>
      <w:r/>
      <w:bookmarkEnd w:id="29"/>
      <w:r/>
      <w:bookmarkEnd w:id="30"/>
      <w:r/>
      <w:r/>
    </w:p>
    <w:p>
      <w:pPr>
        <w:ind w:firstLine="420"/>
        <w:spacing w:line="440" w:lineRule="exact"/>
        <w:rPr>
          <w:rFonts w:ascii="宋体" w:hAnsi="宋体" w:cs="宋体"/>
          <w:color w:val="auto"/>
          <w:szCs w:val="21"/>
          <w:highlight w:val="none"/>
        </w:rPr>
      </w:pPr>
      <w:r/>
      <w:bookmarkStart w:id="31" w:name="_Toc35393626"/>
      <w:r/>
      <w:bookmarkStart w:id="32" w:name="_Toc38985268"/>
      <w:r/>
      <w:bookmarkStart w:id="33" w:name="_Toc35393795"/>
      <w:r>
        <w:rPr>
          <w:rFonts w:hint="eastAsia" w:ascii="宋体" w:hAnsi="宋体" w:cs="宋体"/>
          <w:color w:val="auto"/>
          <w:szCs w:val="21"/>
          <w:highlight w:val="none"/>
        </w:rPr>
        <w:t xml:space="preserve">招标公告及招标文件公告期限为自本公告发布之日起5个工作日。</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七、其他补充事宜</w:t>
      </w:r>
      <w:bookmarkEnd w:id="31"/>
      <w:r/>
      <w:bookmarkEnd w:id="32"/>
      <w:r/>
      <w:bookmarkEnd w:id="33"/>
      <w:r/>
      <w:r/>
    </w:p>
    <w:p>
      <w:pPr>
        <w:ind w:firstLine="525"/>
        <w:spacing w:line="440" w:lineRule="exact"/>
        <w:rPr>
          <w:rFonts w:ascii="宋体" w:hAnsi="宋体" w:cs="宋体"/>
          <w:color w:val="auto"/>
          <w:szCs w:val="21"/>
          <w:highlight w:val="none"/>
        </w:rPr>
      </w:pPr>
      <w:r/>
      <w:bookmarkStart w:id="34" w:name="_Toc35393627"/>
      <w:r/>
      <w:bookmarkStart w:id="35" w:name="_Toc38985269"/>
      <w:r/>
      <w:bookmarkStart w:id="36" w:name="_Toc28359085"/>
      <w:r/>
      <w:bookmarkStart w:id="37" w:name="_Toc35393796"/>
      <w:r/>
      <w:bookmarkStart w:id="38" w:name="_Toc28359008"/>
      <w:r>
        <w:rPr>
          <w:rFonts w:hint="eastAsia" w:ascii="宋体" w:hAnsi="宋体" w:cs="宋体"/>
          <w:color w:val="auto"/>
          <w:szCs w:val="21"/>
          <w:highlight w:val="none"/>
        </w:rPr>
        <w:t xml:space="preserve">7.1本次响应文件制作份数要求：</w:t>
      </w:r>
      <w:r/>
    </w:p>
    <w:p>
      <w:pPr>
        <w:ind w:firstLine="52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纸质版一式柒份(一份正本，陆份副本) ，每份响应文件须清楚标明“正本”或“副本”；电子版投标文件壹份(一般应为U盘形式、随纸质正本文件一并提交)。当电子版文件和纸质正本文件不一致时，以纸质正本文件为准。电子版文件用于辅助评标和平台存档，供应商需承担前述不一致造成的不利后果。</w:t>
      </w:r>
      <w:r/>
    </w:p>
    <w:p>
      <w:pPr>
        <w:ind w:firstLine="52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7.2严格执行政府采购关于支持</w:t>
      </w:r>
      <w:r>
        <w:rPr>
          <w:rFonts w:hint="eastAsia" w:ascii="宋体" w:hAnsi="宋体" w:cs="宋体"/>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2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7.3供应商对于投标产品的包装应按照“财办库〔2020〕123号《关于印发&lt;商品包装政府采购需求标准（试行）&gt;、&lt;快递包装政府采购需求标准（试行）&gt;的通知》”执行。</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八、本次招标联系方式</w:t>
      </w:r>
      <w:bookmarkEnd w:id="34"/>
      <w:r/>
      <w:bookmarkEnd w:id="35"/>
      <w:r/>
      <w:bookmarkEnd w:id="36"/>
      <w:r/>
      <w:bookmarkEnd w:id="37"/>
      <w:r/>
      <w:bookmarkEnd w:id="38"/>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rPr>
        <w:t xml:space="preserve">扬州大学附属医院</w:t>
      </w:r>
      <w:r/>
    </w:p>
    <w:p>
      <w:pPr>
        <w:ind w:firstLine="420"/>
        <w:jc w:val="left"/>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扬州市邗江中路368号</w:t>
      </w:r>
      <w:r/>
    </w:p>
    <w:p>
      <w:pPr>
        <w:ind w:firstLine="420"/>
        <w:jc w:val="left"/>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胡老师</w:t>
      </w:r>
      <w:r/>
    </w:p>
    <w:p>
      <w:pPr>
        <w:ind w:firstLine="420"/>
        <w:jc w:val="left"/>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联系方式：</w:t>
      </w:r>
      <w:bookmarkStart w:id="39" w:name="_Toc28359086"/>
      <w:r/>
      <w:bookmarkStart w:id="40" w:name="_Toc28359009"/>
      <w:r>
        <w:rPr>
          <w:rFonts w:hint="eastAsia" w:ascii="宋体" w:hAnsi="宋体" w:cs="宋体"/>
          <w:color w:val="auto"/>
          <w:szCs w:val="21"/>
          <w:highlight w:val="none"/>
          <w:u w:val="single"/>
        </w:rPr>
        <w:t xml:space="preserve">0514-82099555</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2.代理机构信息</w:t>
      </w:r>
      <w:bookmarkEnd w:id="39"/>
      <w:r/>
      <w:bookmarkEnd w:id="40"/>
      <w:r/>
      <w:r/>
    </w:p>
    <w:p>
      <w:pPr>
        <w:ind w:firstLine="420"/>
        <w:jc w:val="left"/>
        <w:spacing w:line="440" w:lineRule="exact"/>
        <w:rPr>
          <w:rFonts w:ascii="宋体" w:hAnsi="宋体" w:cs="宋体"/>
          <w:color w:val="auto"/>
          <w:szCs w:val="21"/>
          <w:highlight w:val="none"/>
        </w:rPr>
      </w:pPr>
      <w:r/>
      <w:bookmarkStart w:id="41" w:name="_Toc28359010"/>
      <w:r/>
      <w:bookmarkStart w:id="42" w:name="_Toc28359087"/>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江苏汇诚投资咨询管理有限公司</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扬州市邗江北路68号3楼西入口</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唐磊</w:t>
      </w:r>
      <w:r/>
    </w:p>
    <w:p>
      <w:pPr>
        <w:ind w:firstLine="420"/>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0514-89787281</w:t>
      </w:r>
      <w:bookmarkEnd w:id="41"/>
      <w:r/>
      <w:bookmarkEnd w:id="42"/>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九、其他</w:t>
      </w:r>
      <w:r/>
    </w:p>
    <w:p>
      <w:pPr>
        <w:ind w:firstLine="422"/>
        <w:jc w:val="left"/>
        <w:spacing w:line="44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1.潜在供应商对采购文件项目需求部分的询问、质疑请向采购人提出，由采购人负责答复。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本次招标不收取投标保证金。</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3.有关本次招标的事项若存在变动或修改，敬请及时关注</w:t>
      </w:r>
      <w:r>
        <w:rPr>
          <w:rFonts w:hint="eastAsia" w:ascii="宋体" w:hAnsi="宋体" w:cs="宋体"/>
          <w:color w:val="auto"/>
          <w:szCs w:val="21"/>
          <w:highlight w:val="none"/>
          <w:lang w:eastAsia="zh-CN"/>
        </w:rPr>
        <w:t xml:space="preserve">“扬州大学附属医院网、扬州大学采管办网、江苏省政府采购网”</w:t>
      </w:r>
      <w:r>
        <w:rPr>
          <w:rFonts w:hint="eastAsia" w:ascii="宋体" w:hAnsi="宋体" w:cs="宋体"/>
          <w:color w:val="auto"/>
          <w:szCs w:val="21"/>
          <w:highlight w:val="none"/>
        </w:rPr>
        <w:t xml:space="preserve">发布的信息或更正公告。</w:t>
      </w:r>
      <w:r/>
    </w:p>
    <w:p>
      <w:pPr>
        <w:ind w:firstLine="422"/>
        <w:spacing w:line="440" w:lineRule="exact"/>
        <w:rPr>
          <w:color w:val="auto"/>
          <w:highlight w:val="none"/>
        </w:rPr>
      </w:pPr>
      <w:r>
        <w:rPr>
          <w:rFonts w:hint="eastAsia" w:ascii="宋体" w:hAnsi="宋体" w:cs="宋体"/>
          <w:b/>
          <w:i/>
          <w:iCs/>
          <w:color w:val="auto"/>
          <w:szCs w:val="21"/>
          <w:highlight w:val="none"/>
          <w:u w:val="single"/>
        </w:rPr>
        <w:t xml:space="preserve">4.本项目招标文件中所有斜体下划线部分为实质性条款，如不满足，则为无效投标。</w:t>
      </w:r>
      <w:bookmarkStart w:id="43" w:name="_Toc55204178"/>
      <w:r/>
      <w:r/>
    </w:p>
    <w:p>
      <w:pPr>
        <w:pStyle w:val="886"/>
        <w:jc w:val="center"/>
        <w:spacing w:line="360" w:lineRule="auto"/>
        <w:rPr>
          <w:rFonts w:ascii="宋体" w:hAnsi="宋体"/>
          <w:color w:val="auto"/>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Cs w:val="36"/>
          <w:highlight w:val="none"/>
        </w:rPr>
      </w:r>
      <w:r/>
    </w:p>
    <w:p>
      <w:pPr>
        <w:pStyle w:val="886"/>
        <w:jc w:val="center"/>
        <w:spacing w:line="360" w:lineRule="auto"/>
        <w:rPr>
          <w:rFonts w:ascii="宋体" w:hAnsi="宋体"/>
          <w:color w:val="auto"/>
          <w:szCs w:val="36"/>
          <w:highlight w:val="none"/>
        </w:rPr>
      </w:pPr>
      <w:r>
        <w:rPr>
          <w:rFonts w:hint="eastAsia" w:ascii="宋体" w:hAnsi="宋体"/>
          <w:color w:val="auto"/>
          <w:szCs w:val="36"/>
          <w:highlight w:val="none"/>
        </w:rPr>
        <w:t xml:space="preserve">第二章 投标人须知</w:t>
      </w:r>
      <w:bookmarkEnd w:id="43"/>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本次招标采取公开招标方式，本招标文件仅适用于JSZC-320000-HCZX-G2025-0023号项目。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投标人应自行承担所有与参加投标有关的费用，无论投标过程中的做法和结果如何，代理机构在任何情况下均无义务和责任承担这些费用。</w:t>
      </w:r>
      <w:r/>
    </w:p>
    <w:p>
      <w:pPr>
        <w:ind w:firstLine="422"/>
        <w:jc w:val="left"/>
        <w:spacing w:line="440" w:lineRule="exact"/>
        <w:rPr>
          <w:rFonts w:ascii="宋体" w:hAnsi="宋体" w:cs="宋体"/>
          <w:color w:val="auto"/>
          <w:szCs w:val="21"/>
          <w:highlight w:val="none"/>
        </w:rPr>
      </w:pPr>
      <w:r>
        <w:rPr>
          <w:rFonts w:hint="eastAsia" w:ascii="宋体" w:hAnsi="宋体" w:cs="宋体"/>
          <w:b/>
          <w:bCs/>
          <w:i/>
          <w:iCs/>
          <w:color w:val="auto"/>
          <w:szCs w:val="21"/>
          <w:highlight w:val="none"/>
          <w:u w:val="single"/>
        </w:rPr>
        <w:t xml:space="preserve">4.2本次采购（招标）不收取文件工本费。</w:t>
      </w:r>
      <w:r/>
    </w:p>
    <w:p>
      <w:pPr>
        <w:ind w:firstLine="422"/>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4.3本次采购由中标供应商在领取中标通知书前缴纳代理服务费，</w:t>
      </w:r>
      <w:r>
        <w:rPr>
          <w:rFonts w:hint="eastAsia" w:ascii="宋体" w:hAnsi="宋体" w:cs="宋体"/>
          <w:b/>
          <w:bCs/>
          <w:color w:val="auto"/>
          <w:szCs w:val="21"/>
          <w:highlight w:val="none"/>
        </w:rPr>
        <w:t xml:space="preserve">（具体计算方式详见下表）。</w:t>
      </w:r>
      <w:r/>
    </w:p>
    <w:tbl>
      <w:tblPr>
        <w:tblStyle w:val="891"/>
        <w:tblW w:w="8111" w:type="dxa"/>
        <w:jc w:val="center"/>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jc w:val="center"/>
              <w:spacing w:line="440" w:lineRule="exact"/>
              <w:widowControl/>
              <w:rPr>
                <w:rFonts w:ascii="宋体" w:hAnsi="宋体" w:cs="宋体"/>
                <w:color w:val="auto"/>
                <w:spacing w:val="40"/>
                <w:szCs w:val="21"/>
                <w:highlight w:val="none"/>
              </w:rPr>
            </w:pPr>
            <w:r>
              <w:rPr>
                <w:rFonts w:hint="eastAsia" w:ascii="宋体" w:hAnsi="宋体" w:cs="宋体"/>
                <w:color w:val="auto"/>
                <w:spacing w:val="40"/>
                <w:szCs w:val="21"/>
                <w:highlight w:val="none"/>
              </w:rPr>
              <w:t xml:space="preserve">项目</w:t>
            </w:r>
            <w:r/>
          </w:p>
          <w:p>
            <w:pPr>
              <w:jc w:val="center"/>
              <w:spacing w:line="440" w:lineRule="exact"/>
              <w:widowControl/>
              <w:rPr>
                <w:rFonts w:ascii="宋体" w:hAnsi="宋体" w:cs="宋体"/>
                <w:color w:val="auto"/>
                <w:spacing w:val="40"/>
                <w:szCs w:val="21"/>
                <w:highlight w:val="none"/>
              </w:rPr>
            </w:pPr>
            <w:r>
              <w:rPr>
                <w:rFonts w:hint="eastAsia" w:ascii="宋体" w:hAnsi="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440" w:lineRule="exact"/>
              <w:widowControl/>
              <w:rPr>
                <w:rFonts w:ascii="宋体" w:hAnsi="宋体" w:cs="宋体"/>
                <w:color w:val="auto"/>
                <w:spacing w:val="40"/>
                <w:szCs w:val="21"/>
                <w:highlight w:val="none"/>
              </w:rPr>
            </w:pPr>
            <w:r>
              <w:rPr>
                <w:rFonts w:ascii="宋体" w:hAnsi="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货物</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1500元</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u w:val="single"/>
              </w:rPr>
              <w:t xml:space="preserve">15</w:t>
            </w:r>
            <w:r>
              <w:rPr>
                <w:rFonts w:hint="eastAsia" w:ascii="宋体" w:hAnsi="宋体" w:cs="宋体"/>
                <w:color w:val="auto"/>
                <w:szCs w:val="21"/>
                <w:highlight w:val="none"/>
              </w:rPr>
              <w:t xml:space="preserve">%</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8000元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服务</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4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4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4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工程</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4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u w:val="single"/>
              </w:rPr>
              <w:t xml:space="preserve">15</w:t>
            </w:r>
            <w:r>
              <w:rPr>
                <w:rFonts w:hint="eastAsia" w:ascii="宋体" w:hAnsi="宋体" w:cs="宋体"/>
                <w:color w:val="auto"/>
                <w:szCs w:val="21"/>
                <w:highlight w:val="none"/>
              </w:rPr>
              <w:t xml:space="preserve">%</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40" w:lineRule="exact"/>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基准费率表</w:t>
      </w:r>
      <w:r/>
    </w:p>
    <w:tbl>
      <w:tblPr>
        <w:tblStyle w:val="891"/>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0.05％</w:t>
            </w:r>
            <w:r/>
          </w:p>
        </w:tc>
      </w:tr>
    </w:tbl>
    <w:p>
      <w:pPr>
        <w:ind w:firstLine="420"/>
        <w:spacing w:line="360" w:lineRule="auto"/>
        <w:rPr>
          <w:rFonts w:ascii="宋体" w:hAnsi="宋体"/>
          <w:color w:val="auto"/>
          <w:highlight w:val="none"/>
        </w:rPr>
      </w:pPr>
      <w:r>
        <w:rPr>
          <w:rFonts w:ascii="宋体" w:hAnsi="宋体"/>
          <w:color w:val="auto"/>
          <w:highlight w:val="none"/>
        </w:rPr>
        <w:t xml:space="preserve">（1）代理服务费以人民币支付；</w:t>
      </w:r>
      <w:r/>
    </w:p>
    <w:p>
      <w:pPr>
        <w:ind w:firstLine="420"/>
        <w:spacing w:line="360" w:lineRule="auto"/>
        <w:rPr>
          <w:rFonts w:ascii="宋体" w:hAnsi="宋体"/>
          <w:color w:val="auto"/>
          <w:highlight w:val="none"/>
        </w:rPr>
      </w:pPr>
      <w:r>
        <w:rPr>
          <w:rFonts w:ascii="宋体" w:hAnsi="宋体"/>
          <w:color w:val="auto"/>
          <w:highlight w:val="none"/>
        </w:rPr>
        <w:t xml:space="preserve">（2）代理服务费一次性以电汇、转账等非现金形式支付；</w:t>
      </w:r>
      <w:r/>
    </w:p>
    <w:p>
      <w:pPr>
        <w:ind w:firstLine="420"/>
        <w:spacing w:line="360" w:lineRule="auto"/>
        <w:rPr>
          <w:rFonts w:ascii="宋体" w:hAnsi="宋体"/>
          <w:color w:val="auto"/>
          <w:highlight w:val="none"/>
        </w:rPr>
      </w:pPr>
      <w:r>
        <w:rPr>
          <w:rFonts w:ascii="宋体" w:hAnsi="宋体"/>
          <w:color w:val="auto"/>
          <w:highlight w:val="none"/>
        </w:rPr>
        <w:t xml:space="preserve">（3）招标代理服务费不在投标报价中单列，包含在投标总价中，由中标单位支付给代理机构。</w:t>
      </w:r>
      <w:r/>
    </w:p>
    <w:p>
      <w:pPr>
        <w:ind w:firstLine="420"/>
        <w:spacing w:line="360" w:lineRule="auto"/>
        <w:rPr>
          <w:rFonts w:ascii="宋体" w:hAnsi="宋体" w:cstheme="minorEastAsia"/>
          <w:color w:val="auto"/>
          <w:szCs w:val="21"/>
          <w:highlight w:val="none"/>
        </w:rPr>
      </w:pPr>
      <w:r>
        <w:rPr>
          <w:rFonts w:hint="eastAsia" w:ascii="宋体" w:hAnsi="宋体" w:cstheme="minorEastAsia"/>
          <w:color w:val="auto"/>
          <w:szCs w:val="21"/>
          <w:highlight w:val="none"/>
        </w:rPr>
        <w:t xml:space="preserve">招标代理服务费开户银行： </w:t>
      </w:r>
      <w:r/>
    </w:p>
    <w:p>
      <w:pPr>
        <w:ind w:right="366" w:firstLine="420"/>
        <w:jc w:val="left"/>
        <w:spacing w:line="360" w:lineRule="auto"/>
        <w:rPr>
          <w:rFonts w:ascii="宋体" w:hAnsi="宋体" w:cstheme="minorEastAsia"/>
          <w:color w:val="auto"/>
          <w:szCs w:val="21"/>
          <w:highlight w:val="none"/>
        </w:rPr>
      </w:pPr>
      <w:r>
        <w:rPr>
          <w:rFonts w:hint="eastAsia" w:ascii="宋体" w:hAnsi="宋体" w:cstheme="minorEastAsia"/>
          <w:color w:val="auto"/>
          <w:szCs w:val="21"/>
          <w:highlight w:val="none"/>
        </w:rPr>
        <w:t xml:space="preserve">开户名称：江苏汇诚投资咨询管理有限公司邗江分公司</w:t>
      </w:r>
      <w:r/>
    </w:p>
    <w:p>
      <w:pPr>
        <w:ind w:right="366" w:firstLine="420"/>
        <w:jc w:val="left"/>
        <w:spacing w:line="360" w:lineRule="auto"/>
        <w:rPr>
          <w:rFonts w:ascii="宋体" w:hAnsi="宋体" w:cstheme="minorEastAsia"/>
          <w:color w:val="auto"/>
          <w:szCs w:val="21"/>
          <w:highlight w:val="none"/>
        </w:rPr>
      </w:pPr>
      <w:r>
        <w:rPr>
          <w:rFonts w:hint="eastAsia" w:ascii="宋体" w:hAnsi="宋体" w:cstheme="minorEastAsia"/>
          <w:color w:val="auto"/>
          <w:szCs w:val="21"/>
          <w:highlight w:val="none"/>
        </w:rPr>
        <w:t xml:space="preserve">开 户 行:中国工商银行扬州雍华府支行</w:t>
      </w:r>
      <w:r/>
    </w:p>
    <w:p>
      <w:pPr>
        <w:ind w:right="366" w:firstLine="420"/>
        <w:jc w:val="left"/>
        <w:spacing w:line="360" w:lineRule="auto"/>
        <w:rPr>
          <w:rFonts w:ascii="宋体" w:hAnsi="宋体" w:cstheme="minorEastAsia"/>
          <w:color w:val="auto"/>
          <w:szCs w:val="21"/>
          <w:highlight w:val="none"/>
        </w:rPr>
      </w:pPr>
      <w:r>
        <w:rPr>
          <w:rFonts w:hint="eastAsia" w:ascii="宋体" w:hAnsi="宋体" w:cstheme="minorEastAsia"/>
          <w:color w:val="auto"/>
          <w:szCs w:val="21"/>
          <w:highlight w:val="none"/>
        </w:rPr>
        <w:t xml:space="preserve">帐号:1108020809100091782</w:t>
      </w:r>
      <w:r/>
    </w:p>
    <w:p>
      <w:pPr>
        <w:ind w:firstLine="420"/>
        <w:spacing w:line="360" w:lineRule="auto"/>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3</w:t>
      </w:r>
      <w:r>
        <w:rPr>
          <w:rFonts w:ascii="宋体" w:hAnsi="宋体"/>
          <w:color w:val="auto"/>
          <w:highlight w:val="none"/>
        </w:rPr>
        <w:t xml:space="preserve">专家评审费按扬财购【2020】40 号文《关于</w:t>
      </w:r>
      <w:r>
        <w:rPr>
          <w:rFonts w:hint="eastAsia" w:ascii="宋体" w:hAnsi="宋体"/>
          <w:color w:val="auto"/>
          <w:highlight w:val="none"/>
        </w:rPr>
        <w:t xml:space="preserve">进一步</w:t>
      </w:r>
      <w:r>
        <w:rPr>
          <w:rFonts w:ascii="宋体" w:hAnsi="宋体"/>
          <w:color w:val="auto"/>
          <w:highlight w:val="none"/>
        </w:rPr>
        <w:t xml:space="preserve">规范扬州市政府采购专家评审费标准的通知》执行。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cs="宋体"/>
          <w:color w:val="auto"/>
          <w:szCs w:val="21"/>
          <w:highlight w:val="none"/>
          <w:lang w:eastAsia="zh-CN"/>
        </w:rPr>
        <w:t xml:space="preserve">“扬州大学附属医院网、扬州大学采管办网、江苏省政府采购网”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44" w:name="_Toc20823297"/>
      <w:r/>
      <w:bookmarkStart w:id="45" w:name="_Toc513029225"/>
      <w:r/>
      <w:bookmarkStart w:id="46" w:name="_Toc462564084"/>
      <w:r/>
      <w:bookmarkStart w:id="47" w:name="_Toc16938541"/>
      <w:r>
        <w:rPr>
          <w:rFonts w:hint="eastAsia" w:ascii="宋体" w:hAnsi="宋体"/>
          <w:b/>
          <w:color w:val="auto"/>
          <w:szCs w:val="21"/>
          <w:highlight w:val="none"/>
        </w:rPr>
        <w:t xml:space="preserve">17、</w:t>
      </w:r>
      <w:bookmarkEnd w:id="44"/>
      <w:r/>
      <w:bookmarkEnd w:id="45"/>
      <w:r/>
      <w:bookmarkEnd w:id="46"/>
      <w:r/>
      <w:bookmarkEnd w:id="47"/>
      <w:r/>
      <w:bookmarkStart w:id="48" w:name="_Toc16938542"/>
      <w:r/>
      <w:bookmarkStart w:id="49" w:name="_Toc513029226"/>
      <w:r/>
      <w:bookmarkStart w:id="50" w:name="_Toc20823298"/>
      <w:r>
        <w:rPr>
          <w:rFonts w:hint="eastAsia" w:ascii="宋体" w:hAnsi="宋体"/>
          <w:b/>
          <w:color w:val="auto"/>
          <w:szCs w:val="21"/>
          <w:highlight w:val="none"/>
        </w:rPr>
        <w:t xml:space="preserve">投标文件份数和签署</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17.1</w:t>
      </w:r>
      <w:r>
        <w:rPr>
          <w:rFonts w:hint="eastAsia" w:ascii="宋体" w:hAnsi="宋体"/>
          <w:bCs/>
          <w:color w:val="auto"/>
          <w:szCs w:val="21"/>
          <w:highlight w:val="none"/>
        </w:rPr>
        <w:t xml:space="preserve">投标人应严格按照招标公告和招标文件要求的份数准备投标文件，每份投标文件须清楚地标明“正本”或“副本”字样。一旦正本和副本不符，以正本为准。</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17.2投标文件正本中，除招标文件规定的可提交复印件外，其他文件均须提交原件。文字材料需打印或用不褪色墨水书写。投标文件的正本须经法定代表人或授权代表签署和加盖投标人公章。 本采购文件所表述（指定）的公章是指法定名称章，不包括合同专用章、业务专用章等印章。</w:t>
      </w:r>
      <w:r/>
    </w:p>
    <w:p>
      <w:pPr>
        <w:ind w:firstLine="420"/>
        <w:spacing w:line="360" w:lineRule="auto"/>
        <w:rPr>
          <w:rFonts w:ascii="宋体" w:hAnsi="宋体"/>
          <w:color w:val="auto"/>
          <w:highlight w:val="none"/>
        </w:rPr>
      </w:pPr>
      <w:r>
        <w:rPr>
          <w:rFonts w:hint="eastAsia" w:ascii="宋体" w:hAnsi="宋体"/>
          <w:color w:val="auto"/>
          <w:szCs w:val="21"/>
          <w:highlight w:val="none"/>
        </w:rPr>
        <w:t xml:space="preserve">17.3</w:t>
      </w:r>
      <w:r>
        <w:rPr>
          <w:rFonts w:hint="eastAsia" w:ascii="宋体" w:hAnsi="宋体"/>
          <w:bCs/>
          <w:color w:val="auto"/>
          <w:szCs w:val="21"/>
          <w:highlight w:val="none"/>
        </w:rPr>
        <w:t xml:space="preserve"> 除投标人对错处做必要修改外，投标文件不得行间插字、涂改或增删。如有修改错漏处，必须由法定代表人或授权代表签字或盖章。</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18、投标文件的密封和标记</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18.1</w:t>
      </w:r>
      <w:r>
        <w:rPr>
          <w:rFonts w:hint="eastAsia" w:ascii="宋体" w:hAnsi="宋体"/>
          <w:bCs/>
          <w:color w:val="auto"/>
          <w:szCs w:val="21"/>
          <w:highlight w:val="none"/>
        </w:rPr>
        <w:t xml:space="preserve">投标人应将投标文件正本和所有副本密封，不论投标人中标与否，投标文件均不退回。</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18.2</w:t>
      </w:r>
      <w:r>
        <w:rPr>
          <w:rFonts w:hint="eastAsia" w:ascii="宋体" w:hAnsi="宋体"/>
          <w:bCs/>
          <w:color w:val="auto"/>
          <w:szCs w:val="21"/>
          <w:highlight w:val="none"/>
        </w:rPr>
        <w:t xml:space="preserve"> 密封的投标文件应：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18.2.1 注明投标人名称，如因标注不清而产生的后果由投标人自负。按招标公告中注明的地址送达；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18.2.2注明投标项目名称、标书编号及包号。</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18.2.3</w:t>
      </w:r>
      <w:r>
        <w:rPr>
          <w:rFonts w:hint="eastAsia" w:ascii="宋体" w:hAnsi="宋体"/>
          <w:bCs/>
          <w:color w:val="auto"/>
          <w:szCs w:val="21"/>
          <w:highlight w:val="none"/>
        </w:rPr>
        <w:t xml:space="preserve">未按要求密封和加写标记，代理机构对误投或过早启封概不负责。对由此造成提前开封的投标文件，代理机构将予以拒绝，作无效投标处理。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19、投标截止日期</w:t>
      </w:r>
      <w:bookmarkEnd w:id="48"/>
      <w:r/>
      <w:bookmarkEnd w:id="49"/>
      <w:r/>
      <w:bookmarkEnd w:id="50"/>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19.1</w:t>
      </w:r>
      <w:r>
        <w:rPr>
          <w:rFonts w:hint="eastAsia" w:ascii="宋体" w:hAnsi="宋体"/>
          <w:bCs/>
          <w:color w:val="auto"/>
          <w:szCs w:val="21"/>
          <w:highlight w:val="none"/>
        </w:rPr>
        <w:t xml:space="preserve"> 代理机构收到投标文件的时间不得迟于招标公告中规定的截止时间。</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19.2</w:t>
      </w:r>
      <w:r>
        <w:rPr>
          <w:rFonts w:hint="eastAsia" w:ascii="宋体" w:hAnsi="宋体"/>
          <w:bCs/>
          <w:color w:val="auto"/>
          <w:szCs w:val="21"/>
          <w:highlight w:val="none"/>
        </w:rPr>
        <w:t xml:space="preserve"> 代理机构可以通过修改招标文件酌情延长投标截止日期，在此情况下，投标人的所有权利和义务以及投标人受制的截止日期均应以延长后新的截止日期为准。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51" w:name="_Toc20823299"/>
      <w:r/>
      <w:bookmarkStart w:id="52" w:name="_Toc16938543"/>
      <w:r/>
      <w:bookmarkStart w:id="53" w:name="_Toc513029227"/>
      <w:r>
        <w:rPr>
          <w:rFonts w:hint="eastAsia" w:ascii="宋体" w:hAnsi="宋体"/>
          <w:b/>
          <w:color w:val="auto"/>
          <w:szCs w:val="21"/>
          <w:highlight w:val="none"/>
        </w:rPr>
        <w:t xml:space="preserve">20、投标文件</w:t>
      </w:r>
      <w:bookmarkEnd w:id="51"/>
      <w:r/>
      <w:bookmarkEnd w:id="52"/>
      <w:r/>
      <w:bookmarkEnd w:id="53"/>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20.1代理机构拒绝接收在其规定的投标截止时间后递交的任何投标文件。</w:t>
      </w:r>
      <w:r/>
    </w:p>
    <w:p>
      <w:pPr>
        <w:ind w:firstLine="422"/>
        <w:spacing w:line="360" w:lineRule="auto"/>
        <w:rPr>
          <w:rFonts w:ascii="宋体" w:hAnsi="宋体"/>
          <w:b/>
          <w:color w:val="auto"/>
          <w:szCs w:val="21"/>
          <w:highlight w:val="none"/>
        </w:rPr>
      </w:pPr>
      <w:r/>
      <w:bookmarkStart w:id="54" w:name="_Toc20823300"/>
      <w:r/>
      <w:bookmarkStart w:id="55" w:name="_Toc16938544"/>
      <w:r/>
      <w:bookmarkStart w:id="56" w:name="_Toc513029228"/>
      <w:r>
        <w:rPr>
          <w:rFonts w:hint="eastAsia" w:ascii="宋体" w:hAnsi="宋体"/>
          <w:b/>
          <w:color w:val="auto"/>
          <w:szCs w:val="21"/>
          <w:highlight w:val="none"/>
        </w:rPr>
        <w:t xml:space="preserve">21、投标文件的撤回和修改</w:t>
      </w:r>
      <w:bookmarkEnd w:id="54"/>
      <w:r/>
      <w:bookmarkEnd w:id="55"/>
      <w:r/>
      <w:bookmarkEnd w:id="56"/>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21.1</w:t>
      </w:r>
      <w:r>
        <w:rPr>
          <w:rFonts w:hint="eastAsia" w:ascii="宋体" w:hAnsi="宋体"/>
          <w:bCs/>
          <w:color w:val="auto"/>
          <w:szCs w:val="21"/>
          <w:highlight w:val="none"/>
        </w:rPr>
        <w:t xml:space="preserve"> 投标人在递交投标文件后，可以修改或撤回其投标文件，但这种修改和撤回，必须在规定的投标截止时间前，以书面形式</w:t>
      </w:r>
      <w:r>
        <w:rPr>
          <w:rFonts w:hint="eastAsia" w:ascii="宋体" w:hAnsi="宋体"/>
          <w:color w:val="auto"/>
          <w:szCs w:val="21"/>
          <w:highlight w:val="none"/>
        </w:rPr>
        <w:t xml:space="preserve">通知代理机构，否则，代理机构将拒绝。</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21.2</w:t>
      </w:r>
      <w:r>
        <w:rPr>
          <w:rFonts w:hint="eastAsia" w:ascii="宋体" w:hAnsi="宋体"/>
          <w:bCs/>
          <w:color w:val="auto"/>
          <w:szCs w:val="21"/>
          <w:highlight w:val="none"/>
        </w:rPr>
        <w:t xml:space="preserve"> 投标人的修改或撤回文件应按规定进行编制、密封、标记和发送，并应在封套上加注“修改”或“撤回”字样。</w:t>
      </w:r>
      <w:r>
        <w:rPr>
          <w:rFonts w:hint="eastAsia" w:ascii="宋体" w:hAnsi="宋体"/>
          <w:color w:val="auto"/>
          <w:szCs w:val="21"/>
          <w:highlight w:val="none"/>
        </w:rPr>
        <w:t xml:space="preserve">上述补充或修改若涉及投标报价，必须注明“最后唯一报价”字样，否则将视为有选择的报价。修改文件必须在投标截止时间前送达代理机构。</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21.3</w:t>
      </w:r>
      <w:r>
        <w:rPr>
          <w:rFonts w:hint="eastAsia" w:ascii="宋体" w:hAnsi="宋体"/>
          <w:bCs/>
          <w:color w:val="auto"/>
          <w:szCs w:val="21"/>
          <w:highlight w:val="none"/>
        </w:rPr>
        <w:t xml:space="preserve"> 在投标截止时间之后，投标人不得对其投标文件作任何修改。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21.4</w:t>
      </w:r>
      <w:r>
        <w:rPr>
          <w:rFonts w:hint="eastAsia" w:ascii="宋体" w:hAnsi="宋体"/>
          <w:bCs/>
          <w:color w:val="auto"/>
          <w:szCs w:val="21"/>
          <w:highlight w:val="none"/>
        </w:rPr>
        <w:t xml:space="preserve">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22、开标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w:t>
      </w:r>
      <w:r>
        <w:rPr>
          <w:rFonts w:hint="eastAsia" w:ascii="宋体" w:hAnsi="宋体"/>
          <w:bCs/>
          <w:color w:val="auto"/>
          <w:szCs w:val="21"/>
          <w:highlight w:val="none"/>
        </w:rPr>
        <w:t xml:space="preserve"> 代理机构将在招标公告中规定的时间和地点组织公开开标</w:t>
      </w:r>
      <w:r>
        <w:rPr>
          <w:rFonts w:hint="eastAsia" w:ascii="宋体" w:hAnsi="宋体"/>
          <w:color w:val="auto"/>
          <w:szCs w:val="21"/>
          <w:highlight w:val="none"/>
        </w:rPr>
        <w:t xml:space="preserve">。投标人应委派携带有效证件的代表准时参加，参加开标的代表需签名以证明其出席。投标人未参加开标的，视同认可开标结果。</w:t>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22.2</w:t>
      </w:r>
      <w:r>
        <w:rPr>
          <w:rFonts w:hint="eastAsia" w:ascii="宋体" w:hAnsi="宋体"/>
          <w:color w:val="auto"/>
          <w:szCs w:val="21"/>
          <w:highlight w:val="none"/>
        </w:rPr>
        <w:t xml:space="preserve">开标仪式由代理机构组织，采购人代表、公证员（如有）、监委、投标人代表等参加。</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22.3</w:t>
      </w:r>
      <w:r>
        <w:rPr>
          <w:rFonts w:hint="eastAsia" w:ascii="宋体" w:hAnsi="宋体"/>
          <w:bCs/>
          <w:color w:val="auto"/>
          <w:szCs w:val="21"/>
          <w:highlight w:val="none"/>
        </w:rPr>
        <w:t xml:space="preserve">按照规定同意撤回的投标文件将不予开封。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22.4 开标时请投标人推选的代表查验投标文件密封情况，投标登记薄上作纪录无误后，代理机构当众拆封宣读每份投标文件中“开标一览表”的内容，未列入开标一览表的内容一律不在开标时宣读。开标时未宣读的投标报价信息，不得在评标时采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22.5 代理机构将指定专人负责开标记录并存档备查，各投标人需仔细核对开标纪录相关内容并签字确认。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22.6 投标人在报价时不允许采用选择性报价，否则将被视为无效投标。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23.1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23.2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23.3评委会独立工作，负责评审所有投标文件并确定中标候选人。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24.5 </w:t>
      </w:r>
      <w:r>
        <w:rPr>
          <w:rFonts w:hint="eastAsia" w:ascii="宋体" w:hAnsi="宋体"/>
          <w:color w:val="auto"/>
          <w:szCs w:val="21"/>
          <w:highlight w:val="none"/>
        </w:rPr>
        <w:t xml:space="preserve">采用综合评分法的项目，未中标的投标人如需了解自己的评审得分及排序情况，可于中标结果公告期限届满之日起7个工作日内，由其法定代表人或授权代表携带本人有效身份证件到公共资源代理机构进行查询，逾期将不予受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25、投标的澄清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25.1评标期间，为有助于对投标文件的审查、评价和比较，评委会有权以书面形式要求投标人对其投标文件进行澄清，但并非对每个投标人都作澄清要求。</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25.2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spacing w:line="360" w:lineRule="auto"/>
        <w:rPr>
          <w:rFonts w:ascii="宋体" w:hAnsi="宋体"/>
          <w:bCs/>
          <w:color w:val="auto"/>
          <w:szCs w:val="21"/>
          <w:highlight w:val="none"/>
        </w:rPr>
      </w:pPr>
      <w:r>
        <w:rPr>
          <w:rFonts w:hint="eastAsia" w:ascii="宋体" w:hAnsi="宋体"/>
          <w:color w:val="auto"/>
          <w:szCs w:val="21"/>
          <w:highlight w:val="none"/>
        </w:rPr>
        <w:t xml:space="preserve">    25.3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 未通过资格审查或符合性审查的投标人，代理机构将告知未通过资格审查或符合性审查的原因，评审结束后，代理机构将不再告知未通过资格审查或符合性审查的原因。</w:t>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26.2</w:t>
      </w:r>
      <w:r>
        <w:rPr>
          <w:rFonts w:hint="eastAsia" w:ascii="宋体" w:hAnsi="宋体"/>
          <w:color w:val="auto"/>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auto"/>
          <w:szCs w:val="21"/>
          <w:highlight w:val="none"/>
        </w:rPr>
        <w:t xml:space="preserve">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26.5评委会将按上述修正错误的方法调整投标文件中的投标报价，调整后的价格应对投标人具有约束力。如果投标人不接受修正后的价格，则其投标将被拒绝。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若所有投标人围绕清单内所投产品完全一样，视为废标；若同时有数家投标人所投产品完全一样，取最高评标得分者为有效投标人参与改标的竞标；若有效投标人不足三家视为废标。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26.8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27、无效投标、废标及投标人不足三家的处理</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7</w:t>
      </w:r>
      <w:r>
        <w:rPr>
          <w:rFonts w:ascii="宋体" w:hAnsi="宋体"/>
          <w:bCs/>
          <w:color w:val="auto"/>
          <w:szCs w:val="21"/>
          <w:highlight w:val="none"/>
        </w:rPr>
        <w:t xml:space="preserve">.1无效投标条款</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7</w:t>
      </w:r>
      <w:r>
        <w:rPr>
          <w:rFonts w:ascii="宋体" w:hAnsi="宋体"/>
          <w:bCs/>
          <w:color w:val="auto"/>
          <w:szCs w:val="21"/>
          <w:highlight w:val="none"/>
        </w:rPr>
        <w:t xml:space="preserve">.1.1未按要求交纳投标保证金的；</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7</w:t>
      </w:r>
      <w:r>
        <w:rPr>
          <w:rFonts w:ascii="宋体" w:hAnsi="宋体"/>
          <w:bCs/>
          <w:color w:val="auto"/>
          <w:szCs w:val="21"/>
          <w:highlight w:val="none"/>
        </w:rPr>
        <w:t xml:space="preserve">.1.2未按照招标文件规定要求密封、签署、盖章的；</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7</w:t>
      </w:r>
      <w:r>
        <w:rPr>
          <w:rFonts w:ascii="宋体" w:hAnsi="宋体"/>
          <w:bCs/>
          <w:color w:val="auto"/>
          <w:szCs w:val="21"/>
          <w:highlight w:val="none"/>
        </w:rPr>
        <w:t xml:space="preserve">.1.3投标人在报价时采用选择性报价；</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7</w:t>
      </w:r>
      <w:r>
        <w:rPr>
          <w:rFonts w:ascii="宋体" w:hAnsi="宋体"/>
          <w:bCs/>
          <w:color w:val="auto"/>
          <w:szCs w:val="21"/>
          <w:highlight w:val="none"/>
        </w:rPr>
        <w:t xml:space="preserve">.1.4投标人不具备招标文件中规定资格要求的；</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7</w:t>
      </w:r>
      <w:r>
        <w:rPr>
          <w:rFonts w:ascii="宋体" w:hAnsi="宋体"/>
          <w:bCs/>
          <w:color w:val="auto"/>
          <w:szCs w:val="21"/>
          <w:highlight w:val="none"/>
        </w:rPr>
        <w:t xml:space="preserve">.1.5投标人的报价超过了采购预算或最高限价的；</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7</w:t>
      </w:r>
      <w:r>
        <w:rPr>
          <w:rFonts w:ascii="宋体" w:hAnsi="宋体"/>
          <w:bCs/>
          <w:color w:val="auto"/>
          <w:szCs w:val="21"/>
          <w:highlight w:val="none"/>
        </w:rPr>
        <w:t xml:space="preserve">.1.6未通过符合性检查的；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27.1.9  投标文件含有采购人不能接受的附加条件的。</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27.1.10 </w:t>
      </w:r>
      <w:r>
        <w:rPr>
          <w:rFonts w:ascii="宋体" w:hAnsi="宋体"/>
          <w:bCs/>
          <w:color w:val="auto"/>
          <w:szCs w:val="21"/>
          <w:highlight w:val="none"/>
        </w:rPr>
        <w:t xml:space="preserve">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27.1.12 投标文件未按照招标文件要求加盖公章。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27.2废标条款：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27.2.1符合专业条件的供应商或者对招标文件作实质响应的供应商不足三家的；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27.2.2投标人的报价均超过采购预算或最高限价；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27.2.3出现影响采购公正的违法、违规行为的；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27.2.5评标委员会认定招标文件存在歧义、 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27.3投标截止时间结束后参加投标的投标人不足三家或者通过资格审查或符合性审查的投标人不足三家的，除采购任务取消情形外，按照以下方式处理：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27.3.1招标文件存在不合理条款或者招标程序不符合规定的，由采购人、代理机构改正后依法重新招标；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27.3.2 招标文件没有不合理条款、招标程序符合规定，需要采用其他采购方式采购的，采购人应当依法报财政部门批准。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28、确定中标单位</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8</w:t>
      </w:r>
      <w:r>
        <w:rPr>
          <w:rFonts w:ascii="宋体" w:hAnsi="宋体"/>
          <w:bCs/>
          <w:color w:val="auto"/>
          <w:szCs w:val="21"/>
          <w:highlight w:val="none"/>
        </w:rPr>
        <w:t xml:space="preserve">.1评委会根据本招标文件规定评标方法与评标标准向采购人推荐出中标候选人。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8</w:t>
      </w:r>
      <w:r>
        <w:rPr>
          <w:rFonts w:ascii="宋体" w:hAnsi="宋体"/>
          <w:bCs/>
          <w:color w:val="auto"/>
          <w:szCs w:val="21"/>
          <w:highlight w:val="none"/>
        </w:rPr>
        <w:t xml:space="preserve">.2 采购人应根据评委会推荐的中标候选人确定中标人。</w:t>
      </w:r>
      <w:r/>
    </w:p>
    <w:p>
      <w:pPr>
        <w:ind w:firstLine="420"/>
        <w:spacing w:line="360" w:lineRule="auto"/>
        <w:rPr>
          <w:rFonts w:ascii="宋体" w:hAnsi="宋体"/>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8</w:t>
      </w:r>
      <w:r>
        <w:rPr>
          <w:rFonts w:ascii="宋体" w:hAnsi="宋体"/>
          <w:bCs/>
          <w:color w:val="auto"/>
          <w:szCs w:val="21"/>
          <w:highlight w:val="none"/>
        </w:rPr>
        <w:t xml:space="preserve">.3</w:t>
      </w:r>
      <w:r>
        <w:rPr>
          <w:rFonts w:ascii="宋体" w:hAnsi="宋体"/>
          <w:color w:val="auto"/>
          <w:szCs w:val="21"/>
          <w:highlight w:val="none"/>
        </w:rPr>
        <w:t xml:space="preserve">代理机构将在</w:t>
      </w:r>
      <w:r>
        <w:rPr>
          <w:rFonts w:hint="eastAsia" w:ascii="宋体" w:hAnsi="宋体" w:cs="宋体"/>
          <w:color w:val="auto"/>
          <w:szCs w:val="21"/>
          <w:highlight w:val="none"/>
          <w:lang w:eastAsia="zh-CN"/>
        </w:rPr>
        <w:t xml:space="preserve">“扬州大学附属医院网、扬州大学采管办网、江苏省政府采购网”</w:t>
      </w:r>
      <w:r>
        <w:rPr>
          <w:rFonts w:ascii="宋体" w:hAnsi="宋体"/>
          <w:color w:val="auto"/>
          <w:szCs w:val="21"/>
          <w:highlight w:val="none"/>
        </w:rPr>
        <w:t xml:space="preserve">发布中标公告，公告期限为1个工作日。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.4若有充分证据证明，中标人出现下列情况之一的，一经查实，将被取消中标资格：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.4.1提供虚假材料谋取中标的；</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.4.2向采购人、代理机构行贿或者提供其他不正当利益的；</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.4.3恶意竞争，投标总报价明显低于其自身合理成本且又无法提供证明的；</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.4.4属于本文件规定的无效条件，但在评标过程中又未被评委会发现的；</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.4.5与采购人或者其他投标人串通投标的；</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.4.6采取不正当手段诋毁、排挤其他供应商的；</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.4.7不符合法律、法规的规定的。</w:t>
      </w:r>
      <w:bookmarkStart w:id="57" w:name="_Toc200451960"/>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.5. 有下列情形之一的，视为投标人串通投标，投标无效：</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.5.1不同投标人的投标文件由同一单位或者个人编制。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.5.2不同投标人委托同一单位或者个人办理投标事宜。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.5.3 不同投标人的投标文件载明的项目管理成员或者联系人员为同一人。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.5.4不同投标人的投标文件异常一致或者投标报价呈规律性差异。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.5.5不同投标人的投标文件相互混装。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8</w:t>
      </w:r>
      <w:r>
        <w:rPr>
          <w:rFonts w:ascii="宋体" w:hAnsi="宋体"/>
          <w:color w:val="auto"/>
          <w:szCs w:val="21"/>
          <w:highlight w:val="none"/>
        </w:rPr>
        <w:t xml:space="preserve">.5.6不同投标人的投标保证金从同一单位或者个人的账户转出。</w:t>
      </w:r>
      <w:bookmarkEnd w:id="57"/>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29、质疑处理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.1投标人认为采购文件、采购过程和中标或成交结果使自己的权益受到损害的，可以在知道或应知其权益受到损害之日起七个工作日内，以书面形式向采购人或代理机构提出质疑。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.1.1对采购文件提出质疑的，应当在获取采购文件之日或者采购文件公告期限届满之日起7个工作日内提出。</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.1.2对采购过程提出质疑的，为各采购程序环节结束之日起7个工作日内提出。</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.1.3对中标结果提出质疑的，为中标结果公告期限届满之日起7个工作日内提出。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.2供应商应在法定质疑期内一次性提出针对同一采购程序环节的质疑。质疑必须按《政府采购法》《政府采购法实施条例》及《政府采购质疑和投诉办法》等相关规定提交。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.3提出质疑的供应商（以下简称质疑供应商）应当是参与所质疑项目采购活动的供应商。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.4供应商提出质疑应当提交质疑函和必要的证明材料。质疑函应当包括下列内容：</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.4.1供应商的姓名或者名称、地址、邮编、联系人及联系电话；</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.4.2质疑项目的名称、编号；</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.4.3具体、明确的质疑事项和与质疑事项相关的请求；</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.4.4事实依据；</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.4.5必要的法律依据；</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29</w:t>
      </w:r>
      <w:r>
        <w:rPr>
          <w:rFonts w:ascii="宋体" w:hAnsi="宋体"/>
          <w:color w:val="auto"/>
          <w:szCs w:val="21"/>
          <w:highlight w:val="none"/>
        </w:rPr>
        <w:t xml:space="preserve">.4.6提出质疑的日期。</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《质疑函》及《授权委托书》格式见网址：http://zfcg.yangzhou.gov.cn</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.5代理机构收到质疑申请后，将对质疑的形式和内容进行审查，如质疑内容、格式不符合规定，代理机构将告知质疑人进行补正。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.6质疑人应当在法定质疑期限内进行补正并重新提交质疑函。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.7代理机构应当在收到供应商的书面质疑后七个工作日内作出答复，并以书面形式通知质疑供应商和其他有关供应商，但答复的内容不得涉及商业秘密。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.8 诚实信用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.8.1 投标人之间不得相互串通投标报价，不得妨碍其他投标人的公平竞争，不得损害采购人和其他投标人的合法权益。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.8.2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.8.3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.8.4 投标人不得虚假承诺，否则，按照提供虚假材料谋取中标成交处理。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29</w:t>
      </w:r>
      <w:r>
        <w:rPr>
          <w:rFonts w:ascii="宋体" w:hAnsi="宋体"/>
          <w:color w:val="auto"/>
          <w:szCs w:val="21"/>
          <w:highlight w:val="none"/>
        </w:rPr>
        <w:t xml:space="preserve">.8</w:t>
      </w:r>
      <w:r>
        <w:rPr>
          <w:rFonts w:hint="eastAsia" w:ascii="宋体" w:hAnsi="宋体"/>
          <w:color w:val="auto"/>
          <w:szCs w:val="21"/>
          <w:highlight w:val="none"/>
        </w:rPr>
        <w:t xml:space="preserve">.</w:t>
      </w:r>
      <w:r>
        <w:rPr>
          <w:rFonts w:ascii="宋体" w:hAnsi="宋体"/>
          <w:color w:val="auto"/>
          <w:szCs w:val="21"/>
          <w:highlight w:val="none"/>
        </w:rPr>
        <w:t xml:space="preserve">5 投标人应自觉遵守开标、评标纪律，扰乱开标评标现场秩序的，属于失信行为，根据《江苏省政府采购供应商监督管理暂行办法》，失信行为将被记入投标人诚信档案。</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0</w:t>
      </w:r>
      <w:r>
        <w:rPr>
          <w:rFonts w:ascii="宋体" w:hAnsi="宋体"/>
          <w:color w:val="auto"/>
          <w:szCs w:val="21"/>
          <w:highlight w:val="none"/>
        </w:rPr>
        <w:t xml:space="preserve">.l 中标结果确定后，代理机构将向中标供应商发出中标通知书。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0</w:t>
      </w:r>
      <w:r>
        <w:rPr>
          <w:rFonts w:ascii="宋体" w:hAnsi="宋体"/>
          <w:color w:val="auto"/>
          <w:szCs w:val="21"/>
          <w:highlight w:val="none"/>
        </w:rPr>
        <w:t xml:space="preserve">.2 中标供应商收到中标通知书后，应签字确认中标通知书已收到。若无回复，则公告后视同中标供应商已经知悉并同意接受。</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0</w:t>
      </w:r>
      <w:r>
        <w:rPr>
          <w:rFonts w:ascii="宋体" w:hAnsi="宋体"/>
          <w:color w:val="auto"/>
          <w:szCs w:val="21"/>
          <w:highlight w:val="none"/>
        </w:rPr>
        <w:t xml:space="preserve">.3中标通知书将是合同的一个组成部分。对采购人和中标供应商均具有法律效力。中标通知书发出后，采购人改变中标结果的，或者中标供应商放弃中标项目的，应当依法承担法律责任。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0</w:t>
      </w:r>
      <w:r>
        <w:rPr>
          <w:rFonts w:ascii="宋体" w:hAnsi="宋体"/>
          <w:color w:val="auto"/>
          <w:szCs w:val="21"/>
          <w:highlight w:val="none"/>
        </w:rPr>
        <w:t xml:space="preserve">.4所有投标文件都将作为档案保存，不论中标与否，代理机构均不退回。</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31.l中标人应在中标通知书发出之日起三十日内，按照招标文件确定的事项与采购人签订政府采购合同。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31.3 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938"/>
        <w:ind w:firstLine="420"/>
        <w:spacing w:before="0" w:after="0" w:line="360" w:lineRule="auto"/>
        <w:rPr>
          <w:rFonts w:ascii="宋体" w:hAnsi="宋体"/>
          <w:color w:val="auto"/>
          <w:szCs w:val="21"/>
          <w:highlight w:val="none"/>
        </w:rPr>
      </w:pPr>
      <w:r>
        <w:rPr>
          <w:rFonts w:hint="eastAsia" w:ascii="宋体" w:hAnsi="宋体" w:eastAsia="宋体"/>
          <w:b w:val="0"/>
          <w:bCs w:val="0"/>
          <w:color w:val="auto"/>
          <w:sz w:val="21"/>
          <w:szCs w:val="21"/>
          <w:highlight w:val="none"/>
        </w:rPr>
        <w:t xml:space="preserve">31.5如中标人在规定时间不与医院签订合同、主动放弃成交资格或无正当理由终止合同履行的，将列入医院不良行为记录名单，我院保留在一至三年内禁止其参加医院采购活动的权利。</w:t>
      </w:r>
      <w:r/>
    </w:p>
    <w:p>
      <w:pPr>
        <w:pStyle w:val="889"/>
        <w:ind w:firstLine="422"/>
        <w:spacing w:before="0" w:after="0" w:line="360" w:lineRule="auto"/>
        <w:rPr>
          <w:rFonts w:ascii="宋体" w:hAnsi="宋体" w:eastAsia="宋体"/>
          <w:b w:val="0"/>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、货物和服务的追加、减少和添购</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2</w:t>
      </w:r>
      <w:r>
        <w:rPr>
          <w:rFonts w:ascii="宋体" w:hAnsi="宋体"/>
          <w:color w:val="auto"/>
          <w:szCs w:val="21"/>
          <w:highlight w:val="none"/>
        </w:rPr>
        <w:t xml:space="preserve">.1政府采购合同履行中，采购人需追加与合同标的相同的货物和服务的，在不改变合同其他条款的前提下，可以与中标供应商协商签订补充合同，但所有补充合同的采购金额不超过原合同金额10%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color w:val="auto"/>
          <w:szCs w:val="21"/>
          <w:highlight w:val="none"/>
        </w:rPr>
        <w:t xml:space="preserve">，货物单价不得调增</w:t>
      </w:r>
      <w:r>
        <w:rPr>
          <w:rFonts w:ascii="宋体" w:hAnsi="宋体"/>
          <w:color w:val="auto"/>
          <w:szCs w:val="21"/>
          <w:highlight w:val="none"/>
        </w:rPr>
        <w:t xml:space="preserve">。</w:t>
      </w:r>
      <w:r/>
    </w:p>
    <w:p>
      <w:pPr>
        <w:ind w:firstLine="420"/>
        <w:spacing w:line="360" w:lineRule="auto"/>
        <w:rPr>
          <w:rFonts w:ascii="宋体" w:hAnsi="宋体"/>
          <w:b/>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2</w:t>
      </w:r>
      <w:r>
        <w:rPr>
          <w:rFonts w:ascii="宋体" w:hAnsi="宋体"/>
          <w:color w:val="auto"/>
          <w:szCs w:val="21"/>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olor w:val="auto"/>
          <w:szCs w:val="21"/>
          <w:highlight w:val="none"/>
        </w:rPr>
        <w:t xml:space="preserve">，货物单价不得调增</w:t>
      </w:r>
      <w:r>
        <w:rPr>
          <w:rFonts w:ascii="宋体" w:hAnsi="宋体"/>
          <w:color w:val="auto"/>
          <w:szCs w:val="21"/>
          <w:highlight w:val="none"/>
        </w:rPr>
        <w:t xml:space="preserve">。</w:t>
      </w:r>
      <w:r/>
    </w:p>
    <w:p>
      <w:pPr>
        <w:pStyle w:val="889"/>
        <w:ind w:firstLine="422"/>
        <w:spacing w:before="0" w:after="0" w:line="360" w:lineRule="auto"/>
        <w:rPr>
          <w:rFonts w:ascii="宋体" w:hAnsi="宋体" w:eastAsia="宋体"/>
          <w:b w:val="0"/>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 中标人在签订合同后须缴纳至采购人账户。履约保证金用以约束投标人在合同履行中的行为，弥补合同执行中由于自身行为可能给采购人带来的各种损失。如果中标人不同意按照规定去做，采购人有权取消本次采购中标决定。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33.2 履约保证金的退还：履约保证金在合同履行结束后1个月内退还，不计利息。合同履行结束后，在无质量问题或合同纠纷的前提下，中标人凭采购人签署的“履约保证金退款通知”、履约保证金收据原件，前往采购人处办理保证金退还手续。</w:t>
      </w:r>
      <w:r/>
    </w:p>
    <w:p>
      <w:pPr>
        <w:ind w:firstLine="422"/>
        <w:jc w:val="left"/>
        <w:spacing w:line="360" w:lineRule="auto"/>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4</w:t>
      </w:r>
      <w:r>
        <w:rPr>
          <w:rFonts w:ascii="宋体" w:hAnsi="宋体"/>
          <w:b/>
          <w:bCs/>
          <w:color w:val="auto"/>
          <w:szCs w:val="21"/>
          <w:highlight w:val="none"/>
        </w:rPr>
        <w:t xml:space="preserve">、样品</w:t>
      </w:r>
      <w:r/>
    </w:p>
    <w:p>
      <w:pPr>
        <w:ind w:firstLine="420"/>
        <w:jc w:val="left"/>
        <w:spacing w:line="360" w:lineRule="auto"/>
        <w:rPr>
          <w:rFonts w:ascii="宋体" w:hAnsi="宋体"/>
          <w:color w:val="auto"/>
          <w:highlight w:val="none"/>
        </w:rPr>
      </w:pPr>
      <w:r>
        <w:rPr>
          <w:rFonts w:ascii="宋体" w:hAnsi="宋体"/>
          <w:color w:val="auto"/>
          <w:szCs w:val="21"/>
          <w:highlight w:val="none"/>
        </w:rPr>
        <w:t xml:space="preserve">若项目要求提供样品的，中标人的样品由采购人负责保管、封存，并作为履约验收的参考。未中标人的样品将及时退还。</w:t>
      </w:r>
      <w:r/>
    </w:p>
    <w:p>
      <w:pPr>
        <w:ind w:firstLine="422"/>
        <w:spacing w:line="360" w:lineRule="auto"/>
        <w:rPr>
          <w:rFonts w:ascii="宋体" w:hAnsi="宋体"/>
          <w:color w:val="auto"/>
          <w:highlight w:val="none"/>
        </w:rPr>
      </w:pPr>
      <w:r>
        <w:rPr>
          <w:rFonts w:ascii="宋体" w:hAnsi="宋体"/>
          <w:b/>
          <w:bCs/>
          <w:color w:val="auto"/>
          <w:highlight w:val="none"/>
        </w:rPr>
        <w:t xml:space="preserve">3</w:t>
      </w:r>
      <w:r>
        <w:rPr>
          <w:rFonts w:hint="eastAsia" w:ascii="宋体" w:hAnsi="宋体"/>
          <w:b/>
          <w:bCs/>
          <w:color w:val="auto"/>
          <w:highlight w:val="none"/>
        </w:rPr>
        <w:t xml:space="preserve">5、其他</w:t>
      </w:r>
      <w:r/>
    </w:p>
    <w:p>
      <w:pPr>
        <w:ind w:firstLine="420"/>
        <w:spacing w:line="360" w:lineRule="auto"/>
        <w:rPr>
          <w:rFonts w:ascii="宋体" w:hAnsi="宋体"/>
          <w:bCs/>
          <w:color w:val="auto"/>
          <w:szCs w:val="21"/>
          <w:highlight w:val="none"/>
        </w:rPr>
      </w:pPr>
      <w:r>
        <w:rPr>
          <w:rFonts w:ascii="宋体" w:hAnsi="宋体"/>
          <w:color w:val="auto"/>
          <w:highlight w:val="none"/>
        </w:rPr>
        <w:t xml:space="preserve">3</w:t>
      </w:r>
      <w:r>
        <w:rPr>
          <w:rFonts w:hint="eastAsia" w:ascii="宋体" w:hAnsi="宋体"/>
          <w:color w:val="auto"/>
          <w:highlight w:val="none"/>
        </w:rPr>
        <w:t xml:space="preserve">5</w:t>
      </w:r>
      <w:r>
        <w:rPr>
          <w:rFonts w:ascii="宋体" w:hAnsi="宋体"/>
          <w:color w:val="auto"/>
          <w:highlight w:val="none"/>
        </w:rPr>
        <w:t xml:space="preserve">.1 </w:t>
      </w:r>
      <w:r>
        <w:rPr>
          <w:rFonts w:hint="eastAsia" w:ascii="宋体" w:hAnsi="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olor w:val="auto"/>
          <w:highlight w:val="none"/>
        </w:rPr>
      </w:pPr>
      <w:r>
        <w:rPr>
          <w:rFonts w:hint="eastAsia" w:ascii="宋体" w:hAnsi="宋体"/>
          <w:bCs/>
          <w:color w:val="auto"/>
          <w:szCs w:val="21"/>
          <w:highlight w:val="none"/>
        </w:rPr>
        <w:br w:type="page" w:clear="all"/>
      </w:r>
      <w:r/>
    </w:p>
    <w:p>
      <w:pPr>
        <w:pStyle w:val="886"/>
        <w:jc w:val="center"/>
        <w:spacing w:line="360" w:lineRule="auto"/>
        <w:rPr>
          <w:rFonts w:ascii="宋体" w:hAnsi="宋体"/>
          <w:color w:val="auto"/>
          <w:szCs w:val="36"/>
          <w:highlight w:val="none"/>
        </w:rPr>
      </w:pPr>
      <w:r/>
      <w:bookmarkStart w:id="58" w:name="_Toc55204179"/>
      <w:r/>
      <w:bookmarkStart w:id="59" w:name="_Hlk69392822"/>
      <w:r>
        <w:rPr>
          <w:rFonts w:hint="eastAsia" w:ascii="宋体" w:hAnsi="宋体"/>
          <w:color w:val="auto"/>
          <w:szCs w:val="36"/>
          <w:highlight w:val="none"/>
        </w:rPr>
        <w:t xml:space="preserve">第三章 合同条款及格式</w:t>
      </w:r>
      <w:bookmarkEnd w:id="58"/>
      <w:r/>
      <w:r/>
    </w:p>
    <w:p>
      <w:pPr>
        <w:pStyle w:val="905"/>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05"/>
        <w:ind w:firstLine="422"/>
        <w:jc w:val="center"/>
        <w:spacing w:line="440" w:lineRule="exact"/>
        <w:rPr>
          <w:rFonts w:hAnsi="宋体" w:cstheme="minorEastAsia"/>
          <w:b/>
          <w:bCs/>
          <w:color w:val="auto"/>
          <w:sz w:val="21"/>
          <w:highlight w:val="none"/>
        </w:rPr>
      </w:pPr>
      <w:r>
        <w:rPr>
          <w:rFonts w:hAnsi="宋体" w:cstheme="minorEastAsia"/>
          <w:b/>
          <w:bCs/>
          <w:color w:val="auto"/>
          <w:sz w:val="21"/>
          <w:highlight w:val="none"/>
        </w:rPr>
      </w:r>
      <w:r/>
    </w:p>
    <w:p>
      <w:pPr>
        <w:pStyle w:val="905"/>
        <w:ind w:firstLine="422"/>
        <w:jc w:val="center"/>
        <w:spacing w:line="440" w:lineRule="exact"/>
        <w:rPr>
          <w:rFonts w:hAnsi="宋体" w:cs="宋体"/>
          <w:b/>
          <w:bCs/>
          <w:color w:val="auto"/>
          <w:sz w:val="21"/>
          <w:highlight w:val="none"/>
        </w:rPr>
      </w:pPr>
      <w:r>
        <w:rPr>
          <w:rFonts w:hint="eastAsia" w:hAnsi="宋体" w:cs="宋体"/>
          <w:b/>
          <w:bCs/>
          <w:color w:val="auto"/>
          <w:sz w:val="21"/>
          <w:highlight w:val="none"/>
        </w:rPr>
        <w:t xml:space="preserve">政府采购合同（货物)（JSZC-320000-HCZX-G2025-0023）</w:t>
      </w:r>
      <w:r/>
    </w:p>
    <w:p>
      <w:pPr>
        <w:pStyle w:val="900"/>
        <w:spacing w:line="440" w:lineRule="exact"/>
        <w:rPr>
          <w:rFonts w:ascii="宋体" w:hAnsi="宋体" w:cs="宋体"/>
          <w:color w:val="auto"/>
          <w:szCs w:val="21"/>
          <w:highlight w:val="none"/>
        </w:rPr>
      </w:pPr>
      <w:r>
        <w:rPr>
          <w:rFonts w:ascii="宋体" w:hAnsi="宋体" w:cs="宋体"/>
          <w:color w:val="auto"/>
          <w:szCs w:val="21"/>
          <w:highlight w:val="none"/>
        </w:rPr>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项目名称：扬州大学附属医院临床营养科2025年度固体饮料及复配食品添加剂采购项目</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项目编号：JSZC-320000-HCZX-G2025-0023号</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甲方：（买方）扬州大学附属医院</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乙方：（卖方）_________</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甲、乙双方根据江苏汇诚投资咨询管理有限公司项目公开招标的结果，签署本合同。</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一、货物及伴随服务</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1.1 货物及服务名称：固体饮料及复配食品添加剂</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 型号规格：见附件1</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 数量（单位）见附件1</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二、合同金额</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2.1 本合同金额为（大写）：_____________圆（_______________元）人民币。</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三、技术资料</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3.1乙方应按招标文件规定的时间向甲方提供使用货物及服务的有关技术资料。</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四、知识产权</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五、产权担保</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5.1 乙方保证所交付的货物及服务的所有权完全属于乙方且无任何抵押、查封等产权瑕疵。</w:t>
      </w:r>
      <w:r/>
    </w:p>
    <w:p>
      <w:pPr>
        <w:pStyle w:val="930"/>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六、履约保证金</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6.1乙方在签订合同前须缴纳合同款10%作为履约保证金至甲方指定账户。履约保证金用以约束乙方在合同履行中的行为，弥补合同执行中由于自身行为可能给甲方带来的各种损失。如果乙方不同意按照规定去做，甲方有权取消本次采购中标决定。</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6.2履约保证金的退还：履约保证金在合作期满后7个工作日内退还，不计利息。乙方凭甲方人签署的项目验收单或项目验收报告、履约保证金收据原件，前往甲方处办理保证金退还手续。</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6.3有下列情形之一的，履约保证金不予退还:</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（1）签订合同后甲方发现乙方在响应文件中提供虚假材料的；</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（2）乙方与甲方、其他供应商或者采购代理机构恶意串通的；</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（3）将成交项目转让给他人，或者在投标文件中未说明，且未经甲方同意，将成交项目分包给他人的；</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（4）除因不可抗力或招标文件认可的情形以外，中标供应商不与采购人签订合同的；</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（5）签订合同后因乙方原因无法履行合同或者拒绝履行合同义务的。</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七、转包或分包</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7.1本合同范围的货物及服务，应由乙方直接供应，不得转让他人供应；</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7.2 除非得到甲方的书面同意，乙方不得部分分包给他人供应。</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7.3如有转让和未经甲方同意的分包行为，甲方有权给予终止合同。</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八、质保期</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8.1 质保期1年。（自交货验收合格之日起计）</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九、交付期、交付方式及交付地点</w:t>
      </w:r>
      <w:r/>
    </w:p>
    <w:p>
      <w:pPr>
        <w:pStyle w:val="930"/>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9.1 交付期：8个月，2025年5月1日---2025年12月31日</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9.2 交付方式：</w:t>
      </w:r>
      <w:r>
        <w:rPr>
          <w:rFonts w:hint="eastAsia" w:hAnsi="宋体" w:eastAsia="宋体" w:cs="宋体"/>
          <w:color w:val="auto"/>
          <w:sz w:val="21"/>
          <w:szCs w:val="21"/>
          <w:highlight w:val="none"/>
          <w:u w:val="single"/>
        </w:rPr>
        <w:t xml:space="preserve">甲方指定方式</w:t>
      </w:r>
      <w:r/>
    </w:p>
    <w:p>
      <w:pPr>
        <w:pStyle w:val="930"/>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9.3 交付地点：</w:t>
      </w:r>
      <w:r>
        <w:rPr>
          <w:rFonts w:hint="eastAsia" w:hAnsi="宋体" w:eastAsia="宋体" w:cs="宋体"/>
          <w:color w:val="auto"/>
          <w:sz w:val="21"/>
          <w:szCs w:val="21"/>
          <w:highlight w:val="none"/>
          <w:u w:val="single"/>
        </w:rPr>
        <w:t xml:space="preserve">甲方指定地点</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生效后，乙方按甲方需求即时配送，并将商品送到甲方指定地点，经甲方指定人员验收，验收合格的可在一个月内结算费用。每次结算金额以甲方签收入库的供应数量*合同单价计算，乙方必须提供甲方的验收单及开具的正规增值税发票等材料交甲方办理付款手续，甲方凭手续齐全的单据支付该批次货款。</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十一、税费</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11.1本合同执行中相关的一切税费均由乙方负担。</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十二、质量保证及售后服务</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12.1 乙方应按招标文件规定的货物及服务性能、技术要求、质量标准向甲方提供。</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⑴更换：由乙方承担所发生的全部费用。</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⑵贬值处理：由甲乙双方合议定价。</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12.3 如在使用过程中发生质量问题，乙方在接到甲方通知后在小时内到达甲方现场。</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12.4 在质保期内，乙方应对货物及服务出现的质量及安全问题负责处理解决并承担一切费用。</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12.5上述的货物及服务免费保修期为年，因人为因素出现的故障不在免费保修范围内。超过保修期的机器设备，终生维修，维修时只收部件成本费。</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十三、调试和验收</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13.5 验收时乙方必须在现场，验收完毕后作出验收结果报告；验收费用由甲乙双方协商解决。</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十四、货物及服务包装、发运及运输</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14.2 使用说明书、质量检验证明书、随配附件和工具以及清单一并交付甲方。</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14.4 货物在交付甲方前发生的风险均由乙方负责。</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十五、违约责任</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15.1 甲方无正当理由拒收货物及服务的，甲方向乙方偿付拒收款项总值的百分之五违约金。</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十六、不可抗力事件处理</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16.2 不可抗力事件发生后，应立即通知对方，并寄送有关权威机构出具的证明。</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16.3 不可抗力事件延续120天以上，双方应通过友好协商，确定是否继续履行合同。</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十七、诉讼</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pStyle w:val="930"/>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十九、合同生效及其它</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19.1 合同经双方法定代表人或授权委托代表人签字并加盖单位公章或合同专用章后生效。</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19.2本合同未尽事宜，遵照《民法典》有关条文执行。</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19.3 本合同正本一式四份，具有同等法律效力，甲方、乙方各执贰份。 </w:t>
      </w:r>
      <w:r/>
    </w:p>
    <w:p>
      <w:pPr>
        <w:pStyle w:val="93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w:t>
      </w:r>
      <w:r/>
    </w:p>
    <w:tbl>
      <w:tblPr>
        <w:tblStyle w:val="891"/>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甲方：扬州大学附属医院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日期：2025年4月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日期：2025年4月    日</w:t>
            </w:r>
            <w:r/>
          </w:p>
        </w:tc>
      </w:tr>
    </w:tbl>
    <w:p>
      <w:pPr>
        <w:pStyle w:val="905"/>
        <w:ind w:firstLine="210"/>
        <w:spacing w:before="120" w:after="120" w:line="360" w:lineRule="auto"/>
        <w:rPr>
          <w:rFonts w:hAnsi="宋体"/>
          <w:color w:val="auto"/>
          <w:sz w:val="21"/>
          <w:highlight w:val="none"/>
        </w:rPr>
      </w:pPr>
      <w:r>
        <w:rPr>
          <w:rFonts w:hint="eastAsia" w:hAnsi="宋体"/>
          <w:color w:val="auto"/>
          <w:sz w:val="21"/>
          <w:highlight w:val="none"/>
        </w:rPr>
        <w:t xml:space="preserve"> </w:t>
      </w:r>
      <w:r/>
    </w:p>
    <w:p>
      <w:pPr>
        <w:spacing w:line="360" w:lineRule="auto"/>
        <w:rPr>
          <w:rFonts w:ascii="宋体" w:hAnsi="宋体"/>
          <w:color w:val="auto"/>
          <w:highlight w:val="none"/>
        </w:rPr>
      </w:pPr>
      <w:r>
        <w:rPr>
          <w:rFonts w:ascii="宋体" w:hAnsi="宋体"/>
          <w:color w:val="auto"/>
          <w:highlight w:val="none"/>
        </w:rPr>
        <w:br w:type="page" w:clear="all"/>
      </w:r>
      <w:bookmarkEnd w:id="59"/>
      <w:r/>
      <w:r/>
    </w:p>
    <w:p>
      <w:pPr>
        <w:jc w:val="center"/>
        <w:spacing w:line="460" w:lineRule="exact"/>
        <w:rPr>
          <w:b/>
          <w:color w:val="auto"/>
          <w:sz w:val="36"/>
          <w:szCs w:val="36"/>
          <w:highlight w:val="none"/>
        </w:rPr>
      </w:pPr>
      <w:r>
        <w:rPr>
          <w:rFonts w:hint="eastAsia"/>
          <w:b/>
          <w:color w:val="auto"/>
          <w:sz w:val="36"/>
          <w:szCs w:val="36"/>
          <w:highlight w:val="none"/>
        </w:rPr>
        <w:t xml:space="preserve">廉洁合作协议</w:t>
      </w:r>
      <w:r/>
    </w:p>
    <w:p>
      <w:pPr>
        <w:spacing w:line="460" w:lineRule="exact"/>
        <w:rPr>
          <w:color w:val="auto"/>
          <w:highlight w:val="none"/>
        </w:rPr>
      </w:pPr>
      <w:r>
        <w:rPr>
          <w:rFonts w:hint="eastAsia" w:cs="宋体"/>
          <w:color w:val="auto"/>
          <w:highlight w:val="none"/>
        </w:rPr>
        <w:t xml:space="preserve">合同编号：JSZC-320000-HCZX-G2025-0023</w:t>
      </w:r>
      <w:r/>
    </w:p>
    <w:p>
      <w:pPr>
        <w:spacing w:line="460" w:lineRule="exact"/>
        <w:rPr>
          <w:rFonts w:cs="宋体"/>
          <w:b/>
          <w:color w:val="auto"/>
          <w:highlight w:val="none"/>
        </w:rPr>
      </w:pPr>
      <w:r>
        <w:rPr>
          <w:rFonts w:hint="eastAsia" w:cs="宋体"/>
          <w:color w:val="auto"/>
          <w:highlight w:val="none"/>
        </w:rPr>
        <w:t xml:space="preserve">甲方名称</w:t>
      </w:r>
      <w:r>
        <w:rPr>
          <w:rFonts w:cs="宋体"/>
          <w:color w:val="auto"/>
          <w:highlight w:val="none"/>
        </w:rPr>
        <w:t xml:space="preserve">:</w:t>
      </w:r>
      <w:r>
        <w:rPr>
          <w:rFonts w:hint="eastAsia" w:cs="宋体"/>
          <w:color w:val="auto"/>
          <w:highlight w:val="none"/>
        </w:rPr>
        <w:t xml:space="preserve"> </w:t>
      </w:r>
      <w:r>
        <w:rPr>
          <w:rFonts w:hint="eastAsia"/>
          <w:b/>
          <w:color w:val="auto"/>
          <w:highlight w:val="none"/>
        </w:rPr>
        <w:t xml:space="preserve">扬州大学附属医院</w:t>
      </w:r>
      <w:r/>
    </w:p>
    <w:p>
      <w:pPr>
        <w:spacing w:line="460" w:lineRule="exact"/>
        <w:rPr>
          <w:color w:val="auto"/>
          <w:highlight w:val="none"/>
        </w:rPr>
      </w:pPr>
      <w:r>
        <w:rPr>
          <w:rFonts w:hint="eastAsia"/>
          <w:color w:val="auto"/>
          <w:highlight w:val="none"/>
        </w:rPr>
        <w:t xml:space="preserve">乙方</w:t>
      </w:r>
      <w:r>
        <w:rPr>
          <w:rFonts w:hint="eastAsia" w:cs="宋体"/>
          <w:color w:val="auto"/>
          <w:highlight w:val="none"/>
        </w:rPr>
        <w:t xml:space="preserve">名称</w:t>
      </w:r>
      <w:r>
        <w:rPr>
          <w:rFonts w:hint="eastAsia"/>
          <w:color w:val="auto"/>
          <w:highlight w:val="none"/>
        </w:rPr>
        <w:t xml:space="preserve">：</w:t>
      </w:r>
      <w:r/>
    </w:p>
    <w:p>
      <w:pPr>
        <w:ind w:firstLine="420"/>
        <w:spacing w:line="340" w:lineRule="exact"/>
        <w:rPr>
          <w:color w:val="auto"/>
          <w:highlight w:val="none"/>
        </w:rPr>
      </w:pPr>
      <w:r>
        <w:rPr>
          <w:rFonts w:hint="eastAsia"/>
          <w:color w:val="auto"/>
          <w:highlight w:val="none"/>
        </w:rPr>
        <w:t xml:space="preserve">在甲乙双方订立、履行合同过程中，为保持廉洁自律的工作作风，防止各种不正当行为的发生，甲乙双方订立协议如下：</w:t>
      </w:r>
      <w:r/>
    </w:p>
    <w:p>
      <w:pPr>
        <w:ind w:firstLine="420"/>
        <w:spacing w:line="340" w:lineRule="exact"/>
        <w:rPr>
          <w:color w:val="auto"/>
          <w:highlight w:val="none"/>
        </w:rPr>
      </w:pPr>
      <w:r>
        <w:rPr>
          <w:rFonts w:hint="eastAsia"/>
          <w:color w:val="auto"/>
          <w:highlight w:val="none"/>
        </w:rPr>
        <w:t xml:space="preserve">一、甲乙双方应当自觉遵守国家、地方法律法规以及本协议的约定，在合同的订立、履行过程中廉洁自律。</w:t>
      </w:r>
      <w:r/>
    </w:p>
    <w:p>
      <w:pPr>
        <w:ind w:firstLine="420"/>
        <w:spacing w:line="340" w:lineRule="exact"/>
        <w:rPr>
          <w:color w:val="auto"/>
          <w:highlight w:val="none"/>
        </w:rPr>
      </w:pPr>
      <w:r>
        <w:rPr>
          <w:rFonts w:hint="eastAsia"/>
          <w:color w:val="auto"/>
          <w:highlight w:val="none"/>
        </w:rPr>
        <w:t xml:space="preserve">二、甲方工作人员严禁进行商业目的的统方，不得以任何形式向乙方索要和收受个人回扣等好处费。</w:t>
      </w:r>
      <w:r/>
    </w:p>
    <w:p>
      <w:pPr>
        <w:ind w:firstLine="420"/>
        <w:spacing w:line="340" w:lineRule="exact"/>
        <w:rPr>
          <w:color w:val="auto"/>
          <w:highlight w:val="none"/>
        </w:rPr>
      </w:pPr>
      <w:r>
        <w:rPr>
          <w:rFonts w:hint="eastAsia"/>
          <w:color w:val="auto"/>
          <w:highlight w:val="none"/>
        </w:rPr>
        <w:t xml:space="preserve">三、甲方工作人员应当保持与乙方的正常业务交往，不得接受乙方的礼金、有价证券和贵重物品，不得在乙方报销任何应由其个人承担的费用。</w:t>
      </w:r>
      <w:r/>
    </w:p>
    <w:p>
      <w:pPr>
        <w:ind w:firstLine="420"/>
        <w:spacing w:line="340" w:lineRule="exact"/>
        <w:rPr>
          <w:color w:val="auto"/>
          <w:highlight w:val="none"/>
        </w:rPr>
      </w:pPr>
      <w:r>
        <w:rPr>
          <w:rFonts w:hint="eastAsia"/>
          <w:color w:val="auto"/>
          <w:highlight w:val="none"/>
        </w:rPr>
        <w:t xml:space="preserve">四、甲方工作人员不得参加可能对公正开展业务有影响的宴请和娱乐活动。如甲方工作人员确因实际情况须参加宴请、进行娱乐活动的，须事先报上一级批准。</w:t>
      </w:r>
      <w:r/>
    </w:p>
    <w:p>
      <w:pPr>
        <w:ind w:firstLine="420"/>
        <w:spacing w:line="340" w:lineRule="exact"/>
        <w:rPr>
          <w:color w:val="auto"/>
          <w:highlight w:val="none"/>
        </w:rPr>
      </w:pPr>
      <w:r>
        <w:rPr>
          <w:rFonts w:hint="eastAsia"/>
          <w:color w:val="auto"/>
          <w:highlight w:val="none"/>
        </w:rPr>
        <w:t xml:space="preserve">五、甲方工作人员不得要求或者接受乙方为其住房装修、婚丧嫁娶、家属和子女的工作安排以及出国等提供方便。</w:t>
      </w:r>
      <w:r/>
    </w:p>
    <w:p>
      <w:pPr>
        <w:ind w:firstLine="420"/>
        <w:spacing w:line="340" w:lineRule="exact"/>
        <w:rPr>
          <w:color w:val="auto"/>
          <w:highlight w:val="none"/>
        </w:rPr>
      </w:pPr>
      <w:r>
        <w:rPr>
          <w:rFonts w:hint="eastAsia"/>
          <w:color w:val="auto"/>
          <w:highlight w:val="none"/>
        </w:rPr>
        <w:t xml:space="preserve">六、乙方不得接受甲方工作人员介绍的家属或者亲友从事与合同相关的业务。</w:t>
      </w:r>
      <w:r/>
    </w:p>
    <w:p>
      <w:pPr>
        <w:ind w:firstLine="420"/>
        <w:spacing w:line="340" w:lineRule="exact"/>
        <w:rPr>
          <w:color w:val="auto"/>
          <w:highlight w:val="none"/>
        </w:rPr>
      </w:pPr>
      <w:r>
        <w:rPr>
          <w:rFonts w:hint="eastAsia"/>
          <w:color w:val="auto"/>
          <w:highlight w:val="none"/>
        </w:rPr>
        <w:t xml:space="preserve">七、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20"/>
        <w:spacing w:line="340" w:lineRule="exact"/>
        <w:rPr>
          <w:color w:val="auto"/>
          <w:highlight w:val="none"/>
        </w:rPr>
      </w:pPr>
      <w:r>
        <w:rPr>
          <w:rFonts w:hint="eastAsia"/>
          <w:color w:val="auto"/>
          <w:highlight w:val="none"/>
        </w:rPr>
        <w:t xml:space="preserve">八、乙方如发现甲方工作人员有违反上述协议者，应向甲方举报（甲方举报接待部门：纪委办公室；举报电话：87907263）。甲方不得找任何借口对乙方进行报复。甲方对举报属实和严格遵守廉洁协议的乙方，在同等条件下优先考虑与乙方继续合作。</w:t>
      </w:r>
      <w:r/>
    </w:p>
    <w:p>
      <w:pPr>
        <w:ind w:firstLine="420"/>
        <w:spacing w:line="340" w:lineRule="exact"/>
        <w:rPr>
          <w:color w:val="auto"/>
          <w:highlight w:val="none"/>
        </w:rPr>
      </w:pPr>
      <w:r>
        <w:rPr>
          <w:rFonts w:hint="eastAsia"/>
          <w:color w:val="auto"/>
          <w:highlight w:val="none"/>
        </w:rPr>
        <w:t xml:space="preserve">九、甲方发现乙方有违反本协议或者采用不正当的手段行贿甲方工作人员等不正当竞争行为的，甲方有权解除合同。</w:t>
      </w:r>
      <w:r/>
    </w:p>
    <w:p>
      <w:pPr>
        <w:ind w:firstLine="315"/>
        <w:spacing w:line="340" w:lineRule="exact"/>
        <w:rPr>
          <w:color w:val="auto"/>
          <w:highlight w:val="none"/>
        </w:rPr>
      </w:pPr>
      <w:r>
        <w:rPr>
          <w:rFonts w:hint="eastAsia"/>
          <w:color w:val="auto"/>
          <w:highlight w:val="none"/>
        </w:rPr>
        <w:t xml:space="preserve">十、本廉洁协议作为合同的附件，与合同具有同等法律效力。经协议双方签署后立即生效。</w:t>
      </w:r>
      <w:r/>
    </w:p>
    <w:p>
      <w:pPr>
        <w:ind w:firstLine="420"/>
        <w:spacing w:line="340" w:lineRule="exact"/>
        <w:rPr>
          <w:bCs/>
          <w:color w:val="auto"/>
          <w:highlight w:val="none"/>
        </w:rPr>
      </w:pPr>
      <w:r>
        <w:rPr>
          <w:rFonts w:hint="eastAsia"/>
          <w:color w:val="auto"/>
          <w:highlight w:val="none"/>
        </w:rPr>
        <w:t xml:space="preserve">十一、</w:t>
      </w:r>
      <w:r>
        <w:rPr>
          <w:rFonts w:hint="eastAsia"/>
          <w:bCs/>
          <w:color w:val="auto"/>
          <w:highlight w:val="none"/>
        </w:rPr>
        <w:t xml:space="preserve">本合同正本一式</w:t>
      </w:r>
      <w:r>
        <w:rPr>
          <w:rFonts w:hint="eastAsia"/>
          <w:b/>
          <w:bCs/>
          <w:color w:val="auto"/>
          <w:highlight w:val="none"/>
          <w:u w:val="single"/>
        </w:rPr>
        <w:t xml:space="preserve">肆</w:t>
      </w:r>
      <w:r>
        <w:rPr>
          <w:rFonts w:hint="eastAsia"/>
          <w:bCs/>
          <w:color w:val="auto"/>
          <w:highlight w:val="none"/>
        </w:rPr>
        <w:t xml:space="preserve">份，</w:t>
      </w:r>
      <w:r>
        <w:rPr>
          <w:rFonts w:hint="eastAsia"/>
          <w:color w:val="auto"/>
          <w:highlight w:val="none"/>
          <w:lang w:val="zh-CN"/>
        </w:rPr>
        <w:t xml:space="preserve">甲方执</w:t>
      </w:r>
      <w:r>
        <w:rPr>
          <w:rFonts w:hint="eastAsia"/>
          <w:b/>
          <w:color w:val="auto"/>
          <w:highlight w:val="none"/>
          <w:u w:val="single"/>
        </w:rPr>
        <w:t xml:space="preserve">贰</w:t>
      </w:r>
      <w:r>
        <w:rPr>
          <w:rFonts w:hint="eastAsia"/>
          <w:color w:val="auto"/>
          <w:highlight w:val="none"/>
          <w:lang w:val="zh-CN"/>
        </w:rPr>
        <w:t xml:space="preserve">份，乙方执</w:t>
      </w:r>
      <w:r>
        <w:rPr>
          <w:rFonts w:hint="eastAsia"/>
          <w:b/>
          <w:color w:val="auto"/>
          <w:highlight w:val="none"/>
          <w:u w:val="single"/>
          <w:lang w:val="zh-CN"/>
        </w:rPr>
        <w:t xml:space="preserve">贰</w:t>
      </w:r>
      <w:r>
        <w:rPr>
          <w:rFonts w:hint="eastAsia"/>
          <w:color w:val="auto"/>
          <w:highlight w:val="none"/>
          <w:lang w:val="zh-CN"/>
        </w:rPr>
        <w:t xml:space="preserve">份，</w:t>
      </w:r>
      <w:r>
        <w:rPr>
          <w:rFonts w:hint="eastAsia"/>
          <w:color w:val="auto"/>
          <w:highlight w:val="none"/>
        </w:rPr>
        <w:t xml:space="preserve">从签订之日起生效。</w:t>
      </w:r>
      <w:r/>
    </w:p>
    <w:p>
      <w:pPr>
        <w:spacing w:line="340" w:lineRule="exact"/>
        <w:rPr>
          <w:color w:val="auto"/>
          <w:highlight w:val="none"/>
        </w:rPr>
      </w:pPr>
      <w:r>
        <w:rPr>
          <w:color w:val="auto"/>
          <w:highlight w:val="none"/>
        </w:rPr>
      </w:r>
      <w:r/>
    </w:p>
    <w:p>
      <w:pPr>
        <w:contextualSpacing/>
        <w:ind w:left="5460" w:hanging="5460"/>
        <w:spacing w:line="340" w:lineRule="exact"/>
        <w:rPr>
          <w:rFonts w:cs="宋体"/>
          <w:b/>
          <w:color w:val="auto"/>
          <w:highlight w:val="none"/>
        </w:rPr>
      </w:pPr>
      <w:r>
        <w:rPr>
          <w:rFonts w:hint="eastAsia" w:cs="宋体"/>
          <w:color w:val="auto"/>
          <w:highlight w:val="none"/>
        </w:rPr>
        <w:t xml:space="preserve">甲方：（盖章）</w:t>
      </w:r>
      <w:r>
        <w:rPr>
          <w:rFonts w:hint="eastAsia" w:cs="宋体"/>
          <w:b/>
          <w:color w:val="auto"/>
          <w:highlight w:val="none"/>
        </w:rPr>
        <w:t xml:space="preserve">扬州大学附属医院</w:t>
      </w:r>
      <w:r>
        <w:rPr>
          <w:rFonts w:hint="eastAsia" w:cs="宋体"/>
          <w:color w:val="auto"/>
          <w:highlight w:val="none"/>
        </w:rPr>
        <w:t xml:space="preserve">      乙方：（盖章）</w:t>
      </w:r>
      <w:r/>
    </w:p>
    <w:p>
      <w:pPr>
        <w:contextualSpacing/>
        <w:spacing w:line="340" w:lineRule="exact"/>
        <w:rPr>
          <w:rFonts w:cs="宋体"/>
          <w:color w:val="auto"/>
          <w:highlight w:val="none"/>
        </w:rPr>
      </w:pPr>
      <w:r>
        <w:rPr>
          <w:rFonts w:hint="eastAsia" w:cs="宋体"/>
          <w:color w:val="auto"/>
          <w:highlight w:val="none"/>
        </w:rPr>
        <w:t xml:space="preserve">法定代表人：                        法定代表人：</w:t>
      </w:r>
      <w:r/>
    </w:p>
    <w:p>
      <w:pPr>
        <w:contextualSpacing/>
        <w:spacing w:line="340" w:lineRule="exact"/>
        <w:rPr>
          <w:rFonts w:cs="宋体"/>
          <w:color w:val="auto"/>
          <w:highlight w:val="none"/>
        </w:rPr>
      </w:pPr>
      <w:r>
        <w:rPr>
          <w:rFonts w:hint="eastAsia" w:cs="宋体"/>
          <w:color w:val="auto"/>
          <w:highlight w:val="none"/>
        </w:rPr>
        <w:t xml:space="preserve">（或授权签约人）：                 （或授权签约人）：</w:t>
      </w:r>
      <w:r/>
    </w:p>
    <w:p>
      <w:pPr>
        <w:contextualSpacing/>
        <w:spacing w:line="340" w:lineRule="exact"/>
        <w:rPr>
          <w:rFonts w:cs="宋体"/>
          <w:color w:val="auto"/>
          <w:highlight w:val="none"/>
        </w:rPr>
      </w:pPr>
      <w:r>
        <w:rPr>
          <w:rFonts w:cs="宋体"/>
          <w:color w:val="auto"/>
          <w:highlight w:val="none"/>
        </w:rPr>
      </w:r>
      <w:r/>
    </w:p>
    <w:p>
      <w:pPr>
        <w:contextualSpacing/>
        <w:spacing w:line="340" w:lineRule="exact"/>
        <w:rPr>
          <w:rFonts w:cs="宋体"/>
          <w:color w:val="auto"/>
          <w:highlight w:val="none"/>
        </w:rPr>
      </w:pPr>
      <w:r>
        <w:rPr>
          <w:rFonts w:cs="宋体"/>
          <w:color w:val="auto"/>
          <w:highlight w:val="none"/>
        </w:rPr>
      </w:r>
      <w:r/>
    </w:p>
    <w:p>
      <w:pPr>
        <w:contextualSpacing/>
        <w:spacing w:line="340" w:lineRule="exact"/>
        <w:rPr>
          <w:rFonts w:cs="宋体"/>
          <w:color w:val="auto"/>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cs="宋体"/>
          <w:color w:val="auto"/>
          <w:highlight w:val="none"/>
        </w:rPr>
        <w:t xml:space="preserve">日  期:2025年4月   日            日  期：2025年4月   日</w:t>
      </w:r>
      <w:r/>
    </w:p>
    <w:p>
      <w:pPr>
        <w:spacing w:line="360" w:lineRule="auto"/>
        <w:rPr>
          <w:rFonts w:ascii="宋体" w:hAnsi="宋体"/>
          <w:color w:val="auto"/>
          <w:highlight w:val="none"/>
        </w:rPr>
      </w:pPr>
      <w:r>
        <w:rPr>
          <w:rFonts w:ascii="宋体" w:hAnsi="宋体"/>
          <w:color w:val="auto"/>
          <w:highlight w:val="none"/>
        </w:rPr>
      </w:r>
      <w:r/>
    </w:p>
    <w:p>
      <w:pPr>
        <w:pStyle w:val="886"/>
        <w:numPr>
          <w:ilvl w:val="0"/>
          <w:numId w:val="2"/>
        </w:numPr>
        <w:jc w:val="center"/>
        <w:spacing w:line="360" w:lineRule="auto"/>
        <w:rPr>
          <w:rFonts w:ascii="宋体" w:hAnsi="宋体"/>
          <w:color w:val="auto"/>
          <w:highlight w:val="none"/>
        </w:rPr>
      </w:pPr>
      <w:r>
        <w:rPr>
          <w:rFonts w:hint="eastAsia" w:ascii="宋体" w:hAnsi="宋体"/>
          <w:color w:val="auto"/>
          <w:highlight w:val="none"/>
        </w:rPr>
        <w:t xml:space="preserve">项目需求</w:t>
      </w:r>
      <w:r/>
    </w:p>
    <w:p>
      <w:pPr>
        <w:spacing w:line="440" w:lineRule="exact"/>
        <w:rPr>
          <w:rFonts w:ascii="宋体" w:hAnsi="宋体" w:cs="宋体"/>
          <w:b/>
          <w:bCs/>
          <w:color w:val="auto"/>
          <w:szCs w:val="21"/>
          <w:highlight w:val="none"/>
        </w:rPr>
      </w:pPr>
      <w:r/>
      <w:bookmarkStart w:id="60" w:name="_Toc319408306"/>
      <w:r/>
      <w:bookmarkStart w:id="61" w:name="_Toc55204181"/>
      <w:r>
        <w:rPr>
          <w:rFonts w:hint="eastAsia" w:ascii="宋体" w:hAnsi="宋体" w:cs="宋体"/>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本项目核心产品名称：蛋白固体饮料6、固体饮料5。</w:t>
      </w:r>
      <w:r/>
    </w:p>
    <w:p>
      <w:pPr>
        <w:ind w:firstLine="422"/>
        <w:spacing w:line="440" w:lineRule="exact"/>
        <w:rPr>
          <w:rFonts w:ascii="宋体" w:hAnsi="宋体" w:cs="宋体"/>
          <w:b/>
          <w:color w:val="auto"/>
          <w:szCs w:val="21"/>
          <w:highlight w:val="none"/>
        </w:rPr>
      </w:pPr>
      <w:r>
        <w:rPr>
          <w:rFonts w:hint="eastAsia" w:ascii="宋体" w:hAnsi="宋体" w:cs="宋体"/>
          <w:b/>
          <w:bCs/>
          <w:color w:val="auto"/>
          <w:szCs w:val="21"/>
          <w:highlight w:val="none"/>
        </w:rPr>
        <w:t xml:space="preserve">一、</w:t>
      </w:r>
      <w:bookmarkEnd w:id="60"/>
      <w:r>
        <w:rPr>
          <w:rFonts w:hint="eastAsia" w:ascii="宋体" w:hAnsi="宋体" w:cs="宋体"/>
          <w:b/>
          <w:bCs/>
          <w:color w:val="auto"/>
          <w:szCs w:val="21"/>
          <w:highlight w:val="none"/>
        </w:rPr>
        <w:t xml:space="preserve">采购清单：</w:t>
      </w:r>
      <w:r/>
    </w:p>
    <w:tbl>
      <w:tblPr>
        <w:tblStyle w:val="891"/>
        <w:tblW w:w="6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2002"/>
        <w:gridCol w:w="3794"/>
        <w:gridCol w:w="3618"/>
      </w:tblGrid>
      <w:tr>
        <w:trPr>
          <w:jc w:val="center"/>
          <w:trHeight w:val="63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pStyle w:val="940"/>
              <w:ind w:firstLine="0"/>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pStyle w:val="940"/>
              <w:ind w:firstLine="0"/>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pStyle w:val="940"/>
              <w:ind w:firstLine="0"/>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产品规格</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940"/>
              <w:ind w:firstLine="0"/>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预估采购数量</w:t>
            </w:r>
            <w:r/>
          </w:p>
          <w:p>
            <w:pPr>
              <w:pStyle w:val="940"/>
              <w:ind w:firstLine="0"/>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（罐/袋/盒，原有整包装，未拆开）</w:t>
            </w:r>
            <w:r/>
          </w:p>
        </w:tc>
      </w:tr>
      <w:tr>
        <w:trPr>
          <w:jc w:val="center"/>
          <w:trHeight w:val="1271"/>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蛋白固体饮料1</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碳水化合物60%-85%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蛋白质10%-20%</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脂肪含量≤5g/100g</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240</w:t>
            </w:r>
            <w:r/>
          </w:p>
        </w:tc>
      </w:tr>
      <w:tr>
        <w:trPr>
          <w:jc w:val="center"/>
          <w:trHeight w:val="168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蛋白固体饮料2</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碳水化合物45%-55%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蛋白质15%-25%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脂肪25%-35%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膳食纤维含量≥6g/100g</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490</w:t>
            </w:r>
            <w:r/>
          </w:p>
        </w:tc>
      </w:tr>
      <w:tr>
        <w:trPr>
          <w:jc w:val="center"/>
          <w:trHeight w:val="210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蛋白固体饮料3</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碳水化合物55%-80%</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蛋白质4%-15%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脂肪10%-35%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蛋白质来源乳清蛋白，蛋白质含量≤8.0g/100，钠含量≤45mg/100g</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110</w:t>
            </w:r>
            <w:r/>
          </w:p>
        </w:tc>
      </w:tr>
      <w:tr>
        <w:trPr>
          <w:jc w:val="center"/>
          <w:trHeight w:val="93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蛋白固体饮料4</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碳水化合物45%-65%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蛋白质15%-35%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脂肪16%-33%</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蛋白质含量≥20g，其中乳清蛋白含量≥40%</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60</w:t>
            </w:r>
            <w:r/>
          </w:p>
        </w:tc>
      </w:tr>
      <w:tr>
        <w:trPr>
          <w:jc w:val="center"/>
          <w:trHeight w:val="2070"/>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蛋白固体饮料5</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碳水化合物20%-80%</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蛋白质10%-30%</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脂肪5%-30%</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支链氨基酸含量≥4.0g/100g，蛋白质来源为乳清蛋白</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180</w:t>
            </w:r>
            <w:r/>
          </w:p>
        </w:tc>
      </w:tr>
      <w:tr>
        <w:trPr>
          <w:jc w:val="center"/>
          <w:trHeight w:val="651"/>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蛋白固体饮料6</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每100g乳清蛋白含量≥75%</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2100</w:t>
            </w:r>
            <w:r/>
          </w:p>
        </w:tc>
      </w:tr>
      <w:tr>
        <w:trPr>
          <w:jc w:val="center"/>
          <w:trHeight w:val="729"/>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蛋白固体饮料7</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碳水化合物35%-60%</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蛋白质12%-30%</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脂肪25%-45%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蛋白质来源乳清蛋白，蛋白质含量≥20.0g/100g，添加中链脂肪酸和膳食纤维</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Height w:val="2263"/>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蛋白固体饮料8</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碳水化合物65%-75%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蛋白质12%-22%</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脂肪8%-18%</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蛋白质来源为水解乳清蛋白，蛋白质含量≥13.0g/100g，添加中链脂肪酸</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不含膳食纤维</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Height w:val="1670"/>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蛋白固体饮料9</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碳水化合物45%-65%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蛋白质10%-22%</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脂肪18%-35%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膳食纤维含量≥4.0g/100g</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1325"/>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蛋白固体饮料10</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碳水化合物45%-65%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蛋白质10%-22%</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脂肪18%-35%</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jc w:val="center"/>
          <w:trHeight w:val="534"/>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固体饮料1</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L-谷氨酰胺≥40%</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700"/>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固体饮料2</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含L-谷氨酰胺、乳酸菌等</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90</w:t>
            </w:r>
            <w:r/>
          </w:p>
        </w:tc>
      </w:tr>
      <w:tr>
        <w:trPr>
          <w:jc w:val="center"/>
          <w:trHeight w:val="961"/>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固体饮料3</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主要来源于低聚果糖、低聚木糖、水溶性膳食纤维、菊粉、抗性糊精等</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jc w:val="center"/>
          <w:trHeight w:val="538"/>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固体饮料4</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麦芽糊精</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776"/>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固体饮料5</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益生菌种类≥8种，数量≥150亿CFU</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含有植物乳杆菌、长双歧杆菌、嗜酸乳杆菌等</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含膳食纤维</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3500</w:t>
            </w:r>
            <w:r/>
          </w:p>
        </w:tc>
      </w:tr>
      <w:tr>
        <w:trPr>
          <w:jc w:val="center"/>
          <w:trHeight w:val="537"/>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复配食品添加剂1</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含微量元素：铁、铜、锰、锌、硒、碘等</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jc w:val="center"/>
          <w:trHeight w:val="1097"/>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复配食品添加剂2</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含水溶性维生素：维生素C、维生素B1、维生素B2、泛酸、烟酸、叶酸、生物素、胆碱等</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90</w:t>
            </w:r>
            <w:r/>
          </w:p>
        </w:tc>
      </w:tr>
      <w:tr>
        <w:trPr>
          <w:jc w:val="center"/>
          <w:trHeight w:val="1196"/>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复配食品添加剂3</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含水溶性和脂溶性维生素：维生素C、维生素E、维生素A、维生素D3、烟酸、叶酸、维生素B6、维生素B1、维生素B2等</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Height w:val="745"/>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复配食品添加剂4</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中链脂肪酸含量≥60%</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Height w:val="745"/>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970" w:type="pct"/>
            <w:vAlign w:val="center"/>
            <w:textDirection w:val="lrTb"/>
            <w:noWrap w:val="false"/>
          </w:tcPr>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肠内流食增稠剂</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水溶性膳食纤维≥2%；</w:t>
            </w:r>
            <w:r/>
          </w:p>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热能＜12kcal；</w:t>
            </w:r>
            <w:r/>
          </w:p>
          <w:p>
            <w:pPr>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产品不含乳糖</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160</w:t>
            </w:r>
            <w:r/>
          </w:p>
        </w:tc>
      </w:tr>
      <w:tr>
        <w:trPr>
          <w:jc w:val="center"/>
          <w:trHeight w:val="745"/>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复合膳食纤维粉</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总能量600-1200kJ/100g；</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膳食纤维含量≥40g/100g；</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Na≤60g/100g</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3000</w:t>
            </w:r>
            <w:r/>
          </w:p>
        </w:tc>
      </w:tr>
      <w:tr>
        <w:trPr>
          <w:jc w:val="center"/>
          <w:trHeight w:val="745"/>
        </w:trPr>
        <w:tc>
          <w:tcPr>
            <w:tcW w:w="439"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970"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代餐粉</w:t>
            </w:r>
            <w:r/>
          </w:p>
        </w:tc>
        <w:tc>
          <w:tcPr>
            <w:tcW w:w="1837"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能量构成：</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总能量1200-2000kJ/100g；</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蛋白质8-45%；</w:t>
            </w:r>
            <w:r/>
          </w:p>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膳食纤维≥15g/100g</w:t>
            </w:r>
            <w:r/>
          </w:p>
        </w:tc>
        <w:tc>
          <w:tcPr>
            <w:tcW w:w="1752" w:type="pct"/>
            <w:vAlign w:val="center"/>
            <w:textDirection w:val="lrTb"/>
            <w:noWrap w:val="false"/>
          </w:tcPr>
          <w:p>
            <w:pPr>
              <w:pStyle w:val="940"/>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r>
    </w:tbl>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二、投标产品要求</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1、所供产品不允许有网上售卖途径；所供产品必须符合院方要求的规格、含量等。符合国家相关食品规定。</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2、投标人需提供电子版投标产品的相关信息，包括产品种类，每一种产品各种营养成分含量、规格、价格。</w:t>
      </w:r>
      <w:r/>
    </w:p>
    <w:p>
      <w:pPr>
        <w:contextualSpacing/>
        <w:ind w:firstLine="420"/>
        <w:jc w:val="left"/>
        <w:spacing w:line="440" w:lineRule="exact"/>
        <w:shd w:val="clear" w:color="auto" w:fill="ffffff"/>
        <w:widowControl/>
        <w:rPr>
          <w:rFonts w:ascii="宋体" w:hAnsi="宋体" w:cs="宋体"/>
          <w:b/>
          <w:bCs/>
          <w:i/>
          <w:iCs/>
          <w:color w:val="auto"/>
          <w:szCs w:val="21"/>
          <w:highlight w:val="none"/>
          <w:u w:val="single"/>
        </w:rPr>
      </w:pPr>
      <w:r>
        <w:rPr>
          <w:rFonts w:hint="eastAsia" w:ascii="宋体" w:hAnsi="宋体" w:cs="宋体"/>
          <w:color w:val="auto"/>
          <w:szCs w:val="21"/>
          <w:highlight w:val="none"/>
        </w:rPr>
        <w:t xml:space="preserve">3、所供产品要求是出厂三个月内的产品。</w:t>
      </w:r>
      <w:r>
        <w:rPr>
          <w:rFonts w:hint="eastAsia" w:ascii="宋体" w:hAnsi="宋体" w:cs="宋体"/>
          <w:b/>
          <w:bCs/>
          <w:i/>
          <w:iCs/>
          <w:color w:val="auto"/>
          <w:szCs w:val="21"/>
          <w:highlight w:val="none"/>
          <w:u w:val="single"/>
        </w:rPr>
        <w:t xml:space="preserve">承诺产品若离保质期六个月还未使用完，须无条件退货或换货，提供承诺函原件加盖投标人公章，无承诺的视为无效投标。</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4、订货周期：订货后五天内将货品送到我院。</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5、供货时间：从</w:t>
      </w:r>
      <w:r>
        <w:rPr>
          <w:rFonts w:hint="eastAsia" w:ascii="宋体" w:hAnsi="宋体" w:cs="宋体"/>
          <w:color w:val="auto"/>
          <w:szCs w:val="21"/>
          <w:highlight w:val="none"/>
          <w:u w:val="single"/>
        </w:rPr>
        <w:t xml:space="preserve">2025年5月1日---2025年12月31日</w:t>
      </w:r>
      <w:r>
        <w:rPr>
          <w:rFonts w:hint="eastAsia" w:ascii="宋体" w:hAnsi="宋体" w:cs="宋体"/>
          <w:color w:val="auto"/>
          <w:szCs w:val="21"/>
          <w:highlight w:val="none"/>
        </w:rPr>
        <w:t xml:space="preserve">，计</w:t>
      </w:r>
      <w:r>
        <w:rPr>
          <w:rFonts w:hint="eastAsia" w:ascii="宋体" w:hAnsi="宋体" w:cs="宋体"/>
          <w:color w:val="auto"/>
          <w:szCs w:val="21"/>
          <w:highlight w:val="none"/>
          <w:u w:val="single"/>
        </w:rPr>
        <w:t xml:space="preserve">8</w:t>
      </w:r>
      <w:r>
        <w:rPr>
          <w:rFonts w:hint="eastAsia" w:ascii="宋体" w:hAnsi="宋体" w:cs="宋体"/>
          <w:color w:val="auto"/>
          <w:szCs w:val="21"/>
          <w:highlight w:val="none"/>
        </w:rPr>
        <w:t xml:space="preserve">个月。</w:t>
      </w:r>
      <w:r/>
    </w:p>
    <w:p>
      <w:pPr>
        <w:contextualSpacing/>
        <w:ind w:firstLine="422"/>
        <w:jc w:val="left"/>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三、其他要求</w:t>
      </w:r>
      <w:r>
        <w:rPr>
          <w:rFonts w:hint="eastAsia" w:ascii="宋体" w:hAnsi="宋体" w:cs="宋体"/>
          <w:color w:val="auto"/>
          <w:szCs w:val="21"/>
          <w:highlight w:val="none"/>
        </w:rPr>
        <w:t xml:space="preserve">：</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1、质量保证：</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1.1产品免费质保期≥1年，以生产厂家出具的质保证明原件为准。</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1.2服务响应：产品出现问题后，一般问题维护响应时间不超过12小时，重大问题不超过24小时。</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2、交货时间：医院采购中心发出订货通知5天内。</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3、验收标准：</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乙方提供的商品必须符合我国最新颁布的与之相关的技术规范与标准，同时必须满足招标书中所列全部参数、规格、指标及功能要求等和乙方承诺的其它指标；</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货物到达甲方地址至验收合格期间，由乙方负责保管，若因保管不当造成的质量问题，乙方应负责调剂，同时有关费用由乙方承担；货物经验收合格后即由甲方负责保管，若因保管不当造成的质量问题，乙方应负责调剂，但有关费用由甲方承担。</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5、交货条件：产品交货时，包装完整无破损，还必须提供以下材料</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5.1装箱单</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5.2产品质检合格证明</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5.3进口产品，乙方需要提供进口商品检验检疫证明</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6、运输及到货地点：由乙方负责办理运输及装卸，直接送至甲方所在地，所有费用由乙方承担。</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7、售后服务：乙方负责所采购产品的免费咨询、培训、使用说明、指导(过程中所需耗品应由乙方免费提供)，保证培训人员正常使用。</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8、中标单位承担一次供货期内营养成分计量检定抽检费用（如院方对营养参数存在疑议可进行抽检）。</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9、有稳定的售后服务承诺，能完好兑现。</w:t>
      </w:r>
      <w:r/>
    </w:p>
    <w:p>
      <w:pPr>
        <w:contextualSpacing/>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10、中标单位可通过临床营养科联系临床相关科室进行学术交流，不允许私自接触临床科室医生，一旦被我院监察办公室或纪委发现有违规违纪行为并确认，所有产品一律退还，五年内不再采用。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四、节能产品要求</w:t>
      </w:r>
      <w:r/>
    </w:p>
    <w:p>
      <w:pPr>
        <w:ind w:firstLine="420"/>
        <w:jc w:val="left"/>
        <w:spacing w:line="440" w:lineRule="exact"/>
        <w:rPr>
          <w:rFonts w:ascii="宋体" w:hAnsi="宋体" w:cs="宋体"/>
          <w:color w:val="auto"/>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pStyle w:val="886"/>
        <w:jc w:val="center"/>
        <w:spacing w:line="360" w:lineRule="auto"/>
        <w:rPr>
          <w:rFonts w:ascii="宋体" w:hAnsi="宋体"/>
          <w:color w:val="auto"/>
          <w:highlight w:val="none"/>
        </w:rPr>
      </w:pPr>
      <w:r>
        <w:rPr>
          <w:rFonts w:hint="eastAsia" w:ascii="宋体" w:hAnsi="宋体"/>
          <w:color w:val="auto"/>
          <w:highlight w:val="none"/>
        </w:rPr>
        <w:t xml:space="preserve">第五章 评标方法及评标标准</w:t>
      </w:r>
      <w:bookmarkEnd w:id="61"/>
      <w:r/>
      <w:r/>
    </w:p>
    <w:p>
      <w:pPr>
        <w:pStyle w:val="919"/>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19"/>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62" w:name="_Toc449017024"/>
      <w:r/>
      <w:bookmarkStart w:id="63"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2"/>
      <w:r/>
      <w:bookmarkEnd w:id="63"/>
      <w:r/>
      <w:r/>
    </w:p>
    <w:p>
      <w:pPr>
        <w:ind w:firstLine="420"/>
        <w:spacing w:line="360" w:lineRule="auto"/>
        <w:rPr>
          <w:rFonts w:ascii="宋体" w:hAnsi="宋体"/>
          <w:b/>
          <w:color w:val="auto"/>
          <w:szCs w:val="21"/>
          <w:highlight w:val="none"/>
        </w:rPr>
      </w:pPr>
      <w:r>
        <w:rPr>
          <w:rFonts w:ascii="宋体" w:hAnsi="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9"/>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919"/>
        <w:ind w:firstLine="42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919"/>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919"/>
        <w:ind w:left="315" w:firstLine="105"/>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w:t>
      </w:r>
      <w:r/>
    </w:p>
    <w:p>
      <w:pPr>
        <w:pStyle w:val="919"/>
        <w:ind w:firstLine="0"/>
        <w:rPr>
          <w:rFonts w:ascii="宋体" w:hAnsi="宋体"/>
          <w:color w:val="auto"/>
          <w:sz w:val="21"/>
          <w:szCs w:val="21"/>
          <w:highlight w:val="none"/>
        </w:rPr>
      </w:pPr>
      <w:r>
        <w:rPr>
          <w:rFonts w:ascii="宋体" w:hAnsi="宋体"/>
          <w:color w:val="auto"/>
          <w:sz w:val="21"/>
          <w:szCs w:val="21"/>
          <w:highlight w:val="none"/>
        </w:rPr>
        <w:t xml:space="preserve">后的价格参与评审。</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w:t>
      </w:r>
      <w:r/>
    </w:p>
    <w:p>
      <w:pPr>
        <w:pStyle w:val="919"/>
        <w:ind w:left="420" w:hanging="420"/>
        <w:rPr>
          <w:rFonts w:ascii="宋体" w:hAnsi="宋体"/>
          <w:color w:val="auto"/>
          <w:sz w:val="21"/>
          <w:szCs w:val="21"/>
          <w:highlight w:val="none"/>
        </w:rPr>
      </w:pPr>
      <w:r>
        <w:rPr>
          <w:rFonts w:ascii="宋体" w:hAnsi="宋体"/>
          <w:color w:val="auto"/>
          <w:sz w:val="21"/>
          <w:szCs w:val="21"/>
          <w:highlight w:val="none"/>
        </w:rPr>
        <w:t xml:space="preserve">〔2017〕141号）。</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w:t>
      </w:r>
      <w:r/>
    </w:p>
    <w:p>
      <w:pPr>
        <w:pStyle w:val="919"/>
        <w:ind w:firstLine="0"/>
        <w:rPr>
          <w:rFonts w:ascii="宋体" w:hAnsi="宋体"/>
          <w:color w:val="auto"/>
          <w:sz w:val="21"/>
          <w:szCs w:val="21"/>
          <w:highlight w:val="none"/>
        </w:rPr>
      </w:pPr>
      <w:r>
        <w:rPr>
          <w:rFonts w:ascii="宋体" w:hAnsi="宋体"/>
          <w:color w:val="auto"/>
          <w:sz w:val="21"/>
          <w:szCs w:val="21"/>
          <w:highlight w:val="none"/>
        </w:rPr>
        <w:t xml:space="preserve">格扣除，用扣除后的价格参与评审。</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w:t>
      </w:r>
      <w:r/>
    </w:p>
    <w:p>
      <w:pPr>
        <w:pStyle w:val="919"/>
        <w:ind w:left="420" w:hanging="420"/>
        <w:rPr>
          <w:rFonts w:ascii="宋体" w:hAnsi="宋体"/>
          <w:color w:val="auto"/>
          <w:sz w:val="21"/>
          <w:szCs w:val="21"/>
          <w:highlight w:val="none"/>
        </w:rPr>
      </w:pPr>
      <w:r>
        <w:rPr>
          <w:rFonts w:ascii="宋体" w:hAnsi="宋体"/>
          <w:color w:val="auto"/>
          <w:sz w:val="21"/>
          <w:szCs w:val="21"/>
          <w:highlight w:val="none"/>
        </w:rPr>
        <w:t xml:space="preserve">疆生产建设兵团)出具的属于监狱企业的证明文件。供应商如不提供上述证明文件，价格将</w:t>
      </w:r>
      <w:r/>
    </w:p>
    <w:p>
      <w:pPr>
        <w:pStyle w:val="919"/>
        <w:ind w:left="420" w:hanging="420"/>
        <w:rPr>
          <w:rFonts w:ascii="宋体" w:hAnsi="宋体"/>
          <w:color w:val="auto"/>
          <w:sz w:val="21"/>
          <w:szCs w:val="21"/>
          <w:highlight w:val="none"/>
        </w:rPr>
      </w:pPr>
      <w:r>
        <w:rPr>
          <w:rFonts w:ascii="宋体" w:hAnsi="宋体"/>
          <w:color w:val="auto"/>
          <w:sz w:val="21"/>
          <w:szCs w:val="21"/>
          <w:highlight w:val="none"/>
        </w:rPr>
        <w:t xml:space="preserve">不做相应扣除。</w:t>
      </w:r>
      <w:r/>
    </w:p>
    <w:p>
      <w:pPr>
        <w:pStyle w:val="919"/>
        <w:ind w:left="420" w:firstLine="210"/>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919"/>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w:t>
      </w:r>
      <w:r/>
    </w:p>
    <w:p>
      <w:pPr>
        <w:pStyle w:val="919"/>
        <w:ind w:left="420" w:hanging="420"/>
        <w:rPr>
          <w:rFonts w:ascii="宋体" w:hAnsi="宋体"/>
          <w:color w:val="auto"/>
          <w:sz w:val="21"/>
          <w:szCs w:val="21"/>
          <w:highlight w:val="none"/>
        </w:rPr>
      </w:pPr>
      <w:r>
        <w:rPr>
          <w:rFonts w:ascii="宋体" w:hAnsi="宋体"/>
          <w:color w:val="auto"/>
          <w:sz w:val="21"/>
          <w:szCs w:val="21"/>
          <w:highlight w:val="none"/>
        </w:rPr>
        <w:t xml:space="preserve">位、监狱企业）组成联合体共同参加政府采购活动。联合协议中约定，小型、微型企业（残</w:t>
      </w:r>
      <w:r/>
    </w:p>
    <w:p>
      <w:pPr>
        <w:pStyle w:val="919"/>
        <w:ind w:left="420" w:hanging="420"/>
        <w:rPr>
          <w:rFonts w:ascii="宋体" w:hAnsi="宋体"/>
          <w:color w:val="auto"/>
          <w:sz w:val="21"/>
          <w:szCs w:val="21"/>
          <w:highlight w:val="none"/>
        </w:rPr>
      </w:pPr>
      <w:r>
        <w:rPr>
          <w:rFonts w:ascii="宋体" w:hAnsi="宋体"/>
          <w:color w:val="auto"/>
          <w:sz w:val="21"/>
          <w:szCs w:val="21"/>
          <w:highlight w:val="none"/>
        </w:rPr>
        <w:t xml:space="preserve">疾人福利单位、监狱企业）的协议合同金额占到联合体协议合同总金额30%以上的，给予联</w:t>
      </w:r>
      <w:r/>
    </w:p>
    <w:p>
      <w:pPr>
        <w:pStyle w:val="919"/>
        <w:ind w:left="420" w:hanging="420"/>
        <w:rPr>
          <w:rFonts w:ascii="宋体" w:hAnsi="宋体"/>
          <w:color w:val="auto"/>
          <w:sz w:val="21"/>
          <w:szCs w:val="21"/>
          <w:highlight w:val="none"/>
        </w:rPr>
      </w:pPr>
      <w:r>
        <w:rPr>
          <w:rFonts w:ascii="宋体" w:hAnsi="宋体"/>
          <w:color w:val="auto"/>
          <w:sz w:val="21"/>
          <w:szCs w:val="21"/>
          <w:highlight w:val="none"/>
        </w:rPr>
        <w:t xml:space="preserve">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919"/>
        <w:ind w:left="420" w:firstLine="0"/>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w:t>
      </w:r>
      <w:r/>
    </w:p>
    <w:p>
      <w:pPr>
        <w:pStyle w:val="919"/>
        <w:ind w:left="420" w:hanging="420"/>
        <w:rPr>
          <w:rFonts w:ascii="宋体" w:hAnsi="宋体"/>
          <w:color w:val="auto"/>
          <w:sz w:val="21"/>
          <w:szCs w:val="21"/>
          <w:highlight w:val="none"/>
        </w:rPr>
      </w:pPr>
      <w:r>
        <w:rPr>
          <w:rFonts w:ascii="宋体" w:hAnsi="宋体"/>
          <w:color w:val="auto"/>
          <w:sz w:val="21"/>
          <w:szCs w:val="21"/>
          <w:highlight w:val="none"/>
        </w:rPr>
        <w:t xml:space="preserve">价格扣除，用扣除后的价格参与评审。</w:t>
      </w:r>
      <w:r/>
    </w:p>
    <w:p>
      <w:pPr>
        <w:pStyle w:val="919"/>
        <w:ind w:firstLine="42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19"/>
        <w:ind w:firstLine="422"/>
        <w:rPr>
          <w:rFonts w:ascii="宋体" w:hAnsi="宋体"/>
          <w:b/>
          <w:color w:val="auto"/>
          <w:sz w:val="21"/>
          <w:szCs w:val="21"/>
          <w:highlight w:val="none"/>
        </w:rPr>
        <w:outlineLvl w:val="1"/>
      </w:pPr>
      <w:r>
        <w:rPr>
          <w:rFonts w:hint="eastAsia" w:ascii="宋体" w:hAnsi="宋体"/>
          <w:b/>
          <w:color w:val="auto"/>
          <w:sz w:val="21"/>
          <w:szCs w:val="21"/>
          <w:highlight w:val="none"/>
        </w:rPr>
        <w:t xml:space="preserve">三、评标标准</w:t>
      </w:r>
      <w:r/>
    </w:p>
    <w:tbl>
      <w:tblPr>
        <w:tblStyle w:val="891"/>
        <w:tblW w:w="1003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573"/>
        <w:gridCol w:w="8460"/>
      </w:tblGrid>
      <w:tr>
        <w:trPr>
          <w:jc w:val="center"/>
          <w:trHeight w:val="1"/>
        </w:trPr>
        <w:tc>
          <w:tcPr>
            <w:shd w:val="clear" w:color="000000" w:fill="ffffff"/>
            <w:tcW w:w="157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b/>
                <w:color w:val="auto"/>
                <w:szCs w:val="21"/>
                <w:highlight w:val="none"/>
                <w:lang w:val="zh-CN"/>
              </w:rPr>
              <w:t xml:space="preserve">项目</w:t>
            </w:r>
            <w:r/>
          </w:p>
        </w:tc>
        <w:tc>
          <w:tcPr>
            <w:shd w:val="clear" w:color="000000" w:fill="ffffff"/>
            <w:tcW w:w="846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b/>
                <w:color w:val="auto"/>
                <w:szCs w:val="21"/>
                <w:highlight w:val="none"/>
                <w:lang w:val="zh-CN"/>
              </w:rPr>
              <w:t xml:space="preserve">评分标准</w:t>
            </w:r>
            <w:r/>
          </w:p>
        </w:tc>
      </w:tr>
      <w:tr>
        <w:trPr>
          <w:jc w:val="center"/>
          <w:trHeight w:val="1"/>
        </w:trPr>
        <w:tc>
          <w:tcPr>
            <w:shd w:val="clear" w:color="000000" w:fill="ffffff"/>
            <w:tcW w:w="157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（40分）</w:t>
            </w:r>
            <w:r/>
          </w:p>
        </w:tc>
        <w:tc>
          <w:tcPr>
            <w:shd w:val="clear" w:color="000000" w:fill="ffffff"/>
            <w:tcW w:w="8460" w:type="dxa"/>
            <w:vAlign w:val="center"/>
            <w:textDirection w:val="lrTb"/>
            <w:noWrap w:val="false"/>
          </w:tcPr>
          <w:p>
            <w:pPr>
              <w:jc w:val="left"/>
              <w:spacing w:line="440" w:lineRule="exact"/>
              <w:widowControl/>
              <w:rPr>
                <w:rStyle w:val="926"/>
                <w:rFonts w:ascii="宋体" w:hAnsi="宋体" w:cs="宋体"/>
                <w:color w:val="auto"/>
                <w:szCs w:val="21"/>
                <w:highlight w:val="none"/>
              </w:rPr>
            </w:pPr>
            <w:r>
              <w:rPr>
                <w:rStyle w:val="926"/>
                <w:rFonts w:hint="eastAsia" w:ascii="宋体" w:hAnsi="宋体" w:cs="宋体"/>
                <w:color w:val="auto"/>
                <w:szCs w:val="21"/>
                <w:highlight w:val="none"/>
              </w:rPr>
              <w:t xml:space="preserve">采用低价优先法计算，以满足招标文件要求且最低的投标报价为评标基准价，其价格为满分40分。其他投标人的价格分统一按照下列公式计算：报价得分＝（评标基准价/投标报价）×40×100%。（保留两位小数）</w:t>
            </w:r>
            <w:r/>
          </w:p>
          <w:p>
            <w:pPr>
              <w:spacing w:line="440" w:lineRule="exact"/>
              <w:rPr>
                <w:rFonts w:ascii="宋体" w:hAnsi="宋体" w:cs="宋体"/>
                <w:color w:val="auto"/>
                <w:szCs w:val="21"/>
                <w:highlight w:val="none"/>
              </w:rPr>
            </w:pPr>
            <w:r>
              <w:rPr>
                <w:rStyle w:val="926"/>
                <w:rFonts w:hint="eastAsia" w:ascii="宋体" w:hAnsi="宋体" w:cs="宋体"/>
                <w:color w:val="auto"/>
                <w:szCs w:val="21"/>
                <w:highlight w:val="none"/>
              </w:rPr>
              <w:t xml:space="preserve">注：评标委员会认为投标人的报价明显低于其他通过符合性审查投标人的报价，有可能影响产品质量或者不能诚信履约的，且投标人不能在评标现场合理的时间内证明其报价合理性的，评标委员会有权将其作为无效投标处理。</w:t>
            </w:r>
            <w:r/>
          </w:p>
        </w:tc>
      </w:tr>
      <w:tr>
        <w:trPr>
          <w:jc w:val="center"/>
          <w:trHeight w:val="1"/>
        </w:trPr>
        <w:tc>
          <w:tcPr>
            <w:shd w:val="clear" w:color="000000" w:fill="ffffff"/>
            <w:tcW w:w="157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性能与质量</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30</w:t>
            </w:r>
            <w:r>
              <w:rPr>
                <w:rFonts w:hint="eastAsia" w:ascii="宋体" w:hAnsi="宋体" w:cs="宋体"/>
                <w:color w:val="auto"/>
                <w:szCs w:val="21"/>
                <w:highlight w:val="none"/>
                <w:lang w:val="zh-CN"/>
              </w:rPr>
              <w:t xml:space="preserve">分）</w:t>
            </w:r>
            <w:r/>
          </w:p>
        </w:tc>
        <w:tc>
          <w:tcPr>
            <w:shd w:val="clear" w:color="000000" w:fill="ffffff"/>
            <w:tcW w:w="8460" w:type="dxa"/>
            <w:vAlign w:val="center"/>
            <w:textDirection w:val="lrTb"/>
            <w:noWrap w:val="false"/>
          </w:tcPr>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投标人所投产品</w:t>
            </w:r>
            <w:r>
              <w:rPr>
                <w:rFonts w:hint="eastAsia" w:ascii="宋体" w:hAnsi="宋体" w:cs="宋体"/>
                <w:color w:val="auto"/>
                <w:szCs w:val="21"/>
                <w:highlight w:val="none"/>
                <w:lang w:val="zh-CN"/>
              </w:rPr>
              <w:t xml:space="preserve">全部符合招标</w:t>
            </w:r>
            <w:r>
              <w:rPr>
                <w:rFonts w:hint="eastAsia" w:ascii="宋体" w:hAnsi="宋体" w:cs="宋体"/>
                <w:color w:val="auto"/>
                <w:szCs w:val="21"/>
                <w:highlight w:val="none"/>
              </w:rPr>
              <w:t xml:space="preserve">文件第四章项目需求中的产品规格</w:t>
            </w:r>
            <w:r>
              <w:rPr>
                <w:rFonts w:hint="eastAsia" w:ascii="宋体" w:hAnsi="宋体" w:cs="宋体"/>
                <w:color w:val="auto"/>
                <w:szCs w:val="21"/>
                <w:highlight w:val="none"/>
                <w:lang w:val="zh-CN"/>
              </w:rPr>
              <w:t xml:space="preserve">要求的得</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分；不符合招标项目的技术要求不得分；</w:t>
            </w:r>
            <w:r/>
          </w:p>
          <w:p>
            <w:pPr>
              <w:spacing w:line="440" w:lineRule="exact"/>
              <w:rPr>
                <w:rFonts w:ascii="宋体" w:hAnsi="宋体" w:cs="宋体"/>
                <w:b/>
                <w:color w:val="auto"/>
                <w:szCs w:val="21"/>
                <w:highlight w:val="none"/>
              </w:rPr>
            </w:pPr>
            <w:r>
              <w:rPr>
                <w:rFonts w:hint="eastAsia" w:ascii="宋体" w:hAnsi="宋体" w:cs="宋体"/>
                <w:color w:val="auto"/>
                <w:szCs w:val="21"/>
                <w:highlight w:val="none"/>
              </w:rPr>
              <w:t xml:space="preserve">2、投标人所投产品已经在我国权威临床单位验证具有有效性和安全性的得10分；没有验证不得分；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3、投标人所投产品符合各项国家质量标准和行业标准、获得国家相关专利得5分，不符合不得分；</w:t>
            </w:r>
            <w:r/>
          </w:p>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4、投标人所投产品获得权威专著推荐的得3分，投标人所投产品在核心期刊文章发表过的得2分，二者皆有5分，没有不得分；</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注：提供相关有效证明材料复印件加盖投标人公章，原件备查，无原件不得分，若发现有提供虚假的证明材料或虚假应答技术偏离表的，视为无效投标，并追究相关责任。</w:t>
            </w:r>
            <w:r/>
          </w:p>
        </w:tc>
      </w:tr>
      <w:tr>
        <w:trPr>
          <w:jc w:val="center"/>
          <w:trHeight w:val="1"/>
        </w:trPr>
        <w:tc>
          <w:tcPr>
            <w:shd w:val="clear" w:color="000000" w:fill="ffffff"/>
            <w:tcW w:w="157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质量保证措施</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（9分）</w:t>
            </w:r>
            <w:r/>
          </w:p>
        </w:tc>
        <w:tc>
          <w:tcPr>
            <w:shd w:val="clear" w:color="000000" w:fill="ffffff"/>
            <w:tcW w:w="8460" w:type="dxa"/>
            <w:vAlign w:val="center"/>
            <w:textDirection w:val="lrTb"/>
            <w:noWrap w:val="false"/>
          </w:tcPr>
          <w:p>
            <w:pPr>
              <w:jc w:val="left"/>
              <w:spacing w:line="440" w:lineRule="exact"/>
              <w:widowControl/>
              <w:rPr>
                <w:rStyle w:val="926"/>
                <w:rFonts w:ascii="宋体" w:hAnsi="宋体" w:cs="宋体"/>
                <w:color w:val="auto"/>
                <w:szCs w:val="21"/>
                <w:highlight w:val="none"/>
              </w:rPr>
            </w:pPr>
            <w:r>
              <w:rPr>
                <w:rStyle w:val="926"/>
                <w:rFonts w:hint="eastAsia" w:ascii="宋体" w:hAnsi="宋体" w:cs="宋体"/>
                <w:color w:val="auto"/>
                <w:szCs w:val="21"/>
                <w:highlight w:val="none"/>
              </w:rPr>
              <w:t xml:space="preserve">（1）选用的主要食品原料：根据投标人选用的主要食品原料酌情打分，食品原料完全响应需求，安全可靠的得3分；食品原料基本响应需求，基本安全可靠的得2分；食品原料响应度低、安全性较低1分；没有不得分。</w:t>
            </w:r>
            <w:r/>
          </w:p>
          <w:p>
            <w:pPr>
              <w:jc w:val="left"/>
              <w:spacing w:line="440" w:lineRule="exact"/>
              <w:widowControl/>
              <w:rPr>
                <w:rStyle w:val="926"/>
                <w:rFonts w:ascii="宋体" w:hAnsi="宋体" w:cs="宋体"/>
                <w:color w:val="auto"/>
                <w:szCs w:val="21"/>
                <w:highlight w:val="none"/>
              </w:rPr>
            </w:pPr>
            <w:r>
              <w:rPr>
                <w:rStyle w:val="926"/>
                <w:rFonts w:hint="eastAsia" w:ascii="宋体" w:hAnsi="宋体" w:cs="宋体"/>
                <w:color w:val="auto"/>
                <w:szCs w:val="21"/>
                <w:highlight w:val="none"/>
              </w:rPr>
              <w:t xml:space="preserve">（2）产品的制作工艺说明：根据投标人的产品的制作工艺说明酌情打分，说明细致全面、合理，完全响应需求，技术可行性强得3分；说明较为完整，基本响应需求得2分；说明不完整、响应度低、技术可行性较低1分；没有不得分。</w:t>
            </w:r>
            <w:r/>
          </w:p>
          <w:p>
            <w:pPr>
              <w:jc w:val="left"/>
              <w:spacing w:line="440" w:lineRule="exact"/>
              <w:widowControl/>
              <w:rPr>
                <w:rFonts w:ascii="宋体" w:hAnsi="宋体" w:cs="宋体"/>
                <w:b/>
                <w:bCs/>
                <w:color w:val="auto"/>
                <w:szCs w:val="21"/>
                <w:highlight w:val="none"/>
              </w:rPr>
            </w:pPr>
            <w:r>
              <w:rPr>
                <w:rStyle w:val="926"/>
                <w:rFonts w:hint="eastAsia" w:ascii="宋体" w:hAnsi="宋体" w:cs="宋体"/>
                <w:color w:val="auto"/>
                <w:szCs w:val="21"/>
                <w:highlight w:val="none"/>
              </w:rPr>
              <w:t xml:space="preserve">（3）卫生及质量保证措施：根据投标人提供的卫生及质量保证措施的完整性、合理性、可行性等方面进行综合评比，质量保障方案完善、合理，能确保项目顺利建设的得3分；较合理，基本能保证项目质量的得2分；不太合理，不能满足基本要求的得1分；没有不得分。</w:t>
            </w:r>
            <w:r/>
          </w:p>
        </w:tc>
      </w:tr>
      <w:tr>
        <w:trPr>
          <w:jc w:val="center"/>
          <w:trHeight w:val="1"/>
        </w:trPr>
        <w:tc>
          <w:tcPr>
            <w:shd w:val="clear" w:color="auto" w:fill="auto"/>
            <w:tcW w:w="157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售后服务</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（6分）</w:t>
            </w:r>
            <w:r/>
          </w:p>
        </w:tc>
        <w:tc>
          <w:tcPr>
            <w:shd w:val="clear" w:color="auto" w:fill="auto"/>
            <w:tcW w:w="8460" w:type="dxa"/>
            <w:vAlign w:val="center"/>
            <w:textDirection w:val="lrTb"/>
            <w:noWrap w:val="false"/>
          </w:tcPr>
          <w:p>
            <w:pPr>
              <w:numPr>
                <w:ilvl w:val="0"/>
                <w:numId w:val="3"/>
              </w:num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投标人承诺接到采购单位订货通知后最快供货的得2分，其余递减1分，但不得超过5天（含），提供承诺函原件（格式自拟）加盖投标人公章，无承诺或承诺不符合要求不得分。</w:t>
            </w:r>
            <w:r/>
          </w:p>
          <w:p>
            <w:pPr>
              <w:numPr>
                <w:ilvl w:val="0"/>
                <w:numId w:val="3"/>
              </w:numPr>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投标人承诺若产品出现问题须24小时内解决得2分，提供承诺函原件（格式自拟）加盖投标人公章，无承诺或承诺不符合要求不得分；</w:t>
            </w:r>
            <w:r/>
          </w:p>
          <w:p>
            <w:pPr>
              <w:numPr>
                <w:ilvl w:val="0"/>
                <w:numId w:val="3"/>
              </w:numPr>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投标人提供招标文件要求范围以外，采购人认可的具体的、实在的优惠措施，有一项得1分，最高得2分。</w:t>
            </w:r>
            <w:r/>
          </w:p>
        </w:tc>
      </w:tr>
      <w:tr>
        <w:trPr>
          <w:jc w:val="center"/>
          <w:trHeight w:val="1"/>
        </w:trPr>
        <w:tc>
          <w:tcPr>
            <w:shd w:val="clear" w:color="auto" w:fill="auto"/>
            <w:tcW w:w="157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企业实力</w:t>
            </w:r>
            <w:r/>
          </w:p>
          <w:p>
            <w:pPr>
              <w:jc w:val="center"/>
              <w:spacing w:line="440" w:lineRule="exact"/>
              <w:rPr>
                <w:color w:val="auto"/>
                <w:highlight w:val="none"/>
              </w:rPr>
            </w:pPr>
            <w:r>
              <w:rPr>
                <w:rFonts w:hint="eastAsia" w:ascii="宋体" w:hAnsi="宋体" w:cs="宋体"/>
                <w:color w:val="auto"/>
                <w:szCs w:val="21"/>
                <w:highlight w:val="none"/>
              </w:rPr>
              <w:t xml:space="preserve">（5分）</w:t>
            </w:r>
            <w:r/>
          </w:p>
        </w:tc>
        <w:tc>
          <w:tcPr>
            <w:shd w:val="clear" w:color="auto" w:fill="auto"/>
            <w:tcW w:w="8460" w:type="dxa"/>
            <w:vAlign w:val="center"/>
            <w:textDirection w:val="lrTb"/>
            <w:noWrap w:val="false"/>
          </w:tcPr>
          <w:p>
            <w:pPr>
              <w:numPr>
                <w:ilvl w:val="0"/>
                <w:numId w:val="4"/>
              </w:num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投标人获得过本行业行政主管部门颁发的的各种荣誉证书，有1个得1分，最高4分；</w:t>
            </w:r>
            <w:r/>
          </w:p>
          <w:p>
            <w:pPr>
              <w:numPr>
                <w:ilvl w:val="0"/>
                <w:numId w:val="4"/>
              </w:num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投标人经营近一年无食品安全事故得1分（提供相关第三方出具的证明材料原件扫描上传）；</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注：以上均需提供有效证书等证明材料复印件并加盖投标人公章，原件备查，无原件不得分。</w:t>
            </w:r>
            <w:r/>
          </w:p>
        </w:tc>
      </w:tr>
      <w:tr>
        <w:trPr>
          <w:jc w:val="center"/>
          <w:trHeight w:val="1"/>
        </w:trPr>
        <w:tc>
          <w:tcPr>
            <w:shd w:val="clear" w:color="000000" w:fill="ffffff"/>
            <w:tcW w:w="1573" w:type="dxa"/>
            <w:vAlign w:val="center"/>
            <w:textDirection w:val="lrTb"/>
            <w:noWrap w:val="false"/>
          </w:tcPr>
          <w:p>
            <w:pPr>
              <w:jc w:val="cente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业绩</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分）</w:t>
            </w:r>
            <w:r/>
          </w:p>
        </w:tc>
        <w:tc>
          <w:tcPr>
            <w:shd w:val="clear" w:color="000000" w:fill="ffffff"/>
            <w:tcW w:w="846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投标人提供从</w:t>
            </w:r>
            <w:r>
              <w:rPr>
                <w:rFonts w:hint="eastAsia" w:ascii="宋体" w:hAnsi="宋体" w:cs="宋体"/>
                <w:color w:val="auto"/>
                <w:szCs w:val="21"/>
                <w:highlight w:val="none"/>
              </w:rPr>
              <w:t xml:space="preserve">2022</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月1日至今类似项目的业绩证明，时间以合同签订时间为准，每提供</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份项目合同得</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分，满分</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分。（须提供合同</w:t>
            </w:r>
            <w:r>
              <w:rPr>
                <w:rFonts w:hint="eastAsia" w:ascii="宋体" w:hAnsi="宋体" w:cs="宋体"/>
                <w:color w:val="auto"/>
                <w:szCs w:val="21"/>
                <w:highlight w:val="none"/>
              </w:rPr>
              <w:t xml:space="preserve">复印件并加盖投标人公章</w:t>
            </w:r>
            <w:r>
              <w:rPr>
                <w:rFonts w:hint="eastAsia" w:ascii="宋体" w:hAnsi="宋体" w:cs="宋体"/>
                <w:b/>
                <w:bCs/>
                <w:color w:val="auto"/>
                <w:szCs w:val="21"/>
                <w:highlight w:val="none"/>
              </w:rPr>
              <w:t xml:space="preserve">，原件备查，无原件不得分。</w:t>
            </w:r>
            <w:r>
              <w:rPr>
                <w:rFonts w:hint="eastAsia" w:ascii="宋体" w:hAnsi="宋体" w:cs="宋体"/>
                <w:color w:val="auto"/>
                <w:szCs w:val="21"/>
                <w:highlight w:val="none"/>
                <w:lang w:val="zh-CN"/>
              </w:rPr>
              <w:t xml:space="preserve">）</w:t>
            </w:r>
            <w:r/>
          </w:p>
        </w:tc>
      </w:tr>
    </w:tbl>
    <w:p>
      <w:pPr>
        <w:rPr>
          <w:rFonts w:ascii="宋体" w:hAnsi="宋体"/>
          <w:color w:val="auto"/>
          <w:highlight w:val="none"/>
        </w:rPr>
      </w:pPr>
      <w:r>
        <w:rPr>
          <w:rFonts w:ascii="宋体" w:hAnsi="宋体"/>
          <w:color w:val="auto"/>
          <w:highlight w:val="none"/>
        </w:rPr>
      </w:r>
      <w:r/>
    </w:p>
    <w:p>
      <w:pPr>
        <w:pStyle w:val="886"/>
        <w:jc w:val="center"/>
        <w:spacing w:line="360" w:lineRule="auto"/>
        <w:rPr>
          <w:rFonts w:ascii="宋体" w:hAnsi="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highlight w:val="none"/>
        </w:rPr>
      </w:r>
      <w:r/>
    </w:p>
    <w:p>
      <w:pPr>
        <w:pStyle w:val="886"/>
        <w:jc w:val="center"/>
        <w:spacing w:line="360" w:lineRule="auto"/>
        <w:rPr>
          <w:rFonts w:ascii="宋体" w:hAnsi="宋体"/>
          <w:color w:val="auto"/>
          <w:highlight w:val="none"/>
        </w:rPr>
      </w:pPr>
      <w:r>
        <w:rPr>
          <w:rFonts w:ascii="宋体" w:hAnsi="宋体"/>
          <w:color w:val="auto"/>
          <w:highlight w:val="none"/>
        </w:rPr>
      </w:r>
      <w:r/>
    </w:p>
    <w:p>
      <w:pPr>
        <w:pStyle w:val="886"/>
        <w:jc w:val="center"/>
        <w:spacing w:line="360" w:lineRule="auto"/>
        <w:rPr>
          <w:rFonts w:ascii="宋体" w:hAnsi="宋体"/>
          <w:color w:val="auto"/>
          <w:highlight w:val="none"/>
        </w:rPr>
      </w:pPr>
      <w:r>
        <w:rPr>
          <w:rFonts w:hint="eastAsia" w:ascii="宋体" w:hAnsi="宋体"/>
          <w:color w:val="auto"/>
          <w:highlight w:val="none"/>
        </w:rPr>
        <w:t xml:space="preserve">第六章 投标文件格式</w:t>
      </w:r>
      <w:r/>
    </w:p>
    <w:p>
      <w:pPr>
        <w:spacing w:line="360" w:lineRule="auto"/>
        <w:rPr>
          <w:rFonts w:ascii="宋体" w:hAnsi="宋体"/>
          <w:bCs/>
          <w:color w:val="auto"/>
          <w:sz w:val="44"/>
          <w:highlight w:val="none"/>
        </w:rPr>
      </w:pPr>
      <w:r>
        <w:rPr>
          <w:rFonts w:ascii="宋体" w:hAnsi="宋体"/>
          <w:bCs/>
          <w:color w:val="auto"/>
          <w:sz w:val="44"/>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left"/>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人：（公章）</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ascii="宋体" w:hAnsi="宋体"/>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887"/>
        <w:jc w:val="center"/>
        <w:spacing w:line="360" w:lineRule="auto"/>
        <w:rPr>
          <w:rFonts w:ascii="宋体" w:hAnsi="宋体" w:eastAsia="宋体"/>
          <w:b w:val="0"/>
          <w:color w:val="auto"/>
          <w:sz w:val="32"/>
          <w:szCs w:val="32"/>
          <w:highlight w:val="none"/>
        </w:rPr>
      </w:pPr>
      <w:r>
        <w:rPr>
          <w:rFonts w:hint="eastAsia" w:ascii="宋体" w:hAnsi="宋体" w:eastAsia="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89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544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是否响应</w:t>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440" w:lineRule="exact"/>
              <w:rPr>
                <w:rFonts w:ascii="宋体" w:hAnsi="宋体"/>
                <w:iCs/>
                <w:color w:val="auto"/>
                <w:szCs w:val="21"/>
                <w:highlight w:val="none"/>
              </w:rPr>
            </w:pPr>
            <w:r>
              <w:rPr>
                <w:rFonts w:hint="eastAsia" w:ascii="宋体" w:hAnsi="宋体" w:cs="宋体"/>
                <w:color w:val="auto"/>
                <w:szCs w:val="21"/>
                <w:highlight w:val="none"/>
              </w:rPr>
              <w:t xml:space="preserve">依法缴纳税收和社会保障资金的相关材料</w:t>
            </w:r>
            <w:r>
              <w:rPr>
                <w:rFonts w:hint="eastAsia" w:ascii="宋体" w:hAnsi="宋体" w:cs="宋体"/>
                <w:b/>
                <w:bCs/>
                <w:color w:val="auto"/>
                <w:szCs w:val="21"/>
                <w:highlight w:val="non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7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838"/>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olor w:val="auto"/>
                <w:highlight w:val="none"/>
              </w:rPr>
            </w:pPr>
            <w:r>
              <w:rPr>
                <w:rFonts w:hint="eastAsia" w:ascii="宋体" w:hAnsi="宋体" w:cs="宋体"/>
                <w:color w:val="auto"/>
                <w:szCs w:val="21"/>
                <w:highlight w:val="none"/>
              </w:rPr>
              <w:t xml:space="preserve">本项目专门面向中小企业采购，供应商须提供《中小企业声明函》。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ind w:firstLine="1476"/>
        <w:spacing w:line="360" w:lineRule="auto"/>
        <w:rPr>
          <w:rFonts w:ascii="宋体" w:hAnsi="宋体"/>
          <w:b/>
          <w:bCs/>
          <w:color w:val="auto"/>
          <w:highlight w:val="none"/>
        </w:rPr>
      </w:pPr>
      <w:r>
        <w:rPr>
          <w:rFonts w:ascii="宋体" w:hAnsi="宋体"/>
          <w:b/>
          <w:bCs/>
          <w:color w:val="auto"/>
          <w:highlight w:val="none"/>
        </w:rPr>
      </w:r>
      <w:r/>
    </w:p>
    <w:p>
      <w:pPr>
        <w:ind w:firstLine="1476"/>
        <w:spacing w:line="360" w:lineRule="auto"/>
        <w:rPr>
          <w:rFonts w:ascii="宋体" w:hAnsi="宋体"/>
          <w:b/>
          <w:bCs/>
          <w:color w:val="auto"/>
          <w:highlight w:val="none"/>
        </w:rPr>
      </w:pPr>
      <w:r>
        <w:rPr>
          <w:rFonts w:ascii="宋体" w:hAnsi="宋体"/>
          <w:b/>
          <w:bCs/>
          <w:color w:val="auto"/>
          <w:highlight w:val="none"/>
        </w:rPr>
      </w:r>
      <w:r/>
    </w:p>
    <w:p>
      <w:pPr>
        <w:ind w:firstLine="1476"/>
        <w:spacing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p>
    <w:p>
      <w:pPr>
        <w:pStyle w:val="902"/>
        <w:rPr>
          <w:rFonts w:ascii="宋体" w:hAnsi="宋体" w:eastAsia="宋体"/>
          <w:bCs/>
          <w:color w:val="auto"/>
          <w:szCs w:val="21"/>
          <w:highlight w:val="none"/>
        </w:rPr>
      </w:pPr>
      <w:r>
        <w:rPr>
          <w:rFonts w:ascii="宋体" w:hAnsi="宋体" w:eastAsia="宋体"/>
          <w:bCs/>
          <w:color w:val="auto"/>
          <w:szCs w:val="21"/>
          <w:highlight w:val="none"/>
        </w:rPr>
      </w:r>
      <w:r/>
    </w:p>
    <w:p>
      <w:pPr>
        <w:pStyle w:val="902"/>
        <w:rPr>
          <w:rFonts w:ascii="宋体" w:hAnsi="宋体" w:eastAsia="宋体"/>
          <w:bCs/>
          <w:color w:val="auto"/>
          <w:szCs w:val="21"/>
          <w:highlight w:val="none"/>
        </w:rPr>
      </w:pPr>
      <w:r>
        <w:rPr>
          <w:rFonts w:ascii="宋体" w:hAnsi="宋体" w:eastAsia="宋体"/>
          <w:bCs/>
          <w:color w:val="auto"/>
          <w:szCs w:val="21"/>
          <w:highlight w:val="none"/>
        </w:rPr>
      </w:r>
      <w:r/>
    </w:p>
    <w:p>
      <w:pPr>
        <w:pStyle w:val="902"/>
        <w:rPr>
          <w:rFonts w:ascii="宋体" w:hAnsi="宋体" w:eastAsia="宋体"/>
          <w:bCs/>
          <w:color w:val="auto"/>
          <w:szCs w:val="21"/>
          <w:highlight w:val="none"/>
        </w:rPr>
      </w:pPr>
      <w:r>
        <w:rPr>
          <w:rFonts w:ascii="宋体" w:hAnsi="宋体" w:eastAsia="宋体"/>
          <w:bCs/>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t xml:space="preserve">供应商名称（公章）：</w:t>
      </w:r>
      <w:r/>
    </w:p>
    <w:p>
      <w:pPr>
        <w:spacing w:line="360" w:lineRule="auto"/>
        <w:rPr>
          <w:rFonts w:ascii="宋体" w:hAnsi="宋体"/>
          <w:bCs/>
          <w:color w:val="auto"/>
          <w:szCs w:val="21"/>
          <w:highlight w:val="none"/>
        </w:rPr>
      </w:pPr>
      <w:r>
        <w:rPr>
          <w:rFonts w:ascii="宋体" w:hAnsi="宋体"/>
          <w:bCs/>
          <w:color w:val="auto"/>
          <w:szCs w:val="21"/>
          <w:highlight w:val="none"/>
        </w:rPr>
        <w:t xml:space="preserve">法定代表人或授权代表签字：</w:t>
      </w:r>
      <w:r>
        <w:rPr>
          <w:rFonts w:ascii="宋体" w:hAnsi="宋体"/>
          <w:bCs/>
          <w:color w:val="auto"/>
          <w:szCs w:val="21"/>
          <w:highlight w:val="none"/>
          <w:u w:val="single"/>
        </w:rPr>
        <w:t xml:space="preserve">_______________________</w:t>
      </w:r>
      <w:r/>
    </w:p>
    <w:p>
      <w:pPr>
        <w:spacing w:line="360" w:lineRule="auto"/>
        <w:rPr>
          <w:rFonts w:ascii="宋体" w:hAnsi="宋体"/>
          <w:bCs/>
          <w:color w:val="auto"/>
          <w:szCs w:val="21"/>
          <w:highlight w:val="none"/>
        </w:rPr>
      </w:pPr>
      <w:r>
        <w:rPr>
          <w:rFonts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ascii="宋体" w:hAnsi="宋体"/>
          <w:bCs/>
          <w:color w:val="auto"/>
          <w:szCs w:val="21"/>
          <w:highlight w:val="none"/>
        </w:rPr>
        <w:t xml:space="preserve">年月日</w:t>
      </w:r>
      <w:r/>
    </w:p>
    <w:p>
      <w:pPr>
        <w:pStyle w:val="902"/>
        <w:rPr>
          <w:rFonts w:ascii="宋体" w:hAnsi="宋体" w:eastAsia="宋体"/>
          <w:bCs/>
          <w:color w:val="auto"/>
          <w:szCs w:val="21"/>
          <w:highlight w:val="none"/>
        </w:rPr>
      </w:pPr>
      <w:r>
        <w:rPr>
          <w:rFonts w:ascii="宋体" w:hAnsi="宋体" w:eastAsia="宋体"/>
          <w:bCs/>
          <w:color w:val="auto"/>
          <w:szCs w:val="21"/>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bCs/>
          <w:color w:val="auto"/>
          <w:highlight w:val="none"/>
        </w:rPr>
      </w:pPr>
      <w:r>
        <w:rPr>
          <w:rFonts w:ascii="宋体" w:hAnsi="宋体"/>
          <w:b/>
          <w:bCs/>
          <w:color w:val="auto"/>
          <w:highlight w:val="none"/>
        </w:rPr>
      </w:r>
      <w:r/>
    </w:p>
    <w:p>
      <w:pPr>
        <w:pStyle w:val="918"/>
        <w:rPr>
          <w:color w:val="auto"/>
          <w:highlight w:val="none"/>
        </w:rPr>
      </w:pPr>
      <w:r>
        <w:rPr>
          <w:color w:val="auto"/>
          <w:highlight w:val="none"/>
        </w:rPr>
      </w:r>
      <w:r/>
    </w:p>
    <w:p>
      <w:pP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法定代表人签字：</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left"/>
        <w:spacing w:line="360" w:lineRule="auto"/>
        <w:rPr>
          <w:rFonts w:ascii="宋体" w:hAnsi="宋体"/>
          <w:b/>
          <w:bCs/>
          <w:color w:val="auto"/>
          <w:highlight w:val="none"/>
        </w:rPr>
      </w:pPr>
      <w:r>
        <w:rPr>
          <w:rFonts w:ascii="宋体" w:hAnsi="宋体"/>
          <w:b/>
          <w:bCs/>
          <w:color w:val="auto"/>
          <w:highlight w:val="none"/>
        </w:rPr>
      </w:r>
      <w:r>
        <w:rPr>
          <w:rFonts w:ascii="宋体" w:hAnsi="宋体"/>
          <w:b/>
          <w:bCs/>
          <w:color w:val="auto"/>
          <w:highlight w:val="none"/>
        </w:rPr>
      </w:r>
      <w:r/>
    </w:p>
    <w:p>
      <w:pPr>
        <w:jc w:val="left"/>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宋体" w:hAnsi="宋体"/>
          <w:color w:val="auto"/>
          <w:szCs w:val="32"/>
          <w:highlight w:val="none"/>
        </w:rPr>
      </w:pPr>
      <w:r>
        <w:rPr>
          <w:rFonts w:ascii="宋体" w:hAnsi="宋体"/>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19"/>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ascii="宋体" w:hAnsi="宋体"/>
          <w:color w:val="auto"/>
          <w:sz w:val="21"/>
          <w:highlight w:val="none"/>
        </w:rPr>
        <w:t xml:space="preserve">江苏汇诚投资咨询管理有限公司</w:t>
      </w:r>
      <w:r/>
    </w:p>
    <w:p>
      <w:pPr>
        <w:pStyle w:val="91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1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1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1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19"/>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19"/>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9"/>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9"/>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19"/>
        <w:ind w:firstLine="478"/>
        <w:spacing w:before="0" w:after="0"/>
        <w:rPr>
          <w:rFonts w:ascii="宋体" w:hAnsi="宋体"/>
          <w:color w:val="auto"/>
          <w:sz w:val="21"/>
          <w:szCs w:val="21"/>
          <w:highlight w:val="none"/>
        </w:rPr>
      </w:pPr>
      <w:r>
        <w:rPr>
          <w:rFonts w:ascii="宋体" w:hAnsi="宋体"/>
          <w:color w:val="auto"/>
          <w:sz w:val="21"/>
          <w:szCs w:val="21"/>
          <w:highlight w:val="none"/>
        </w:rPr>
        <w:t xml:space="preserve">法定代表人或授权代表（签字）：</w:t>
      </w:r>
      <w:r/>
    </w:p>
    <w:p>
      <w:pPr>
        <w:pStyle w:val="919"/>
        <w:ind w:firstLine="478"/>
        <w:spacing w:before="0" w:after="0"/>
        <w:rPr>
          <w:rFonts w:ascii="宋体" w:hAnsi="宋体"/>
          <w:color w:val="auto"/>
          <w:sz w:val="21"/>
          <w:szCs w:val="21"/>
          <w:highlight w:val="none"/>
        </w:rPr>
      </w:pPr>
      <w:r>
        <w:rPr>
          <w:rFonts w:ascii="宋体" w:hAnsi="宋体"/>
          <w:color w:val="auto"/>
          <w:sz w:val="21"/>
          <w:szCs w:val="21"/>
          <w:highlight w:val="none"/>
        </w:rPr>
        <w:t xml:space="preserve">投标人名称（公章）：</w:t>
      </w:r>
      <w:r/>
    </w:p>
    <w:p>
      <w:pPr>
        <w:pStyle w:val="91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20"/>
        <w:ind w:firstLine="422"/>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2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0"/>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920"/>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被授权人签字：_______________________</w:t>
      </w:r>
      <w:r/>
    </w:p>
    <w:p>
      <w:pPr>
        <w:pStyle w:val="920"/>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92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2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授权单位盖章：</w:t>
      </w:r>
      <w:r>
        <w:rPr>
          <w:rFonts w:ascii="宋体" w:hAnsi="宋体"/>
          <w:color w:val="auto"/>
          <w:sz w:val="21"/>
          <w:szCs w:val="21"/>
          <w:highlight w:val="none"/>
        </w:rPr>
        <w:t xml:space="preserve">_________________________________</w:t>
      </w:r>
      <w:r/>
    </w:p>
    <w:p>
      <w:pPr>
        <w:pStyle w:val="920"/>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单位地址：</w:t>
      </w:r>
      <w:r/>
    </w:p>
    <w:p>
      <w:pPr>
        <w:pStyle w:val="92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pStyle w:val="887"/>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89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887"/>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89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中小企业声明函（货物）</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2、供应商如不提供此声明函，价格将不做相应扣除。</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3、企业声明函请完整填写，中标后将公示。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5、声明函应涵盖本项目(分包)所有货物，否则价格不作扣除。</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日 期：</w:t>
      </w:r>
      <w:r/>
    </w:p>
    <w:p>
      <w:pPr>
        <w:spacing w:line="360" w:lineRule="auto"/>
        <w:rPr>
          <w:rStyle w:val="915"/>
          <w:rFonts w:ascii="宋体" w:hAnsi="宋体" w:cs="仿宋"/>
          <w:color w:val="auto"/>
          <w:szCs w:val="21"/>
          <w:highlight w:val="none"/>
        </w:rPr>
      </w:pPr>
      <w:r>
        <w:rPr>
          <w:rFonts w:ascii="宋体" w:hAnsi="宋体" w:cs="仿宋"/>
          <w:color w:val="auto"/>
          <w:szCs w:val="21"/>
          <w:highlight w:val="none"/>
        </w:rPr>
      </w:r>
      <w:r/>
    </w:p>
    <w:p>
      <w:pPr>
        <w:pStyle w:val="918"/>
        <w:rPr>
          <w:rStyle w:val="915"/>
          <w:rFonts w:hAnsi="宋体" w:cs="仿宋"/>
          <w:color w:val="auto"/>
          <w:szCs w:val="21"/>
          <w:highlight w:val="none"/>
        </w:rPr>
      </w:pPr>
      <w:r>
        <w:rPr>
          <w:rFonts w:hAnsi="宋体" w:cs="仿宋"/>
          <w:color w:val="auto"/>
          <w:szCs w:val="21"/>
          <w:highlight w:val="none"/>
        </w:rPr>
      </w:r>
      <w:r/>
    </w:p>
    <w:p>
      <w:pPr>
        <w:rPr>
          <w:rStyle w:val="915"/>
          <w:rFonts w:ascii="宋体" w:hAnsi="宋体" w:cs="仿宋"/>
          <w:color w:val="auto"/>
          <w:szCs w:val="21"/>
          <w:highlight w:val="none"/>
        </w:rPr>
      </w:pPr>
      <w:r>
        <w:rPr>
          <w:rFonts w:ascii="宋体" w:hAnsi="宋体" w:cs="仿宋"/>
          <w:color w:val="auto"/>
          <w:szCs w:val="21"/>
          <w:highlight w:val="none"/>
        </w:rPr>
      </w:r>
      <w:r/>
    </w:p>
    <w:p>
      <w:pPr>
        <w:pStyle w:val="918"/>
        <w:rPr>
          <w:color w:val="auto"/>
          <w:highlight w:val="none"/>
        </w:rPr>
      </w:pPr>
      <w:r>
        <w:rPr>
          <w:color w:val="auto"/>
          <w:highlight w:val="none"/>
        </w:rPr>
      </w:r>
      <w:r/>
    </w:p>
    <w:p>
      <w:pPr>
        <w:jc w:val="center"/>
        <w:spacing w:line="360" w:lineRule="auto"/>
        <w:rPr>
          <w:rStyle w:val="915"/>
          <w:rFonts w:ascii="宋体" w:hAnsi="宋体" w:cs="仿宋"/>
          <w:color w:val="auto"/>
          <w:szCs w:val="21"/>
          <w:highlight w:val="none"/>
        </w:rPr>
      </w:pPr>
      <w:r>
        <w:rPr>
          <w:rStyle w:val="915"/>
          <w:rFonts w:hint="eastAsia" w:ascii="宋体" w:hAnsi="宋体" w:cs="仿宋"/>
          <w:color w:val="auto"/>
          <w:szCs w:val="21"/>
          <w:highlight w:val="none"/>
        </w:rPr>
        <w:t xml:space="preserve">中小微企业划型标准</w:t>
      </w:r>
      <w:r/>
    </w:p>
    <w:p>
      <w:pPr>
        <w:pStyle w:val="912"/>
        <w:ind w:firstLine="420"/>
        <w:spacing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15"/>
          <w:rFonts w:hint="eastAsia" w:ascii="宋体" w:hAnsi="宋体" w:cs="仿宋"/>
          <w:color w:val="auto"/>
          <w:sz w:val="21"/>
          <w:szCs w:val="21"/>
          <w:highlight w:val="none"/>
        </w:rPr>
        <w:t xml:space="preserve">中小微企业划型标准如下：</w:t>
      </w:r>
      <w:r/>
    </w:p>
    <w:tbl>
      <w:tblPr>
        <w:tblStyle w:val="891"/>
        <w:tblW w:w="10146"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ind w:firstLine="420"/>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912"/>
              <w:jc w:val="center"/>
              <w:spacing w:line="360" w:lineRule="auto"/>
              <w:widowControl/>
              <w:rPr>
                <w:rFonts w:ascii="宋体" w:hAnsi="宋体"/>
                <w:color w:val="auto"/>
                <w:sz w:val="21"/>
                <w:szCs w:val="21"/>
                <w:highlight w:val="none"/>
              </w:rPr>
            </w:pPr>
            <w:r>
              <w:rPr>
                <w:rStyle w:val="915"/>
                <w:rFonts w:hint="eastAsia" w:ascii="宋体" w:hAnsi="宋体" w:cs="仿宋"/>
                <w:color w:val="auto"/>
                <w:sz w:val="21"/>
                <w:szCs w:val="21"/>
                <w:highlight w:val="none"/>
              </w:rPr>
              <w:t xml:space="preserve">X＜10</w:t>
            </w:r>
            <w:r/>
          </w:p>
        </w:tc>
      </w:tr>
    </w:tbl>
    <w:p>
      <w:pPr>
        <w:pStyle w:val="912"/>
        <w:ind w:firstLine="810"/>
        <w:spacing w:line="360" w:lineRule="auto"/>
        <w:widowControl/>
        <w:rPr>
          <w:rStyle w:val="915"/>
          <w:rFonts w:ascii="宋体" w:hAnsi="宋体" w:cs="仿宋"/>
          <w:color w:val="auto"/>
          <w:sz w:val="21"/>
          <w:szCs w:val="21"/>
          <w:highlight w:val="none"/>
        </w:rPr>
      </w:pPr>
      <w:r>
        <w:rPr>
          <w:rStyle w:val="91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8"/>
        <w:spacing w:line="360" w:lineRule="auto"/>
        <w:rPr>
          <w:rStyle w:val="915"/>
          <w:rFonts w:ascii="宋体" w:hAnsi="宋体" w:cs="仿宋"/>
          <w:b w:val="0"/>
          <w:color w:val="auto"/>
          <w:sz w:val="21"/>
          <w:szCs w:val="21"/>
          <w:highlight w:val="none"/>
        </w:rPr>
      </w:pPr>
      <w:r>
        <w:rPr>
          <w:rStyle w:val="915"/>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宋体" w:hAnsi="宋体"/>
          <w:color w:val="auto"/>
          <w:spacing w:val="6"/>
          <w:sz w:val="30"/>
          <w:szCs w:val="30"/>
          <w:highlight w:val="none"/>
        </w:rPr>
      </w:pPr>
      <w:r>
        <w:rPr>
          <w:rFonts w:ascii="宋体" w:hAnsi="宋体"/>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宋体" w:hAnsi="宋体"/>
          <w:color w:val="auto"/>
          <w:spacing w:val="6"/>
          <w:szCs w:val="21"/>
          <w:highlight w:val="none"/>
        </w:rPr>
      </w:pPr>
      <w:r>
        <w:rPr>
          <w:rFonts w:ascii="宋体" w:hAnsi="宋体"/>
          <w:color w:val="auto"/>
          <w:spacing w:val="6"/>
          <w:szCs w:val="21"/>
          <w:highlight w:val="none"/>
        </w:rPr>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87"/>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四、开标一览表</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投标人全称（加盖公章）：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ascii="宋体" w:hAnsi="宋体"/>
          <w:color w:val="auto"/>
          <w:szCs w:val="21"/>
          <w:highlight w:val="none"/>
        </w:rPr>
      </w:r>
      <w:r/>
    </w:p>
    <w:tbl>
      <w:tblPr>
        <w:tblStyle w:val="89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0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投标货物及服务名称</w:t>
            </w:r>
            <w:r/>
          </w:p>
        </w:tc>
        <w:tc>
          <w:tcPr>
            <w:tcW w:w="640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投标总报价（元）</w:t>
            </w:r>
            <w:r/>
          </w:p>
        </w:tc>
      </w:tr>
      <w:tr>
        <w:trPr>
          <w:cantSplit/>
          <w:trHeight w:val="1724"/>
        </w:trPr>
        <w:tc>
          <w:tcPr>
            <w:tcW w:w="2481" w:type="dxa"/>
            <w:vAlign w:val="center"/>
            <w:textDirection w:val="lrTb"/>
            <w:noWrap w:val="false"/>
          </w:tcPr>
          <w:p>
            <w:pPr>
              <w:pStyle w:val="90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19"/>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1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19"/>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1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p>
          <w:p>
            <w:pPr>
              <w:pStyle w:val="919"/>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1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（人民币）</w:t>
            </w:r>
            <w:r/>
          </w:p>
          <w:p>
            <w:pPr>
              <w:pStyle w:val="919"/>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日期：  年月日</w:t>
      </w:r>
      <w:r/>
    </w:p>
    <w:p>
      <w:pPr>
        <w:pStyle w:val="903"/>
        <w:rPr>
          <w:rFonts w:ascii="宋体" w:hAnsi="宋体"/>
          <w:color w:val="auto"/>
          <w:szCs w:val="21"/>
          <w:highlight w:val="none"/>
        </w:rPr>
      </w:pPr>
      <w:r>
        <w:rPr>
          <w:rFonts w:ascii="宋体" w:hAnsi="宋体"/>
          <w:color w:val="auto"/>
          <w:szCs w:val="21"/>
          <w:highlight w:val="none"/>
        </w:rPr>
      </w:r>
      <w:r/>
    </w:p>
    <w:p>
      <w:pPr>
        <w:ind w:firstLine="640"/>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 </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填写说明：</w:t>
      </w:r>
      <w:r/>
    </w:p>
    <w:p>
      <w:pPr>
        <w:ind w:firstLine="420"/>
        <w:spacing w:line="360" w:lineRule="auto"/>
        <w:rPr>
          <w:rFonts w:ascii="宋体" w:hAnsi="宋体"/>
          <w:bCs/>
          <w:color w:val="auto"/>
          <w:szCs w:val="21"/>
          <w:highlight w:val="none"/>
        </w:rPr>
      </w:pPr>
      <w:r>
        <w:rPr>
          <w:rFonts w:hint="eastAsia" w:ascii="宋体" w:hAnsi="宋体"/>
          <w:i/>
          <w:color w:val="auto"/>
          <w:szCs w:val="21"/>
          <w:highlight w:val="none"/>
        </w:rPr>
        <w:t xml:space="preserve">1、</w:t>
      </w:r>
      <w:r>
        <w:rPr>
          <w:rFonts w:hint="eastAsia" w:ascii="宋体" w:hAnsi="宋体"/>
          <w:bCs/>
          <w:i/>
          <w:iCs/>
          <w:color w:val="auto"/>
          <w:szCs w:val="21"/>
          <w:highlight w:val="none"/>
          <w:u w:val="single"/>
        </w:rPr>
        <w:t xml:space="preserve">开标一览表必须加盖投标人公章（复印件无效）</w:t>
      </w:r>
      <w:r>
        <w:rPr>
          <w:rFonts w:hint="eastAsia" w:ascii="宋体" w:hAnsi="宋体"/>
          <w:i/>
          <w:color w:val="auto"/>
          <w:szCs w:val="21"/>
          <w:highlight w:val="none"/>
        </w:rPr>
        <w:t xml:space="preserve">。</w:t>
      </w:r>
      <w:r/>
    </w:p>
    <w:p>
      <w:pPr>
        <w:ind w:firstLine="420"/>
        <w:rPr>
          <w:rFonts w:ascii="宋体" w:hAnsi="宋体"/>
          <w:color w:val="auto"/>
          <w:szCs w:val="21"/>
          <w:highlight w:val="none"/>
        </w:rPr>
      </w:pPr>
      <w:r>
        <w:rPr>
          <w:rFonts w:hint="eastAsia" w:ascii="宋体" w:hAnsi="宋体"/>
          <w:color w:val="auto"/>
          <w:szCs w:val="21"/>
          <w:highlight w:val="none"/>
        </w:rPr>
        <w:t xml:space="preserve">2、如有分包，投标人投任何一个包的标的，都需单独填写开标一览表。</w:t>
      </w:r>
      <w:r/>
    </w:p>
    <w:p>
      <w:pPr>
        <w:ind w:firstLine="420"/>
        <w:jc w:val="left"/>
        <w:spacing w:line="44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00"/>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900"/>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87"/>
        <w:spacing w:line="761" w:lineRule="atLeast"/>
        <w:rPr>
          <w:rFonts w:ascii="宋体" w:hAnsi="宋体" w:eastAsia="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32"/>
          <w:highlight w:val="none"/>
        </w:rPr>
        <w:t xml:space="preserve">五、投标产品配置及分项报价表</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投标人全称（加盖公章）：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tbl>
      <w:tblPr>
        <w:tblStyle w:val="891"/>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bl>
    <w:p>
      <w:pPr>
        <w:pStyle w:val="931"/>
        <w:ind w:firstLine="420"/>
        <w:spacing w:line="360" w:lineRule="auto"/>
        <w:rPr>
          <w:rFonts w:ascii="宋体" w:hAnsi="宋体" w:cs="Times New Roman"/>
          <w:b/>
          <w:bCs/>
          <w:color w:val="auto"/>
          <w:sz w:val="21"/>
          <w:szCs w:val="22"/>
          <w:highlight w:val="none"/>
        </w:rPr>
      </w:pPr>
      <w:r>
        <w:rPr>
          <w:rFonts w:ascii="宋体" w:hAnsi="宋体" w:cs="Times New Roman"/>
          <w:b/>
          <w:bCs/>
          <w:color w:val="auto"/>
          <w:sz w:val="21"/>
          <w:szCs w:val="22"/>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902"/>
        <w:rPr>
          <w:rFonts w:ascii="宋体" w:hAnsi="宋体" w:eastAsia="宋体" w:cs="Arial"/>
          <w:b/>
          <w:bCs/>
          <w:color w:val="auto"/>
          <w:highlight w:val="none"/>
        </w:rPr>
      </w:pPr>
      <w:r>
        <w:rPr>
          <w:rFonts w:ascii="宋体" w:hAnsi="宋体" w:eastAsia="宋体" w:cs="Arial"/>
          <w:b/>
          <w:bCs/>
          <w:color w:val="auto"/>
          <w:highlight w:val="none"/>
        </w:rPr>
      </w:r>
      <w:r/>
    </w:p>
    <w:p>
      <w:pPr>
        <w:rPr>
          <w:rFonts w:ascii="宋体" w:hAnsi="宋体" w:cs="Arial"/>
          <w:b/>
          <w:bCs/>
          <w:color w:val="auto"/>
          <w:highlight w:val="none"/>
        </w:rPr>
      </w:pPr>
      <w:r>
        <w:rPr>
          <w:rFonts w:ascii="宋体" w:hAnsi="宋体" w:cs="Arial"/>
          <w:b/>
          <w:bCs/>
          <w:color w:val="auto"/>
          <w:highlight w:val="none"/>
        </w:rPr>
      </w:r>
      <w:r/>
    </w:p>
    <w:p>
      <w:pPr>
        <w:pStyle w:val="902"/>
        <w:rPr>
          <w:rFonts w:ascii="宋体" w:hAnsi="宋体" w:eastAsia="宋体" w:cs="Arial"/>
          <w:b/>
          <w:bCs/>
          <w:color w:val="auto"/>
          <w:highlight w:val="none"/>
        </w:rPr>
      </w:pPr>
      <w:r>
        <w:rPr>
          <w:rFonts w:ascii="宋体" w:hAnsi="宋体" w:eastAsia="宋体" w:cs="Arial"/>
          <w:b/>
          <w:bCs/>
          <w:color w:val="auto"/>
          <w:highlight w:val="none"/>
        </w:rPr>
      </w:r>
      <w:r/>
    </w:p>
    <w:p>
      <w:pPr>
        <w:rPr>
          <w:rFonts w:ascii="宋体" w:hAnsi="宋体" w:cs="Arial"/>
          <w:b/>
          <w:bCs/>
          <w:color w:val="auto"/>
          <w:highlight w:val="none"/>
        </w:rPr>
      </w:pPr>
      <w:r>
        <w:rPr>
          <w:rFonts w:ascii="宋体" w:hAnsi="宋体" w:cs="Arial"/>
          <w:b/>
          <w:bCs/>
          <w:color w:val="auto"/>
          <w:highlight w:val="none"/>
        </w:rPr>
      </w:r>
      <w:r/>
    </w:p>
    <w:p>
      <w:pPr>
        <w:pStyle w:val="902"/>
        <w:rPr>
          <w:rFonts w:ascii="宋体" w:hAnsi="宋体" w:eastAsia="宋体" w:cs="Arial"/>
          <w:b/>
          <w:bCs/>
          <w:color w:val="auto"/>
          <w:highlight w:val="none"/>
        </w:rPr>
      </w:pPr>
      <w:r>
        <w:rPr>
          <w:rFonts w:ascii="宋体" w:hAnsi="宋体" w:eastAsia="宋体" w:cs="Arial"/>
          <w:b/>
          <w:bCs/>
          <w:color w:val="auto"/>
          <w:highlight w:val="none"/>
        </w:rPr>
      </w:r>
      <w:r>
        <w:rPr>
          <w:rFonts w:ascii="宋体" w:hAnsi="宋体" w:eastAsia="宋体" w:cs="Arial"/>
          <w:b/>
          <w:bCs/>
          <w:color w:val="auto"/>
          <w:highlight w:val="none"/>
        </w:rPr>
      </w:r>
      <w:r/>
    </w:p>
    <w:p>
      <w:pPr>
        <w:pStyle w:val="902"/>
        <w:rPr>
          <w:rFonts w:ascii="宋体" w:hAnsi="宋体" w:eastAsia="宋体" w:cs="Arial"/>
          <w:b/>
          <w:bCs/>
          <w:color w:val="auto"/>
          <w:highlight w:val="none"/>
        </w:rPr>
      </w:pPr>
      <w:r>
        <w:rPr>
          <w:rFonts w:ascii="宋体" w:hAnsi="宋体" w:eastAsia="宋体" w:cs="Arial"/>
          <w:b/>
          <w:bCs/>
          <w:color w:val="auto"/>
          <w:highlight w:val="none"/>
        </w:rPr>
      </w:r>
      <w:r/>
    </w:p>
    <w:p>
      <w:pPr>
        <w:rPr>
          <w:rFonts w:ascii="宋体" w:hAnsi="宋体" w:cs="Arial"/>
          <w:b/>
          <w:bCs/>
          <w:color w:val="auto"/>
          <w:highlight w:val="none"/>
        </w:rPr>
      </w:pPr>
      <w:r>
        <w:rPr>
          <w:rFonts w:ascii="宋体" w:hAnsi="宋体" w:cs="Arial"/>
          <w:b/>
          <w:bCs/>
          <w:color w:val="auto"/>
          <w:highlight w:val="none"/>
        </w:rPr>
      </w:r>
      <w:r/>
    </w:p>
    <w:p>
      <w:pPr>
        <w:pStyle w:val="887"/>
        <w:numPr>
          <w:ilvl w:val="0"/>
          <w:numId w:val="5"/>
        </w:numPr>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技术参数响应及偏离表</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投标人全称（加盖公章）：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p>
      <w:pPr>
        <w:rPr>
          <w:rFonts w:ascii="宋体" w:hAnsi="宋体"/>
          <w:color w:val="auto"/>
          <w:highlight w:val="none"/>
        </w:rPr>
      </w:pPr>
      <w:r>
        <w:rPr>
          <w:rFonts w:ascii="宋体" w:hAnsi="宋体"/>
          <w:color w:val="auto"/>
          <w:highlight w:val="none"/>
        </w:rPr>
      </w:r>
      <w:r/>
    </w:p>
    <w:tbl>
      <w:tblPr>
        <w:tblStyle w:val="891"/>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color w:val="auto"/>
          <w:sz w:val="32"/>
          <w:highlight w:val="none"/>
        </w:rPr>
      </w:pPr>
      <w:r>
        <w:rPr>
          <w:rFonts w:ascii="宋体" w:hAnsi="宋体"/>
          <w:color w:val="auto"/>
          <w:sz w:val="32"/>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br w:type="page" w:clear="all"/>
      </w:r>
      <w:r/>
    </w:p>
    <w:p>
      <w:pPr>
        <w:pStyle w:val="887"/>
        <w:numPr>
          <w:ilvl w:val="0"/>
          <w:numId w:val="5"/>
        </w:numPr>
        <w:spacing w:line="360" w:lineRule="auto"/>
        <w:rPr>
          <w:rFonts w:ascii="宋体" w:hAnsi="宋体" w:eastAsia="宋体"/>
          <w:color w:val="auto"/>
          <w:sz w:val="32"/>
          <w:highlight w:val="none"/>
        </w:rPr>
      </w:pPr>
      <w:r/>
      <w:bookmarkStart w:id="64" w:name="_Hlt26955054"/>
      <w:r/>
      <w:bookmarkEnd w:id="64"/>
      <w:r>
        <w:rPr>
          <w:rFonts w:hint="eastAsia" w:ascii="宋体" w:hAnsi="宋体" w:eastAsia="宋体"/>
          <w:color w:val="auto"/>
          <w:sz w:val="32"/>
          <w:highlight w:val="none"/>
        </w:rPr>
        <w:t xml:space="preserve">商务条款响应及偏离表</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投标人全称（加盖公章）：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rPr>
          <w:rFonts w:ascii="宋体" w:hAnsi="宋体"/>
          <w:color w:val="auto"/>
          <w:highlight w:val="none"/>
        </w:rPr>
      </w:pPr>
      <w:r>
        <w:rPr>
          <w:rFonts w:ascii="宋体" w:hAnsi="宋体"/>
          <w:color w:val="auto"/>
          <w:highlight w:val="none"/>
        </w:rPr>
      </w:r>
      <w:r/>
    </w:p>
    <w:tbl>
      <w:tblPr>
        <w:tblStyle w:val="891"/>
        <w:tblW w:w="93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94"/>
        <w:gridCol w:w="2872"/>
        <w:gridCol w:w="1259"/>
        <w:gridCol w:w="3018"/>
      </w:tblGrid>
      <w:tr>
        <w:trPr>
          <w:jc w:val="center"/>
          <w:trHeight w:val="642"/>
        </w:trPr>
        <w:tc>
          <w:tcPr>
            <w:tcBorders>
              <w:top w:val="single" w:color="auto" w:sz="4" w:space="0"/>
              <w:left w:val="single" w:color="auto" w:sz="4" w:space="0"/>
              <w:bottom w:val="single" w:color="auto" w:sz="4" w:space="0"/>
              <w:right w:val="single" w:color="auto" w:sz="4" w:space="0"/>
            </w:tcBorders>
            <w:tcW w:w="2194" w:type="dxa"/>
            <w:textDirection w:val="lrTb"/>
            <w:noWrap w:val="false"/>
          </w:tcPr>
          <w:p>
            <w:pPr>
              <w:jc w:val="center"/>
              <w:spacing w:after="200" w:line="440" w:lineRule="exact"/>
              <w:rPr>
                <w:rFonts w:ascii="宋体" w:hAnsi="宋体"/>
                <w:color w:val="auto"/>
                <w:szCs w:val="21"/>
                <w:highlight w:val="none"/>
              </w:rPr>
            </w:pPr>
            <w:r/>
            <w:bookmarkStart w:id="65" w:name="_Hlt26671343"/>
            <w:r/>
            <w:bookmarkEnd w:id="65"/>
            <w:r/>
            <w:bookmarkStart w:id="66" w:name="_Hlt26955064"/>
            <w:r/>
            <w:bookmarkEnd w:id="66"/>
            <w:r/>
            <w:bookmarkStart w:id="67" w:name="_Hlt24879081"/>
            <w:r/>
            <w:bookmarkEnd w:id="67"/>
            <w:r/>
            <w:bookmarkStart w:id="68" w:name="_Hlt26671372"/>
            <w:r/>
            <w:bookmarkEnd w:id="68"/>
            <w:r/>
            <w:bookmarkStart w:id="69" w:name="_Hlt26580838"/>
            <w:r/>
            <w:bookmarkEnd w:id="69"/>
            <w:r/>
            <w:bookmarkStart w:id="70" w:name="_Hlt26782999"/>
            <w:r/>
            <w:bookmarkEnd w:id="70"/>
            <w:r/>
            <w:bookmarkStart w:id="71" w:name="_Hlt26609391"/>
            <w:r/>
            <w:bookmarkEnd w:id="71"/>
            <w:r/>
            <w:bookmarkStart w:id="72" w:name="_Hlt26955056"/>
            <w:r/>
            <w:bookmarkEnd w:id="72"/>
            <w:r>
              <w:rPr>
                <w:rFonts w:hint="eastAsia" w:ascii="宋体"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2194"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2194"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2194"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交货时间</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ind w:left="43"/>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after="200" w:line="440" w:lineRule="exact"/>
              <w:rPr>
                <w:rFonts w:ascii="宋体" w:hAnsi="宋体"/>
                <w:color w:val="auto"/>
                <w:szCs w:val="21"/>
                <w:highlight w:val="none"/>
              </w:rPr>
            </w:pPr>
            <w:r>
              <w:rPr>
                <w:rFonts w:ascii="宋体" w:hAnsi="宋体"/>
                <w:color w:val="auto"/>
                <w:szCs w:val="21"/>
                <w:highlight w:val="none"/>
              </w:rPr>
            </w:r>
            <w:r/>
          </w:p>
        </w:tc>
      </w:tr>
      <w:tr>
        <w:trPr>
          <w:jc w:val="center"/>
          <w:trHeight w:val="818"/>
        </w:trPr>
        <w:tc>
          <w:tcPr>
            <w:tcBorders>
              <w:top w:val="single" w:color="auto" w:sz="4" w:space="0"/>
              <w:left w:val="single" w:color="auto" w:sz="4" w:space="0"/>
              <w:bottom w:val="single" w:color="auto" w:sz="4" w:space="0"/>
              <w:right w:val="single" w:color="auto" w:sz="4" w:space="0"/>
            </w:tcBorders>
            <w:tcW w:w="2194" w:type="dxa"/>
            <w:vAlign w:val="center"/>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872" w:type="dxa"/>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ind w:left="43"/>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ind w:left="43"/>
              <w:jc w:val="center"/>
              <w:spacing w:after="200" w:line="440" w:lineRule="exact"/>
              <w:rPr>
                <w:rFonts w:ascii="宋体" w:hAnsi="宋体"/>
                <w:color w:val="auto"/>
                <w:szCs w:val="21"/>
                <w:highlight w:val="none"/>
              </w:rPr>
            </w:pPr>
            <w:r>
              <w:rPr>
                <w:rFonts w:ascii="宋体" w:hAnsi="宋体"/>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2194" w:type="dxa"/>
            <w:vAlign w:val="center"/>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872" w:type="dxa"/>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ind w:left="43"/>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ind w:left="43"/>
              <w:jc w:val="center"/>
              <w:spacing w:after="200" w:line="440" w:lineRule="exact"/>
              <w:rPr>
                <w:rFonts w:ascii="宋体" w:hAnsi="宋体"/>
                <w:color w:val="auto"/>
                <w:szCs w:val="21"/>
                <w:highlight w:val="none"/>
              </w:rPr>
            </w:pPr>
            <w:r>
              <w:rPr>
                <w:rFonts w:ascii="宋体" w:hAnsi="宋体"/>
                <w:color w:val="auto"/>
                <w:szCs w:val="21"/>
                <w:highlight w:val="none"/>
              </w:rPr>
            </w:r>
            <w:r/>
          </w:p>
        </w:tc>
      </w:tr>
      <w:tr>
        <w:trPr>
          <w:jc w:val="center"/>
          <w:trHeight w:val="820"/>
        </w:trPr>
        <w:tc>
          <w:tcPr>
            <w:tcBorders>
              <w:top w:val="single" w:color="auto" w:sz="4" w:space="0"/>
              <w:left w:val="single" w:color="auto" w:sz="4" w:space="0"/>
              <w:bottom w:val="single" w:color="auto" w:sz="4" w:space="0"/>
              <w:right w:val="single" w:color="auto" w:sz="4" w:space="0"/>
            </w:tcBorders>
            <w:tcW w:w="2194"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center"/>
              <w:spacing w:after="200" w:line="440" w:lineRule="exact"/>
              <w:rPr>
                <w:rFonts w:ascii="宋体" w:hAnsi="宋体"/>
                <w:color w:val="auto"/>
                <w:sz w:val="24"/>
                <w:szCs w:val="20"/>
                <w:highlight w:val="none"/>
              </w:rPr>
            </w:pPr>
            <w:r>
              <w:rPr>
                <w:rFonts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jc w:val="center"/>
              <w:spacing w:after="200" w:line="440" w:lineRule="exact"/>
              <w:rPr>
                <w:rFonts w:ascii="宋体" w:hAnsi="宋体"/>
                <w:color w:val="auto"/>
                <w:sz w:val="24"/>
                <w:szCs w:val="20"/>
                <w:highlight w:val="none"/>
              </w:rPr>
            </w:pPr>
            <w:r>
              <w:rPr>
                <w:rFonts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after="200" w:line="440" w:lineRule="exact"/>
              <w:rPr>
                <w:rFonts w:ascii="宋体" w:hAnsi="宋体"/>
                <w:color w:val="auto"/>
                <w:sz w:val="24"/>
                <w:szCs w:val="20"/>
                <w:highlight w:val="none"/>
              </w:rPr>
            </w:pPr>
            <w:r>
              <w:rPr>
                <w:rFonts w:ascii="宋体" w:hAnsi="宋体"/>
                <w:color w:val="auto"/>
                <w:sz w:val="24"/>
                <w:szCs w:val="20"/>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194" w:type="dxa"/>
            <w:vAlign w:val="center"/>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872" w:type="dxa"/>
            <w:vAlign w:val="center"/>
            <w:textDirection w:val="lrTb"/>
            <w:noWrap w:val="false"/>
          </w:tcPr>
          <w:p>
            <w:pPr>
              <w:jc w:val="center"/>
              <w:spacing w:line="440" w:lineRule="exact"/>
              <w:rPr>
                <w:rFonts w:ascii="宋体" w:hAnsi="宋体"/>
                <w:color w:val="auto"/>
                <w:sz w:val="24"/>
                <w:szCs w:val="20"/>
                <w:highlight w:val="none"/>
              </w:rPr>
            </w:pPr>
            <w:r>
              <w:rPr>
                <w:rFonts w:ascii="宋体" w:hAnsi="宋体"/>
                <w:color w:val="auto"/>
                <w:sz w:val="24"/>
                <w:szCs w:val="20"/>
                <w:highlight w:val="none"/>
              </w:rPr>
            </w:r>
            <w:r/>
          </w:p>
          <w:p>
            <w:pPr>
              <w:jc w:val="center"/>
              <w:spacing w:after="200" w:line="440" w:lineRule="exact"/>
              <w:rPr>
                <w:rFonts w:ascii="宋体" w:hAnsi="宋体"/>
                <w:color w:val="auto"/>
                <w:sz w:val="24"/>
                <w:szCs w:val="20"/>
                <w:highlight w:val="none"/>
              </w:rPr>
            </w:pPr>
            <w:r>
              <w:rPr>
                <w:rFonts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after="200" w:line="440" w:lineRule="exact"/>
              <w:rPr>
                <w:rFonts w:ascii="宋体" w:hAnsi="宋体"/>
                <w:color w:val="auto"/>
                <w:sz w:val="24"/>
                <w:szCs w:val="20"/>
                <w:highlight w:val="none"/>
              </w:rPr>
            </w:pPr>
            <w:r>
              <w:rPr>
                <w:rFonts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jc w:val="center"/>
              <w:spacing w:after="200" w:line="440" w:lineRule="exact"/>
              <w:rPr>
                <w:rFonts w:ascii="宋体" w:hAnsi="宋体"/>
                <w:color w:val="auto"/>
                <w:sz w:val="24"/>
                <w:szCs w:val="20"/>
                <w:highlight w:val="none"/>
              </w:rPr>
            </w:pPr>
            <w:r>
              <w:rPr>
                <w:rFonts w:ascii="宋体" w:hAnsi="宋体"/>
                <w:color w:val="auto"/>
                <w:sz w:val="24"/>
                <w:szCs w:val="20"/>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2194"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备品备件及耗材等要求</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194" w:type="dxa"/>
            <w:textDirection w:val="lrTb"/>
            <w:noWrap w:val="false"/>
          </w:tcPr>
          <w:p>
            <w:pPr>
              <w:jc w:val="center"/>
              <w:spacing w:after="200" w:line="440" w:lineRule="exact"/>
              <w:rPr>
                <w:rFonts w:ascii="宋体" w:hAnsi="宋体"/>
                <w:color w:val="auto"/>
                <w:szCs w:val="21"/>
                <w:highlight w:val="none"/>
              </w:rPr>
            </w:pPr>
            <w:r>
              <w:rPr>
                <w:rFonts w:hint="eastAsia" w:ascii="宋体"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after="200" w:line="44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30"/>
          <w:highlight w:val="none"/>
        </w:rPr>
      </w:pPr>
      <w:r>
        <w:rPr>
          <w:rFonts w:ascii="宋体" w:hAnsi="宋体"/>
          <w:color w:val="auto"/>
          <w:sz w:val="30"/>
          <w:highlight w:val="none"/>
        </w:rPr>
      </w:r>
      <w:r/>
    </w:p>
    <w:p>
      <w:pPr>
        <w:ind w:firstLine="211"/>
        <w:jc w:val="center"/>
        <w:spacing w:line="360" w:lineRule="auto"/>
        <w:rPr>
          <w:rFonts w:ascii="宋体" w:hAnsi="宋体"/>
          <w:b/>
          <w:bCs/>
          <w:color w:val="auto"/>
          <w:highlight w:val="none"/>
        </w:rPr>
      </w:pPr>
      <w:r>
        <w:rPr>
          <w:rFonts w:hint="eastAsia" w:ascii="宋体" w:hAnsi="宋体"/>
          <w:b/>
          <w:color w:val="auto"/>
          <w:highlight w:val="none"/>
        </w:rPr>
      </w:r>
      <w:r>
        <w:rPr>
          <w:rFonts w:hint="eastAsia" w:ascii="宋体" w:hAnsi="宋体"/>
          <w:b/>
          <w:color w:val="auto"/>
          <w:highlight w:val="none"/>
        </w:rPr>
      </w:r>
      <w:r/>
    </w:p>
    <w:p>
      <w:pPr>
        <w:ind w:firstLine="211"/>
        <w:jc w:val="center"/>
        <w:spacing w:line="360" w:lineRule="auto"/>
        <w:rPr>
          <w:rFonts w:hint="eastAsia" w:ascii="宋体" w:hAnsi="宋体"/>
          <w:b/>
          <w:bCs/>
          <w:color w:val="auto"/>
          <w:highlight w:val="none"/>
        </w:rPr>
      </w:pPr>
      <w:r>
        <w:rPr>
          <w:rFonts w:hint="eastAsia" w:ascii="宋体" w:hAnsi="宋体"/>
          <w:b/>
          <w:color w:val="auto"/>
          <w:highlight w:val="none"/>
        </w:rPr>
      </w:r>
      <w:r>
        <w:rPr>
          <w:rFonts w:hint="eastAsia" w:ascii="宋体" w:hAnsi="宋体"/>
          <w:b/>
          <w:color w:val="auto"/>
          <w:highlight w:val="none"/>
        </w:rPr>
      </w:r>
      <w:r/>
    </w:p>
    <w:p>
      <w:pPr>
        <w:ind w:firstLine="211"/>
        <w:jc w:val="center"/>
        <w:spacing w:line="360" w:lineRule="auto"/>
        <w:rPr>
          <w:rFonts w:hint="eastAsia" w:ascii="宋体" w:hAnsi="宋体"/>
          <w:b/>
          <w:bCs/>
          <w:color w:val="auto"/>
          <w:highlight w:val="none"/>
        </w:rPr>
      </w:pPr>
      <w:r>
        <w:rPr>
          <w:rFonts w:hint="eastAsia" w:ascii="宋体" w:hAnsi="宋体"/>
          <w:b/>
          <w:color w:val="auto"/>
          <w:highlight w:val="none"/>
        </w:rPr>
      </w:r>
      <w:r>
        <w:rPr>
          <w:rFonts w:hint="eastAsia" w:ascii="宋体" w:hAnsi="宋体"/>
          <w:b/>
          <w:color w:val="auto"/>
          <w:highlight w:val="none"/>
        </w:rPr>
      </w:r>
      <w:r/>
    </w:p>
    <w:p>
      <w:pPr>
        <w:ind w:firstLine="211"/>
        <w:jc w:val="center"/>
        <w:spacing w:line="360" w:lineRule="auto"/>
        <w:rPr>
          <w:rFonts w:hint="eastAsia" w:ascii="宋体" w:hAnsi="宋体"/>
          <w:b/>
          <w:bCs/>
          <w:color w:val="auto"/>
          <w:highlight w:val="none"/>
        </w:rPr>
      </w:pPr>
      <w:r>
        <w:rPr>
          <w:rFonts w:hint="eastAsia" w:ascii="宋体" w:hAnsi="宋体"/>
          <w:b/>
          <w:color w:val="auto"/>
          <w:highlight w:val="none"/>
        </w:rPr>
      </w:r>
      <w:r>
        <w:rPr>
          <w:rFonts w:hint="eastAsia" w:ascii="宋体" w:hAnsi="宋体"/>
          <w:b/>
          <w:color w:val="auto"/>
          <w:highlight w:val="none"/>
        </w:rPr>
      </w:r>
      <w:r/>
    </w:p>
    <w:p>
      <w:pPr>
        <w:ind w:firstLine="211"/>
        <w:jc w:val="center"/>
        <w:spacing w:line="360" w:lineRule="auto"/>
        <w:rPr>
          <w:rFonts w:hint="eastAsia" w:ascii="宋体" w:hAnsi="宋体"/>
          <w:b/>
          <w:bCs/>
          <w:color w:val="auto"/>
          <w:highlight w:val="none"/>
        </w:rPr>
      </w:pPr>
      <w:r>
        <w:rPr>
          <w:rFonts w:hint="eastAsia" w:ascii="宋体" w:hAnsi="宋体"/>
          <w:b/>
          <w:color w:val="auto"/>
          <w:highlight w:val="none"/>
        </w:rPr>
      </w:r>
      <w:r>
        <w:rPr>
          <w:rFonts w:hint="eastAsia" w:ascii="宋体" w:hAnsi="宋体"/>
          <w:b/>
          <w:color w:val="auto"/>
          <w:highlight w:val="none"/>
        </w:rPr>
      </w:r>
      <w:r/>
    </w:p>
    <w:p>
      <w:pPr>
        <w:ind w:firstLine="211"/>
        <w:jc w:val="center"/>
        <w:spacing w:line="360" w:lineRule="auto"/>
        <w:rPr>
          <w:rFonts w:hint="eastAsia" w:ascii="宋体" w:hAnsi="宋体"/>
          <w:b/>
          <w:bCs/>
          <w:color w:val="auto"/>
          <w:highlight w:val="none"/>
        </w:rPr>
      </w:pPr>
      <w:r/>
      <w:bookmarkStart w:id="73" w:name="_Hlt26609389"/>
      <w:r/>
      <w:bookmarkEnd w:id="73"/>
      <w:r/>
      <w:bookmarkStart w:id="74" w:name="_Hlt26671374"/>
      <w:r/>
      <w:bookmarkEnd w:id="74"/>
      <w:r/>
      <w:bookmarkStart w:id="75" w:name="_Hlt26955066"/>
      <w:r/>
      <w:bookmarkEnd w:id="75"/>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rFonts w:ascii="宋体" w:hAnsi="宋体"/>
          <w:color w:val="auto"/>
          <w:highlight w:val="none"/>
        </w:rPr>
      </w:pPr>
      <w:r>
        <w:rPr>
          <w:rFonts w:ascii="宋体" w:hAnsi="宋体"/>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pStyle w:val="888"/>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888"/>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888"/>
        <w:rPr>
          <w:rFonts w:ascii="宋体" w:hAnsi="宋体"/>
          <w:color w:val="auto"/>
          <w:highlight w:val="none"/>
        </w:rPr>
      </w:pPr>
      <w:r>
        <w:rPr>
          <w:rFonts w:ascii="宋体" w:hAnsi="宋体"/>
          <w:color w:val="auto"/>
          <w:highlight w:val="none"/>
        </w:rPr>
      </w:r>
      <w:r/>
    </w:p>
    <w:p>
      <w:r/>
      <w:r/>
    </w:p>
    <w:p>
      <w:pPr>
        <w:rPr>
          <w:rFonts w:ascii="宋体" w:hAnsi="宋体"/>
          <w:color w:val="auto"/>
          <w:highlight w:val="none"/>
        </w:rPr>
      </w:pPr>
      <w:r>
        <w:rPr>
          <w:rFonts w:ascii="宋体" w:hAnsi="宋体"/>
          <w:color w:val="auto"/>
          <w:highlight w:val="none"/>
        </w:rPr>
      </w:r>
      <w:r/>
    </w:p>
    <w:p>
      <w:pPr>
        <w:jc w:val="center"/>
        <w:rPr>
          <w:rFonts w:hint="eastAsia" w:ascii="楷体_GB2312" w:hAnsi="宋体" w:eastAsia="楷体_GB2312"/>
          <w:b/>
          <w:bCs/>
          <w:color w:val="auto"/>
          <w:sz w:val="44"/>
          <w:szCs w:val="44"/>
        </w:rPr>
      </w:pPr>
      <w:r>
        <w:rPr>
          <w:rFonts w:hint="eastAsia" w:ascii="楷体_GB2312" w:hAnsi="宋体" w:eastAsia="楷体_GB2312"/>
          <w:b/>
          <w:color w:val="auto"/>
          <w:sz w:val="44"/>
          <w:szCs w:val="44"/>
          <w:highlight w:val="none"/>
        </w:rPr>
      </w:r>
      <w:r>
        <w:rPr>
          <w:rFonts w:hint="eastAsia" w:ascii="楷体_GB2312" w:hAnsi="宋体" w:eastAsia="楷体_GB2312"/>
          <w:b/>
          <w:color w:val="auto"/>
          <w:sz w:val="44"/>
          <w:szCs w:val="44"/>
          <w:highlight w:val="none"/>
        </w:rPr>
      </w:r>
      <w:r/>
    </w:p>
    <w:p>
      <w:pPr>
        <w:jc w:val="center"/>
        <w:rPr>
          <w:rFonts w:hint="eastAsia" w:ascii="楷体_GB2312" w:hAnsi="宋体" w:eastAsia="楷体_GB2312"/>
          <w:b/>
          <w:bCs/>
          <w:color w:val="auto"/>
          <w:sz w:val="44"/>
          <w:szCs w:val="44"/>
          <w:highlight w:val="none"/>
        </w:rPr>
      </w:pPr>
      <w:r>
        <w:rPr>
          <w:rFonts w:hint="eastAsia" w:ascii="楷体_GB2312" w:hAnsi="宋体" w:eastAsia="楷体_GB2312"/>
          <w:b/>
          <w:color w:val="auto"/>
          <w:sz w:val="44"/>
          <w:szCs w:val="44"/>
          <w:highlight w:val="none"/>
        </w:rPr>
      </w:r>
      <w:r>
        <w:rPr>
          <w:rFonts w:hint="eastAsia" w:ascii="楷体_GB2312" w:hAnsi="宋体" w:eastAsia="楷体_GB2312"/>
          <w:b/>
          <w:color w:val="auto"/>
          <w:sz w:val="44"/>
          <w:szCs w:val="44"/>
          <w:highlight w:val="none"/>
        </w:rPr>
      </w:r>
      <w:r/>
    </w:p>
    <w:p>
      <w:pPr>
        <w:jc w:val="center"/>
        <w:rPr>
          <w:rFonts w:hint="eastAsia" w:ascii="楷体_GB2312" w:hAnsi="宋体" w:eastAsia="楷体_GB2312"/>
          <w:b/>
          <w:bCs/>
          <w:color w:val="auto"/>
          <w:sz w:val="44"/>
          <w:szCs w:val="44"/>
          <w:highlight w:val="none"/>
        </w:rPr>
      </w:pPr>
      <w:r>
        <w:rPr>
          <w:rFonts w:hint="eastAsia" w:ascii="楷体_GB2312" w:hAnsi="宋体" w:eastAsia="楷体_GB2312"/>
          <w:b/>
          <w:color w:val="auto"/>
          <w:sz w:val="44"/>
          <w:szCs w:val="44"/>
          <w:lang w:val="en-US" w:eastAsia="zh-CN"/>
        </w:rPr>
        <w:t xml:space="preserve">投标人（</w:t>
      </w:r>
      <w:r>
        <w:rPr>
          <w:rFonts w:hint="eastAsia" w:ascii="楷体_GB2312" w:hAnsi="宋体" w:eastAsia="楷体_GB2312"/>
          <w:b/>
          <w:color w:val="auto"/>
          <w:sz w:val="44"/>
          <w:szCs w:val="44"/>
        </w:rPr>
        <w:t xml:space="preserve">供应商</w:t>
      </w:r>
      <w:r>
        <w:rPr>
          <w:rFonts w:hint="eastAsia" w:ascii="楷体_GB2312" w:hAnsi="宋体" w:eastAsia="楷体_GB2312"/>
          <w:b/>
          <w:color w:val="auto"/>
          <w:sz w:val="44"/>
          <w:szCs w:val="44"/>
          <w:lang w:val="en-US" w:eastAsia="zh-CN"/>
        </w:rPr>
        <w:t xml:space="preserve">）</w:t>
      </w:r>
      <w:r>
        <w:rPr>
          <w:rFonts w:hint="eastAsia" w:ascii="楷体_GB2312" w:hAnsi="宋体" w:eastAsia="楷体_GB2312"/>
          <w:b/>
          <w:color w:val="auto"/>
          <w:sz w:val="44"/>
          <w:szCs w:val="44"/>
        </w:rPr>
        <w:t xml:space="preserve">参加</w:t>
      </w:r>
      <w:r>
        <w:rPr>
          <w:rFonts w:hint="eastAsia" w:ascii="楷体_GB2312" w:hAnsi="宋体" w:eastAsia="楷体_GB2312"/>
          <w:b/>
          <w:color w:val="auto"/>
          <w:sz w:val="44"/>
          <w:szCs w:val="44"/>
          <w:lang w:val="en-US" w:eastAsia="zh-CN"/>
        </w:rPr>
        <w:t xml:space="preserve">投标</w:t>
      </w:r>
      <w:r>
        <w:rPr>
          <w:rFonts w:hint="eastAsia" w:ascii="楷体_GB2312" w:hAnsi="宋体" w:eastAsia="楷体_GB2312"/>
          <w:b/>
          <w:color w:val="auto"/>
          <w:sz w:val="44"/>
          <w:szCs w:val="44"/>
        </w:rPr>
        <w:t xml:space="preserve">确认函</w:t>
      </w:r>
      <w:r/>
    </w:p>
    <w:p>
      <w:pPr>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江苏汇诚投资咨询管理有限公司</w:t>
      </w:r>
      <w:r>
        <w:rPr>
          <w:rFonts w:hint="eastAsia" w:ascii="宋体" w:hAnsi="宋体" w:eastAsia="宋体" w:cs="宋体"/>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本单位将参加贵公司</w:t>
      </w:r>
      <w:r>
        <w:rPr>
          <w:rFonts w:hint="eastAsia" w:ascii="宋体" w:hAnsi="宋体" w:eastAsia="宋体" w:cs="宋体"/>
          <w:color w:val="auto"/>
          <w:sz w:val="21"/>
          <w:szCs w:val="21"/>
          <w:lang w:val="en-US" w:eastAsia="zh-CN"/>
        </w:rPr>
        <w:t xml:space="preserve">项目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采购</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编号为</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项目的投标。</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本单位已在网站成功下载标书，特发函确认。</w:t>
      </w:r>
      <w:r/>
    </w:p>
    <w:p>
      <w:pPr>
        <w:ind w:left="3900" w:hanging="273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（单位公章）</w:t>
      </w:r>
      <w:r/>
    </w:p>
    <w:p>
      <w:pPr>
        <w:ind w:left="4950" w:hanging="3465"/>
        <w:keepLines w:val="0"/>
        <w:keepNext w:val="0"/>
        <w:pageBreakBefore w:val="0"/>
        <w:spacing w:line="360" w:lineRule="auto"/>
        <w:widowControl w:val="off"/>
        <w:rPr>
          <w:rFonts w:hint="eastAsia" w:ascii="宋体" w:hAnsi="宋体" w:eastAsia="宋体" w:cs="宋体"/>
          <w:color w:val="auto"/>
          <w:sz w:val="21"/>
          <w:szCs w:val="21"/>
        </w:rPr>
        <w:pBdr>
          <w:bottom w:val="single" w:color="auto" w:sz="6" w:space="1"/>
        </w:pBdr>
      </w:pPr>
      <w:r>
        <w:rPr>
          <w:rFonts w:hint="eastAsia" w:ascii="宋体" w:hAnsi="宋体" w:eastAsia="宋体" w:cs="宋体"/>
          <w:color w:val="auto"/>
          <w:sz w:val="21"/>
          <w:szCs w:val="21"/>
        </w:rPr>
        <w:t xml:space="preserve">　　　　　　　　　　　　　    　年　　　月　　　日</w:t>
      </w:r>
      <w:r/>
    </w:p>
    <w:p>
      <w:pPr>
        <w:ind w:left="5280" w:hanging="346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附：</w:t>
      </w:r>
      <w:r/>
    </w:p>
    <w:p>
      <w:pPr>
        <w:ind w:left="5963" w:hanging="3479"/>
        <w:jc w:val="cente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     </w:t>
      </w:r>
      <w:r>
        <w:rPr>
          <w:rFonts w:hint="eastAsia" w:ascii="宋体" w:hAnsi="宋体" w:eastAsia="宋体" w:cs="宋体"/>
          <w:b/>
          <w:color w:val="auto"/>
          <w:sz w:val="21"/>
          <w:szCs w:val="21"/>
          <w:lang w:val="en-US" w:eastAsia="zh-CN"/>
        </w:rPr>
        <w:t xml:space="preserve">投标人（</w:t>
      </w:r>
      <w:r>
        <w:rPr>
          <w:rFonts w:hint="eastAsia" w:ascii="宋体" w:hAnsi="宋体" w:eastAsia="宋体" w:cs="宋体"/>
          <w:b/>
          <w:color w:val="auto"/>
          <w:sz w:val="21"/>
          <w:szCs w:val="21"/>
        </w:rPr>
        <w:t xml:space="preserve">供应商</w:t>
      </w:r>
      <w:r>
        <w:rPr>
          <w:rFonts w:hint="eastAsia" w:ascii="宋体" w:hAnsi="宋体" w:eastAsia="宋体" w:cs="宋体"/>
          <w:b/>
          <w:color w:val="auto"/>
          <w:sz w:val="21"/>
          <w:szCs w:val="21"/>
          <w:lang w:val="en-US" w:eastAsia="zh-CN"/>
        </w:rPr>
        <w:t xml:space="preserve">）</w:t>
      </w:r>
      <w:r>
        <w:rPr>
          <w:rFonts w:hint="eastAsia" w:ascii="宋体" w:hAnsi="宋体" w:eastAsia="宋体" w:cs="宋体"/>
          <w:b/>
          <w:color w:val="auto"/>
          <w:sz w:val="21"/>
          <w:szCs w:val="21"/>
        </w:rPr>
        <w:t xml:space="preserve">联系表</w:t>
      </w:r>
      <w:r/>
    </w:p>
    <w:tbl>
      <w:tblPr>
        <w:tblStyle w:val="891"/>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5"/>
        <w:gridCol w:w="2101"/>
        <w:gridCol w:w="1812"/>
        <w:gridCol w:w="1991"/>
      </w:tblGrid>
      <w:tr>
        <w:trPr>
          <w:cantSplit/>
          <w:jc w:val="center"/>
          <w:trHeight w:val="619" w:hRule="exact"/>
        </w:trPr>
        <w:tc>
          <w:tcPr>
            <w:tcW w:w="24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单位名称</w:t>
            </w:r>
            <w:r/>
          </w:p>
        </w:tc>
        <w:tc>
          <w:tcPr>
            <w:gridSpan w:val="3"/>
            <w:tcW w:w="59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625" w:hRule="exact"/>
        </w:trPr>
        <w:tc>
          <w:tcPr>
            <w:tcW w:w="24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单位地址</w:t>
            </w:r>
            <w:r/>
          </w:p>
        </w:tc>
        <w:tc>
          <w:tcPr>
            <w:gridSpan w:val="3"/>
            <w:tcW w:w="59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625" w:hRule="exact"/>
        </w:trPr>
        <w:tc>
          <w:tcPr>
            <w:tcW w:w="24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tcW w:w="21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单位电话</w:t>
            </w:r>
            <w:r/>
          </w:p>
        </w:tc>
        <w:tc>
          <w:tcPr>
            <w:tcW w:w="19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25" w:hRule="exact"/>
        </w:trPr>
        <w:tc>
          <w:tcPr>
            <w:tcW w:w="24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项目联系人</w:t>
            </w:r>
            <w:r/>
          </w:p>
        </w:tc>
        <w:tc>
          <w:tcPr>
            <w:tcW w:w="21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邮    箱</w:t>
            </w:r>
            <w:r/>
          </w:p>
        </w:tc>
        <w:tc>
          <w:tcPr>
            <w:tcW w:w="19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625" w:hRule="exact"/>
        </w:trPr>
        <w:tc>
          <w:tcPr>
            <w:tcW w:w="24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val="en-US" w:eastAsia="zh-CN"/>
              </w:rPr>
              <w:t xml:space="preserve">固定</w:t>
            </w:r>
            <w:r>
              <w:rPr>
                <w:rFonts w:hint="eastAsia" w:ascii="宋体" w:hAnsi="宋体" w:eastAsia="宋体" w:cs="宋体"/>
                <w:color w:val="auto"/>
                <w:sz w:val="21"/>
                <w:szCs w:val="21"/>
              </w:rPr>
              <w:t xml:space="preserve">电话</w:t>
            </w:r>
            <w:r/>
          </w:p>
        </w:tc>
        <w:tc>
          <w:tcPr>
            <w:tcW w:w="21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联系人手机</w:t>
            </w:r>
            <w:r/>
          </w:p>
        </w:tc>
        <w:tc>
          <w:tcPr>
            <w:tcW w:w="19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25" w:hRule="exact"/>
        </w:trPr>
        <w:tc>
          <w:tcPr>
            <w:tcW w:w="24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所投项目名称</w:t>
            </w:r>
            <w:r/>
          </w:p>
        </w:tc>
        <w:tc>
          <w:tcPr>
            <w:gridSpan w:val="3"/>
            <w:tcW w:w="59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657" w:hRule="exact"/>
        </w:trPr>
        <w:tc>
          <w:tcPr>
            <w:tcW w:w="24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所投标段</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lang w:eastAsia="zh-CN"/>
              </w:rPr>
              <w:t xml:space="preserve">）</w:t>
            </w:r>
            <w:r/>
          </w:p>
        </w:tc>
        <w:tc>
          <w:tcPr>
            <w:gridSpan w:val="3"/>
            <w:tcW w:w="59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bl>
    <w:p>
      <w:pP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备注：1、请准备参与本项目投标的供应商如实填写（以上信息均为必填内容）</w:t>
      </w:r>
      <w:r>
        <w:rPr>
          <w:rFonts w:hint="eastAsia" w:ascii="宋体" w:hAnsi="宋体" w:eastAsia="宋体" w:cs="宋体"/>
          <w:b/>
          <w:bCs/>
          <w:sz w:val="21"/>
          <w:szCs w:val="21"/>
          <w:lang w:val="en-US" w:eastAsia="zh-CN"/>
        </w:rPr>
        <w:t xml:space="preserve">并加盖</w:t>
      </w:r>
      <w:r>
        <w:rPr>
          <w:rFonts w:hint="eastAsia" w:ascii="宋体" w:hAnsi="宋体" w:eastAsia="宋体" w:cs="宋体"/>
          <w:b/>
          <w:bCs/>
          <w:sz w:val="21"/>
          <w:szCs w:val="21"/>
        </w:rPr>
        <w:t xml:space="preserve">投标供应商</w:t>
      </w:r>
      <w:r>
        <w:rPr>
          <w:rFonts w:hint="eastAsia" w:ascii="宋体" w:hAnsi="宋体" w:eastAsia="宋体" w:cs="宋体"/>
          <w:b/>
          <w:bCs/>
          <w:sz w:val="21"/>
          <w:szCs w:val="21"/>
          <w:lang w:val="en-US" w:eastAsia="zh-CN"/>
        </w:rPr>
        <w:t xml:space="preserve">公章</w:t>
      </w:r>
      <w:r>
        <w:rPr>
          <w:rFonts w:hint="eastAsia" w:ascii="宋体" w:hAnsi="宋体" w:eastAsia="宋体" w:cs="宋体"/>
          <w:b/>
          <w:bCs/>
          <w:sz w:val="21"/>
          <w:szCs w:val="21"/>
        </w:rPr>
        <w:t xml:space="preserve">后邮件至</w:t>
      </w:r>
      <w:r>
        <w:rPr>
          <w:rFonts w:hint="eastAsia" w:ascii="宋体" w:hAnsi="宋体" w:cs="宋体"/>
          <w:b/>
          <w:bCs/>
          <w:sz w:val="21"/>
          <w:szCs w:val="21"/>
          <w:lang w:val="en-US" w:eastAsia="zh-CN"/>
        </w:rPr>
        <w:t xml:space="preserve">采购</w:t>
      </w:r>
      <w:r>
        <w:rPr>
          <w:rFonts w:hint="eastAsia" w:ascii="宋体" w:hAnsi="宋体" w:eastAsia="宋体" w:cs="宋体"/>
          <w:b/>
          <w:bCs/>
          <w:sz w:val="21"/>
          <w:szCs w:val="21"/>
        </w:rPr>
        <w:t xml:space="preserve">代理机构（邮箱：2263852076@qq.com</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经办人联系电话详见公告，固定</w:t>
      </w:r>
      <w:r>
        <w:rPr>
          <w:rFonts w:hint="eastAsia" w:ascii="宋体" w:hAnsi="宋体" w:eastAsia="宋体" w:cs="宋体"/>
          <w:b/>
          <w:bCs/>
          <w:sz w:val="21"/>
          <w:szCs w:val="21"/>
        </w:rPr>
        <w:t xml:space="preserve">电话：</w:t>
      </w:r>
      <w:r>
        <w:rPr>
          <w:rFonts w:hint="eastAsia" w:ascii="宋体" w:hAnsi="宋体" w:cs="宋体"/>
          <w:b/>
          <w:bCs/>
          <w:sz w:val="21"/>
          <w:szCs w:val="21"/>
          <w:lang w:val="en-US" w:eastAsia="zh-CN"/>
        </w:rPr>
        <w:t xml:space="preserve">0514-89787281</w:t>
      </w:r>
      <w:r>
        <w:rPr>
          <w:rFonts w:hint="eastAsia" w:ascii="宋体" w:hAnsi="宋体" w:eastAsia="宋体" w:cs="宋体"/>
          <w:b/>
          <w:bCs/>
          <w:sz w:val="21"/>
          <w:szCs w:val="21"/>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lang w:eastAsia="zh-CN"/>
        </w:rPr>
      </w:pPr>
      <w:r>
        <w:rPr>
          <w:rFonts w:hint="eastAsia" w:ascii="宋体" w:hAnsi="宋体" w:cs="宋体"/>
          <w:b/>
          <w:bCs/>
          <w:sz w:val="21"/>
          <w:szCs w:val="21"/>
          <w:lang w:val="en-US" w:eastAsia="zh-CN"/>
        </w:rPr>
        <w:t xml:space="preserve">2、</w:t>
      </w:r>
      <w:r>
        <w:rPr>
          <w:rFonts w:hint="eastAsia" w:ascii="宋体" w:hAnsi="宋体" w:eastAsia="宋体" w:cs="宋体"/>
          <w:b/>
          <w:bCs/>
          <w:sz w:val="21"/>
          <w:szCs w:val="21"/>
        </w:rPr>
        <w:t xml:space="preserve">因</w:t>
      </w:r>
      <w:r>
        <w:rPr>
          <w:rFonts w:hint="eastAsia" w:ascii="宋体" w:hAnsi="宋体" w:eastAsia="宋体" w:cs="宋体"/>
          <w:b/>
          <w:bCs/>
          <w:sz w:val="21"/>
          <w:szCs w:val="21"/>
          <w:lang w:val="en-US" w:eastAsia="zh-CN"/>
        </w:rPr>
        <w:t xml:space="preserve">投标人（</w:t>
      </w:r>
      <w:r>
        <w:rPr>
          <w:rFonts w:hint="eastAsia" w:ascii="宋体" w:hAnsi="宋体" w:eastAsia="宋体" w:cs="宋体"/>
          <w:b/>
          <w:bCs/>
          <w:sz w:val="21"/>
          <w:szCs w:val="21"/>
        </w:rPr>
        <w:t xml:space="preserve">供应商</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填写有误，造成以上信息资料的不实将由投标人承担责任</w:t>
      </w:r>
      <w:r>
        <w:rPr>
          <w:rFonts w:hint="eastAsia" w:ascii="宋体" w:hAnsi="宋体" w:eastAsia="宋体" w:cs="宋体"/>
          <w:b/>
          <w:bCs/>
          <w:sz w:val="21"/>
          <w:szCs w:val="21"/>
          <w:lang w:eastAsia="zh-CN"/>
        </w:rPr>
        <w:t xml:space="preserve">。</w:t>
      </w:r>
      <w:r/>
    </w:p>
    <w:p>
      <w:pPr>
        <w:numPr>
          <w:ilvl w:val="0"/>
          <w:numId w:val="6"/>
        </w:num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此表手写无效。</w:t>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color w:val="auto"/>
          <w:sz w:val="21"/>
          <w:szCs w:val="21"/>
        </w:rPr>
        <w:t xml:space="preserve">    </w:t>
      </w:r>
      <w:r/>
    </w:p>
    <w:p>
      <w:pPr>
        <w:pStyle w:val="888"/>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8"/>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rFonts w:hint="eastAsia"/>
      </w:rPr>
      <w:t xml:space="preserve">JSZC-320000-HCZX-G2025-0023                                     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rFonts w:hint="eastAsia"/>
      </w:rPr>
      <w:t xml:space="preserve">JSZC-320000-HCZX-G2025-0023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90"/>
    <w:link w:val="886"/>
    <w:uiPriority w:val="9"/>
    <w:rPr>
      <w:rFonts w:ascii="Arial" w:hAnsi="Arial" w:eastAsia="Arial" w:cs="Arial"/>
      <w:sz w:val="40"/>
      <w:szCs w:val="40"/>
    </w:rPr>
  </w:style>
  <w:style w:type="character" w:styleId="719">
    <w:name w:val="Heading 2 Char"/>
    <w:basedOn w:val="890"/>
    <w:link w:val="887"/>
    <w:uiPriority w:val="9"/>
    <w:rPr>
      <w:rFonts w:ascii="Arial" w:hAnsi="Arial" w:eastAsia="Arial" w:cs="Arial"/>
      <w:sz w:val="34"/>
    </w:rPr>
  </w:style>
  <w:style w:type="character" w:styleId="720">
    <w:name w:val="Heading 3 Char"/>
    <w:basedOn w:val="890"/>
    <w:link w:val="888"/>
    <w:uiPriority w:val="9"/>
    <w:rPr>
      <w:rFonts w:ascii="Arial" w:hAnsi="Arial" w:eastAsia="Arial" w:cs="Arial"/>
      <w:sz w:val="30"/>
      <w:szCs w:val="30"/>
    </w:rPr>
  </w:style>
  <w:style w:type="character" w:styleId="721">
    <w:name w:val="Heading 4 Char"/>
    <w:basedOn w:val="890"/>
    <w:link w:val="889"/>
    <w:uiPriority w:val="9"/>
    <w:rPr>
      <w:rFonts w:ascii="Arial" w:hAnsi="Arial" w:eastAsia="Arial" w:cs="Arial"/>
      <w:b/>
      <w:bCs/>
      <w:sz w:val="26"/>
      <w:szCs w:val="26"/>
    </w:rPr>
  </w:style>
  <w:style w:type="paragraph" w:styleId="722">
    <w:name w:val="Heading 5"/>
    <w:basedOn w:val="885"/>
    <w:next w:val="885"/>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90"/>
    <w:link w:val="722"/>
    <w:uiPriority w:val="9"/>
    <w:rPr>
      <w:rFonts w:ascii="Arial" w:hAnsi="Arial" w:eastAsia="Arial" w:cs="Arial"/>
      <w:b/>
      <w:bCs/>
      <w:sz w:val="24"/>
      <w:szCs w:val="24"/>
    </w:rPr>
  </w:style>
  <w:style w:type="paragraph" w:styleId="724">
    <w:name w:val="Heading 6"/>
    <w:basedOn w:val="885"/>
    <w:next w:val="885"/>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90"/>
    <w:link w:val="724"/>
    <w:uiPriority w:val="9"/>
    <w:rPr>
      <w:rFonts w:ascii="Arial" w:hAnsi="Arial" w:eastAsia="Arial" w:cs="Arial"/>
      <w:b/>
      <w:bCs/>
      <w:sz w:val="22"/>
      <w:szCs w:val="22"/>
    </w:rPr>
  </w:style>
  <w:style w:type="paragraph" w:styleId="726">
    <w:name w:val="Heading 7"/>
    <w:basedOn w:val="885"/>
    <w:next w:val="885"/>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90"/>
    <w:link w:val="726"/>
    <w:uiPriority w:val="9"/>
    <w:rPr>
      <w:rFonts w:ascii="Arial" w:hAnsi="Arial" w:eastAsia="Arial" w:cs="Arial"/>
      <w:b/>
      <w:bCs/>
      <w:i/>
      <w:iCs/>
      <w:sz w:val="22"/>
      <w:szCs w:val="22"/>
    </w:rPr>
  </w:style>
  <w:style w:type="paragraph" w:styleId="728">
    <w:name w:val="Heading 8"/>
    <w:basedOn w:val="885"/>
    <w:next w:val="885"/>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90"/>
    <w:link w:val="728"/>
    <w:uiPriority w:val="9"/>
    <w:rPr>
      <w:rFonts w:ascii="Arial" w:hAnsi="Arial" w:eastAsia="Arial" w:cs="Arial"/>
      <w:i/>
      <w:iCs/>
      <w:sz w:val="22"/>
      <w:szCs w:val="22"/>
    </w:rPr>
  </w:style>
  <w:style w:type="paragraph" w:styleId="730">
    <w:name w:val="Heading 9"/>
    <w:basedOn w:val="885"/>
    <w:next w:val="885"/>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90"/>
    <w:link w:val="730"/>
    <w:uiPriority w:val="9"/>
    <w:rPr>
      <w:rFonts w:ascii="Arial" w:hAnsi="Arial" w:eastAsia="Arial" w:cs="Arial"/>
      <w:i/>
      <w:iCs/>
      <w:sz w:val="21"/>
      <w:szCs w:val="21"/>
    </w:rPr>
  </w:style>
  <w:style w:type="paragraph" w:styleId="732">
    <w:name w:val="No Spacing"/>
    <w:uiPriority w:val="1"/>
    <w:qFormat/>
    <w:pPr>
      <w:spacing w:before="0" w:after="0" w:line="240" w:lineRule="auto"/>
    </w:pPr>
  </w:style>
  <w:style w:type="paragraph" w:styleId="733">
    <w:name w:val="Title"/>
    <w:basedOn w:val="885"/>
    <w:next w:val="885"/>
    <w:link w:val="734"/>
    <w:uiPriority w:val="10"/>
    <w:qFormat/>
    <w:pPr>
      <w:contextualSpacing/>
      <w:spacing w:before="300" w:after="200"/>
    </w:pPr>
    <w:rPr>
      <w:sz w:val="48"/>
      <w:szCs w:val="48"/>
    </w:rPr>
  </w:style>
  <w:style w:type="character" w:styleId="734">
    <w:name w:val="Title Char"/>
    <w:basedOn w:val="890"/>
    <w:link w:val="733"/>
    <w:uiPriority w:val="10"/>
    <w:rPr>
      <w:sz w:val="48"/>
      <w:szCs w:val="48"/>
    </w:rPr>
  </w:style>
  <w:style w:type="paragraph" w:styleId="735">
    <w:name w:val="Subtitle"/>
    <w:basedOn w:val="885"/>
    <w:next w:val="885"/>
    <w:link w:val="736"/>
    <w:uiPriority w:val="11"/>
    <w:qFormat/>
    <w:pPr>
      <w:spacing w:before="200" w:after="200"/>
    </w:pPr>
    <w:rPr>
      <w:sz w:val="24"/>
      <w:szCs w:val="24"/>
    </w:rPr>
  </w:style>
  <w:style w:type="character" w:styleId="736">
    <w:name w:val="Subtitle Char"/>
    <w:basedOn w:val="890"/>
    <w:link w:val="735"/>
    <w:uiPriority w:val="11"/>
    <w:rPr>
      <w:sz w:val="24"/>
      <w:szCs w:val="24"/>
    </w:rPr>
  </w:style>
  <w:style w:type="paragraph" w:styleId="737">
    <w:name w:val="Quote"/>
    <w:basedOn w:val="885"/>
    <w:next w:val="885"/>
    <w:link w:val="738"/>
    <w:uiPriority w:val="29"/>
    <w:qFormat/>
    <w:pPr>
      <w:ind w:left="720" w:right="720"/>
    </w:pPr>
    <w:rPr>
      <w:i/>
    </w:rPr>
  </w:style>
  <w:style w:type="character" w:styleId="738">
    <w:name w:val="Quote Char"/>
    <w:link w:val="737"/>
    <w:uiPriority w:val="29"/>
    <w:rPr>
      <w:i/>
    </w:rPr>
  </w:style>
  <w:style w:type="paragraph" w:styleId="739">
    <w:name w:val="Intense Quote"/>
    <w:basedOn w:val="885"/>
    <w:next w:val="885"/>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90"/>
    <w:link w:val="909"/>
    <w:uiPriority w:val="99"/>
  </w:style>
  <w:style w:type="character" w:styleId="742">
    <w:name w:val="Footer Char"/>
    <w:basedOn w:val="890"/>
    <w:link w:val="908"/>
    <w:uiPriority w:val="99"/>
  </w:style>
  <w:style w:type="paragraph" w:styleId="743">
    <w:name w:val="Caption"/>
    <w:basedOn w:val="885"/>
    <w:next w:val="885"/>
    <w:uiPriority w:val="35"/>
    <w:semiHidden/>
    <w:unhideWhenUsed/>
    <w:qFormat/>
    <w:pPr>
      <w:spacing w:line="276" w:lineRule="auto"/>
    </w:pPr>
    <w:rPr>
      <w:b/>
      <w:bCs/>
      <w:color w:val="4f81bd" w:themeColor="accent1"/>
      <w:sz w:val="18"/>
      <w:szCs w:val="18"/>
    </w:rPr>
  </w:style>
  <w:style w:type="character" w:styleId="744">
    <w:name w:val="Caption Char"/>
    <w:basedOn w:val="743"/>
    <w:link w:val="908"/>
    <w:uiPriority w:val="99"/>
  </w:style>
  <w:style w:type="table" w:styleId="745">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3">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4">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8">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5"/>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90"/>
    <w:uiPriority w:val="99"/>
    <w:unhideWhenUsed/>
    <w:rPr>
      <w:vertAlign w:val="superscript"/>
    </w:rPr>
  </w:style>
  <w:style w:type="paragraph" w:styleId="873">
    <w:name w:val="endnote text"/>
    <w:basedOn w:val="885"/>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90"/>
    <w:uiPriority w:val="99"/>
    <w:semiHidden/>
    <w:unhideWhenUsed/>
    <w:rPr>
      <w:vertAlign w:val="superscript"/>
    </w:rPr>
  </w:style>
  <w:style w:type="paragraph" w:styleId="876">
    <w:name w:val="toc 2"/>
    <w:basedOn w:val="885"/>
    <w:next w:val="885"/>
    <w:uiPriority w:val="39"/>
    <w:unhideWhenUsed/>
    <w:pPr>
      <w:ind w:left="283" w:right="0" w:firstLine="0"/>
      <w:spacing w:after="57"/>
    </w:pPr>
  </w:style>
  <w:style w:type="paragraph" w:styleId="877">
    <w:name w:val="toc 3"/>
    <w:basedOn w:val="885"/>
    <w:next w:val="885"/>
    <w:uiPriority w:val="39"/>
    <w:unhideWhenUsed/>
    <w:pPr>
      <w:ind w:left="567" w:right="0" w:firstLine="0"/>
      <w:spacing w:after="57"/>
    </w:pPr>
  </w:style>
  <w:style w:type="paragraph" w:styleId="878">
    <w:name w:val="toc 4"/>
    <w:basedOn w:val="885"/>
    <w:next w:val="885"/>
    <w:uiPriority w:val="39"/>
    <w:unhideWhenUsed/>
    <w:pPr>
      <w:ind w:left="850" w:right="0" w:firstLine="0"/>
      <w:spacing w:after="57"/>
    </w:pPr>
  </w:style>
  <w:style w:type="paragraph" w:styleId="879">
    <w:name w:val="toc 5"/>
    <w:basedOn w:val="885"/>
    <w:next w:val="885"/>
    <w:uiPriority w:val="39"/>
    <w:unhideWhenUsed/>
    <w:pPr>
      <w:ind w:left="1134" w:right="0" w:firstLine="0"/>
      <w:spacing w:after="57"/>
    </w:pPr>
  </w:style>
  <w:style w:type="paragraph" w:styleId="880">
    <w:name w:val="toc 6"/>
    <w:basedOn w:val="885"/>
    <w:next w:val="885"/>
    <w:uiPriority w:val="39"/>
    <w:unhideWhenUsed/>
    <w:pPr>
      <w:ind w:left="1417" w:right="0" w:firstLine="0"/>
      <w:spacing w:after="57"/>
    </w:pPr>
  </w:style>
  <w:style w:type="paragraph" w:styleId="881">
    <w:name w:val="toc 7"/>
    <w:basedOn w:val="885"/>
    <w:next w:val="885"/>
    <w:uiPriority w:val="39"/>
    <w:unhideWhenUsed/>
    <w:pPr>
      <w:ind w:left="1701" w:right="0" w:firstLine="0"/>
      <w:spacing w:after="57"/>
    </w:pPr>
  </w:style>
  <w:style w:type="paragraph" w:styleId="882">
    <w:name w:val="toc 8"/>
    <w:basedOn w:val="885"/>
    <w:next w:val="885"/>
    <w:uiPriority w:val="39"/>
    <w:unhideWhenUsed/>
    <w:pPr>
      <w:ind w:left="1984"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2"/>
    <w:uiPriority w:val="0"/>
    <w:qFormat/>
    <w:pPr>
      <w:jc w:val="both"/>
      <w:widowControl w:val="off"/>
    </w:pPr>
    <w:rPr>
      <w:rFonts w:ascii="Calibri" w:hAnsi="Calibri" w:eastAsia="宋体" w:cs="Times New Roman"/>
      <w:sz w:val="21"/>
      <w:szCs w:val="22"/>
      <w:lang w:val="en-US" w:eastAsia="zh-CN" w:bidi="ar-SA"/>
    </w:rPr>
  </w:style>
  <w:style w:type="paragraph" w:styleId="886">
    <w:name w:val="Heading 1"/>
    <w:basedOn w:val="885"/>
    <w:next w:val="885"/>
    <w:uiPriority w:val="9"/>
    <w:qFormat/>
    <w:pPr>
      <w:keepLines/>
      <w:keepNext/>
      <w:spacing w:before="340" w:after="330" w:line="578" w:lineRule="auto"/>
      <w:outlineLvl w:val="0"/>
    </w:pPr>
    <w:rPr>
      <w:b/>
      <w:bCs/>
      <w:sz w:val="44"/>
      <w:szCs w:val="44"/>
    </w:rPr>
  </w:style>
  <w:style w:type="paragraph" w:styleId="887">
    <w:name w:val="Heading 2"/>
    <w:basedOn w:val="885"/>
    <w:next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name w:val="Heading 3"/>
    <w:basedOn w:val="885"/>
    <w:next w:val="885"/>
    <w:uiPriority w:val="0"/>
    <w:qFormat/>
    <w:pPr>
      <w:keepLines/>
      <w:keepNext/>
      <w:spacing w:before="260" w:after="260" w:line="416" w:lineRule="auto"/>
      <w:outlineLvl w:val="2"/>
    </w:pPr>
    <w:rPr>
      <w:b/>
      <w:bCs/>
      <w:sz w:val="32"/>
      <w:szCs w:val="32"/>
    </w:rPr>
  </w:style>
  <w:style w:type="paragraph" w:styleId="889">
    <w:name w:val="Heading 4"/>
    <w:basedOn w:val="885"/>
    <w:next w:val="900"/>
    <w:uiPriority w:val="0"/>
    <w:qFormat/>
    <w:pPr>
      <w:spacing w:before="280" w:after="290" w:line="377" w:lineRule="auto"/>
      <w:outlineLvl w:val="3"/>
    </w:pPr>
    <w:rPr>
      <w:rFonts w:ascii="Arial" w:hAnsi="Arial" w:eastAsia="黑体"/>
      <w:b/>
      <w:bCs/>
      <w:sz w:val="28"/>
      <w:szCs w:val="28"/>
    </w:rPr>
  </w:style>
  <w:style w:type="character" w:styleId="890" w:default="1">
    <w:name w:val="Default Paragraph Font"/>
    <w:uiPriority w:val="1"/>
    <w:semiHidden/>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customStyle="1">
    <w:name w:val="正文（缩进）"/>
    <w:basedOn w:val="885"/>
    <w:next w:val="893"/>
    <w:uiPriority w:val="0"/>
    <w:qFormat/>
    <w:pPr>
      <w:ind w:firstLine="480"/>
      <w:spacing w:before="156" w:after="156"/>
    </w:pPr>
  </w:style>
  <w:style w:type="paragraph" w:styleId="893" w:customStyle="1">
    <w:name w:val="Char Char Char Char Char Char Char Char Char"/>
    <w:basedOn w:val="885"/>
    <w:next w:val="894"/>
    <w:uiPriority w:val="0"/>
    <w:qFormat/>
    <w:pPr>
      <w:ind w:left="360" w:hanging="360"/>
      <w:tabs>
        <w:tab w:val="left" w:pos="360" w:leader="none"/>
      </w:tabs>
    </w:pPr>
    <w:rPr>
      <w:rFonts w:eastAsia="Calibri" w:cs="宋体"/>
      <w:sz w:val="24"/>
      <w:szCs w:val="24"/>
      <w:lang w:val="zh-CN"/>
    </w:rPr>
  </w:style>
  <w:style w:type="paragraph" w:styleId="894" w:customStyle="1">
    <w:name w:val="正文文本 21"/>
    <w:basedOn w:val="885"/>
    <w:next w:val="895"/>
    <w:uiPriority w:val="0"/>
    <w:qFormat/>
    <w:pPr>
      <w:ind w:left="720" w:hanging="720"/>
      <w:widowControl/>
    </w:pPr>
    <w:rPr>
      <w:rFonts w:eastAsia="Calibri" w:cs="宋体"/>
      <w:sz w:val="24"/>
      <w:szCs w:val="20"/>
      <w:lang w:val="en-GB"/>
    </w:rPr>
  </w:style>
  <w:style w:type="paragraph" w:styleId="895" w:customStyle="1">
    <w:name w:val="默认段落字体 Para Char Char Char Char Char Char Char"/>
    <w:basedOn w:val="885"/>
    <w:next w:val="896"/>
    <w:uiPriority w:val="0"/>
    <w:qFormat/>
    <w:pPr>
      <w:ind w:firstLine="200"/>
    </w:pPr>
    <w:rPr>
      <w:rFonts w:cs="Arial"/>
    </w:rPr>
  </w:style>
  <w:style w:type="paragraph" w:styleId="896" w:customStyle="1">
    <w:name w:val="样式 首行缩进:  2 字符"/>
    <w:basedOn w:val="885"/>
    <w:next w:val="897"/>
    <w:uiPriority w:val="0"/>
    <w:qFormat/>
    <w:pPr>
      <w:ind w:firstLine="480"/>
      <w:spacing w:line="360" w:lineRule="auto"/>
    </w:pPr>
    <w:rPr>
      <w:sz w:val="24"/>
      <w:szCs w:val="20"/>
      <w:lang w:val="zh-CN"/>
    </w:rPr>
  </w:style>
  <w:style w:type="paragraph" w:styleId="897" w:customStyle="1">
    <w:name w:val="样式 段后: 0.25 行"/>
    <w:basedOn w:val="885"/>
    <w:next w:val="898"/>
    <w:uiPriority w:val="0"/>
    <w:qFormat/>
    <w:pPr>
      <w:ind w:firstLine="420"/>
      <w:spacing w:line="300" w:lineRule="auto"/>
      <w:widowControl/>
    </w:pPr>
    <w:rPr>
      <w:rFonts w:ascii="Arial" w:hAnsi="Arial" w:eastAsia="Calibri" w:cs="宋体"/>
      <w:sz w:val="22"/>
      <w:szCs w:val="20"/>
      <w:lang w:val="zh-CN" w:eastAsia="en-US" w:bidi="en-US"/>
    </w:rPr>
  </w:style>
  <w:style w:type="paragraph" w:styleId="898" w:customStyle="1">
    <w:name w:val="正文 New New New New New New New New New New New New New New"/>
    <w:next w:val="899"/>
    <w:uiPriority w:val="0"/>
    <w:qFormat/>
    <w:pPr>
      <w:jc w:val="both"/>
      <w:widowControl w:val="off"/>
    </w:pPr>
    <w:rPr>
      <w:rFonts w:hint="eastAsia" w:ascii="Times New Roman" w:hAnsi="Times New Roman" w:eastAsia="宋体" w:cs="Times New Roman"/>
      <w:sz w:val="21"/>
      <w:lang w:val="en-US" w:eastAsia="zh-CN" w:bidi="ar-SA"/>
    </w:rPr>
  </w:style>
  <w:style w:type="paragraph" w:styleId="899">
    <w:name w:val="toc 9"/>
    <w:basedOn w:val="885"/>
    <w:next w:val="885"/>
    <w:uiPriority w:val="2"/>
    <w:qFormat/>
    <w:pPr>
      <w:ind w:left="1680"/>
      <w:jc w:val="left"/>
    </w:pPr>
    <w:rPr>
      <w:sz w:val="18"/>
      <w:szCs w:val="18"/>
    </w:rPr>
  </w:style>
  <w:style w:type="paragraph" w:styleId="900">
    <w:name w:val="Normal Indent"/>
    <w:basedOn w:val="885"/>
    <w:next w:val="885"/>
    <w:uiPriority w:val="0"/>
    <w:unhideWhenUsed/>
    <w:qFormat/>
    <w:pPr>
      <w:ind w:firstLine="420"/>
    </w:pPr>
  </w:style>
  <w:style w:type="paragraph" w:styleId="901">
    <w:name w:val="annotation text"/>
    <w:basedOn w:val="885"/>
    <w:link w:val="934"/>
    <w:uiPriority w:val="0"/>
    <w:qFormat/>
    <w:pPr>
      <w:jc w:val="left"/>
    </w:pPr>
  </w:style>
  <w:style w:type="paragraph" w:styleId="902">
    <w:name w:val="Body Text"/>
    <w:basedOn w:val="885"/>
    <w:uiPriority w:val="0"/>
    <w:qFormat/>
    <w:rPr>
      <w:rFonts w:ascii="楷体_GB2312" w:hAnsi="Arial" w:eastAsia="楷体_GB2312"/>
      <w:sz w:val="28"/>
      <w:szCs w:val="28"/>
    </w:rPr>
  </w:style>
  <w:style w:type="paragraph" w:styleId="903">
    <w:name w:val="Body Text Indent"/>
    <w:basedOn w:val="885"/>
    <w:next w:val="885"/>
    <w:uiPriority w:val="99"/>
    <w:qFormat/>
    <w:pPr>
      <w:ind w:left="420"/>
      <w:spacing w:after="120"/>
    </w:pPr>
    <w:rPr>
      <w:sz w:val="20"/>
      <w:szCs w:val="24"/>
    </w:rPr>
  </w:style>
  <w:style w:type="paragraph" w:styleId="904">
    <w:name w:val="List Bullet 2"/>
    <w:basedOn w:val="885"/>
    <w:uiPriority w:val="0"/>
    <w:qFormat/>
    <w:pPr>
      <w:numPr>
        <w:ilvl w:val="0"/>
        <w:numId w:val="1"/>
      </w:numPr>
    </w:pPr>
  </w:style>
  <w:style w:type="paragraph" w:styleId="905">
    <w:name w:val="Plain Text"/>
    <w:basedOn w:val="885"/>
    <w:uiPriority w:val="99"/>
    <w:qFormat/>
    <w:rPr>
      <w:rFonts w:ascii="宋体" w:hAnsi="Courier New"/>
      <w:sz w:val="20"/>
      <w:szCs w:val="21"/>
    </w:rPr>
  </w:style>
  <w:style w:type="paragraph" w:styleId="906">
    <w:name w:val="Body Text Indent 2"/>
    <w:basedOn w:val="885"/>
    <w:link w:val="936"/>
    <w:uiPriority w:val="99"/>
    <w:qFormat/>
    <w:pPr>
      <w:ind w:firstLine="562"/>
      <w:spacing w:line="480" w:lineRule="exact"/>
    </w:pPr>
    <w:rPr>
      <w:rFonts w:ascii="楷体_GB2312" w:eastAsia="楷体_GB2312"/>
      <w:b/>
      <w:bCs/>
      <w:sz w:val="28"/>
      <w:szCs w:val="24"/>
    </w:rPr>
  </w:style>
  <w:style w:type="paragraph" w:styleId="907">
    <w:name w:val="Balloon Text"/>
    <w:basedOn w:val="885"/>
    <w:link w:val="921"/>
    <w:uiPriority w:val="0"/>
    <w:qFormat/>
    <w:rPr>
      <w:sz w:val="18"/>
      <w:szCs w:val="18"/>
    </w:rPr>
  </w:style>
  <w:style w:type="paragraph" w:styleId="908">
    <w:name w:val="Footer"/>
    <w:basedOn w:val="885"/>
    <w:uiPriority w:val="99"/>
    <w:unhideWhenUsed/>
    <w:qFormat/>
    <w:pPr>
      <w:jc w:val="left"/>
      <w:tabs>
        <w:tab w:val="center" w:pos="4153" w:leader="none"/>
        <w:tab w:val="right" w:pos="8306" w:leader="none"/>
      </w:tabs>
    </w:pPr>
    <w:rPr>
      <w:sz w:val="18"/>
      <w:szCs w:val="18"/>
    </w:rPr>
  </w:style>
  <w:style w:type="paragraph" w:styleId="909">
    <w:name w:val="Header"/>
    <w:basedOn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85"/>
    <w:next w:val="885"/>
    <w:uiPriority w:val="39"/>
    <w:unhideWhenUsed/>
    <w:qFormat/>
  </w:style>
  <w:style w:type="paragraph" w:styleId="911">
    <w:name w:val="Body Text 2"/>
    <w:basedOn w:val="885"/>
    <w:uiPriority w:val="0"/>
    <w:qFormat/>
    <w:pPr>
      <w:spacing w:after="120" w:line="480" w:lineRule="auto"/>
    </w:pPr>
  </w:style>
  <w:style w:type="paragraph" w:styleId="912">
    <w:name w:val="Normal (Web)"/>
    <w:basedOn w:val="885"/>
    <w:uiPriority w:val="0"/>
    <w:qFormat/>
    <w:rPr>
      <w:rFonts w:ascii="Times New Roman" w:hAnsi="Times New Roman"/>
      <w:sz w:val="24"/>
    </w:rPr>
  </w:style>
  <w:style w:type="paragraph" w:styleId="913">
    <w:name w:val="annotation subject"/>
    <w:basedOn w:val="901"/>
    <w:next w:val="901"/>
    <w:link w:val="935"/>
    <w:uiPriority w:val="0"/>
    <w:qFormat/>
    <w:rPr>
      <w:b/>
      <w:bCs/>
    </w:rPr>
  </w:style>
  <w:style w:type="table" w:styleId="914">
    <w:name w:val="Table Grid"/>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Strong"/>
    <w:uiPriority w:val="0"/>
    <w:qFormat/>
    <w:rPr>
      <w:b/>
    </w:rPr>
  </w:style>
  <w:style w:type="character" w:styleId="916">
    <w:name w:val="Hyperlink"/>
    <w:basedOn w:val="890"/>
    <w:uiPriority w:val="0"/>
    <w:qFormat/>
    <w:rPr>
      <w:color w:val="0563c1" w:themeColor="hyperlink"/>
      <w:u w:val="single"/>
      <w14:textFill>
        <w14:solidFill>
          <w14:schemeClr w14:val="hlink"/>
        </w14:solidFill>
      </w14:textFill>
    </w:rPr>
  </w:style>
  <w:style w:type="character" w:styleId="917">
    <w:name w:val="annotation reference"/>
    <w:basedOn w:val="890"/>
    <w:uiPriority w:val="0"/>
    <w:qFormat/>
    <w:rPr>
      <w:sz w:val="21"/>
      <w:szCs w:val="21"/>
    </w:rPr>
  </w:style>
  <w:style w:type="paragraph" w:styleId="918" w:customStyle="1">
    <w:name w:val="正文1"/>
    <w:basedOn w:val="885"/>
    <w:next w:val="885"/>
    <w:uiPriority w:val="0"/>
    <w:qFormat/>
    <w:pPr>
      <w:jc w:val="left"/>
      <w:spacing w:line="360" w:lineRule="atLeast"/>
    </w:pPr>
    <w:rPr>
      <w:rFonts w:ascii="宋体" w:hAnsiTheme="minorHAnsi" w:eastAsiaTheme="minorEastAsia" w:cstheme="minorBidi"/>
      <w:sz w:val="24"/>
      <w:szCs w:val="20"/>
    </w:rPr>
  </w:style>
  <w:style w:type="paragraph" w:styleId="919" w:customStyle="1">
    <w:name w:val="普通正文"/>
    <w:basedOn w:val="885"/>
    <w:uiPriority w:val="0"/>
    <w:qFormat/>
    <w:pPr>
      <w:ind w:firstLine="480"/>
      <w:jc w:val="left"/>
      <w:spacing w:before="120" w:after="120" w:line="360" w:lineRule="auto"/>
    </w:pPr>
    <w:rPr>
      <w:rFonts w:ascii="Arial" w:hAnsi="Arial"/>
      <w:sz w:val="24"/>
      <w:szCs w:val="24"/>
    </w:rPr>
  </w:style>
  <w:style w:type="paragraph" w:styleId="920" w:customStyle="1">
    <w:name w:val="Char"/>
    <w:basedOn w:val="885"/>
    <w:uiPriority w:val="0"/>
    <w:qFormat/>
    <w:pPr>
      <w:ind w:firstLine="200"/>
      <w:tabs>
        <w:tab w:val="left" w:pos="360" w:leader="none"/>
      </w:tabs>
    </w:pPr>
    <w:rPr>
      <w:rFonts w:ascii="Times New Roman" w:hAnsi="Times New Roman"/>
      <w:sz w:val="28"/>
      <w:szCs w:val="30"/>
    </w:rPr>
  </w:style>
  <w:style w:type="character" w:styleId="921" w:customStyle="1">
    <w:name w:val="批注框文本 Char"/>
    <w:basedOn w:val="890"/>
    <w:link w:val="907"/>
    <w:uiPriority w:val="0"/>
    <w:qFormat/>
    <w:rPr>
      <w:sz w:val="18"/>
      <w:szCs w:val="18"/>
    </w:rPr>
  </w:style>
  <w:style w:type="paragraph" w:styleId="922" w:customStyle="1">
    <w:name w:val="正文文本1"/>
    <w:basedOn w:val="918"/>
    <w:next w:val="923"/>
    <w:uiPriority w:val="0"/>
    <w:qFormat/>
    <w:pPr>
      <w:spacing w:after="120"/>
    </w:pPr>
    <w:rPr>
      <w:lang w:eastAsia="en-US"/>
    </w:rPr>
  </w:style>
  <w:style w:type="paragraph" w:styleId="923" w:customStyle="1">
    <w:name w:val="一级条标题"/>
    <w:basedOn w:val="924"/>
    <w:next w:val="9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4" w:customStyle="1">
    <w:name w:val="章标题"/>
    <w:next w:val="88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5" w:customStyle="1">
    <w:name w:val="段"/>
    <w:basedOn w:val="918"/>
    <w:next w:val="885"/>
    <w:uiPriority w:val="0"/>
    <w:qFormat/>
    <w:pPr>
      <w:ind w:firstLine="200"/>
      <w:widowControl/>
    </w:pPr>
    <w:rPr>
      <w:sz w:val="20"/>
    </w:rPr>
  </w:style>
  <w:style w:type="character" w:styleId="926" w:customStyle="1">
    <w:name w:val="NormalCharacter"/>
    <w:uiPriority w:val="99"/>
    <w:qFormat/>
    <w:rPr>
      <w:rFonts w:ascii="Calibri" w:hAnsi="Calibri" w:eastAsia="宋体" w:cs="Times New Roman"/>
      <w:sz w:val="21"/>
      <w:szCs w:val="22"/>
      <w:lang w:val="en-US" w:eastAsia="zh-CN" w:bidi="ar-SA"/>
    </w:rPr>
  </w:style>
  <w:style w:type="paragraph" w:styleId="927" w:customStyle="1">
    <w:name w:val="p0"/>
    <w:basedOn w:val="885"/>
    <w:uiPriority w:val="0"/>
    <w:qFormat/>
    <w:pPr>
      <w:widowControl/>
    </w:pPr>
    <w:rPr>
      <w:rFonts w:ascii="Times New Roman" w:hAnsi="Times New Roman"/>
      <w:szCs w:val="21"/>
    </w:rPr>
  </w:style>
  <w:style w:type="paragraph" w:styleId="928">
    <w:name w:val="List Paragraph"/>
    <w:basedOn w:val="885"/>
    <w:uiPriority w:val="34"/>
    <w:qFormat/>
    <w:pPr>
      <w:ind w:firstLine="420"/>
    </w:pPr>
  </w:style>
  <w:style w:type="paragraph" w:styleId="929" w:customStyle="1">
    <w:name w:val="Table Paragraph"/>
    <w:basedOn w:val="885"/>
    <w:uiPriority w:val="1"/>
    <w:qFormat/>
    <w:rPr>
      <w:rFonts w:ascii="Noto Sans CJK JP Regular" w:hAnsi="Noto Sans CJK JP Regular" w:eastAsia="Noto Sans CJK JP Regular" w:cs="Noto Sans CJK JP Regular"/>
      <w:lang w:eastAsia="en-US"/>
    </w:rPr>
  </w:style>
  <w:style w:type="paragraph" w:styleId="930" w:customStyle="1">
    <w:name w:val="纯文本1"/>
    <w:basedOn w:val="885"/>
    <w:uiPriority w:val="0"/>
    <w:qFormat/>
    <w:rPr>
      <w:rFonts w:ascii="宋体" w:hAnsi="Courier New" w:eastAsia="楷体_GB2312"/>
      <w:sz w:val="28"/>
      <w:szCs w:val="20"/>
    </w:rPr>
  </w:style>
  <w:style w:type="paragraph" w:styleId="931" w:customStyle="1">
    <w:name w:val="正文空2格  1."/>
    <w:basedOn w:val="885"/>
    <w:uiPriority w:val="0"/>
    <w:qFormat/>
    <w:pPr>
      <w:ind w:firstLine="480"/>
    </w:pPr>
    <w:rPr>
      <w:rFonts w:cs="宋体"/>
      <w:sz w:val="28"/>
      <w:szCs w:val="20"/>
    </w:rPr>
  </w:style>
  <w:style w:type="character" w:styleId="932" w:customStyle="1">
    <w:name w:val="font11"/>
    <w:basedOn w:val="890"/>
    <w:uiPriority w:val="0"/>
    <w:qFormat/>
    <w:rPr>
      <w:rFonts w:hint="eastAsia" w:ascii="宋体" w:hAnsi="宋体" w:eastAsia="宋体" w:cs="宋体"/>
      <w:color w:val="000000"/>
      <w:sz w:val="21"/>
      <w:szCs w:val="21"/>
      <w:u w:val="none"/>
    </w:rPr>
  </w:style>
  <w:style w:type="paragraph" w:styleId="933" w:customStyle="1">
    <w:name w:val="正文文本12"/>
    <w:uiPriority w:val="0"/>
    <w:semiHidden/>
    <w:qFormat/>
    <w:rPr>
      <w:rFonts w:ascii="宋体" w:hAnsi="宋体" w:eastAsia="宋体" w:cs="宋体"/>
      <w:color w:val="000000"/>
      <w:sz w:val="31"/>
      <w:szCs w:val="31"/>
      <w:lang w:val="en-US" w:eastAsia="en-US" w:bidi="ar-SA"/>
    </w:rPr>
  </w:style>
  <w:style w:type="character" w:styleId="934" w:customStyle="1">
    <w:name w:val="批注文字 Char"/>
    <w:basedOn w:val="890"/>
    <w:link w:val="901"/>
    <w:uiPriority w:val="0"/>
    <w:qFormat/>
    <w:rPr>
      <w:rFonts w:ascii="Calibri" w:hAnsi="Calibri" w:eastAsia="宋体" w:cs="Times New Roman"/>
      <w:sz w:val="21"/>
      <w:szCs w:val="22"/>
    </w:rPr>
  </w:style>
  <w:style w:type="character" w:styleId="935" w:customStyle="1">
    <w:name w:val="批注主题 Char"/>
    <w:basedOn w:val="934"/>
    <w:link w:val="913"/>
    <w:uiPriority w:val="0"/>
    <w:qFormat/>
    <w:rPr>
      <w:rFonts w:ascii="Calibri" w:hAnsi="Calibri" w:eastAsia="宋体" w:cs="Times New Roman"/>
      <w:b/>
      <w:bCs/>
      <w:sz w:val="21"/>
      <w:szCs w:val="22"/>
    </w:rPr>
  </w:style>
  <w:style w:type="character" w:styleId="936" w:customStyle="1">
    <w:name w:val="正文文本缩进 2 Char"/>
    <w:basedOn w:val="890"/>
    <w:link w:val="906"/>
    <w:uiPriority w:val="99"/>
    <w:qFormat/>
    <w:rPr>
      <w:rFonts w:ascii="楷体_GB2312" w:hAnsi="Calibri" w:eastAsia="楷体_GB2312" w:cs="Times New Roman"/>
      <w:b/>
      <w:bCs/>
      <w:sz w:val="28"/>
      <w:szCs w:val="24"/>
    </w:rPr>
  </w:style>
  <w:style w:type="paragraph" w:styleId="937" w:customStyle="1">
    <w:name w:val="正文11"/>
    <w:next w:val="918"/>
    <w:uiPriority w:val="0"/>
    <w:qFormat/>
    <w:pPr>
      <w:jc w:val="both"/>
      <w:widowControl w:val="off"/>
    </w:pPr>
    <w:rPr>
      <w:rFonts w:ascii="Times New Roman" w:hAnsi="Times New Roman" w:eastAsia="宋体" w:cs="Times New Roman"/>
      <w:sz w:val="21"/>
      <w:szCs w:val="22"/>
      <w:lang w:val="en-US" w:eastAsia="zh-CN" w:bidi="ar-SA"/>
    </w:rPr>
  </w:style>
  <w:style w:type="paragraph" w:styleId="938" w:customStyle="1">
    <w:name w:val="标题 41"/>
    <w:basedOn w:val="885"/>
    <w:next w:val="939"/>
    <w:uiPriority w:val="0"/>
    <w:qFormat/>
    <w:pPr>
      <w:spacing w:before="280" w:after="290" w:line="377" w:lineRule="auto"/>
      <w:outlineLvl w:val="3"/>
    </w:pPr>
    <w:rPr>
      <w:rFonts w:ascii="Arial" w:hAnsi="Arial" w:eastAsia="黑体"/>
      <w:b/>
      <w:bCs/>
      <w:sz w:val="28"/>
      <w:szCs w:val="28"/>
    </w:rPr>
  </w:style>
  <w:style w:type="paragraph" w:styleId="939" w:customStyle="1">
    <w:name w:val="正文缩进1"/>
    <w:basedOn w:val="885"/>
    <w:uiPriority w:val="0"/>
    <w:qFormat/>
    <w:pPr>
      <w:ind w:firstLine="420"/>
    </w:pPr>
    <w:rPr>
      <w:sz w:val="20"/>
      <w:szCs w:val="21"/>
    </w:rPr>
  </w:style>
  <w:style w:type="paragraph" w:styleId="940" w:customStyle="1">
    <w:name w:val="_Style 2"/>
    <w:basedOn w:val="885"/>
    <w:uiPriority w:val="34"/>
    <w:qFormat/>
    <w:pPr>
      <w:ind w:firstLine="420"/>
    </w:pPr>
  </w:style>
  <w:style w:type="paragraph" w:styleId="941" w:customStyle="1">
    <w:name w:val="标题 11"/>
    <w:basedOn w:val="885"/>
    <w:next w:val="885"/>
    <w:uiPriority w:val="9"/>
    <w:qFormat/>
    <w:pPr>
      <w:keepLines/>
      <w:keepNext/>
      <w:spacing w:before="340" w:after="330" w:line="578" w:lineRule="auto"/>
      <w:outlineLvl w:val="0"/>
    </w:pPr>
    <w:rPr>
      <w:b/>
      <w:bCs/>
      <w:sz w:val="44"/>
      <w:szCs w:val="44"/>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62C31-2594-4320-AF3B-CEDFC7C69737}"/>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唐磊</cp:lastModifiedBy>
  <cp:revision>143</cp:revision>
  <dcterms:created xsi:type="dcterms:W3CDTF">2024-02-29T07:16:00Z</dcterms:created>
  <dcterms:modified xsi:type="dcterms:W3CDTF">2025-03-28T03:15:44Z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EF8F9B433EDE44BABFD0CBE2F1BB0D12_13</vt:lpwstr>
  </property>
  <property fmtid="{D5CDD505-2E9C-101B-9397-08002B2CF9AE}" pid="4" name="KSOTemplateDocerSaveRecord">
    <vt:lpwstr>eyJoZGlkIjoiYjIzYTNlZTVkNGM0ZWQwOGI5ZjE2MGNhYWFkNmNlYWYiLCJ1c2VySWQiOiIxNDU0NzM1NTU2In0=</vt:lpwstr>
  </property>
</Properties>
</file>