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eastAsia="黑体"/>
          <w:b/>
          <w:bCs/>
          <w:sz w:val="84"/>
        </w:rPr>
      </w:pPr>
      <w:r>
        <w:rPr>
          <w:rFonts w:eastAsia="黑体"/>
          <w:b/>
          <w:bCs/>
          <w:sz w:val="84"/>
        </w:rPr>
      </w:r>
      <w:r/>
    </w:p>
    <w:p>
      <w:pPr>
        <w:pStyle w:val="984"/>
        <w:ind w:firstLine="0"/>
        <w:jc w:val="center"/>
        <w:rPr>
          <w:rFonts w:eastAsia="黑体"/>
          <w:b/>
          <w:bCs/>
          <w:sz w:val="84"/>
          <w:szCs w:val="84"/>
        </w:rPr>
      </w:pPr>
      <w:r>
        <w:rPr>
          <w:rFonts w:hint="eastAsia" w:eastAsia="黑体"/>
          <w:b/>
          <w:bCs/>
          <w:sz w:val="84"/>
        </w:rPr>
        <w:t xml:space="preserve">招　标　文　件</w:t>
      </w:r>
      <w:r/>
    </w:p>
    <w:p>
      <w:pPr>
        <w:pStyle w:val="984"/>
        <w:ind w:firstLine="0"/>
        <w:jc w:val="center"/>
        <w:rPr>
          <w:rFonts w:eastAsia="黑体"/>
          <w:b/>
          <w:bCs/>
          <w:sz w:val="84"/>
          <w:szCs w:val="84"/>
        </w:rPr>
      </w:pPr>
      <w:r>
        <w:rPr>
          <w:rFonts w:hint="eastAsia" w:ascii="Times New Roman" w:hAnsi="Times New Roman"/>
          <w:b/>
          <w:bCs/>
          <w:sz w:val="32"/>
          <w:szCs w:val="21"/>
        </w:rPr>
        <w:t xml:space="preserve">项目名称：</w:t>
      </w:r>
      <w:r>
        <w:rPr>
          <w:rFonts w:ascii="Times New Roman" w:hAnsi="Times New Roman"/>
          <w:b/>
          <w:bCs/>
          <w:sz w:val="32"/>
          <w:szCs w:val="21"/>
        </w:rPr>
        <w:t xml:space="preserve">2025</w:t>
      </w:r>
      <w:r>
        <w:rPr>
          <w:rFonts w:ascii="Times New Roman" w:hAnsi="Times New Roman"/>
          <w:b/>
          <w:bCs/>
          <w:sz w:val="32"/>
          <w:szCs w:val="21"/>
        </w:rPr>
        <w:t xml:space="preserve">年秋季学期至</w:t>
      </w:r>
      <w:r>
        <w:rPr>
          <w:rFonts w:ascii="Times New Roman" w:hAnsi="Times New Roman"/>
          <w:b/>
          <w:bCs/>
          <w:sz w:val="32"/>
          <w:szCs w:val="21"/>
        </w:rPr>
        <w:t xml:space="preserve">2028</w:t>
      </w:r>
      <w:r>
        <w:rPr>
          <w:rFonts w:ascii="Times New Roman" w:hAnsi="Times New Roman"/>
          <w:b/>
          <w:bCs/>
          <w:sz w:val="32"/>
          <w:szCs w:val="21"/>
        </w:rPr>
        <w:t xml:space="preserve">年春季学期江苏省学生人身伤害事故责任保险项</w:t>
      </w:r>
      <w:r>
        <w:rPr>
          <w:rFonts w:hint="eastAsia" w:ascii="Times New Roman" w:hAnsi="Times New Roman"/>
          <w:b/>
          <w:bCs/>
          <w:sz w:val="32"/>
          <w:szCs w:val="21"/>
        </w:rPr>
        <w:t xml:space="preserve">目</w:t>
      </w:r>
      <w:r/>
    </w:p>
    <w:p>
      <w:pPr>
        <w:ind w:left="2100" w:firstLine="161"/>
        <w:rPr>
          <w:rFonts w:hint="eastAsia" w:ascii="宋体" w:hAnsi="宋体"/>
        </w:rPr>
      </w:pPr>
      <w:r>
        <w:rPr>
          <w:rFonts w:hint="eastAsia"/>
          <w:b/>
          <w:bCs/>
          <w:sz w:val="32"/>
        </w:rPr>
        <w:t xml:space="preserve">项目编号：</w:t>
      </w:r>
      <w:r>
        <w:rPr>
          <w:rFonts w:hint="eastAsia"/>
          <w:b/>
          <w:bCs/>
          <w:sz w:val="32"/>
        </w:rPr>
        <w:t xml:space="preserve">JSZC-320000-</w:t>
      </w:r>
      <w:r>
        <w:rPr>
          <w:b/>
          <w:bCs/>
          <w:sz w:val="32"/>
        </w:rPr>
        <w:t xml:space="preserve">SCZX-G2025-03</w:t>
      </w:r>
      <w:r>
        <w:rPr>
          <w:rFonts w:hint="eastAsia"/>
          <w:b/>
          <w:bCs/>
          <w:sz w:val="32"/>
        </w:rPr>
        <w:t xml:space="preserve">68</w:t>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jc w:val="center"/>
        <w:rPr>
          <w:b/>
          <w:bCs/>
          <w:sz w:val="32"/>
        </w:rPr>
      </w:pPr>
      <w:r>
        <w:rPr>
          <w:rFonts w:hint="eastAsia"/>
          <w:b/>
          <w:bCs/>
          <w:sz w:val="32"/>
        </w:rPr>
        <w:t xml:space="preserve">江苏省政府采购中心</w:t>
      </w:r>
      <w:r/>
    </w:p>
    <w:p>
      <w:pPr>
        <w:pStyle w:val="984"/>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8</w:t>
      </w:r>
      <w:r>
        <w:rPr>
          <w:rFonts w:hint="eastAsia"/>
          <w:b/>
          <w:bCs/>
          <w:sz w:val="32"/>
        </w:rPr>
        <w:t xml:space="preserve">月</w:t>
      </w:r>
      <w:r/>
    </w:p>
    <w:p>
      <w:pPr>
        <w:pStyle w:val="984"/>
        <w:ind w:firstLine="0"/>
        <w:rPr>
          <w:u w:val="single"/>
        </w:rPr>
      </w:pPr>
      <w:r>
        <w:rPr>
          <w:rFonts w:hint="eastAsia"/>
        </w:rPr>
        <w:t xml:space="preserve">                        </w:t>
      </w:r>
      <w:r/>
    </w:p>
    <w:p>
      <w:pPr>
        <w:pStyle w:val="98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………………………33</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8"/>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hint="eastAsia" w:ascii="宋体" w:hAnsi="宋体"/>
          <w:sz w:val="24"/>
          <w:szCs w:val="24"/>
        </w:rPr>
      </w:pPr>
      <w:r>
        <w:rPr>
          <w:rFonts w:hint="eastAsia" w:ascii="宋体" w:hAnsi="宋体"/>
          <w:sz w:val="24"/>
          <w:szCs w:val="24"/>
        </w:rPr>
        <w:t xml:space="preserve">受江苏省教育厅的委托，江苏省政府采购中心就</w:t>
      </w:r>
      <w:r>
        <w:rPr>
          <w:rFonts w:ascii="宋体" w:hAnsi="宋体"/>
          <w:sz w:val="24"/>
          <w:szCs w:val="24"/>
        </w:rPr>
        <w:t xml:space="preserve">2025年秋季学期至2028年春季学期江苏省学生人身伤害事故责任保险项</w:t>
      </w:r>
      <w:r>
        <w:rPr>
          <w:rFonts w:hint="eastAsia" w:ascii="宋体" w:hAnsi="宋体"/>
          <w:sz w:val="24"/>
          <w:szCs w:val="24"/>
        </w:rPr>
        <w:t xml:space="preserve">目(JSZC-320000-</w:t>
      </w:r>
      <w:r>
        <w:rPr>
          <w:rFonts w:ascii="宋体" w:hAnsi="宋体"/>
          <w:sz w:val="24"/>
          <w:szCs w:val="24"/>
        </w:rPr>
        <w:t xml:space="preserve">SCZX-G2025-03</w:t>
      </w:r>
      <w:r>
        <w:rPr>
          <w:rFonts w:hint="eastAsia" w:ascii="宋体" w:hAnsi="宋体"/>
          <w:sz w:val="24"/>
          <w:szCs w:val="24"/>
        </w:rPr>
        <w:t xml:space="preserve">68)项目进行公开招标采购，欢迎符合条件的供应商投标。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2025年秋季学期至2028年春季学期江苏省学生人身伤害事故责任保险</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26</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40"/>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hint="eastAsia" w:ascii="宋体" w:hAnsi="宋体"/>
          <w:sz w:val="24"/>
          <w:szCs w:val="24"/>
        </w:rPr>
      </w:pPr>
      <w:r>
        <w:rPr>
          <w:rFonts w:hint="eastAsia" w:ascii="宋体" w:hAnsi="宋体"/>
          <w:sz w:val="24"/>
          <w:szCs w:val="24"/>
        </w:rPr>
        <w:t xml:space="preserve">1.项目编号：JSZC-320000-</w:t>
      </w:r>
      <w:r>
        <w:rPr>
          <w:rFonts w:ascii="宋体" w:hAnsi="宋体"/>
          <w:sz w:val="24"/>
          <w:szCs w:val="24"/>
        </w:rPr>
        <w:t xml:space="preserve">SCZX-G2025-03</w:t>
      </w:r>
      <w:r>
        <w:rPr>
          <w:rFonts w:hint="eastAsia" w:ascii="宋体" w:hAnsi="宋体"/>
          <w:sz w:val="24"/>
          <w:szCs w:val="24"/>
        </w:rPr>
        <w:t xml:space="preserve">68</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2025年秋季学期至2028年春季学期江苏省学生人身伤害事故责任保险项</w:t>
      </w:r>
      <w:r>
        <w:rPr>
          <w:rFonts w:hint="eastAsia" w:ascii="宋体" w:hAnsi="宋体"/>
          <w:sz w:val="24"/>
          <w:szCs w:val="24"/>
        </w:rPr>
        <w:t xml:space="preserve">目 </w:t>
      </w:r>
      <w:bookmarkEnd w:id="11"/>
      <w:r/>
      <w:r/>
    </w:p>
    <w:p>
      <w:pPr>
        <w:ind w:firstLine="480"/>
        <w:spacing w:line="400" w:lineRule="exact"/>
        <w:rPr>
          <w:rFonts w:hint="eastAsia" w:ascii="宋体" w:hAnsi="宋体"/>
          <w:sz w:val="24"/>
          <w:szCs w:val="24"/>
        </w:rPr>
      </w:pPr>
      <w:r>
        <w:rPr>
          <w:rFonts w:hint="eastAsia" w:ascii="宋体" w:hAnsi="宋体"/>
          <w:sz w:val="24"/>
          <w:szCs w:val="24"/>
        </w:rPr>
        <w:t xml:space="preserve">3.预算金额：本项目三年总预算为</w:t>
      </w:r>
      <w:r>
        <w:rPr>
          <w:rFonts w:ascii="宋体" w:hAnsi="宋体"/>
          <w:sz w:val="24"/>
          <w:szCs w:val="24"/>
        </w:rPr>
        <w:t xml:space="preserve">16,200 万元</w:t>
      </w:r>
      <w:r>
        <w:rPr>
          <w:rFonts w:hint="eastAsia" w:ascii="宋体" w:hAnsi="宋体"/>
          <w:sz w:val="24"/>
          <w:szCs w:val="24"/>
        </w:rPr>
        <w:t xml:space="preserve">。</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201"/>
      </w:tblGrid>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分包号</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三年预算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6480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2</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4050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3240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4</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2430</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201"/>
      </w:tblGrid>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分包号</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三年预算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6480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2</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4050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3240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4</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2430</w:t>
            </w:r>
            <w:r/>
          </w:p>
        </w:tc>
      </w:tr>
    </w:tbl>
    <w:p>
      <w:pPr>
        <w:ind w:firstLine="480"/>
        <w:spacing w:line="400" w:lineRule="exact"/>
        <w:rPr>
          <w:rFonts w:hint="eastAsia" w:ascii="宋体" w:hAnsi="宋体"/>
          <w:sz w:val="24"/>
          <w:szCs w:val="24"/>
        </w:rPr>
      </w:pPr>
      <w:r>
        <w:rPr>
          <w:rFonts w:hint="eastAsia" w:ascii="宋体" w:hAnsi="宋体"/>
          <w:bCs/>
          <w:i/>
          <w:sz w:val="24"/>
          <w:szCs w:val="24"/>
          <w:u w:val="single"/>
        </w:rPr>
        <w:t xml:space="preserve">最高限价单价为每个学生3.5元/人.年</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bCs/>
          <w:sz w:val="24"/>
          <w:szCs w:val="24"/>
        </w:rPr>
        <w:t xml:space="preserve">江苏省学生人身伤害事故责任险保险</w:t>
      </w:r>
      <w:r>
        <w:rPr>
          <w:rFonts w:hint="eastAsia"/>
          <w:sz w:val="24"/>
          <w:szCs w:val="24"/>
        </w:rPr>
        <w:t xml:space="preserve">分为四个分包，</w:t>
      </w:r>
      <w:r>
        <w:rPr>
          <w:sz w:val="24"/>
          <w:szCs w:val="24"/>
        </w:rPr>
        <w:t xml:space="preserve">通过公开招标最终确定</w:t>
      </w:r>
      <w:r>
        <w:rPr>
          <w:sz w:val="24"/>
          <w:szCs w:val="24"/>
        </w:rPr>
        <w:t xml:space="preserve">4</w:t>
      </w:r>
      <w:r>
        <w:rPr>
          <w:sz w:val="24"/>
          <w:szCs w:val="24"/>
        </w:rPr>
        <w:t xml:space="preserve">家保险公司为承保单位，</w:t>
      </w:r>
      <w:r>
        <w:rPr>
          <w:rFonts w:hint="eastAsia"/>
          <w:sz w:val="24"/>
          <w:szCs w:val="24"/>
        </w:rPr>
        <w:t xml:space="preserve">各承保单位根据各自中标分包的工作内容及职责履行协议约定</w:t>
      </w:r>
      <w:r>
        <w:rPr>
          <w:sz w:val="24"/>
          <w:szCs w:val="24"/>
        </w:rPr>
        <w:t xml:space="preserve">。</w:t>
      </w:r>
      <w:r>
        <w:rPr>
          <w:rFonts w:hint="eastAsia"/>
          <w:sz w:val="24"/>
          <w:szCs w:val="24"/>
        </w:rPr>
        <w:t xml:space="preserve">各投标人可以选择一个分包或多个分包报价，最终根据评分标准每个分包确定一名中标人。</w:t>
      </w:r>
      <w:r>
        <w:rPr>
          <w:rFonts w:hint="eastAsia" w:ascii="宋体" w:hAnsi="宋体" w:cs="宋体"/>
          <w:sz w:val="24"/>
          <w:szCs w:val="24"/>
        </w:rPr>
        <w:t xml:space="preserve">详细内容见本招标文件</w:t>
      </w:r>
      <w:r/>
    </w:p>
    <w:p>
      <w:pPr>
        <w:ind w:firstLine="480"/>
        <w:rPr>
          <w:rFonts w:hint="eastAsia" w:ascii="宋体" w:hAnsi="宋体"/>
          <w:sz w:val="24"/>
          <w:szCs w:val="24"/>
          <w:u w:val="single"/>
        </w:rPr>
      </w:pPr>
      <w:r>
        <w:rPr>
          <w:rFonts w:hint="eastAsia" w:ascii="宋体" w:hAnsi="宋体"/>
          <w:sz w:val="24"/>
          <w:szCs w:val="24"/>
        </w:rPr>
        <w:t xml:space="preserve">6.合同履行期限：三年（20</w:t>
      </w:r>
      <w:r>
        <w:rPr>
          <w:rFonts w:ascii="宋体" w:hAnsi="宋体"/>
          <w:sz w:val="24"/>
          <w:szCs w:val="24"/>
        </w:rPr>
        <w:t xml:space="preserve">2</w:t>
      </w:r>
      <w:r>
        <w:rPr>
          <w:rFonts w:hint="eastAsia" w:ascii="宋体" w:hAnsi="宋体"/>
          <w:sz w:val="24"/>
          <w:szCs w:val="24"/>
        </w:rPr>
        <w:t xml:space="preserve">5年9月1日零时起至2028年8月31日24时止（第12个月末根据约定进行保费调整），按学年签订保单。</w:t>
      </w:r>
      <w:r/>
    </w:p>
    <w:p>
      <w:pPr>
        <w:pStyle w:val="740"/>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hint="eastAsia" w:ascii="仿宋_GB2312" w:hAnsi="宋体" w:cs="Arial"/>
          <w:sz w:val="24"/>
        </w:rPr>
      </w:pPr>
      <w:r>
        <w:rPr>
          <w:rFonts w:hint="eastAsia" w:ascii="仿宋_GB2312" w:hAnsi="宋体" w:cs="Arial"/>
          <w:sz w:val="24"/>
        </w:rPr>
        <w:t xml:space="preserve">1</w:t>
      </w:r>
      <w:r>
        <w:rPr>
          <w:rFonts w:hint="eastAsia" w:ascii="仿宋_GB2312" w:hAnsi="宋体" w:cs="Arial"/>
          <w:sz w:val="24"/>
        </w:rPr>
        <w:t xml:space="preserve">、投标人（法人）必须具有保险监督管理机构批准的保险公司法人许可证。</w:t>
      </w:r>
      <w:r/>
    </w:p>
    <w:p>
      <w:pPr>
        <w:ind w:firstLine="480"/>
        <w:spacing w:line="560" w:lineRule="exact"/>
        <w:rPr>
          <w:rFonts w:hint="eastAsia" w:ascii="仿宋_GB2312" w:hAnsi="宋体" w:cs="Arial"/>
          <w:sz w:val="24"/>
        </w:rPr>
      </w:pPr>
      <w:r>
        <w:rPr>
          <w:rFonts w:hint="eastAsia" w:ascii="仿宋_GB2312" w:hAnsi="宋体" w:cs="Arial"/>
          <w:sz w:val="24"/>
        </w:rPr>
        <w:t xml:space="preserve">2</w:t>
      </w:r>
      <w:r>
        <w:rPr>
          <w:rFonts w:hint="eastAsia" w:ascii="仿宋_GB2312" w:hAnsi="宋体" w:cs="Arial"/>
          <w:sz w:val="24"/>
        </w:rPr>
        <w:t xml:space="preserve">、投标人（法人）服务本项目的省级分支机构必须具有保险监督管理机构批准的经营保险业务许可证。</w:t>
      </w:r>
      <w:r/>
    </w:p>
    <w:p>
      <w:pPr>
        <w:ind w:firstLine="480"/>
        <w:spacing w:line="360" w:lineRule="auto"/>
        <w:rPr>
          <w:sz w:val="24"/>
          <w:szCs w:val="24"/>
        </w:rPr>
      </w:pPr>
      <w:r>
        <w:rPr>
          <w:rFonts w:hint="eastAsia"/>
          <w:sz w:val="24"/>
          <w:szCs w:val="24"/>
        </w:rPr>
        <w:t xml:space="preserve">3</w:t>
      </w:r>
      <w:r>
        <w:rPr>
          <w:rFonts w:hint="eastAsia"/>
          <w:sz w:val="24"/>
          <w:szCs w:val="24"/>
        </w:rPr>
        <w:t xml:space="preserve">、投标人（法人）服务本项目的省级分支机构必须取得法人授权其为本项目的落地服务机构并授权其签署保险协议。</w:t>
      </w:r>
      <w:r/>
    </w:p>
    <w:p>
      <w:pPr>
        <w:ind w:firstLine="480"/>
        <w:spacing w:line="360" w:lineRule="auto"/>
        <w:rPr>
          <w:rFonts w:hint="eastAsia" w:ascii="仿宋_GB2312" w:hAnsi="宋体" w:cs="Arial"/>
          <w:sz w:val="24"/>
        </w:rPr>
      </w:pPr>
      <w:r>
        <w:rPr>
          <w:rFonts w:hint="eastAsia" w:ascii="仿宋_GB2312" w:hAnsi="宋体" w:cs="Arial"/>
          <w:sz w:val="24"/>
        </w:rPr>
        <w:t xml:space="preserve">4</w:t>
      </w:r>
      <w:r>
        <w:rPr>
          <w:rFonts w:hint="eastAsia" w:ascii="仿宋_GB2312" w:hAnsi="宋体" w:cs="Arial"/>
          <w:sz w:val="24"/>
        </w:rPr>
        <w:t xml:space="preserve">、</w:t>
      </w:r>
      <w:r>
        <w:rPr>
          <w:rFonts w:hint="eastAsia" w:ascii="宋体" w:hAnsi="宋体"/>
          <w:bCs/>
          <w:sz w:val="24"/>
          <w:szCs w:val="24"/>
        </w:rPr>
        <w:t xml:space="preserve">投标人投标响应的保险产品，必须已经保险监督管理部门正式批准或报备同意。</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740"/>
        <w:ind w:firstLine="498"/>
        <w:spacing w:before="145" w:after="145" w:line="400" w:lineRule="exact"/>
      </w:pPr>
      <w:r/>
      <w:bookmarkStart w:id="22" w:name="_Toc28359005"/>
      <w:r/>
      <w:bookmarkStart w:id="23" w:name="_Toc28359082"/>
      <w:r/>
      <w:bookmarkStart w:id="24" w:name="_Toc35393793"/>
      <w:r/>
      <w:bookmarkStart w:id="25" w:name="_Toc35393624"/>
      <w:r/>
      <w:bookmarkStart w:id="26" w:name="_Toc38985266"/>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hint="eastAsia" w:ascii="宋体" w:hAnsi="宋体"/>
          <w:bCs/>
          <w:sz w:val="24"/>
          <w:szCs w:val="24"/>
        </w:rPr>
      </w:pPr>
      <w:r>
        <w:rPr>
          <w:rFonts w:hint="eastAsia" w:ascii="宋体" w:hAnsi="宋体"/>
          <w:bCs/>
          <w:sz w:val="24"/>
          <w:szCs w:val="24"/>
          <w:u w:val="single"/>
        </w:rPr>
        <w:t xml:space="preserve">1. </w:t>
      </w:r>
      <w:r>
        <w:rPr>
          <w:rFonts w:hint="eastAsia" w:ascii="宋体" w:hAnsi="宋体"/>
          <w:sz w:val="24"/>
          <w:szCs w:val="24"/>
          <w:u w:val="single"/>
        </w:rPr>
        <w:t xml:space="preserve">2025</w:t>
      </w:r>
      <w:r>
        <w:rPr>
          <w:rFonts w:hint="eastAsia" w:ascii="宋体" w:hAnsi="宋体"/>
          <w:bCs/>
          <w:sz w:val="24"/>
          <w:szCs w:val="24"/>
          <w:u w:val="single"/>
        </w:rPr>
        <w:t xml:space="preserve">年8月26日9点30分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sz w:val="32"/>
          <w:szCs w:val="32"/>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40"/>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40"/>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名 称：江苏省教育厅　</w:t>
      </w:r>
      <w:r/>
    </w:p>
    <w:p>
      <w:pPr>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地址：南京市北京西路15号</w:t>
      </w:r>
      <w:r/>
    </w:p>
    <w:p>
      <w:pPr>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联系人：毛荷花 </w:t>
      </w:r>
      <w:r/>
    </w:p>
    <w:p>
      <w:pPr>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ascii="宋体" w:hAnsi="宋体" w:cs="宋体"/>
          <w:sz w:val="24"/>
          <w:szCs w:val="24"/>
        </w:rPr>
        <w:t xml:space="preserve">025-83335046</w:t>
      </w:r>
      <w:r/>
    </w:p>
    <w:p>
      <w:pPr>
        <w:ind w:left="1079" w:hanging="30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40"/>
      <w:r/>
      <w:bookmarkEnd w:id="41"/>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　址：</w:t>
      </w:r>
      <w:r>
        <w:rPr>
          <w:rFonts w:ascii="宋体" w:hAnsi="宋体"/>
          <w:sz w:val="24"/>
          <w:szCs w:val="24"/>
        </w:rPr>
        <w:t xml:space="preserve">南京市汉中门大街</w:t>
      </w:r>
      <w:r>
        <w:rPr>
          <w:rFonts w:hint="eastAsia" w:ascii="宋体" w:hAnsi="宋体"/>
          <w:sz w:val="24"/>
          <w:szCs w:val="24"/>
        </w:rPr>
        <w:t xml:space="preserve">145号省政务中心二期3楼南区</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联系人：乔秀善、付钢  </w:t>
      </w:r>
      <w:r/>
    </w:p>
    <w:p>
      <w:pPr>
        <w:ind w:firstLine="720"/>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025-83668530、025-83668520</w:t>
      </w:r>
      <w:r/>
    </w:p>
    <w:p>
      <w:pPr>
        <w:pStyle w:val="740"/>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764"/>
            <w:bCs/>
            <w:color w:val="auto"/>
          </w:rPr>
          <w:t xml:space="preserve">http://www.ccgp-jiangsu.gov.cn/jiangsu/zlxz/ee/ee3a4bc5a3454aa2b0d9312230633ce9.html</w:t>
        </w:r>
      </w:hyperlink>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w:t>
      </w:r>
      <w:r>
        <w:rPr>
          <w:rFonts w:hint="eastAsia" w:ascii="宋体" w:hAnsi="宋体"/>
          <w:bCs/>
          <w:sz w:val="24"/>
          <w:szCs w:val="24"/>
        </w:rPr>
        <w:t xml:space="preserve">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739"/>
        <w:ind w:firstLine="2429"/>
        <w:jc w:val="both"/>
        <w:spacing w:line="400" w:lineRule="exact"/>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513029202"/>
      <w:r/>
      <w:bookmarkStart w:id="47" w:name="_Toc20823274"/>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40"/>
        <w:ind w:firstLine="498"/>
        <w:spacing w:before="145" w:after="145" w:line="400" w:lineRule="exact"/>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
    </w:p>
    <w:p>
      <w:pPr>
        <w:pStyle w:val="741"/>
        <w:ind w:firstLine="420"/>
        <w:spacing w:before="0" w:after="0" w:line="400" w:lineRule="exact"/>
        <w:rPr>
          <w:b w:val="0"/>
          <w:bCs w:val="0"/>
        </w:rPr>
      </w:pPr>
      <w:r/>
      <w:bookmarkStart w:id="53" w:name="_Hlt16619475"/>
      <w:r/>
      <w:bookmarkStart w:id="54" w:name="_Toc458694821"/>
      <w:r/>
      <w:bookmarkStart w:id="55" w:name="_Toc513029204"/>
      <w:r/>
      <w:bookmarkStart w:id="56" w:name="_Toc20823276"/>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1"/>
        <w:ind w:firstLine="420"/>
        <w:spacing w:before="0" w:after="0" w:line="400" w:lineRule="exact"/>
        <w:rPr>
          <w:b w:val="0"/>
          <w:bCs w:val="0"/>
        </w:rPr>
      </w:pPr>
      <w:r/>
      <w:bookmarkStart w:id="58" w:name="_Toc20823277"/>
      <w:r/>
      <w:bookmarkStart w:id="59" w:name="_Toc513029205"/>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41"/>
        <w:ind w:firstLine="420"/>
        <w:spacing w:before="0" w:after="0" w:line="400" w:lineRule="exact"/>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41"/>
        <w:ind w:firstLine="420"/>
        <w:spacing w:before="0" w:after="0" w:line="400" w:lineRule="exact"/>
        <w:rPr>
          <w:b w:val="0"/>
          <w:bCs w:val="0"/>
        </w:rPr>
      </w:pPr>
      <w:r/>
      <w:bookmarkStart w:id="64" w:name="_Toc513029207"/>
      <w:r/>
      <w:bookmarkStart w:id="65" w:name="_Toc462564067"/>
      <w:r/>
      <w:bookmarkStart w:id="66" w:name="_Toc20823279"/>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4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0"/>
        <w:ind w:firstLine="321"/>
        <w:spacing w:before="145" w:after="145" w:line="400" w:lineRule="exact"/>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741"/>
        <w:ind w:firstLine="420"/>
        <w:spacing w:before="0" w:after="0" w:line="400" w:lineRule="exact"/>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560"/>
        <w:spacing w:before="0" w:after="0" w:line="400" w:lineRule="exact"/>
        <w:rPr>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w:t>
      </w:r>
      <w:r>
        <w:rPr>
          <w:rFonts w:hint="eastAsia" w:ascii="宋体" w:hAnsi="宋体"/>
          <w:sz w:val="24"/>
          <w:szCs w:val="24"/>
        </w:rPr>
        <w:t xml:space="preserve">部分，</w:t>
      </w:r>
      <w:r>
        <w:rPr>
          <w:rFonts w:hint="eastAsia" w:ascii="宋体" w:hAnsi="宋体"/>
          <w:sz w:val="24"/>
        </w:rPr>
        <w:t xml:space="preserve">并对投标人具有约束力。</w:t>
      </w:r>
      <w:r/>
    </w:p>
    <w:p>
      <w:pPr>
        <w:pStyle w:val="740"/>
        <w:ind w:firstLine="482"/>
        <w:spacing w:before="145" w:after="145" w:line="400" w:lineRule="exact"/>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
    </w:p>
    <w:p>
      <w:pPr>
        <w:pStyle w:val="741"/>
        <w:ind w:firstLine="560"/>
        <w:spacing w:before="0" w:after="0" w:line="400" w:lineRule="exact"/>
        <w:rPr>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41"/>
        <w:ind w:firstLine="420"/>
        <w:spacing w:before="0" w:after="0" w:line="400" w:lineRule="exact"/>
        <w:rPr>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41"/>
        <w:ind w:firstLine="420"/>
        <w:spacing w:before="0" w:after="0" w:line="400" w:lineRule="exact"/>
        <w:rPr>
          <w:b w:val="0"/>
          <w:bCs w:val="0"/>
        </w:rPr>
      </w:pPr>
      <w:r/>
      <w:bookmarkStart w:id="92" w:name="_Hlt26668975"/>
      <w:r/>
      <w:bookmarkStart w:id="93" w:name="_Hlt26954838"/>
      <w:r/>
      <w:bookmarkStart w:id="94" w:name="_Hlt26670360"/>
      <w:r/>
      <w:bookmarkStart w:id="95" w:name="_Toc49090509"/>
      <w:r/>
      <w:bookmarkStart w:id="96" w:name="_Toc14577357"/>
      <w:r/>
      <w:bookmarkStart w:id="97" w:name="_Toc513029219"/>
      <w:r/>
      <w:bookmarkStart w:id="98" w:name="_Toc513029216"/>
      <w:r/>
      <w:bookmarkStart w:id="99" w:name="_Toc14577354"/>
      <w:r/>
      <w:bookmarkStart w:id="100" w:name="_Toc49090507"/>
      <w:r/>
      <w:bookmarkEnd w:id="92"/>
      <w:r/>
      <w:bookmarkEnd w:id="93"/>
      <w:r/>
      <w:bookmarkEnd w:id="9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
    </w:p>
    <w:p>
      <w:pPr>
        <w:spacing w:line="400" w:lineRule="exact"/>
        <w:rPr>
          <w:rFonts w:hint="eastAsia"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41"/>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3" w:name="_Hlt26670373"/>
      <w:r/>
      <w:bookmarkEnd w:id="101"/>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41"/>
        <w:ind w:firstLine="420"/>
        <w:spacing w:before="0" w:after="0" w:line="400" w:lineRule="exact"/>
        <w:rPr>
          <w:b w:val="0"/>
          <w:bCs w:val="0"/>
        </w:rPr>
      </w:pPr>
      <w:r/>
      <w:bookmarkStart w:id="106" w:name="_Hlt26954731"/>
      <w:r/>
      <w:bookmarkStart w:id="107" w:name="_Hlt26670403"/>
      <w:r/>
      <w:bookmarkStart w:id="108" w:name="_Hlt26668983"/>
      <w:r/>
      <w:bookmarkStart w:id="109" w:name="_Hlt26670425"/>
      <w:r/>
      <w:bookmarkStart w:id="110" w:name="_Hlt26954842"/>
      <w:r/>
      <w:bookmarkStart w:id="111" w:name="_Hlt26670482"/>
      <w:r/>
      <w:bookmarkStart w:id="112" w:name="_Hlt26954846"/>
      <w:r/>
      <w:bookmarkStart w:id="113" w:name="_Hlt26670486"/>
      <w:r/>
      <w:bookmarkStart w:id="114" w:name="_Hlt26954848"/>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41"/>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41"/>
        <w:ind w:firstLine="420"/>
        <w:spacing w:before="0" w:after="0" w:line="400" w:lineRule="exact"/>
        <w:rPr>
          <w:b w:val="0"/>
          <w:bCs w:val="0"/>
        </w:rPr>
      </w:pPr>
      <w:r/>
      <w:bookmarkStart w:id="118" w:name="_Hlt26670489"/>
      <w:r/>
      <w:bookmarkStart w:id="119" w:name="_Hlt26954850"/>
      <w:r/>
      <w:bookmarkStart w:id="120" w:name="_Hlt26954734"/>
      <w:r/>
      <w:bookmarkStart w:id="121" w:name="_Toc49090511"/>
      <w:r/>
      <w:bookmarkStart w:id="122" w:name="_Toc14577360"/>
      <w:r/>
      <w:bookmarkEnd w:id="116"/>
      <w:r/>
      <w:bookmarkEnd w:id="117"/>
      <w:r/>
      <w:bookmarkEnd w:id="118"/>
      <w:r/>
      <w:bookmarkEnd w:id="119"/>
      <w:r/>
      <w:bookmarkEnd w:id="12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w:t>
      </w:r>
      <w:r>
        <w:rPr>
          <w:rFonts w:hint="eastAsia" w:ascii="宋体" w:hAnsi="宋体"/>
          <w:bCs/>
          <w:sz w:val="24"/>
        </w:rPr>
        <w:t xml:space="preserve">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1"/>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0"/>
        <w:ind w:firstLine="482"/>
        <w:spacing w:before="145" w:after="145" w:line="400" w:lineRule="exact"/>
      </w:pPr>
      <w:r/>
      <w:bookmarkStart w:id="123" w:name="_Hlt26954852"/>
      <w:r/>
      <w:bookmarkStart w:id="124" w:name="_Hlt26954739"/>
      <w:r/>
      <w:bookmarkStart w:id="125" w:name="_Toc513029224"/>
      <w:r/>
      <w:bookmarkStart w:id="126" w:name="_Toc20823296"/>
      <w:r/>
      <w:bookmarkStart w:id="127" w:name="_Toc120614217"/>
      <w:r/>
      <w:bookmarkStart w:id="128" w:name="_Toc16938540"/>
      <w:r/>
      <w:bookmarkEnd w:id="123"/>
      <w:r/>
      <w:bookmarkEnd w:id="124"/>
      <w:r>
        <w:rPr>
          <w:rFonts w:hint="eastAsia"/>
        </w:rPr>
        <w:t xml:space="preserve">四、投标文件的递交</w:t>
      </w:r>
      <w:bookmarkEnd w:id="125"/>
      <w:r/>
      <w:bookmarkEnd w:id="126"/>
      <w:r/>
      <w:bookmarkEnd w:id="127"/>
      <w:r/>
      <w:bookmarkEnd w:id="128"/>
      <w:r/>
      <w:r/>
    </w:p>
    <w:p>
      <w:pPr>
        <w:pStyle w:val="741"/>
        <w:ind w:firstLine="560"/>
        <w:spacing w:before="0" w:after="0" w:line="400" w:lineRule="exact"/>
        <w:rPr>
          <w:rFonts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5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741"/>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1"/>
        <w:ind w:firstLine="420"/>
        <w:spacing w:before="0" w:after="0" w:line="400" w:lineRule="exact"/>
        <w:rPr>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41"/>
        <w:ind w:firstLine="420"/>
        <w:spacing w:before="0" w:after="0" w:line="400" w:lineRule="exact"/>
        <w:rPr>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40"/>
        <w:ind w:firstLine="482"/>
        <w:spacing w:before="145" w:after="145" w:line="400" w:lineRule="exact"/>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
    </w:p>
    <w:p>
      <w:pPr>
        <w:pStyle w:val="741"/>
        <w:ind w:firstLine="420"/>
        <w:spacing w:before="0" w:after="0" w:line="400" w:lineRule="exact"/>
        <w:rPr>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p>
    <w:p>
      <w:pPr>
        <w:pStyle w:val="741"/>
        <w:ind w:firstLine="420"/>
        <w:spacing w:before="0" w:after="0" w:line="400" w:lineRule="exact"/>
        <w:rPr>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741"/>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41"/>
        <w:ind w:firstLine="420"/>
        <w:spacing w:before="0" w:after="0" w:line="400" w:lineRule="exact"/>
        <w:rPr>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w:t>
      </w:r>
      <w:r>
        <w:rPr>
          <w:rFonts w:hint="eastAsia" w:ascii="宋体" w:hAnsi="宋体"/>
          <w:sz w:val="24"/>
          <w:szCs w:val="24"/>
        </w:rPr>
        <w:t xml:space="preserve">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741"/>
        <w:ind w:firstLine="420"/>
        <w:spacing w:before="0" w:after="0" w:line="400" w:lineRule="exact"/>
        <w:rPr>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w:t>
      </w:r>
      <w:r>
        <w:rPr>
          <w:rFonts w:hint="eastAsia" w:ascii="宋体" w:hAnsi="宋体"/>
          <w:bCs/>
          <w:sz w:val="24"/>
        </w:rPr>
        <w:t xml:space="preserve">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41"/>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40"/>
        <w:ind w:firstLine="482"/>
        <w:spacing w:before="145" w:after="145" w:line="400" w:lineRule="exact"/>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741"/>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4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0"/>
        <w:spacing w:before="145" w:after="145" w:line="400" w:lineRule="exact"/>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
    </w:p>
    <w:p>
      <w:pPr>
        <w:pStyle w:val="741"/>
        <w:ind w:firstLine="600"/>
        <w:spacing w:before="0" w:after="0" w:line="400" w:lineRule="exact"/>
        <w:rPr>
          <w:rFonts w:hint="eastAsia" w:ascii="黑体" w:hAnsi="宋体" w:cs="Times New Roman"/>
          <w:b w:val="0"/>
          <w:sz w:val="30"/>
          <w:szCs w:val="30"/>
        </w:rPr>
      </w:pPr>
      <w:r/>
      <w:bookmarkStart w:id="173" w:name="_Toc513029237"/>
      <w:r/>
      <w:bookmarkStart w:id="174" w:name="_Toc20823309"/>
      <w:r/>
      <w:bookmarkStart w:id="175" w:name="_Toc16938553"/>
      <w:r/>
      <w:bookmarkEnd w:id="170"/>
      <w:r/>
      <w:bookmarkEnd w:id="171"/>
      <w:r/>
      <w:bookmarkEnd w:id="172"/>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41"/>
        <w:ind w:firstLine="600"/>
        <w:spacing w:before="0" w:after="0" w:line="400" w:lineRule="exact"/>
        <w:rPr>
          <w:rFonts w:hint="eastAsia" w:ascii="黑体" w:hAnsi="宋体" w:cs="Times New Roman"/>
          <w:b w:val="0"/>
          <w:sz w:val="30"/>
          <w:szCs w:val="30"/>
        </w:rPr>
      </w:pPr>
      <w:r/>
      <w:bookmarkStart w:id="176" w:name="_Toc479757207"/>
      <w:r/>
      <w:bookmarkStart w:id="177" w:name="_Toc120614221"/>
      <w:r/>
      <w:bookmarkStart w:id="178" w:name="_Toc16938558"/>
      <w:r/>
      <w:bookmarkStart w:id="179" w:name="_Toc513029242"/>
      <w:r/>
      <w:bookmarkStart w:id="180" w:name="_Toc20823314"/>
      <w:r/>
      <w:bookmarkEnd w:id="173"/>
      <w:r/>
      <w:bookmarkEnd w:id="174"/>
      <w:r/>
      <w:bookmarkEnd w:id="175"/>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34"/>
        <w:spacing w:line="400" w:lineRule="exact"/>
      </w:pPr>
      <w:r>
        <w:rPr>
          <w:rFonts w:hint="eastAsia" w:ascii="宋体" w:hAnsi="宋体"/>
          <w:bCs/>
          <w:sz w:val="24"/>
        </w:rPr>
        <w:t xml:space="preserve">中标供应商可凭政府采购合同办理融资贷款，详情请见江苏政府采购网“政采贷”专栏。</w:t>
      </w:r>
      <w:r/>
    </w:p>
    <w:p>
      <w:pPr>
        <w:pStyle w:val="934"/>
      </w:pPr>
      <w:r/>
      <w:r/>
    </w:p>
    <w:p>
      <w:r/>
      <w:r/>
    </w:p>
    <w:p>
      <w:r/>
      <w:r/>
    </w:p>
    <w:p>
      <w:r/>
      <w:r/>
    </w:p>
    <w:p>
      <w:r/>
      <w:r/>
    </w:p>
    <w:p>
      <w:r/>
      <w:r/>
    </w:p>
    <w:p>
      <w:r/>
      <w:r/>
    </w:p>
    <w:p>
      <w:r/>
      <w:r/>
    </w:p>
    <w:p>
      <w:r/>
      <w:r/>
    </w:p>
    <w:p>
      <w:r/>
      <w:r/>
    </w:p>
    <w:p>
      <w:r/>
      <w:r/>
    </w:p>
    <w:p>
      <w:r/>
      <w:r/>
    </w:p>
    <w:p>
      <w:r/>
      <w:r/>
    </w:p>
    <w:p>
      <w:pPr>
        <w:pStyle w:val="738"/>
        <w:rPr>
          <w:rFonts w:ascii="黑体" w:eastAsia="黑体"/>
          <w:bCs/>
          <w:sz w:val="44"/>
        </w:rPr>
      </w:pPr>
      <w:r>
        <w:rPr>
          <w:rFonts w:ascii="黑体" w:eastAsia="黑体"/>
          <w:bCs/>
          <w:sz w:val="44"/>
        </w:rPr>
      </w:r>
      <w:r/>
    </w:p>
    <w:p>
      <w:pPr>
        <w:pStyle w:val="738"/>
        <w:rPr>
          <w:rFonts w:ascii="黑体" w:eastAsia="黑体"/>
          <w:bCs/>
          <w:sz w:val="44"/>
        </w:rPr>
      </w:pPr>
      <w:r>
        <w:rPr>
          <w:rFonts w:ascii="黑体" w:eastAsia="黑体"/>
          <w:bCs/>
          <w:sz w:val="44"/>
        </w:rPr>
      </w:r>
      <w:r/>
    </w:p>
    <w:p>
      <w:r/>
      <w:r/>
    </w:p>
    <w:p>
      <w:pPr>
        <w:pStyle w:val="738"/>
        <w:rPr>
          <w:rFonts w:ascii="黑体" w:eastAsia="黑体"/>
          <w:bCs/>
          <w:sz w:val="44"/>
        </w:rPr>
      </w:pPr>
      <w:r>
        <w:rPr>
          <w:rFonts w:ascii="黑体" w:eastAsia="黑体"/>
          <w:bCs/>
          <w:sz w:val="44"/>
        </w:rPr>
      </w:r>
      <w:r/>
    </w:p>
    <w:p>
      <w:pPr>
        <w:pStyle w:val="738"/>
        <w:rPr>
          <w:rFonts w:ascii="黑体" w:eastAsia="黑体"/>
          <w:sz w:val="44"/>
          <w:szCs w:val="44"/>
        </w:rPr>
      </w:pPr>
      <w:r>
        <w:rPr>
          <w:rFonts w:ascii="黑体" w:eastAsia="黑体"/>
          <w:sz w:val="44"/>
          <w:szCs w:val="44"/>
        </w:rPr>
      </w:r>
      <w:r/>
    </w:p>
    <w:p>
      <w:pPr>
        <w:pStyle w:val="738"/>
        <w:rPr>
          <w:rFonts w:ascii="黑体" w:eastAsia="黑体"/>
          <w:sz w:val="44"/>
          <w:szCs w:val="44"/>
        </w:rPr>
      </w:pPr>
      <w:r>
        <w:rPr>
          <w:rFonts w:ascii="黑体" w:eastAsia="黑体"/>
          <w:sz w:val="44"/>
          <w:szCs w:val="44"/>
        </w:rPr>
      </w:r>
      <w:r/>
    </w:p>
    <w:p>
      <w:pPr>
        <w:pStyle w:val="738"/>
        <w:rPr>
          <w:rFonts w:ascii="黑体" w:eastAsia="黑体"/>
          <w:sz w:val="44"/>
          <w:szCs w:val="44"/>
        </w:rPr>
      </w:pPr>
      <w:r>
        <w:rPr>
          <w:rFonts w:ascii="黑体" w:eastAsia="黑体"/>
          <w:sz w:val="44"/>
          <w:szCs w:val="44"/>
        </w:rPr>
      </w:r>
      <w:r/>
    </w:p>
    <w:p>
      <w:pPr>
        <w:pStyle w:val="738"/>
        <w:rPr>
          <w:rFonts w:ascii="黑体" w:eastAsia="黑体"/>
          <w:sz w:val="44"/>
          <w:szCs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20823315"/>
      <w:r/>
      <w:bookmarkStart w:id="182" w:name="_Toc16938559"/>
      <w:r/>
      <w:bookmarkStart w:id="183" w:name="_Toc513029243"/>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48"/>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4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48"/>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48"/>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8"/>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8"/>
        <w:spacing w:before="120" w:after="120"/>
        <w:rPr>
          <w:rFonts w:hint="eastAsia" w:hAnsi="宋体"/>
          <w:sz w:val="24"/>
          <w:szCs w:val="24"/>
        </w:rPr>
      </w:pPr>
      <w:r>
        <w:rPr>
          <w:rFonts w:hint="eastAsia" w:hAnsi="宋体"/>
          <w:sz w:val="24"/>
          <w:szCs w:val="24"/>
        </w:rPr>
        <w:t xml:space="preserve">1.3 标的数量（规模）：</w:t>
      </w:r>
      <w:r/>
    </w:p>
    <w:p>
      <w:pPr>
        <w:pStyle w:val="948"/>
        <w:spacing w:before="120" w:after="120"/>
        <w:rPr>
          <w:rFonts w:hint="eastAsia" w:hAnsi="宋体"/>
          <w:sz w:val="24"/>
          <w:szCs w:val="24"/>
        </w:rPr>
      </w:pPr>
      <w:r>
        <w:rPr>
          <w:rFonts w:hint="eastAsia" w:hAnsi="宋体"/>
          <w:sz w:val="24"/>
          <w:szCs w:val="24"/>
        </w:rPr>
        <w:t xml:space="preserve">1.4 履行时间（期限）：</w:t>
      </w:r>
      <w:r/>
    </w:p>
    <w:p>
      <w:pPr>
        <w:pStyle w:val="948"/>
        <w:spacing w:before="120" w:after="120"/>
        <w:rPr>
          <w:rFonts w:hint="eastAsia" w:hAnsi="宋体"/>
          <w:sz w:val="24"/>
          <w:szCs w:val="24"/>
        </w:rPr>
      </w:pPr>
      <w:r>
        <w:rPr>
          <w:rFonts w:hint="eastAsia" w:hAnsi="宋体"/>
          <w:sz w:val="24"/>
          <w:szCs w:val="24"/>
        </w:rPr>
        <w:t xml:space="preserve">1.5 履行地点：</w:t>
      </w:r>
      <w:r/>
    </w:p>
    <w:p>
      <w:pPr>
        <w:pStyle w:val="948"/>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48"/>
        <w:spacing w:before="120" w:after="120"/>
        <w:rPr>
          <w:rFonts w:hint="eastAsia" w:hAnsi="宋体"/>
          <w:b/>
          <w:sz w:val="24"/>
          <w:szCs w:val="24"/>
        </w:rPr>
      </w:pPr>
      <w:r>
        <w:rPr>
          <w:rFonts w:hAnsi="宋体"/>
          <w:b/>
          <w:sz w:val="24"/>
          <w:szCs w:val="24"/>
        </w:rPr>
        <w:t xml:space="preserve">二、合同金额</w:t>
      </w:r>
      <w:r/>
    </w:p>
    <w:p>
      <w:pPr>
        <w:pStyle w:val="948"/>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48"/>
        <w:spacing w:before="120" w:after="120"/>
        <w:rPr>
          <w:rFonts w:hint="eastAsia" w:hAnsi="宋体"/>
          <w:b/>
          <w:sz w:val="24"/>
          <w:szCs w:val="24"/>
        </w:rPr>
      </w:pPr>
      <w:r>
        <w:rPr>
          <w:rFonts w:hAnsi="宋体"/>
          <w:b/>
          <w:sz w:val="24"/>
          <w:szCs w:val="24"/>
        </w:rPr>
        <w:t xml:space="preserve">三、技术资料</w:t>
      </w:r>
      <w:r/>
    </w:p>
    <w:p>
      <w:pPr>
        <w:pStyle w:val="9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48"/>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left="412" w:hanging="412"/>
        <w:spacing w:before="120" w:after="120"/>
        <w:rPr>
          <w:rFonts w:hint="eastAsia" w:hAnsi="宋体"/>
          <w:b/>
          <w:sz w:val="24"/>
          <w:szCs w:val="24"/>
        </w:rPr>
      </w:pPr>
      <w:r>
        <w:rPr>
          <w:rFonts w:hAnsi="宋体"/>
          <w:b/>
          <w:sz w:val="24"/>
          <w:szCs w:val="24"/>
        </w:rPr>
        <w:t xml:space="preserve">四、知识产权</w:t>
      </w:r>
      <w:r/>
    </w:p>
    <w:p>
      <w:pPr>
        <w:pStyle w:val="94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8"/>
        <w:spacing w:before="120" w:after="120"/>
        <w:rPr>
          <w:rFonts w:hint="eastAsia" w:hAnsi="宋体"/>
          <w:sz w:val="24"/>
          <w:szCs w:val="24"/>
          <w:u w:val="single"/>
        </w:rPr>
      </w:pPr>
      <w:r>
        <w:rPr>
          <w:rFonts w:hAnsi="宋体"/>
          <w:b/>
          <w:sz w:val="24"/>
          <w:szCs w:val="24"/>
        </w:rPr>
        <w:t xml:space="preserve">五、产权担保</w:t>
      </w:r>
      <w:r/>
    </w:p>
    <w:p>
      <w:pPr>
        <w:pStyle w:val="948"/>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48"/>
        <w:ind w:left="410" w:hanging="410"/>
        <w:spacing w:before="120" w:after="120"/>
        <w:rPr>
          <w:rFonts w:hint="eastAsia" w:hAnsi="宋体"/>
          <w:b/>
          <w:sz w:val="24"/>
          <w:szCs w:val="24"/>
        </w:rPr>
      </w:pPr>
      <w:r>
        <w:rPr>
          <w:rFonts w:hAnsi="宋体"/>
          <w:b/>
          <w:sz w:val="24"/>
          <w:szCs w:val="24"/>
        </w:rPr>
        <w:t xml:space="preserve">六、</w:t>
      </w:r>
      <w:r>
        <w:rPr>
          <w:rFonts w:hint="eastAsia" w:ascii="宋体" w:hAnsi="宋体"/>
          <w:b/>
          <w:sz w:val="24"/>
          <w:szCs w:val="24"/>
        </w:rPr>
        <w:t xml:space="preserve">合同转包或分包</w:t>
      </w:r>
      <w:r>
        <w:rPr>
          <w:rFonts w:hint="eastAsia" w:hAnsi="宋体"/>
          <w:b/>
          <w:sz w:val="24"/>
          <w:szCs w:val="24"/>
        </w:rPr>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6.3乙方如有转包或未经甲方同意的分包行为，甲方有权解除合同。</w:t>
      </w:r>
      <w:r/>
    </w:p>
    <w:p>
      <w:pPr>
        <w:ind w:left="420" w:right="0" w:hanging="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七、</w:t>
      </w:r>
      <w:r>
        <w:rPr>
          <w:rFonts w:ascii="SimSun" w:hAnsi="SimSun" w:eastAsia="SimSun" w:cs="SimSun"/>
          <w:b/>
          <w:color w:val="000000"/>
          <w:sz w:val="24"/>
        </w:rPr>
        <w:t xml:space="preserve">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7.1合同款项的支付方式及进度安排</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预付款支付时间：</w:t>
      </w:r>
      <w:r>
        <w:rPr>
          <w:rFonts w:ascii="SimSun" w:hAnsi="SimSun" w:eastAsia="SimSun" w:cs="SimSun"/>
          <w:color w:val="000000"/>
          <w:sz w:val="24"/>
          <w:u w:val="single"/>
        </w:rPr>
        <w:t xml:space="preserve">            </w:t>
      </w:r>
      <w:r>
        <w:rPr>
          <w:rFonts w:ascii="SimSun" w:hAnsi="SimSun" w:eastAsia="SimSun" w:cs="SimSun"/>
          <w:color w:val="000000"/>
          <w:sz w:val="24"/>
        </w:rPr>
        <w:t xml:space="preserve">，预付款支付比例：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spacing w:before="145" w:after="145"/>
        <w:rPr>
          <w:rFonts w:hint="eastAsia" w:ascii="宋体" w:hAnsi="宋体"/>
          <w:b/>
          <w:bCs/>
          <w:sz w:val="24"/>
          <w:szCs w:val="24"/>
          <w:highlight w:val="none"/>
        </w:rPr>
      </w:pPr>
      <w:r>
        <w:rPr>
          <w:rFonts w:hint="eastAsia" w:ascii="宋体" w:hAnsi="宋体"/>
          <w:b/>
          <w:sz w:val="24"/>
          <w:szCs w:val="24"/>
        </w:rPr>
        <w:t xml:space="preserve">八、税费</w:t>
      </w:r>
      <w:r/>
    </w:p>
    <w:p>
      <w:pPr>
        <w:spacing w:before="145" w:after="145"/>
        <w:rPr>
          <w:rFonts w:hint="eastAsia"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48"/>
        <w:spacing w:before="120" w:after="120"/>
        <w:rPr>
          <w:rFonts w:hint="eastAsia" w:hAnsi="宋体"/>
          <w:b/>
          <w:sz w:val="24"/>
          <w:szCs w:val="24"/>
        </w:rPr>
      </w:pPr>
      <w:r>
        <w:rPr>
          <w:rFonts w:hAnsi="宋体"/>
          <w:b/>
          <w:sz w:val="24"/>
          <w:szCs w:val="24"/>
        </w:rPr>
        <w:t xml:space="preserve">九、</w:t>
      </w:r>
      <w:r>
        <w:rPr>
          <w:rFonts w:hint="eastAsia" w:hAnsi="宋体"/>
          <w:b/>
          <w:sz w:val="24"/>
          <w:szCs w:val="24"/>
        </w:rPr>
        <w:t xml:space="preserve">项目</w:t>
      </w:r>
      <w:r>
        <w:rPr>
          <w:rFonts w:hAnsi="宋体"/>
          <w:b/>
          <w:sz w:val="24"/>
          <w:szCs w:val="24"/>
        </w:rPr>
        <w:t xml:space="preserve">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8"/>
        <w:spacing w:before="120" w:after="120"/>
        <w:rPr>
          <w:rFonts w:hint="eastAsia" w:hAnsi="宋体"/>
          <w:b/>
          <w:sz w:val="24"/>
          <w:szCs w:val="24"/>
        </w:rPr>
      </w:pPr>
      <w:r>
        <w:rPr>
          <w:rFonts w:hAnsi="宋体"/>
          <w:b/>
          <w:sz w:val="24"/>
          <w:szCs w:val="24"/>
        </w:rPr>
        <w:t xml:space="preserve">十</w:t>
      </w:r>
      <w:r>
        <w:rPr>
          <w:rFonts w:hAnsi="宋体"/>
          <w:b/>
          <w:sz w:val="24"/>
          <w:szCs w:val="24"/>
        </w:rPr>
        <w:t xml:space="preserve">、</w:t>
      </w:r>
      <w:r>
        <w:rPr>
          <w:rFonts w:hAnsi="宋体"/>
          <w:b/>
          <w:sz w:val="24"/>
          <w:szCs w:val="24"/>
        </w:rPr>
        <w:t xml:space="preserve">不可抗力事件处理</w:t>
      </w:r>
      <w:r>
        <w:rPr>
          <w:rFonts w:hint="eastAsia" w:hAnsi="宋体"/>
          <w:b/>
          <w:sz w:val="24"/>
          <w:szCs w:val="24"/>
        </w:rPr>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不可抗力事件延续120天以上，双方应通过友好协商，确定是否继续履行合同。</w:t>
      </w:r>
      <w:r/>
    </w:p>
    <w:p>
      <w:pPr>
        <w:pStyle w:val="948"/>
        <w:spacing w:before="120" w:after="120"/>
        <w:rPr>
          <w:rFonts w:hint="eastAsia" w:hAnsi="宋体"/>
          <w:b/>
          <w:sz w:val="24"/>
          <w:szCs w:val="24"/>
        </w:rPr>
      </w:pPr>
      <w:r>
        <w:rPr>
          <w:rFonts w:hAnsi="宋体"/>
          <w:b/>
          <w:sz w:val="24"/>
          <w:szCs w:val="24"/>
        </w:rPr>
        <w:t xml:space="preserve">十一</w:t>
      </w:r>
      <w:r>
        <w:rPr>
          <w:rFonts w:hAnsi="宋体"/>
          <w:b/>
          <w:sz w:val="24"/>
          <w:szCs w:val="24"/>
        </w:rPr>
        <w:t xml:space="preserve">、</w:t>
      </w:r>
      <w:r>
        <w:rPr>
          <w:rFonts w:hint="eastAsia" w:hAnsi="宋体"/>
          <w:b/>
          <w:sz w:val="24"/>
          <w:szCs w:val="24"/>
        </w:rPr>
        <w:t xml:space="preserve">解决争议的方法</w:t>
      </w:r>
      <w:r/>
    </w:p>
    <w:p>
      <w:pPr>
        <w:pStyle w:val="948"/>
        <w:spacing w:before="120" w:after="120"/>
        <w:rPr>
          <w:rFonts w:hint="eastAsia" w:hAnsi="宋体"/>
          <w:sz w:val="24"/>
          <w:szCs w:val="24"/>
        </w:rPr>
      </w:pPr>
      <w:r>
        <w:rPr>
          <w:rFonts w:hint="eastAsia" w:hAnsi="宋体"/>
          <w:sz w:val="24"/>
          <w:szCs w:val="24"/>
        </w:rPr>
        <w:t xml:space="preserve">11.1双方在签订、履行合同中所发生的一切争议，应通过友好协商解决。如协商不成，由甲方住所地人民法院管辖。</w:t>
      </w:r>
      <w:r/>
    </w:p>
    <w:p>
      <w:pPr>
        <w:pStyle w:val="948"/>
        <w:spacing w:before="120" w:after="120"/>
        <w:rPr>
          <w:rFonts w:hint="eastAsia" w:hAnsi="宋体"/>
          <w:b/>
          <w:sz w:val="24"/>
          <w:szCs w:val="24"/>
        </w:rPr>
      </w:pPr>
      <w:r>
        <w:rPr>
          <w:rFonts w:hAnsi="宋体"/>
          <w:b/>
          <w:sz w:val="24"/>
          <w:szCs w:val="24"/>
        </w:rPr>
        <w:t xml:space="preserve">十二</w:t>
      </w:r>
      <w:r>
        <w:rPr>
          <w:rFonts w:hAnsi="宋体"/>
          <w:b/>
          <w:sz w:val="24"/>
          <w:szCs w:val="24"/>
        </w:rPr>
        <w:t xml:space="preserve">、合同生效及其它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12.2本合同未尽事宜，遵照中华人民共和国现行法律法规有关条文执行。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本合同正本一式六份，具有同等法律效力，甲方执一份、乙方（共保体各方）及财政监管部门各执一份。</w:t>
      </w:r>
      <w:r/>
    </w:p>
    <w:p>
      <w:pPr>
        <w:pStyle w:val="948"/>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48"/>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8"/>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8"/>
        <w:ind w:firstLine="240"/>
        <w:spacing w:before="120" w:after="120" w:line="0" w:lineRule="atLeast"/>
      </w:pPr>
      <w:r>
        <w:rPr>
          <w:rFonts w:hint="eastAsia" w:hAnsi="宋体"/>
          <w:sz w:val="24"/>
          <w:szCs w:val="24"/>
        </w:rPr>
        <w:t xml:space="preserve">联系电话：                    联系电话：          </w:t>
      </w:r>
      <w:r/>
    </w:p>
    <w:p>
      <w:pPr>
        <w:pStyle w:val="948"/>
        <w:jc w:val="center"/>
        <w:spacing w:before="120" w:after="120" w:line="0" w:lineRule="atLeast"/>
      </w:pPr>
      <w:r>
        <w:rPr>
          <w:rFonts w:hint="eastAsia"/>
        </w:rPr>
        <w:t xml:space="preserve">                                         </w:t>
      </w:r>
      <w:r/>
    </w:p>
    <w:p>
      <w:pPr>
        <w:pStyle w:val="948"/>
        <w:jc w:val="right"/>
        <w:spacing w:before="120" w:after="120" w:line="0" w:lineRule="atLeast"/>
        <w:rPr>
          <w:sz w:val="24"/>
          <w:szCs w:val="24"/>
        </w:rPr>
      </w:pPr>
      <w:r>
        <w:rPr>
          <w:rFonts w:hint="eastAsia"/>
          <w:sz w:val="24"/>
          <w:szCs w:val="24"/>
        </w:rPr>
        <w:t xml:space="preserve"> </w:t>
      </w:r>
      <w:r/>
    </w:p>
    <w:p>
      <w:pPr>
        <w:pStyle w:val="948"/>
        <w:ind w:left="480" w:hanging="480"/>
        <w:jc w:val="center"/>
        <w:spacing w:before="120" w:after="120"/>
        <w:rPr>
          <w:b/>
          <w:sz w:val="44"/>
          <w:szCs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Start w:id="185" w:name="_Hlt16619350"/>
      <w:r/>
      <w:bookmarkStart w:id="186" w:name="_Toc20823346"/>
      <w:r/>
      <w:bookmarkStart w:id="187" w:name="_Toc16938590"/>
      <w:r/>
      <w:bookmarkStart w:id="188" w:name="_Toc120614244"/>
      <w:r/>
      <w:bookmarkStart w:id="189" w:name="_Toc462564139"/>
      <w:r/>
      <w:bookmarkStart w:id="190" w:name="_Toc479757211"/>
      <w:r/>
      <w:bookmarkEnd w:id="181"/>
      <w:r/>
      <w:bookmarkEnd w:id="182"/>
      <w:r/>
      <w:bookmarkEnd w:id="183"/>
      <w:r/>
      <w:bookmarkEnd w:id="184"/>
      <w:r>
        <w:rPr>
          <w:rFonts w:ascii="黑体" w:eastAsia="黑体"/>
          <w:bCs/>
          <w:sz w:val="44"/>
        </w:rPr>
        <w:br w:type="page" w:clear="all"/>
      </w:r>
      <w:r>
        <w:rPr>
          <w:rFonts w:hint="eastAsia"/>
          <w:b/>
          <w:sz w:val="44"/>
          <w:szCs w:val="44"/>
        </w:rPr>
        <w:t xml:space="preserve">合同专用条款</w:t>
      </w:r>
      <w:r/>
    </w:p>
    <w:p>
      <w:pPr>
        <w:rPr>
          <w:rFonts w:hint="eastAsia" w:ascii="宋体" w:hAnsi="宋体"/>
          <w:b/>
          <w:sz w:val="28"/>
          <w:szCs w:val="28"/>
        </w:rPr>
        <w:outlineLvl w:val="0"/>
      </w:pPr>
      <w:r>
        <w:rPr>
          <w:rFonts w:hint="eastAsia" w:ascii="宋体" w:hAnsi="宋体"/>
          <w:b/>
          <w:sz w:val="28"/>
          <w:szCs w:val="28"/>
        </w:rPr>
        <w:t xml:space="preserve">1．定义</w:t>
      </w:r>
      <w:r/>
    </w:p>
    <w:p>
      <w:pPr>
        <w:rPr>
          <w:rFonts w:hint="eastAsia" w:ascii="宋体" w:hAnsi="宋体"/>
          <w:sz w:val="28"/>
          <w:szCs w:val="28"/>
        </w:rPr>
      </w:pPr>
      <w:r>
        <w:rPr>
          <w:rFonts w:hint="eastAsia" w:ascii="宋体" w:hAnsi="宋体"/>
          <w:sz w:val="28"/>
          <w:szCs w:val="28"/>
        </w:rPr>
        <w:t xml:space="preserve">   本合同中的下列术语应解释为：</w:t>
      </w:r>
      <w:r/>
    </w:p>
    <w:p>
      <w:pPr>
        <w:numPr>
          <w:ilvl w:val="0"/>
          <w:numId w:val="6"/>
        </w:numPr>
        <w:ind w:left="103" w:firstLine="364"/>
        <w:tabs>
          <w:tab w:val="left" w:pos="0" w:leader="none"/>
          <w:tab w:val="clear" w:pos="1365" w:leader="none"/>
        </w:tabs>
        <w:rPr>
          <w:rFonts w:hint="eastAsia" w:ascii="宋体" w:hAnsi="宋体"/>
          <w:sz w:val="28"/>
          <w:szCs w:val="28"/>
        </w:rPr>
      </w:pPr>
      <w:r>
        <w:rPr>
          <w:rFonts w:hint="eastAsia" w:ascii="宋体" w:hAnsi="宋体"/>
          <w:sz w:val="28"/>
          <w:szCs w:val="28"/>
        </w:rPr>
        <w:t xml:space="preserve">“合同”系指甲方与乙方签署的，合同格式中载明的甲方与乙方所达成的协议，包括所有的附件、附录和构成合同的所有文件。</w:t>
      </w:r>
      <w:r/>
    </w:p>
    <w:p>
      <w:pPr>
        <w:numPr>
          <w:ilvl w:val="0"/>
          <w:numId w:val="6"/>
        </w:numPr>
        <w:ind w:left="0" w:firstLine="515"/>
        <w:tabs>
          <w:tab w:val="left" w:pos="0" w:leader="none"/>
          <w:tab w:val="clear" w:pos="1365" w:leader="none"/>
        </w:tabs>
        <w:rPr>
          <w:rFonts w:hint="eastAsia" w:ascii="宋体" w:hAnsi="宋体"/>
          <w:sz w:val="28"/>
          <w:szCs w:val="28"/>
        </w:rPr>
      </w:pPr>
      <w:r>
        <w:rPr>
          <w:rFonts w:hint="eastAsia" w:ascii="宋体" w:hAnsi="宋体"/>
          <w:sz w:val="28"/>
          <w:szCs w:val="28"/>
        </w:rPr>
        <w:t xml:space="preserve">“服务”系指根据合同规定乙方应承担的义务及相关的后续服务，比如上门服务、24小时受理索赔接报案、限时理赔支付赔款、无偿提供保险知识培训和其他类似的乙方应承担的义务。</w:t>
      </w:r>
      <w:r/>
    </w:p>
    <w:p>
      <w:pPr>
        <w:numPr>
          <w:ilvl w:val="0"/>
          <w:numId w:val="6"/>
        </w:numPr>
        <w:ind w:left="0" w:firstLine="515"/>
        <w:tabs>
          <w:tab w:val="left" w:pos="0" w:leader="none"/>
          <w:tab w:val="clear" w:pos="1365" w:leader="none"/>
        </w:tabs>
        <w:rPr>
          <w:rFonts w:hint="eastAsia" w:ascii="宋体" w:hAnsi="宋体"/>
          <w:sz w:val="28"/>
          <w:szCs w:val="28"/>
        </w:rPr>
      </w:pPr>
      <w:r>
        <w:rPr>
          <w:rFonts w:hint="eastAsia" w:ascii="宋体" w:hAnsi="宋体"/>
          <w:sz w:val="28"/>
          <w:szCs w:val="28"/>
        </w:rPr>
        <w:t xml:space="preserve">“甲方”系指江苏省教育厅。</w:t>
      </w:r>
      <w:r/>
    </w:p>
    <w:p>
      <w:pPr>
        <w:numPr>
          <w:ilvl w:val="0"/>
          <w:numId w:val="6"/>
        </w:numPr>
        <w:ind w:left="0" w:firstLine="515"/>
        <w:tabs>
          <w:tab w:val="left" w:pos="0" w:leader="none"/>
          <w:tab w:val="clear" w:pos="1365" w:leader="none"/>
        </w:tabs>
        <w:rPr>
          <w:rFonts w:hint="eastAsia" w:ascii="宋体" w:hAnsi="宋体"/>
          <w:sz w:val="28"/>
          <w:szCs w:val="28"/>
        </w:rPr>
      </w:pPr>
      <w:r>
        <w:rPr>
          <w:rFonts w:hint="eastAsia" w:ascii="宋体" w:hAnsi="宋体"/>
          <w:sz w:val="28"/>
          <w:szCs w:val="28"/>
        </w:rPr>
        <w:t xml:space="preserve">“乙方”系指为江苏省学生人身伤害事故责任险提供服务的保险机构。</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（5）“被保险人”系指江苏省内经政府及有关部门批准依法设立的普通教育机构和其他相关教育机构。</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被保险人”的学生系指具体接受保险服务的江苏省内经政府及有关部门批准依法设立的普通教育机构和其他教育机构的在校学生，包括：普通高等教育学生。普通高等教育学生系指在普通高等学校、承担研究生教育任务的科学研究机构内接受普通高等学历教育的在读研究生和本科、专科（高职）学生；中、小学生。中、小学生系指在国家或者社会力量依法举办的全日制的小学、初级中学、高级中学（含特殊教育学校、专门学校）内接受教育的在籍在读学生；中等职业教育学生。中等职业教育学生系指在各类中等职业学校（包括调整后中等职业学校、职业高中学校、成人中等</w:t>
      </w:r>
      <w:r>
        <w:rPr>
          <w:rFonts w:ascii="SimSun" w:hAnsi="SimSun" w:eastAsia="SimSun" w:cs="SimSun"/>
          <w:color w:val="000000"/>
          <w:sz w:val="28"/>
        </w:rPr>
        <w:t xml:space="preserve">专业学校、中等技术学校、中等师范学校、技工院校及其他中职机构）内接受中等职业教育，并注册中等职业教育学籍的在读学生；在园幼儿。在园幼儿系指在经县级以上主管部门批准设立的公、民办全日制幼儿园及中小学附设幼儿班内接受学前教育的在籍在读学生。</w:t>
      </w:r>
      <w:r/>
    </w:p>
    <w:p>
      <w:pPr>
        <w:rPr>
          <w:rFonts w:hint="eastAsia" w:ascii="宋体" w:hAnsi="宋体"/>
          <w:b/>
          <w:sz w:val="28"/>
          <w:szCs w:val="28"/>
        </w:rPr>
      </w:pPr>
      <w:r>
        <w:rPr>
          <w:rFonts w:hint="eastAsia" w:ascii="宋体" w:hAnsi="宋体"/>
          <w:b/>
          <w:sz w:val="28"/>
          <w:szCs w:val="28"/>
        </w:rPr>
        <w:t xml:space="preserve">2．服务范围</w:t>
      </w:r>
      <w:r/>
    </w:p>
    <w:p>
      <w:pPr>
        <w:ind w:left="1" w:firstLine="514"/>
        <w:rPr>
          <w:rFonts w:hint="eastAsia" w:ascii="宋体" w:hAnsi="宋体"/>
          <w:sz w:val="28"/>
          <w:szCs w:val="28"/>
        </w:rPr>
      </w:pPr>
      <w:r>
        <w:rPr>
          <w:rFonts w:hint="eastAsia" w:ascii="宋体" w:hAnsi="宋体"/>
          <w:b/>
          <w:sz w:val="28"/>
          <w:szCs w:val="28"/>
        </w:rPr>
        <w:t xml:space="preserve"> 2</w:t>
      </w:r>
      <w:r>
        <w:rPr>
          <w:rFonts w:ascii="宋体" w:hAnsi="宋体"/>
          <w:b/>
          <w:sz w:val="28"/>
          <w:szCs w:val="28"/>
        </w:rPr>
        <w:t xml:space="preserve">.1</w:t>
      </w:r>
      <w:r>
        <w:rPr>
          <w:rFonts w:hint="eastAsia" w:ascii="宋体" w:hAnsi="宋体"/>
          <w:b/>
          <w:sz w:val="28"/>
          <w:szCs w:val="28"/>
        </w:rPr>
        <w:t xml:space="preserve"> </w:t>
      </w:r>
      <w:r>
        <w:rPr>
          <w:rFonts w:hint="eastAsia" w:ascii="宋体" w:hAnsi="宋体"/>
          <w:sz w:val="28"/>
          <w:szCs w:val="28"/>
        </w:rPr>
        <w:t xml:space="preserve">本合同服务范围为江苏省学生人身伤害事故责任保险。</w:t>
      </w:r>
      <w:r/>
    </w:p>
    <w:p>
      <w:pPr>
        <w:rPr>
          <w:rFonts w:hint="eastAsia" w:ascii="宋体" w:hAnsi="宋体"/>
          <w:b/>
          <w:sz w:val="28"/>
          <w:szCs w:val="28"/>
        </w:rPr>
      </w:pPr>
      <w:r>
        <w:rPr>
          <w:rFonts w:hint="eastAsia" w:ascii="宋体" w:hAnsi="宋体"/>
          <w:b/>
          <w:sz w:val="28"/>
          <w:szCs w:val="28"/>
        </w:rPr>
        <w:t xml:space="preserve">3．投保手续</w:t>
      </w:r>
      <w:r/>
    </w:p>
    <w:p>
      <w:pPr>
        <w:ind w:firstLine="562"/>
        <w:spacing w:line="540" w:lineRule="exact"/>
        <w:rPr>
          <w:rFonts w:hint="eastAsia" w:ascii="宋体" w:hAnsi="宋体"/>
          <w:sz w:val="28"/>
          <w:szCs w:val="28"/>
        </w:rPr>
      </w:pPr>
      <w:r>
        <w:rPr>
          <w:rFonts w:hint="eastAsia" w:ascii="宋体" w:hAnsi="宋体"/>
          <w:b/>
          <w:sz w:val="28"/>
          <w:szCs w:val="28"/>
        </w:rPr>
        <w:t xml:space="preserve">3.1 由首席承保人</w:t>
      </w:r>
      <w:r>
        <w:rPr>
          <w:rFonts w:hint="eastAsia" w:ascii="宋体" w:hAnsi="宋体"/>
          <w:sz w:val="28"/>
          <w:szCs w:val="28"/>
        </w:rPr>
        <w:t xml:space="preserve">专人负责与投保人（代表各被保险人）按照本合同有关条款及时签订保险单，首席承保向其它共保人按本合同规定收取签单费用。</w:t>
      </w:r>
      <w:r/>
    </w:p>
    <w:p>
      <w:pPr>
        <w:rPr>
          <w:rFonts w:hint="eastAsia" w:ascii="宋体" w:hAnsi="宋体"/>
          <w:b/>
          <w:sz w:val="28"/>
          <w:szCs w:val="28"/>
        </w:rPr>
      </w:pPr>
      <w:r>
        <w:rPr>
          <w:rFonts w:hint="eastAsia" w:ascii="宋体" w:hAnsi="宋体"/>
          <w:b/>
          <w:sz w:val="28"/>
          <w:szCs w:val="28"/>
        </w:rPr>
        <w:t xml:space="preserve">4．保险费用</w:t>
      </w:r>
      <w:r/>
    </w:p>
    <w:p>
      <w:pPr>
        <w:ind w:firstLine="409"/>
        <w:rPr>
          <w:rFonts w:hint="eastAsia" w:ascii="宋体" w:hAnsi="宋体"/>
          <w:sz w:val="28"/>
          <w:szCs w:val="28"/>
        </w:rPr>
      </w:pPr>
      <w:r>
        <w:rPr>
          <w:rFonts w:hint="eastAsia" w:ascii="宋体" w:hAnsi="宋体"/>
          <w:sz w:val="28"/>
          <w:szCs w:val="28"/>
        </w:rPr>
        <w:t xml:space="preserve">4.1每个学生      元/人.年。（</w:t>
      </w:r>
      <w:r>
        <w:rPr>
          <w:rFonts w:hint="eastAsia" w:ascii="宋体" w:hAnsi="宋体"/>
          <w:sz w:val="28"/>
          <w:szCs w:val="28"/>
        </w:rPr>
        <w:t xml:space="preserve">2025年预计人数约1550万人</w:t>
      </w:r>
      <w:r>
        <w:rPr>
          <w:rFonts w:hint="eastAsia" w:ascii="宋体" w:hAnsi="宋体"/>
          <w:sz w:val="28"/>
          <w:szCs w:val="28"/>
        </w:rPr>
        <w:t xml:space="preserve">）</w:t>
      </w:r>
      <w:r/>
    </w:p>
    <w:p>
      <w:pPr>
        <w:rPr>
          <w:rFonts w:hint="eastAsia" w:ascii="宋体" w:hAnsi="宋体"/>
          <w:b/>
          <w:sz w:val="28"/>
          <w:szCs w:val="28"/>
        </w:rPr>
      </w:pPr>
      <w:r>
        <w:rPr>
          <w:rFonts w:hint="eastAsia" w:ascii="宋体" w:hAnsi="宋体"/>
          <w:b/>
          <w:sz w:val="28"/>
          <w:szCs w:val="28"/>
        </w:rPr>
        <w:t xml:space="preserve">5. 保险险种</w:t>
      </w:r>
      <w:r/>
    </w:p>
    <w:p>
      <w:pPr>
        <w:rPr>
          <w:rFonts w:hint="eastAsia" w:ascii="宋体" w:hAnsi="宋体"/>
          <w:sz w:val="28"/>
          <w:szCs w:val="28"/>
        </w:rPr>
      </w:pPr>
      <w:r>
        <w:rPr>
          <w:rFonts w:hint="eastAsia" w:ascii="宋体" w:hAnsi="宋体"/>
          <w:b/>
          <w:sz w:val="28"/>
          <w:szCs w:val="28"/>
        </w:rPr>
        <w:t xml:space="preserve">   </w:t>
      </w:r>
      <w:r>
        <w:rPr>
          <w:rFonts w:hint="eastAsia" w:ascii="宋体" w:hAnsi="宋体"/>
          <w:sz w:val="28"/>
          <w:szCs w:val="28"/>
        </w:rPr>
        <w:t xml:space="preserve">5.1江苏省学生人身伤害事故责任保险。</w:t>
      </w:r>
      <w:r/>
    </w:p>
    <w:p>
      <w:pPr>
        <w:rPr>
          <w:rFonts w:hint="eastAsia" w:ascii="宋体" w:hAnsi="宋体"/>
          <w:b/>
          <w:sz w:val="28"/>
          <w:szCs w:val="28"/>
        </w:rPr>
      </w:pPr>
      <w:r>
        <w:rPr>
          <w:rFonts w:hint="eastAsia" w:ascii="宋体" w:hAnsi="宋体"/>
          <w:b/>
          <w:sz w:val="28"/>
          <w:szCs w:val="28"/>
        </w:rPr>
        <w:t xml:space="preserve">6.  保险期限</w:t>
      </w:r>
      <w:r/>
    </w:p>
    <w:p>
      <w:pPr>
        <w:ind w:firstLine="420"/>
        <w:rPr>
          <w:rFonts w:hint="eastAsia" w:ascii="宋体" w:hAnsi="宋体"/>
          <w:sz w:val="28"/>
          <w:szCs w:val="28"/>
        </w:rPr>
      </w:pPr>
      <w:r>
        <w:rPr>
          <w:rFonts w:hint="eastAsia" w:ascii="宋体" w:hAnsi="宋体"/>
          <w:sz w:val="28"/>
          <w:szCs w:val="28"/>
        </w:rPr>
        <w:t xml:space="preserve">6.1为20</w:t>
      </w:r>
      <w:r>
        <w:rPr>
          <w:rFonts w:ascii="宋体" w:hAnsi="宋体"/>
          <w:sz w:val="28"/>
          <w:szCs w:val="28"/>
        </w:rPr>
        <w:t xml:space="preserve">2</w:t>
      </w:r>
      <w:r>
        <w:rPr>
          <w:rFonts w:hint="eastAsia" w:ascii="宋体" w:hAnsi="宋体"/>
          <w:sz w:val="28"/>
          <w:szCs w:val="28"/>
        </w:rPr>
        <w:t xml:space="preserve">5</w:t>
      </w:r>
      <w:r>
        <w:rPr>
          <w:rFonts w:hint="eastAsia" w:ascii="宋体" w:hAnsi="宋体"/>
          <w:sz w:val="28"/>
          <w:szCs w:val="28"/>
        </w:rPr>
        <w:t xml:space="preserve">年9月1日零时起至202</w:t>
      </w:r>
      <w:r>
        <w:rPr>
          <w:rFonts w:hint="eastAsia" w:ascii="宋体" w:hAnsi="宋体"/>
          <w:sz w:val="28"/>
          <w:szCs w:val="28"/>
        </w:rPr>
        <w:t xml:space="preserve">8</w:t>
      </w:r>
      <w:r>
        <w:rPr>
          <w:rFonts w:hint="eastAsia" w:ascii="宋体" w:hAnsi="宋体"/>
          <w:sz w:val="28"/>
          <w:szCs w:val="28"/>
        </w:rPr>
        <w:t xml:space="preserve">年8月31日24时止（第12个月末根据约定进行保费调整），按学年签订保单。</w:t>
      </w:r>
      <w:r/>
    </w:p>
    <w:p>
      <w:pPr>
        <w:rPr>
          <w:rFonts w:hint="eastAsia" w:ascii="宋体" w:hAnsi="宋体"/>
          <w:b/>
          <w:sz w:val="28"/>
          <w:szCs w:val="28"/>
        </w:rPr>
      </w:pPr>
      <w:r>
        <w:rPr>
          <w:rFonts w:hint="eastAsia" w:ascii="宋体" w:hAnsi="宋体"/>
          <w:b/>
          <w:sz w:val="28"/>
          <w:szCs w:val="28"/>
        </w:rPr>
        <w:t xml:space="preserve">7.  赔偿限额</w:t>
      </w:r>
      <w:r/>
    </w:p>
    <w:p>
      <w:pPr>
        <w:ind w:firstLine="413"/>
        <w:rPr>
          <w:rFonts w:hint="eastAsia" w:ascii="宋体" w:hAnsi="宋体"/>
          <w:b/>
          <w:sz w:val="28"/>
          <w:szCs w:val="28"/>
        </w:rPr>
      </w:pPr>
      <w:r>
        <w:rPr>
          <w:rFonts w:hint="eastAsia" w:ascii="宋体" w:hAnsi="宋体"/>
          <w:b/>
          <w:sz w:val="28"/>
          <w:szCs w:val="28"/>
        </w:rPr>
        <w:t xml:space="preserve">7.1</w:t>
      </w:r>
      <w:r>
        <w:rPr>
          <w:rFonts w:hint="eastAsia" w:ascii="宋体" w:hAnsi="宋体"/>
          <w:sz w:val="28"/>
          <w:szCs w:val="28"/>
        </w:rPr>
        <w:t xml:space="preserve">见招标文件要求及乙方投标文件。</w:t>
      </w:r>
      <w:r/>
    </w:p>
    <w:p>
      <w:pPr>
        <w:rPr>
          <w:rFonts w:hint="eastAsia" w:ascii="宋体" w:hAnsi="宋体"/>
          <w:b/>
          <w:sz w:val="28"/>
          <w:szCs w:val="28"/>
        </w:rPr>
      </w:pPr>
      <w:r>
        <w:rPr>
          <w:rFonts w:hint="eastAsia" w:ascii="宋体" w:hAnsi="宋体"/>
          <w:b/>
          <w:sz w:val="28"/>
          <w:szCs w:val="28"/>
        </w:rPr>
        <w:t xml:space="preserve">8. 地域范围  </w:t>
      </w:r>
      <w:r/>
    </w:p>
    <w:p>
      <w:pPr>
        <w:ind w:firstLine="413"/>
        <w:rPr>
          <w:rFonts w:hint="eastAsia" w:ascii="宋体" w:hAnsi="宋体"/>
          <w:sz w:val="28"/>
          <w:szCs w:val="28"/>
        </w:rPr>
      </w:pPr>
      <w:r>
        <w:rPr>
          <w:rFonts w:hint="eastAsia" w:ascii="宋体" w:hAnsi="宋体"/>
          <w:b/>
          <w:sz w:val="28"/>
          <w:szCs w:val="28"/>
        </w:rPr>
        <w:t xml:space="preserve">8.1中华人民共和国境内。</w:t>
      </w:r>
      <w:r/>
    </w:p>
    <w:p>
      <w:pPr>
        <w:rPr>
          <w:rFonts w:hint="eastAsia" w:ascii="宋体" w:hAnsi="宋体"/>
          <w:b/>
          <w:sz w:val="28"/>
          <w:szCs w:val="28"/>
        </w:rPr>
      </w:pPr>
      <w:r>
        <w:rPr>
          <w:rFonts w:hint="eastAsia" w:ascii="宋体" w:hAnsi="宋体"/>
          <w:b/>
          <w:sz w:val="28"/>
          <w:szCs w:val="28"/>
        </w:rPr>
        <w:t xml:space="preserve">9. 结算方式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8"/>
          <w:szCs w:val="28"/>
        </w:rPr>
        <w:t xml:space="preserve">  </w:t>
      </w:r>
      <w:r>
        <w:rPr>
          <w:rFonts w:ascii="SimSun" w:hAnsi="SimSun" w:eastAsia="SimSun" w:cs="SimSun"/>
          <w:color w:val="000000"/>
          <w:sz w:val="28"/>
        </w:rPr>
        <w:t xml:space="preserve">   9.1 本合同及乙方与被保险人签订的保险单均以人民币结算。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9.2按年度支付，即在每学年保单出具后的20个工作日内预付50%的保险费，次年3月底乙方按甲方要求提供合同履约情况书面报告及相关数据报表，甲方自收到上述材料且确认乙方完全履约的前提下20个工作日内支付剩余保费。</w:t>
      </w:r>
      <w:r/>
    </w:p>
    <w:p>
      <w:pPr>
        <w:rPr>
          <w:rFonts w:hint="eastAsia" w:ascii="宋体" w:hAnsi="宋体"/>
          <w:b/>
          <w:sz w:val="28"/>
          <w:szCs w:val="28"/>
        </w:rPr>
      </w:pPr>
      <w:r>
        <w:rPr>
          <w:rFonts w:hint="eastAsia" w:ascii="宋体" w:hAnsi="宋体"/>
          <w:b/>
          <w:sz w:val="28"/>
          <w:szCs w:val="28"/>
        </w:rPr>
        <w:t xml:space="preserve">10. 出险处理及赔偿标准</w:t>
      </w:r>
      <w:r/>
    </w:p>
    <w:p>
      <w:pPr>
        <w:rPr>
          <w:rFonts w:hint="eastAsia" w:ascii="宋体" w:hAnsi="宋体"/>
          <w:sz w:val="28"/>
          <w:szCs w:val="28"/>
        </w:rPr>
      </w:pPr>
      <w:r>
        <w:rPr>
          <w:rFonts w:hint="eastAsia" w:ascii="宋体" w:hAnsi="宋体"/>
          <w:sz w:val="28"/>
          <w:szCs w:val="28"/>
        </w:rPr>
        <w:t xml:space="preserve">   </w:t>
      </w:r>
      <w:r>
        <w:rPr>
          <w:rFonts w:ascii="宋体" w:hAnsi="宋体"/>
          <w:b/>
          <w:sz w:val="28"/>
          <w:szCs w:val="28"/>
        </w:rPr>
        <w:t xml:space="preserve">10.1</w:t>
      </w:r>
      <w:r>
        <w:rPr>
          <w:rFonts w:hint="eastAsia" w:ascii="宋体" w:hAnsi="宋体"/>
          <w:b/>
          <w:sz w:val="28"/>
          <w:szCs w:val="28"/>
        </w:rPr>
        <w:t xml:space="preserve"> </w:t>
      </w:r>
      <w:r>
        <w:rPr>
          <w:rFonts w:hint="eastAsia" w:ascii="宋体" w:hAnsi="宋体"/>
          <w:sz w:val="28"/>
          <w:szCs w:val="28"/>
        </w:rPr>
        <w:t xml:space="preserve">见招标文件及乙方投标文件。</w:t>
      </w:r>
      <w:r/>
    </w:p>
    <w:p>
      <w:pPr>
        <w:rPr>
          <w:rFonts w:hint="eastAsia" w:ascii="宋体" w:hAnsi="宋体"/>
          <w:b/>
          <w:sz w:val="28"/>
          <w:szCs w:val="28"/>
        </w:rPr>
      </w:pPr>
      <w:r>
        <w:rPr>
          <w:rFonts w:hint="eastAsia" w:ascii="宋体" w:hAnsi="宋体"/>
          <w:b/>
          <w:sz w:val="28"/>
          <w:szCs w:val="28"/>
        </w:rPr>
        <w:t xml:space="preserve">11．税费</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11</w:t>
      </w:r>
      <w:r>
        <w:rPr>
          <w:rFonts w:ascii="宋体" w:hAnsi="宋体"/>
          <w:b/>
          <w:sz w:val="28"/>
          <w:szCs w:val="28"/>
        </w:rPr>
        <w:t xml:space="preserve">.1</w:t>
      </w:r>
      <w:r>
        <w:rPr>
          <w:rFonts w:hint="eastAsia" w:ascii="宋体" w:hAnsi="宋体"/>
          <w:sz w:val="28"/>
          <w:szCs w:val="28"/>
        </w:rPr>
        <w:t xml:space="preserve"> 中国政府根据现行税法规定对甲方征收的、与本合同有关的一切税费，均由甲方负担，招标文件另有规定的除外。</w:t>
      </w:r>
      <w:r/>
    </w:p>
    <w:p>
      <w:pPr>
        <w:rPr>
          <w:rFonts w:hint="eastAsia" w:ascii="宋体" w:hAnsi="宋体"/>
          <w:sz w:val="28"/>
          <w:szCs w:val="28"/>
        </w:rPr>
      </w:pPr>
      <w:r>
        <w:rPr>
          <w:rFonts w:hint="eastAsia" w:ascii="宋体" w:hAnsi="宋体"/>
          <w:sz w:val="28"/>
          <w:szCs w:val="28"/>
        </w:rPr>
        <w:t xml:space="preserve">   </w:t>
      </w:r>
      <w:r>
        <w:rPr>
          <w:rFonts w:ascii="宋体" w:hAnsi="宋体"/>
          <w:b/>
          <w:sz w:val="28"/>
          <w:szCs w:val="28"/>
        </w:rPr>
        <w:t xml:space="preserve">11.2</w:t>
      </w:r>
      <w:r>
        <w:rPr>
          <w:rFonts w:hint="eastAsia" w:ascii="宋体" w:hAnsi="宋体"/>
          <w:sz w:val="28"/>
          <w:szCs w:val="28"/>
        </w:rPr>
        <w:t xml:space="preserve"> 中国政府根据现行税法规定对乙方征收的、与本合同有关的一切税费，均由乙方负担。</w:t>
      </w:r>
      <w:r/>
    </w:p>
    <w:p>
      <w:pPr>
        <w:rPr>
          <w:rFonts w:hint="eastAsia" w:ascii="宋体" w:hAnsi="宋体"/>
          <w:b/>
          <w:sz w:val="28"/>
          <w:szCs w:val="28"/>
        </w:rPr>
      </w:pPr>
      <w:r>
        <w:rPr>
          <w:rFonts w:hint="eastAsia" w:ascii="宋体" w:hAnsi="宋体"/>
          <w:b/>
          <w:sz w:val="28"/>
          <w:szCs w:val="28"/>
        </w:rPr>
        <w:t xml:space="preserve">12．履约保证金</w:t>
      </w:r>
      <w:r/>
    </w:p>
    <w:p>
      <w:pPr>
        <w:rPr>
          <w:rFonts w:hint="eastAsia" w:ascii="宋体" w:hAnsi="宋体"/>
          <w:b/>
          <w:sz w:val="28"/>
          <w:szCs w:val="28"/>
        </w:rPr>
      </w:pPr>
      <w:r>
        <w:rPr>
          <w:rFonts w:hint="eastAsia" w:ascii="宋体" w:hAnsi="宋体"/>
          <w:b/>
          <w:sz w:val="28"/>
          <w:szCs w:val="28"/>
        </w:rPr>
        <w:t xml:space="preserve"> 本项目不收取履约保证金。</w:t>
      </w:r>
      <w:r/>
    </w:p>
    <w:p>
      <w:pPr>
        <w:rPr>
          <w:rFonts w:hint="eastAsia" w:ascii="宋体" w:hAnsi="宋体"/>
          <w:b/>
          <w:sz w:val="28"/>
          <w:szCs w:val="28"/>
        </w:rPr>
      </w:pPr>
      <w:r>
        <w:rPr>
          <w:rFonts w:hint="eastAsia" w:ascii="宋体" w:hAnsi="宋体"/>
          <w:b/>
          <w:sz w:val="28"/>
          <w:szCs w:val="28"/>
        </w:rPr>
        <w:t xml:space="preserve">13．仲裁</w:t>
      </w:r>
      <w:r/>
    </w:p>
    <w:p>
      <w:pPr>
        <w:rPr>
          <w:rFonts w:hint="eastAsia" w:ascii="宋体" w:hAnsi="宋体"/>
          <w:sz w:val="28"/>
          <w:szCs w:val="28"/>
        </w:rPr>
      </w:pPr>
      <w:r>
        <w:rPr>
          <w:rFonts w:hint="eastAsia" w:ascii="宋体" w:hAnsi="宋体"/>
          <w:sz w:val="28"/>
          <w:szCs w:val="28"/>
        </w:rPr>
        <w:t xml:space="preserve">   </w:t>
      </w:r>
      <w:r>
        <w:rPr>
          <w:rFonts w:ascii="宋体" w:hAnsi="宋体"/>
          <w:b/>
          <w:sz w:val="28"/>
          <w:szCs w:val="28"/>
        </w:rPr>
        <w:t xml:space="preserve">13.1</w:t>
      </w:r>
      <w:r>
        <w:rPr>
          <w:rFonts w:hint="eastAsia" w:ascii="宋体" w:hAnsi="宋体"/>
          <w:b/>
          <w:sz w:val="28"/>
          <w:szCs w:val="28"/>
        </w:rPr>
        <w:t xml:space="preserve"> </w:t>
      </w:r>
      <w:r>
        <w:rPr>
          <w:rFonts w:hint="eastAsia" w:ascii="宋体" w:hAnsi="宋体"/>
          <w:sz w:val="28"/>
          <w:szCs w:val="28"/>
        </w:rPr>
        <w:t xml:space="preserve">在执行本合同中所发生的或与本合同有关的一切争端，甲方、被保险人和乙方应通过友好协商的办法进行解决。如从协商开始30天内仍不能解决，则应申请仲裁。</w:t>
      </w:r>
      <w:r/>
    </w:p>
    <w:p>
      <w:pPr>
        <w:rPr>
          <w:rFonts w:hint="eastAsia" w:ascii="宋体" w:hAnsi="宋体"/>
          <w:sz w:val="28"/>
          <w:szCs w:val="28"/>
        </w:rPr>
      </w:pPr>
      <w:r>
        <w:rPr>
          <w:rFonts w:hint="eastAsia" w:ascii="宋体" w:hAnsi="宋体"/>
          <w:sz w:val="28"/>
          <w:szCs w:val="28"/>
        </w:rPr>
        <w:t xml:space="preserve">   </w:t>
      </w:r>
      <w:r>
        <w:rPr>
          <w:rFonts w:ascii="宋体" w:hAnsi="宋体"/>
          <w:b/>
          <w:sz w:val="28"/>
          <w:szCs w:val="28"/>
        </w:rPr>
        <w:t xml:space="preserve">13.2</w:t>
      </w:r>
      <w:r>
        <w:rPr>
          <w:rFonts w:hint="eastAsia" w:ascii="宋体" w:hAnsi="宋体"/>
          <w:sz w:val="28"/>
          <w:szCs w:val="28"/>
        </w:rPr>
        <w:t xml:space="preserve"> 仲裁应根据《中华人民共和国仲裁法》的规定由甲方选择甲方所在地仲裁机构进行仲裁。</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13</w:t>
      </w:r>
      <w:r>
        <w:rPr>
          <w:rFonts w:ascii="宋体" w:hAnsi="宋体"/>
          <w:b/>
          <w:sz w:val="28"/>
          <w:szCs w:val="28"/>
        </w:rPr>
        <w:t xml:space="preserve">.3</w:t>
      </w:r>
      <w:r>
        <w:rPr>
          <w:rFonts w:ascii="宋体" w:hAnsi="宋体"/>
          <w:sz w:val="28"/>
          <w:szCs w:val="28"/>
        </w:rPr>
        <w:t xml:space="preserve"> </w:t>
      </w:r>
      <w:r>
        <w:rPr>
          <w:rFonts w:hint="eastAsia" w:ascii="宋体" w:hAnsi="宋体"/>
          <w:sz w:val="28"/>
          <w:szCs w:val="28"/>
        </w:rPr>
        <w:t xml:space="preserve">仲裁裁决为最终裁决，对甲方、被保险人和乙方均有约束力。</w:t>
      </w:r>
      <w:r/>
    </w:p>
    <w:p>
      <w:pPr>
        <w:rPr>
          <w:rFonts w:hint="eastAsia" w:ascii="宋体" w:hAnsi="宋体"/>
          <w:sz w:val="28"/>
          <w:szCs w:val="28"/>
        </w:rPr>
      </w:pPr>
      <w:r>
        <w:rPr>
          <w:rFonts w:hint="eastAsia" w:ascii="宋体" w:hAnsi="宋体"/>
          <w:sz w:val="28"/>
          <w:szCs w:val="28"/>
        </w:rPr>
        <w:t xml:space="preserve">   </w:t>
      </w:r>
      <w:r>
        <w:rPr>
          <w:rFonts w:ascii="宋体" w:hAnsi="宋体"/>
          <w:b/>
          <w:sz w:val="28"/>
          <w:szCs w:val="28"/>
        </w:rPr>
        <w:t xml:space="preserve">13.4</w:t>
      </w:r>
      <w:r>
        <w:rPr>
          <w:rFonts w:ascii="宋体" w:hAnsi="宋体"/>
          <w:sz w:val="28"/>
          <w:szCs w:val="28"/>
        </w:rPr>
        <w:t xml:space="preserve"> </w:t>
      </w:r>
      <w:r>
        <w:rPr>
          <w:rFonts w:hint="eastAsia" w:ascii="宋体" w:hAnsi="宋体"/>
          <w:sz w:val="28"/>
          <w:szCs w:val="28"/>
        </w:rPr>
        <w:t xml:space="preserve">在仲裁期间，本合同应继续执行。</w:t>
      </w:r>
      <w:r/>
    </w:p>
    <w:p>
      <w:pPr>
        <w:rPr>
          <w:rFonts w:hint="eastAsia" w:ascii="宋体" w:hAnsi="宋体"/>
          <w:b/>
          <w:sz w:val="28"/>
          <w:szCs w:val="28"/>
        </w:rPr>
      </w:pPr>
      <w:r>
        <w:rPr>
          <w:rFonts w:hint="eastAsia" w:ascii="宋体" w:hAnsi="宋体"/>
          <w:b/>
          <w:sz w:val="28"/>
          <w:szCs w:val="28"/>
        </w:rPr>
        <w:t xml:space="preserve">14、违约中止或终止合同</w:t>
      </w:r>
      <w:r/>
    </w:p>
    <w:p>
      <w:pPr>
        <w:ind w:right="17" w:firstLine="562"/>
        <w:rPr>
          <w:rFonts w:hint="eastAsia" w:ascii="宋体" w:hAnsi="宋体"/>
          <w:sz w:val="28"/>
          <w:szCs w:val="28"/>
        </w:rPr>
      </w:pPr>
      <w:r>
        <w:rPr>
          <w:rFonts w:hint="eastAsia" w:ascii="宋体" w:hAnsi="宋体"/>
          <w:b/>
          <w:sz w:val="28"/>
          <w:szCs w:val="28"/>
        </w:rPr>
        <w:t xml:space="preserve">14</w:t>
      </w:r>
      <w:r>
        <w:rPr>
          <w:rFonts w:ascii="宋体" w:hAnsi="宋体"/>
          <w:b/>
          <w:sz w:val="28"/>
          <w:szCs w:val="28"/>
        </w:rPr>
        <w:t xml:space="preserve">.1</w:t>
      </w:r>
      <w:r>
        <w:rPr>
          <w:rFonts w:hint="eastAsia" w:ascii="宋体" w:hAnsi="宋体"/>
          <w:sz w:val="28"/>
          <w:szCs w:val="28"/>
        </w:rPr>
        <w:t xml:space="preserve">在本合同执行过程中，甲方不定期对乙方执行合同的情况进行检查，如有下列情况出现，在甲方及被保险人对乙方违约而采取的任何补救措施不受影响的情况下，向乙方发出中止或终止合同的书面通知书并按第18.5条进行处理：</w:t>
      </w:r>
      <w:r/>
    </w:p>
    <w:p>
      <w:pPr>
        <w:ind w:right="17" w:firstLine="560"/>
        <w:rPr>
          <w:rFonts w:hint="eastAsia" w:ascii="宋体" w:hAnsi="宋体"/>
          <w:sz w:val="28"/>
          <w:szCs w:val="28"/>
        </w:rPr>
      </w:pPr>
      <w:r>
        <w:rPr>
          <w:rFonts w:hint="eastAsia" w:ascii="宋体" w:hAnsi="宋体"/>
          <w:sz w:val="28"/>
          <w:szCs w:val="28"/>
        </w:rPr>
        <w:t xml:space="preserve">（1）接到甲方或被保险人的通知后，乙方未及时上门签订保险单，</w:t>
      </w:r>
      <w:r>
        <w:rPr>
          <w:rFonts w:hint="eastAsia" w:ascii="宋体" w:hAnsi="宋体"/>
          <w:sz w:val="28"/>
          <w:szCs w:val="28"/>
        </w:rPr>
        <w:t xml:space="preserve">给被保险人造成重大损失的；</w:t>
      </w:r>
      <w:r/>
    </w:p>
    <w:p>
      <w:pPr>
        <w:ind w:right="17" w:firstLine="560"/>
        <w:rPr>
          <w:rFonts w:hint="eastAsia" w:ascii="宋体" w:hAnsi="宋体"/>
          <w:sz w:val="28"/>
          <w:szCs w:val="28"/>
        </w:rPr>
      </w:pPr>
      <w:r>
        <w:rPr>
          <w:rFonts w:hint="eastAsia" w:ascii="宋体" w:hAnsi="宋体"/>
          <w:sz w:val="28"/>
          <w:szCs w:val="28"/>
        </w:rPr>
        <w:t xml:space="preserve">（2）如果手续齐全的赔案在乙方承诺的支付赔款时限内未能支付完毕，情节严重的；</w:t>
      </w:r>
      <w:r/>
    </w:p>
    <w:p>
      <w:pPr>
        <w:ind w:right="17" w:firstLine="560"/>
        <w:rPr>
          <w:rFonts w:hint="eastAsia" w:ascii="宋体" w:hAnsi="宋体"/>
          <w:sz w:val="28"/>
          <w:szCs w:val="28"/>
        </w:rPr>
      </w:pPr>
      <w:r>
        <w:rPr>
          <w:rFonts w:hint="eastAsia" w:ascii="宋体" w:hAnsi="宋体"/>
          <w:sz w:val="28"/>
          <w:szCs w:val="28"/>
        </w:rPr>
        <w:t xml:space="preserve">（3）故意隐瞒事实未根据甲方要求详细、准确地向甲方填报承保及理赔报表； </w:t>
      </w:r>
      <w:r/>
    </w:p>
    <w:p>
      <w:pPr>
        <w:ind w:right="17" w:firstLine="560"/>
        <w:rPr>
          <w:rFonts w:hint="eastAsia" w:ascii="宋体" w:hAnsi="宋体"/>
          <w:sz w:val="28"/>
          <w:szCs w:val="28"/>
        </w:rPr>
      </w:pPr>
      <w:r>
        <w:rPr>
          <w:rFonts w:hint="eastAsia" w:ascii="宋体" w:hAnsi="宋体"/>
          <w:sz w:val="28"/>
          <w:szCs w:val="28"/>
        </w:rPr>
        <w:t xml:space="preserve">（4）未按招标文件以及乙方投标承诺履行服务承诺的；</w:t>
      </w:r>
      <w:r/>
    </w:p>
    <w:p>
      <w:pPr>
        <w:ind w:right="17" w:firstLine="560"/>
        <w:rPr>
          <w:rFonts w:hint="eastAsia" w:ascii="宋体" w:hAnsi="宋体"/>
          <w:sz w:val="28"/>
          <w:szCs w:val="28"/>
        </w:rPr>
      </w:pPr>
      <w:r>
        <w:rPr>
          <w:rFonts w:hint="eastAsia" w:ascii="宋体" w:hAnsi="宋体"/>
          <w:sz w:val="28"/>
          <w:szCs w:val="28"/>
        </w:rPr>
        <w:t xml:space="preserve">（5）无论何种情况下，乙方未按投标承诺执行保费价格的；</w:t>
      </w:r>
      <w:r/>
    </w:p>
    <w:p>
      <w:pPr>
        <w:ind w:right="17" w:firstLine="560"/>
        <w:rPr>
          <w:rFonts w:hint="eastAsia" w:ascii="宋体" w:hAnsi="宋体"/>
          <w:sz w:val="28"/>
          <w:szCs w:val="28"/>
        </w:rPr>
      </w:pPr>
      <w:r>
        <w:rPr>
          <w:rFonts w:hint="eastAsia" w:ascii="宋体" w:hAnsi="宋体"/>
          <w:sz w:val="28"/>
          <w:szCs w:val="28"/>
        </w:rPr>
        <w:t xml:space="preserve">（6）其他严重违反本项目招标文件及乙方投标文件相关承诺的情况。</w:t>
      </w:r>
      <w:r/>
    </w:p>
    <w:p>
      <w:pPr>
        <w:ind w:right="17"/>
        <w:rPr>
          <w:rFonts w:hint="eastAsia" w:ascii="宋体" w:hAnsi="宋体"/>
          <w:sz w:val="28"/>
          <w:szCs w:val="28"/>
        </w:rPr>
      </w:pPr>
      <w:r>
        <w:rPr>
          <w:rFonts w:ascii="宋体" w:hAnsi="宋体"/>
          <w:sz w:val="28"/>
          <w:szCs w:val="28"/>
        </w:rPr>
        <w:t xml:space="preserve">   </w:t>
      </w:r>
      <w:r>
        <w:rPr>
          <w:rFonts w:hint="eastAsia" w:ascii="宋体" w:hAnsi="宋体"/>
          <w:b/>
          <w:sz w:val="28"/>
          <w:szCs w:val="28"/>
        </w:rPr>
        <w:t xml:space="preserve">14.3</w:t>
      </w:r>
      <w:r>
        <w:rPr>
          <w:rFonts w:ascii="宋体" w:hAnsi="宋体"/>
          <w:b/>
          <w:sz w:val="28"/>
          <w:szCs w:val="28"/>
        </w:rPr>
        <w:t xml:space="preserve"> </w:t>
      </w:r>
      <w:r>
        <w:rPr>
          <w:rFonts w:hint="eastAsia" w:ascii="宋体" w:hAnsi="宋体"/>
          <w:sz w:val="28"/>
          <w:szCs w:val="28"/>
        </w:rPr>
        <w:t xml:space="preserve">在甲方和被保险人根据第14</w:t>
      </w:r>
      <w:r>
        <w:rPr>
          <w:rFonts w:ascii="宋体" w:hAnsi="宋体"/>
          <w:sz w:val="28"/>
          <w:szCs w:val="28"/>
        </w:rPr>
        <w:t xml:space="preserve">.1</w:t>
      </w:r>
      <w:r>
        <w:rPr>
          <w:rFonts w:hint="eastAsia" w:ascii="宋体" w:hAnsi="宋体"/>
          <w:sz w:val="28"/>
          <w:szCs w:val="28"/>
        </w:rPr>
        <w:t xml:space="preserve">条规定，终止了采购合同后，甲方和被保险人可以依其认为适当的条件和方法与其他保险机构订立保险合同，乙方应对甲方订立新的保险合同所超出的那部分费用负责。</w:t>
      </w:r>
      <w:r/>
    </w:p>
    <w:p>
      <w:pPr>
        <w:ind w:right="17" w:firstLine="455"/>
        <w:rPr>
          <w:rFonts w:hint="eastAsia" w:ascii="宋体" w:hAnsi="宋体"/>
          <w:sz w:val="28"/>
          <w:szCs w:val="28"/>
        </w:rPr>
      </w:pPr>
      <w:r>
        <w:rPr>
          <w:rFonts w:hint="eastAsia" w:ascii="宋体" w:hAnsi="宋体"/>
          <w:b/>
          <w:sz w:val="28"/>
          <w:szCs w:val="28"/>
        </w:rPr>
        <w:t xml:space="preserve">14.4 </w:t>
      </w:r>
      <w:r>
        <w:rPr>
          <w:rFonts w:hint="eastAsia" w:ascii="宋体" w:hAnsi="宋体"/>
          <w:sz w:val="28"/>
          <w:szCs w:val="28"/>
        </w:rPr>
        <w:t xml:space="preserve">甲方签订保险单后，未按规定与乙方结算的，乙方有权单方面终止合同，并向甲方追究经济赔偿。</w:t>
      </w:r>
      <w:r/>
    </w:p>
    <w:p>
      <w:pPr>
        <w:ind w:right="17"/>
        <w:rPr>
          <w:rFonts w:hint="eastAsia" w:ascii="宋体" w:hAnsi="宋体"/>
          <w:b/>
          <w:sz w:val="28"/>
          <w:szCs w:val="28"/>
        </w:rPr>
      </w:pPr>
      <w:r>
        <w:rPr>
          <w:rFonts w:hint="eastAsia" w:ascii="宋体" w:hAnsi="宋体"/>
          <w:b/>
          <w:sz w:val="28"/>
          <w:szCs w:val="28"/>
        </w:rPr>
        <w:t xml:space="preserve">15、破产终止合同</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15</w:t>
      </w:r>
      <w:r>
        <w:rPr>
          <w:rFonts w:ascii="宋体" w:hAnsi="宋体"/>
          <w:b/>
          <w:sz w:val="28"/>
          <w:szCs w:val="28"/>
        </w:rPr>
        <w:t xml:space="preserve">.1</w:t>
      </w:r>
      <w:r>
        <w:rPr>
          <w:rFonts w:hint="eastAsia" w:ascii="宋体" w:hAnsi="宋体"/>
          <w:sz w:val="28"/>
          <w:szCs w:val="28"/>
        </w:rPr>
        <w:t xml:space="preserve"> 如果乙方破产或无清偿能力，甲方可在任何时候以书面形式通知乙方终止合同而不给乙方补偿。该终止合同将不损害或影响甲方已经采取或将要采取的任何行动或补救措施的权力。</w:t>
      </w:r>
      <w:r/>
    </w:p>
    <w:p>
      <w:pPr>
        <w:rPr>
          <w:rFonts w:hint="eastAsia" w:ascii="宋体" w:hAnsi="宋体"/>
          <w:b/>
          <w:sz w:val="28"/>
          <w:szCs w:val="28"/>
        </w:rPr>
      </w:pPr>
      <w:r>
        <w:rPr>
          <w:rFonts w:hint="eastAsia" w:ascii="宋体" w:hAnsi="宋体"/>
          <w:b/>
          <w:sz w:val="28"/>
          <w:szCs w:val="28"/>
        </w:rPr>
        <w:t xml:space="preserve">16、转让</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16</w:t>
      </w:r>
      <w:r>
        <w:rPr>
          <w:rFonts w:ascii="宋体" w:hAnsi="宋体"/>
          <w:b/>
          <w:sz w:val="28"/>
          <w:szCs w:val="28"/>
        </w:rPr>
        <w:t xml:space="preserve">.1</w:t>
      </w:r>
      <w:r>
        <w:rPr>
          <w:rFonts w:hint="eastAsia" w:ascii="宋体" w:hAnsi="宋体"/>
          <w:sz w:val="28"/>
          <w:szCs w:val="28"/>
        </w:rPr>
        <w:t xml:space="preserve"> 除甲方事先书面同意外，乙方不得转让任何其应履行的合同义务。</w:t>
      </w:r>
      <w:r/>
    </w:p>
    <w:p>
      <w:pPr>
        <w:rPr>
          <w:rFonts w:hint="eastAsia" w:ascii="宋体" w:hAnsi="宋体"/>
          <w:b/>
          <w:sz w:val="28"/>
          <w:szCs w:val="28"/>
        </w:rPr>
      </w:pPr>
      <w:r>
        <w:rPr>
          <w:rFonts w:hint="eastAsia" w:ascii="宋体" w:hAnsi="宋体"/>
          <w:b/>
          <w:sz w:val="28"/>
          <w:szCs w:val="28"/>
        </w:rPr>
        <w:t xml:space="preserve">17. 合同有效期</w:t>
      </w:r>
      <w:r/>
    </w:p>
    <w:p>
      <w:pPr>
        <w:rPr>
          <w:rFonts w:hint="eastAsia" w:ascii="宋体" w:hAnsi="宋体"/>
          <w:sz w:val="28"/>
          <w:szCs w:val="28"/>
        </w:rPr>
      </w:pPr>
      <w:r>
        <w:rPr>
          <w:rFonts w:hint="eastAsia" w:ascii="宋体" w:hAnsi="宋体"/>
          <w:sz w:val="28"/>
          <w:szCs w:val="28"/>
        </w:rPr>
        <w:t xml:space="preserve">   </w:t>
      </w:r>
      <w:r>
        <w:rPr>
          <w:rFonts w:ascii="SimSun" w:hAnsi="SimSun" w:eastAsia="SimSun" w:cs="SimSun"/>
          <w:color w:val="000000"/>
          <w:sz w:val="28"/>
        </w:rPr>
        <w:t xml:space="preserve">本合同的有效期为自2025年9月1日起至2028年8月31日。</w:t>
      </w:r>
      <w:r>
        <w:rPr>
          <w:rFonts w:hint="eastAsia" w:ascii="宋体" w:hAnsi="宋体"/>
          <w:sz w:val="28"/>
          <w:szCs w:val="28"/>
        </w:rPr>
      </w:r>
      <w:r/>
    </w:p>
    <w:p>
      <w:pPr>
        <w:rPr>
          <w:rFonts w:hint="eastAsia" w:ascii="宋体" w:hAnsi="宋体"/>
          <w:b/>
          <w:sz w:val="28"/>
          <w:szCs w:val="28"/>
        </w:rPr>
      </w:pPr>
      <w:r>
        <w:rPr>
          <w:rFonts w:hint="eastAsia" w:ascii="宋体" w:hAnsi="宋体"/>
          <w:b/>
          <w:sz w:val="28"/>
          <w:szCs w:val="28"/>
        </w:rPr>
        <w:t xml:space="preserve">18. 合同生效及其它</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18</w:t>
      </w:r>
      <w:r>
        <w:rPr>
          <w:rFonts w:ascii="宋体" w:hAnsi="宋体"/>
          <w:b/>
          <w:sz w:val="28"/>
          <w:szCs w:val="28"/>
        </w:rPr>
        <w:t xml:space="preserve">.1</w:t>
      </w:r>
      <w:r>
        <w:rPr>
          <w:rFonts w:ascii="宋体" w:hAnsi="宋体"/>
          <w:sz w:val="28"/>
          <w:szCs w:val="28"/>
        </w:rPr>
        <w:t xml:space="preserve">合同经双方法定代表人或授权委托代</w:t>
      </w:r>
      <w:r>
        <w:rPr>
          <w:rFonts w:hint="eastAsia" w:ascii="宋体" w:hAnsi="宋体"/>
          <w:sz w:val="28"/>
          <w:szCs w:val="28"/>
        </w:rPr>
        <w:t xml:space="preserve">表</w:t>
      </w:r>
      <w:r>
        <w:rPr>
          <w:rFonts w:ascii="宋体" w:hAnsi="宋体"/>
          <w:sz w:val="28"/>
          <w:szCs w:val="28"/>
        </w:rPr>
        <w:t xml:space="preserve">人签字并加盖单位公章后生效</w:t>
      </w:r>
      <w:r>
        <w:rPr>
          <w:rFonts w:hint="eastAsia" w:ascii="宋体" w:hAnsi="宋体"/>
          <w:sz w:val="28"/>
          <w:szCs w:val="28"/>
        </w:rPr>
        <w:t xml:space="preserve">。</w:t>
      </w:r>
      <w:r/>
    </w:p>
    <w:p>
      <w:pPr>
        <w:rPr>
          <w:rFonts w:hint="eastAsia" w:ascii="宋体" w:hAnsi="宋体"/>
          <w:sz w:val="28"/>
          <w:szCs w:val="28"/>
        </w:rPr>
      </w:pPr>
      <w:r>
        <w:rPr>
          <w:rFonts w:hint="eastAsia" w:ascii="宋体" w:hAnsi="宋体"/>
          <w:sz w:val="28"/>
          <w:szCs w:val="28"/>
        </w:rPr>
        <w:t xml:space="preserve">   </w:t>
      </w:r>
      <w:r>
        <w:rPr>
          <w:rFonts w:hint="eastAsia" w:ascii="宋体" w:hAnsi="宋体"/>
          <w:b/>
          <w:sz w:val="28"/>
          <w:szCs w:val="28"/>
        </w:rPr>
        <w:t xml:space="preserve">18.2 </w:t>
      </w:r>
      <w:r>
        <w:rPr>
          <w:rFonts w:hint="eastAsia" w:ascii="宋体" w:hAnsi="宋体"/>
          <w:sz w:val="28"/>
          <w:szCs w:val="28"/>
        </w:rPr>
        <w:t xml:space="preserve">本合同正本一式六份，具有同等法律效力，甲方执一份、乙方（共保体各方）及财政监管部门各执一份。</w:t>
      </w:r>
      <w:r/>
    </w:p>
    <w:p>
      <w:pPr>
        <w:rPr>
          <w:rFonts w:hint="eastAsia"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18.3 </w:t>
      </w:r>
      <w:r>
        <w:rPr>
          <w:rFonts w:hint="eastAsia" w:ascii="宋体" w:hAnsi="宋体"/>
          <w:sz w:val="28"/>
          <w:szCs w:val="28"/>
        </w:rPr>
        <w:t xml:space="preserve">本合同订立后所发生的具体保险方面的合同纠纷，甲方与乙方直接进行处理。</w:t>
      </w:r>
      <w:r/>
    </w:p>
    <w:p>
      <w:pPr>
        <w:ind w:firstLine="455"/>
        <w:rPr>
          <w:rFonts w:hint="eastAsia" w:ascii="宋体" w:hAnsi="宋体"/>
          <w:sz w:val="28"/>
          <w:szCs w:val="28"/>
        </w:rPr>
      </w:pPr>
      <w:r>
        <w:rPr>
          <w:rFonts w:hint="eastAsia" w:ascii="宋体" w:hAnsi="宋体"/>
          <w:b/>
          <w:sz w:val="28"/>
          <w:szCs w:val="28"/>
        </w:rPr>
        <w:t xml:space="preserve">18.4 </w:t>
      </w:r>
      <w:r>
        <w:rPr>
          <w:rFonts w:hint="eastAsia" w:ascii="宋体" w:hAnsi="宋体"/>
          <w:sz w:val="28"/>
          <w:szCs w:val="28"/>
        </w:rPr>
        <w:t xml:space="preserve">如需修改或补充合同内容，应经甲方、乙方协商，共同签署书面修改或补充协议。该协议将作为本合同不可分割的一部分。</w:t>
      </w:r>
      <w:r/>
    </w:p>
    <w:p>
      <w:pPr>
        <w:ind w:firstLine="422"/>
        <w:rPr>
          <w:rFonts w:hint="eastAsia" w:ascii="宋体" w:hAnsi="宋体"/>
          <w:sz w:val="28"/>
          <w:szCs w:val="28"/>
        </w:rPr>
      </w:pPr>
      <w:r>
        <w:rPr>
          <w:rFonts w:hint="eastAsia" w:ascii="宋体" w:hAnsi="宋体"/>
          <w:b/>
          <w:sz w:val="28"/>
          <w:szCs w:val="28"/>
        </w:rPr>
        <w:t xml:space="preserve">18.5</w:t>
      </w:r>
      <w:r>
        <w:rPr>
          <w:rFonts w:hint="eastAsia" w:ascii="宋体" w:hAnsi="宋体"/>
          <w:sz w:val="28"/>
          <w:szCs w:val="28"/>
        </w:rPr>
        <w:t xml:space="preserve">甲方及有关部门不定期对乙方的合同执行情况进行检查，一旦发现违反本合同条款的情形，将报请江苏省政府采购监管部门采取以下一种或几种方式追究乙方违约责任：A、取消乙方的江苏省学生人身伤害事故责任险保险资格、中止或终止与乙方签订的合同；B、在一至三年内不与乙方签订政府采购合同；C、对违约供应商记入江苏省政府采购不诚信记录名单。</w:t>
      </w:r>
      <w:r/>
    </w:p>
    <w:p>
      <w:pPr>
        <w:ind w:firstLine="422"/>
        <w:rPr>
          <w:rFonts w:hint="eastAsia" w:ascii="宋体" w:hAnsi="宋体"/>
          <w:sz w:val="28"/>
          <w:szCs w:val="28"/>
        </w:rPr>
      </w:pPr>
      <w:r>
        <w:rPr>
          <w:rFonts w:hint="eastAsia" w:ascii="宋体" w:hAnsi="宋体"/>
          <w:b/>
          <w:sz w:val="28"/>
          <w:szCs w:val="28"/>
        </w:rPr>
        <w:t xml:space="preserve">18.6</w:t>
      </w:r>
      <w:r>
        <w:rPr>
          <w:rFonts w:hint="eastAsia" w:ascii="宋体" w:hAnsi="宋体"/>
          <w:sz w:val="28"/>
          <w:szCs w:val="28"/>
        </w:rPr>
        <w:t xml:space="preserve">本合同应按照中华人民共和国的现行法律进行解释。</w:t>
      </w:r>
      <w:r/>
    </w:p>
    <w:p>
      <w:pPr>
        <w:pStyle w:val="948"/>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hint="eastAsia" w:ascii="宋体" w:hAnsi="宋体"/>
          <w:b/>
          <w:sz w:val="24"/>
          <w:szCs w:val="24"/>
        </w:rPr>
      </w:pPr>
      <w:r/>
      <w:bookmarkStart w:id="191" w:name="_Toc26554093"/>
      <w:r/>
      <w:bookmarkStart w:id="192" w:name="_Toc49090575"/>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vMerge w:val="restart"/>
            <w:textDirection w:val="lrTb"/>
            <w:noWrap w:val="false"/>
          </w:tcPr>
          <w:p>
            <w:pPr>
              <w:spacing w:line="400" w:lineRule="exact"/>
              <w:rPr>
                <w:rFonts w:hint="eastAsia" w:ascii="宋体" w:hAnsi="宋体"/>
                <w:sz w:val="24"/>
                <w:szCs w:val="24"/>
              </w:rPr>
            </w:pPr>
            <w:r>
              <w:rPr>
                <w:rFonts w:ascii="宋体" w:hAnsi="宋体"/>
                <w:sz w:val="24"/>
                <w:szCs w:val="24"/>
              </w:rPr>
              <w:t xml:space="preserve">江苏省学生人身伤害事故责任保险项</w:t>
            </w:r>
            <w:r>
              <w:rPr>
                <w:rFonts w:hint="eastAsia" w:ascii="宋体" w:hAnsi="宋体"/>
                <w:sz w:val="24"/>
                <w:szCs w:val="24"/>
              </w:rPr>
              <w:t xml:space="preserve">目</w:t>
            </w:r>
            <w:r/>
          </w:p>
        </w:tc>
        <w:tc>
          <w:tcPr>
            <w:tcW w:w="2852" w:type="dxa"/>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保险业</w:t>
            </w:r>
            <w:r/>
          </w:p>
        </w:tc>
      </w:tr>
      <w:tr>
        <w:trPr>
          <w:cantSplit/>
          <w:jc w:val="center"/>
          <w:trHeight w:val="235"/>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291"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22"/>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3291"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222"/>
        </w:trPr>
        <w:tc>
          <w:tcPr>
            <w:tcW w:w="545"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3291"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852" w:type="dxa"/>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hint="eastAsia" w:ascii="宋体" w:hAnsi="宋体"/>
          <w:b/>
          <w:sz w:val="24"/>
          <w:szCs w:val="24"/>
        </w:rPr>
      </w:pPr>
      <w:r>
        <w:rPr>
          <w:rFonts w:hint="eastAsia" w:ascii="宋体" w:hAnsi="宋体"/>
          <w:b/>
          <w:sz w:val="24"/>
          <w:szCs w:val="24"/>
        </w:rPr>
      </w:r>
      <w:r/>
    </w:p>
    <w:p>
      <w:pPr>
        <w:spacing w:line="0" w:lineRule="atLeast"/>
        <w:rPr>
          <w:rFonts w:hint="eastAsia" w:ascii="宋体" w:hAnsi="宋体"/>
          <w:b/>
          <w:sz w:val="24"/>
          <w:szCs w:val="24"/>
        </w:rPr>
      </w:pPr>
      <w:r>
        <w:rPr>
          <w:rFonts w:hint="eastAsia" w:ascii="宋体" w:hAnsi="宋体"/>
          <w:b/>
          <w:sz w:val="24"/>
          <w:szCs w:val="24"/>
        </w:rPr>
        <w:t xml:space="preserve">一、招标内容</w:t>
      </w:r>
      <w:r/>
    </w:p>
    <w:tbl>
      <w:tblPr>
        <w:tblW w:w="8361" w:type="dxa"/>
        <w:tblInd w:w="111" w:type="dxa"/>
        <w:tblLayout w:type="fixed"/>
        <w:tblLook w:val="04A0" w:firstRow="1" w:lastRow="0" w:firstColumn="1" w:lastColumn="0" w:noHBand="0" w:noVBand="1"/>
      </w:tblPr>
      <w:tblGrid>
        <w:gridCol w:w="1413"/>
        <w:gridCol w:w="6948"/>
      </w:tblGrid>
      <w:tr>
        <w:trPr>
          <w:trHeight w:val="589"/>
        </w:trPr>
        <w:tc>
          <w:tcPr>
            <w:shd w:val="clear" w:color="000000" w:fill="ffffff"/>
            <w:tcBorders>
              <w:top w:val="single" w:color="000000" w:sz="2" w:space="0"/>
              <w:left w:val="single" w:color="000000" w:sz="2" w:space="0"/>
              <w:bottom w:val="single" w:color="000000" w:sz="2" w:space="0"/>
              <w:right w:val="single" w:color="000000" w:sz="2" w:space="0"/>
            </w:tcBorders>
            <w:tcW w:w="1413" w:type="dxa"/>
            <w:vAlign w:val="center"/>
            <w:textDirection w:val="lrTb"/>
            <w:noWrap w:val="false"/>
          </w:tcPr>
          <w:p>
            <w:pPr>
              <w:jc w:val="center"/>
              <w:spacing w:line="480" w:lineRule="exact"/>
              <w:rPr>
                <w:b/>
                <w:bCs/>
                <w:sz w:val="28"/>
                <w:szCs w:val="28"/>
              </w:rPr>
            </w:pPr>
            <w:r>
              <w:rPr>
                <w:rFonts w:hint="eastAsia"/>
                <w:b/>
                <w:bCs/>
                <w:sz w:val="28"/>
                <w:szCs w:val="28"/>
              </w:rPr>
              <w:t xml:space="preserve">分包</w:t>
            </w:r>
            <w:r/>
          </w:p>
        </w:tc>
        <w:tc>
          <w:tcPr>
            <w:shd w:val="clear" w:color="000000" w:fill="ffffff"/>
            <w:tcBorders>
              <w:top w:val="single" w:color="000000" w:sz="2" w:space="0"/>
              <w:left w:val="single" w:color="000000" w:sz="2" w:space="0"/>
              <w:bottom w:val="single" w:color="000000" w:sz="2" w:space="0"/>
              <w:right w:val="single" w:color="000000" w:sz="2" w:space="0"/>
            </w:tcBorders>
            <w:tcW w:w="6948" w:type="dxa"/>
            <w:vAlign w:val="center"/>
            <w:textDirection w:val="lrTb"/>
            <w:noWrap w:val="false"/>
          </w:tcPr>
          <w:p>
            <w:pPr>
              <w:jc w:val="center"/>
              <w:spacing w:line="480" w:lineRule="exact"/>
              <w:rPr>
                <w:b/>
                <w:bCs/>
                <w:sz w:val="28"/>
                <w:szCs w:val="28"/>
              </w:rPr>
            </w:pPr>
            <w:r>
              <w:rPr>
                <w:rFonts w:hint="eastAsia"/>
                <w:b/>
                <w:bCs/>
                <w:sz w:val="28"/>
                <w:szCs w:val="28"/>
              </w:rPr>
              <w:t xml:space="preserve">招标内容</w:t>
            </w:r>
            <w:r/>
          </w:p>
        </w:tc>
      </w:tr>
      <w:tr>
        <w:trPr>
          <w:trHeight w:val="549"/>
        </w:trPr>
        <w:tc>
          <w:tcPr>
            <w:shd w:val="clear" w:color="000000" w:fill="ffffff"/>
            <w:tcBorders>
              <w:top w:val="single" w:color="000000" w:sz="2" w:space="0"/>
              <w:left w:val="single" w:color="000000" w:sz="2" w:space="0"/>
              <w:bottom w:val="single" w:color="000000" w:sz="2" w:space="0"/>
              <w:right w:val="single" w:color="000000" w:sz="2" w:space="0"/>
            </w:tcBorders>
            <w:tcW w:w="1413" w:type="dxa"/>
            <w:vAlign w:val="center"/>
            <w:textDirection w:val="lrTb"/>
            <w:noWrap w:val="false"/>
          </w:tcPr>
          <w:p>
            <w:pPr>
              <w:jc w:val="center"/>
              <w:rPr>
                <w:sz w:val="24"/>
                <w:szCs w:val="24"/>
              </w:rPr>
            </w:pPr>
            <w:r>
              <w:rPr>
                <w:rFonts w:hint="eastAsia"/>
                <w:sz w:val="24"/>
                <w:szCs w:val="24"/>
              </w:rPr>
              <w:t xml:space="preserve">分包</w:t>
            </w:r>
            <w:r>
              <w:rPr>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48" w:type="dxa"/>
            <w:vAlign w:val="center"/>
            <w:textDirection w:val="lrTb"/>
            <w:noWrap w:val="false"/>
          </w:tcPr>
          <w:p>
            <w:pPr>
              <w:rPr>
                <w:sz w:val="24"/>
                <w:szCs w:val="24"/>
              </w:rPr>
            </w:pPr>
            <w:r>
              <w:rPr>
                <w:rFonts w:hint="eastAsia"/>
                <w:sz w:val="24"/>
                <w:szCs w:val="24"/>
              </w:rPr>
              <w:t xml:space="preserve">牵头负责江苏省学生人身伤害事故责任保险项目承保、理赔、风控、培训服务工作，直接对投保人负责，并在保险单有效期内对发生的一切保险事宜在不损害投保人和其他共保人利益的前提下，负有最终决定权。</w:t>
            </w:r>
            <w:r>
              <w:rPr>
                <w:sz w:val="24"/>
                <w:szCs w:val="24"/>
              </w:rPr>
              <w:t xml:space="preserve">按</w:t>
            </w:r>
            <w:r>
              <w:rPr>
                <w:rFonts w:hint="eastAsia"/>
                <w:sz w:val="24"/>
                <w:szCs w:val="24"/>
              </w:rPr>
              <w:t xml:space="preserve">40%</w:t>
            </w:r>
            <w:r>
              <w:rPr>
                <w:sz w:val="24"/>
                <w:szCs w:val="24"/>
              </w:rPr>
              <w:t xml:space="preserve">比例承担保险合同中的相应保险责任及有关费用</w:t>
            </w:r>
            <w:r>
              <w:rPr>
                <w:rFonts w:hint="eastAsia"/>
                <w:sz w:val="24"/>
                <w:szCs w:val="24"/>
              </w:rPr>
              <w:t xml:space="preserve">。</w:t>
            </w:r>
            <w:r/>
          </w:p>
        </w:tc>
      </w:tr>
      <w:tr>
        <w:trPr>
          <w:trHeight w:val="570"/>
        </w:trPr>
        <w:tc>
          <w:tcPr>
            <w:shd w:val="clear" w:color="000000" w:fill="ffffff"/>
            <w:tcBorders>
              <w:top w:val="single" w:color="000000" w:sz="2" w:space="0"/>
              <w:left w:val="single" w:color="000000" w:sz="2" w:space="0"/>
              <w:bottom w:val="single" w:color="000000" w:sz="2" w:space="0"/>
              <w:right w:val="single" w:color="000000" w:sz="2" w:space="0"/>
            </w:tcBorders>
            <w:tcW w:w="1413" w:type="dxa"/>
            <w:vAlign w:val="center"/>
            <w:textDirection w:val="lrTb"/>
            <w:noWrap w:val="false"/>
          </w:tcPr>
          <w:p>
            <w:pPr>
              <w:jc w:val="center"/>
              <w:rPr>
                <w:sz w:val="24"/>
                <w:szCs w:val="24"/>
              </w:rPr>
            </w:pPr>
            <w:r>
              <w:rPr>
                <w:rFonts w:hint="eastAsia"/>
                <w:sz w:val="24"/>
                <w:szCs w:val="24"/>
              </w:rPr>
              <w:t xml:space="preserve">分包</w:t>
            </w:r>
            <w:r>
              <w:rPr>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6948" w:type="dxa"/>
            <w:vAlign w:val="center"/>
            <w:textDirection w:val="lrTb"/>
            <w:noWrap w:val="false"/>
          </w:tcPr>
          <w:p>
            <w:pPr>
              <w:rPr>
                <w:sz w:val="24"/>
                <w:szCs w:val="24"/>
              </w:rPr>
            </w:pPr>
            <w:r>
              <w:rPr>
                <w:rFonts w:hint="eastAsia"/>
                <w:sz w:val="24"/>
                <w:szCs w:val="24"/>
              </w:rPr>
              <w:t xml:space="preserve">配合分包</w:t>
            </w:r>
            <w:r>
              <w:rPr>
                <w:rFonts w:hint="eastAsia"/>
                <w:sz w:val="24"/>
                <w:szCs w:val="24"/>
              </w:rPr>
              <w:t xml:space="preserve">1</w:t>
            </w:r>
            <w:r>
              <w:rPr>
                <w:rFonts w:hint="eastAsia"/>
                <w:sz w:val="24"/>
                <w:szCs w:val="24"/>
              </w:rPr>
              <w:t xml:space="preserve">中标人做好本项目的承保理赔服务工作，</w:t>
            </w:r>
            <w:r>
              <w:rPr>
                <w:sz w:val="24"/>
                <w:szCs w:val="24"/>
              </w:rPr>
              <w:t xml:space="preserve">按</w:t>
            </w:r>
            <w:r>
              <w:rPr>
                <w:rFonts w:hint="eastAsia"/>
                <w:sz w:val="24"/>
                <w:szCs w:val="24"/>
              </w:rPr>
              <w:t xml:space="preserve">25%</w:t>
            </w:r>
            <w:r>
              <w:rPr>
                <w:sz w:val="24"/>
                <w:szCs w:val="24"/>
              </w:rPr>
              <w:t xml:space="preserve">比例承担保险合同中的相应保险责任及有关费用</w:t>
            </w:r>
            <w:r>
              <w:rPr>
                <w:rFonts w:hint="eastAsia"/>
                <w:sz w:val="24"/>
                <w:szCs w:val="24"/>
              </w:rPr>
              <w:t xml:space="preserve">，承诺做好项目理赔及其他费用分摊。</w:t>
            </w:r>
            <w:r/>
          </w:p>
        </w:tc>
      </w:tr>
      <w:tr>
        <w:trPr>
          <w:trHeight w:val="823"/>
        </w:trPr>
        <w:tc>
          <w:tcPr>
            <w:shd w:val="clear" w:color="000000" w:fill="ffffff"/>
            <w:tcBorders>
              <w:top w:val="single" w:color="000000" w:sz="2" w:space="0"/>
              <w:left w:val="single" w:color="000000" w:sz="2" w:space="0"/>
              <w:bottom w:val="single" w:color="000000" w:sz="2" w:space="0"/>
              <w:right w:val="single" w:color="000000" w:sz="2" w:space="0"/>
            </w:tcBorders>
            <w:tcW w:w="1413" w:type="dxa"/>
            <w:vAlign w:val="center"/>
            <w:textDirection w:val="lrTb"/>
            <w:noWrap w:val="false"/>
          </w:tcPr>
          <w:p>
            <w:pPr>
              <w:jc w:val="center"/>
              <w:rPr>
                <w:sz w:val="24"/>
                <w:szCs w:val="24"/>
              </w:rPr>
            </w:pPr>
            <w:r>
              <w:rPr>
                <w:rFonts w:hint="eastAsia"/>
                <w:sz w:val="24"/>
                <w:szCs w:val="24"/>
              </w:rPr>
              <w:t xml:space="preserve">分包</w:t>
            </w:r>
            <w:r>
              <w:rPr>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6948" w:type="dxa"/>
            <w:vAlign w:val="center"/>
            <w:textDirection w:val="lrTb"/>
            <w:noWrap w:val="false"/>
          </w:tcPr>
          <w:p>
            <w:pPr>
              <w:rPr>
                <w:sz w:val="24"/>
                <w:szCs w:val="24"/>
              </w:rPr>
            </w:pPr>
            <w:r>
              <w:rPr>
                <w:rFonts w:hint="eastAsia"/>
                <w:sz w:val="24"/>
                <w:szCs w:val="24"/>
              </w:rPr>
              <w:t xml:space="preserve">配合分包</w:t>
            </w:r>
            <w:r>
              <w:rPr>
                <w:rFonts w:hint="eastAsia"/>
                <w:sz w:val="24"/>
                <w:szCs w:val="24"/>
              </w:rPr>
              <w:t xml:space="preserve">1</w:t>
            </w:r>
            <w:r>
              <w:rPr>
                <w:rFonts w:hint="eastAsia"/>
                <w:sz w:val="24"/>
                <w:szCs w:val="24"/>
              </w:rPr>
              <w:t xml:space="preserve">中标人做好本项目的承保理赔服务工作，</w:t>
            </w:r>
            <w:r>
              <w:rPr>
                <w:sz w:val="24"/>
                <w:szCs w:val="24"/>
              </w:rPr>
              <w:t xml:space="preserve">按</w:t>
            </w:r>
            <w:r>
              <w:rPr>
                <w:rFonts w:hint="eastAsia"/>
                <w:sz w:val="24"/>
                <w:szCs w:val="24"/>
              </w:rPr>
              <w:t xml:space="preserve">20%</w:t>
            </w:r>
            <w:r>
              <w:rPr>
                <w:sz w:val="24"/>
                <w:szCs w:val="24"/>
              </w:rPr>
              <w:t xml:space="preserve">比例承担保险合同中的相应保险责任及有关费用</w:t>
            </w:r>
            <w:r>
              <w:rPr>
                <w:rFonts w:hint="eastAsia"/>
                <w:sz w:val="24"/>
                <w:szCs w:val="24"/>
              </w:rPr>
              <w:t xml:space="preserve">，承诺做好项目理赔及其他费用分摊。</w:t>
            </w:r>
            <w:r/>
          </w:p>
        </w:tc>
      </w:tr>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1413" w:type="dxa"/>
            <w:vAlign w:val="center"/>
            <w:textDirection w:val="lrTb"/>
            <w:noWrap w:val="false"/>
          </w:tcPr>
          <w:p>
            <w:pPr>
              <w:jc w:val="center"/>
              <w:rPr>
                <w:sz w:val="24"/>
                <w:szCs w:val="24"/>
              </w:rPr>
            </w:pPr>
            <w:r>
              <w:rPr>
                <w:rFonts w:hint="eastAsia"/>
                <w:sz w:val="24"/>
                <w:szCs w:val="24"/>
              </w:rPr>
              <w:t xml:space="preserve">分包</w:t>
            </w:r>
            <w:r>
              <w:rPr>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6948" w:type="dxa"/>
            <w:vAlign w:val="center"/>
            <w:textDirection w:val="lrTb"/>
            <w:noWrap w:val="false"/>
          </w:tcPr>
          <w:p>
            <w:pPr>
              <w:rPr>
                <w:sz w:val="24"/>
                <w:szCs w:val="24"/>
              </w:rPr>
            </w:pPr>
            <w:r>
              <w:rPr>
                <w:rFonts w:hint="eastAsia"/>
                <w:sz w:val="24"/>
                <w:szCs w:val="24"/>
              </w:rPr>
              <w:t xml:space="preserve">配合分包</w:t>
            </w:r>
            <w:r>
              <w:rPr>
                <w:rFonts w:hint="eastAsia"/>
                <w:sz w:val="24"/>
                <w:szCs w:val="24"/>
              </w:rPr>
              <w:t xml:space="preserve">1</w:t>
            </w:r>
            <w:r>
              <w:rPr>
                <w:rFonts w:hint="eastAsia"/>
                <w:sz w:val="24"/>
                <w:szCs w:val="24"/>
              </w:rPr>
              <w:t xml:space="preserve">中标人做好本项目的承保理赔服务工作，</w:t>
            </w:r>
            <w:r>
              <w:rPr>
                <w:sz w:val="24"/>
                <w:szCs w:val="24"/>
              </w:rPr>
              <w:t xml:space="preserve">按</w:t>
            </w:r>
            <w:r>
              <w:rPr>
                <w:rFonts w:hint="eastAsia"/>
                <w:sz w:val="24"/>
                <w:szCs w:val="24"/>
              </w:rPr>
              <w:t xml:space="preserve">15%</w:t>
            </w:r>
            <w:r>
              <w:rPr>
                <w:sz w:val="24"/>
                <w:szCs w:val="24"/>
              </w:rPr>
              <w:t xml:space="preserve">比例承担保险合同中的相应保险责任及有关费用</w:t>
            </w:r>
            <w:r>
              <w:rPr>
                <w:rFonts w:hint="eastAsia"/>
                <w:sz w:val="24"/>
                <w:szCs w:val="24"/>
              </w:rPr>
              <w:t xml:space="preserve">，承诺做好项目理赔及其他费用分摊。</w:t>
            </w:r>
            <w:r/>
          </w:p>
        </w:tc>
      </w:tr>
    </w:tbl>
    <w:p>
      <w:pPr>
        <w:spacing w:line="0" w:lineRule="atLeast"/>
        <w:rPr>
          <w:rFonts w:hint="eastAsia" w:ascii="宋体" w:hAnsi="宋体"/>
          <w:b/>
          <w:sz w:val="24"/>
          <w:szCs w:val="24"/>
        </w:rPr>
      </w:pPr>
      <w:r>
        <w:rPr>
          <w:rFonts w:hint="eastAsia" w:ascii="宋体" w:hAnsi="宋体"/>
          <w:b/>
          <w:sz w:val="24"/>
          <w:szCs w:val="24"/>
        </w:rPr>
      </w:r>
      <w:r/>
    </w:p>
    <w:p>
      <w:pPr>
        <w:spacing w:line="0" w:lineRule="atLeas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spacing w:line="520" w:lineRule="exact"/>
        <w:rPr>
          <w:b/>
          <w:sz w:val="32"/>
          <w:szCs w:val="32"/>
        </w:rPr>
      </w:pPr>
      <w:r/>
      <w:bookmarkStart w:id="193" w:name="_Hlk203935336"/>
      <w:r>
        <w:rPr>
          <w:rFonts w:hint="eastAsia"/>
          <w:b/>
          <w:sz w:val="32"/>
          <w:szCs w:val="32"/>
        </w:rPr>
        <w:t xml:space="preserve">（一）</w:t>
      </w:r>
      <w:r>
        <w:rPr>
          <w:b/>
          <w:sz w:val="32"/>
          <w:szCs w:val="32"/>
        </w:rPr>
        <w:t xml:space="preserve">招标基本要求</w:t>
      </w:r>
      <w:r/>
    </w:p>
    <w:p>
      <w:pPr>
        <w:spacing w:line="520" w:lineRule="exact"/>
        <w:rPr>
          <w:sz w:val="24"/>
          <w:szCs w:val="24"/>
        </w:rPr>
      </w:pPr>
      <w:r>
        <w:rPr>
          <w:sz w:val="24"/>
          <w:szCs w:val="24"/>
        </w:rPr>
        <w:t xml:space="preserve">1</w:t>
      </w:r>
      <w:r>
        <w:rPr>
          <w:sz w:val="24"/>
          <w:szCs w:val="24"/>
        </w:rPr>
        <w:t xml:space="preserve">、招标项目概况</w:t>
      </w:r>
      <w:r/>
    </w:p>
    <w:p>
      <w:pPr>
        <w:ind w:firstLine="480"/>
        <w:spacing w:line="480" w:lineRule="exact"/>
        <w:rPr>
          <w:sz w:val="24"/>
          <w:szCs w:val="24"/>
        </w:rPr>
      </w:pPr>
      <w:r>
        <w:rPr>
          <w:sz w:val="24"/>
          <w:szCs w:val="24"/>
        </w:rPr>
        <w:t xml:space="preserve">1.1</w:t>
      </w:r>
      <w:r>
        <w:rPr>
          <w:rFonts w:hint="eastAsia"/>
          <w:sz w:val="24"/>
          <w:szCs w:val="24"/>
        </w:rPr>
        <w:t xml:space="preserve">依据《江苏省中小学生人身伤害事故预防与处理条例》《学生伤害事故处理办法》（教育部</w:t>
      </w:r>
      <w:r>
        <w:rPr>
          <w:rFonts w:hint="eastAsia"/>
          <w:sz w:val="24"/>
          <w:szCs w:val="24"/>
        </w:rPr>
        <w:t xml:space="preserve">2002</w:t>
      </w:r>
      <w:r>
        <w:rPr>
          <w:rFonts w:hint="eastAsia"/>
          <w:sz w:val="24"/>
          <w:szCs w:val="24"/>
        </w:rPr>
        <w:t xml:space="preserve">年</w:t>
      </w:r>
      <w:r>
        <w:rPr>
          <w:rFonts w:hint="eastAsia"/>
          <w:sz w:val="24"/>
          <w:szCs w:val="24"/>
        </w:rPr>
        <w:t xml:space="preserve">12</w:t>
      </w:r>
      <w:r>
        <w:rPr>
          <w:rFonts w:hint="eastAsia"/>
          <w:sz w:val="24"/>
          <w:szCs w:val="24"/>
        </w:rPr>
        <w:t xml:space="preserve">号令）和《最高人民法院关于审理人身意外损害赔偿案件适用法律若干问题的解释》等有关规定，江苏省教育厅决定就江苏省学生人身伤害事故责任险采用公开招标。</w:t>
      </w:r>
      <w:r/>
    </w:p>
    <w:p>
      <w:pPr>
        <w:spacing w:line="480" w:lineRule="exact"/>
        <w:rPr>
          <w:sz w:val="24"/>
          <w:szCs w:val="24"/>
        </w:rPr>
      </w:pPr>
      <w:r>
        <w:rPr>
          <w:sz w:val="24"/>
          <w:szCs w:val="24"/>
        </w:rPr>
        <w:t xml:space="preserve">2</w:t>
      </w:r>
      <w:r>
        <w:rPr>
          <w:sz w:val="24"/>
          <w:szCs w:val="24"/>
        </w:rPr>
        <w:t xml:space="preserve">、招标项目内容</w:t>
      </w:r>
      <w:r/>
    </w:p>
    <w:p>
      <w:pPr>
        <w:ind w:firstLine="480"/>
        <w:spacing w:line="480" w:lineRule="exact"/>
        <w:rPr>
          <w:sz w:val="24"/>
          <w:szCs w:val="24"/>
        </w:rPr>
      </w:pPr>
      <w:r>
        <w:rPr>
          <w:rFonts w:hint="eastAsia"/>
          <w:sz w:val="24"/>
          <w:szCs w:val="24"/>
        </w:rPr>
        <w:t xml:space="preserve">2.1</w:t>
      </w:r>
      <w:r>
        <w:rPr>
          <w:rFonts w:hint="eastAsia"/>
          <w:sz w:val="24"/>
          <w:szCs w:val="24"/>
        </w:rPr>
        <w:t xml:space="preserve">保险责任除涵盖《江苏省中小学生人身伤害事故预防与处理条例》规定的学校应当依法承担的责任范围外，还应包括学校统一组织或经学校书面同意的校外社会</w:t>
      </w:r>
      <w:r>
        <w:rPr>
          <w:rFonts w:hint="eastAsia"/>
          <w:sz w:val="24"/>
          <w:szCs w:val="24"/>
        </w:rPr>
        <w:t xml:space="preserve">实践、实习、实训活动以及军训、校运会、文艺演出等集体活动中发生事故学校应当依法承担责任的情形。</w:t>
      </w:r>
      <w:r/>
    </w:p>
    <w:p>
      <w:pPr>
        <w:ind w:firstLine="480"/>
        <w:spacing w:line="480" w:lineRule="exact"/>
        <w:rPr>
          <w:sz w:val="24"/>
          <w:szCs w:val="24"/>
        </w:rPr>
      </w:pPr>
      <w:r>
        <w:rPr>
          <w:rFonts w:hint="eastAsia"/>
          <w:sz w:val="24"/>
          <w:szCs w:val="24"/>
        </w:rPr>
        <w:t xml:space="preserve">2.2</w:t>
      </w:r>
      <w:r>
        <w:rPr>
          <w:rFonts w:hint="eastAsia"/>
          <w:sz w:val="24"/>
          <w:szCs w:val="24"/>
        </w:rPr>
        <w:t xml:space="preserve">保险责任期限为</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w:t>
      </w:r>
      <w:r>
        <w:rPr>
          <w:rFonts w:hint="eastAsia"/>
          <w:sz w:val="24"/>
          <w:szCs w:val="24"/>
        </w:rPr>
        <w:t xml:space="preserve">1</w:t>
      </w:r>
      <w:r>
        <w:rPr>
          <w:rFonts w:hint="eastAsia"/>
          <w:sz w:val="24"/>
          <w:szCs w:val="24"/>
        </w:rPr>
        <w:t xml:space="preserve">日零时起至</w:t>
      </w:r>
      <w:r>
        <w:rPr>
          <w:rFonts w:hint="eastAsia"/>
          <w:sz w:val="24"/>
          <w:szCs w:val="24"/>
        </w:rPr>
        <w:t xml:space="preserve">2028</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4"/>
        </w:rPr>
        <w:t xml:space="preserve">24</w:t>
      </w:r>
      <w:r>
        <w:rPr>
          <w:rFonts w:hint="eastAsia"/>
          <w:sz w:val="24"/>
          <w:szCs w:val="24"/>
        </w:rPr>
        <w:t xml:space="preserve">时止。对中途投保的学校（含春季招生的学校），中标人应按实际投保天数计算保险费（日保费</w:t>
      </w:r>
      <w:r>
        <w:rPr>
          <w:rFonts w:hint="eastAsia"/>
          <w:sz w:val="24"/>
          <w:szCs w:val="24"/>
        </w:rPr>
        <w:t xml:space="preserve">=</w:t>
      </w:r>
      <w:r>
        <w:rPr>
          <w:rFonts w:hint="eastAsia"/>
          <w:sz w:val="24"/>
          <w:szCs w:val="24"/>
        </w:rPr>
        <w:t xml:space="preserve">年保险费÷</w:t>
      </w:r>
      <w:r>
        <w:rPr>
          <w:rFonts w:hint="eastAsia"/>
          <w:sz w:val="24"/>
          <w:szCs w:val="24"/>
        </w:rPr>
        <w:t xml:space="preserve">365</w:t>
      </w:r>
      <w:r>
        <w:rPr>
          <w:rFonts w:hint="eastAsia"/>
          <w:sz w:val="24"/>
          <w:szCs w:val="24"/>
        </w:rPr>
        <w:t xml:space="preserve">）。</w:t>
      </w:r>
      <w:r/>
    </w:p>
    <w:p>
      <w:pPr>
        <w:ind w:firstLine="480"/>
        <w:spacing w:line="480" w:lineRule="exact"/>
        <w:rPr>
          <w:sz w:val="24"/>
          <w:szCs w:val="24"/>
        </w:rPr>
      </w:pPr>
      <w:r>
        <w:rPr>
          <w:rFonts w:hint="eastAsia"/>
          <w:sz w:val="24"/>
          <w:szCs w:val="24"/>
        </w:rPr>
        <w:t xml:space="preserve">2.3</w:t>
      </w:r>
      <w:r>
        <w:rPr>
          <w:rFonts w:hint="eastAsia"/>
          <w:sz w:val="24"/>
          <w:szCs w:val="24"/>
        </w:rPr>
        <w:t xml:space="preserve">合同有效期至</w:t>
      </w:r>
      <w:r>
        <w:rPr>
          <w:rFonts w:hint="eastAsia"/>
          <w:sz w:val="24"/>
          <w:szCs w:val="24"/>
        </w:rPr>
        <w:t xml:space="preserve">2028</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4"/>
        </w:rPr>
        <w:t xml:space="preserve">24</w:t>
      </w:r>
      <w:r>
        <w:rPr>
          <w:rFonts w:hint="eastAsia"/>
          <w:sz w:val="24"/>
          <w:szCs w:val="24"/>
        </w:rPr>
        <w:t xml:space="preserve">时止。中标人在此期间出具的保单有效期截止时间一律不得超过</w:t>
      </w:r>
      <w:r>
        <w:rPr>
          <w:rFonts w:hint="eastAsia"/>
          <w:sz w:val="24"/>
          <w:szCs w:val="24"/>
        </w:rPr>
        <w:t xml:space="preserve">2028</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4"/>
        </w:rPr>
        <w:t xml:space="preserve">24</w:t>
      </w:r>
      <w:r>
        <w:rPr>
          <w:rFonts w:hint="eastAsia"/>
          <w:sz w:val="24"/>
          <w:szCs w:val="24"/>
        </w:rPr>
        <w:t xml:space="preserve">时。保险合同根据实施情况按约定调整后签订。</w:t>
      </w:r>
      <w:r/>
    </w:p>
    <w:p>
      <w:pPr>
        <w:ind w:firstLine="480"/>
        <w:spacing w:line="480" w:lineRule="exact"/>
        <w:rPr>
          <w:sz w:val="24"/>
          <w:szCs w:val="24"/>
        </w:rPr>
      </w:pPr>
      <w:r>
        <w:rPr>
          <w:sz w:val="24"/>
          <w:szCs w:val="24"/>
        </w:rPr>
        <w:t xml:space="preserve">2.4</w:t>
      </w:r>
      <w:r>
        <w:rPr>
          <w:sz w:val="24"/>
          <w:szCs w:val="24"/>
        </w:rPr>
        <w:t xml:space="preserve">本次江苏省学生人身伤害事故责任险招标项目将</w:t>
      </w:r>
      <w:r>
        <w:rPr>
          <w:rFonts w:hint="eastAsia"/>
          <w:sz w:val="24"/>
          <w:szCs w:val="24"/>
        </w:rPr>
        <w:t xml:space="preserve">分为四个分包，</w:t>
      </w:r>
      <w:r>
        <w:rPr>
          <w:sz w:val="24"/>
          <w:szCs w:val="24"/>
        </w:rPr>
        <w:t xml:space="preserve">通过公开招标最终确定</w:t>
      </w:r>
      <w:r>
        <w:rPr>
          <w:sz w:val="24"/>
          <w:szCs w:val="24"/>
        </w:rPr>
        <w:t xml:space="preserve">4</w:t>
      </w:r>
      <w:r>
        <w:rPr>
          <w:sz w:val="24"/>
          <w:szCs w:val="24"/>
        </w:rPr>
        <w:t xml:space="preserve">家保险公司为承保单位，</w:t>
      </w:r>
      <w:r>
        <w:rPr>
          <w:rFonts w:hint="eastAsia"/>
          <w:sz w:val="24"/>
          <w:szCs w:val="24"/>
        </w:rPr>
        <w:t xml:space="preserve">各承保单位根据各自中标分包的工作内容及职责履行协议约定</w:t>
      </w:r>
      <w:r>
        <w:rPr>
          <w:sz w:val="24"/>
          <w:szCs w:val="24"/>
        </w:rPr>
        <w:t xml:space="preserve">。</w:t>
      </w:r>
      <w:r>
        <w:rPr>
          <w:rFonts w:hint="eastAsia"/>
          <w:sz w:val="24"/>
          <w:szCs w:val="24"/>
        </w:rPr>
        <w:t xml:space="preserve">各投标人可以选择一个分包或多个分包报价，最终根据评分标准每个分包确定一名中标人，每个分包的中标人不重复。</w:t>
      </w:r>
      <w:r/>
    </w:p>
    <w:p>
      <w:pPr>
        <w:ind w:firstLine="480"/>
        <w:spacing w:line="480" w:lineRule="exact"/>
        <w:rPr>
          <w:sz w:val="24"/>
          <w:szCs w:val="24"/>
        </w:rPr>
      </w:pPr>
      <w:r>
        <w:rPr>
          <w:sz w:val="24"/>
          <w:szCs w:val="24"/>
        </w:rPr>
        <w:t xml:space="preserve">2.5</w:t>
      </w:r>
      <w:r>
        <w:rPr>
          <w:sz w:val="24"/>
          <w:szCs w:val="24"/>
        </w:rPr>
        <w:t xml:space="preserve">四家承保单位的保费按</w:t>
      </w:r>
      <w:r>
        <w:rPr>
          <w:rFonts w:hint="eastAsia"/>
          <w:sz w:val="24"/>
          <w:szCs w:val="24"/>
        </w:rPr>
        <w:t xml:space="preserve">各自中标分包的</w:t>
      </w:r>
      <w:r>
        <w:rPr>
          <w:sz w:val="24"/>
          <w:szCs w:val="24"/>
        </w:rPr>
        <w:t xml:space="preserve">价格分别计算。</w:t>
      </w:r>
      <w:r/>
    </w:p>
    <w:p>
      <w:pPr>
        <w:ind w:firstLine="480"/>
        <w:spacing w:line="480" w:lineRule="exact"/>
        <w:rPr>
          <w:sz w:val="24"/>
          <w:szCs w:val="24"/>
        </w:rPr>
      </w:pPr>
      <w:r>
        <w:rPr>
          <w:sz w:val="24"/>
          <w:szCs w:val="24"/>
        </w:rPr>
        <w:t xml:space="preserve">2.6</w:t>
      </w:r>
      <w:r>
        <w:rPr>
          <w:sz w:val="24"/>
          <w:szCs w:val="24"/>
        </w:rPr>
        <w:t xml:space="preserve">本项目的采购预算为每个学生不超过</w:t>
      </w:r>
      <w:r>
        <w:rPr>
          <w:sz w:val="24"/>
          <w:szCs w:val="24"/>
        </w:rPr>
        <w:t xml:space="preserve">3.5</w:t>
      </w:r>
      <w:r>
        <w:rPr>
          <w:sz w:val="24"/>
          <w:szCs w:val="24"/>
        </w:rPr>
        <w:t xml:space="preserve">元</w:t>
      </w:r>
      <w:r>
        <w:rPr>
          <w:sz w:val="24"/>
          <w:szCs w:val="24"/>
        </w:rPr>
        <w:t xml:space="preserve">/</w:t>
      </w:r>
      <w:r>
        <w:rPr>
          <w:sz w:val="24"/>
          <w:szCs w:val="24"/>
        </w:rPr>
        <w:t xml:space="preserve">人</w:t>
      </w:r>
      <w:r>
        <w:rPr>
          <w:sz w:val="24"/>
          <w:szCs w:val="24"/>
        </w:rPr>
        <w:t xml:space="preserve">.</w:t>
      </w:r>
      <w:r>
        <w:rPr>
          <w:sz w:val="24"/>
          <w:szCs w:val="24"/>
        </w:rPr>
        <w:t xml:space="preserve">年，投标报价超过</w:t>
      </w:r>
      <w:r>
        <w:rPr>
          <w:sz w:val="24"/>
          <w:szCs w:val="24"/>
        </w:rPr>
        <w:t xml:space="preserve">3.5</w:t>
      </w:r>
      <w:r>
        <w:rPr>
          <w:sz w:val="24"/>
          <w:szCs w:val="24"/>
        </w:rPr>
        <w:t xml:space="preserve">元</w:t>
      </w:r>
      <w:r>
        <w:rPr>
          <w:sz w:val="24"/>
          <w:szCs w:val="24"/>
        </w:rPr>
        <w:t xml:space="preserve">/</w:t>
      </w:r>
      <w:r>
        <w:rPr>
          <w:sz w:val="24"/>
          <w:szCs w:val="24"/>
        </w:rPr>
        <w:t xml:space="preserve">人</w:t>
      </w:r>
      <w:r>
        <w:rPr>
          <w:sz w:val="24"/>
          <w:szCs w:val="24"/>
        </w:rPr>
        <w:t xml:space="preserve">.</w:t>
      </w:r>
      <w:r>
        <w:rPr>
          <w:sz w:val="24"/>
          <w:szCs w:val="24"/>
        </w:rPr>
        <w:t xml:space="preserve">年的为无效投标。</w:t>
      </w:r>
      <w:r/>
    </w:p>
    <w:p>
      <w:pPr>
        <w:ind w:firstLine="480"/>
        <w:spacing w:line="400" w:lineRule="exact"/>
        <w:rPr>
          <w:rFonts w:hint="eastAsia" w:ascii="宋体" w:hAnsi="宋体"/>
          <w:sz w:val="24"/>
          <w:szCs w:val="24"/>
        </w:rPr>
      </w:pPr>
      <w:r>
        <w:rPr>
          <w:sz w:val="24"/>
          <w:szCs w:val="24"/>
        </w:rPr>
        <w:t xml:space="preserve">2.7</w:t>
      </w:r>
      <w:r>
        <w:rPr>
          <w:rFonts w:hint="eastAsia"/>
          <w:sz w:val="24"/>
          <w:szCs w:val="24"/>
        </w:rPr>
        <w:t xml:space="preserve">各分包</w:t>
      </w:r>
      <w:r>
        <w:rPr>
          <w:rFonts w:hint="eastAsia" w:ascii="宋体" w:hAnsi="宋体"/>
          <w:sz w:val="24"/>
          <w:szCs w:val="24"/>
        </w:rPr>
        <w:t xml:space="preserve">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201"/>
      </w:tblGrid>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分包号</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三年预算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6480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2</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4050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3240</w:t>
            </w:r>
            <w:r/>
          </w:p>
        </w:tc>
      </w:tr>
      <w:tr>
        <w:trPr/>
        <w:tc>
          <w:tcPr>
            <w:tcW w:w="1148" w:type="dxa"/>
            <w:textDirection w:val="lrTb"/>
            <w:noWrap w:val="false"/>
          </w:tcPr>
          <w:p>
            <w:pPr>
              <w:jc w:val="center"/>
              <w:spacing w:line="400" w:lineRule="exact"/>
              <w:rPr>
                <w:rFonts w:hint="eastAsia" w:ascii="宋体" w:hAnsi="宋体"/>
              </w:rPr>
            </w:pPr>
            <w:r>
              <w:rPr>
                <w:rFonts w:hint="eastAsia" w:ascii="宋体" w:hAnsi="宋体"/>
              </w:rPr>
              <w:t xml:space="preserve">4</w:t>
            </w:r>
            <w:r/>
          </w:p>
        </w:tc>
        <w:tc>
          <w:tcPr>
            <w:tcW w:w="4201" w:type="dxa"/>
            <w:textDirection w:val="lrTb"/>
            <w:noWrap w:val="false"/>
          </w:tcPr>
          <w:p>
            <w:pPr>
              <w:jc w:val="center"/>
              <w:spacing w:line="400" w:lineRule="exact"/>
              <w:rPr>
                <w:rFonts w:hint="eastAsia" w:ascii="宋体" w:hAnsi="宋体"/>
              </w:rPr>
            </w:pPr>
            <w:r>
              <w:rPr>
                <w:rFonts w:hint="eastAsia" w:ascii="宋体" w:hAnsi="宋体"/>
              </w:rPr>
              <w:t xml:space="preserve">2430</w:t>
            </w:r>
            <w:r/>
          </w:p>
        </w:tc>
      </w:tr>
    </w:tbl>
    <w:p>
      <w:pPr>
        <w:ind w:firstLine="480"/>
        <w:spacing w:line="480" w:lineRule="exact"/>
        <w:rPr>
          <w:sz w:val="24"/>
          <w:szCs w:val="24"/>
        </w:rPr>
      </w:pPr>
      <w:r>
        <w:rPr>
          <w:sz w:val="24"/>
          <w:szCs w:val="24"/>
        </w:rPr>
        <w:t xml:space="preserve">3</w:t>
      </w:r>
      <w:r>
        <w:rPr>
          <w:sz w:val="24"/>
          <w:szCs w:val="24"/>
        </w:rPr>
        <w:t xml:space="preserve">、招标要求</w:t>
      </w:r>
      <w:r/>
    </w:p>
    <w:p>
      <w:pPr>
        <w:ind w:firstLine="480"/>
        <w:spacing w:line="480" w:lineRule="exact"/>
        <w:rPr>
          <w:rFonts w:hint="eastAsia" w:ascii="宋体" w:hAnsi="宋体"/>
          <w:sz w:val="24"/>
          <w:szCs w:val="24"/>
        </w:rPr>
      </w:pPr>
      <w:r/>
      <w:bookmarkStart w:id="194" w:name="_Toc123095688"/>
      <w:r>
        <w:rPr>
          <w:rFonts w:ascii="宋体" w:hAnsi="宋体"/>
          <w:sz w:val="24"/>
          <w:szCs w:val="24"/>
        </w:rPr>
        <w:t xml:space="preserve">3.1投标人根据自身条件按照投标文件格式的相关附件要求详细提供有关资料，未按要求提供相关资料所造成的后果自负。</w:t>
      </w:r>
      <w:r/>
    </w:p>
    <w:p>
      <w:pPr>
        <w:ind w:firstLine="480"/>
        <w:spacing w:line="480" w:lineRule="exact"/>
        <w:rPr>
          <w:rFonts w:hint="eastAsia" w:ascii="宋体" w:hAnsi="宋体"/>
          <w:sz w:val="24"/>
          <w:szCs w:val="24"/>
        </w:rPr>
      </w:pPr>
      <w:r>
        <w:rPr>
          <w:rFonts w:ascii="宋体" w:hAnsi="宋体"/>
          <w:sz w:val="24"/>
          <w:szCs w:val="24"/>
        </w:rPr>
        <w:t xml:space="preserve">3.2投标人应对有关学校出险报案、现场勘查、施救、理赔等在时间、处理办法及措施上有明确的承诺。</w:t>
      </w:r>
      <w:r/>
    </w:p>
    <w:p>
      <w:pPr>
        <w:ind w:firstLine="480"/>
        <w:spacing w:line="480" w:lineRule="exact"/>
        <w:rPr>
          <w:rFonts w:hint="eastAsia" w:ascii="宋体" w:hAnsi="宋体"/>
          <w:sz w:val="24"/>
          <w:szCs w:val="24"/>
        </w:rPr>
      </w:pPr>
      <w:r>
        <w:rPr>
          <w:rFonts w:ascii="宋体" w:hAnsi="宋体"/>
          <w:sz w:val="24"/>
          <w:szCs w:val="24"/>
        </w:rPr>
        <w:t xml:space="preserve">3.3投标人的承诺不得有违反保险行业相关法律法规的内容，否则作为废标处理。</w:t>
      </w:r>
      <w:r/>
    </w:p>
    <w:p>
      <w:pPr>
        <w:ind w:firstLine="480"/>
        <w:spacing w:line="480" w:lineRule="exact"/>
        <w:rPr>
          <w:rFonts w:hint="eastAsia" w:ascii="宋体" w:hAnsi="宋体"/>
          <w:sz w:val="24"/>
          <w:szCs w:val="24"/>
        </w:rPr>
      </w:pPr>
      <w:r>
        <w:rPr>
          <w:rFonts w:ascii="宋体" w:hAnsi="宋体"/>
          <w:sz w:val="24"/>
          <w:szCs w:val="24"/>
        </w:rPr>
        <w:t xml:space="preserve">3.4中标人不得以任何理由任何方式给予投保学校保险合同以外的任何利益。</w:t>
      </w:r>
      <w:r/>
    </w:p>
    <w:p>
      <w:pPr>
        <w:ind w:firstLine="480"/>
        <w:spacing w:line="480" w:lineRule="exact"/>
        <w:rPr>
          <w:rFonts w:hint="eastAsia" w:ascii="宋体" w:hAnsi="宋体"/>
          <w:sz w:val="24"/>
          <w:szCs w:val="24"/>
        </w:rPr>
      </w:pPr>
      <w:r>
        <w:rPr>
          <w:rFonts w:ascii="宋体" w:hAnsi="宋体"/>
          <w:sz w:val="24"/>
          <w:szCs w:val="24"/>
        </w:rPr>
        <w:t xml:space="preserve">3.5中标人必须建立专门服务机构，指定专人负责，确定地点，形成完善的规章制度和服务体系，为服务对象办理承保、理赔、保费结算、投保信息汇总等业务。</w:t>
      </w:r>
      <w:r/>
    </w:p>
    <w:p>
      <w:pPr>
        <w:ind w:firstLine="480"/>
        <w:spacing w:line="480" w:lineRule="exact"/>
        <w:rPr>
          <w:rFonts w:hint="eastAsia" w:ascii="宋体" w:hAnsi="宋体"/>
          <w:sz w:val="24"/>
          <w:szCs w:val="24"/>
        </w:rPr>
      </w:pPr>
      <w:r>
        <w:rPr>
          <w:rFonts w:ascii="宋体" w:hAnsi="宋体"/>
          <w:sz w:val="24"/>
          <w:szCs w:val="24"/>
        </w:rPr>
        <w:t xml:space="preserve">3.6中标人应与江苏省教育厅协商确定投保、保费缴纳、送交保单、出险报案、接收服务对象索赔单证以及提交赔款等有关工作的具体操作程序和步骤，以利于江苏省教育厅更有效地配合中标人做好上述有关工作。</w:t>
      </w:r>
      <w:r/>
    </w:p>
    <w:p>
      <w:pPr>
        <w:ind w:firstLine="480"/>
        <w:spacing w:line="480" w:lineRule="exact"/>
        <w:rPr>
          <w:rFonts w:hint="eastAsia" w:ascii="宋体" w:hAnsi="宋体"/>
          <w:bCs/>
          <w:sz w:val="24"/>
          <w:szCs w:val="24"/>
        </w:rPr>
      </w:pPr>
      <w:r>
        <w:rPr>
          <w:rFonts w:ascii="宋体" w:hAnsi="宋体"/>
          <w:sz w:val="24"/>
          <w:szCs w:val="24"/>
        </w:rPr>
        <w:t xml:space="preserve">3.7中标人应根据保险合同及其承诺，制定学生人身伤害事故责任险服务手册</w:t>
      </w:r>
      <w:r>
        <w:rPr>
          <w:rFonts w:hint="eastAsia" w:ascii="宋体" w:hAnsi="宋体"/>
          <w:sz w:val="24"/>
          <w:szCs w:val="24"/>
        </w:rPr>
        <w:t xml:space="preserve">（含电子版）</w:t>
      </w:r>
      <w:r>
        <w:rPr>
          <w:rFonts w:ascii="宋体" w:hAnsi="宋体"/>
          <w:sz w:val="24"/>
          <w:szCs w:val="24"/>
        </w:rPr>
        <w:t xml:space="preserve">，分发给所有投保学校、各级教育行政管理部门。同时在保险责任期内，每</w:t>
      </w:r>
      <w:r>
        <w:rPr>
          <w:rFonts w:hint="eastAsia" w:ascii="宋体" w:hAnsi="宋体"/>
          <w:sz w:val="24"/>
          <w:szCs w:val="24"/>
        </w:rPr>
        <w:t xml:space="preserve">季度</w:t>
      </w:r>
      <w:r>
        <w:rPr>
          <w:rFonts w:ascii="宋体" w:hAnsi="宋体"/>
          <w:sz w:val="24"/>
          <w:szCs w:val="24"/>
        </w:rPr>
        <w:t xml:space="preserve">向江苏省教育厅提供统计资料，包括理赔情况等。</w:t>
      </w:r>
      <w:r>
        <w:rPr>
          <w:rFonts w:hint="eastAsia" w:ascii="宋体" w:hAnsi="宋体"/>
          <w:bCs/>
          <w:sz w:val="24"/>
          <w:szCs w:val="24"/>
        </w:rPr>
        <w:t xml:space="preserve">建立每月报告理赔案例制度，</w:t>
      </w:r>
      <w:r>
        <w:rPr>
          <w:rFonts w:ascii="宋体" w:hAnsi="宋体"/>
          <w:bCs/>
          <w:sz w:val="24"/>
          <w:szCs w:val="24"/>
        </w:rPr>
        <w:t xml:space="preserve">对整体赔付</w:t>
      </w:r>
      <w:r>
        <w:rPr>
          <w:rFonts w:hint="eastAsia" w:ascii="宋体" w:hAnsi="宋体"/>
          <w:bCs/>
          <w:sz w:val="24"/>
          <w:szCs w:val="24"/>
        </w:rPr>
        <w:t xml:space="preserve">明细</w:t>
      </w:r>
      <w:r>
        <w:rPr>
          <w:rFonts w:ascii="宋体" w:hAnsi="宋体"/>
          <w:bCs/>
          <w:sz w:val="24"/>
          <w:szCs w:val="24"/>
        </w:rPr>
        <w:t xml:space="preserve">分段、分区域进行统计分析</w:t>
      </w:r>
      <w:r>
        <w:rPr>
          <w:rFonts w:hint="eastAsia" w:ascii="宋体" w:hAnsi="宋体"/>
          <w:bCs/>
          <w:sz w:val="24"/>
          <w:szCs w:val="24"/>
        </w:rPr>
        <w:t xml:space="preserve">。</w:t>
      </w:r>
      <w:r/>
    </w:p>
    <w:p>
      <w:pPr>
        <w:ind w:firstLine="480"/>
        <w:spacing w:line="480" w:lineRule="exact"/>
        <w:rPr>
          <w:rFonts w:hint="eastAsia" w:ascii="宋体" w:hAnsi="宋体"/>
          <w:sz w:val="24"/>
          <w:szCs w:val="24"/>
        </w:rPr>
      </w:pPr>
      <w:r>
        <w:rPr>
          <w:rFonts w:ascii="宋体" w:hAnsi="宋体"/>
          <w:sz w:val="24"/>
          <w:szCs w:val="24"/>
        </w:rPr>
        <w:t xml:space="preserve">3.8中标人应具备较为健全的服务网络，及时为投保学校办理投保、理赔、保全及其他相关事宜。中标人的理赔服务应主动、及时、准确，有明确的理赔服务流程，有统一的赔偿金计算标准。</w:t>
      </w:r>
      <w:r>
        <w:rPr>
          <w:rFonts w:hint="eastAsia" w:ascii="宋体" w:hAnsi="宋体"/>
          <w:b/>
          <w:sz w:val="24"/>
          <w:szCs w:val="24"/>
        </w:rPr>
        <w:t xml:space="preserve">设有24小时服务热线、成立专项理赔服务小组、配有专员专线服务。接到报案后服务人员1小时内到达市区现场，2小时内到达郊县现场。被保险人出险后保险人2个工作日内向被保险人提供书面的索赔资料清单。</w:t>
      </w:r>
      <w:r>
        <w:rPr>
          <w:rFonts w:ascii="宋体" w:hAnsi="宋体"/>
          <w:sz w:val="24"/>
          <w:szCs w:val="24"/>
        </w:rPr>
        <w:t xml:space="preserve">对校园常发、多发的学生伤害事件的理赔工作应与重大、疑难案件的理赔工作区别对待，本着方便学校、服务学校的原则，简化理赔材料和理赔手续，充分提高学生人身伤害事故责任险定责、赔偿效率。对于保险纠纷和重大保险事故的理赔工作应考虑到学校教育教学的实际情况和具体需求。同时提供良好的异地出险理赔服务。</w:t>
      </w:r>
      <w:r/>
    </w:p>
    <w:p>
      <w:pPr>
        <w:ind w:firstLine="480"/>
        <w:spacing w:line="480" w:lineRule="exact"/>
        <w:rPr>
          <w:rFonts w:hint="eastAsia" w:ascii="宋体" w:hAnsi="宋体"/>
          <w:sz w:val="24"/>
          <w:szCs w:val="24"/>
        </w:rPr>
      </w:pPr>
      <w:r/>
      <w:bookmarkStart w:id="195" w:name="OLE_LINK8"/>
      <w:r/>
      <w:bookmarkStart w:id="196" w:name="OLE_LINK7"/>
      <w:r>
        <w:rPr>
          <w:rFonts w:ascii="宋体" w:hAnsi="宋体"/>
          <w:sz w:val="24"/>
          <w:szCs w:val="24"/>
        </w:rPr>
        <w:t xml:space="preserve">3.9中标人应建立健全风险管理制度，定期对投保学校的风险状况进行了解勘查，为每所学校建立安全管理档案</w:t>
      </w:r>
      <w:r>
        <w:rPr>
          <w:rFonts w:hint="eastAsia" w:ascii="宋体" w:hAnsi="宋体"/>
          <w:sz w:val="24"/>
          <w:szCs w:val="24"/>
        </w:rPr>
        <w:t xml:space="preserve">。按江苏省教育厅的要求及中标人的风险管理方案向</w:t>
      </w:r>
      <w:r>
        <w:rPr>
          <w:rFonts w:ascii="宋体" w:hAnsi="宋体"/>
          <w:sz w:val="24"/>
          <w:szCs w:val="24"/>
        </w:rPr>
        <w:t xml:space="preserve">投保学校提供有关培训（含线上培训），包括保险知识、条款解释、理赔服务、防灾防损知识等</w:t>
      </w:r>
      <w:bookmarkStart w:id="197" w:name="OLE_LINK9"/>
      <w:r/>
      <w:bookmarkStart w:id="198" w:name="OLE_LINK10"/>
      <w:r/>
      <w:bookmarkEnd w:id="195"/>
      <w:r/>
      <w:bookmarkEnd w:id="196"/>
      <w:r>
        <w:rPr>
          <w:rFonts w:hint="eastAsia" w:ascii="宋体" w:hAnsi="宋体"/>
          <w:sz w:val="24"/>
          <w:szCs w:val="24"/>
        </w:rPr>
        <w:t xml:space="preserve">，</w:t>
      </w:r>
      <w:r>
        <w:rPr>
          <w:rFonts w:ascii="宋体" w:hAnsi="宋体"/>
          <w:sz w:val="24"/>
          <w:szCs w:val="24"/>
        </w:rPr>
        <w:t xml:space="preserve">每</w:t>
      </w:r>
      <w:r>
        <w:rPr>
          <w:rFonts w:hint="eastAsia" w:ascii="宋体" w:hAnsi="宋体"/>
          <w:sz w:val="24"/>
          <w:szCs w:val="24"/>
        </w:rPr>
        <w:t xml:space="preserve">学期</w:t>
      </w:r>
      <w:r>
        <w:rPr>
          <w:rFonts w:ascii="宋体" w:hAnsi="宋体"/>
          <w:sz w:val="24"/>
          <w:szCs w:val="24"/>
        </w:rPr>
        <w:t xml:space="preserve">向江苏省教育厅</w:t>
      </w:r>
      <w:r>
        <w:rPr>
          <w:rFonts w:hint="eastAsia" w:ascii="宋体" w:hAnsi="宋体"/>
          <w:sz w:val="24"/>
          <w:szCs w:val="24"/>
        </w:rPr>
        <w:t xml:space="preserve">报告风险管理和培训情况</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.10中标人应主动围绕学校、学生安全，有计划地配合开展</w:t>
      </w:r>
      <w:r>
        <w:rPr>
          <w:rFonts w:hint="eastAsia" w:ascii="宋体" w:hAnsi="宋体"/>
          <w:sz w:val="24"/>
          <w:szCs w:val="24"/>
        </w:rPr>
        <w:t xml:space="preserve">校园</w:t>
      </w:r>
      <w:r>
        <w:rPr>
          <w:rFonts w:ascii="宋体" w:hAnsi="宋体"/>
          <w:sz w:val="24"/>
          <w:szCs w:val="24"/>
        </w:rPr>
        <w:t xml:space="preserve">安全宣传教育工作，</w:t>
      </w:r>
      <w:r>
        <w:rPr>
          <w:rFonts w:hint="eastAsia" w:ascii="宋体" w:hAnsi="宋体"/>
          <w:sz w:val="24"/>
          <w:szCs w:val="24"/>
        </w:rPr>
        <w:t xml:space="preserve">推广应急演练和安全基地模拟训练，广泛开展安全体验活动，</w:t>
      </w:r>
      <w:r>
        <w:rPr>
          <w:rFonts w:ascii="宋体" w:hAnsi="宋体"/>
          <w:sz w:val="24"/>
          <w:szCs w:val="24"/>
        </w:rPr>
        <w:t xml:space="preserve">协助学校做好风险防范工作</w:t>
      </w:r>
      <w:r>
        <w:rPr>
          <w:rFonts w:hint="eastAsia" w:ascii="宋体" w:hAnsi="宋体"/>
          <w:sz w:val="24"/>
          <w:szCs w:val="24"/>
        </w:rPr>
        <w:t xml:space="preserve">，</w:t>
      </w:r>
      <w:r>
        <w:rPr>
          <w:rFonts w:ascii="宋体" w:hAnsi="宋体"/>
          <w:sz w:val="24"/>
          <w:szCs w:val="24"/>
        </w:rPr>
        <w:t xml:space="preserve">提高学生紧急避险能力。</w:t>
      </w:r>
      <w:bookmarkEnd w:id="197"/>
      <w:r/>
      <w:bookmarkEnd w:id="198"/>
      <w:r/>
      <w:r/>
    </w:p>
    <w:p>
      <w:pPr>
        <w:ind w:firstLine="480"/>
        <w:spacing w:line="480" w:lineRule="exact"/>
        <w:rPr>
          <w:rFonts w:hint="eastAsia" w:ascii="宋体" w:hAnsi="宋体"/>
          <w:sz w:val="24"/>
          <w:szCs w:val="24"/>
        </w:rPr>
      </w:pPr>
      <w:r>
        <w:rPr>
          <w:rFonts w:ascii="宋体" w:hAnsi="宋体"/>
          <w:sz w:val="24"/>
          <w:szCs w:val="24"/>
        </w:rPr>
        <w:t xml:space="preserve">3.11中标人不得拒绝学校投保学生人身伤害事故责任险的要求。</w:t>
      </w:r>
      <w:r/>
    </w:p>
    <w:p>
      <w:pPr>
        <w:ind w:firstLine="480"/>
        <w:spacing w:line="480" w:lineRule="exact"/>
        <w:rPr>
          <w:rFonts w:hint="eastAsia" w:ascii="宋体" w:hAnsi="宋体"/>
          <w:sz w:val="24"/>
          <w:szCs w:val="24"/>
        </w:rPr>
      </w:pPr>
      <w:r>
        <w:rPr>
          <w:rFonts w:hint="eastAsia" w:ascii="宋体" w:hAnsi="宋体"/>
          <w:sz w:val="24"/>
          <w:szCs w:val="24"/>
        </w:rPr>
        <w:t xml:space="preserve">4、保险方案要求</w:t>
      </w:r>
      <w:r/>
    </w:p>
    <w:p>
      <w:pPr>
        <w:ind w:firstLine="480"/>
        <w:spacing w:line="480" w:lineRule="exact"/>
        <w:rPr>
          <w:rFonts w:hint="eastAsia" w:ascii="宋体" w:hAnsi="宋体"/>
          <w:sz w:val="24"/>
          <w:szCs w:val="24"/>
        </w:rPr>
      </w:pPr>
      <w:r>
        <w:rPr>
          <w:rFonts w:hint="eastAsia" w:ascii="宋体" w:hAnsi="宋体"/>
          <w:sz w:val="24"/>
          <w:szCs w:val="24"/>
        </w:rPr>
        <w:t xml:space="preserve">4.1主条款保险责任范围，主条款的责任范围应当对被保险人有利且责任范围广。</w:t>
      </w:r>
      <w:r/>
    </w:p>
    <w:p>
      <w:pPr>
        <w:ind w:firstLine="480"/>
        <w:spacing w:line="480" w:lineRule="exact"/>
        <w:rPr>
          <w:rFonts w:hint="eastAsia" w:ascii="宋体" w:hAnsi="宋体"/>
          <w:sz w:val="24"/>
          <w:szCs w:val="24"/>
        </w:rPr>
      </w:pPr>
      <w:r>
        <w:rPr>
          <w:rFonts w:hint="eastAsia" w:ascii="宋体" w:hAnsi="宋体"/>
          <w:sz w:val="24"/>
          <w:szCs w:val="24"/>
        </w:rPr>
        <w:t xml:space="preserve">4.2扩展条款及特别约定，投标人应对招标文件提出的扩展条款及特别约定完全响应。</w:t>
      </w:r>
      <w:r/>
    </w:p>
    <w:p>
      <w:pPr>
        <w:ind w:firstLine="480"/>
        <w:spacing w:line="480" w:lineRule="exact"/>
        <w:rPr>
          <w:rFonts w:hint="eastAsia" w:ascii="宋体" w:hAnsi="宋体"/>
          <w:sz w:val="24"/>
          <w:szCs w:val="24"/>
        </w:rPr>
      </w:pPr>
      <w:r>
        <w:rPr>
          <w:rFonts w:hint="eastAsia" w:ascii="宋体" w:hAnsi="宋体"/>
          <w:sz w:val="24"/>
          <w:szCs w:val="24"/>
        </w:rPr>
        <w:t xml:space="preserve">4.3投标人拟定的其他方案（含扩展条款和特别约定），投标人应结合招标文件</w:t>
      </w:r>
      <w:r>
        <w:rPr>
          <w:rFonts w:hint="eastAsia" w:ascii="宋体" w:hAnsi="宋体"/>
          <w:sz w:val="24"/>
          <w:szCs w:val="24"/>
        </w:rPr>
        <w:t xml:space="preserve">的有关要求，提供与需求相匹配的其他保险方案，方案应当科学合理、可执行性强并对被保险人有利。</w:t>
      </w:r>
      <w:r/>
    </w:p>
    <w:p>
      <w:pPr>
        <w:ind w:firstLine="480"/>
        <w:spacing w:line="480" w:lineRule="exact"/>
        <w:rPr>
          <w:rFonts w:hint="eastAsia" w:ascii="宋体" w:hAnsi="宋体"/>
          <w:sz w:val="24"/>
          <w:szCs w:val="24"/>
        </w:rPr>
      </w:pPr>
      <w:r>
        <w:rPr>
          <w:rFonts w:hint="eastAsia" w:ascii="宋体" w:hAnsi="宋体"/>
          <w:sz w:val="24"/>
          <w:szCs w:val="24"/>
        </w:rPr>
        <w:t xml:space="preserve">5、服务要求</w:t>
      </w:r>
      <w:r/>
    </w:p>
    <w:p>
      <w:pPr>
        <w:ind w:firstLine="480"/>
        <w:spacing w:line="480" w:lineRule="exact"/>
        <w:rPr>
          <w:rFonts w:hint="eastAsia" w:ascii="宋体" w:hAnsi="宋体"/>
          <w:sz w:val="24"/>
          <w:szCs w:val="24"/>
        </w:rPr>
      </w:pPr>
      <w:r>
        <w:rPr>
          <w:rFonts w:hint="eastAsia" w:ascii="宋体" w:hAnsi="宋体"/>
          <w:sz w:val="24"/>
          <w:szCs w:val="24"/>
        </w:rPr>
        <w:t xml:space="preserve">5.1投保服务</w:t>
      </w:r>
      <w:r/>
    </w:p>
    <w:p>
      <w:pPr>
        <w:ind w:firstLine="480"/>
        <w:spacing w:line="480" w:lineRule="exact"/>
        <w:rPr>
          <w:rFonts w:hint="eastAsia" w:ascii="宋体" w:hAnsi="宋体"/>
          <w:sz w:val="24"/>
          <w:szCs w:val="24"/>
        </w:rPr>
      </w:pPr>
      <w:r>
        <w:rPr>
          <w:rFonts w:hint="eastAsia" w:ascii="宋体" w:hAnsi="宋体"/>
          <w:sz w:val="24"/>
          <w:szCs w:val="24"/>
        </w:rPr>
        <w:t xml:space="preserve">（1）保费约定</w:t>
      </w:r>
      <w:r/>
    </w:p>
    <w:p>
      <w:pPr>
        <w:ind w:firstLine="480"/>
        <w:spacing w:line="480" w:lineRule="exact"/>
        <w:rPr>
          <w:rFonts w:hint="eastAsia" w:ascii="宋体" w:hAnsi="宋体"/>
          <w:sz w:val="24"/>
          <w:szCs w:val="24"/>
        </w:rPr>
      </w:pPr>
      <w:r>
        <w:rPr>
          <w:rFonts w:hint="eastAsia" w:ascii="宋体" w:hAnsi="宋体"/>
          <w:bCs/>
          <w:sz w:val="24"/>
          <w:szCs w:val="24"/>
        </w:rPr>
        <w:t xml:space="preserve">如果第一保险学年度已决赔付率低于</w:t>
      </w:r>
      <w:r>
        <w:rPr>
          <w:rFonts w:ascii="宋体" w:hAnsi="宋体"/>
          <w:bCs/>
          <w:sz w:val="24"/>
          <w:szCs w:val="24"/>
        </w:rPr>
        <w:t xml:space="preserve">60</w:t>
      </w:r>
      <w:r>
        <w:rPr>
          <w:rFonts w:hint="eastAsia" w:ascii="宋体" w:hAnsi="宋体"/>
          <w:bCs/>
          <w:sz w:val="24"/>
          <w:szCs w:val="24"/>
        </w:rPr>
        <w:t xml:space="preserve">%</w:t>
      </w:r>
      <w:r>
        <w:rPr>
          <w:rFonts w:hint="eastAsia" w:ascii="宋体" w:hAnsi="宋体"/>
          <w:sz w:val="24"/>
          <w:szCs w:val="24"/>
        </w:rPr>
        <w:t xml:space="preserve">，则第二学年度保费金额将同比下调10%，以江苏省教育厅与保险公司签署的补充书面意见为准。</w:t>
      </w:r>
      <w:r/>
    </w:p>
    <w:p>
      <w:pPr>
        <w:ind w:firstLine="480"/>
        <w:spacing w:line="48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）服务约定</w:t>
      </w:r>
      <w:r/>
    </w:p>
    <w:p>
      <w:pPr>
        <w:ind w:firstLine="480"/>
        <w:spacing w:line="480" w:lineRule="exact"/>
        <w:rPr>
          <w:rFonts w:hint="eastAsia" w:ascii="宋体" w:hAnsi="宋体"/>
          <w:sz w:val="24"/>
          <w:szCs w:val="24"/>
        </w:rPr>
      </w:pPr>
      <w:r>
        <w:rPr>
          <w:rFonts w:hint="eastAsia" w:ascii="宋体" w:hAnsi="宋体"/>
          <w:sz w:val="24"/>
          <w:szCs w:val="24"/>
        </w:rPr>
        <w:t xml:space="preserve">投标人提供的投保服务应当科学合理、方便快捷。</w:t>
      </w:r>
      <w:r/>
    </w:p>
    <w:p>
      <w:pPr>
        <w:ind w:firstLine="480"/>
        <w:spacing w:line="480" w:lineRule="exact"/>
        <w:rPr>
          <w:rFonts w:hint="eastAsia" w:ascii="宋体" w:hAnsi="宋体"/>
          <w:sz w:val="24"/>
          <w:szCs w:val="24"/>
        </w:rPr>
      </w:pPr>
      <w:r>
        <w:rPr>
          <w:rFonts w:hint="eastAsia" w:ascii="宋体" w:hAnsi="宋体"/>
          <w:sz w:val="24"/>
          <w:szCs w:val="24"/>
        </w:rPr>
        <w:t xml:space="preserve">5.2理赔服务</w:t>
      </w:r>
      <w:r/>
    </w:p>
    <w:p>
      <w:pPr>
        <w:ind w:firstLine="480"/>
        <w:spacing w:line="480" w:lineRule="exact"/>
        <w:rPr>
          <w:rFonts w:hint="eastAsia" w:ascii="宋体" w:hAnsi="宋体"/>
          <w:sz w:val="24"/>
          <w:szCs w:val="24"/>
        </w:rPr>
      </w:pPr>
      <w:r>
        <w:rPr>
          <w:rFonts w:hint="eastAsia" w:ascii="宋体" w:hAnsi="宋体"/>
          <w:sz w:val="24"/>
          <w:szCs w:val="24"/>
        </w:rPr>
        <w:t xml:space="preserve">（1）理赔响应时间</w:t>
      </w:r>
      <w:r/>
    </w:p>
    <w:p>
      <w:pPr>
        <w:ind w:firstLine="480"/>
        <w:spacing w:line="480" w:lineRule="exact"/>
        <w:rPr>
          <w:rFonts w:hint="eastAsia" w:ascii="宋体" w:hAnsi="宋体"/>
          <w:sz w:val="24"/>
          <w:szCs w:val="24"/>
        </w:rPr>
      </w:pPr>
      <w:r>
        <w:rPr>
          <w:rFonts w:hint="eastAsia" w:ascii="宋体" w:hAnsi="宋体"/>
          <w:sz w:val="24"/>
          <w:szCs w:val="24"/>
        </w:rPr>
        <w:t xml:space="preserve">理赔响应时间指投标人在接到出险电话，到达事故现场的时间。投标人应根据项目需求提供可靠的承诺，并提供营业网点的分布、无网点的解决方案等。</w:t>
      </w:r>
      <w:r/>
    </w:p>
    <w:p>
      <w:pPr>
        <w:ind w:firstLine="480"/>
        <w:spacing w:line="480" w:lineRule="exact"/>
        <w:rPr>
          <w:rFonts w:hint="eastAsia" w:ascii="宋体" w:hAnsi="宋体"/>
          <w:sz w:val="24"/>
          <w:szCs w:val="24"/>
        </w:rPr>
      </w:pPr>
      <w:r>
        <w:rPr>
          <w:rFonts w:hint="eastAsia" w:ascii="宋体" w:hAnsi="宋体"/>
          <w:sz w:val="24"/>
          <w:szCs w:val="24"/>
        </w:rPr>
        <w:t xml:space="preserve">（2）理赔预付制度</w:t>
      </w:r>
      <w:r/>
    </w:p>
    <w:p>
      <w:pPr>
        <w:ind w:firstLine="480"/>
        <w:spacing w:line="360" w:lineRule="auto"/>
        <w:rPr>
          <w:rFonts w:hint="eastAsia" w:ascii="宋体" w:hAnsi="宋体"/>
          <w:sz w:val="24"/>
          <w:szCs w:val="24"/>
        </w:rPr>
      </w:pPr>
      <w:r>
        <w:rPr>
          <w:rFonts w:hint="eastAsia" w:ascii="宋体" w:hAnsi="宋体"/>
          <w:sz w:val="24"/>
          <w:szCs w:val="24"/>
        </w:rPr>
        <w:t xml:space="preserve">投标人应提供科学合理的理赔预付制度。</w:t>
      </w:r>
      <w:r/>
    </w:p>
    <w:p>
      <w:pPr>
        <w:ind w:firstLine="480"/>
        <w:spacing w:line="360" w:lineRule="auto"/>
        <w:rPr>
          <w:rFonts w:hint="eastAsia" w:ascii="宋体" w:hAnsi="宋体"/>
          <w:sz w:val="24"/>
          <w:szCs w:val="24"/>
        </w:rPr>
      </w:pPr>
      <w:r>
        <w:rPr>
          <w:rFonts w:hint="eastAsia" w:ascii="宋体" w:hAnsi="宋体"/>
          <w:sz w:val="24"/>
          <w:szCs w:val="24"/>
        </w:rPr>
        <w:t xml:space="preserve">保险公司将根据以下条件对突发紧急事故进行赔款预付，以保证善后处理的妥善完成：</w:t>
      </w:r>
      <w:r/>
    </w:p>
    <w:p>
      <w:pPr>
        <w:ind w:firstLine="480"/>
        <w:spacing w:line="360" w:lineRule="auto"/>
        <w:rPr>
          <w:rFonts w:hint="eastAsia" w:ascii="宋体" w:hAnsi="宋体"/>
          <w:sz w:val="24"/>
          <w:szCs w:val="24"/>
        </w:rPr>
      </w:pPr>
      <w:r>
        <w:rPr>
          <w:rFonts w:hint="eastAsia" w:ascii="宋体" w:hAnsi="宋体"/>
          <w:sz w:val="24"/>
          <w:szCs w:val="24"/>
        </w:rPr>
        <w:t xml:space="preserve">（1）对于突发的、责任明显的重大事故，保险公司启动应急预付赔款机制，在3个工作日内按可确定损失的100％支付预付赔款；</w:t>
      </w:r>
      <w:r/>
    </w:p>
    <w:p>
      <w:pPr>
        <w:ind w:firstLine="480"/>
        <w:spacing w:line="360" w:lineRule="auto"/>
        <w:rPr>
          <w:rFonts w:hint="eastAsia" w:ascii="宋体" w:hAnsi="宋体"/>
          <w:sz w:val="24"/>
          <w:szCs w:val="24"/>
        </w:rPr>
      </w:pPr>
      <w:r>
        <w:rPr>
          <w:rFonts w:hint="eastAsia" w:ascii="宋体" w:hAnsi="宋体"/>
          <w:sz w:val="24"/>
          <w:szCs w:val="24"/>
        </w:rPr>
        <w:t xml:space="preserve">（2）对于突发的、在一次意外中造成单个人员死亡或受伤程度严重的且责任明显的事故，保险公司应在3个工作日内按可确定损失金额的100％预付赔款；</w:t>
      </w:r>
      <w:r/>
    </w:p>
    <w:p>
      <w:pPr>
        <w:ind w:firstLine="480"/>
        <w:spacing w:line="360" w:lineRule="auto"/>
        <w:rPr>
          <w:rFonts w:hint="eastAsia" w:ascii="宋体" w:hAnsi="宋体"/>
          <w:sz w:val="24"/>
          <w:szCs w:val="24"/>
        </w:rPr>
      </w:pPr>
      <w:r>
        <w:rPr>
          <w:rFonts w:hint="eastAsia" w:ascii="宋体" w:hAnsi="宋体"/>
          <w:sz w:val="24"/>
          <w:szCs w:val="24"/>
        </w:rPr>
        <w:t xml:space="preserve">（3）对于属于保险赔偿责任范围内的事故，保险公司可以通过预付赔款方式先行垫付学生的医疗费用，预付赔款可以按照实际已发生的医疗费用直接赔付。</w:t>
      </w:r>
      <w:r/>
    </w:p>
    <w:p>
      <w:pPr>
        <w:ind w:firstLine="480"/>
        <w:spacing w:line="360" w:lineRule="auto"/>
        <w:rPr>
          <w:rFonts w:hint="eastAsia" w:ascii="宋体" w:hAnsi="宋体"/>
          <w:sz w:val="24"/>
          <w:szCs w:val="24"/>
        </w:rPr>
      </w:pPr>
      <w:r>
        <w:rPr>
          <w:rFonts w:hint="eastAsia" w:ascii="宋体" w:hAnsi="宋体"/>
          <w:sz w:val="24"/>
          <w:szCs w:val="24"/>
        </w:rPr>
        <w:t xml:space="preserve">双方进一步同意：预付赔款的最高金额以根据法律应由校方承担的赔偿金额及本保险单规定的每人基本赔偿限额为限，被保险学校应同时配合提供有关索赔文件。</w:t>
      </w:r>
      <w:r/>
    </w:p>
    <w:p>
      <w:pPr>
        <w:ind w:firstLine="480"/>
        <w:spacing w:line="480" w:lineRule="exact"/>
        <w:rPr>
          <w:rFonts w:hint="eastAsia" w:ascii="宋体" w:hAnsi="宋体"/>
          <w:sz w:val="24"/>
          <w:szCs w:val="24"/>
        </w:rPr>
      </w:pPr>
      <w:r>
        <w:rPr>
          <w:rFonts w:hint="eastAsia" w:ascii="宋体" w:hAnsi="宋体"/>
          <w:sz w:val="24"/>
          <w:szCs w:val="24"/>
        </w:rPr>
        <w:t xml:space="preserve">（3）理赔服务手续、流程</w:t>
      </w:r>
      <w:r/>
    </w:p>
    <w:p>
      <w:pPr>
        <w:ind w:firstLine="480"/>
        <w:spacing w:line="480" w:lineRule="exact"/>
        <w:rPr>
          <w:rFonts w:hint="eastAsia" w:ascii="宋体" w:hAnsi="宋体"/>
          <w:sz w:val="24"/>
          <w:szCs w:val="24"/>
        </w:rPr>
      </w:pPr>
      <w:r>
        <w:rPr>
          <w:rFonts w:hint="eastAsia" w:ascii="宋体" w:hAnsi="宋体"/>
          <w:sz w:val="24"/>
          <w:szCs w:val="24"/>
        </w:rPr>
        <w:t xml:space="preserve">投标人应提供科学合理、便捷高效的理赔服务方案。</w:t>
      </w:r>
      <w:r/>
    </w:p>
    <w:p>
      <w:pPr>
        <w:ind w:firstLine="480"/>
        <w:spacing w:line="480" w:lineRule="exact"/>
        <w:rPr>
          <w:rFonts w:hint="eastAsia" w:ascii="宋体" w:hAnsi="宋体"/>
          <w:sz w:val="24"/>
          <w:szCs w:val="24"/>
        </w:rPr>
      </w:pPr>
      <w:r>
        <w:rPr>
          <w:rFonts w:hint="eastAsia" w:ascii="宋体" w:hAnsi="宋体"/>
          <w:sz w:val="24"/>
          <w:szCs w:val="24"/>
        </w:rPr>
        <w:t xml:space="preserve">（4）常发案件、重大案件及纠纷案件理赔方案</w:t>
      </w:r>
      <w:r/>
    </w:p>
    <w:p>
      <w:pPr>
        <w:ind w:firstLine="480"/>
        <w:spacing w:line="480" w:lineRule="exact"/>
        <w:rPr>
          <w:rFonts w:hint="eastAsia" w:ascii="宋体" w:hAnsi="宋体"/>
          <w:sz w:val="24"/>
          <w:szCs w:val="24"/>
        </w:rPr>
      </w:pPr>
      <w:r>
        <w:rPr>
          <w:rFonts w:hint="eastAsia" w:ascii="宋体" w:hAnsi="宋体"/>
          <w:sz w:val="24"/>
          <w:szCs w:val="24"/>
        </w:rPr>
        <w:t xml:space="preserve">投标人应提供合理且可执行性强的常发案件、重大案件及纠纷案件理赔方案。</w:t>
      </w:r>
      <w:r/>
    </w:p>
    <w:p>
      <w:pPr>
        <w:ind w:firstLine="480"/>
        <w:spacing w:line="480" w:lineRule="exact"/>
        <w:rPr>
          <w:rFonts w:hint="eastAsia" w:ascii="宋体" w:hAnsi="宋体"/>
          <w:sz w:val="24"/>
          <w:szCs w:val="24"/>
        </w:rPr>
      </w:pPr>
      <w:r/>
      <w:bookmarkStart w:id="199" w:name="OLE_LINK5"/>
      <w:r>
        <w:rPr>
          <w:rFonts w:hint="eastAsia" w:ascii="宋体" w:hAnsi="宋体"/>
          <w:sz w:val="24"/>
          <w:szCs w:val="24"/>
        </w:rPr>
        <w:t xml:space="preserve">（5）</w:t>
      </w:r>
      <w:bookmarkEnd w:id="199"/>
      <w:r>
        <w:rPr>
          <w:rFonts w:hint="eastAsia" w:ascii="宋体" w:hAnsi="宋体"/>
          <w:sz w:val="24"/>
          <w:szCs w:val="24"/>
        </w:rPr>
        <w:t xml:space="preserve">异地理赔承诺</w:t>
      </w:r>
      <w:r/>
    </w:p>
    <w:p>
      <w:pPr>
        <w:ind w:firstLine="480"/>
        <w:spacing w:line="480" w:lineRule="exact"/>
        <w:rPr>
          <w:rFonts w:hint="eastAsia" w:ascii="宋体" w:hAnsi="宋体"/>
          <w:sz w:val="24"/>
          <w:szCs w:val="24"/>
        </w:rPr>
      </w:pPr>
      <w:r>
        <w:rPr>
          <w:rFonts w:hint="eastAsia" w:ascii="宋体" w:hAnsi="宋体"/>
          <w:sz w:val="24"/>
          <w:szCs w:val="24"/>
        </w:rPr>
        <w:t xml:space="preserve">投标人应提供科学合理、高效便捷、可操作性强的异地理赔承诺方案。</w:t>
      </w:r>
      <w:r/>
    </w:p>
    <w:p>
      <w:pPr>
        <w:ind w:firstLine="480"/>
        <w:spacing w:line="480" w:lineRule="exact"/>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6</w:t>
      </w:r>
      <w:r>
        <w:rPr>
          <w:rFonts w:hint="eastAsia" w:ascii="宋体" w:hAnsi="宋体"/>
          <w:bCs/>
          <w:sz w:val="24"/>
          <w:szCs w:val="24"/>
        </w:rPr>
        <w:t xml:space="preserve">）小额案件快速理赔</w:t>
      </w:r>
      <w:r/>
    </w:p>
    <w:p>
      <w:pPr>
        <w:ind w:firstLine="480"/>
        <w:spacing w:line="360" w:lineRule="auto"/>
        <w:rPr>
          <w:rFonts w:hint="eastAsia" w:ascii="宋体" w:hAnsi="宋体"/>
          <w:sz w:val="24"/>
          <w:szCs w:val="24"/>
        </w:rPr>
      </w:pPr>
      <w:r>
        <w:rPr>
          <w:rFonts w:hint="eastAsia" w:ascii="宋体" w:hAnsi="宋体"/>
          <w:bCs/>
          <w:sz w:val="24"/>
          <w:szCs w:val="24"/>
        </w:rPr>
        <w:t xml:space="preserve">投标人应按照招标方要求，将适用快速理赔的小额案件单笔标准提高到1万元，并提供配套的快速理赔方案。</w:t>
      </w:r>
      <w:r>
        <w:rPr>
          <w:rFonts w:hint="eastAsia" w:ascii="宋体" w:hAnsi="宋体"/>
          <w:sz w:val="24"/>
          <w:szCs w:val="24"/>
        </w:rPr>
        <w:t xml:space="preserve">兹经双方同意，保险公司将以省辖市为单位，把相当于该市当年总保费金额5%的部分留存在地方，由市级统筹，作为小额事故赔偿基金。</w:t>
      </w:r>
      <w:r/>
    </w:p>
    <w:p>
      <w:pPr>
        <w:ind w:firstLine="480"/>
        <w:spacing w:line="360" w:lineRule="auto"/>
        <w:rPr>
          <w:rFonts w:hint="eastAsia" w:ascii="宋体" w:hAnsi="宋体"/>
          <w:bCs/>
          <w:sz w:val="24"/>
          <w:szCs w:val="24"/>
        </w:rPr>
      </w:pPr>
      <w:r>
        <w:rPr>
          <w:rFonts w:hint="eastAsia" w:ascii="宋体" w:hAnsi="宋体"/>
          <w:sz w:val="24"/>
          <w:szCs w:val="24"/>
        </w:rPr>
        <w:t xml:space="preserve">当发生损失金额在人民币10000元以下的小额事故，被保险人即可在通知保险公司后迅速着手进行事故处理，并在市级教育主管部门的监督下用小额事故赔偿进行处理，并不需要保险公司进行现场查勘。保险公司将配合市教育主管部门以月为单位进行全省小额赔款运行情况的统计分析，并报省级教育主管部门审核存档。被保险人相关单证也应交付保险人，当地小额赔偿基金不足时，保险人在20个工作日内补足。</w:t>
      </w:r>
      <w:r/>
    </w:p>
    <w:p>
      <w:pPr>
        <w:ind w:firstLine="480"/>
        <w:spacing w:line="480" w:lineRule="exact"/>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7</w:t>
      </w:r>
      <w:r>
        <w:rPr>
          <w:rFonts w:hint="eastAsia" w:ascii="宋体" w:hAnsi="宋体"/>
          <w:bCs/>
          <w:sz w:val="24"/>
          <w:szCs w:val="24"/>
        </w:rPr>
        <w:t xml:space="preserve">）抢救费担保承诺</w:t>
      </w:r>
      <w:r/>
    </w:p>
    <w:p>
      <w:pPr>
        <w:ind w:firstLine="480"/>
        <w:spacing w:line="480" w:lineRule="exact"/>
        <w:rPr>
          <w:rFonts w:hint="eastAsia" w:ascii="宋体" w:hAnsi="宋体"/>
          <w:bCs/>
          <w:sz w:val="24"/>
          <w:szCs w:val="24"/>
        </w:rPr>
      </w:pPr>
      <w:r>
        <w:rPr>
          <w:rFonts w:hint="eastAsia" w:ascii="宋体" w:hAnsi="宋体"/>
          <w:bCs/>
          <w:sz w:val="24"/>
          <w:szCs w:val="24"/>
        </w:rPr>
        <w:t xml:space="preserve">投标人需承诺对事故学生提供无差别抢救费担保，1万元以内的抢救费可报案后直接垫付，如经确认属于保险责任，担保额度提高至10万元（与实际医疗费用等额）。</w:t>
      </w:r>
      <w:r/>
    </w:p>
    <w:p>
      <w:pPr>
        <w:ind w:firstLine="480"/>
        <w:spacing w:line="480" w:lineRule="exact"/>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）伤亡计算标准</w:t>
      </w:r>
      <w:r/>
    </w:p>
    <w:p>
      <w:pPr>
        <w:ind w:firstLine="480"/>
        <w:spacing w:line="480" w:lineRule="exact"/>
        <w:rPr>
          <w:rFonts w:hint="eastAsia" w:ascii="宋体" w:hAnsi="宋体"/>
          <w:bCs/>
          <w:sz w:val="24"/>
          <w:szCs w:val="24"/>
        </w:rPr>
      </w:pPr>
      <w:r>
        <w:rPr>
          <w:rFonts w:hint="eastAsia" w:ascii="宋体" w:hAnsi="宋体"/>
          <w:bCs/>
          <w:sz w:val="24"/>
          <w:szCs w:val="24"/>
        </w:rPr>
        <w:t xml:space="preserve">投标人提供的伤亡计算标准应符合以下要求：发生保险事故非道路交通事故参考工伤标准定残；与交通事故有关，参考道路事故相关的人身伤亡定残标准。</w:t>
      </w:r>
      <w:r/>
    </w:p>
    <w:p>
      <w:pPr>
        <w:ind w:firstLine="480"/>
        <w:spacing w:line="480" w:lineRule="exact"/>
        <w:rPr>
          <w:rFonts w:hint="eastAsia" w:ascii="宋体" w:hAnsi="宋体"/>
          <w:sz w:val="24"/>
          <w:szCs w:val="24"/>
        </w:rPr>
      </w:pPr>
      <w:r>
        <w:rPr>
          <w:rFonts w:hint="eastAsia" w:ascii="宋体" w:hAnsi="宋体"/>
          <w:sz w:val="24"/>
          <w:szCs w:val="24"/>
        </w:rPr>
        <w:t xml:space="preserve">5.3营业网点设置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投标人经江苏保险监管部门批准设立的经营网点应至少覆盖江苏省内设区市（13个）。</w:t>
      </w:r>
      <w:r/>
    </w:p>
    <w:p>
      <w:pPr>
        <w:ind w:firstLine="480"/>
        <w:spacing w:line="480" w:lineRule="exact"/>
        <w:rPr>
          <w:rFonts w:hint="eastAsia" w:ascii="宋体" w:hAnsi="宋体"/>
          <w:sz w:val="24"/>
          <w:szCs w:val="24"/>
        </w:rPr>
      </w:pPr>
      <w:r>
        <w:rPr>
          <w:rFonts w:hint="eastAsia" w:ascii="宋体" w:hAnsi="宋体"/>
          <w:sz w:val="24"/>
          <w:szCs w:val="24"/>
        </w:rPr>
        <w:t xml:space="preserve">5.4投标人服务质量保证体系</w:t>
      </w:r>
      <w:r/>
    </w:p>
    <w:p>
      <w:pPr>
        <w:ind w:firstLine="480"/>
        <w:spacing w:line="480" w:lineRule="exact"/>
        <w:rPr>
          <w:rFonts w:hint="eastAsia" w:ascii="宋体" w:hAnsi="宋体"/>
          <w:sz w:val="24"/>
          <w:szCs w:val="24"/>
        </w:rPr>
      </w:pPr>
      <w:r>
        <w:rPr>
          <w:rFonts w:hint="eastAsia" w:ascii="宋体" w:hAnsi="宋体"/>
          <w:sz w:val="24"/>
          <w:szCs w:val="24"/>
        </w:rPr>
        <w:t xml:space="preserve">（1） 投标人针对本项目服务质量保证体系应当完整健全且科学合理，至少应包括服务体系建设、人员组织保障、投诉反映渠道和处理机制等。</w:t>
      </w:r>
      <w:r/>
    </w:p>
    <w:p>
      <w:pPr>
        <w:ind w:firstLine="480"/>
        <w:spacing w:line="480" w:lineRule="exact"/>
        <w:rPr>
          <w:rFonts w:hint="eastAsia" w:ascii="宋体" w:hAnsi="宋体"/>
          <w:sz w:val="24"/>
          <w:szCs w:val="24"/>
        </w:rPr>
      </w:pPr>
      <w:r>
        <w:rPr>
          <w:rFonts w:hint="eastAsia" w:ascii="宋体" w:hAnsi="宋体"/>
          <w:sz w:val="24"/>
          <w:szCs w:val="24"/>
        </w:rPr>
        <w:t xml:space="preserve">（2）投标人针对本项目实施的规章制度及考核制度应当完整健全且科学合理。</w:t>
      </w:r>
      <w:r/>
    </w:p>
    <w:p>
      <w:pPr>
        <w:ind w:firstLine="480"/>
        <w:spacing w:line="480" w:lineRule="exact"/>
        <w:rPr>
          <w:rFonts w:hint="eastAsia" w:ascii="宋体" w:hAnsi="宋体"/>
          <w:sz w:val="24"/>
          <w:szCs w:val="24"/>
        </w:rPr>
      </w:pPr>
      <w:r>
        <w:rPr>
          <w:rFonts w:hint="eastAsia" w:ascii="宋体" w:hAnsi="宋体"/>
          <w:sz w:val="24"/>
          <w:szCs w:val="24"/>
        </w:rPr>
        <w:t xml:space="preserve">5.5风险管理方案</w:t>
      </w:r>
      <w:r/>
    </w:p>
    <w:p>
      <w:pPr>
        <w:ind w:firstLine="480"/>
        <w:spacing w:line="480" w:lineRule="exact"/>
        <w:rPr>
          <w:rFonts w:hint="eastAsia" w:ascii="宋体" w:hAnsi="宋体"/>
          <w:sz w:val="24"/>
          <w:szCs w:val="24"/>
        </w:rPr>
      </w:pPr>
      <w:r>
        <w:rPr>
          <w:rFonts w:hint="eastAsia" w:ascii="宋体" w:hAnsi="宋体"/>
          <w:sz w:val="24"/>
          <w:szCs w:val="24"/>
        </w:rPr>
        <w:t xml:space="preserve">（1）投标人应建立健全风险管理制度和体系，为每所学校建立安全管理档案，定期了解评估学校风险状况，进行安全隐患风险排查和评估，给出风险防范意见建议。方案应当具体翔实，科学性、操作性强。</w:t>
      </w:r>
      <w:r/>
    </w:p>
    <w:p>
      <w:pPr>
        <w:ind w:firstLine="480"/>
        <w:spacing w:line="480" w:lineRule="exact"/>
        <w:rPr>
          <w:rFonts w:hint="eastAsia" w:ascii="宋体" w:hAnsi="宋体"/>
          <w:sz w:val="24"/>
          <w:szCs w:val="24"/>
        </w:rPr>
      </w:pPr>
      <w:r>
        <w:rPr>
          <w:rFonts w:hint="eastAsia" w:ascii="宋体" w:hAnsi="宋体"/>
          <w:sz w:val="24"/>
          <w:szCs w:val="24"/>
        </w:rPr>
        <w:t xml:space="preserve">（2）投标人应制定培训和宣传工作方案，就保险知识、条款解释、理赔服务、</w:t>
      </w:r>
      <w:r>
        <w:rPr>
          <w:rFonts w:hint="eastAsia" w:ascii="宋体" w:hAnsi="宋体"/>
          <w:sz w:val="24"/>
          <w:szCs w:val="24"/>
        </w:rPr>
        <w:t xml:space="preserve">防灾防损知识等向学校提供有关培训，配合教育部门和学校开展安全宣传教育等工作。方案应当具体翔实，科学性、操作性强。</w:t>
      </w:r>
      <w:r/>
    </w:p>
    <w:p>
      <w:pPr>
        <w:ind w:firstLine="480"/>
        <w:spacing w:line="480" w:lineRule="exact"/>
        <w:rPr>
          <w:rFonts w:hint="eastAsia" w:ascii="宋体" w:hAnsi="宋体"/>
          <w:sz w:val="24"/>
          <w:szCs w:val="24"/>
        </w:rPr>
      </w:pPr>
      <w:r>
        <w:rPr>
          <w:rFonts w:hint="eastAsia" w:ascii="宋体" w:hAnsi="宋体"/>
          <w:sz w:val="24"/>
          <w:szCs w:val="24"/>
        </w:rPr>
        <w:t xml:space="preserve">（3）防灾防损方案和措施，投标人应针对本项目制定防灾防损方案和具体保障措施。方案应当具体翔实，科学性、操作性强。</w:t>
      </w:r>
      <w:r/>
    </w:p>
    <w:p>
      <w:pPr>
        <w:ind w:firstLine="480"/>
        <w:spacing w:line="48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w:t>
      </w:r>
      <w:r>
        <w:rPr>
          <w:rFonts w:hint="eastAsia" w:ascii="宋体" w:hAnsi="宋体"/>
          <w:sz w:val="24"/>
          <w:szCs w:val="24"/>
        </w:rPr>
        <w:t xml:space="preserve">其他与本项目有关的服务承诺</w:t>
      </w:r>
      <w:r/>
    </w:p>
    <w:p>
      <w:pPr>
        <w:ind w:firstLine="480"/>
        <w:spacing w:line="480" w:lineRule="exact"/>
        <w:rPr>
          <w:rFonts w:hint="eastAsia" w:ascii="宋体" w:hAnsi="宋体"/>
          <w:sz w:val="24"/>
          <w:szCs w:val="24"/>
        </w:rPr>
      </w:pPr>
      <w:r>
        <w:rPr>
          <w:rFonts w:hint="eastAsia" w:ascii="宋体" w:hAnsi="宋体"/>
          <w:sz w:val="24"/>
          <w:szCs w:val="24"/>
        </w:rPr>
        <w:t xml:space="preserve">投标人应提供的其他与本项目有关的服务承诺，承诺应当科学合理、可行性强符合本项目的需求。</w:t>
      </w:r>
      <w:r/>
    </w:p>
    <w:p>
      <w:pPr>
        <w:ind w:firstLine="480"/>
        <w:spacing w:line="480" w:lineRule="exact"/>
        <w:rPr>
          <w:rFonts w:hint="eastAsia" w:ascii="宋体" w:hAnsi="宋体"/>
          <w:sz w:val="24"/>
          <w:szCs w:val="24"/>
        </w:rPr>
      </w:pPr>
      <w:r>
        <w:rPr>
          <w:rFonts w:hint="eastAsia" w:ascii="宋体" w:hAnsi="宋体"/>
          <w:sz w:val="24"/>
          <w:szCs w:val="24"/>
        </w:rPr>
        <w:t xml:space="preserve">6、投标人统保项目的经验</w:t>
      </w:r>
      <w:r/>
    </w:p>
    <w:p>
      <w:pPr>
        <w:ind w:firstLine="480"/>
        <w:spacing w:line="480" w:lineRule="exact"/>
        <w:rPr>
          <w:rFonts w:hint="eastAsia" w:ascii="宋体" w:hAnsi="宋体"/>
          <w:sz w:val="24"/>
          <w:szCs w:val="24"/>
        </w:rPr>
      </w:pPr>
      <w:r>
        <w:rPr>
          <w:rFonts w:hint="eastAsia" w:ascii="宋体" w:hAnsi="宋体"/>
          <w:sz w:val="24"/>
          <w:szCs w:val="24"/>
        </w:rPr>
        <w:t xml:space="preserve">投标人应提供2019年以来与本项目类似的统保项目合同或保单。</w:t>
      </w:r>
      <w:r/>
    </w:p>
    <w:p>
      <w:pPr>
        <w:spacing w:line="520" w:lineRule="exact"/>
        <w:rPr>
          <w:b/>
          <w:sz w:val="32"/>
          <w:szCs w:val="32"/>
        </w:rPr>
      </w:pPr>
      <w:r>
        <w:rPr>
          <w:rFonts w:hint="eastAsia"/>
          <w:b/>
          <w:sz w:val="32"/>
          <w:szCs w:val="32"/>
        </w:rPr>
        <w:t xml:space="preserve">（二）</w:t>
      </w:r>
      <w:r>
        <w:rPr>
          <w:b/>
          <w:sz w:val="32"/>
          <w:szCs w:val="32"/>
        </w:rPr>
        <w:t xml:space="preserve">保险方案</w:t>
      </w:r>
      <w:r/>
    </w:p>
    <w:p>
      <w:pPr>
        <w:ind w:firstLine="472"/>
        <w:spacing w:after="72" w:line="540" w:lineRule="exact"/>
        <w:rPr>
          <w:rStyle w:val="1006"/>
          <w:rFonts w:hint="eastAsia" w:ascii="宋体" w:hAnsi="宋体"/>
          <w:b/>
          <w:sz w:val="24"/>
          <w:szCs w:val="24"/>
        </w:rPr>
      </w:pPr>
      <w:r>
        <w:rPr>
          <w:rStyle w:val="1006"/>
          <w:rFonts w:ascii="宋体" w:hAnsi="宋体"/>
          <w:b/>
          <w:sz w:val="24"/>
          <w:szCs w:val="24"/>
        </w:rPr>
        <w:t xml:space="preserve">一、保险概况</w:t>
      </w:r>
      <w:r/>
    </w:p>
    <w:p>
      <w:pPr>
        <w:ind w:firstLine="480"/>
        <w:spacing w:line="540" w:lineRule="exact"/>
        <w:rPr>
          <w:rFonts w:hint="eastAsia" w:ascii="宋体" w:hAnsi="宋体"/>
          <w:sz w:val="24"/>
          <w:szCs w:val="24"/>
        </w:rPr>
      </w:pPr>
      <w:r>
        <w:rPr>
          <w:rFonts w:ascii="宋体" w:hAnsi="宋体"/>
          <w:sz w:val="24"/>
          <w:szCs w:val="24"/>
        </w:rPr>
        <w:t xml:space="preserve">险种名称 ：江苏省学生人身伤害事故责任</w:t>
      </w:r>
      <w:r>
        <w:rPr>
          <w:rFonts w:hint="eastAsia" w:ascii="宋体" w:hAnsi="宋体"/>
          <w:sz w:val="24"/>
          <w:szCs w:val="24"/>
        </w:rPr>
        <w:t xml:space="preserve">保</w:t>
      </w:r>
      <w:r>
        <w:rPr>
          <w:rFonts w:ascii="宋体" w:hAnsi="宋体"/>
          <w:sz w:val="24"/>
          <w:szCs w:val="24"/>
        </w:rPr>
        <w:t xml:space="preserve">险</w:t>
      </w:r>
      <w:r/>
    </w:p>
    <w:p>
      <w:pPr>
        <w:ind w:firstLine="480"/>
        <w:spacing w:line="540" w:lineRule="exact"/>
        <w:rPr>
          <w:rFonts w:hint="eastAsia" w:ascii="宋体" w:hAnsi="宋体"/>
          <w:sz w:val="24"/>
          <w:szCs w:val="24"/>
        </w:rPr>
      </w:pPr>
      <w:r>
        <w:rPr>
          <w:rFonts w:ascii="宋体" w:hAnsi="宋体"/>
          <w:sz w:val="24"/>
          <w:szCs w:val="24"/>
        </w:rPr>
        <w:t xml:space="preserve">投 保 人 ：江苏省教育厅</w:t>
      </w:r>
      <w:r/>
    </w:p>
    <w:p>
      <w:pPr>
        <w:ind w:firstLine="480"/>
        <w:spacing w:line="540" w:lineRule="exact"/>
        <w:rPr>
          <w:rFonts w:hint="eastAsia" w:ascii="宋体" w:hAnsi="宋体"/>
          <w:sz w:val="24"/>
          <w:szCs w:val="24"/>
        </w:rPr>
      </w:pPr>
      <w:r>
        <w:rPr>
          <w:rFonts w:ascii="宋体" w:hAnsi="宋体"/>
          <w:sz w:val="24"/>
          <w:szCs w:val="24"/>
        </w:rPr>
        <w:t xml:space="preserve">被保险人 ：江苏省内经国家有关部门批准依法设立的普通教育机构和</w:t>
      </w:r>
      <w:r>
        <w:rPr>
          <w:rFonts w:hint="eastAsia" w:ascii="宋体" w:hAnsi="宋体"/>
          <w:sz w:val="24"/>
          <w:szCs w:val="24"/>
        </w:rPr>
        <w:t xml:space="preserve">其他相关</w:t>
      </w:r>
      <w:r>
        <w:rPr>
          <w:rFonts w:ascii="宋体" w:hAnsi="宋体"/>
          <w:sz w:val="24"/>
          <w:szCs w:val="24"/>
        </w:rPr>
        <w:t xml:space="preserve">教育机构。</w:t>
      </w:r>
      <w:r/>
    </w:p>
    <w:p>
      <w:pPr>
        <w:ind w:firstLine="480"/>
        <w:spacing w:line="540" w:lineRule="exact"/>
        <w:rPr>
          <w:rFonts w:hint="eastAsia" w:ascii="宋体" w:hAnsi="宋体"/>
          <w:sz w:val="24"/>
          <w:szCs w:val="24"/>
        </w:rPr>
      </w:pPr>
      <w:r/>
      <w:bookmarkStart w:id="200" w:name="OLE_LINK28"/>
      <w:r/>
      <w:bookmarkStart w:id="201" w:name="OLE_LINK27"/>
      <w:r>
        <w:rPr>
          <w:rFonts w:ascii="宋体" w:hAnsi="宋体"/>
          <w:sz w:val="24"/>
          <w:szCs w:val="24"/>
        </w:rPr>
        <w:t xml:space="preserve">被保险人的学生范围包括：</w:t>
      </w:r>
      <w:r/>
    </w:p>
    <w:p>
      <w:pPr>
        <w:ind w:firstLine="480"/>
        <w:spacing w:line="540" w:lineRule="exact"/>
        <w:rPr>
          <w:rFonts w:hint="eastAsia" w:ascii="宋体" w:hAnsi="宋体"/>
          <w:sz w:val="24"/>
          <w:szCs w:val="24"/>
        </w:rPr>
      </w:pPr>
      <w:r>
        <w:rPr>
          <w:rFonts w:ascii="宋体" w:hAnsi="宋体"/>
          <w:sz w:val="24"/>
          <w:szCs w:val="24"/>
        </w:rPr>
        <w:t xml:space="preserve">（1）普通高等教育学生。普通高等教育学生系指在</w:t>
      </w:r>
      <w:r>
        <w:rPr>
          <w:rFonts w:hint="eastAsia" w:ascii="宋体" w:hAnsi="宋体"/>
          <w:sz w:val="24"/>
          <w:szCs w:val="24"/>
        </w:rPr>
        <w:t xml:space="preserve">普通高等学校、承担研究生教育任务的科学研究机构内接受普通高等学历教育的在读研究生和本科、专科（高职）学生。</w:t>
      </w:r>
      <w:bookmarkEnd w:id="200"/>
      <w:r/>
      <w:bookmarkEnd w:id="201"/>
      <w:r/>
      <w:r/>
    </w:p>
    <w:p>
      <w:pPr>
        <w:ind w:firstLine="480"/>
        <w:spacing w:line="540" w:lineRule="exact"/>
        <w:rPr>
          <w:rFonts w:hint="eastAsia" w:ascii="宋体" w:hAnsi="宋体"/>
          <w:sz w:val="24"/>
          <w:szCs w:val="24"/>
        </w:rPr>
      </w:pPr>
      <w:r>
        <w:rPr>
          <w:rFonts w:ascii="宋体" w:hAnsi="宋体"/>
          <w:sz w:val="24"/>
          <w:szCs w:val="24"/>
        </w:rPr>
        <w:t xml:space="preserve">（2）中、小学生。中、小学生系</w:t>
      </w:r>
      <w:r>
        <w:rPr>
          <w:rFonts w:hint="eastAsia" w:ascii="宋体" w:hAnsi="宋体"/>
          <w:sz w:val="24"/>
          <w:szCs w:val="24"/>
        </w:rPr>
        <w:t xml:space="preserve">指在国家或者社会力量依法举办的全日制的小学、初级中学、高级中学（含特殊教育学校、专门学校）</w:t>
      </w:r>
      <w:r>
        <w:rPr>
          <w:rFonts w:ascii="宋体" w:hAnsi="宋体"/>
          <w:sz w:val="24"/>
          <w:szCs w:val="24"/>
        </w:rPr>
        <w:t xml:space="preserve">内</w:t>
      </w:r>
      <w:r>
        <w:rPr>
          <w:rFonts w:hint="eastAsia" w:ascii="宋体" w:hAnsi="宋体"/>
          <w:sz w:val="24"/>
          <w:szCs w:val="24"/>
        </w:rPr>
        <w:t xml:space="preserve">接受教育的在籍在读学生</w:t>
      </w:r>
      <w:r>
        <w:rPr>
          <w:rFonts w:ascii="宋体" w:hAnsi="宋体"/>
          <w:sz w:val="24"/>
          <w:szCs w:val="24"/>
        </w:rPr>
        <w:t xml:space="preserve">。</w:t>
      </w:r>
      <w:r/>
    </w:p>
    <w:p>
      <w:pPr>
        <w:ind w:firstLine="480"/>
        <w:spacing w:line="540" w:lineRule="exact"/>
        <w:rPr>
          <w:rFonts w:hint="eastAsia" w:ascii="宋体" w:hAnsi="宋体"/>
          <w:sz w:val="24"/>
          <w:szCs w:val="24"/>
        </w:rPr>
      </w:pPr>
      <w:r>
        <w:rPr>
          <w:rFonts w:ascii="宋体" w:hAnsi="宋体"/>
          <w:sz w:val="24"/>
          <w:szCs w:val="24"/>
        </w:rPr>
        <w:t xml:space="preserve">（3）中等职业教育学生。中等职业教育学生系指在各类中等职业学校（包括</w:t>
      </w:r>
      <w:r>
        <w:rPr>
          <w:rFonts w:hint="eastAsia" w:ascii="宋体" w:hAnsi="宋体"/>
          <w:sz w:val="24"/>
          <w:szCs w:val="24"/>
        </w:rPr>
        <w:t xml:space="preserve">调整后中等职业学校、职业高中学校、成人中等专业学校、中等技术学校、中等师范学校</w:t>
      </w:r>
      <w:r>
        <w:rPr>
          <w:rFonts w:ascii="宋体" w:hAnsi="宋体"/>
          <w:sz w:val="24"/>
          <w:szCs w:val="24"/>
        </w:rPr>
        <w:t xml:space="preserve">、技工</w:t>
      </w:r>
      <w:r>
        <w:rPr>
          <w:rFonts w:hint="eastAsia" w:ascii="宋体" w:hAnsi="宋体"/>
          <w:sz w:val="24"/>
          <w:szCs w:val="24"/>
        </w:rPr>
        <w:t xml:space="preserve">院校</w:t>
      </w:r>
      <w:r>
        <w:rPr>
          <w:rFonts w:ascii="宋体" w:hAnsi="宋体"/>
          <w:sz w:val="24"/>
          <w:szCs w:val="24"/>
        </w:rPr>
        <w:t xml:space="preserve">及其他</w:t>
      </w:r>
      <w:r>
        <w:rPr>
          <w:rFonts w:hint="eastAsia" w:ascii="宋体" w:hAnsi="宋体"/>
          <w:sz w:val="24"/>
          <w:szCs w:val="24"/>
        </w:rPr>
        <w:t xml:space="preserve">中职</w:t>
      </w:r>
      <w:r>
        <w:rPr>
          <w:rFonts w:ascii="宋体" w:hAnsi="宋体"/>
          <w:sz w:val="24"/>
          <w:szCs w:val="24"/>
        </w:rPr>
        <w:t xml:space="preserve">机构）内接受中等职业教育</w:t>
      </w:r>
      <w:r>
        <w:rPr>
          <w:rFonts w:hint="eastAsia" w:ascii="宋体" w:hAnsi="宋体"/>
          <w:sz w:val="24"/>
          <w:szCs w:val="24"/>
        </w:rPr>
        <w:t xml:space="preserve">，并注册中等职业教育学籍</w:t>
      </w:r>
      <w:r>
        <w:rPr>
          <w:rFonts w:ascii="宋体" w:hAnsi="宋体"/>
          <w:sz w:val="24"/>
          <w:szCs w:val="24"/>
        </w:rPr>
        <w:t xml:space="preserve">的</w:t>
      </w:r>
      <w:r>
        <w:rPr>
          <w:rFonts w:hint="eastAsia" w:ascii="宋体" w:hAnsi="宋体"/>
          <w:sz w:val="24"/>
          <w:szCs w:val="24"/>
        </w:rPr>
        <w:t xml:space="preserve">在读</w:t>
      </w:r>
      <w:r>
        <w:rPr>
          <w:rFonts w:ascii="宋体" w:hAnsi="宋体"/>
          <w:sz w:val="24"/>
          <w:szCs w:val="24"/>
        </w:rPr>
        <w:t xml:space="preserve">学生。</w:t>
      </w:r>
      <w:r/>
    </w:p>
    <w:p>
      <w:pPr>
        <w:ind w:firstLine="480"/>
        <w:spacing w:line="540" w:lineRule="exact"/>
        <w:rPr>
          <w:rFonts w:hint="eastAsia" w:ascii="宋体" w:hAnsi="宋体"/>
          <w:sz w:val="24"/>
          <w:szCs w:val="24"/>
        </w:rPr>
      </w:pPr>
      <w:r>
        <w:rPr>
          <w:rFonts w:ascii="宋体" w:hAnsi="宋体"/>
          <w:sz w:val="24"/>
          <w:szCs w:val="24"/>
        </w:rPr>
        <w:t xml:space="preserve">（4）在园幼儿。在园幼儿系指在经县级以上主管部门批准设立的公、民办</w:t>
      </w:r>
      <w:r>
        <w:rPr>
          <w:rFonts w:hint="eastAsia" w:ascii="宋体" w:hAnsi="宋体"/>
          <w:sz w:val="24"/>
          <w:szCs w:val="24"/>
        </w:rPr>
        <w:t xml:space="preserve">全日</w:t>
      </w:r>
      <w:r>
        <w:rPr>
          <w:rFonts w:hint="eastAsia" w:ascii="宋体" w:hAnsi="宋体"/>
          <w:sz w:val="24"/>
          <w:szCs w:val="24"/>
        </w:rPr>
        <w:t xml:space="preserve">制</w:t>
      </w:r>
      <w:r>
        <w:rPr>
          <w:rFonts w:ascii="宋体" w:hAnsi="宋体"/>
          <w:sz w:val="24"/>
          <w:szCs w:val="24"/>
        </w:rPr>
        <w:t xml:space="preserve">幼儿园及</w:t>
      </w:r>
      <w:r>
        <w:rPr>
          <w:rFonts w:hint="eastAsia" w:ascii="宋体" w:hAnsi="宋体"/>
          <w:sz w:val="24"/>
          <w:szCs w:val="24"/>
        </w:rPr>
        <w:t xml:space="preserve">中</w:t>
      </w:r>
      <w:r>
        <w:rPr>
          <w:rFonts w:ascii="宋体" w:hAnsi="宋体"/>
          <w:sz w:val="24"/>
          <w:szCs w:val="24"/>
        </w:rPr>
        <w:t xml:space="preserve">小学附设幼儿班内接受学前教育的</w:t>
      </w:r>
      <w:r>
        <w:rPr>
          <w:rFonts w:hint="eastAsia" w:ascii="宋体" w:hAnsi="宋体"/>
          <w:sz w:val="24"/>
          <w:szCs w:val="24"/>
        </w:rPr>
        <w:t xml:space="preserve">在籍在读学生</w:t>
      </w:r>
      <w:r>
        <w:rPr>
          <w:rFonts w:ascii="宋体" w:hAnsi="宋体"/>
          <w:sz w:val="24"/>
          <w:szCs w:val="24"/>
        </w:rPr>
        <w:t xml:space="preserve">。</w:t>
      </w:r>
      <w:r/>
    </w:p>
    <w:p>
      <w:pPr>
        <w:ind w:firstLine="480"/>
        <w:spacing w:line="540" w:lineRule="exact"/>
        <w:rPr>
          <w:rFonts w:hint="eastAsia" w:ascii="宋体" w:hAnsi="宋体"/>
          <w:sz w:val="24"/>
          <w:szCs w:val="24"/>
        </w:rPr>
      </w:pPr>
      <w:r>
        <w:rPr>
          <w:rFonts w:ascii="宋体" w:hAnsi="宋体"/>
          <w:sz w:val="24"/>
          <w:szCs w:val="24"/>
        </w:rPr>
        <w:t xml:space="preserve">在校人数 ：2025年预计人数约1550万人</w:t>
      </w:r>
      <w:r>
        <w:rPr>
          <w:rFonts w:hint="eastAsia" w:ascii="宋体" w:hAnsi="宋体"/>
          <w:sz w:val="24"/>
          <w:szCs w:val="24"/>
        </w:rPr>
        <w:t xml:space="preserve">（投标总报价</w:t>
      </w:r>
      <w:r>
        <w:rPr>
          <w:rFonts w:hint="eastAsia" w:ascii="宋体" w:hAnsi="宋体"/>
          <w:sz w:val="24"/>
          <w:szCs w:val="24"/>
        </w:rPr>
        <w:t xml:space="preserve">须按1550万人报价</w:t>
      </w:r>
      <w:r>
        <w:rPr>
          <w:rFonts w:hint="eastAsia" w:ascii="宋体" w:hAnsi="宋体"/>
          <w:sz w:val="24"/>
          <w:szCs w:val="24"/>
        </w:rPr>
        <w:t xml:space="preserve">）</w:t>
      </w:r>
      <w:r/>
    </w:p>
    <w:p>
      <w:pPr>
        <w:ind w:firstLine="480"/>
        <w:spacing w:line="540" w:lineRule="exact"/>
        <w:rPr>
          <w:rFonts w:hint="eastAsia" w:ascii="宋体" w:hAnsi="宋体"/>
          <w:sz w:val="24"/>
          <w:szCs w:val="24"/>
        </w:rPr>
      </w:pPr>
      <w:r>
        <w:rPr>
          <w:rFonts w:ascii="宋体" w:hAnsi="宋体"/>
          <w:sz w:val="24"/>
          <w:szCs w:val="24"/>
        </w:rPr>
        <w:t xml:space="preserve">保险期限 ：为2025年9月1日零时起至2028年8月31日24时止（第12个月末根据约定进行保费调整），按学年签订保单。</w:t>
      </w:r>
      <w:r/>
    </w:p>
    <w:p>
      <w:pPr>
        <w:ind w:firstLine="480"/>
        <w:spacing w:line="540" w:lineRule="exact"/>
        <w:rPr>
          <w:rFonts w:hint="eastAsia" w:ascii="宋体" w:hAnsi="宋体"/>
          <w:sz w:val="24"/>
          <w:szCs w:val="24"/>
        </w:rPr>
      </w:pPr>
      <w:r>
        <w:rPr>
          <w:rFonts w:ascii="宋体" w:hAnsi="宋体"/>
          <w:sz w:val="24"/>
          <w:szCs w:val="24"/>
        </w:rPr>
        <w:t xml:space="preserve">计算单位 ：人民币元</w:t>
      </w:r>
      <w:r/>
    </w:p>
    <w:p>
      <w:pPr>
        <w:ind w:firstLine="480"/>
        <w:spacing w:line="540" w:lineRule="exact"/>
        <w:rPr>
          <w:rFonts w:hint="eastAsia" w:ascii="宋体" w:hAnsi="宋体"/>
          <w:sz w:val="24"/>
          <w:szCs w:val="24"/>
        </w:rPr>
      </w:pPr>
      <w:r>
        <w:rPr>
          <w:rFonts w:ascii="宋体" w:hAnsi="宋体"/>
          <w:sz w:val="24"/>
          <w:szCs w:val="24"/>
        </w:rPr>
        <w:t xml:space="preserve">地域范围 ：中华人民共和国境内</w:t>
      </w:r>
      <w:r/>
    </w:p>
    <w:p>
      <w:pPr>
        <w:ind w:firstLine="480"/>
        <w:spacing w:line="540" w:lineRule="exact"/>
        <w:rPr>
          <w:rFonts w:hint="eastAsia" w:ascii="宋体" w:hAnsi="宋体"/>
          <w:sz w:val="24"/>
          <w:szCs w:val="24"/>
        </w:rPr>
      </w:pPr>
      <w:r>
        <w:rPr>
          <w:rFonts w:ascii="宋体" w:hAnsi="宋体"/>
          <w:sz w:val="24"/>
          <w:szCs w:val="24"/>
        </w:rPr>
        <w:t xml:space="preserve">司法管辖 ：本保险单受中华人民共和国司法管辖。（不含香港、澳门、台湾）</w:t>
      </w:r>
      <w:r/>
    </w:p>
    <w:p>
      <w:pPr>
        <w:ind w:firstLine="480"/>
        <w:spacing w:line="360" w:lineRule="auto"/>
        <w:rPr>
          <w:rFonts w:hint="eastAsia" w:ascii="宋体" w:hAnsi="宋体"/>
          <w:bCs/>
          <w:sz w:val="24"/>
          <w:szCs w:val="24"/>
        </w:rPr>
      </w:pPr>
      <w:r/>
      <w:bookmarkStart w:id="202" w:name="OLE_LINK23"/>
      <w:r/>
      <w:bookmarkStart w:id="203" w:name="OLE_LINK24"/>
      <w:r>
        <w:rPr>
          <w:rFonts w:hint="eastAsia" w:ascii="宋体" w:hAnsi="宋体"/>
          <w:bCs/>
          <w:sz w:val="24"/>
          <w:szCs w:val="24"/>
        </w:rPr>
        <w:t xml:space="preserve">结算方式：</w:t>
      </w:r>
      <w:r/>
    </w:p>
    <w:p>
      <w:pPr>
        <w:ind w:firstLine="480"/>
        <w:spacing w:line="360" w:lineRule="auto"/>
        <w:rPr>
          <w:rFonts w:hint="eastAsia" w:ascii="宋体" w:hAnsi="宋体"/>
          <w:bCs/>
          <w:sz w:val="24"/>
          <w:szCs w:val="24"/>
        </w:rPr>
      </w:pPr>
      <w:r>
        <w:rPr>
          <w:rFonts w:hint="eastAsia" w:ascii="宋体" w:hAnsi="宋体"/>
          <w:bCs/>
          <w:sz w:val="24"/>
          <w:szCs w:val="24"/>
        </w:rPr>
        <w:t xml:space="preserve">1、本合同及乙方与被保险人签订的保险单均以人民币结算。</w:t>
      </w:r>
      <w:r/>
    </w:p>
    <w:p>
      <w:pPr>
        <w:ind w:firstLine="480"/>
        <w:spacing w:line="360" w:lineRule="auto"/>
        <w:rPr>
          <w:rFonts w:hint="eastAsia" w:ascii="宋体" w:hAnsi="宋体"/>
          <w:bCs/>
          <w:sz w:val="24"/>
          <w:szCs w:val="24"/>
        </w:rPr>
      </w:pPr>
      <w:r>
        <w:rPr>
          <w:rFonts w:hint="eastAsia" w:ascii="宋体" w:hAnsi="宋体"/>
          <w:bCs/>
          <w:sz w:val="24"/>
          <w:szCs w:val="24"/>
        </w:rPr>
        <w:t xml:space="preserve">2、按年度支付，即在每学年保单出具后的20个工作日内预付50%的保险费，次年3月底乙方按甲方要求提供合同履约情况书面报告及相关数据报表，甲</w:t>
      </w:r>
      <w:bookmarkStart w:id="204" w:name="OLE_LINK3"/>
      <w:r>
        <w:rPr>
          <w:rFonts w:hint="eastAsia" w:ascii="宋体" w:hAnsi="宋体"/>
          <w:bCs/>
          <w:sz w:val="24"/>
          <w:szCs w:val="24"/>
        </w:rPr>
        <w:t xml:space="preserve">方自收到上述材料且确认乙方完全履约的前提下20个工作日内支付剩余保费</w:t>
      </w:r>
      <w:bookmarkEnd w:id="204"/>
      <w:r>
        <w:rPr>
          <w:rFonts w:hint="eastAsia" w:ascii="宋体" w:hAnsi="宋体"/>
          <w:bCs/>
          <w:sz w:val="24"/>
          <w:szCs w:val="24"/>
        </w:rPr>
        <w:t xml:space="preserve">。</w:t>
      </w:r>
      <w:r/>
    </w:p>
    <w:p>
      <w:pPr>
        <w:ind w:firstLine="480"/>
        <w:spacing w:line="360" w:lineRule="auto"/>
      </w:pPr>
      <w:r>
        <w:rPr>
          <w:rFonts w:hint="eastAsia" w:ascii="宋体" w:hAnsi="宋体"/>
          <w:sz w:val="24"/>
          <w:szCs w:val="24"/>
        </w:rPr>
        <w:t xml:space="preserve">保险责任 ：</w:t>
      </w:r>
      <w:r/>
    </w:p>
    <w:p>
      <w:pPr>
        <w:ind w:firstLine="480"/>
        <w:spacing w:line="360" w:lineRule="auto"/>
        <w:rPr>
          <w:rFonts w:hint="eastAsia" w:ascii="宋体" w:hAnsi="宋体"/>
          <w:sz w:val="24"/>
          <w:szCs w:val="24"/>
        </w:rPr>
      </w:pPr>
      <w:r>
        <w:rPr>
          <w:rFonts w:hint="eastAsia" w:ascii="宋体" w:hAnsi="宋体"/>
          <w:sz w:val="24"/>
          <w:szCs w:val="24"/>
        </w:rPr>
        <w:t xml:space="preserve">1、根据《江苏省中小学生人身伤害事故预防与处理条例》、教育部《学生伤害事故处理办法》等法律法规确定的，应由学校承担或分摊的学生损害赔偿责任，包括可能的连带责任，均在本保单责任范围。</w:t>
      </w:r>
      <w:r/>
    </w:p>
    <w:p>
      <w:pPr>
        <w:ind w:firstLine="480"/>
        <w:spacing w:line="360" w:lineRule="auto"/>
        <w:rPr>
          <w:rFonts w:hint="eastAsia" w:ascii="宋体" w:hAnsi="宋体"/>
          <w:sz w:val="24"/>
          <w:szCs w:val="24"/>
        </w:rPr>
      </w:pPr>
      <w:r>
        <w:rPr>
          <w:rFonts w:hint="eastAsia" w:ascii="宋体" w:hAnsi="宋体"/>
          <w:sz w:val="24"/>
          <w:szCs w:val="24"/>
        </w:rPr>
        <w:t xml:space="preserve">2、发生学生人身伤亡事故，被保险人事先经保险人书面同意支付的诉讼费用及其他必要合理的费用，保险人在每人赔偿限额内负责赔偿。</w:t>
      </w:r>
      <w:r/>
    </w:p>
    <w:p>
      <w:pPr>
        <w:ind w:firstLine="480"/>
        <w:spacing w:line="360" w:lineRule="auto"/>
        <w:rPr>
          <w:rFonts w:hint="eastAsia" w:ascii="宋体" w:hAnsi="宋体"/>
          <w:sz w:val="24"/>
          <w:szCs w:val="24"/>
        </w:rPr>
      </w:pPr>
      <w:r>
        <w:rPr>
          <w:rFonts w:hint="eastAsia" w:ascii="宋体" w:hAnsi="宋体"/>
          <w:sz w:val="24"/>
          <w:szCs w:val="24"/>
        </w:rPr>
        <w:t xml:space="preserve">责任免除：</w:t>
      </w:r>
      <w:r/>
    </w:p>
    <w:p>
      <w:pPr>
        <w:ind w:firstLine="480"/>
        <w:spacing w:line="360" w:lineRule="auto"/>
        <w:rPr>
          <w:rFonts w:hint="eastAsia" w:ascii="宋体" w:hAnsi="宋体"/>
          <w:sz w:val="24"/>
          <w:szCs w:val="24"/>
        </w:rPr>
      </w:pPr>
      <w:r>
        <w:rPr>
          <w:rFonts w:hint="eastAsia" w:ascii="宋体" w:hAnsi="宋体"/>
          <w:sz w:val="24"/>
          <w:szCs w:val="24"/>
        </w:rPr>
        <w:t xml:space="preserve">除因与学生伤害事故关联的有关衣物、学习用品以外的金银、首饰、珠宝、文物、软件、数据、现金、信用卡、票据、单证、有价证券、文件、帐册、技术资料及其他不易鉴定价值财产的丢失和损坏。</w:t>
      </w:r>
      <w:r/>
    </w:p>
    <w:p>
      <w:pPr>
        <w:ind w:firstLine="480"/>
        <w:spacing w:line="540" w:lineRule="exact"/>
        <w:rPr>
          <w:rFonts w:hint="eastAsia" w:ascii="宋体" w:hAnsi="宋体"/>
          <w:sz w:val="24"/>
          <w:szCs w:val="24"/>
        </w:rPr>
      </w:pPr>
      <w:r>
        <w:rPr>
          <w:rFonts w:ascii="宋体" w:hAnsi="宋体"/>
          <w:sz w:val="24"/>
          <w:szCs w:val="24"/>
        </w:rPr>
        <w:t xml:space="preserve">赔偿限额 ：</w:t>
      </w:r>
      <w:r/>
    </w:p>
    <w:p>
      <w:pPr>
        <w:ind w:firstLine="480"/>
        <w:spacing w:line="540" w:lineRule="exact"/>
        <w:rPr>
          <w:rFonts w:hint="eastAsia" w:ascii="宋体" w:hAnsi="宋体"/>
          <w:sz w:val="24"/>
          <w:szCs w:val="24"/>
        </w:rPr>
      </w:pPr>
      <w:r>
        <w:rPr>
          <w:rFonts w:hint="eastAsia" w:ascii="宋体" w:hAnsi="宋体"/>
          <w:sz w:val="24"/>
          <w:szCs w:val="24"/>
        </w:rPr>
        <w:t xml:space="preserve">1、基本限额：</w:t>
      </w:r>
      <w:r/>
    </w:p>
    <w:p>
      <w:pPr>
        <w:ind w:firstLine="480"/>
        <w:spacing w:line="540" w:lineRule="exact"/>
        <w:rPr>
          <w:rFonts w:hint="eastAsia" w:ascii="宋体" w:hAnsi="宋体"/>
          <w:sz w:val="24"/>
          <w:szCs w:val="24"/>
        </w:rPr>
      </w:pPr>
      <w:r>
        <w:rPr>
          <w:rFonts w:hint="eastAsia" w:ascii="宋体" w:hAnsi="宋体"/>
          <w:sz w:val="24"/>
          <w:szCs w:val="24"/>
        </w:rPr>
        <w:t xml:space="preserve">（1）人身伤害每人责任限额： 100万元；</w:t>
      </w:r>
      <w:r/>
    </w:p>
    <w:p>
      <w:pPr>
        <w:ind w:firstLine="480"/>
        <w:spacing w:line="540" w:lineRule="exact"/>
        <w:rPr>
          <w:rFonts w:hint="eastAsia" w:ascii="宋体" w:hAnsi="宋体"/>
          <w:sz w:val="24"/>
          <w:szCs w:val="24"/>
        </w:rPr>
      </w:pPr>
      <w:r>
        <w:rPr>
          <w:rFonts w:hint="eastAsia" w:ascii="宋体" w:hAnsi="宋体"/>
          <w:sz w:val="24"/>
          <w:szCs w:val="24"/>
        </w:rPr>
        <w:t xml:space="preserve">其中：医疗费用每人责任限额：10万元；</w:t>
      </w:r>
      <w:r/>
    </w:p>
    <w:p>
      <w:pPr>
        <w:ind w:firstLine="480"/>
        <w:spacing w:line="540" w:lineRule="exact"/>
        <w:rPr>
          <w:rFonts w:hint="eastAsia" w:ascii="宋体" w:hAnsi="宋体"/>
          <w:sz w:val="24"/>
          <w:szCs w:val="24"/>
        </w:rPr>
      </w:pPr>
      <w:r>
        <w:rPr>
          <w:rFonts w:hint="eastAsia" w:ascii="宋体" w:hAnsi="宋体"/>
          <w:sz w:val="24"/>
          <w:szCs w:val="24"/>
        </w:rPr>
        <w:t xml:space="preserve">个人财产每人每次事故责任限额： 1万元；</w:t>
      </w:r>
      <w:r/>
    </w:p>
    <w:p>
      <w:pPr>
        <w:ind w:firstLine="480"/>
        <w:spacing w:line="540" w:lineRule="exact"/>
        <w:rPr>
          <w:rFonts w:hint="eastAsia" w:ascii="宋体" w:hAnsi="宋体"/>
          <w:sz w:val="24"/>
          <w:szCs w:val="24"/>
        </w:rPr>
      </w:pPr>
      <w:r>
        <w:rPr>
          <w:rFonts w:hint="eastAsia" w:ascii="宋体" w:hAnsi="宋体"/>
          <w:sz w:val="24"/>
          <w:szCs w:val="24"/>
        </w:rPr>
        <w:t xml:space="preserve">个人财产学校累计责任限额：5万元；</w:t>
      </w:r>
      <w:r/>
    </w:p>
    <w:p>
      <w:pPr>
        <w:ind w:firstLine="480"/>
        <w:spacing w:line="540" w:lineRule="exact"/>
        <w:rPr>
          <w:rFonts w:hint="eastAsia" w:ascii="宋体" w:hAnsi="宋体"/>
          <w:sz w:val="24"/>
          <w:szCs w:val="24"/>
        </w:rPr>
      </w:pPr>
      <w:r>
        <w:rPr>
          <w:rFonts w:hint="eastAsia" w:ascii="宋体" w:hAnsi="宋体"/>
          <w:sz w:val="24"/>
          <w:szCs w:val="24"/>
        </w:rPr>
        <w:t xml:space="preserve">（2）每所学校累计责任限额：1300万元；</w:t>
      </w:r>
      <w:r/>
    </w:p>
    <w:p>
      <w:pPr>
        <w:ind w:firstLine="480"/>
        <w:spacing w:line="540" w:lineRule="exact"/>
        <w:rPr>
          <w:rFonts w:hint="eastAsia" w:ascii="宋体" w:hAnsi="宋体"/>
          <w:sz w:val="24"/>
          <w:szCs w:val="24"/>
        </w:rPr>
      </w:pPr>
      <w:r>
        <w:rPr>
          <w:rFonts w:hint="eastAsia" w:ascii="宋体" w:hAnsi="宋体"/>
          <w:sz w:val="24"/>
          <w:szCs w:val="24"/>
        </w:rPr>
        <w:t xml:space="preserve">2、公共保障：</w:t>
      </w:r>
      <w:r/>
    </w:p>
    <w:p>
      <w:pPr>
        <w:ind w:firstLine="480"/>
        <w:spacing w:line="540" w:lineRule="exact"/>
        <w:rPr>
          <w:rFonts w:hint="eastAsia" w:ascii="宋体" w:hAnsi="宋体"/>
          <w:sz w:val="24"/>
          <w:szCs w:val="24"/>
        </w:rPr>
      </w:pPr>
      <w:r>
        <w:rPr>
          <w:rFonts w:hint="eastAsia" w:ascii="宋体" w:hAnsi="宋体"/>
          <w:sz w:val="24"/>
          <w:szCs w:val="24"/>
        </w:rPr>
        <w:t xml:space="preserve">人身伤亡（含医疗费用）每人责任限额：400万元；</w:t>
      </w:r>
      <w:r/>
    </w:p>
    <w:p>
      <w:pPr>
        <w:ind w:firstLine="480"/>
        <w:spacing w:line="540" w:lineRule="exact"/>
        <w:rPr>
          <w:rFonts w:hint="eastAsia" w:ascii="宋体" w:hAnsi="宋体"/>
          <w:sz w:val="24"/>
          <w:szCs w:val="24"/>
        </w:rPr>
      </w:pPr>
      <w:r>
        <w:rPr>
          <w:rFonts w:hint="eastAsia" w:ascii="宋体" w:hAnsi="宋体"/>
          <w:sz w:val="24"/>
          <w:szCs w:val="24"/>
        </w:rPr>
        <w:t xml:space="preserve">特殊案件：每次事故责任限额100万元</w:t>
      </w:r>
      <w:r/>
    </w:p>
    <w:p>
      <w:pPr>
        <w:ind w:firstLine="480"/>
        <w:spacing w:line="540" w:lineRule="exact"/>
        <w:rPr>
          <w:rFonts w:hint="eastAsia" w:ascii="宋体" w:hAnsi="宋体"/>
          <w:sz w:val="24"/>
          <w:szCs w:val="24"/>
        </w:rPr>
      </w:pPr>
      <w:r>
        <w:rPr>
          <w:rFonts w:hint="eastAsia" w:ascii="宋体" w:hAnsi="宋体"/>
          <w:sz w:val="24"/>
          <w:szCs w:val="24"/>
        </w:rPr>
        <w:t xml:space="preserve">全省累计责任限额：1700万元；</w:t>
      </w:r>
      <w:r/>
    </w:p>
    <w:p>
      <w:pPr>
        <w:ind w:firstLine="480"/>
        <w:spacing w:line="540" w:lineRule="exact"/>
        <w:rPr>
          <w:rFonts w:hint="eastAsia" w:ascii="宋体" w:hAnsi="宋体"/>
          <w:sz w:val="24"/>
          <w:szCs w:val="24"/>
        </w:rPr>
      </w:pPr>
      <w:r>
        <w:rPr>
          <w:rFonts w:hint="eastAsia" w:ascii="宋体" w:hAnsi="宋体"/>
          <w:sz w:val="24"/>
          <w:szCs w:val="24"/>
        </w:rPr>
        <w:t xml:space="preserve">免 赔 额 ：人身伤亡：无</w:t>
      </w:r>
      <w:r/>
    </w:p>
    <w:p>
      <w:pPr>
        <w:ind w:firstLine="480"/>
        <w:spacing w:line="540" w:lineRule="exact"/>
        <w:rPr>
          <w:rFonts w:hint="eastAsia"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医疗费用：免赔额</w:t>
      </w:r>
      <w:r>
        <w:rPr>
          <w:rFonts w:ascii="宋体" w:hAnsi="宋体"/>
          <w:sz w:val="24"/>
          <w:szCs w:val="24"/>
        </w:rPr>
        <w:t xml:space="preserve">2</w:t>
      </w:r>
      <w:r>
        <w:rPr>
          <w:rFonts w:hint="eastAsia" w:ascii="宋体" w:hAnsi="宋体"/>
          <w:sz w:val="24"/>
          <w:szCs w:val="24"/>
        </w:rPr>
        <w:t xml:space="preserve">00元</w:t>
      </w:r>
      <w:bookmarkEnd w:id="202"/>
      <w:r/>
      <w:bookmarkEnd w:id="203"/>
      <w:r/>
      <w:r/>
    </w:p>
    <w:p>
      <w:pPr>
        <w:ind w:firstLine="472"/>
        <w:spacing w:after="72" w:line="540" w:lineRule="exact"/>
        <w:rPr>
          <w:rFonts w:hint="eastAsia" w:ascii="宋体" w:hAnsi="宋体"/>
          <w:b/>
          <w:sz w:val="24"/>
          <w:szCs w:val="24"/>
        </w:rPr>
      </w:pPr>
      <w:r>
        <w:rPr>
          <w:rFonts w:ascii="宋体" w:hAnsi="宋体"/>
          <w:b/>
          <w:sz w:val="24"/>
          <w:szCs w:val="24"/>
        </w:rPr>
        <w:t xml:space="preserve">二、主条款</w:t>
      </w:r>
      <w:r/>
    </w:p>
    <w:p>
      <w:pPr>
        <w:ind w:firstLine="480"/>
        <w:spacing w:line="480" w:lineRule="exact"/>
        <w:rPr>
          <w:rFonts w:hint="eastAsia" w:ascii="宋体" w:hAnsi="宋体"/>
          <w:sz w:val="24"/>
          <w:szCs w:val="24"/>
        </w:rPr>
      </w:pPr>
      <w:r>
        <w:rPr>
          <w:rFonts w:ascii="宋体" w:hAnsi="宋体"/>
          <w:sz w:val="24"/>
          <w:szCs w:val="24"/>
        </w:rPr>
        <w:t xml:space="preserve">主条款以首席承保公司的保险条款为准。</w:t>
      </w:r>
      <w:r/>
    </w:p>
    <w:p>
      <w:pPr>
        <w:ind w:firstLine="472"/>
        <w:spacing w:after="72" w:line="540" w:lineRule="exact"/>
        <w:rPr>
          <w:rFonts w:hint="eastAsia" w:ascii="宋体" w:hAnsi="宋体"/>
          <w:b/>
          <w:sz w:val="24"/>
          <w:szCs w:val="24"/>
        </w:rPr>
      </w:pPr>
      <w:r>
        <w:rPr>
          <w:rFonts w:ascii="宋体" w:hAnsi="宋体"/>
          <w:b/>
          <w:sz w:val="24"/>
          <w:szCs w:val="24"/>
        </w:rPr>
        <w:t xml:space="preserve">三、特别约定</w:t>
      </w:r>
      <w:r/>
    </w:p>
    <w:p>
      <w:pPr>
        <w:ind w:firstLine="480"/>
        <w:spacing w:line="480" w:lineRule="exact"/>
        <w:rPr>
          <w:rFonts w:hint="eastAsia" w:ascii="宋体" w:hAnsi="宋体"/>
          <w:sz w:val="24"/>
          <w:szCs w:val="24"/>
        </w:rPr>
      </w:pPr>
      <w:r>
        <w:rPr>
          <w:rFonts w:hint="eastAsia" w:ascii="宋体" w:hAnsi="宋体"/>
          <w:sz w:val="24"/>
          <w:szCs w:val="24"/>
        </w:rPr>
        <w:t xml:space="preserve">1、公共保障使用特别约定</w:t>
      </w:r>
      <w:r/>
    </w:p>
    <w:p>
      <w:pPr>
        <w:ind w:firstLine="480"/>
        <w:spacing w:line="480" w:lineRule="exact"/>
        <w:rPr>
          <w:rFonts w:hint="eastAsia" w:ascii="宋体" w:hAnsi="宋体"/>
          <w:sz w:val="24"/>
          <w:szCs w:val="24"/>
        </w:rPr>
      </w:pPr>
      <w:r>
        <w:rPr>
          <w:rFonts w:hint="eastAsia" w:ascii="宋体" w:hAnsi="宋体"/>
          <w:sz w:val="24"/>
          <w:szCs w:val="24"/>
        </w:rPr>
        <w:t xml:space="preserve">兹经双方同意，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省级教育主管部门认定的案件）</w:t>
      </w:r>
      <w:r/>
    </w:p>
    <w:p>
      <w:pPr>
        <w:ind w:firstLine="480"/>
        <w:spacing w:line="480" w:lineRule="exact"/>
        <w:rPr>
          <w:rFonts w:hint="eastAsia" w:ascii="宋体" w:hAnsi="宋体"/>
          <w:sz w:val="24"/>
          <w:szCs w:val="24"/>
        </w:rPr>
      </w:pPr>
      <w:r>
        <w:rPr>
          <w:rFonts w:hint="eastAsia" w:ascii="宋体" w:hAnsi="宋体"/>
          <w:sz w:val="24"/>
          <w:szCs w:val="24"/>
        </w:rPr>
        <w:t xml:space="preserve">2、关于保密的特别约定</w:t>
      </w:r>
      <w:r/>
    </w:p>
    <w:p>
      <w:pPr>
        <w:ind w:firstLine="480"/>
        <w:spacing w:line="480" w:lineRule="exact"/>
        <w:rPr>
          <w:rFonts w:hint="eastAsia" w:ascii="宋体" w:hAnsi="宋体"/>
          <w:sz w:val="24"/>
          <w:szCs w:val="24"/>
        </w:rPr>
      </w:pPr>
      <w:r>
        <w:rPr>
          <w:rFonts w:hint="eastAsia" w:ascii="宋体" w:hAnsi="宋体"/>
          <w:sz w:val="24"/>
          <w:szCs w:val="24"/>
        </w:rPr>
        <w:t xml:space="preserve">兹经双方同意，保险人在处理相关事故时必须保密，非经被保险人同意，不得向任何媒体、社会等公众披露事故的原因、责任、赔偿金额、包括未成年人隐私等与赔偿相关的信息。保险人必须根据事故的实际情况，客观定损定责，不得威胁被保险人向上级报告来影响赔付。</w:t>
      </w:r>
      <w:r/>
    </w:p>
    <w:p>
      <w:pPr>
        <w:ind w:firstLine="472"/>
        <w:spacing w:after="72" w:line="360" w:lineRule="auto"/>
        <w:rPr>
          <w:rFonts w:hint="eastAsia" w:ascii="宋体" w:hAnsi="宋体"/>
          <w:b/>
          <w:sz w:val="24"/>
          <w:szCs w:val="24"/>
        </w:rPr>
      </w:pPr>
      <w:r>
        <w:rPr>
          <w:rFonts w:hint="eastAsia" w:ascii="宋体" w:hAnsi="宋体"/>
          <w:b/>
          <w:sz w:val="24"/>
          <w:szCs w:val="24"/>
        </w:rPr>
        <w:t xml:space="preserve">四、扩展条款</w:t>
      </w:r>
      <w:r/>
    </w:p>
    <w:p>
      <w:pPr>
        <w:ind w:firstLine="480"/>
        <w:spacing w:line="480" w:lineRule="exact"/>
        <w:rPr>
          <w:rFonts w:hint="eastAsia" w:ascii="宋体" w:hAnsi="宋体"/>
          <w:sz w:val="24"/>
          <w:szCs w:val="24"/>
        </w:rPr>
      </w:pPr>
      <w:r>
        <w:rPr>
          <w:rFonts w:hint="eastAsia" w:ascii="宋体" w:hAnsi="宋体"/>
          <w:sz w:val="24"/>
          <w:szCs w:val="24"/>
        </w:rPr>
        <w:t xml:space="preserve">1、错误与遗漏条款</w:t>
      </w:r>
      <w:r/>
    </w:p>
    <w:p>
      <w:pPr>
        <w:ind w:firstLine="480"/>
        <w:spacing w:line="480" w:lineRule="exact"/>
        <w:rPr>
          <w:rFonts w:hint="eastAsia" w:ascii="宋体" w:hAnsi="宋体"/>
          <w:sz w:val="24"/>
          <w:szCs w:val="24"/>
        </w:rPr>
      </w:pPr>
      <w:r>
        <w:rPr>
          <w:rFonts w:hint="eastAsia" w:ascii="宋体" w:hAnsi="宋体"/>
          <w:sz w:val="24"/>
          <w:szCs w:val="24"/>
        </w:rPr>
        <w:t xml:space="preserve">本保险项下的赔偿责任不因被保险人非故意的疏忽或过失而延迟或遗漏向保险公司申报有关情况及变更而受拒付,但被保险人一旦明白其疏忽或遗漏应立即向保险公</w:t>
      </w:r>
      <w:r>
        <w:rPr>
          <w:rFonts w:hint="eastAsia" w:ascii="宋体" w:hAnsi="宋体"/>
          <w:sz w:val="24"/>
          <w:szCs w:val="24"/>
        </w:rPr>
        <w:t xml:space="preserve">司申报上述情况。</w:t>
      </w:r>
      <w:r/>
    </w:p>
    <w:p>
      <w:pPr>
        <w:ind w:firstLine="480"/>
        <w:spacing w:line="360" w:lineRule="auto"/>
        <w:rPr>
          <w:rFonts w:hint="eastAsia" w:ascii="宋体" w:hAnsi="宋体"/>
          <w:sz w:val="24"/>
          <w:szCs w:val="24"/>
        </w:rPr>
      </w:pPr>
      <w:r>
        <w:rPr>
          <w:rFonts w:hint="eastAsia" w:ascii="宋体" w:hAnsi="宋体"/>
          <w:sz w:val="24"/>
          <w:szCs w:val="24"/>
        </w:rPr>
        <w:t xml:space="preserve">2、违反义务特别约定条款</w:t>
      </w:r>
      <w:r/>
    </w:p>
    <w:p>
      <w:pPr>
        <w:ind w:firstLine="480"/>
        <w:spacing w:line="360" w:lineRule="auto"/>
        <w:rPr>
          <w:rFonts w:hint="eastAsia" w:ascii="宋体" w:hAnsi="宋体"/>
          <w:sz w:val="24"/>
          <w:szCs w:val="24"/>
        </w:rPr>
      </w:pPr>
      <w:r>
        <w:rPr>
          <w:rFonts w:hint="eastAsia" w:ascii="宋体" w:hAnsi="宋体"/>
          <w:sz w:val="24"/>
          <w:szCs w:val="24"/>
        </w:rPr>
        <w:t xml:space="preserve">兹经双方同意，本保险单的条件和保证将分别适用于每一承保风险，而非共同适用于所有承保风险。因此，对某些条件和保证的违反仅使该违反所适用风险的那一部分保障失效，不影响有关其它风险保障的有效性。</w:t>
      </w:r>
      <w:r/>
    </w:p>
    <w:p>
      <w:pPr>
        <w:ind w:firstLine="480"/>
        <w:spacing w:line="360" w:lineRule="auto"/>
        <w:rPr>
          <w:rFonts w:hint="eastAsia" w:ascii="宋体" w:hAnsi="宋体"/>
          <w:sz w:val="24"/>
          <w:szCs w:val="24"/>
        </w:rPr>
      </w:pPr>
      <w:r>
        <w:rPr>
          <w:rFonts w:hint="eastAsia" w:ascii="宋体" w:hAnsi="宋体"/>
          <w:sz w:val="24"/>
          <w:szCs w:val="24"/>
        </w:rPr>
        <w:t xml:space="preserve">3、不可注销责任保险条款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兹经双方同意，保险人在保险期限内不可以注销本保险单，投保人无故也不得提出退保申请，但如保险人不能履行标书及保单中的各项承诺，投保人随时可以注销保单并要求按日比例退还保险费，并按照合同追究保险人违约责任。</w:t>
      </w:r>
      <w:r/>
    </w:p>
    <w:p>
      <w:pPr>
        <w:ind w:firstLine="480"/>
        <w:spacing w:line="360" w:lineRule="auto"/>
        <w:rPr>
          <w:rFonts w:hint="eastAsia" w:ascii="宋体" w:hAnsi="宋体"/>
          <w:sz w:val="24"/>
          <w:szCs w:val="24"/>
        </w:rPr>
      </w:pPr>
      <w:r>
        <w:rPr>
          <w:rFonts w:hint="eastAsia" w:ascii="宋体" w:hAnsi="宋体"/>
          <w:sz w:val="24"/>
          <w:szCs w:val="24"/>
        </w:rPr>
        <w:t xml:space="preserve">4、时间调整责任保险条款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兹经双方同意，本保险单项下被保险人在连续72小时内遭受人身伤害应视为一次单独事件，并因此构成一次意外事故而扣除规定的免赔额。被保险人可自行决定72小时期限的起始时间，但若在连续数个72小时期限时间内发生损失，任何两个或两个以上72小时期限不得重叠。</w:t>
      </w:r>
      <w:r/>
    </w:p>
    <w:p>
      <w:pPr>
        <w:ind w:firstLine="480"/>
        <w:spacing w:line="360" w:lineRule="auto"/>
        <w:rPr>
          <w:rFonts w:hint="eastAsia" w:ascii="宋体" w:hAnsi="宋体"/>
          <w:sz w:val="24"/>
          <w:szCs w:val="24"/>
        </w:rPr>
      </w:pPr>
      <w:r>
        <w:rPr>
          <w:rFonts w:hint="eastAsia" w:ascii="宋体" w:hAnsi="宋体"/>
          <w:sz w:val="24"/>
          <w:szCs w:val="24"/>
        </w:rPr>
        <w:t xml:space="preserve">5、扩展海外活动责任保险条款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兹经双方同意，本保险保障区域扩展为世界范围，即对于由被保险人组织的海外活动（如海外学习、比赛、学术交流）也予以承保。</w:t>
      </w:r>
      <w:r/>
    </w:p>
    <w:p>
      <w:pPr>
        <w:ind w:firstLine="480"/>
        <w:spacing w:line="360" w:lineRule="auto"/>
        <w:rPr>
          <w:rFonts w:hint="eastAsia" w:ascii="宋体" w:hAnsi="宋体"/>
          <w:sz w:val="24"/>
          <w:szCs w:val="24"/>
        </w:rPr>
      </w:pPr>
      <w:r>
        <w:rPr>
          <w:rFonts w:hint="eastAsia" w:ascii="宋体" w:hAnsi="宋体"/>
          <w:sz w:val="24"/>
          <w:szCs w:val="24"/>
        </w:rPr>
        <w:t xml:space="preserve">6、扩展罢工、暴乱、民众骚动及恶意破坏条款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0"/>
        <w:spacing w:line="360" w:lineRule="auto"/>
        <w:rPr>
          <w:rFonts w:hint="eastAsia" w:ascii="宋体" w:hAnsi="宋体"/>
          <w:sz w:val="24"/>
          <w:szCs w:val="24"/>
        </w:rPr>
      </w:pPr>
      <w:r>
        <w:rPr>
          <w:rFonts w:hint="eastAsia" w:ascii="宋体" w:hAnsi="宋体"/>
          <w:sz w:val="24"/>
          <w:szCs w:val="24"/>
        </w:rPr>
        <w:t xml:space="preserve">7、扩展承保校际交流学生或实习生责任保险条款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对于被保险人与外地或境外的学校进行的校际交流活动或实习活动的交流学生或实习生，在江苏省地域范围内发生的人身伤亡，依法应由被保险人承担的经济赔偿责任，参照本保险承保的注册学生予以扩展承保。</w:t>
      </w:r>
      <w:r/>
    </w:p>
    <w:p>
      <w:pPr>
        <w:ind w:firstLine="480"/>
        <w:spacing w:line="360" w:lineRule="auto"/>
        <w:rPr>
          <w:rFonts w:hint="eastAsia" w:ascii="宋体" w:hAnsi="宋体"/>
          <w:sz w:val="24"/>
          <w:szCs w:val="24"/>
        </w:rPr>
      </w:pPr>
      <w:r>
        <w:rPr>
          <w:rFonts w:hint="eastAsia" w:ascii="宋体" w:hAnsi="宋体"/>
          <w:sz w:val="24"/>
          <w:szCs w:val="24"/>
        </w:rPr>
        <w:t xml:space="preserve">8、扩展恶劣天气条款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保险人按照本附加险合同的约定也负责赔偿。   </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抢救优先原则责任保险条款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0"/>
        <w:spacing w:line="360" w:lineRule="auto"/>
        <w:rPr>
          <w:rFonts w:hint="eastAsia" w:ascii="宋体" w:hAnsi="宋体"/>
          <w:sz w:val="24"/>
          <w:szCs w:val="24"/>
        </w:rPr>
      </w:pPr>
      <w:r>
        <w:rPr>
          <w:rFonts w:hint="eastAsia" w:ascii="宋体" w:hAnsi="宋体"/>
          <w:sz w:val="24"/>
          <w:szCs w:val="24"/>
        </w:rPr>
        <w:t xml:space="preserve">10、异地索赔处理责任保险条款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0"/>
        <w:spacing w:line="360" w:lineRule="auto"/>
        <w:rPr>
          <w:rFonts w:hint="eastAsia" w:ascii="宋体" w:hAnsi="宋体"/>
          <w:sz w:val="24"/>
          <w:szCs w:val="24"/>
        </w:rPr>
      </w:pPr>
      <w:r>
        <w:rPr>
          <w:rFonts w:hint="eastAsia" w:ascii="宋体" w:hAnsi="宋体"/>
          <w:sz w:val="24"/>
          <w:szCs w:val="24"/>
        </w:rPr>
        <w:t xml:space="preserve">11、县级以下医疗机构扩展责任保险条款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本保险扩展承保在紧急情况下，被保险人在县级以下医疗机构进行急诊、抢救等行为时产生的医疗费用由保险公司承担。经保险人个案认可，一般县级以下医疗机构，保险人依照本附加险合同的约定也负责赔偿。</w:t>
      </w:r>
      <w:r/>
    </w:p>
    <w:p>
      <w:pPr>
        <w:ind w:firstLine="480"/>
        <w:spacing w:line="360" w:lineRule="auto"/>
        <w:rPr>
          <w:rFonts w:hint="eastAsia" w:ascii="宋体" w:hAnsi="宋体"/>
          <w:sz w:val="24"/>
          <w:szCs w:val="24"/>
        </w:rPr>
      </w:pPr>
      <w:r>
        <w:rPr>
          <w:rFonts w:hint="eastAsia" w:ascii="宋体" w:hAnsi="宋体"/>
          <w:sz w:val="24"/>
          <w:szCs w:val="24"/>
        </w:rPr>
        <w:t xml:space="preserve">12、学生责任第三方扩展责任保险条款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0"/>
        <w:spacing w:line="360" w:lineRule="auto"/>
        <w:rPr>
          <w:rFonts w:hint="eastAsia" w:ascii="宋体" w:hAnsi="宋体"/>
          <w:sz w:val="24"/>
          <w:szCs w:val="24"/>
        </w:rPr>
      </w:pPr>
      <w:r>
        <w:rPr>
          <w:rFonts w:hint="eastAsia" w:ascii="宋体" w:hAnsi="宋体"/>
          <w:sz w:val="24"/>
          <w:szCs w:val="24"/>
        </w:rPr>
        <w:t xml:space="preserve">13、被保险人雇员因公人身伤亡赔偿责任条款</w:t>
      </w:r>
      <w:r/>
    </w:p>
    <w:p>
      <w:pPr>
        <w:ind w:firstLine="480"/>
        <w:spacing w:line="360" w:lineRule="auto"/>
        <w:rPr>
          <w:rFonts w:hint="eastAsia" w:ascii="宋体" w:hAnsi="宋体"/>
          <w:sz w:val="24"/>
          <w:szCs w:val="24"/>
        </w:rPr>
      </w:pPr>
      <w:r>
        <w:rPr>
          <w:rFonts w:hint="eastAsia" w:ascii="宋体" w:hAnsi="宋体"/>
          <w:sz w:val="24"/>
          <w:szCs w:val="24"/>
        </w:rPr>
        <w:t xml:space="preserve">在保险期间内，供职于被保险人单位的校方工作人员（不仅限于在编人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扩展新增学生条款</w:t>
      </w:r>
      <w:r/>
    </w:p>
    <w:p>
      <w:pPr>
        <w:ind w:firstLine="480"/>
        <w:spacing w:line="360" w:lineRule="auto"/>
        <w:rPr>
          <w:rFonts w:hint="eastAsia" w:ascii="宋体" w:hAnsi="宋体"/>
          <w:sz w:val="24"/>
          <w:szCs w:val="24"/>
        </w:rPr>
      </w:pPr>
      <w:r>
        <w:rPr>
          <w:rFonts w:ascii="宋体" w:hAnsi="宋体"/>
          <w:sz w:val="24"/>
          <w:szCs w:val="24"/>
        </w:rPr>
        <w:t xml:space="preserve">在保险期间内，对于被保险人的新增学生，自该生完成注册手续之日起，自动纳入本保险保障范围。若新增学生人数不超过保险单投保人数的5％，保险人免于收取增加的保险费；若新增学生人数超过保险单投保人数的5％，保险人按实收取增加人数的保险费。</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校方无过失责任保险条款</w:t>
      </w:r>
      <w:r/>
    </w:p>
    <w:p>
      <w:pPr>
        <w:ind w:firstLine="480"/>
        <w:spacing w:line="360" w:lineRule="auto"/>
        <w:rPr>
          <w:rFonts w:hint="eastAsia" w:ascii="宋体" w:hAnsi="宋体"/>
          <w:sz w:val="24"/>
          <w:szCs w:val="24"/>
        </w:rPr>
      </w:pPr>
      <w:r>
        <w:rPr>
          <w:rFonts w:ascii="宋体" w:hAnsi="宋体"/>
          <w:sz w:val="24"/>
          <w:szCs w:val="24"/>
        </w:rPr>
        <w:t xml:space="preserve">在保险期间内，在中华人民共和国境内(港澳台地区除外),在被保险人的在校活</w:t>
      </w:r>
      <w:r>
        <w:rPr>
          <w:rFonts w:ascii="宋体" w:hAnsi="宋体"/>
          <w:sz w:val="24"/>
          <w:szCs w:val="24"/>
        </w:rPr>
        <w:t xml:space="preserve">动中或由被保险人统一组织或安排的活动过程中</w:t>
      </w:r>
      <w:r>
        <w:rPr>
          <w:rFonts w:hint="eastAsia" w:ascii="宋体" w:hAnsi="宋体"/>
          <w:sz w:val="24"/>
          <w:szCs w:val="24"/>
        </w:rPr>
        <w:t xml:space="preserve">（含社会实践、实习、实训、军训、体育活动、劳动、文艺演出等）</w:t>
      </w:r>
      <w:r>
        <w:rPr>
          <w:rFonts w:ascii="宋体" w:hAnsi="宋体"/>
          <w:sz w:val="24"/>
          <w:szCs w:val="24"/>
        </w:rPr>
        <w:t xml:space="preserve">，因自然灾害、学生自身原因、学生体质差异、校外的突发性侵害造成学生人身伤亡</w:t>
      </w:r>
      <w:r>
        <w:rPr>
          <w:rFonts w:hint="eastAsia" w:ascii="宋体" w:hAnsi="宋体"/>
          <w:sz w:val="24"/>
          <w:szCs w:val="24"/>
        </w:rPr>
        <w:t xml:space="preserve">的，经鉴定校方无责或责任无法认定，保险公司按每人贰拾万元进行无责赔付。</w:t>
      </w:r>
      <w:r/>
    </w:p>
    <w:p>
      <w:pPr>
        <w:ind w:firstLine="472"/>
        <w:spacing w:after="72" w:line="540" w:lineRule="exact"/>
        <w:rPr>
          <w:rStyle w:val="1006"/>
          <w:b/>
          <w:sz w:val="24"/>
        </w:rPr>
      </w:pPr>
      <w:r>
        <w:rPr>
          <w:rStyle w:val="1006"/>
          <w:b/>
          <w:sz w:val="24"/>
        </w:rPr>
        <w:t xml:space="preserve">五、共保协议要求</w:t>
      </w:r>
      <w:r/>
    </w:p>
    <w:p>
      <w:pPr>
        <w:pStyle w:val="984"/>
        <w:jc w:val="both"/>
        <w:spacing w:before="0" w:after="0"/>
        <w:rPr>
          <w:rFonts w:ascii="Times New Roman" w:hAnsi="Times New Roman"/>
        </w:rPr>
      </w:pPr>
      <w:r>
        <w:rPr>
          <w:rFonts w:hint="eastAsia" w:ascii="Times New Roman" w:hAnsi="Times New Roman"/>
        </w:rPr>
        <w:t xml:space="preserve">经评审确定每个分包的中标人，</w:t>
      </w:r>
      <w:r>
        <w:rPr>
          <w:rFonts w:ascii="Times New Roman" w:hAnsi="Times New Roman"/>
        </w:rPr>
        <w:t xml:space="preserve">为确保本我省学生人身伤害事故责任险工作顺利进行，各</w:t>
      </w:r>
      <w:r>
        <w:rPr>
          <w:rFonts w:hint="eastAsia" w:ascii="Times New Roman" w:hAnsi="Times New Roman"/>
        </w:rPr>
        <w:t xml:space="preserve">分包的中标</w:t>
      </w:r>
      <w:r>
        <w:rPr>
          <w:rFonts w:ascii="Times New Roman" w:hAnsi="Times New Roman"/>
        </w:rPr>
        <w:t xml:space="preserve">保险公司</w:t>
      </w:r>
      <w:r>
        <w:rPr>
          <w:rFonts w:hint="eastAsia" w:ascii="Times New Roman" w:hAnsi="Times New Roman"/>
        </w:rPr>
        <w:t xml:space="preserve">共同组成共保体为本项目提供服务，并一致同意分包一中标人为首席承保人，其他分包中标人为共保人按各自比例承担保险责任及费用分摊。四家分包中标人签订</w:t>
      </w:r>
      <w:r>
        <w:rPr>
          <w:rFonts w:ascii="Times New Roman" w:hAnsi="Times New Roman"/>
        </w:rPr>
        <w:t xml:space="preserve">共保协议</w:t>
      </w:r>
      <w:r>
        <w:rPr>
          <w:rFonts w:hint="eastAsia" w:ascii="Times New Roman" w:hAnsi="Times New Roman"/>
        </w:rPr>
        <w:t xml:space="preserve">共同为本项目提供保险服务</w:t>
      </w:r>
      <w:r>
        <w:rPr>
          <w:rFonts w:ascii="Times New Roman" w:hAnsi="Times New Roman"/>
        </w:rPr>
        <w:t xml:space="preserve">。</w:t>
      </w:r>
      <w:r/>
    </w:p>
    <w:p>
      <w:pPr>
        <w:ind w:firstLine="480"/>
        <w:spacing w:line="540" w:lineRule="exact"/>
        <w:rPr>
          <w:sz w:val="24"/>
          <w:szCs w:val="24"/>
        </w:rPr>
      </w:pPr>
      <w:r>
        <w:rPr>
          <w:sz w:val="24"/>
          <w:szCs w:val="24"/>
        </w:rPr>
        <w:t xml:space="preserve">共保协议样本</w:t>
      </w:r>
      <w:r>
        <w:rPr>
          <w:rFonts w:hint="eastAsia"/>
          <w:sz w:val="24"/>
          <w:szCs w:val="24"/>
        </w:rPr>
        <w:t xml:space="preserve">应说明</w:t>
      </w:r>
      <w:r>
        <w:rPr>
          <w:sz w:val="24"/>
          <w:szCs w:val="24"/>
        </w:rPr>
        <w:t xml:space="preserve">：</w:t>
      </w:r>
      <w:bookmarkEnd w:id="194"/>
      <w:r/>
      <w:r/>
    </w:p>
    <w:p>
      <w:pPr>
        <w:ind w:firstLine="480"/>
        <w:spacing w:line="540" w:lineRule="exact"/>
        <w:rPr>
          <w:sz w:val="24"/>
          <w:szCs w:val="24"/>
        </w:rPr>
      </w:pPr>
      <w:r>
        <w:rPr>
          <w:sz w:val="24"/>
          <w:szCs w:val="24"/>
        </w:rPr>
        <w:t xml:space="preserve">首席承保向其它共保人收取的签单费用比例及作为共保人能够向首席承保支付的签单费用比例。</w:t>
      </w:r>
      <w:r/>
    </w:p>
    <w:p>
      <w:pPr>
        <w:ind w:firstLine="480"/>
        <w:spacing w:line="540" w:lineRule="exact"/>
        <w:rPr>
          <w:sz w:val="24"/>
          <w:szCs w:val="24"/>
        </w:rPr>
      </w:pPr>
      <w:r>
        <w:rPr>
          <w:sz w:val="24"/>
          <w:szCs w:val="24"/>
        </w:rPr>
        <w:t xml:space="preserve">如作为共保人，其作为全权授予首席承保决定赔案预赔及最终赔偿的分别的具体限额；或者作为首席承保人能全权处理的具体的预付与最终赔付金额。同时说明超限额情况下，分层次的、具体的，首席与共保方保险公司的处理计划。</w:t>
      </w:r>
      <w:r/>
    </w:p>
    <w:p>
      <w:pPr>
        <w:ind w:firstLine="480"/>
        <w:spacing w:line="540" w:lineRule="exact"/>
        <w:rPr>
          <w:sz w:val="24"/>
          <w:szCs w:val="24"/>
        </w:rPr>
      </w:pPr>
      <w:r>
        <w:rPr>
          <w:sz w:val="24"/>
          <w:szCs w:val="24"/>
        </w:rPr>
        <w:t xml:space="preserve">首席承保人与共保人关于赔款摊回时效的具体约定。保险公司的查勘费用标准。</w:t>
      </w:r>
      <w:r/>
    </w:p>
    <w:p>
      <w:pPr>
        <w:ind w:firstLine="480"/>
        <w:spacing w:line="540" w:lineRule="exact"/>
        <w:rPr>
          <w:sz w:val="24"/>
          <w:szCs w:val="24"/>
        </w:rPr>
      </w:pPr>
      <w:r>
        <w:rPr>
          <w:sz w:val="24"/>
          <w:szCs w:val="24"/>
        </w:rPr>
        <w:t xml:space="preserve">对于首席承保因从事风险管理、防灾防损、安全培训、安全检查等活动时，作为共保人如何在人员安排、费用、交通工具等方面的配合。</w:t>
      </w:r>
      <w:r/>
    </w:p>
    <w:p>
      <w:pPr>
        <w:ind w:firstLine="480"/>
        <w:spacing w:line="540" w:lineRule="exact"/>
        <w:rPr>
          <w:i/>
          <w:sz w:val="24"/>
          <w:u w:val="single"/>
        </w:rPr>
      </w:pPr>
      <w:r>
        <w:rPr>
          <w:sz w:val="24"/>
          <w:szCs w:val="24"/>
        </w:rPr>
        <w:t xml:space="preserve">各投标保险公司还应补充说明其若仅为共保人，如何体现并落实承诺的各项服务及有特色的服务。</w:t>
      </w:r>
      <w:r/>
    </w:p>
    <w:p>
      <w:pPr>
        <w:ind w:firstLine="480"/>
        <w:spacing w:line="540" w:lineRule="exact"/>
        <w:rPr>
          <w:i/>
          <w:sz w:val="24"/>
          <w:u w:val="single"/>
        </w:rPr>
      </w:pPr>
      <w:r>
        <w:rPr>
          <w:i/>
          <w:sz w:val="24"/>
          <w:u w:val="single"/>
        </w:rPr>
      </w:r>
      <w:r/>
    </w:p>
    <w:p>
      <w:r/>
      <w:bookmarkStart w:id="205" w:name="_Toc120614281"/>
      <w:r/>
      <w:bookmarkEnd w:id="193"/>
      <w:r/>
      <w:r/>
    </w:p>
    <w:p>
      <w:r/>
      <w:r/>
    </w:p>
    <w:p>
      <w:pPr>
        <w:pStyle w:val="738"/>
        <w:jc w:val="both"/>
        <w:rPr>
          <w:rFonts w:ascii="黑体" w:eastAsia="黑体"/>
          <w:bCs/>
          <w:sz w:val="44"/>
        </w:rPr>
      </w:pPr>
      <w:r>
        <w:rPr>
          <w:rFonts w:ascii="黑体" w:eastAsia="黑体"/>
          <w:bCs/>
          <w:sz w:val="44"/>
        </w:rPr>
      </w:r>
      <w:r/>
    </w:p>
    <w:p>
      <w:r/>
      <w:r/>
    </w:p>
    <w:p>
      <w:r/>
      <w:r/>
    </w:p>
    <w:p>
      <w:pPr>
        <w:jc w:val="left"/>
        <w:widowControl/>
        <w:rPr>
          <w:rFonts w:ascii="黑体" w:eastAsia="黑体"/>
          <w:bCs/>
          <w:sz w:val="44"/>
          <w:szCs w:val="28"/>
        </w:rPr>
      </w:pPr>
      <w:r>
        <w:rPr>
          <w:rFonts w:ascii="黑体" w:eastAsia="黑体"/>
          <w:bCs/>
          <w:sz w:val="44"/>
        </w:rPr>
        <w:br w:type="page" w:clear="all"/>
      </w:r>
      <w:r/>
    </w:p>
    <w:p>
      <w:pPr>
        <w:pStyle w:val="738"/>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84"/>
        <w:ind w:firstLine="482"/>
        <w:jc w:val="both"/>
        <w:spacing w:before="0" w:after="0"/>
        <w:rPr>
          <w:rFonts w:ascii="Times New Roman" w:hAnsi="Times New Roman"/>
          <w:b/>
        </w:rPr>
      </w:pPr>
      <w:r>
        <w:rPr>
          <w:rFonts w:ascii="Times New Roman" w:hAnsi="Times New Roman"/>
          <w:b/>
        </w:rPr>
        <w:t xml:space="preserve">一、评标方法</w:t>
      </w:r>
      <w:r/>
    </w:p>
    <w:p>
      <w:pPr>
        <w:ind w:firstLine="482"/>
        <w:spacing w:line="360" w:lineRule="auto"/>
        <w:rPr>
          <w:rFonts w:ascii="宋体" w:hAnsi="Arial" w:cs="宋体"/>
          <w:sz w:val="24"/>
          <w:szCs w:val="24"/>
          <w:lang w:val="zh-CN"/>
        </w:rPr>
      </w:pPr>
      <w: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w:t>
      </w:r>
      <w:r>
        <w:rPr>
          <w:rFonts w:hint="eastAsia"/>
        </w:rPr>
        <w:t xml:space="preserve">每个分包评</w:t>
      </w:r>
      <w:r>
        <w:t xml:space="preserve">分最高的投标人为</w:t>
      </w:r>
      <w:r>
        <w:rPr>
          <w:rFonts w:hint="eastAsia"/>
        </w:rPr>
        <w:t xml:space="preserve">对应分包</w:t>
      </w:r>
      <w:r>
        <w:t xml:space="preserve">的中标候选人，</w:t>
      </w:r>
      <w:r>
        <w:rPr>
          <w:rFonts w:hint="eastAsia"/>
        </w:rPr>
        <w:t xml:space="preserve">每个分包确定一</w:t>
      </w:r>
      <w:r>
        <w:t xml:space="preserve">名中标候选人</w:t>
      </w:r>
      <w:r>
        <w:rPr>
          <w:rFonts w:hint="eastAsia"/>
        </w:rPr>
        <w:t xml:space="preserve">，</w:t>
      </w:r>
      <w:bookmarkStart w:id="206" w:name="OLE_LINK1"/>
      <w:r>
        <w:rPr>
          <w:rFonts w:hint="eastAsia"/>
        </w:rPr>
        <w:t xml:space="preserve">每个分包中标人不重复</w:t>
      </w:r>
      <w:r>
        <w:t xml:space="preserve">。</w:t>
      </w:r>
      <w:bookmarkEnd w:id="206"/>
      <w:r>
        <w:rPr>
          <w:rFonts w:hint="eastAsia"/>
        </w:rPr>
        <w:t xml:space="preserve">本次招标项目共分为四个分包，兼投不兼中，即供应商可参与任意分包或全部分包的投标，需对拟参与分包分别进行报名和制作投标文件，但同一供应商最多只能中其中一个分包。开标、评标、中标的顺序为：分包一、分包二、分包三、分包四，按评标顺序，在被推荐为任一分包中标候选人后，不再参与后续分包的评审。</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5"/>
        <w:gridCol w:w="1537"/>
        <w:gridCol w:w="5064"/>
      </w:tblGrid>
      <w:tr>
        <w:trPr>
          <w:trHeight w:val="998"/>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84"/>
              <w:ind w:firstLine="0"/>
              <w:jc w:val="both"/>
            </w:pPr>
            <w:r>
              <w:rPr>
                <w:rFonts w:hint="eastAsia"/>
              </w:rPr>
              <w:t xml:space="preserve">分包号</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84"/>
              <w:ind w:firstLine="0"/>
              <w:jc w:val="both"/>
            </w:pPr>
            <w:r>
              <w:rPr>
                <w:rFonts w:hint="eastAsia"/>
              </w:rPr>
              <w:t xml:space="preserve">选取中标候选人数量</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pStyle w:val="984"/>
              <w:jc w:val="both"/>
            </w:pPr>
            <w:r>
              <w:rPr>
                <w:rFonts w:hint="eastAsia"/>
              </w:rPr>
              <w:t xml:space="preserve">选取中标候选人的原则</w:t>
            </w:r>
            <w:r/>
          </w:p>
        </w:tc>
      </w:tr>
      <w:tr>
        <w:trPr>
          <w:cantSplit/>
          <w:trHeight w:val="810"/>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84"/>
              <w:jc w:val="both"/>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84"/>
              <w:jc w:val="both"/>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5064" w:type="dxa"/>
            <w:vAlign w:val="center"/>
            <w:vMerge w:val="restart"/>
            <w:textDirection w:val="lrTb"/>
            <w:noWrap w:val="false"/>
          </w:tcPr>
          <w:p>
            <w:pPr>
              <w:pStyle w:val="984"/>
              <w:jc w:val="both"/>
            </w:pPr>
            <w:r>
              <w:rPr>
                <w:rFonts w:hint="eastAsia"/>
              </w:rPr>
              <w:t xml:space="preserve">满足招标文件全部实质性要求，且按照评审因素的量化指标评审得分最高的投标人为中标候选人。</w:t>
            </w:r>
            <w:r/>
          </w:p>
          <w:p>
            <w:pPr>
              <w:pStyle w:val="984"/>
              <w:jc w:val="both"/>
            </w:pPr>
            <w:r>
              <w:rPr>
                <w:rFonts w:hint="eastAsia"/>
              </w:rPr>
              <w:t xml:space="preserve">本项目可兼投但不兼中，投标人可以选择任意若干个分包进行投标，但每个分包项目仅评选一名中标人</w:t>
            </w:r>
            <w:r>
              <w:rPr>
                <w:rFonts w:ascii="Times New Roman" w:hAnsi="Times New Roman"/>
              </w:rPr>
              <w:t xml:space="preserve">候选人</w:t>
            </w:r>
            <w:r>
              <w:rPr>
                <w:rFonts w:hint="eastAsia"/>
              </w:rPr>
              <w:t xml:space="preserve">。</w:t>
            </w:r>
            <w:r/>
          </w:p>
          <w:p>
            <w:pPr>
              <w:pStyle w:val="984"/>
              <w:jc w:val="both"/>
            </w:pPr>
            <w:r>
              <w:rPr>
                <w:rFonts w:hint="eastAsia"/>
              </w:rPr>
              <w:t xml:space="preserve">评标、中标的顺序为：分包一、分包二、分包三、分包四</w:t>
            </w:r>
            <w:r/>
          </w:p>
        </w:tc>
      </w:tr>
      <w:tr>
        <w:trPr>
          <w:cantSplit/>
          <w:trHeight w:val="809"/>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84"/>
              <w:jc w:val="both"/>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84"/>
              <w:jc w:val="both"/>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984"/>
              <w:jc w:val="both"/>
            </w:pPr>
            <w:r/>
            <w:r/>
          </w:p>
        </w:tc>
      </w:tr>
      <w:tr>
        <w:trPr>
          <w:cantSplit/>
          <w:trHeight w:val="809"/>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84"/>
              <w:jc w:val="both"/>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84"/>
              <w:jc w:val="both"/>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984"/>
              <w:jc w:val="both"/>
            </w:pPr>
            <w:r/>
            <w:r/>
          </w:p>
        </w:tc>
      </w:tr>
      <w:tr>
        <w:trPr>
          <w:cantSplit/>
          <w:trHeight w:val="809"/>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84"/>
              <w:jc w:val="both"/>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84"/>
              <w:jc w:val="both"/>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984"/>
              <w:jc w:val="both"/>
            </w:pPr>
            <w:r/>
            <w:r/>
          </w:p>
        </w:tc>
      </w:tr>
    </w:tbl>
    <w:p>
      <w:pPr>
        <w:pStyle w:val="984"/>
        <w:ind w:firstLine="0"/>
        <w:jc w:val="both"/>
        <w:spacing w:before="0" w:after="0"/>
        <w:rPr>
          <w:rFonts w:ascii="Times New Roman" w:hAnsi="Times New Roman"/>
        </w:rPr>
      </w:pPr>
      <w:r>
        <w:rPr>
          <w:rFonts w:ascii="Times New Roman" w:hAnsi="Times New Roman"/>
        </w:rPr>
      </w:r>
      <w:r/>
    </w:p>
    <w:p>
      <w:pPr>
        <w:pStyle w:val="984"/>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p>
    <w:p>
      <w:pPr>
        <w:pStyle w:val="984"/>
        <w:spacing w:line="0" w:lineRule="atLeast"/>
        <w:rPr>
          <w:rFonts w:hint="eastAsia" w:ascii="宋体" w:hAnsi="宋体"/>
        </w:rPr>
      </w:pPr>
      <w:r>
        <w:rPr>
          <w:rFonts w:hint="eastAsia" w:ascii="宋体" w:hAnsi="宋体"/>
        </w:rPr>
        <w:t xml:space="preserve">1、小微型企业价格扣除</w:t>
      </w:r>
      <w:r/>
    </w:p>
    <w:p>
      <w:pPr>
        <w:pStyle w:val="98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4"/>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84"/>
        <w:spacing w:line="0" w:lineRule="atLeast"/>
        <w:rPr>
          <w:rFonts w:hint="eastAsia" w:ascii="宋体" w:hAnsi="宋体"/>
        </w:rPr>
      </w:pPr>
      <w:r>
        <w:rPr>
          <w:rFonts w:hint="eastAsia" w:ascii="宋体" w:hAnsi="宋体"/>
        </w:rPr>
        <w:t xml:space="preserve">2、残疾人福利单位价格扣除</w:t>
      </w:r>
      <w:r/>
    </w:p>
    <w:p>
      <w:pPr>
        <w:pStyle w:val="98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w:t>
      </w:r>
      <w:r>
        <w:rPr>
          <w:rFonts w:hint="eastAsia" w:ascii="宋体" w:hAnsi="宋体"/>
        </w:rPr>
        <w:t xml:space="preserve">函》。</w:t>
      </w:r>
      <w:r/>
    </w:p>
    <w:p>
      <w:pPr>
        <w:pStyle w:val="98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4"/>
        <w:spacing w:line="0" w:lineRule="atLeast"/>
        <w:rPr>
          <w:rFonts w:hint="eastAsia" w:ascii="宋体" w:hAnsi="宋体"/>
        </w:rPr>
      </w:pPr>
      <w:r>
        <w:rPr>
          <w:rFonts w:hint="eastAsia" w:ascii="宋体" w:hAnsi="宋体"/>
        </w:rPr>
        <w:t xml:space="preserve">3、监狱和戒毒企业价格扣除</w:t>
      </w:r>
      <w:r/>
    </w:p>
    <w:p>
      <w:pPr>
        <w:pStyle w:val="98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84"/>
        <w:ind w:firstLine="482"/>
        <w:spacing w:line="0" w:lineRule="atLeast"/>
        <w:rPr>
          <w:rFonts w:hint="eastAsia" w:ascii="宋体" w:hAnsi="宋体"/>
          <w:b/>
        </w:rPr>
      </w:pPr>
      <w:r>
        <w:rPr>
          <w:rFonts w:hint="eastAsia" w:ascii="宋体" w:hAnsi="宋体"/>
          <w:b/>
        </w:rPr>
        <w:t xml:space="preserve">评标标准</w:t>
      </w:r>
      <w:r/>
    </w:p>
    <w:p>
      <w:pPr>
        <w:ind w:firstLine="482"/>
        <w:spacing w:line="360" w:lineRule="auto"/>
        <w:rPr>
          <w:b/>
          <w:bCs/>
          <w:sz w:val="24"/>
        </w:rPr>
      </w:pPr>
      <w:r>
        <w:rPr>
          <w:rFonts w:hint="eastAsia"/>
          <w:b/>
          <w:bCs/>
          <w:sz w:val="24"/>
        </w:rPr>
        <w:t xml:space="preserve">分包</w:t>
      </w:r>
      <w:r>
        <w:rPr>
          <w:rFonts w:hint="eastAsia"/>
          <w:b/>
          <w:bCs/>
          <w:sz w:val="24"/>
        </w:rPr>
        <w:t xml:space="preserve">1</w:t>
      </w:r>
      <w:r>
        <w:rPr>
          <w:rFonts w:hint="eastAsia"/>
          <w:b/>
          <w:bCs/>
          <w:sz w:val="24"/>
        </w:rPr>
        <w:t xml:space="preserve">评分标准：</w:t>
      </w:r>
      <w:r/>
    </w:p>
    <w:p>
      <w:pPr>
        <w:ind w:firstLine="480"/>
        <w:spacing w:line="360" w:lineRule="auto"/>
        <w:rPr>
          <w:bCs/>
          <w:sz w:val="24"/>
        </w:rPr>
      </w:pPr>
      <w:r>
        <w:rPr>
          <w:bCs/>
          <w:sz w:val="24"/>
        </w:rPr>
        <w:t xml:space="preserve">本项目采用综合评分法确定中标候选人。评标委员会将按下列评分办法和标准进行评分，总分值为</w:t>
      </w:r>
      <w:r>
        <w:rPr>
          <w:bCs/>
          <w:sz w:val="24"/>
        </w:rPr>
        <w:t xml:space="preserve">100</w:t>
      </w:r>
      <w:r>
        <w:rPr>
          <w:bCs/>
          <w:sz w:val="24"/>
        </w:rPr>
        <w:t xml:space="preserve">分。</w:t>
      </w:r>
      <w:r/>
    </w:p>
    <w:tbl>
      <w:tblPr>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7"/>
        <w:gridCol w:w="6521"/>
        <w:gridCol w:w="674"/>
      </w:tblGrid>
      <w:tr>
        <w:trPr>
          <w:jc w:val="center"/>
          <w:trHeight w:val="436"/>
        </w:trPr>
        <w:tc>
          <w:tcPr>
            <w:tcW w:w="1157" w:type="dxa"/>
            <w:vAlign w:val="center"/>
            <w:textDirection w:val="lrTb"/>
            <w:noWrap w:val="false"/>
          </w:tcPr>
          <w:p>
            <w:pPr>
              <w:jc w:val="center"/>
              <w:spacing w:line="360" w:lineRule="exact"/>
              <w:rPr>
                <w:rFonts w:hint="eastAsia" w:ascii="宋体" w:hAnsi="宋体"/>
                <w:b/>
              </w:rPr>
            </w:pPr>
            <w:r/>
            <w:bookmarkStart w:id="207" w:name="_Hlk204007246"/>
            <w:r>
              <w:rPr>
                <w:rFonts w:hint="eastAsia" w:ascii="宋体" w:hAnsi="宋体"/>
                <w:b/>
              </w:rPr>
              <w:t xml:space="preserve">评审项目</w:t>
            </w:r>
            <w:r/>
          </w:p>
        </w:tc>
        <w:tc>
          <w:tcPr>
            <w:tcW w:w="6521"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评审标准</w:t>
            </w:r>
            <w:r/>
          </w:p>
        </w:tc>
        <w:tc>
          <w:tcPr>
            <w:tcW w:w="674"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分值</w:t>
            </w:r>
            <w:r/>
          </w:p>
        </w:tc>
      </w:tr>
      <w:tr>
        <w:trPr>
          <w:jc w:val="center"/>
          <w:trHeight w:val="413"/>
        </w:trPr>
        <w:tc>
          <w:tcPr>
            <w:gridSpan w:val="3"/>
            <w:tcW w:w="8352"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tc>
      </w:tr>
      <w:tr>
        <w:trPr>
          <w:jc w:val="center"/>
          <w:trHeight w:val="1080"/>
        </w:trPr>
        <w:tc>
          <w:tcPr>
            <w:tcW w:w="115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rPr>
                <w:rFonts w:hint="eastAsia" w:ascii="宋体" w:hAnsi="宋体"/>
              </w:rPr>
              <w:t xml:space="preserve">价格</w:t>
            </w:r>
            <w:r/>
          </w:p>
        </w:tc>
        <w:tc>
          <w:tcPr>
            <w:tcW w:w="6521"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以满足招标文件要求且投标价格最低的投标报价为评标基准价。投标报价等于评标基准价的得满分</w:t>
            </w:r>
            <w:r>
              <w:rPr>
                <w:rFonts w:ascii="宋体" w:hAnsi="宋体" w:cs="宋体"/>
              </w:rPr>
              <w:t xml:space="preserve">10</w:t>
            </w:r>
            <w:r>
              <w:rPr>
                <w:rFonts w:hint="eastAsia" w:ascii="宋体" w:hAnsi="宋体" w:cs="宋体"/>
              </w:rPr>
              <w:t xml:space="preserve">分；其他投标人的价格分统一按照下列公式计算：投标报价得分=（评标基准价/投标报价）×</w:t>
            </w:r>
            <w:r>
              <w:rPr>
                <w:rFonts w:ascii="宋体" w:hAnsi="宋体" w:cs="宋体"/>
              </w:rPr>
              <w:t xml:space="preserve">10</w:t>
            </w:r>
            <w:r>
              <w:rPr>
                <w:rFonts w:hint="eastAsia" w:ascii="宋体" w:hAnsi="宋体" w:cs="宋体"/>
              </w:rPr>
              <w:t xml:space="preserve">。</w:t>
            </w:r>
            <w:r/>
          </w:p>
        </w:tc>
        <w:tc>
          <w:tcPr>
            <w:tcW w:w="674" w:type="dxa"/>
            <w:vAlign w:val="center"/>
            <w:textDirection w:val="lrTb"/>
            <w:noWrap w:val="false"/>
          </w:tcPr>
          <w:p>
            <w:pPr>
              <w:jc w:val="center"/>
              <w:spacing w:line="360" w:lineRule="exact"/>
              <w:rPr>
                <w:rFonts w:hint="eastAsia" w:ascii="宋体" w:hAnsi="宋体"/>
              </w:rPr>
            </w:pPr>
            <w:r>
              <w:rPr>
                <w:rFonts w:ascii="宋体" w:hAnsi="宋体"/>
              </w:rPr>
              <w:t xml:space="preserve">10</w:t>
            </w:r>
            <w:r/>
          </w:p>
        </w:tc>
      </w:tr>
      <w:tr>
        <w:trPr>
          <w:jc w:val="center"/>
          <w:trHeight w:val="418"/>
        </w:trPr>
        <w:tc>
          <w:tcPr>
            <w:gridSpan w:val="3"/>
            <w:tcW w:w="8352"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二、商务资信：</w:t>
            </w:r>
            <w:r>
              <w:rPr>
                <w:rFonts w:ascii="宋体" w:hAnsi="宋体"/>
                <w:b/>
              </w:rPr>
              <w:t xml:space="preserve">45</w:t>
            </w:r>
            <w:r>
              <w:rPr>
                <w:rFonts w:hint="eastAsia" w:ascii="宋体" w:hAnsi="宋体"/>
                <w:b/>
              </w:rPr>
              <w:t xml:space="preserve">分</w:t>
            </w:r>
            <w:r/>
          </w:p>
        </w:tc>
      </w:tr>
      <w:tr>
        <w:trPr>
          <w:jc w:val="center"/>
          <w:trHeight w:val="960"/>
        </w:trPr>
        <w:tc>
          <w:tcPr>
            <w:tcW w:w="1157"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rPr>
              <w:t xml:space="preserve">2、</w:t>
            </w:r>
            <w:r>
              <w:rPr>
                <w:rFonts w:hint="eastAsia" w:ascii="宋体" w:hAnsi="宋体"/>
              </w:rPr>
              <w:t xml:space="preserve">核心偿付能力充足率</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投标人法人公司2</w:t>
            </w:r>
            <w:r>
              <w:rPr>
                <w:rFonts w:ascii="宋体" w:hAnsi="宋体"/>
              </w:rPr>
              <w:t xml:space="preserve">02</w:t>
            </w:r>
            <w:r>
              <w:rPr>
                <w:rFonts w:hint="eastAsia" w:ascii="宋体" w:hAnsi="宋体"/>
              </w:rPr>
              <w:t xml:space="preserve">5年度一季度的核心偿付能力充足率在2</w:t>
            </w:r>
            <w:r>
              <w:rPr>
                <w:rFonts w:ascii="宋体" w:hAnsi="宋体"/>
              </w:rPr>
              <w:t xml:space="preserve">0</w:t>
            </w:r>
            <w:r>
              <w:rPr>
                <w:rFonts w:hint="eastAsia" w:ascii="宋体" w:hAnsi="宋体"/>
              </w:rPr>
              <w:t xml:space="preserve">0%（含）以上的得</w:t>
            </w:r>
            <w:r>
              <w:rPr>
                <w:rFonts w:ascii="宋体" w:hAnsi="宋体"/>
              </w:rPr>
              <w:t xml:space="preserve">4</w:t>
            </w:r>
            <w:r>
              <w:rPr>
                <w:rFonts w:hint="eastAsia" w:ascii="宋体" w:hAnsi="宋体"/>
              </w:rPr>
              <w:t xml:space="preserve">分，在2</w:t>
            </w:r>
            <w:r>
              <w:rPr>
                <w:rFonts w:ascii="宋体" w:hAnsi="宋体"/>
              </w:rPr>
              <w:t xml:space="preserve">0</w:t>
            </w:r>
            <w:r>
              <w:rPr>
                <w:rFonts w:hint="eastAsia" w:ascii="宋体" w:hAnsi="宋体"/>
              </w:rPr>
              <w:t xml:space="preserve">0%-1</w:t>
            </w:r>
            <w:r>
              <w:rPr>
                <w:rFonts w:ascii="宋体" w:hAnsi="宋体"/>
              </w:rPr>
              <w:t xml:space="preserve">0</w:t>
            </w:r>
            <w:r>
              <w:rPr>
                <w:rFonts w:hint="eastAsia" w:ascii="宋体" w:hAnsi="宋体"/>
              </w:rPr>
              <w:t xml:space="preserve">0%（含）的得</w:t>
            </w:r>
            <w:r>
              <w:rPr>
                <w:rFonts w:ascii="宋体" w:hAnsi="宋体"/>
              </w:rPr>
              <w:t xml:space="preserve">2</w:t>
            </w:r>
            <w:r>
              <w:rPr>
                <w:rFonts w:hint="eastAsia" w:ascii="宋体" w:hAnsi="宋体"/>
              </w:rPr>
              <w:t xml:space="preserve">分，1</w:t>
            </w:r>
            <w:r>
              <w:rPr>
                <w:rFonts w:ascii="宋体" w:hAnsi="宋体"/>
              </w:rPr>
              <w:t xml:space="preserve">0</w:t>
            </w:r>
            <w:r>
              <w:rPr>
                <w:rFonts w:hint="eastAsia" w:ascii="宋体" w:hAnsi="宋体"/>
              </w:rPr>
              <w:t xml:space="preserve">0%以下不得分。须提供偿付能力报告相关证明材料。不提供或不符合要求不得分。</w:t>
            </w:r>
            <w:r/>
          </w:p>
        </w:tc>
        <w:tc>
          <w:tcPr>
            <w:tcW w:w="674" w:type="dxa"/>
            <w:vAlign w:val="center"/>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hint="eastAsia" w:ascii="宋体" w:hAnsi="宋体" w:eastAsia="宋体" w:cs="楷体_GB2312"/>
                <w:sz w:val="21"/>
                <w:szCs w:val="21"/>
                <w:lang w:val="zh-CN"/>
              </w:rPr>
              <w:t xml:space="preserve">4</w:t>
            </w:r>
            <w:r/>
          </w:p>
        </w:tc>
      </w:tr>
      <w:tr>
        <w:trPr>
          <w:jc w:val="center"/>
          <w:trHeight w:val="960"/>
        </w:trPr>
        <w:tc>
          <w:tcPr>
            <w:tcW w:w="1157" w:type="dxa"/>
            <w:vAlign w:val="center"/>
            <w:vMerge w:val="restart"/>
            <w:textDirection w:val="lrTb"/>
            <w:noWrap w:val="false"/>
          </w:tcPr>
          <w:p>
            <w:pPr>
              <w:jc w:val="center"/>
              <w:spacing w:line="360" w:lineRule="exact"/>
              <w:rPr>
                <w:rFonts w:hint="eastAsia" w:ascii="宋体" w:hAnsi="宋体" w:cs="楷体_GB2312"/>
                <w:lang w:val="zh-CN"/>
              </w:rPr>
            </w:pPr>
            <w:r>
              <w:rPr>
                <w:rFonts w:hint="eastAsia" w:ascii="宋体" w:hAnsi="宋体"/>
              </w:rPr>
              <w:t xml:space="preserve">3、</w:t>
            </w:r>
            <w:r>
              <w:rPr>
                <w:rFonts w:hint="eastAsia" w:ascii="宋体" w:hAnsi="宋体"/>
              </w:rPr>
              <w:t xml:space="preserve">省内营业网点设置</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3.1</w:t>
            </w:r>
            <w:r>
              <w:rPr>
                <w:rFonts w:hint="eastAsia" w:ascii="宋体" w:hAnsi="宋体"/>
              </w:rPr>
              <w:t xml:space="preserve">投标人经保险监管部门批准设立的有效经营网点数，覆盖</w:t>
            </w:r>
            <w:r>
              <w:t xml:space="preserve">江苏省内</w:t>
            </w:r>
            <w:r>
              <w:rPr>
                <w:rFonts w:hint="eastAsia"/>
              </w:rPr>
              <w:t xml:space="preserve">13</w:t>
            </w:r>
            <w:r>
              <w:rPr>
                <w:rFonts w:hint="eastAsia"/>
              </w:rPr>
              <w:t xml:space="preserve">个设区市</w:t>
            </w:r>
            <w:r>
              <w:rPr>
                <w:rFonts w:hint="eastAsia" w:ascii="宋体" w:hAnsi="宋体"/>
              </w:rPr>
              <w:t xml:space="preserve">的得5分，每少一个</w:t>
            </w:r>
            <w:r>
              <w:rPr>
                <w:rFonts w:hint="eastAsia"/>
              </w:rPr>
              <w:t xml:space="preserve">设区市</w:t>
            </w:r>
            <w:r>
              <w:rPr>
                <w:rFonts w:hint="eastAsia" w:ascii="宋体" w:hAnsi="宋体"/>
              </w:rPr>
              <w:t xml:space="preserve">经营网点扣</w:t>
            </w:r>
            <w:r>
              <w:rPr>
                <w:rFonts w:ascii="宋体" w:hAnsi="宋体"/>
              </w:rPr>
              <w:t xml:space="preserve">0.5</w:t>
            </w:r>
            <w:r>
              <w:rPr>
                <w:rFonts w:hint="eastAsia" w:ascii="宋体" w:hAnsi="宋体"/>
              </w:rPr>
              <w:t xml:space="preserve">分，扣完为止。需</w:t>
            </w:r>
            <w:r>
              <w:rPr>
                <w:rFonts w:hint="eastAsia" w:ascii="宋体" w:hAnsi="宋体"/>
              </w:rPr>
              <w:t xml:space="preserve">提供</w:t>
            </w:r>
            <w:r>
              <w:rPr>
                <w:rFonts w:hint="eastAsia" w:ascii="宋体" w:hAnsi="宋体"/>
              </w:rPr>
              <w:t xml:space="preserve">营业执照和保险许可证复印件。</w:t>
            </w:r>
            <w:r/>
          </w:p>
        </w:tc>
        <w:tc>
          <w:tcPr>
            <w:tcW w:w="674" w:type="dxa"/>
            <w:vAlign w:val="center"/>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hint="eastAsia" w:ascii="宋体" w:hAnsi="宋体" w:eastAsia="宋体" w:cs="楷体_GB2312"/>
                <w:sz w:val="21"/>
                <w:szCs w:val="21"/>
                <w:lang w:val="zh-CN"/>
              </w:rPr>
              <w:t xml:space="preserve">5</w:t>
            </w:r>
            <w:r/>
          </w:p>
        </w:tc>
      </w:tr>
      <w:tr>
        <w:trPr>
          <w:jc w:val="center"/>
          <w:trHeight w:val="960"/>
        </w:trPr>
        <w:tc>
          <w:tcPr>
            <w:tcW w:w="1157" w:type="dxa"/>
            <w:vAlign w:val="center"/>
            <w:vMerge w:val="continue"/>
            <w:textDirection w:val="lrTb"/>
            <w:noWrap w:val="false"/>
          </w:tcPr>
          <w:p>
            <w:pPr>
              <w:jc w:val="center"/>
              <w:spacing w:line="360" w:lineRule="exact"/>
              <w:rPr>
                <w:rFonts w:hint="eastAsia" w:ascii="宋体" w:hAnsi="宋体"/>
              </w:rPr>
            </w:pPr>
            <w:r>
              <w:rPr>
                <w:rFonts w:hint="eastAsia" w:ascii="宋体" w:hAnsi="宋体"/>
              </w:rPr>
            </w:r>
            <w:r/>
          </w:p>
        </w:tc>
        <w:tc>
          <w:tcPr>
            <w:tcW w:w="6521" w:type="dxa"/>
            <w:vAlign w:val="center"/>
            <w:textDirection w:val="lrTb"/>
            <w:noWrap w:val="false"/>
          </w:tcPr>
          <w:p>
            <w:pPr>
              <w:spacing w:line="360" w:lineRule="exact"/>
              <w:rPr>
                <w:rFonts w:hint="eastAsia" w:ascii="宋体" w:hAnsi="宋体"/>
              </w:rPr>
            </w:pPr>
            <w:r>
              <w:rPr>
                <w:rFonts w:hint="eastAsia" w:ascii="宋体" w:hAnsi="宋体"/>
              </w:rPr>
            </w:r>
            <w:r>
              <w:rPr>
                <w:rFonts w:hint="eastAsia" w:ascii="宋体" w:hAnsi="宋体"/>
              </w:rPr>
              <w:t xml:space="preserve">3.2投标人经江苏保险监管部门批准设立的具有工商营业执照及保险业务许可证的江苏省内县、区级以上（含县、区级）财险经营网点合计数，总计120个以上的得4分，120-100个的得2分，100个以下的得1分。必须提供投标人江苏公司状况一览表，格式及要求见后。</w:t>
            </w:r>
            <w:r>
              <w:rPr>
                <w:rFonts w:hint="eastAsia" w:ascii="宋体" w:hAnsi="宋体"/>
              </w:rPr>
            </w:r>
            <w:r/>
          </w:p>
        </w:tc>
        <w:tc>
          <w:tcPr>
            <w:tcW w:w="674" w:type="dxa"/>
            <w:vAlign w:val="center"/>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hint="eastAsia" w:ascii="宋体" w:hAnsi="宋体" w:eastAsia="宋体" w:cs="楷体_GB2312"/>
                <w:sz w:val="21"/>
                <w:szCs w:val="21"/>
                <w:lang w:val="zh-CN"/>
              </w:rPr>
              <w:t xml:space="preserve">4</w:t>
            </w:r>
            <w:r/>
          </w:p>
        </w:tc>
      </w:tr>
      <w:tr>
        <w:trPr>
          <w:jc w:val="center"/>
          <w:trHeight w:val="960"/>
        </w:trPr>
        <w:tc>
          <w:tcPr>
            <w:tcW w:w="1157" w:type="dxa"/>
            <w:vAlign w:val="center"/>
            <w:vMerge w:val="restart"/>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hint="eastAsia" w:ascii="宋体" w:hAnsi="宋体" w:eastAsia="宋体"/>
                <w:sz w:val="21"/>
                <w:szCs w:val="21"/>
              </w:rPr>
              <w:t xml:space="preserve">4、</w:t>
            </w:r>
            <w:r>
              <w:rPr>
                <w:rFonts w:hint="eastAsia" w:ascii="宋体" w:hAnsi="宋体" w:eastAsia="宋体"/>
                <w:sz w:val="21"/>
                <w:szCs w:val="21"/>
              </w:rPr>
              <w:t xml:space="preserve">投标人（含所属机构）的项目承保经验</w:t>
            </w:r>
            <w:r/>
          </w:p>
        </w:tc>
        <w:tc>
          <w:tcPr>
            <w:tcW w:w="6521" w:type="dxa"/>
            <w:vAlign w:val="center"/>
            <w:textDirection w:val="lrTb"/>
            <w:noWrap w:val="false"/>
          </w:tcPr>
          <w:p>
            <w:pPr>
              <w:spacing w:line="360" w:lineRule="exact"/>
              <w:rPr>
                <w:rFonts w:hint="eastAsia" w:ascii="宋体" w:hAnsi="宋体" w:cs="楷体_GB2312"/>
              </w:rPr>
            </w:pPr>
            <w:r>
              <w:rPr>
                <w:rFonts w:hint="eastAsia" w:ascii="宋体" w:hAnsi="宋体"/>
              </w:rPr>
              <w:t xml:space="preserve">4.1</w:t>
            </w:r>
            <w:r>
              <w:rPr>
                <w:rFonts w:hint="eastAsia" w:ascii="宋体" w:hAnsi="宋体"/>
              </w:rPr>
              <w:t xml:space="preserve"> </w:t>
            </w:r>
            <w:r>
              <w:rPr>
                <w:rFonts w:hint="eastAsia" w:ascii="宋体" w:hAnsi="宋体"/>
              </w:rPr>
              <w:t xml:space="preserve">2019年1月1日以来(以合同签订时间为准)，承保省级政府采购学生人身伤害事故责任保险或服务类似省级政府责任险、意外</w:t>
            </w:r>
            <w:r>
              <w:rPr>
                <w:rFonts w:hint="eastAsia" w:ascii="宋体" w:hAnsi="宋体"/>
              </w:rPr>
              <w:t xml:space="preserve">险项目</w:t>
            </w:r>
            <w:r>
              <w:rPr>
                <w:rFonts w:hint="eastAsia" w:ascii="宋体" w:hAnsi="宋体"/>
              </w:rPr>
              <w:t xml:space="preserve">的，以每一投保人为单位计算，同一投保人的不同年度同项目保险合同不重复计算。每有一份得1分，最高得5分。提供合同复印件或相关证明材料。</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960"/>
        </w:trPr>
        <w:tc>
          <w:tcPr>
            <w:tcW w:w="1157" w:type="dxa"/>
            <w:vAlign w:val="center"/>
            <w:vMerge w:val="continue"/>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4.2</w:t>
            </w:r>
            <w:r>
              <w:rPr>
                <w:rFonts w:hint="eastAsia" w:ascii="宋体" w:hAnsi="宋体"/>
              </w:rPr>
              <w:t xml:space="preserve"> </w:t>
            </w:r>
            <w:r>
              <w:rPr>
                <w:rFonts w:hint="eastAsia" w:ascii="宋体" w:hAnsi="宋体"/>
              </w:rPr>
              <w:t xml:space="preserve">省级政府采购学生人身伤害事故责任保险或服务类似省级政府责任险、意外</w:t>
            </w:r>
            <w:r>
              <w:rPr>
                <w:rFonts w:hint="eastAsia" w:ascii="宋体" w:hAnsi="宋体"/>
              </w:rPr>
              <w:t xml:space="preserve">险项目</w:t>
            </w:r>
            <w:r>
              <w:rPr>
                <w:rFonts w:hint="eastAsia" w:ascii="宋体" w:hAnsi="宋体"/>
              </w:rPr>
              <w:t xml:space="preserve">的，投标人承保工作方面（包括但不限于流程设计、便民举措、数据统计、落地宣传、协调配合等五方面）的经验、表现进行评审：</w:t>
            </w:r>
            <w:r>
              <w:rPr>
                <w:rFonts w:ascii="宋体" w:hAnsi="宋体"/>
              </w:rPr>
              <w:t xml:space="preserve">优于采购需求</w:t>
            </w:r>
            <w:r>
              <w:rPr>
                <w:rFonts w:hint="eastAsia" w:ascii="宋体" w:hAnsi="宋体"/>
              </w:rPr>
              <w:t xml:space="preserve">，得4分；</w:t>
            </w:r>
            <w:r>
              <w:rPr>
                <w:rFonts w:ascii="宋体" w:hAnsi="宋体"/>
              </w:rPr>
              <w:t xml:space="preserve">符合采购需求</w:t>
            </w:r>
            <w:r>
              <w:rPr>
                <w:rFonts w:hint="eastAsia" w:ascii="宋体" w:hAnsi="宋体"/>
              </w:rPr>
              <w:t xml:space="preserve">，得2分；</w:t>
            </w:r>
            <w:r>
              <w:rPr>
                <w:rFonts w:hint="eastAsia" w:ascii="宋体" w:hAnsi="宋体"/>
              </w:rPr>
            </w:r>
            <w:r/>
          </w:p>
          <w:p>
            <w:pPr>
              <w:spacing w:line="360" w:lineRule="exact"/>
              <w:rPr>
                <w:rFonts w:hint="eastAsia" w:ascii="宋体" w:hAnsi="宋体"/>
              </w:rPr>
            </w:pPr>
            <w:r>
              <w:rPr>
                <w:rFonts w:hint="eastAsia" w:ascii="宋体" w:hAnsi="宋体"/>
              </w:rPr>
              <w:t xml:space="preserve">未提供内容或承保经验不符合采购需求，得</w:t>
            </w:r>
            <w:r>
              <w:rPr>
                <w:rFonts w:ascii="宋体" w:hAnsi="宋体"/>
              </w:rPr>
              <w:t xml:space="preserve">0</w:t>
            </w:r>
            <w:r>
              <w:rPr>
                <w:rFonts w:hint="eastAsia" w:ascii="宋体" w:hAnsi="宋体"/>
              </w:rPr>
              <w:t xml:space="preserve"> 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4</w:t>
            </w:r>
            <w:r/>
          </w:p>
        </w:tc>
      </w:tr>
      <w:tr>
        <w:trPr>
          <w:jc w:val="center"/>
          <w:trHeight w:val="960"/>
        </w:trPr>
        <w:tc>
          <w:tcPr>
            <w:tcW w:w="1157" w:type="dxa"/>
            <w:vAlign w:val="center"/>
            <w:vMerge w:val="restart"/>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投标人（含所属机构）的项目理赔经验</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5.1</w:t>
            </w:r>
            <w:r>
              <w:rPr>
                <w:rFonts w:hint="eastAsia" w:ascii="宋体" w:hAnsi="宋体"/>
              </w:rPr>
              <w:t xml:space="preserve">投标人2019年1月1日以来(以赔款支付时间为准)，省级政府采购学生人身伤害事故责任保险或服务类似省级政府责任险、意外险项目的，单个案件赔案金额大于60万（含共保）的已决理赔案例（按赔偿最小计数单位算）超15个（不含）以上得5分，15个（含 ）-10（含）个得4分，9个（含 ）-5（含）个得3分，5个（不含）以下得1分，无上述案例不得分。需提供已决赔案的赔款计算书和支付凭证（复印件）</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960"/>
        </w:trPr>
        <w:tc>
          <w:tcPr>
            <w:tcW w:w="1157" w:type="dxa"/>
            <w:vAlign w:val="center"/>
            <w:vMerge w:val="continue"/>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5.2</w:t>
            </w:r>
            <w:r>
              <w:rPr>
                <w:rFonts w:hint="eastAsia" w:ascii="宋体" w:hAnsi="宋体"/>
              </w:rPr>
              <w:t xml:space="preserve">投标人在省级政府采购学生人身伤害事故责任保险或服务类似省级政府责任险、意外险项目的理赔工作方面（包括但不限于服务便捷、理赔效率等方面）的经验、表现进行评审：</w:t>
            </w:r>
            <w:r>
              <w:rPr>
                <w:rFonts w:ascii="宋体" w:hAnsi="宋体"/>
              </w:rPr>
              <w:t xml:space="preserve">优于采购需求</w:t>
            </w:r>
            <w:r>
              <w:rPr>
                <w:rFonts w:hint="eastAsia" w:ascii="宋体" w:hAnsi="宋体"/>
              </w:rPr>
              <w:t xml:space="preserve">，得4分；</w:t>
            </w:r>
            <w:r>
              <w:rPr>
                <w:rFonts w:ascii="宋体" w:hAnsi="宋体"/>
              </w:rPr>
              <w:t xml:space="preserve">符合采购需求</w:t>
            </w:r>
            <w:r>
              <w:rPr>
                <w:rFonts w:hint="eastAsia" w:ascii="宋体" w:hAnsi="宋体"/>
              </w:rPr>
              <w:t xml:space="preserve">，得2分；</w:t>
            </w:r>
            <w:r>
              <w:rPr>
                <w:rFonts w:hint="eastAsia" w:ascii="宋体" w:hAnsi="宋体"/>
              </w:rPr>
              <w:t xml:space="preserve">未提供内容或承保经验不符合采购需求，得</w:t>
            </w:r>
            <w:r>
              <w:rPr>
                <w:rFonts w:ascii="宋体" w:hAnsi="宋体"/>
              </w:rPr>
              <w:t xml:space="preserve">0</w:t>
            </w:r>
            <w:r>
              <w:rPr>
                <w:rFonts w:hint="eastAsia" w:ascii="宋体" w:hAnsi="宋体"/>
              </w:rPr>
              <w:t xml:space="preserve"> 分。</w:t>
            </w:r>
            <w:r>
              <w:rPr>
                <w:rFonts w:hint="eastAsia" w:ascii="宋体" w:hAnsi="宋体"/>
              </w:rPr>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4</w:t>
            </w:r>
            <w:r/>
          </w:p>
        </w:tc>
      </w:tr>
      <w:tr>
        <w:trPr>
          <w:jc w:val="center"/>
          <w:trHeight w:val="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投标人总体评价</w:t>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根据投标人的与本项目相关的履约经验及参与社会公共服务项目的情况。</w:t>
            </w:r>
            <w:r>
              <w:rPr>
                <w:rFonts w:hint="eastAsia" w:ascii="宋体" w:hAnsi="宋体"/>
              </w:rPr>
              <w:t xml:space="preserve">优于项目需求的得4分；</w:t>
            </w:r>
            <w:r>
              <w:rPr>
                <w:rFonts w:hint="eastAsia" w:ascii="宋体" w:hAnsi="宋体"/>
              </w:rPr>
              <w:t xml:space="preserve">符合项目需求的得2分；</w:t>
            </w:r>
            <w:r>
              <w:rPr>
                <w:rFonts w:hint="eastAsia" w:ascii="宋体" w:hAnsi="宋体"/>
              </w:rPr>
              <w:t xml:space="preserve">未提供或不符合，得</w:t>
            </w:r>
            <w:r>
              <w:rPr>
                <w:rFonts w:ascii="宋体" w:hAnsi="宋体"/>
              </w:rPr>
              <w:t xml:space="preserve">0</w:t>
            </w:r>
            <w:r>
              <w:rPr>
                <w:rFonts w:hint="eastAsia" w:ascii="宋体" w:hAnsi="宋体"/>
              </w:rPr>
              <w:t xml:space="preserve"> 分。</w:t>
            </w:r>
            <w:r>
              <w:rPr>
                <w:rFonts w:hint="eastAsia" w:ascii="宋体" w:hAnsi="宋体"/>
              </w:rPr>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4</w:t>
            </w:r>
            <w:r/>
          </w:p>
        </w:tc>
      </w:tr>
      <w:tr>
        <w:trPr>
          <w:jc w:val="center"/>
          <w:trHeight w:val="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项目负责人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设置省、市、县（市、区）三级负责人，且具有中级或以上职称的，省级负责人具备保险行业1</w:t>
            </w:r>
            <w:r>
              <w:rPr>
                <w:rFonts w:ascii="宋体" w:hAnsi="宋体"/>
              </w:rPr>
              <w:t xml:space="preserve">0</w:t>
            </w:r>
            <w:r>
              <w:rPr>
                <w:rFonts w:hint="eastAsia" w:ascii="宋体" w:hAnsi="宋体"/>
              </w:rPr>
              <w:t xml:space="preserve">年或以上从业经验的得5分；</w:t>
            </w:r>
            <w:r/>
          </w:p>
          <w:p>
            <w:pPr>
              <w:spacing w:line="360" w:lineRule="exact"/>
              <w:rPr>
                <w:rFonts w:hint="eastAsia" w:ascii="宋体" w:hAnsi="宋体"/>
              </w:rPr>
            </w:pPr>
            <w:r>
              <w:rPr>
                <w:rFonts w:hint="eastAsia" w:ascii="宋体" w:hAnsi="宋体"/>
              </w:rPr>
              <w:t xml:space="preserve">设置省、市二级负责人，且具有中级或以上职称的，省级负责人具备保险行业5（含）-1</w:t>
            </w:r>
            <w:r>
              <w:rPr>
                <w:rFonts w:ascii="宋体" w:hAnsi="宋体"/>
              </w:rPr>
              <w:t xml:space="preserve">0</w:t>
            </w:r>
            <w:r>
              <w:rPr>
                <w:rFonts w:hint="eastAsia" w:ascii="宋体" w:hAnsi="宋体"/>
              </w:rPr>
              <w:t xml:space="preserve">年（不含）从业经验的，得3分；</w:t>
            </w:r>
            <w:r/>
          </w:p>
          <w:p>
            <w:pPr>
              <w:spacing w:line="360" w:lineRule="exact"/>
              <w:rPr>
                <w:rFonts w:hint="eastAsia" w:ascii="宋体" w:hAnsi="宋体"/>
              </w:rPr>
            </w:pPr>
            <w:r>
              <w:rPr>
                <w:rFonts w:hint="eastAsia" w:ascii="宋体" w:hAnsi="宋体"/>
              </w:rPr>
              <w:t xml:space="preserve">设置省级负责人或仅设置市级或县级或市县二级负责的，得0分；</w:t>
            </w:r>
            <w:r/>
          </w:p>
          <w:p>
            <w:pPr>
              <w:spacing w:line="360" w:lineRule="exact"/>
              <w:rPr>
                <w:rFonts w:hint="eastAsia" w:ascii="宋体" w:hAnsi="宋体"/>
              </w:rPr>
            </w:pPr>
            <w:r>
              <w:rPr>
                <w:rFonts w:hint="eastAsia" w:ascii="宋体" w:hAnsi="宋体"/>
              </w:rPr>
              <w:t xml:space="preserve">需提供职称证明、省级负责人符合从业年限要求的聘用合同等相关证明材料。不提供不得分。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3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服务团队</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投标人提供的服务团队成员人数不少于100人，其中，专职理赔服务人员不应少于60人。投标人项目组中保险专业专家不少于5人（具备高级职称资格），法律专家不少于5人（具备律师职业资格），其他相关人员应具备3年或以上保险行业工作经验</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在提供承诺书及人员明细清单的前提下，投标人还应为本项目提供团队服务方案，从服务团队配备的除项目负责人外的其他</w:t>
            </w:r>
            <w:r>
              <w:rPr>
                <w:rFonts w:ascii="宋体" w:hAnsi="宋体"/>
              </w:rPr>
              <w:t xml:space="preserve">成员人数</w:t>
            </w:r>
            <w:r>
              <w:rPr>
                <w:rFonts w:hint="eastAsia" w:ascii="宋体" w:hAnsi="宋体"/>
              </w:rPr>
              <w:t xml:space="preserve">、</w:t>
            </w:r>
            <w:r>
              <w:rPr>
                <w:rFonts w:ascii="宋体" w:hAnsi="宋体"/>
              </w:rPr>
              <w:t xml:space="preserve">从业经历</w:t>
            </w:r>
            <w:r>
              <w:rPr>
                <w:rFonts w:hint="eastAsia" w:ascii="宋体" w:hAnsi="宋体"/>
              </w:rPr>
              <w:t xml:space="preserve">、教育背景、保险知识、法律知识等方面进行评审：</w:t>
            </w:r>
            <w:r/>
          </w:p>
          <w:p>
            <w:pPr>
              <w:spacing w:line="360" w:lineRule="exact"/>
              <w:rPr>
                <w:rFonts w:hint="eastAsia" w:ascii="宋体" w:hAnsi="宋体"/>
              </w:rPr>
            </w:pPr>
            <w:r>
              <w:rPr>
                <w:rFonts w:hint="eastAsia" w:ascii="宋体" w:hAnsi="宋体"/>
              </w:rPr>
              <w:t xml:space="preserve">团队服务能力</w:t>
            </w:r>
            <w:r>
              <w:rPr>
                <w:rFonts w:ascii="宋体" w:hAnsi="宋体"/>
              </w:rPr>
              <w:t xml:space="preserve">优于采购需求</w:t>
            </w:r>
            <w:r>
              <w:rPr>
                <w:rFonts w:hint="eastAsia" w:ascii="宋体" w:hAnsi="宋体"/>
              </w:rPr>
              <w:t xml:space="preserve">的，</w:t>
            </w:r>
            <w:r>
              <w:rPr>
                <w:rFonts w:hint="eastAsia" w:ascii="宋体" w:hAnsi="宋体"/>
              </w:rPr>
              <w:t xml:space="preserve">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团队服务能力</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团队服务能力存在瑕疵或不</w:t>
            </w:r>
            <w:r>
              <w:rPr>
                <w:rFonts w:ascii="宋体" w:hAnsi="宋体"/>
              </w:rPr>
              <w:t xml:space="preserve">符合采购需求</w:t>
            </w:r>
            <w:r>
              <w:rPr>
                <w:rFonts w:hint="eastAsia" w:ascii="宋体" w:hAnsi="宋体"/>
              </w:rPr>
              <w:t xml:space="preserve">的，</w:t>
            </w:r>
            <w:r>
              <w:rPr>
                <w:rFonts w:hint="eastAsia" w:ascii="宋体" w:hAnsi="宋体"/>
              </w:rPr>
              <w:t xml:space="preserve">得0分。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503"/>
        </w:trPr>
        <w:tc>
          <w:tcPr>
            <w:gridSpan w:val="3"/>
            <w:tcW w:w="8352" w:type="dxa"/>
            <w:vAlign w:val="center"/>
            <w:textDirection w:val="lrTb"/>
            <w:noWrap w:val="false"/>
          </w:tcPr>
          <w:p>
            <w:pPr>
              <w:pStyle w:val="1007"/>
              <w:ind w:firstLine="0"/>
              <w:jc w:val="center"/>
              <w:spacing w:line="360" w:lineRule="exact"/>
              <w:rPr>
                <w:rFonts w:hint="eastAsia" w:ascii="宋体" w:hAnsi="宋体" w:eastAsia="宋体"/>
                <w:b/>
                <w:sz w:val="21"/>
                <w:szCs w:val="21"/>
                <w:shd w:val="clear" w:color="auto" w:fill="ffffff"/>
              </w:rPr>
            </w:pPr>
            <w:r>
              <w:rPr>
                <w:rFonts w:hint="eastAsia" w:ascii="宋体" w:hAnsi="宋体" w:eastAsia="宋体" w:cs="宋体"/>
                <w:b/>
                <w:sz w:val="21"/>
                <w:szCs w:val="21"/>
                <w:shd w:val="clear" w:color="auto" w:fill="ffffff"/>
                <w:lang w:val="zh-CN"/>
              </w:rPr>
              <w:t xml:space="preserve">三、技术及服务能力：</w:t>
            </w:r>
            <w:r>
              <w:rPr>
                <w:rFonts w:ascii="宋体" w:hAnsi="宋体" w:eastAsia="宋体" w:cs="宋体"/>
                <w:b/>
                <w:sz w:val="21"/>
                <w:szCs w:val="21"/>
                <w:shd w:val="clear" w:color="auto" w:fill="ffffff"/>
                <w:lang w:val="zh-CN"/>
              </w:rPr>
              <w:t xml:space="preserve">45</w:t>
            </w:r>
            <w:r>
              <w:rPr>
                <w:rFonts w:hint="eastAsia" w:ascii="宋体" w:hAnsi="宋体" w:eastAsia="宋体" w:cs="宋体"/>
                <w:b/>
                <w:sz w:val="21"/>
                <w:szCs w:val="21"/>
                <w:shd w:val="clear" w:color="auto" w:fill="ffffff"/>
                <w:lang w:val="zh-CN"/>
              </w:rPr>
              <w:t xml:space="preserve">分</w:t>
            </w:r>
            <w:r/>
          </w:p>
        </w:tc>
      </w:tr>
      <w:tr>
        <w:trPr>
          <w:jc w:val="center"/>
          <w:trHeight w:val="425"/>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9、</w:t>
            </w:r>
            <w:r>
              <w:rPr>
                <w:rFonts w:hint="eastAsia" w:ascii="宋体" w:hAnsi="宋体" w:eastAsia="宋体"/>
                <w:sz w:val="21"/>
                <w:szCs w:val="21"/>
              </w:rPr>
              <w:t xml:space="preserve">保险方案（责任范围、保险金额、特别约定等）</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根据投标人对招标人提供的保险方案中主险责任范围、保险金额、扩展条款、特别约定等的响应程度进行评审：</w:t>
            </w:r>
            <w:r/>
          </w:p>
          <w:p>
            <w:pPr>
              <w:spacing w:line="360" w:lineRule="exact"/>
              <w:rPr>
                <w:rFonts w:hint="eastAsia" w:ascii="宋体" w:hAnsi="宋体"/>
              </w:rPr>
            </w:pPr>
            <w:r>
              <w:rPr>
                <w:rFonts w:hint="eastAsia" w:ascii="宋体" w:hAnsi="宋体"/>
              </w:rPr>
              <w:t xml:space="preserve">内容完整全面，保险方案</w:t>
            </w:r>
            <w:r>
              <w:rPr>
                <w:rFonts w:ascii="宋体" w:hAnsi="宋体"/>
              </w:rPr>
              <w:t xml:space="preserve">优于采购需求</w:t>
            </w:r>
            <w:r>
              <w:rPr>
                <w:rFonts w:hint="eastAsia" w:ascii="宋体" w:hAnsi="宋体"/>
              </w:rPr>
              <w:t xml:space="preserve">得5分；</w:t>
            </w:r>
            <w:r/>
          </w:p>
          <w:p>
            <w:pPr>
              <w:spacing w:line="360" w:lineRule="exact"/>
              <w:rPr>
                <w:rFonts w:hint="eastAsia" w:ascii="宋体" w:hAnsi="宋体"/>
              </w:rPr>
            </w:pPr>
            <w:r>
              <w:rPr>
                <w:rFonts w:hint="eastAsia" w:ascii="宋体" w:hAnsi="宋体"/>
              </w:rPr>
              <w:t xml:space="preserve">内容基本完整，保险方案基本</w:t>
            </w:r>
            <w:r>
              <w:rPr>
                <w:rFonts w:ascii="宋体" w:hAnsi="宋体"/>
              </w:rPr>
              <w:t xml:space="preserve">符合采购需求</w:t>
            </w:r>
            <w:r>
              <w:rPr>
                <w:rFonts w:hint="eastAsia" w:ascii="宋体" w:hAnsi="宋体"/>
              </w:rPr>
              <w:t xml:space="preserve">，得3分；</w:t>
            </w:r>
            <w:r/>
          </w:p>
          <w:p>
            <w:pPr>
              <w:spacing w:line="360" w:lineRule="exact"/>
              <w:rPr>
                <w:rFonts w:hint="eastAsia" w:ascii="宋体" w:hAnsi="宋体"/>
              </w:rPr>
            </w:pPr>
            <w:r>
              <w:rPr>
                <w:rFonts w:hint="eastAsia" w:ascii="宋体" w:hAnsi="宋体"/>
              </w:rPr>
              <w:t xml:space="preserve">内容不够完善或方案不足的，得0分。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251"/>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10、其它</w:t>
            </w:r>
            <w:r>
              <w:rPr>
                <w:rFonts w:hint="eastAsia" w:ascii="宋体" w:hAnsi="宋体" w:eastAsia="宋体"/>
                <w:sz w:val="21"/>
                <w:szCs w:val="21"/>
              </w:rPr>
              <w:t xml:space="preserve">服务方案</w:t>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据投标人提供的招标文件要求的方案外的其他保险服务方案打分（包括不限于保险方案、理赔服务、风控服务等），投标人提供的服务方案产品或服务方案是否有利于本项目、可行性、是否有利于化解矛盾等情况进行评审：</w:t>
            </w:r>
            <w:r/>
          </w:p>
          <w:p>
            <w:pPr>
              <w:jc w:val="left"/>
              <w:spacing w:line="360" w:lineRule="exact"/>
              <w:widowControl/>
              <w:rPr>
                <w:rFonts w:hint="eastAsia" w:ascii="宋体" w:hAnsi="宋体"/>
              </w:rPr>
            </w:pPr>
            <w:r>
              <w:rPr>
                <w:rFonts w:hint="eastAsia" w:ascii="宋体" w:hAnsi="宋体"/>
              </w:rPr>
              <w:t xml:space="preserve">提供的产品或服务方案有利于本项目、操作性强、效果明显的得5分；</w:t>
            </w:r>
            <w:r/>
          </w:p>
          <w:p>
            <w:pPr>
              <w:jc w:val="left"/>
              <w:spacing w:line="360" w:lineRule="exact"/>
              <w:widowControl/>
              <w:rPr>
                <w:rFonts w:hint="eastAsia" w:ascii="宋体" w:hAnsi="宋体"/>
              </w:rPr>
            </w:pPr>
            <w:r>
              <w:rPr>
                <w:rFonts w:hint="eastAsia" w:ascii="宋体" w:hAnsi="宋体"/>
              </w:rPr>
              <w:t xml:space="preserve">提供的产品和服务方案具有可操作性、效果一般的，得</w:t>
            </w:r>
            <w:r>
              <w:rPr>
                <w:rFonts w:ascii="宋体" w:hAnsi="宋体"/>
              </w:rPr>
              <w:t xml:space="preserve">3</w:t>
            </w:r>
            <w:r>
              <w:rPr>
                <w:rFonts w:hint="eastAsia" w:ascii="宋体" w:hAnsi="宋体"/>
              </w:rPr>
              <w:t xml:space="preserve">分；</w:t>
            </w:r>
            <w:r/>
          </w:p>
          <w:p>
            <w:pPr>
              <w:jc w:val="left"/>
              <w:spacing w:line="360" w:lineRule="exact"/>
              <w:widowControl/>
              <w:rPr>
                <w:rFonts w:hint="eastAsia" w:ascii="宋体" w:hAnsi="宋体"/>
              </w:rPr>
            </w:pPr>
            <w:r>
              <w:rPr>
                <w:rFonts w:hint="eastAsia" w:ascii="宋体" w:hAnsi="宋体"/>
              </w:rPr>
              <w:t xml:space="preserve">提供的产品和服务方案操作性不强或不符合项目需求的，得0分。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11、</w:t>
            </w:r>
            <w:r>
              <w:rPr>
                <w:rFonts w:hint="eastAsia" w:ascii="宋体" w:hAnsi="宋体" w:eastAsia="宋体"/>
                <w:sz w:val="21"/>
                <w:szCs w:val="21"/>
              </w:rPr>
              <w:t xml:space="preserve">承保服务</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根据投保流程的方便性、程序的科学性、统计的便捷性、服务质量保证体系等情况进行评审：</w:t>
            </w:r>
            <w:r>
              <w:rPr>
                <w:rFonts w:ascii="宋体" w:hAnsi="宋体"/>
              </w:rPr>
              <w:t xml:space="preserve">优于采购需求</w:t>
            </w:r>
            <w:r>
              <w:rPr>
                <w:rFonts w:hint="eastAsia" w:ascii="宋体" w:hAnsi="宋体"/>
              </w:rPr>
              <w:t xml:space="preserve">的，得5</w:t>
            </w:r>
            <w:r>
              <w:rPr>
                <w:rFonts w:ascii="宋体" w:hAnsi="宋体"/>
              </w:rPr>
              <w:t xml:space="preserve">分</w:t>
            </w:r>
            <w:r>
              <w:rPr>
                <w:rFonts w:hint="eastAsia" w:ascii="宋体" w:hAnsi="宋体"/>
              </w:rPr>
              <w:t xml:space="preserve">；</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rPr>
                <w:rFonts w:hint="eastAsia" w:ascii="宋体" w:hAnsi="宋体"/>
              </w:rPr>
              <w:t xml:space="preserve">欠缺或不符合采购需求的，得0分。</w:t>
            </w:r>
            <w:r>
              <w:rPr>
                <w:rFonts w:hint="eastAsia" w:ascii="宋体" w:hAnsi="宋体"/>
              </w:rPr>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12、</w:t>
            </w:r>
            <w:r>
              <w:rPr>
                <w:rFonts w:hint="eastAsia" w:ascii="宋体" w:hAnsi="宋体" w:eastAsia="宋体"/>
                <w:sz w:val="21"/>
                <w:szCs w:val="21"/>
              </w:rPr>
              <w:t xml:space="preserve">理赔响应承诺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根据投标人的理赔响应时效、理赔预付制度、小额案件快速理赔、抢救费担保等承诺和承诺的可靠性进行评审：</w:t>
            </w:r>
            <w:r/>
          </w:p>
          <w:p>
            <w:pPr>
              <w:spacing w:line="360" w:lineRule="exact"/>
              <w:rPr>
                <w:rFonts w:hint="eastAsia" w:ascii="宋体" w:hAnsi="宋体"/>
              </w:rPr>
            </w:pPr>
            <w:r>
              <w:rPr>
                <w:rFonts w:hint="eastAsia" w:ascii="宋体" w:hAnsi="宋体"/>
              </w:rPr>
              <w:t xml:space="preserve">理赔响应时效</w:t>
            </w:r>
            <w:r>
              <w:rPr>
                <w:rFonts w:ascii="宋体" w:hAnsi="宋体"/>
              </w:rPr>
              <w:t xml:space="preserve">优于采购需求</w:t>
            </w:r>
            <w:r>
              <w:rPr>
                <w:rFonts w:hint="eastAsia" w:ascii="宋体" w:hAnsi="宋体"/>
              </w:rPr>
              <w:t xml:space="preserve">的，得5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理赔响应时效</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理赔响应时效不能完全满足需求的，得0分。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13、</w:t>
            </w:r>
            <w:r>
              <w:rPr>
                <w:rFonts w:hint="eastAsia" w:ascii="宋体" w:hAnsi="宋体" w:eastAsia="宋体"/>
                <w:sz w:val="21"/>
                <w:szCs w:val="21"/>
              </w:rPr>
              <w:t xml:space="preserve">理赔手续</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根据投标人所提供理赔服务的便捷性，理赔流程的合理性进行评分。流程便捷、合理，</w:t>
            </w:r>
            <w:r>
              <w:rPr>
                <w:rFonts w:ascii="宋体" w:hAnsi="宋体"/>
              </w:rPr>
              <w:t xml:space="preserve">优于采购需求</w:t>
            </w:r>
            <w:r>
              <w:rPr>
                <w:rFonts w:hint="eastAsia" w:ascii="宋体" w:hAnsi="宋体"/>
              </w:rPr>
              <w:t xml:space="preserve">的，得5分；</w:t>
            </w:r>
            <w:r/>
          </w:p>
          <w:p>
            <w:pPr>
              <w:spacing w:line="360" w:lineRule="exact"/>
              <w:rPr>
                <w:rFonts w:hint="eastAsia" w:ascii="宋体" w:hAnsi="宋体"/>
              </w:rPr>
            </w:pPr>
            <w:r>
              <w:rPr>
                <w:rFonts w:hint="eastAsia" w:ascii="宋体" w:hAnsi="宋体"/>
              </w:rPr>
              <w:t xml:space="preserve">流程便捷、合理，</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理赔手续不够便捷、合理或不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rPr>
              <w:t xml:space="preserve">异地理赔承诺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根据投标人提供的异地理赔承诺方案进行评分，方案应当科学合理、高效便捷、可操作性强。</w:t>
            </w:r>
            <w:r/>
          </w:p>
          <w:p>
            <w:pPr>
              <w:spacing w:line="360" w:lineRule="exact"/>
              <w:rPr>
                <w:rFonts w:hint="eastAsia" w:ascii="宋体" w:hAnsi="宋体"/>
              </w:rPr>
            </w:pPr>
            <w:r>
              <w:rPr>
                <w:rFonts w:hint="eastAsia" w:ascii="宋体" w:hAnsi="宋体"/>
              </w:rPr>
              <w:t xml:space="preserve">承诺</w:t>
            </w:r>
            <w:r>
              <w:rPr>
                <w:rFonts w:ascii="宋体" w:hAnsi="宋体"/>
              </w:rPr>
              <w:t xml:space="preserve">优于采购需求</w:t>
            </w:r>
            <w:r>
              <w:rPr>
                <w:rFonts w:hint="eastAsia" w:ascii="宋体" w:hAnsi="宋体"/>
              </w:rPr>
              <w:t xml:space="preserve">得，得5分；</w:t>
            </w:r>
            <w:r/>
          </w:p>
          <w:p>
            <w:pPr>
              <w:spacing w:line="360" w:lineRule="exact"/>
              <w:rPr>
                <w:rFonts w:hint="eastAsia" w:ascii="宋体" w:hAnsi="宋体"/>
              </w:rPr>
            </w:pPr>
            <w:r>
              <w:rPr>
                <w:rFonts w:hint="eastAsia" w:ascii="宋体" w:hAnsi="宋体"/>
              </w:rPr>
              <w:t xml:space="preserve">承诺</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制度存在瑕疵或不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15、</w:t>
            </w:r>
            <w:r>
              <w:rPr>
                <w:rFonts w:hint="eastAsia" w:ascii="宋体" w:hAnsi="宋体" w:eastAsia="宋体"/>
                <w:sz w:val="21"/>
                <w:szCs w:val="21"/>
              </w:rPr>
              <w:t xml:space="preserve">常发案件、重大案件及纠纷案件理赔方案理赔承诺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根据投标人常发案件、重大案件及纠纷案件理赔方案理赔承诺情况进行评审：</w:t>
            </w:r>
            <w:r/>
          </w:p>
          <w:p>
            <w:pPr>
              <w:spacing w:line="360" w:lineRule="exact"/>
              <w:rPr>
                <w:rFonts w:hint="eastAsia" w:ascii="宋体" w:hAnsi="宋体"/>
              </w:rPr>
            </w:pPr>
            <w:r>
              <w:rPr>
                <w:rFonts w:hint="eastAsia" w:ascii="宋体" w:hAnsi="宋体"/>
              </w:rPr>
              <w:t xml:space="preserve">理赔承诺</w:t>
            </w:r>
            <w:r>
              <w:rPr>
                <w:rFonts w:ascii="宋体" w:hAnsi="宋体"/>
              </w:rPr>
              <w:t xml:space="preserve">优于采购需求</w:t>
            </w:r>
            <w:r>
              <w:rPr>
                <w:rFonts w:hint="eastAsia" w:ascii="宋体" w:hAnsi="宋体"/>
              </w:rPr>
              <w:t xml:space="preserve">，得5分；</w:t>
            </w:r>
            <w:r/>
          </w:p>
          <w:p>
            <w:pPr>
              <w:spacing w:line="360" w:lineRule="exact"/>
              <w:rPr>
                <w:rFonts w:hint="eastAsia" w:ascii="宋体" w:hAnsi="宋体"/>
              </w:rPr>
            </w:pPr>
            <w:r>
              <w:rPr>
                <w:rFonts w:hint="eastAsia" w:ascii="宋体" w:hAnsi="宋体"/>
              </w:rPr>
              <w:t xml:space="preserve">理赔承诺</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理赔承诺不够详尽或不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16、</w:t>
            </w:r>
            <w:r>
              <w:rPr>
                <w:rFonts w:hint="eastAsia" w:ascii="宋体" w:hAnsi="宋体" w:eastAsia="宋体" w:cs="宋体"/>
                <w:sz w:val="21"/>
                <w:szCs w:val="21"/>
                <w:shd w:val="clear" w:color="auto" w:fill="ffffff"/>
                <w:lang w:val="zh-CN"/>
              </w:rPr>
              <w:t xml:space="preserve">风险控制</w:t>
            </w:r>
            <w:r/>
          </w:p>
        </w:tc>
        <w:tc>
          <w:tcPr>
            <w:tcW w:w="6521" w:type="dxa"/>
            <w:textDirection w:val="lrTb"/>
            <w:noWrap w:val="false"/>
          </w:tcPr>
          <w:p>
            <w:pPr>
              <w:spacing w:line="360" w:lineRule="exact"/>
              <w:rPr>
                <w:rFonts w:hint="eastAsia" w:ascii="宋体" w:hAnsi="宋体"/>
              </w:rPr>
            </w:pPr>
            <w:r>
              <w:rPr>
                <w:rFonts w:hint="eastAsia" w:ascii="宋体" w:hAnsi="宋体"/>
              </w:rPr>
              <w:t xml:space="preserve">投标人应建立健全风险管理制度和体系，为每所学校建立安全管理档案，定期了解评估学校风险状况，进行安全隐患风险排查和评估，给出风险防范意见建议。围绕学校学生安全，有计划地开展校园安全宣传教育工作，推广应急演练和安全基地模拟训练，广泛开展安全体验活动，提高学校安全管理能力。根据投标人对风险防范、风险控制措施（包括但不限于制度和措施）等的承诺情况及可行性进行评审：</w:t>
            </w:r>
            <w:r/>
          </w:p>
          <w:p>
            <w:pPr>
              <w:spacing w:line="360" w:lineRule="exact"/>
              <w:rPr>
                <w:rFonts w:hint="eastAsia" w:ascii="宋体" w:hAnsi="宋体"/>
              </w:rPr>
            </w:pPr>
            <w:r>
              <w:rPr>
                <w:rFonts w:hint="eastAsia" w:ascii="宋体" w:hAnsi="宋体"/>
              </w:rPr>
              <w:t xml:space="preserve">控制措施完整，</w:t>
            </w:r>
            <w:r>
              <w:rPr>
                <w:rFonts w:ascii="宋体" w:hAnsi="宋体"/>
              </w:rPr>
              <w:t xml:space="preserve">优于采购需求</w:t>
            </w:r>
            <w:r>
              <w:rPr>
                <w:rFonts w:hint="eastAsia" w:ascii="宋体" w:hAnsi="宋体"/>
              </w:rPr>
              <w:t xml:space="preserve">得，得5分；</w:t>
            </w:r>
            <w:r/>
          </w:p>
          <w:p>
            <w:pPr>
              <w:spacing w:line="360" w:lineRule="exact"/>
              <w:rPr>
                <w:rFonts w:hint="eastAsia" w:ascii="宋体" w:hAnsi="宋体"/>
              </w:rPr>
            </w:pPr>
            <w:r>
              <w:rPr>
                <w:rFonts w:hint="eastAsia" w:ascii="宋体" w:hAnsi="宋体"/>
              </w:rPr>
              <w:t xml:space="preserve">控制措施基本完整，</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控制措施简单、有瑕疵</w:t>
            </w:r>
            <w:r>
              <w:rPr>
                <w:rFonts w:hint="eastAsia" w:ascii="宋体" w:hAnsi="宋体"/>
              </w:rPr>
              <w:t xml:space="preserve">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sz w:val="21"/>
                <w:szCs w:val="21"/>
              </w:rPr>
              <w:t xml:space="preserve">17、</w:t>
            </w:r>
            <w:r>
              <w:rPr>
                <w:rFonts w:hint="eastAsia" w:ascii="宋体" w:hAnsi="宋体" w:eastAsia="宋体"/>
                <w:sz w:val="21"/>
                <w:szCs w:val="21"/>
              </w:rPr>
              <w:t xml:space="preserve">培训方案</w:t>
            </w:r>
            <w:r/>
          </w:p>
        </w:tc>
        <w:tc>
          <w:tcPr>
            <w:tcW w:w="6521" w:type="dxa"/>
            <w:textDirection w:val="lrTb"/>
            <w:noWrap w:val="false"/>
          </w:tcPr>
          <w:p>
            <w:pPr>
              <w:spacing w:line="360" w:lineRule="exact"/>
              <w:rPr>
                <w:rFonts w:hint="eastAsia" w:ascii="宋体" w:hAnsi="宋体"/>
              </w:rPr>
            </w:pPr>
            <w:r>
              <w:rPr>
                <w:rFonts w:hint="eastAsia" w:ascii="宋体" w:hAnsi="宋体"/>
              </w:rPr>
              <w:t xml:space="preserve">制定培训工作、宣传方案及手册，就保险知识、条款解释、理赔服务、防灾防损知识等培训方案。</w:t>
            </w:r>
            <w:r/>
          </w:p>
          <w:p>
            <w:pPr>
              <w:spacing w:line="360" w:lineRule="exact"/>
              <w:rPr>
                <w:rFonts w:hint="eastAsia" w:ascii="宋体" w:hAnsi="宋体"/>
              </w:rPr>
            </w:pPr>
            <w:r>
              <w:rPr>
                <w:rFonts w:hint="eastAsia" w:ascii="宋体" w:hAnsi="宋体"/>
              </w:rPr>
              <w:t xml:space="preserve">培训方案详细，</w:t>
            </w:r>
            <w:r>
              <w:rPr>
                <w:rFonts w:ascii="宋体" w:hAnsi="宋体"/>
              </w:rPr>
              <w:t xml:space="preserve">优于采购需求</w:t>
            </w:r>
            <w:r>
              <w:rPr>
                <w:rFonts w:hint="eastAsia" w:ascii="宋体" w:hAnsi="宋体"/>
              </w:rPr>
              <w:t xml:space="preserve">的，得5分；</w:t>
            </w:r>
            <w:r/>
          </w:p>
          <w:p>
            <w:pPr>
              <w:spacing w:line="360" w:lineRule="exact"/>
              <w:rPr>
                <w:rFonts w:hint="eastAsia" w:ascii="宋体" w:hAnsi="宋体"/>
              </w:rPr>
            </w:pPr>
            <w:r>
              <w:rPr>
                <w:rFonts w:hint="eastAsia" w:ascii="宋体" w:hAnsi="宋体"/>
              </w:rPr>
              <w:t xml:space="preserve">培训方案基本完整，</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培训方案略有不足</w:t>
            </w:r>
            <w:r>
              <w:rPr>
                <w:rFonts w:hint="eastAsia" w:ascii="宋体" w:hAnsi="宋体"/>
              </w:rPr>
              <w:t xml:space="preserve">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532"/>
        </w:trPr>
        <w:tc>
          <w:tcPr>
            <w:tcW w:w="1157" w:type="dxa"/>
            <w:vAlign w:val="center"/>
            <w:textDirection w:val="lrTb"/>
            <w:noWrap w:val="false"/>
          </w:tcPr>
          <w:p>
            <w:pPr>
              <w:pStyle w:val="1007"/>
              <w:ind w:firstLine="0"/>
              <w:spacing w:line="360" w:lineRule="exact"/>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合计</w:t>
            </w:r>
            <w:r/>
          </w:p>
        </w:tc>
        <w:tc>
          <w:tcPr>
            <w:gridSpan w:val="2"/>
            <w:tcW w:w="7195" w:type="dxa"/>
            <w:vAlign w:val="center"/>
            <w:textDirection w:val="lrTb"/>
            <w:noWrap w:val="false"/>
          </w:tcPr>
          <w:p>
            <w:pPr>
              <w:pStyle w:val="1007"/>
              <w:ind w:firstLine="0"/>
              <w:spacing w:line="360" w:lineRule="exact"/>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100分（备注：投标人必须逐条响应上述所有评审细则提供有效证明材料，否则将可能导致不得分。）</w:t>
            </w:r>
            <w:bookmarkEnd w:id="207"/>
            <w:r/>
            <w:r/>
          </w:p>
        </w:tc>
      </w:tr>
    </w:tbl>
    <w:p>
      <w:pPr>
        <w:ind w:firstLine="480"/>
        <w:spacing w:line="360" w:lineRule="auto"/>
        <w:rPr>
          <w:bCs/>
          <w:sz w:val="24"/>
        </w:rPr>
      </w:pPr>
      <w:r>
        <w:rPr>
          <w:bCs/>
          <w:sz w:val="24"/>
        </w:rPr>
      </w:r>
      <w:r/>
    </w:p>
    <w:p>
      <w:pPr>
        <w:ind w:firstLine="482"/>
        <w:spacing w:line="360" w:lineRule="auto"/>
        <w:rPr>
          <w:b/>
          <w:bCs/>
          <w:sz w:val="24"/>
        </w:rPr>
      </w:pPr>
      <w:r>
        <w:rPr>
          <w:rFonts w:hint="eastAsia"/>
          <w:b/>
          <w:bCs/>
          <w:sz w:val="24"/>
        </w:rPr>
        <w:t xml:space="preserve">分包</w:t>
      </w:r>
      <w:r>
        <w:rPr>
          <w:rFonts w:hint="eastAsia"/>
          <w:b/>
          <w:bCs/>
          <w:sz w:val="24"/>
        </w:rPr>
        <w:t xml:space="preserve">2</w:t>
      </w:r>
      <w:r>
        <w:rPr>
          <w:rFonts w:hint="eastAsia"/>
          <w:b/>
          <w:bCs/>
          <w:sz w:val="24"/>
        </w:rPr>
        <w:t xml:space="preserve">、</w:t>
      </w:r>
      <w:r>
        <w:rPr>
          <w:rFonts w:hint="eastAsia"/>
          <w:b/>
          <w:bCs/>
          <w:sz w:val="24"/>
        </w:rPr>
        <w:t xml:space="preserve">3</w:t>
      </w:r>
      <w:r>
        <w:rPr>
          <w:rFonts w:hint="eastAsia"/>
          <w:b/>
          <w:bCs/>
          <w:sz w:val="24"/>
        </w:rPr>
        <w:t xml:space="preserve">、</w:t>
      </w:r>
      <w:r>
        <w:rPr>
          <w:rFonts w:hint="eastAsia"/>
          <w:b/>
          <w:bCs/>
          <w:sz w:val="24"/>
        </w:rPr>
        <w:t xml:space="preserve">4</w:t>
      </w:r>
      <w:bookmarkStart w:id="208" w:name="OLE_LINK12"/>
      <w:r>
        <w:rPr>
          <w:rFonts w:hint="eastAsia"/>
          <w:b/>
          <w:bCs/>
          <w:sz w:val="24"/>
        </w:rPr>
        <w:t xml:space="preserve">评分标准</w:t>
      </w:r>
      <w:bookmarkEnd w:id="208"/>
      <w:r>
        <w:rPr>
          <w:rFonts w:hint="eastAsia"/>
          <w:b/>
          <w:bCs/>
          <w:sz w:val="24"/>
        </w:rPr>
        <w:t xml:space="preserve">：</w:t>
      </w:r>
      <w:r/>
    </w:p>
    <w:p>
      <w:pPr>
        <w:ind w:firstLine="480"/>
        <w:spacing w:line="360" w:lineRule="auto"/>
        <w:rPr>
          <w:bCs/>
          <w:sz w:val="24"/>
        </w:rPr>
      </w:pPr>
      <w:r>
        <w:rPr>
          <w:bCs/>
          <w:sz w:val="24"/>
        </w:rPr>
        <w:t xml:space="preserve">本项目采用综合评分法确定中标候选人。评标委员会将按下列评分办法和标准进行评分，总分值为</w:t>
      </w:r>
      <w:r>
        <w:rPr>
          <w:bCs/>
          <w:sz w:val="24"/>
        </w:rPr>
        <w:t xml:space="preserve">100</w:t>
      </w:r>
      <w:r>
        <w:rPr>
          <w:bCs/>
          <w:sz w:val="24"/>
        </w:rPr>
        <w:t xml:space="preserve">分。</w:t>
      </w:r>
      <w:r/>
    </w:p>
    <w:tbl>
      <w:tblPr>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7"/>
        <w:gridCol w:w="6521"/>
        <w:gridCol w:w="674"/>
      </w:tblGrid>
      <w:tr>
        <w:trPr>
          <w:jc w:val="center"/>
          <w:trHeight w:val="436"/>
        </w:trPr>
        <w:tc>
          <w:tcPr>
            <w:tcW w:w="1157" w:type="dxa"/>
            <w:vAlign w:val="center"/>
            <w:textDirection w:val="lrTb"/>
            <w:noWrap w:val="false"/>
          </w:tcPr>
          <w:p>
            <w:pPr>
              <w:jc w:val="center"/>
              <w:spacing w:line="360" w:lineRule="exact"/>
              <w:rPr>
                <w:rFonts w:hint="eastAsia" w:ascii="宋体" w:hAnsi="宋体"/>
                <w:b/>
              </w:rPr>
            </w:pPr>
            <w:r/>
            <w:bookmarkStart w:id="209" w:name="_Hlk204007335"/>
            <w:r>
              <w:rPr>
                <w:rFonts w:hint="eastAsia" w:ascii="宋体" w:hAnsi="宋体"/>
                <w:b/>
              </w:rPr>
              <w:t xml:space="preserve">评审项目</w:t>
            </w:r>
            <w:r/>
          </w:p>
        </w:tc>
        <w:tc>
          <w:tcPr>
            <w:tcW w:w="6521"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评审标准</w:t>
            </w:r>
            <w:r/>
          </w:p>
        </w:tc>
        <w:tc>
          <w:tcPr>
            <w:tcW w:w="674"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分值</w:t>
            </w:r>
            <w:r/>
          </w:p>
        </w:tc>
      </w:tr>
      <w:tr>
        <w:trPr>
          <w:jc w:val="center"/>
          <w:trHeight w:val="413"/>
        </w:trPr>
        <w:tc>
          <w:tcPr>
            <w:gridSpan w:val="3"/>
            <w:tcW w:w="8352"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tc>
      </w:tr>
      <w:tr>
        <w:trPr>
          <w:jc w:val="center"/>
          <w:trHeight w:val="1080"/>
        </w:trPr>
        <w:tc>
          <w:tcPr>
            <w:tcW w:w="115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rPr>
                <w:rFonts w:hint="eastAsia" w:ascii="宋体" w:hAnsi="宋体"/>
              </w:rPr>
              <w:t xml:space="preserve">价格</w:t>
            </w:r>
            <w:r/>
          </w:p>
        </w:tc>
        <w:tc>
          <w:tcPr>
            <w:tcW w:w="6521"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以满足招标文件要求且投标价格最低的投标报价为评标基准价。投标报价等于评标基准价的得满分</w:t>
            </w:r>
            <w:r>
              <w:rPr>
                <w:rFonts w:ascii="宋体" w:hAnsi="宋体" w:cs="宋体"/>
              </w:rPr>
              <w:t xml:space="preserve">10</w:t>
            </w:r>
            <w:r>
              <w:rPr>
                <w:rFonts w:hint="eastAsia" w:ascii="宋体" w:hAnsi="宋体" w:cs="宋体"/>
              </w:rPr>
              <w:t xml:space="preserve">分；其他投标人的价格分统一按照下列公式计算：投标报价得分=（评标基准价/投标报价）×</w:t>
            </w:r>
            <w:r>
              <w:rPr>
                <w:rFonts w:ascii="宋体" w:hAnsi="宋体" w:cs="宋体"/>
              </w:rPr>
              <w:t xml:space="preserve">10</w:t>
            </w:r>
            <w:r>
              <w:rPr>
                <w:rFonts w:hint="eastAsia" w:ascii="宋体" w:hAnsi="宋体" w:cs="宋体"/>
              </w:rPr>
              <w:t xml:space="preserve">。</w:t>
            </w:r>
            <w:r/>
          </w:p>
        </w:tc>
        <w:tc>
          <w:tcPr>
            <w:tcW w:w="674" w:type="dxa"/>
            <w:vAlign w:val="center"/>
            <w:textDirection w:val="lrTb"/>
            <w:noWrap w:val="false"/>
          </w:tcPr>
          <w:p>
            <w:pPr>
              <w:jc w:val="center"/>
              <w:spacing w:line="360" w:lineRule="exact"/>
              <w:rPr>
                <w:rFonts w:hint="eastAsia" w:ascii="宋体" w:hAnsi="宋体"/>
              </w:rPr>
            </w:pPr>
            <w:r>
              <w:rPr>
                <w:rFonts w:ascii="宋体" w:hAnsi="宋体"/>
              </w:rPr>
              <w:t xml:space="preserve">10</w:t>
            </w:r>
            <w:r/>
          </w:p>
        </w:tc>
      </w:tr>
      <w:tr>
        <w:trPr>
          <w:jc w:val="center"/>
          <w:trHeight w:val="418"/>
        </w:trPr>
        <w:tc>
          <w:tcPr>
            <w:gridSpan w:val="3"/>
            <w:tcW w:w="8352" w:type="dxa"/>
            <w:vAlign w:val="center"/>
            <w:textDirection w:val="lrTb"/>
            <w:noWrap w:val="false"/>
          </w:tcPr>
          <w:p>
            <w:pPr>
              <w:jc w:val="center"/>
              <w:spacing w:line="360" w:lineRule="exact"/>
              <w:rPr>
                <w:rFonts w:hint="eastAsia" w:ascii="宋体" w:hAnsi="宋体"/>
                <w:b/>
              </w:rPr>
            </w:pPr>
            <w:r>
              <w:rPr>
                <w:rFonts w:hint="eastAsia" w:ascii="宋体" w:hAnsi="宋体"/>
                <w:b/>
              </w:rPr>
              <w:t xml:space="preserve">二、商务资信：</w:t>
            </w:r>
            <w:r>
              <w:rPr>
                <w:rFonts w:ascii="宋体" w:hAnsi="宋体"/>
                <w:b/>
              </w:rPr>
              <w:t xml:space="preserve">45</w:t>
            </w:r>
            <w:r>
              <w:rPr>
                <w:rFonts w:hint="eastAsia" w:ascii="宋体" w:hAnsi="宋体"/>
                <w:b/>
              </w:rPr>
              <w:t xml:space="preserve">分</w:t>
            </w:r>
            <w:r/>
          </w:p>
        </w:tc>
      </w:tr>
      <w:tr>
        <w:trPr>
          <w:jc w:val="center"/>
          <w:trHeight w:val="960"/>
        </w:trPr>
        <w:tc>
          <w:tcPr>
            <w:tcW w:w="1157"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rPr>
              <w:t xml:space="preserve">2、</w:t>
            </w:r>
            <w:r>
              <w:rPr>
                <w:rFonts w:hint="eastAsia" w:ascii="宋体" w:hAnsi="宋体"/>
              </w:rPr>
              <w:t xml:space="preserve">核心偿付能力充足率</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投标人法人公司2</w:t>
            </w:r>
            <w:r>
              <w:rPr>
                <w:rFonts w:ascii="宋体" w:hAnsi="宋体"/>
              </w:rPr>
              <w:t xml:space="preserve">02</w:t>
            </w:r>
            <w:r>
              <w:rPr>
                <w:rFonts w:hint="eastAsia" w:ascii="宋体" w:hAnsi="宋体"/>
              </w:rPr>
              <w:t xml:space="preserve">5年度一季度的核心偿付能力充足率在2</w:t>
            </w:r>
            <w:r>
              <w:rPr>
                <w:rFonts w:ascii="宋体" w:hAnsi="宋体"/>
              </w:rPr>
              <w:t xml:space="preserve">0</w:t>
            </w:r>
            <w:r>
              <w:rPr>
                <w:rFonts w:hint="eastAsia" w:ascii="宋体" w:hAnsi="宋体"/>
              </w:rPr>
              <w:t xml:space="preserve">0%（含）以上的得</w:t>
            </w:r>
            <w:r>
              <w:rPr>
                <w:rFonts w:ascii="宋体" w:hAnsi="宋体"/>
              </w:rPr>
              <w:t xml:space="preserve">5</w:t>
            </w:r>
            <w:r>
              <w:rPr>
                <w:rFonts w:hint="eastAsia" w:ascii="宋体" w:hAnsi="宋体"/>
              </w:rPr>
              <w:t xml:space="preserve">分，在2</w:t>
            </w:r>
            <w:r>
              <w:rPr>
                <w:rFonts w:ascii="宋体" w:hAnsi="宋体"/>
              </w:rPr>
              <w:t xml:space="preserve">0</w:t>
            </w:r>
            <w:r>
              <w:rPr>
                <w:rFonts w:hint="eastAsia" w:ascii="宋体" w:hAnsi="宋体"/>
              </w:rPr>
              <w:t xml:space="preserve">0%-1</w:t>
            </w:r>
            <w:r>
              <w:rPr>
                <w:rFonts w:ascii="宋体" w:hAnsi="宋体"/>
              </w:rPr>
              <w:t xml:space="preserve">0</w:t>
            </w:r>
            <w:r>
              <w:rPr>
                <w:rFonts w:hint="eastAsia" w:ascii="宋体" w:hAnsi="宋体"/>
              </w:rPr>
              <w:t xml:space="preserve">0%（含）的得3分，1</w:t>
            </w:r>
            <w:r>
              <w:rPr>
                <w:rFonts w:ascii="宋体" w:hAnsi="宋体"/>
              </w:rPr>
              <w:t xml:space="preserve">0</w:t>
            </w:r>
            <w:r>
              <w:rPr>
                <w:rFonts w:hint="eastAsia" w:ascii="宋体" w:hAnsi="宋体"/>
              </w:rPr>
              <w:t xml:space="preserve">0%以下不得分。须提供偿付能力报告相关证明材料。不提供或不符合要求不得分。</w:t>
            </w:r>
            <w:r/>
          </w:p>
        </w:tc>
        <w:tc>
          <w:tcPr>
            <w:tcW w:w="674" w:type="dxa"/>
            <w:vAlign w:val="center"/>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ascii="宋体" w:hAnsi="宋体" w:eastAsia="宋体" w:cs="楷体_GB2312"/>
                <w:sz w:val="21"/>
                <w:szCs w:val="21"/>
                <w:lang w:val="zh-CN"/>
              </w:rPr>
              <w:t xml:space="preserve">5</w:t>
            </w:r>
            <w:r/>
          </w:p>
        </w:tc>
      </w:tr>
      <w:tr>
        <w:trPr>
          <w:jc w:val="center"/>
          <w:trHeight w:val="960"/>
        </w:trPr>
        <w:tc>
          <w:tcPr>
            <w:tcW w:w="1157"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rPr>
              <w:t xml:space="preserve">3、</w:t>
            </w:r>
            <w:r>
              <w:rPr>
                <w:rFonts w:hint="eastAsia" w:ascii="宋体" w:hAnsi="宋体"/>
              </w:rPr>
              <w:t xml:space="preserve">省内营业网点设置</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投标人经保险监管部门批准设立的有效经营网点数，覆盖</w:t>
            </w:r>
            <w:r>
              <w:t xml:space="preserve">江苏省内</w:t>
            </w:r>
            <w:r>
              <w:rPr>
                <w:rFonts w:hint="eastAsia"/>
              </w:rPr>
              <w:t xml:space="preserve">13</w:t>
            </w:r>
            <w:r>
              <w:rPr>
                <w:rFonts w:hint="eastAsia"/>
              </w:rPr>
              <w:t xml:space="preserve">个设区市</w:t>
            </w:r>
            <w:r>
              <w:rPr>
                <w:rFonts w:hint="eastAsia" w:ascii="宋体" w:hAnsi="宋体"/>
              </w:rPr>
              <w:t xml:space="preserve">的得5分，每少一个设区市经营网点扣</w:t>
            </w:r>
            <w:r>
              <w:rPr>
                <w:rFonts w:ascii="宋体" w:hAnsi="宋体"/>
              </w:rPr>
              <w:t xml:space="preserve">0.5</w:t>
            </w:r>
            <w:r>
              <w:rPr>
                <w:rFonts w:hint="eastAsia" w:ascii="宋体" w:hAnsi="宋体"/>
              </w:rPr>
              <w:t xml:space="preserve">分，扣完为止。需</w:t>
            </w:r>
            <w:r>
              <w:rPr>
                <w:rFonts w:hint="eastAsia" w:ascii="宋体" w:hAnsi="宋体"/>
              </w:rPr>
              <w:t xml:space="preserve">提供</w:t>
            </w:r>
            <w:r>
              <w:rPr>
                <w:rFonts w:hint="eastAsia" w:ascii="宋体" w:hAnsi="宋体"/>
              </w:rPr>
              <w:t xml:space="preserve">营业执照和保险许可证复印件。</w:t>
            </w:r>
            <w:r/>
          </w:p>
        </w:tc>
        <w:tc>
          <w:tcPr>
            <w:tcW w:w="674" w:type="dxa"/>
            <w:vAlign w:val="center"/>
            <w:textDirection w:val="lrTb"/>
            <w:noWrap w:val="false"/>
          </w:tcPr>
          <w:p>
            <w:pPr>
              <w:pStyle w:val="1007"/>
              <w:ind w:firstLine="0"/>
              <w:jc w:val="center"/>
              <w:spacing w:line="360" w:lineRule="exact"/>
              <w:rPr>
                <w:rFonts w:hint="eastAsia" w:ascii="宋体" w:hAnsi="宋体" w:eastAsia="宋体" w:cs="楷体_GB2312"/>
                <w:sz w:val="21"/>
                <w:szCs w:val="21"/>
                <w:lang w:val="zh-CN"/>
              </w:rPr>
            </w:pPr>
            <w:r>
              <w:rPr>
                <w:rFonts w:hint="eastAsia" w:ascii="宋体" w:hAnsi="宋体" w:eastAsia="宋体" w:cs="楷体_GB2312"/>
                <w:sz w:val="21"/>
                <w:szCs w:val="21"/>
                <w:lang w:val="zh-CN"/>
              </w:rPr>
              <w:t xml:space="preserve">5</w:t>
            </w:r>
            <w:r/>
          </w:p>
        </w:tc>
      </w:tr>
      <w:tr>
        <w:trPr>
          <w:jc w:val="center"/>
          <w:trHeight w:val="960"/>
        </w:trPr>
        <w:tc>
          <w:tcPr>
            <w:tcW w:w="1157" w:type="dxa"/>
            <w:vAlign w:val="center"/>
            <w:vMerge w:val="restart"/>
            <w:textDirection w:val="lrTb"/>
            <w:noWrap w:val="false"/>
          </w:tcPr>
          <w:p>
            <w:pPr>
              <w:pStyle w:val="1007"/>
              <w:ind w:firstLine="0"/>
              <w:jc w:val="center"/>
              <w:spacing w:line="360" w:lineRule="exact"/>
              <w:rPr>
                <w:rFonts w:hint="eastAsia" w:ascii="宋体" w:hAnsi="宋体" w:eastAsia="宋体" w:cs="楷体_GB2312"/>
                <w:sz w:val="21"/>
                <w:szCs w:val="21"/>
                <w:lang w:val="zh-CN"/>
              </w:rPr>
            </w:pPr>
            <w:r/>
            <w:bookmarkStart w:id="210" w:name="_Hlk204858134"/>
            <w:r>
              <w:rPr>
                <w:rFonts w:hint="eastAsia" w:ascii="宋体" w:hAnsi="宋体" w:eastAsia="宋体"/>
                <w:sz w:val="21"/>
                <w:szCs w:val="21"/>
              </w:rPr>
              <w:t xml:space="preserve">4、</w:t>
            </w:r>
            <w:r>
              <w:rPr>
                <w:rFonts w:hint="eastAsia" w:ascii="宋体" w:hAnsi="宋体" w:eastAsia="宋体"/>
                <w:sz w:val="21"/>
                <w:szCs w:val="21"/>
              </w:rPr>
              <w:t xml:space="preserve">投标人（含所属机构）的项目承保经验</w:t>
            </w:r>
            <w:r/>
          </w:p>
        </w:tc>
        <w:tc>
          <w:tcPr>
            <w:tcW w:w="6521" w:type="dxa"/>
            <w:vAlign w:val="center"/>
            <w:textDirection w:val="lrTb"/>
            <w:noWrap w:val="false"/>
          </w:tcPr>
          <w:p>
            <w:pPr>
              <w:spacing w:line="360" w:lineRule="exact"/>
              <w:rPr>
                <w:rFonts w:hint="eastAsia" w:ascii="宋体" w:hAnsi="宋体" w:cs="楷体_GB2312"/>
              </w:rPr>
            </w:pPr>
            <w:r>
              <w:rPr>
                <w:rFonts w:hint="eastAsia" w:ascii="宋体" w:hAnsi="宋体"/>
              </w:rPr>
              <w:t xml:space="preserve">4.1</w:t>
            </w:r>
            <w:r>
              <w:rPr>
                <w:rFonts w:hint="eastAsia" w:ascii="宋体" w:hAnsi="宋体"/>
              </w:rPr>
              <w:t xml:space="preserve"> </w:t>
            </w:r>
            <w:r>
              <w:rPr>
                <w:rFonts w:hint="eastAsia" w:ascii="宋体" w:hAnsi="宋体"/>
              </w:rPr>
              <w:t xml:space="preserve">2019年1月1日以来(以合同签订时间为准)，承保省级政府采购学生人身伤害事故责任保险或服务类似省级政府责任险、意外</w:t>
            </w:r>
            <w:r>
              <w:rPr>
                <w:rFonts w:hint="eastAsia" w:ascii="宋体" w:hAnsi="宋体"/>
              </w:rPr>
              <w:t xml:space="preserve">险项目</w:t>
            </w:r>
            <w:r>
              <w:rPr>
                <w:rFonts w:hint="eastAsia" w:ascii="宋体" w:hAnsi="宋体"/>
              </w:rPr>
              <w:t xml:space="preserve">的，以每一投保人为单位计算，同一投保人的不同年度同项目保险合同不重复计算。每有一份得1分，最高得5分。提供合同复印件或相关证明材料。</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416"/>
        </w:trPr>
        <w:tc>
          <w:tcPr>
            <w:tcW w:w="1157" w:type="dxa"/>
            <w:vAlign w:val="center"/>
            <w:vMerge w:val="continue"/>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4.2</w:t>
            </w:r>
            <w:r>
              <w:rPr>
                <w:rFonts w:hint="eastAsia" w:ascii="宋体" w:hAnsi="宋体"/>
              </w:rPr>
              <w:t xml:space="preserve">省级政府采购学生人身伤害事故责任保险或服务类似省级政府责任险、意外险项目的，投标人承保工作方面（包括但不限于流程设计、便民举措、数据统计、落地宣传、协调配合等五方面）的经验、表现进行评审：</w:t>
            </w:r>
            <w:r>
              <w:rPr>
                <w:rFonts w:ascii="宋体" w:hAnsi="宋体"/>
              </w:rPr>
              <w:t xml:space="preserve">优于采购需求</w:t>
            </w:r>
            <w:r>
              <w:rPr>
                <w:rFonts w:hint="eastAsia" w:ascii="宋体" w:hAnsi="宋体"/>
              </w:rPr>
              <w:t xml:space="preserve">，得</w:t>
            </w:r>
            <w:r>
              <w:rPr>
                <w:rFonts w:ascii="宋体" w:hAnsi="宋体"/>
              </w:rPr>
              <w:t xml:space="preserve">5</w:t>
            </w:r>
            <w:r>
              <w:rPr>
                <w:rFonts w:hint="eastAsia" w:ascii="宋体" w:hAnsi="宋体"/>
              </w:rPr>
              <w:t xml:space="preserve">分；</w:t>
            </w:r>
            <w:r>
              <w:rPr>
                <w:rFonts w:ascii="宋体" w:hAnsi="宋体"/>
              </w:rPr>
              <w:t xml:space="preserve">符合采购需求</w:t>
            </w:r>
            <w:r>
              <w:rPr>
                <w:rFonts w:hint="eastAsia" w:ascii="宋体" w:hAnsi="宋体"/>
              </w:rPr>
              <w:t xml:space="preserve">，得</w:t>
            </w:r>
            <w:r>
              <w:rPr>
                <w:rFonts w:ascii="宋体" w:hAnsi="宋体"/>
              </w:rPr>
              <w:t xml:space="preserve">3</w:t>
            </w:r>
            <w:r>
              <w:rPr>
                <w:rFonts w:hint="eastAsia" w:ascii="宋体" w:hAnsi="宋体"/>
              </w:rPr>
              <w:t xml:space="preserve">分；</w:t>
            </w:r>
            <w:r>
              <w:rPr>
                <w:rFonts w:hint="eastAsia" w:ascii="宋体" w:hAnsi="宋体"/>
              </w:rPr>
            </w:r>
            <w:r/>
          </w:p>
          <w:p>
            <w:pPr>
              <w:spacing w:line="360" w:lineRule="exact"/>
              <w:rPr>
                <w:rFonts w:hint="eastAsia" w:ascii="宋体" w:hAnsi="宋体"/>
              </w:rPr>
            </w:pPr>
            <w:r>
              <w:rPr>
                <w:rFonts w:hint="eastAsia" w:ascii="宋体" w:hAnsi="宋体"/>
              </w:rPr>
              <w:t xml:space="preserve">未提供内容或承保经验不符合采购需求，得</w:t>
            </w:r>
            <w:r>
              <w:rPr>
                <w:rFonts w:ascii="宋体" w:hAnsi="宋体"/>
              </w:rPr>
              <w:t xml:space="preserve">0</w:t>
            </w:r>
            <w:r>
              <w:rPr>
                <w:rFonts w:hint="eastAsia" w:ascii="宋体" w:hAnsi="宋体"/>
              </w:rPr>
              <w:t xml:space="preserve"> 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ascii="宋体" w:hAnsi="宋体" w:cs="楷体_GB2312"/>
                <w:lang w:val="zh-CN"/>
              </w:rPr>
              <w:t xml:space="preserve">5</w:t>
            </w:r>
            <w:r/>
          </w:p>
        </w:tc>
      </w:tr>
      <w:tr>
        <w:trPr>
          <w:jc w:val="center"/>
          <w:trHeight w:val="960"/>
        </w:trPr>
        <w:tc>
          <w:tcPr>
            <w:tcW w:w="1157" w:type="dxa"/>
            <w:vAlign w:val="center"/>
            <w:vMerge w:val="restart"/>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投标人（含所属机构）的项目理赔经验</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5.1</w:t>
            </w:r>
            <w:r>
              <w:rPr>
                <w:rFonts w:hint="eastAsia" w:ascii="宋体" w:hAnsi="宋体"/>
              </w:rPr>
              <w:t xml:space="preserve">投标人2019年1月1日以来(以赔款支付时间为准)，省级政府采购学生人身伤害事故责任保险或服务类似省级政府责任险、意外险项目的，单个案件赔案金额大于50万（含共保）的已决理赔案例（按赔偿最小计数单位算）超15个（不含）以上得5分，15个（含）-10（含）个得4分，9个（含 ）-5（含）个得3分，5个（不含）以下</w:t>
            </w:r>
            <w:r>
              <w:rPr>
                <w:rFonts w:hint="eastAsia" w:ascii="宋体" w:hAnsi="宋体"/>
              </w:rPr>
              <w:t xml:space="preserve">得1分，无上述案例不得分。需提供已决赔案的赔款计算书和支付凭证（复印件）</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bookmarkEnd w:id="210"/>
            <w:r/>
            <w:r/>
          </w:p>
        </w:tc>
      </w:tr>
      <w:tr>
        <w:trPr>
          <w:jc w:val="center"/>
          <w:trHeight w:val="960"/>
        </w:trPr>
        <w:tc>
          <w:tcPr>
            <w:tcW w:w="1157" w:type="dxa"/>
            <w:vAlign w:val="center"/>
            <w:vMerge w:val="continue"/>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5.2</w:t>
            </w:r>
            <w:r>
              <w:rPr>
                <w:rFonts w:hint="eastAsia" w:ascii="宋体" w:hAnsi="宋体"/>
              </w:rPr>
              <w:t xml:space="preserve">投标人在省级政府采购学生人身伤害事故责任保险或服务类似省级政府责任险、意外险项目的理赔工作方面（包括但不限于服务便捷、理赔效率等方面）的经验、表现进行评审：</w:t>
            </w:r>
            <w:r>
              <w:rPr>
                <w:rFonts w:ascii="宋体" w:hAnsi="宋体"/>
              </w:rPr>
              <w:t xml:space="preserve">优于采购需求</w:t>
            </w:r>
            <w:r>
              <w:rPr>
                <w:rFonts w:hint="eastAsia" w:ascii="宋体" w:hAnsi="宋体"/>
              </w:rPr>
              <w:t xml:space="preserve">，得5分；</w:t>
            </w:r>
            <w:r>
              <w:rPr>
                <w:rFonts w:hint="eastAsia" w:ascii="宋体" w:hAnsi="宋体"/>
              </w:rPr>
              <w:t xml:space="preserve">基本</w:t>
            </w:r>
            <w:r>
              <w:rPr>
                <w:rFonts w:ascii="宋体" w:hAnsi="宋体"/>
              </w:rPr>
              <w:t xml:space="preserve">符合采购需求</w:t>
            </w:r>
            <w:r>
              <w:rPr>
                <w:rFonts w:hint="eastAsia" w:ascii="宋体" w:hAnsi="宋体"/>
              </w:rPr>
              <w:t xml:space="preserve">，得</w:t>
            </w:r>
            <w:r>
              <w:rPr>
                <w:rFonts w:ascii="宋体" w:hAnsi="宋体"/>
              </w:rPr>
              <w:t xml:space="preserve">3</w:t>
            </w:r>
            <w:r>
              <w:rPr>
                <w:rFonts w:hint="eastAsia" w:ascii="宋体" w:hAnsi="宋体"/>
              </w:rPr>
              <w:t xml:space="preserve">分；</w:t>
            </w:r>
            <w:r>
              <w:rPr>
                <w:rFonts w:hint="eastAsia" w:ascii="宋体" w:hAnsi="宋体"/>
              </w:rPr>
              <w:t xml:space="preserve">未提供内容或承保经验不符合采购需求，得</w:t>
            </w:r>
            <w:r>
              <w:rPr>
                <w:rFonts w:ascii="宋体" w:hAnsi="宋体"/>
              </w:rPr>
              <w:t xml:space="preserve">0</w:t>
            </w:r>
            <w:r>
              <w:rPr>
                <w:rFonts w:hint="eastAsia" w:ascii="宋体" w:hAnsi="宋体"/>
              </w:rPr>
              <w:t xml:space="preserve">分。</w:t>
            </w:r>
            <w:r>
              <w:rPr>
                <w:rFonts w:hint="eastAsia" w:ascii="宋体" w:hAnsi="宋体"/>
              </w:rPr>
            </w:r>
            <w:r/>
          </w:p>
        </w:tc>
        <w:tc>
          <w:tcPr>
            <w:tcW w:w="674" w:type="dxa"/>
            <w:vAlign w:val="center"/>
            <w:textDirection w:val="lrTb"/>
            <w:noWrap w:val="false"/>
          </w:tcPr>
          <w:p>
            <w:pPr>
              <w:jc w:val="center"/>
              <w:spacing w:line="360" w:lineRule="exact"/>
              <w:rPr>
                <w:rFonts w:hint="eastAsia" w:ascii="宋体" w:hAnsi="宋体" w:cs="楷体_GB2312"/>
                <w:lang w:val="zh-CN"/>
              </w:rPr>
            </w:pPr>
            <w:r>
              <w:rPr>
                <w:rFonts w:ascii="宋体" w:hAnsi="宋体" w:cs="楷体_GB2312"/>
                <w:lang w:val="zh-CN"/>
              </w:rPr>
              <w:t xml:space="preserve">5</w:t>
            </w:r>
            <w:r/>
          </w:p>
        </w:tc>
      </w:tr>
      <w:tr>
        <w:trPr>
          <w:jc w:val="center"/>
          <w:trHeight w:val="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投标人总体评价</w:t>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根据投标人的与本项目相关的履约经验及参与社会公共服务项目的情况；投标人总体实力、影响力、投标人品牌的江苏市场认可度证明材料酌情打分。</w:t>
            </w:r>
            <w:r/>
          </w:p>
          <w:p>
            <w:pPr>
              <w:jc w:val="left"/>
              <w:spacing w:line="360" w:lineRule="exact"/>
              <w:widowControl/>
              <w:rPr>
                <w:rFonts w:hint="eastAsia" w:ascii="宋体" w:hAnsi="宋体"/>
              </w:rPr>
            </w:pPr>
            <w:r>
              <w:rPr>
                <w:rFonts w:hint="eastAsia" w:ascii="宋体" w:hAnsi="宋体"/>
              </w:rPr>
              <w:t xml:space="preserve">优于项目需求的得5分；</w:t>
            </w:r>
            <w:r/>
          </w:p>
          <w:p>
            <w:pPr>
              <w:jc w:val="left"/>
              <w:spacing w:line="360" w:lineRule="exact"/>
              <w:widowControl/>
              <w:rPr>
                <w:rFonts w:hint="eastAsia" w:ascii="宋体" w:hAnsi="宋体"/>
              </w:rPr>
            </w:pPr>
            <w:r>
              <w:rPr>
                <w:rFonts w:hint="eastAsia" w:ascii="宋体" w:hAnsi="宋体"/>
              </w:rPr>
              <w:t xml:space="preserve">符合项目需求的得</w:t>
            </w:r>
            <w:r>
              <w:rPr>
                <w:rFonts w:ascii="宋体" w:hAnsi="宋体"/>
              </w:rPr>
              <w:t xml:space="preserve">3</w:t>
            </w:r>
            <w:r>
              <w:rPr>
                <w:rFonts w:hint="eastAsia" w:ascii="宋体" w:hAnsi="宋体"/>
              </w:rPr>
              <w:t xml:space="preserve">分；</w:t>
            </w:r>
            <w:r/>
          </w:p>
          <w:p>
            <w:pPr>
              <w:jc w:val="left"/>
              <w:spacing w:line="360" w:lineRule="exact"/>
              <w:widowControl/>
              <w:rPr>
                <w:rFonts w:hint="eastAsia" w:ascii="宋体" w:hAnsi="宋体"/>
              </w:rPr>
            </w:pPr>
            <w:r>
              <w:rPr>
                <w:rFonts w:hint="eastAsia" w:ascii="宋体" w:hAnsi="宋体"/>
              </w:rPr>
              <w:t xml:space="preserve">未提供或不符合，得</w:t>
            </w:r>
            <w:r>
              <w:rPr>
                <w:rFonts w:ascii="宋体" w:hAnsi="宋体"/>
              </w:rPr>
              <w:t xml:space="preserve">0</w:t>
            </w:r>
            <w:r>
              <w:rPr>
                <w:rFonts w:hint="eastAsia" w:ascii="宋体" w:hAnsi="宋体"/>
              </w:rPr>
              <w:t xml:space="preserve"> 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ascii="宋体" w:hAnsi="宋体" w:cs="楷体_GB2312"/>
                <w:lang w:val="zh-CN"/>
              </w:rPr>
              <w:t xml:space="preserve">5</w:t>
            </w:r>
            <w:r/>
          </w:p>
        </w:tc>
      </w:tr>
      <w:tr>
        <w:trPr>
          <w:jc w:val="center"/>
          <w:trHeight w:val="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项目负责人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设置省、市二级负责人，且具有中级或以上职称的，省级负责人具备保险行业5（含）-1</w:t>
            </w:r>
            <w:r>
              <w:rPr>
                <w:rFonts w:ascii="宋体" w:hAnsi="宋体"/>
              </w:rPr>
              <w:t xml:space="preserve">0</w:t>
            </w:r>
            <w:r>
              <w:rPr>
                <w:rFonts w:hint="eastAsia" w:ascii="宋体" w:hAnsi="宋体"/>
              </w:rPr>
              <w:t xml:space="preserve">年（不含）从业经验的，得5分；</w:t>
            </w:r>
            <w:r/>
          </w:p>
          <w:p>
            <w:pPr>
              <w:spacing w:line="360" w:lineRule="exact"/>
              <w:rPr>
                <w:rFonts w:hint="eastAsia" w:ascii="宋体" w:hAnsi="宋体"/>
              </w:rPr>
            </w:pPr>
            <w:r>
              <w:rPr>
                <w:rFonts w:hint="eastAsia" w:ascii="宋体" w:hAnsi="宋体"/>
              </w:rPr>
              <w:t xml:space="preserve">设置省级负责人， 且具有中级或以上职称的，保险行业5年以下从业经验的，得3分；</w:t>
            </w:r>
            <w:r/>
          </w:p>
          <w:p>
            <w:pPr>
              <w:spacing w:line="360" w:lineRule="exact"/>
              <w:rPr>
                <w:rFonts w:hint="eastAsia" w:ascii="宋体" w:hAnsi="宋体"/>
              </w:rPr>
            </w:pPr>
            <w:r>
              <w:rPr>
                <w:rFonts w:hint="eastAsia" w:ascii="宋体" w:hAnsi="宋体"/>
              </w:rPr>
              <w:t xml:space="preserve">仅设置省级负责人或市级负责人，无中级或以上职称的，得0分。</w:t>
            </w:r>
            <w:r/>
          </w:p>
          <w:p>
            <w:pPr>
              <w:spacing w:line="360" w:lineRule="exact"/>
              <w:rPr>
                <w:rFonts w:hint="eastAsia" w:ascii="宋体" w:hAnsi="宋体"/>
              </w:rPr>
            </w:pPr>
            <w:r>
              <w:rPr>
                <w:rFonts w:hint="eastAsia" w:ascii="宋体" w:hAnsi="宋体"/>
              </w:rPr>
              <w:t xml:space="preserve">需提供职称证明、省级负责人符合从业年限要求的聘用合同等相关证明材料。不提供不得分。</w:t>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396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服务团队</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投标人提供的服务团队成员人数不少于20人，其中，专职理赔服务人员不应少于13人。投标人项目组中保险专业专家不少于3人（具备中级或以上级职称资格），其他相关人员应具备3年或以上保险行业工作经验</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在提供承诺书及人员明细清单的前提下，投标人还应为本项目提供团队服务方案，从服务团队配备的除项目负责人外的其他</w:t>
            </w:r>
            <w:r>
              <w:rPr>
                <w:rFonts w:ascii="宋体" w:hAnsi="宋体"/>
              </w:rPr>
              <w:t xml:space="preserve">成员人数</w:t>
            </w:r>
            <w:r>
              <w:rPr>
                <w:rFonts w:hint="eastAsia" w:ascii="宋体" w:hAnsi="宋体"/>
              </w:rPr>
              <w:t xml:space="preserve">、</w:t>
            </w:r>
            <w:r>
              <w:rPr>
                <w:rFonts w:ascii="宋体" w:hAnsi="宋体"/>
              </w:rPr>
              <w:t xml:space="preserve">从业经历</w:t>
            </w:r>
            <w:r>
              <w:rPr>
                <w:rFonts w:hint="eastAsia" w:ascii="宋体" w:hAnsi="宋体"/>
              </w:rPr>
              <w:t xml:space="preserve">、教育背景、保险知识、法律知识等方面进行评审：</w:t>
            </w:r>
            <w:r/>
          </w:p>
          <w:p>
            <w:pPr>
              <w:spacing w:line="360" w:lineRule="exact"/>
              <w:rPr>
                <w:rFonts w:hint="eastAsia" w:ascii="宋体" w:hAnsi="宋体"/>
              </w:rPr>
            </w:pPr>
            <w:r>
              <w:rPr>
                <w:rFonts w:hint="eastAsia" w:ascii="宋体" w:hAnsi="宋体"/>
              </w:rPr>
              <w:t xml:space="preserve">团队服务能力</w:t>
            </w:r>
            <w:r>
              <w:rPr>
                <w:rFonts w:ascii="宋体" w:hAnsi="宋体"/>
              </w:rPr>
              <w:t xml:space="preserve">优于采购需求</w:t>
            </w:r>
            <w:r>
              <w:rPr>
                <w:rFonts w:hint="eastAsia" w:ascii="宋体" w:hAnsi="宋体"/>
              </w:rPr>
              <w:t xml:space="preserve">的，</w:t>
            </w:r>
            <w:r>
              <w:rPr>
                <w:rFonts w:hint="eastAsia" w:ascii="宋体" w:hAnsi="宋体"/>
              </w:rPr>
              <w:t xml:space="preserve">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团队服务能力</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团队服务能力存在瑕疵</w:t>
            </w:r>
            <w:bookmarkStart w:id="211" w:name="OLE_LINK14"/>
            <w:r>
              <w:rPr>
                <w:rFonts w:hint="eastAsia" w:ascii="宋体" w:hAnsi="宋体"/>
              </w:rPr>
              <w:t xml:space="preserve">或不</w:t>
            </w:r>
            <w:r>
              <w:rPr>
                <w:rFonts w:ascii="宋体" w:hAnsi="宋体"/>
              </w:rPr>
              <w:t xml:space="preserve">符合采购需求</w:t>
            </w:r>
            <w:r>
              <w:rPr>
                <w:rFonts w:hint="eastAsia" w:ascii="宋体" w:hAnsi="宋体"/>
              </w:rPr>
              <w:t xml:space="preserve">得0分。</w:t>
            </w:r>
            <w:bookmarkEnd w:id="211"/>
            <w:r/>
            <w:r/>
          </w:p>
        </w:tc>
        <w:tc>
          <w:tcPr>
            <w:tcW w:w="674" w:type="dxa"/>
            <w:vAlign w:val="center"/>
            <w:textDirection w:val="lrTb"/>
            <w:noWrap w:val="false"/>
          </w:tcPr>
          <w:p>
            <w:pPr>
              <w:jc w:val="center"/>
              <w:spacing w:line="360" w:lineRule="exact"/>
              <w:rPr>
                <w:rFonts w:hint="eastAsia" w:ascii="宋体" w:hAnsi="宋体" w:cs="楷体_GB2312"/>
                <w:lang w:val="zh-CN"/>
              </w:rPr>
            </w:pPr>
            <w:r>
              <w:rPr>
                <w:rFonts w:hint="eastAsia" w:ascii="宋体" w:hAnsi="宋体" w:cs="楷体_GB2312"/>
                <w:lang w:val="zh-CN"/>
              </w:rPr>
              <w:t xml:space="preserve">5</w:t>
            </w:r>
            <w:r/>
          </w:p>
        </w:tc>
      </w:tr>
      <w:tr>
        <w:trPr>
          <w:jc w:val="center"/>
          <w:trHeight w:val="503"/>
        </w:trPr>
        <w:tc>
          <w:tcPr>
            <w:gridSpan w:val="3"/>
            <w:tcW w:w="8352" w:type="dxa"/>
            <w:vAlign w:val="center"/>
            <w:textDirection w:val="lrTb"/>
            <w:noWrap w:val="false"/>
          </w:tcPr>
          <w:p>
            <w:pPr>
              <w:pStyle w:val="1007"/>
              <w:ind w:firstLine="0"/>
              <w:jc w:val="center"/>
              <w:spacing w:line="360" w:lineRule="exact"/>
              <w:rPr>
                <w:rFonts w:hint="eastAsia" w:ascii="宋体" w:hAnsi="宋体" w:eastAsia="宋体"/>
                <w:b/>
                <w:sz w:val="21"/>
                <w:szCs w:val="21"/>
                <w:shd w:val="clear" w:color="auto" w:fill="ffffff"/>
              </w:rPr>
            </w:pPr>
            <w:r>
              <w:rPr>
                <w:rFonts w:hint="eastAsia" w:ascii="宋体" w:hAnsi="宋体" w:eastAsia="宋体" w:cs="宋体"/>
                <w:b/>
                <w:sz w:val="21"/>
                <w:szCs w:val="21"/>
                <w:shd w:val="clear" w:color="auto" w:fill="ffffff"/>
                <w:lang w:val="zh-CN"/>
              </w:rPr>
              <w:t xml:space="preserve">三、技术及服务能力：</w:t>
            </w:r>
            <w:r>
              <w:rPr>
                <w:rFonts w:ascii="宋体" w:hAnsi="宋体" w:eastAsia="宋体" w:cs="宋体"/>
                <w:b/>
                <w:sz w:val="21"/>
                <w:szCs w:val="21"/>
                <w:shd w:val="clear" w:color="auto" w:fill="ffffff"/>
                <w:lang w:val="zh-CN"/>
              </w:rPr>
              <w:t xml:space="preserve">45</w:t>
            </w:r>
            <w:r>
              <w:rPr>
                <w:rFonts w:hint="eastAsia" w:ascii="宋体" w:hAnsi="宋体" w:eastAsia="宋体" w:cs="宋体"/>
                <w:b/>
                <w:sz w:val="21"/>
                <w:szCs w:val="21"/>
                <w:shd w:val="clear" w:color="auto" w:fill="ffffff"/>
                <w:lang w:val="zh-CN"/>
              </w:rPr>
              <w:t xml:space="preserve">分</w:t>
            </w:r>
            <w:r/>
          </w:p>
        </w:tc>
      </w:tr>
      <w:tr>
        <w:trPr>
          <w:jc w:val="center"/>
          <w:trHeight w:val="2570"/>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9、</w:t>
            </w:r>
            <w:r>
              <w:rPr>
                <w:rFonts w:hint="eastAsia" w:ascii="宋体" w:hAnsi="宋体" w:eastAsia="宋体"/>
                <w:sz w:val="21"/>
                <w:szCs w:val="21"/>
              </w:rPr>
              <w:t xml:space="preserve">保险方案（责任范围、</w:t>
            </w:r>
            <w:r>
              <w:rPr>
                <w:rFonts w:hint="eastAsia" w:ascii="宋体" w:hAnsi="宋体" w:eastAsia="宋体"/>
                <w:sz w:val="21"/>
                <w:szCs w:val="21"/>
              </w:rPr>
              <w:t xml:space="preserve">保险金额、特别约定等）</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根据投标人对招标人提供的保险方案中责任范围、保险金额、扩展条款、特别约定等的响应程度，并承诺完全响应分包一项目中标人的保险条款及保险方案，进行评审：</w:t>
            </w:r>
            <w:r/>
          </w:p>
          <w:p>
            <w:pPr>
              <w:spacing w:line="360" w:lineRule="exact"/>
              <w:rPr>
                <w:rFonts w:hint="eastAsia" w:ascii="宋体" w:hAnsi="宋体"/>
              </w:rPr>
            </w:pPr>
            <w:r>
              <w:rPr>
                <w:rFonts w:hint="eastAsia" w:ascii="宋体" w:hAnsi="宋体"/>
              </w:rPr>
              <w:t xml:space="preserve">内容完整全面，保险方案</w:t>
            </w:r>
            <w:r>
              <w:rPr>
                <w:rFonts w:ascii="宋体" w:hAnsi="宋体"/>
              </w:rPr>
              <w:t xml:space="preserve">优于采购需求</w:t>
            </w:r>
            <w:r>
              <w:rPr>
                <w:rFonts w:hint="eastAsia" w:ascii="宋体" w:hAnsi="宋体"/>
              </w:rPr>
              <w:t xml:space="preserve">得5分；</w:t>
            </w:r>
            <w:r/>
          </w:p>
          <w:p>
            <w:pPr>
              <w:spacing w:line="360" w:lineRule="exact"/>
              <w:rPr>
                <w:rFonts w:hint="eastAsia" w:ascii="宋体" w:hAnsi="宋体"/>
              </w:rPr>
            </w:pPr>
            <w:r>
              <w:rPr>
                <w:rFonts w:hint="eastAsia" w:ascii="宋体" w:hAnsi="宋体"/>
              </w:rPr>
              <w:t xml:space="preserve">内容基本完整，保险方案基本</w:t>
            </w:r>
            <w:r>
              <w:rPr>
                <w:rFonts w:ascii="宋体" w:hAnsi="宋体"/>
              </w:rPr>
              <w:t xml:space="preserve">符合采购需求</w:t>
            </w:r>
            <w:r>
              <w:rPr>
                <w:rFonts w:hint="eastAsia" w:ascii="宋体" w:hAnsi="宋体"/>
              </w:rPr>
              <w:t xml:space="preserve">，得3分；</w:t>
            </w:r>
            <w:r/>
          </w:p>
          <w:p>
            <w:pPr>
              <w:spacing w:line="360" w:lineRule="exact"/>
              <w:rPr>
                <w:rFonts w:hint="eastAsia" w:ascii="宋体" w:hAnsi="宋体"/>
              </w:rPr>
            </w:pPr>
            <w:r>
              <w:rPr>
                <w:rFonts w:hint="eastAsia" w:ascii="宋体" w:hAnsi="宋体"/>
              </w:rPr>
              <w:t xml:space="preserve">内容不够完善、方案不足</w:t>
            </w:r>
            <w:r>
              <w:rPr>
                <w:rFonts w:hint="eastAsia" w:ascii="宋体" w:hAnsi="宋体"/>
              </w:rPr>
              <w:t xml:space="preserve">或不</w:t>
            </w:r>
            <w:r>
              <w:rPr>
                <w:rFonts w:ascii="宋体" w:hAnsi="宋体"/>
              </w:rPr>
              <w:t xml:space="preserve">符合采购需求</w:t>
            </w:r>
            <w:r>
              <w:rPr>
                <w:rFonts w:hint="eastAsia" w:ascii="宋体" w:hAnsi="宋体"/>
              </w:rPr>
              <w:t xml:space="preserve">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251"/>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10、其它</w:t>
            </w:r>
            <w:r>
              <w:rPr>
                <w:rFonts w:hint="eastAsia" w:ascii="宋体" w:hAnsi="宋体" w:eastAsia="宋体"/>
                <w:sz w:val="21"/>
                <w:szCs w:val="21"/>
              </w:rPr>
              <w:t xml:space="preserve">服务方案</w:t>
            </w:r>
            <w:r/>
          </w:p>
        </w:tc>
        <w:tc>
          <w:tcPr>
            <w:tcW w:w="6521" w:type="dxa"/>
            <w:vAlign w:val="center"/>
            <w:textDirection w:val="lrTb"/>
            <w:noWrap w:val="false"/>
          </w:tcPr>
          <w:p>
            <w:pPr>
              <w:jc w:val="left"/>
              <w:spacing w:line="360" w:lineRule="exact"/>
              <w:widowControl/>
              <w:rPr>
                <w:rFonts w:hint="eastAsia" w:ascii="宋体" w:hAnsi="宋体"/>
              </w:rPr>
            </w:pPr>
            <w:r>
              <w:rPr>
                <w:rFonts w:hint="eastAsia" w:ascii="宋体" w:hAnsi="宋体"/>
              </w:rPr>
              <w:t xml:space="preserve">投标人承诺完全响应分包一项目中标人的其它服务方案，配合分包一项目中标人做好保险服务工作。并根据投标人提供的招标文件要求的方案外的其他保险特色</w:t>
            </w:r>
            <w:r>
              <w:rPr>
                <w:rFonts w:hint="eastAsia" w:ascii="宋体" w:hAnsi="宋体" w:eastAsia="宋体"/>
                <w:sz w:val="21"/>
                <w:szCs w:val="21"/>
              </w:rPr>
              <w:t xml:space="preserve">其它</w:t>
            </w:r>
            <w:r>
              <w:rPr>
                <w:rFonts w:hint="eastAsia" w:ascii="宋体" w:hAnsi="宋体" w:eastAsia="宋体"/>
                <w:sz w:val="21"/>
                <w:szCs w:val="21"/>
              </w:rPr>
              <w:t xml:space="preserve">服务</w:t>
            </w:r>
            <w:r>
              <w:rPr>
                <w:rFonts w:hint="eastAsia" w:ascii="宋体" w:hAnsi="宋体"/>
              </w:rPr>
              <w:t xml:space="preserve">方案（风控服务、培训服务等）打分，投标人提供的</w:t>
            </w:r>
            <w:r>
              <w:rPr>
                <w:rFonts w:hint="eastAsia" w:ascii="宋体" w:hAnsi="宋体" w:eastAsia="宋体"/>
                <w:sz w:val="21"/>
                <w:szCs w:val="21"/>
              </w:rPr>
              <w:t xml:space="preserve">其它</w:t>
            </w:r>
            <w:r>
              <w:rPr>
                <w:rFonts w:hint="eastAsia" w:ascii="宋体" w:hAnsi="宋体" w:eastAsia="宋体"/>
                <w:sz w:val="21"/>
                <w:szCs w:val="21"/>
              </w:rPr>
              <w:t xml:space="preserve">服务</w:t>
            </w:r>
            <w:r>
              <w:rPr>
                <w:rFonts w:hint="eastAsia" w:ascii="宋体" w:hAnsi="宋体"/>
              </w:rPr>
              <w:t xml:space="preserve">方案是否有利于本项目、可行性、是否有利于化解矛盾等情况进行评审：</w:t>
            </w:r>
            <w:r/>
          </w:p>
          <w:p>
            <w:pPr>
              <w:jc w:val="left"/>
              <w:spacing w:line="360" w:lineRule="exact"/>
              <w:widowControl/>
              <w:rPr>
                <w:rFonts w:hint="eastAsia" w:ascii="宋体" w:hAnsi="宋体"/>
              </w:rPr>
            </w:pPr>
            <w:r>
              <w:rPr>
                <w:rFonts w:hint="eastAsia" w:ascii="宋体" w:hAnsi="宋体"/>
              </w:rPr>
              <w:t xml:space="preserve">提供的产品或服务方案有利于本项目、操作性强、效果明显的优于采购需求得5分；</w:t>
            </w:r>
            <w:r/>
          </w:p>
          <w:p>
            <w:pPr>
              <w:jc w:val="left"/>
              <w:spacing w:line="360" w:lineRule="exact"/>
              <w:widowControl/>
              <w:rPr>
                <w:rFonts w:hint="eastAsia" w:ascii="宋体" w:hAnsi="宋体"/>
              </w:rPr>
            </w:pPr>
            <w:r>
              <w:rPr>
                <w:rFonts w:hint="eastAsia" w:ascii="宋体" w:hAnsi="宋体"/>
              </w:rPr>
              <w:t xml:space="preserve">提供的产品和服务方案具有可操作性、效果一般的，符合采购需求得</w:t>
            </w:r>
            <w:r>
              <w:rPr>
                <w:rFonts w:ascii="宋体" w:hAnsi="宋体"/>
              </w:rPr>
              <w:t xml:space="preserve">3</w:t>
            </w:r>
            <w:r>
              <w:rPr>
                <w:rFonts w:hint="eastAsia" w:ascii="宋体" w:hAnsi="宋体"/>
              </w:rPr>
              <w:t xml:space="preserve">分；</w:t>
            </w:r>
            <w:r/>
          </w:p>
          <w:p>
            <w:pPr>
              <w:jc w:val="left"/>
              <w:spacing w:line="360" w:lineRule="exact"/>
              <w:widowControl/>
              <w:rPr>
                <w:rFonts w:hint="eastAsia" w:ascii="宋体" w:hAnsi="宋体"/>
              </w:rPr>
            </w:pPr>
            <w:r>
              <w:rPr>
                <w:rFonts w:hint="eastAsia" w:ascii="宋体" w:hAnsi="宋体"/>
              </w:rPr>
              <w:t xml:space="preserve">提供的产品和服务方案操作性不强或不</w:t>
            </w:r>
            <w:r>
              <w:rPr>
                <w:rFonts w:ascii="宋体" w:hAnsi="宋体"/>
              </w:rPr>
              <w:t xml:space="preserve">符合采购需求</w:t>
            </w:r>
            <w:r>
              <w:rPr>
                <w:rFonts w:hint="eastAsia" w:ascii="宋体" w:hAnsi="宋体"/>
              </w:rPr>
              <w:t xml:space="preserve">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11、</w:t>
            </w:r>
            <w:r>
              <w:rPr>
                <w:rFonts w:hint="eastAsia" w:ascii="宋体" w:hAnsi="宋体" w:eastAsia="宋体"/>
                <w:sz w:val="21"/>
                <w:szCs w:val="21"/>
              </w:rPr>
              <w:t xml:space="preserve">承保服务</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根据投标人配合分包一项目中标人的承保服务方案，服务质量保证体系，至少应包括服务体系建设、人员组织保障、投诉反映渠道和处理机制等情况进行评审：</w:t>
            </w:r>
            <w:r/>
          </w:p>
          <w:p>
            <w:pPr>
              <w:spacing w:line="360" w:lineRule="exact"/>
              <w:rPr>
                <w:rFonts w:hint="eastAsia" w:ascii="宋体" w:hAnsi="宋体"/>
              </w:rPr>
            </w:pPr>
            <w:r>
              <w:rPr>
                <w:rFonts w:hint="eastAsia" w:ascii="宋体" w:hAnsi="宋体"/>
              </w:rPr>
              <w:t xml:space="preserve">服务质量保证体系完整健全、科学合理，承保服务</w:t>
            </w:r>
            <w:r>
              <w:rPr>
                <w:rFonts w:ascii="宋体" w:hAnsi="宋体"/>
              </w:rPr>
              <w:t xml:space="preserve">优于采购需求</w:t>
            </w:r>
            <w:r>
              <w:rPr>
                <w:rFonts w:hint="eastAsia" w:ascii="宋体" w:hAnsi="宋体"/>
              </w:rPr>
              <w:t xml:space="preserve">的，得5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服务质量保证体系完整健全、科学合理，承保服务基本</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服务质量保证体系完整健全、科学合理，承保服务有欠缺</w:t>
            </w:r>
            <w:r>
              <w:rPr>
                <w:rFonts w:hint="eastAsia" w:ascii="宋体" w:hAnsi="宋体"/>
              </w:rPr>
              <w:t xml:space="preserve">或不</w:t>
            </w:r>
            <w:r>
              <w:rPr>
                <w:rFonts w:ascii="宋体" w:hAnsi="宋体"/>
              </w:rPr>
              <w:t xml:space="preserve">符合采购需求</w:t>
            </w:r>
            <w:r>
              <w:rPr>
                <w:rFonts w:hint="eastAsia" w:ascii="宋体" w:hAnsi="宋体"/>
              </w:rPr>
              <w:t xml:space="preserve">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12、</w:t>
            </w:r>
            <w:r>
              <w:rPr>
                <w:rFonts w:hint="eastAsia" w:ascii="宋体" w:hAnsi="宋体" w:eastAsia="宋体"/>
                <w:sz w:val="21"/>
                <w:szCs w:val="21"/>
              </w:rPr>
              <w:t xml:space="preserve">理赔分摊响应时效</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理赔分摊响应时效指投标人在接到分包一项目中标人赔款分摊通知，及时处理赔款分摊的时效。</w:t>
            </w:r>
            <w:bookmarkStart w:id="212" w:name="OLE_LINK13"/>
            <w:r>
              <w:rPr>
                <w:rFonts w:hint="eastAsia" w:ascii="宋体" w:hAnsi="宋体"/>
              </w:rPr>
              <w:t xml:space="preserve">根据投标人的承诺和承诺的可靠性进行评审：</w:t>
            </w:r>
            <w:r/>
          </w:p>
          <w:p>
            <w:pPr>
              <w:spacing w:line="360" w:lineRule="exact"/>
              <w:rPr>
                <w:rFonts w:hint="eastAsia" w:ascii="宋体" w:hAnsi="宋体"/>
              </w:rPr>
            </w:pPr>
            <w:r>
              <w:rPr>
                <w:rFonts w:hint="eastAsia" w:ascii="宋体" w:hAnsi="宋体"/>
              </w:rPr>
              <w:t xml:space="preserve">理赔分摊响应时效</w:t>
            </w:r>
            <w:r>
              <w:rPr>
                <w:rFonts w:ascii="宋体" w:hAnsi="宋体"/>
              </w:rPr>
              <w:t xml:space="preserve">优于采购需求</w:t>
            </w:r>
            <w:r>
              <w:rPr>
                <w:rFonts w:hint="eastAsia" w:ascii="宋体" w:hAnsi="宋体"/>
              </w:rPr>
              <w:t xml:space="preserve">的，得5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理赔分摊响应时效</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理赔分摊响应时效不能完全满足需求的，得0分。</w:t>
            </w:r>
            <w:bookmarkEnd w:id="212"/>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13、</w:t>
            </w:r>
            <w:r>
              <w:rPr>
                <w:rFonts w:hint="eastAsia" w:ascii="宋体" w:hAnsi="宋体" w:eastAsia="宋体"/>
                <w:sz w:val="21"/>
                <w:szCs w:val="21"/>
              </w:rPr>
              <w:t xml:space="preserve">理赔分摊手续</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根据投标人所提供理赔分摊手续的便捷性，理赔流程的合理性进行评分。流程便捷、合理，</w:t>
            </w:r>
            <w:r>
              <w:rPr>
                <w:rFonts w:ascii="宋体" w:hAnsi="宋体"/>
              </w:rPr>
              <w:t xml:space="preserve">优于采购需求</w:t>
            </w:r>
            <w:r>
              <w:rPr>
                <w:rFonts w:hint="eastAsia" w:ascii="宋体" w:hAnsi="宋体"/>
              </w:rPr>
              <w:t xml:space="preserve">的，得5分；</w:t>
            </w:r>
            <w:r/>
          </w:p>
          <w:p>
            <w:pPr>
              <w:spacing w:line="360" w:lineRule="exact"/>
              <w:rPr>
                <w:rFonts w:hint="eastAsia" w:ascii="宋体" w:hAnsi="宋体"/>
              </w:rPr>
            </w:pPr>
            <w:r>
              <w:rPr>
                <w:rFonts w:hint="eastAsia" w:ascii="宋体" w:hAnsi="宋体"/>
              </w:rPr>
              <w:t xml:space="preserve">流程便捷、合理，</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理赔手续不够便捷、合理</w:t>
            </w:r>
            <w:r>
              <w:rPr>
                <w:rFonts w:hint="eastAsia" w:ascii="宋体" w:hAnsi="宋体"/>
              </w:rPr>
              <w:t xml:space="preserve">或不</w:t>
            </w:r>
            <w:r>
              <w:rPr>
                <w:rFonts w:ascii="宋体" w:hAnsi="宋体"/>
              </w:rPr>
              <w:t xml:space="preserve">符合采购需求</w:t>
            </w:r>
            <w:r>
              <w:rPr>
                <w:rFonts w:hint="eastAsia" w:ascii="宋体" w:hAnsi="宋体"/>
              </w:rPr>
              <w:t xml:space="preserve">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rPr>
              <w:t xml:space="preserve">常发案件、重大案件及纠纷案件理赔方案理赔承诺</w:t>
            </w:r>
            <w:r/>
          </w:p>
        </w:tc>
        <w:tc>
          <w:tcPr>
            <w:tcW w:w="6521" w:type="dxa"/>
            <w:vAlign w:val="center"/>
            <w:textDirection w:val="lrTb"/>
            <w:noWrap w:val="false"/>
          </w:tcPr>
          <w:p>
            <w:pPr>
              <w:spacing w:line="360" w:lineRule="exact"/>
              <w:rPr>
                <w:rFonts w:hint="eastAsia" w:ascii="宋体" w:hAnsi="宋体"/>
              </w:rPr>
            </w:pPr>
            <w:r>
              <w:rPr>
                <w:rFonts w:hint="eastAsia" w:ascii="宋体" w:hAnsi="宋体"/>
              </w:rPr>
              <w:t xml:space="preserve">根据投标人配合分包一项目中标人的常发案件、重大案件及纠纷案件理赔方案理赔承诺情况进行评审：</w:t>
            </w:r>
            <w:r/>
          </w:p>
          <w:p>
            <w:pPr>
              <w:spacing w:line="360" w:lineRule="exact"/>
              <w:rPr>
                <w:rFonts w:hint="eastAsia" w:ascii="宋体" w:hAnsi="宋体"/>
              </w:rPr>
            </w:pPr>
            <w:r>
              <w:rPr>
                <w:rFonts w:hint="eastAsia" w:ascii="宋体" w:hAnsi="宋体"/>
              </w:rPr>
              <w:t xml:space="preserve">理赔承诺</w:t>
            </w:r>
            <w:r>
              <w:rPr>
                <w:rFonts w:ascii="宋体" w:hAnsi="宋体"/>
              </w:rPr>
              <w:t xml:space="preserve">优于采购需求</w:t>
            </w:r>
            <w:r>
              <w:rPr>
                <w:rFonts w:hint="eastAsia" w:ascii="宋体" w:hAnsi="宋体"/>
              </w:rPr>
              <w:t xml:space="preserve">，得5分；</w:t>
            </w:r>
            <w:r/>
          </w:p>
          <w:p>
            <w:pPr>
              <w:spacing w:line="360" w:lineRule="exact"/>
              <w:rPr>
                <w:rFonts w:hint="eastAsia" w:ascii="宋体" w:hAnsi="宋体"/>
              </w:rPr>
            </w:pPr>
            <w:r>
              <w:rPr>
                <w:rFonts w:hint="eastAsia" w:ascii="宋体" w:hAnsi="宋体"/>
              </w:rPr>
              <w:t xml:space="preserve">理赔承诺</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理赔承诺不够详尽</w:t>
            </w:r>
            <w:r>
              <w:rPr>
                <w:rFonts w:hint="eastAsia" w:ascii="宋体" w:hAnsi="宋体"/>
              </w:rPr>
              <w:t xml:space="preserve">或不</w:t>
            </w:r>
            <w:r>
              <w:rPr>
                <w:rFonts w:ascii="宋体" w:hAnsi="宋体"/>
              </w:rPr>
              <w:t xml:space="preserve">符合采购需求</w:t>
            </w:r>
            <w:r>
              <w:rPr>
                <w:rFonts w:hint="eastAsia" w:ascii="宋体" w:hAnsi="宋体"/>
              </w:rPr>
              <w:t xml:space="preserve">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15、</w:t>
            </w:r>
            <w:r>
              <w:rPr>
                <w:rFonts w:hint="eastAsia" w:ascii="宋体" w:hAnsi="宋体" w:eastAsia="宋体" w:cs="宋体"/>
                <w:sz w:val="21"/>
                <w:szCs w:val="21"/>
                <w:shd w:val="clear" w:color="auto" w:fill="ffffff"/>
                <w:lang w:val="zh-CN"/>
              </w:rPr>
              <w:t xml:space="preserve">风险控制</w:t>
            </w:r>
            <w:r/>
          </w:p>
        </w:tc>
        <w:tc>
          <w:tcPr>
            <w:tcW w:w="6521" w:type="dxa"/>
            <w:textDirection w:val="lrTb"/>
            <w:noWrap w:val="false"/>
          </w:tcPr>
          <w:p>
            <w:pPr>
              <w:spacing w:line="360" w:lineRule="exact"/>
              <w:rPr>
                <w:rFonts w:hint="eastAsia" w:ascii="宋体" w:hAnsi="宋体"/>
              </w:rPr>
            </w:pPr>
            <w:r>
              <w:rPr>
                <w:rFonts w:hint="eastAsia" w:ascii="宋体" w:hAnsi="宋体"/>
              </w:rPr>
              <w:t xml:space="preserve">投标人应配合分包一项目中标人的制定</w:t>
            </w:r>
            <w:r>
              <w:rPr>
                <w:rFonts w:hint="eastAsia" w:ascii="宋体" w:hAnsi="宋体" w:cs="宋体"/>
                <w:shd w:val="clear" w:color="auto" w:fill="ffffff"/>
                <w:lang w:val="zh-CN"/>
              </w:rPr>
              <w:t xml:space="preserve">风险控制</w:t>
            </w:r>
            <w:r>
              <w:rPr>
                <w:rFonts w:hint="eastAsia" w:ascii="宋体" w:hAnsi="宋体"/>
              </w:rPr>
              <w:t xml:space="preserve">方案，建立健全风险管理制度和体系，为每所学校建立安全管理档案，定期了解评估学校风险状况，进行安全隐患风险排查和评估，给出风险防范意见建议。围绕学校学生安全，有计划地开展校园安全宣传教育工作，推广应急演练和安全基地模拟训练，广泛开展安全体验活动，提高学校安全管理能力。根据投标人对风险防范、风险控制措施（包括但不限于制度和措施）、风险防控费用分摊等的承诺情况及可行性进行评审：</w:t>
            </w:r>
            <w:r/>
          </w:p>
          <w:p>
            <w:pPr>
              <w:spacing w:line="360" w:lineRule="exact"/>
              <w:rPr>
                <w:rFonts w:hint="eastAsia" w:ascii="宋体" w:hAnsi="宋体"/>
              </w:rPr>
            </w:pPr>
            <w:r>
              <w:rPr>
                <w:rFonts w:hint="eastAsia" w:ascii="宋体" w:hAnsi="宋体"/>
              </w:rPr>
              <w:t xml:space="preserve">控制措施完整，</w:t>
            </w:r>
            <w:r>
              <w:rPr>
                <w:rFonts w:ascii="宋体" w:hAnsi="宋体"/>
              </w:rPr>
              <w:t xml:space="preserve">优于采购需求</w:t>
            </w:r>
            <w:r>
              <w:rPr>
                <w:rFonts w:hint="eastAsia" w:ascii="宋体" w:hAnsi="宋体"/>
              </w:rPr>
              <w:t xml:space="preserve">得，得5分；</w:t>
            </w:r>
            <w:r/>
          </w:p>
          <w:p>
            <w:pPr>
              <w:spacing w:line="360" w:lineRule="exact"/>
              <w:rPr>
                <w:rFonts w:hint="eastAsia" w:ascii="宋体" w:hAnsi="宋体"/>
              </w:rPr>
            </w:pPr>
            <w:r>
              <w:rPr>
                <w:rFonts w:hint="eastAsia" w:ascii="宋体" w:hAnsi="宋体"/>
              </w:rPr>
              <w:t xml:space="preserve">控制措施基本完整，</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控制措施简单有瑕疵</w:t>
            </w:r>
            <w:r>
              <w:rPr>
                <w:rFonts w:hint="eastAsia" w:ascii="宋体" w:hAnsi="宋体"/>
              </w:rPr>
              <w:t xml:space="preserve">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sz w:val="21"/>
                <w:szCs w:val="21"/>
              </w:rPr>
              <w:t xml:space="preserve">16、</w:t>
            </w:r>
            <w:r>
              <w:rPr>
                <w:rFonts w:hint="eastAsia" w:ascii="宋体" w:hAnsi="宋体" w:eastAsia="宋体"/>
                <w:sz w:val="21"/>
                <w:szCs w:val="21"/>
              </w:rPr>
              <w:t xml:space="preserve">培训方案</w:t>
            </w:r>
            <w:r/>
          </w:p>
        </w:tc>
        <w:tc>
          <w:tcPr>
            <w:tcW w:w="6521" w:type="dxa"/>
            <w:textDirection w:val="lrTb"/>
            <w:noWrap w:val="false"/>
          </w:tcPr>
          <w:p>
            <w:pPr>
              <w:spacing w:line="360" w:lineRule="exact"/>
              <w:rPr>
                <w:rFonts w:hint="eastAsia" w:ascii="宋体" w:hAnsi="宋体"/>
              </w:rPr>
            </w:pPr>
            <w:r>
              <w:rPr>
                <w:rFonts w:hint="eastAsia" w:ascii="宋体" w:hAnsi="宋体"/>
              </w:rPr>
              <w:t xml:space="preserve">投标人应配合分包一项目中标人制定培训工作、宣传方案及手册，就保险知识、条款解释、理赔服务、防灾防损知识等培训方案。</w:t>
            </w:r>
            <w:r/>
          </w:p>
          <w:p>
            <w:pPr>
              <w:spacing w:line="360" w:lineRule="exact"/>
              <w:rPr>
                <w:rFonts w:hint="eastAsia" w:ascii="宋体" w:hAnsi="宋体"/>
              </w:rPr>
            </w:pPr>
            <w:r>
              <w:rPr>
                <w:rFonts w:hint="eastAsia" w:ascii="宋体" w:hAnsi="宋体"/>
              </w:rPr>
              <w:t xml:space="preserve">培训方案详细，</w:t>
            </w:r>
            <w:r>
              <w:rPr>
                <w:rFonts w:ascii="宋体" w:hAnsi="宋体"/>
              </w:rPr>
              <w:t xml:space="preserve">优于采购需求</w:t>
            </w:r>
            <w:r>
              <w:rPr>
                <w:rFonts w:hint="eastAsia" w:ascii="宋体" w:hAnsi="宋体"/>
              </w:rPr>
              <w:t xml:space="preserve">的，得5分；</w:t>
            </w:r>
            <w:r/>
          </w:p>
          <w:p>
            <w:pPr>
              <w:spacing w:line="360" w:lineRule="exact"/>
              <w:rPr>
                <w:rFonts w:hint="eastAsia" w:ascii="宋体" w:hAnsi="宋体"/>
              </w:rPr>
            </w:pPr>
            <w:r>
              <w:rPr>
                <w:rFonts w:hint="eastAsia" w:ascii="宋体" w:hAnsi="宋体"/>
              </w:rPr>
              <w:t xml:space="preserve">培训方案基本完整，</w:t>
            </w:r>
            <w:r>
              <w:rPr>
                <w:rFonts w:ascii="宋体" w:hAnsi="宋体"/>
              </w:rPr>
              <w:t xml:space="preserve">符合采购需求</w:t>
            </w:r>
            <w:r>
              <w:rPr>
                <w:rFonts w:hint="eastAsia" w:ascii="宋体" w:hAnsi="宋体"/>
              </w:rPr>
              <w:t xml:space="preserve">的，得3分；</w:t>
            </w:r>
            <w:r/>
          </w:p>
          <w:p>
            <w:pPr>
              <w:spacing w:line="360" w:lineRule="exact"/>
              <w:rPr>
                <w:rFonts w:hint="eastAsia" w:ascii="宋体" w:hAnsi="宋体"/>
              </w:rPr>
            </w:pPr>
            <w:r>
              <w:rPr>
                <w:rFonts w:hint="eastAsia" w:ascii="宋体" w:hAnsi="宋体"/>
              </w:rPr>
              <w:t xml:space="preserve">培训方案略有不足</w:t>
            </w:r>
            <w:r>
              <w:rPr>
                <w:rFonts w:hint="eastAsia" w:ascii="宋体" w:hAnsi="宋体"/>
              </w:rPr>
              <w:t xml:space="preserve">或不</w:t>
            </w:r>
            <w:r>
              <w:rPr>
                <w:rFonts w:ascii="宋体" w:hAnsi="宋体"/>
              </w:rPr>
              <w:t xml:space="preserve">符合采购需求</w:t>
            </w:r>
            <w:r>
              <w:rPr>
                <w:rFonts w:hint="eastAsia" w:ascii="宋体" w:hAnsi="宋体"/>
              </w:rPr>
              <w:t xml:space="preserve">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416"/>
        </w:trPr>
        <w:tc>
          <w:tcPr>
            <w:tcW w:w="1157" w:type="dxa"/>
            <w:vAlign w:val="center"/>
            <w:textDirection w:val="lrTb"/>
            <w:noWrap w:val="false"/>
          </w:tcPr>
          <w:p>
            <w:pPr>
              <w:pStyle w:val="1007"/>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17、</w:t>
            </w:r>
            <w:r>
              <w:rPr>
                <w:rFonts w:hint="eastAsia" w:ascii="宋体" w:hAnsi="宋体" w:eastAsia="宋体"/>
                <w:sz w:val="21"/>
                <w:szCs w:val="21"/>
              </w:rPr>
              <w:t xml:space="preserve">风险防控、培训费用分摊承诺</w:t>
            </w:r>
            <w:r/>
          </w:p>
        </w:tc>
        <w:tc>
          <w:tcPr>
            <w:tcW w:w="6521" w:type="dxa"/>
            <w:textDirection w:val="lrTb"/>
            <w:noWrap w:val="false"/>
          </w:tcPr>
          <w:p>
            <w:pPr>
              <w:spacing w:line="360" w:lineRule="exact"/>
              <w:rPr>
                <w:rFonts w:hint="eastAsia" w:ascii="宋体" w:hAnsi="宋体"/>
              </w:rPr>
            </w:pPr>
            <w:r>
              <w:rPr>
                <w:rFonts w:hint="eastAsia" w:ascii="宋体" w:hAnsi="宋体"/>
              </w:rPr>
              <w:t xml:space="preserve">投标人应承诺与分包一项目中标人共同承担本项目服务所产生的风险防控、培训等费用，根据投标人制定的风险防控、培训等费用分摊方案，根据投标人的承诺和承诺的可靠性进行评审：</w:t>
            </w:r>
            <w:r/>
          </w:p>
          <w:p>
            <w:pPr>
              <w:spacing w:line="360" w:lineRule="exact"/>
              <w:rPr>
                <w:rFonts w:hint="eastAsia" w:ascii="宋体" w:hAnsi="宋体"/>
              </w:rPr>
            </w:pPr>
            <w:r>
              <w:rPr>
                <w:rFonts w:hint="eastAsia" w:ascii="宋体" w:hAnsi="宋体"/>
              </w:rPr>
              <w:t xml:space="preserve">分摊响应时效</w:t>
            </w:r>
            <w:r>
              <w:rPr>
                <w:rFonts w:ascii="宋体" w:hAnsi="宋体"/>
              </w:rPr>
              <w:t xml:space="preserve">优于采购需求</w:t>
            </w:r>
            <w:r>
              <w:rPr>
                <w:rFonts w:hint="eastAsia" w:ascii="宋体" w:hAnsi="宋体"/>
              </w:rPr>
              <w:t xml:space="preserve">的，得5</w:t>
            </w:r>
            <w:r>
              <w:rPr>
                <w:rFonts w:ascii="宋体" w:hAnsi="宋体"/>
              </w:rPr>
              <w:t xml:space="preserve">分</w:t>
            </w:r>
            <w:r>
              <w:rPr>
                <w:rFonts w:hint="eastAsia" w:ascii="宋体" w:hAnsi="宋体"/>
              </w:rPr>
              <w:t xml:space="preserve">；</w:t>
            </w:r>
            <w:r/>
          </w:p>
          <w:p>
            <w:pPr>
              <w:spacing w:line="360" w:lineRule="exact"/>
              <w:rPr>
                <w:rFonts w:hint="eastAsia" w:ascii="宋体" w:hAnsi="宋体"/>
              </w:rPr>
            </w:pPr>
            <w:r>
              <w:rPr>
                <w:rFonts w:hint="eastAsia" w:ascii="宋体" w:hAnsi="宋体"/>
              </w:rPr>
              <w:t xml:space="preserve">分摊响应时效</w:t>
            </w:r>
            <w:r>
              <w:rPr>
                <w:rFonts w:ascii="宋体" w:hAnsi="宋体"/>
              </w:rPr>
              <w:t xml:space="preserve">符合采购需求</w:t>
            </w:r>
            <w:r>
              <w:rPr>
                <w:rFonts w:hint="eastAsia" w:ascii="宋体" w:hAnsi="宋体"/>
              </w:rPr>
              <w:t xml:space="preserve">的，</w:t>
            </w:r>
            <w:r>
              <w:rPr>
                <w:rFonts w:ascii="宋体" w:hAnsi="宋体"/>
              </w:rPr>
              <w:t xml:space="preserve">得</w:t>
            </w:r>
            <w:r>
              <w:rPr>
                <w:rFonts w:hint="eastAsia" w:ascii="宋体" w:hAnsi="宋体"/>
              </w:rPr>
              <w:t xml:space="preserve">3分；</w:t>
            </w:r>
            <w:r/>
          </w:p>
          <w:p>
            <w:pPr>
              <w:spacing w:line="360" w:lineRule="exact"/>
              <w:rPr>
                <w:rFonts w:hint="eastAsia" w:ascii="宋体" w:hAnsi="宋体"/>
              </w:rPr>
            </w:pPr>
            <w:r>
              <w:rPr>
                <w:rFonts w:hint="eastAsia" w:ascii="宋体" w:hAnsi="宋体"/>
              </w:rPr>
              <w:t xml:space="preserve">分摊响应时效不能完全满足需求的，得0分。</w:t>
            </w:r>
            <w:r/>
          </w:p>
        </w:tc>
        <w:tc>
          <w:tcPr>
            <w:tcW w:w="674" w:type="dxa"/>
            <w:vAlign w:val="center"/>
            <w:textDirection w:val="lrTb"/>
            <w:noWrap w:val="false"/>
          </w:tcPr>
          <w:p>
            <w:pPr>
              <w:pStyle w:val="1007"/>
              <w:ind w:firstLine="0"/>
              <w:jc w:val="center"/>
              <w:spacing w:line="360" w:lineRule="exact"/>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5</w:t>
            </w:r>
            <w:r/>
          </w:p>
        </w:tc>
      </w:tr>
      <w:tr>
        <w:trPr>
          <w:jc w:val="center"/>
          <w:trHeight w:val="532"/>
        </w:trPr>
        <w:tc>
          <w:tcPr>
            <w:tcW w:w="1157" w:type="dxa"/>
            <w:vAlign w:val="center"/>
            <w:textDirection w:val="lrTb"/>
            <w:noWrap w:val="false"/>
          </w:tcPr>
          <w:p>
            <w:pPr>
              <w:pStyle w:val="1007"/>
              <w:ind w:firstLine="0"/>
              <w:spacing w:line="360" w:lineRule="exact"/>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合计</w:t>
            </w:r>
            <w:r/>
          </w:p>
        </w:tc>
        <w:tc>
          <w:tcPr>
            <w:gridSpan w:val="2"/>
            <w:tcW w:w="7195" w:type="dxa"/>
            <w:vAlign w:val="center"/>
            <w:textDirection w:val="lrTb"/>
            <w:noWrap w:val="false"/>
          </w:tcPr>
          <w:p>
            <w:pPr>
              <w:pStyle w:val="1007"/>
              <w:ind w:firstLine="0"/>
              <w:spacing w:line="360" w:lineRule="exact"/>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100分（备注：投标人必须逐条响应上述所有评审细则提供有效证明材料并列明评标索引、页码，否则将可能导致不得分。）</w:t>
            </w:r>
            <w:bookmarkEnd w:id="209"/>
            <w:r/>
            <w:r/>
          </w:p>
        </w:tc>
      </w:tr>
    </w:tbl>
    <w:p>
      <w:pPr>
        <w:pStyle w:val="984"/>
        <w:ind w:firstLine="0"/>
        <w:jc w:val="both"/>
        <w:spacing w:before="0" w:after="0"/>
        <w:rPr>
          <w:rFonts w:ascii="Times New Roman" w:hAnsi="Times New Roman"/>
        </w:rPr>
      </w:pPr>
      <w:r>
        <w:rPr>
          <w:rFonts w:ascii="Times New Roman" w:hAnsi="Times New Roman"/>
        </w:rPr>
      </w:r>
      <w:r/>
    </w:p>
    <w:p>
      <w:pPr>
        <w:pStyle w:val="984"/>
        <w:ind w:firstLine="0"/>
        <w:jc w:val="both"/>
        <w:spacing w:before="0" w:after="0"/>
        <w:rPr>
          <w:rFonts w:ascii="Times New Roman" w:hAnsi="Times New Roman"/>
        </w:rPr>
      </w:pPr>
      <w:r>
        <w:rPr>
          <w:rFonts w:ascii="Times New Roman" w:hAnsi="Times New Roman"/>
        </w:rPr>
      </w:r>
      <w:r/>
    </w:p>
    <w:p>
      <w:pPr>
        <w:jc w:val="left"/>
        <w:widowControl/>
        <w:rPr>
          <w:rFonts w:ascii="黑体" w:eastAsia="黑体"/>
          <w:bCs/>
          <w:sz w:val="44"/>
          <w:szCs w:val="28"/>
        </w:rPr>
      </w:pPr>
      <w:r>
        <w:rPr>
          <w:rFonts w:ascii="黑体" w:eastAsia="黑体"/>
          <w:bCs/>
          <w:sz w:val="44"/>
        </w:rPr>
        <w:br w:type="page" w:clear="all"/>
      </w:r>
      <w:r/>
    </w:p>
    <w:p>
      <w:pPr>
        <w:pStyle w:val="738"/>
        <w:rPr>
          <w:rFonts w:ascii="黑体" w:eastAsia="黑体"/>
          <w:bCs/>
          <w:sz w:val="44"/>
        </w:rPr>
      </w:pPr>
      <w:r>
        <w:rPr>
          <w:rFonts w:hint="eastAsia" w:ascii="黑体" w:eastAsia="黑体"/>
          <w:bCs/>
          <w:sz w:val="44"/>
        </w:rPr>
        <w:t xml:space="preserve">第六章  投标</w:t>
      </w:r>
      <w:bookmarkEnd w:id="191"/>
      <w:r/>
      <w:bookmarkEnd w:id="192"/>
      <w:r/>
      <w:bookmarkEnd w:id="205"/>
      <w:r>
        <w:rPr>
          <w:rFonts w:hint="eastAsia" w:ascii="黑体" w:eastAsia="黑体"/>
          <w:bCs/>
          <w:sz w:val="44"/>
        </w:rPr>
        <w:t xml:space="preserve">文件格式 </w:t>
      </w:r>
      <w:r/>
    </w:p>
    <w:p>
      <w:pPr>
        <w:jc w:val="center"/>
        <w:rPr>
          <w:rFonts w:hint="eastAsia" w:ascii="宋体" w:hAnsi="宋体"/>
          <w:b/>
          <w:sz w:val="72"/>
        </w:rPr>
      </w:pPr>
      <w:r/>
      <w:bookmarkStart w:id="213" w:name="_Hlt26671244"/>
      <w:r/>
      <w:bookmarkStart w:id="214" w:name="_Hlt26955039"/>
      <w:r/>
      <w:bookmarkStart w:id="215" w:name="_Toc120614282"/>
      <w:r/>
      <w:bookmarkStart w:id="216" w:name="_Toc49090576"/>
      <w:r/>
      <w:bookmarkStart w:id="217" w:name="_Toc26554094"/>
      <w:r/>
      <w:bookmarkEnd w:id="213"/>
      <w:r/>
      <w:bookmarkEnd w:id="21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项目编号：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投标总报价说明如下：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分包一：1550</w:t>
      </w:r>
      <w:r>
        <w:rPr>
          <w:rFonts w:ascii="Arial" w:hAnsi="Arial" w:eastAsia="Arial" w:cs="Arial"/>
          <w:color w:val="333333"/>
          <w:sz w:val="21"/>
          <w:highlight w:val="white"/>
        </w:rPr>
        <w:t xml:space="preserve">×</w:t>
      </w:r>
      <w:r>
        <w:rPr>
          <w:rFonts w:ascii="SimSun" w:hAnsi="SimSun" w:eastAsia="SimSun" w:cs="SimSun"/>
          <w:color w:val="000000"/>
          <w:sz w:val="24"/>
        </w:rPr>
        <w:t xml:space="preserve">40%</w:t>
      </w:r>
      <w:r>
        <w:rPr>
          <w:rFonts w:ascii="Arial" w:hAnsi="Arial" w:eastAsia="Arial" w:cs="Arial"/>
          <w:color w:val="333333"/>
          <w:sz w:val="21"/>
          <w:highlight w:val="white"/>
        </w:rPr>
        <w:t xml:space="preserve">×</w:t>
      </w:r>
      <w:r>
        <w:rPr>
          <w:rFonts w:ascii="SimSun" w:hAnsi="SimSun" w:eastAsia="SimSun" w:cs="SimSun"/>
          <w:color w:val="000000"/>
          <w:sz w:val="24"/>
        </w:rPr>
        <w:t xml:space="preserve">3</w:t>
      </w:r>
      <w:r>
        <w:rPr>
          <w:rFonts w:ascii="Arial" w:hAnsi="Arial" w:eastAsia="Arial" w:cs="Arial"/>
          <w:color w:val="333333"/>
          <w:sz w:val="21"/>
          <w:highlight w:val="white"/>
        </w:rPr>
        <w:t xml:space="preserve">×</w:t>
      </w:r>
      <w:r>
        <w:rPr>
          <w:rFonts w:ascii="SimSun" w:hAnsi="SimSun" w:eastAsia="SimSun" w:cs="SimSun"/>
          <w:i/>
          <w:color w:val="000000"/>
          <w:sz w:val="24"/>
          <w:u w:val="single"/>
        </w:rPr>
        <w:t xml:space="preserve">最高限价单价为每个学生3.5元/人.年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rPr>
          <w:rFonts w:ascii="SimSun" w:hAnsi="SimSun" w:eastAsia="SimSun" w:cs="SimSun"/>
          <w:color w:val="000000"/>
          <w:sz w:val="24"/>
        </w:rPr>
        <w:t xml:space="preserve">1550</w:t>
      </w:r>
      <w:r>
        <w:rPr>
          <w:rFonts w:ascii="Arial" w:hAnsi="Arial" w:eastAsia="Arial" w:cs="Arial"/>
          <w:color w:val="333333"/>
          <w:sz w:val="21"/>
          <w:highlight w:val="white"/>
        </w:rPr>
        <w:t xml:space="preserve">×</w:t>
      </w:r>
      <w:r>
        <w:rPr>
          <w:rFonts w:ascii="Calibri" w:hAnsi="Calibri" w:eastAsia="Calibri" w:cs="Calibri"/>
          <w:color w:val="000000"/>
          <w:sz w:val="21"/>
        </w:rPr>
        <w:t xml:space="preserve">25</w:t>
      </w:r>
      <w:r>
        <w:rPr>
          <w:rFonts w:ascii="SimSun" w:hAnsi="SimSun" w:eastAsia="SimSun" w:cs="SimSun"/>
          <w:color w:val="000000"/>
          <w:sz w:val="24"/>
        </w:rPr>
        <w:t xml:space="preserve">%</w:t>
      </w:r>
      <w:r>
        <w:rPr>
          <w:rFonts w:ascii="Arial" w:hAnsi="Arial" w:eastAsia="Arial" w:cs="Arial"/>
          <w:color w:val="333333"/>
          <w:sz w:val="21"/>
          <w:highlight w:val="white"/>
        </w:rPr>
        <w:t xml:space="preserve">×</w:t>
      </w:r>
      <w:r>
        <w:rPr>
          <w:rFonts w:ascii="SimSun" w:hAnsi="SimSun" w:eastAsia="SimSun" w:cs="SimSun"/>
          <w:color w:val="000000"/>
          <w:sz w:val="24"/>
        </w:rPr>
        <w:t xml:space="preserve">3</w:t>
      </w:r>
      <w:r>
        <w:rPr>
          <w:rFonts w:ascii="Arial" w:hAnsi="Arial" w:eastAsia="Arial" w:cs="Arial"/>
          <w:color w:val="333333"/>
          <w:sz w:val="21"/>
          <w:highlight w:val="white"/>
        </w:rPr>
        <w:t xml:space="preserve">×</w:t>
      </w:r>
      <w:r>
        <w:rPr>
          <w:rFonts w:ascii="SimSun" w:hAnsi="SimSun" w:eastAsia="SimSun" w:cs="SimSun"/>
          <w:i/>
          <w:color w:val="000000"/>
          <w:sz w:val="24"/>
          <w:u w:val="single"/>
        </w:rPr>
        <w:t xml:space="preserve">最高限价单价为每个学生3.5元/人.年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w:t>
      </w:r>
      <w:r>
        <w:rPr>
          <w:rFonts w:ascii="SimSun" w:hAnsi="SimSun" w:eastAsia="SimSun" w:cs="SimSun"/>
          <w:color w:val="000000"/>
          <w:sz w:val="24"/>
        </w:rPr>
        <w:t xml:space="preserve">1550</w:t>
      </w:r>
      <w:r>
        <w:rPr>
          <w:rFonts w:ascii="Arial" w:hAnsi="Arial" w:eastAsia="Arial" w:cs="Arial"/>
          <w:color w:val="333333"/>
          <w:sz w:val="21"/>
          <w:highlight w:val="white"/>
        </w:rPr>
        <w:t xml:space="preserve">×</w:t>
      </w:r>
      <w:r>
        <w:rPr>
          <w:rFonts w:ascii="Calibri" w:hAnsi="Calibri" w:eastAsia="Calibri" w:cs="Calibri"/>
          <w:color w:val="000000"/>
          <w:sz w:val="21"/>
        </w:rPr>
        <w:t xml:space="preserve">2</w:t>
      </w:r>
      <w:r>
        <w:rPr>
          <w:rFonts w:ascii="SimSun" w:hAnsi="SimSun" w:eastAsia="SimSun" w:cs="SimSun"/>
          <w:color w:val="000000"/>
          <w:sz w:val="24"/>
        </w:rPr>
        <w:t xml:space="preserve">0%</w:t>
      </w:r>
      <w:r>
        <w:rPr>
          <w:rFonts w:ascii="Arial" w:hAnsi="Arial" w:eastAsia="Arial" w:cs="Arial"/>
          <w:color w:val="333333"/>
          <w:sz w:val="21"/>
          <w:highlight w:val="white"/>
        </w:rPr>
        <w:t xml:space="preserve">×</w:t>
      </w:r>
      <w:r>
        <w:rPr>
          <w:rFonts w:ascii="SimSun" w:hAnsi="SimSun" w:eastAsia="SimSun" w:cs="SimSun"/>
          <w:color w:val="000000"/>
          <w:sz w:val="24"/>
        </w:rPr>
        <w:t xml:space="preserve">3</w:t>
      </w:r>
      <w:r>
        <w:rPr>
          <w:rFonts w:ascii="Arial" w:hAnsi="Arial" w:eastAsia="Arial" w:cs="Arial"/>
          <w:color w:val="333333"/>
          <w:sz w:val="21"/>
          <w:highlight w:val="white"/>
        </w:rPr>
        <w:t xml:space="preserve">×</w:t>
      </w:r>
      <w:r>
        <w:rPr>
          <w:rFonts w:ascii="SimSun" w:hAnsi="SimSun" w:eastAsia="SimSun" w:cs="SimSun"/>
          <w:i/>
          <w:color w:val="000000"/>
          <w:sz w:val="24"/>
          <w:u w:val="single"/>
        </w:rPr>
        <w:t xml:space="preserve">最高限价单价为每个学生3.5元/人.年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w:t>
      </w:r>
      <w:r>
        <w:rPr>
          <w:rFonts w:ascii="SimSun" w:hAnsi="SimSun" w:eastAsia="SimSun" w:cs="SimSun"/>
          <w:color w:val="000000"/>
          <w:sz w:val="24"/>
        </w:rPr>
        <w:t xml:space="preserve">1550</w:t>
      </w:r>
      <w:r>
        <w:rPr>
          <w:rFonts w:ascii="Arial" w:hAnsi="Arial" w:eastAsia="Arial" w:cs="Arial"/>
          <w:color w:val="333333"/>
          <w:sz w:val="21"/>
          <w:highlight w:val="white"/>
        </w:rPr>
        <w:t xml:space="preserve">×</w:t>
      </w:r>
      <w:r>
        <w:rPr>
          <w:rFonts w:ascii="Calibri" w:hAnsi="Calibri" w:eastAsia="Calibri" w:cs="Calibri"/>
          <w:color w:val="000000"/>
          <w:sz w:val="21"/>
        </w:rPr>
        <w:t xml:space="preserve">15</w:t>
      </w:r>
      <w:r>
        <w:rPr>
          <w:rFonts w:ascii="SimSun" w:hAnsi="SimSun" w:eastAsia="SimSun" w:cs="SimSun"/>
          <w:color w:val="000000"/>
          <w:sz w:val="24"/>
        </w:rPr>
        <w:t xml:space="preserve">%</w:t>
      </w:r>
      <w:r>
        <w:rPr>
          <w:rFonts w:ascii="Arial" w:hAnsi="Arial" w:eastAsia="Arial" w:cs="Arial"/>
          <w:color w:val="333333"/>
          <w:sz w:val="21"/>
          <w:highlight w:val="white"/>
        </w:rPr>
        <w:t xml:space="preserve">×</w:t>
      </w:r>
      <w:r>
        <w:rPr>
          <w:rFonts w:ascii="SimSun" w:hAnsi="SimSun" w:eastAsia="SimSun" w:cs="SimSun"/>
          <w:color w:val="000000"/>
          <w:sz w:val="24"/>
        </w:rPr>
        <w:t xml:space="preserve">3</w:t>
      </w:r>
      <w:r>
        <w:rPr>
          <w:rFonts w:ascii="Arial" w:hAnsi="Arial" w:eastAsia="Arial" w:cs="Arial"/>
          <w:color w:val="333333"/>
          <w:sz w:val="21"/>
          <w:highlight w:val="white"/>
        </w:rPr>
        <w:t xml:space="preserve">×</w:t>
      </w:r>
      <w:r>
        <w:rPr>
          <w:rFonts w:ascii="SimSun" w:hAnsi="SimSun" w:eastAsia="SimSun" w:cs="SimSun"/>
          <w:i/>
          <w:color w:val="000000"/>
          <w:sz w:val="24"/>
          <w:u w:val="single"/>
        </w:rPr>
        <w:t xml:space="preserve">最高限价单价为每个学生3.5元/人.年</w:t>
      </w:r>
      <w:r/>
    </w:p>
    <w:p>
      <w:pPr>
        <w:jc w:val="center"/>
        <w:rPr>
          <w:rFonts w:hint="eastAsia" w:ascii="宋体" w:hAnsi="宋体"/>
          <w:b/>
          <w:bCs/>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keepLines/>
        <w:keepNext/>
        <w:spacing w:before="260" w:after="260" w:line="416" w:lineRule="auto"/>
        <w:rPr>
          <w:rFonts w:hint="eastAsia" w:ascii="黑体" w:hAnsi="黑体" w:eastAsia="黑体"/>
          <w:b/>
          <w:i/>
          <w:sz w:val="32"/>
          <w:szCs w:val="32"/>
          <w:u w:val="single"/>
        </w:rPr>
        <w:outlineLvl w:val="1"/>
      </w:pP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98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8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4"/>
        <w:ind w:left="420"/>
        <w:spacing w:before="0" w:after="0" w:line="420" w:lineRule="exact"/>
        <w:rPr>
          <w:rFonts w:hint="eastAsia" w:ascii="宋体" w:hAnsi="宋体"/>
          <w:szCs w:val="21"/>
        </w:rPr>
      </w:pPr>
      <w:r>
        <w:rPr>
          <w:rFonts w:hint="eastAsia" w:ascii="宋体" w:hAnsi="宋体"/>
          <w:szCs w:val="21"/>
        </w:rPr>
        <w:t xml:space="preserve">地          址：</w:t>
      </w:r>
      <w:r/>
    </w:p>
    <w:p>
      <w:pPr>
        <w:pStyle w:val="984"/>
        <w:ind w:left="420"/>
        <w:spacing w:before="0" w:after="0" w:line="420" w:lineRule="exact"/>
        <w:rPr>
          <w:rFonts w:hint="eastAsia" w:ascii="宋体" w:hAnsi="宋体"/>
          <w:szCs w:val="21"/>
        </w:rPr>
      </w:pPr>
      <w:r>
        <w:rPr>
          <w:rFonts w:hint="eastAsia" w:ascii="宋体" w:hAnsi="宋体"/>
          <w:szCs w:val="21"/>
        </w:rPr>
        <w:t xml:space="preserve">邮          编：</w:t>
      </w:r>
      <w:r/>
    </w:p>
    <w:p>
      <w:pPr>
        <w:pStyle w:val="984"/>
        <w:ind w:left="420"/>
        <w:spacing w:before="0" w:after="0" w:line="420" w:lineRule="exact"/>
        <w:rPr>
          <w:rFonts w:hint="eastAsia" w:ascii="宋体" w:hAnsi="宋体"/>
          <w:szCs w:val="21"/>
        </w:rPr>
      </w:pPr>
      <w:r>
        <w:rPr>
          <w:rFonts w:hint="eastAsia" w:ascii="宋体" w:hAnsi="宋体"/>
          <w:szCs w:val="21"/>
        </w:rPr>
        <w:t xml:space="preserve">电          话：</w:t>
      </w:r>
      <w:r/>
    </w:p>
    <w:p>
      <w:pPr>
        <w:pStyle w:val="984"/>
        <w:ind w:left="420"/>
        <w:spacing w:before="0" w:after="0" w:line="420" w:lineRule="exact"/>
        <w:rPr>
          <w:rFonts w:hint="eastAsia" w:ascii="宋体" w:hAnsi="宋体"/>
          <w:szCs w:val="21"/>
        </w:rPr>
      </w:pPr>
      <w:r>
        <w:rPr>
          <w:rFonts w:hint="eastAsia" w:ascii="宋体" w:hAnsi="宋体"/>
          <w:szCs w:val="21"/>
        </w:rPr>
        <w:t xml:space="preserve">传          真：</w:t>
      </w:r>
      <w:r/>
    </w:p>
    <w:p>
      <w:pPr>
        <w:pStyle w:val="98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4"/>
        <w:ind w:left="420"/>
        <w:spacing w:before="0" w:after="0" w:line="420" w:lineRule="exact"/>
        <w:rPr>
          <w:rFonts w:hint="eastAsia" w:ascii="宋体" w:hAnsi="宋体"/>
          <w:szCs w:val="21"/>
        </w:rPr>
      </w:pPr>
      <w:r>
        <w:rPr>
          <w:rFonts w:hint="eastAsia" w:ascii="宋体" w:hAnsi="宋体"/>
          <w:szCs w:val="21"/>
        </w:rPr>
        <w:t xml:space="preserve">账          号： </w:t>
      </w:r>
      <w:r/>
    </w:p>
    <w:p>
      <w:pPr>
        <w:pStyle w:val="98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jc w:val="center"/>
        <w:spacing w:line="460" w:lineRule="exact"/>
        <w:rPr>
          <w:rFonts w:hint="eastAsia" w:ascii="宋体" w:hAnsi="宋体"/>
          <w:b/>
          <w:sz w:val="24"/>
          <w:szCs w:val="24"/>
        </w:rPr>
      </w:pPr>
      <w:r/>
      <w:bookmarkStart w:id="218" w:name="_Toc120614284"/>
      <w:r/>
      <w:bookmarkEnd w:id="215"/>
      <w:r/>
      <w:bookmarkEnd w:id="216"/>
      <w:r/>
      <w:bookmarkEnd w:id="217"/>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bookmarkEnd w:id="189"/>
      <w:r/>
      <w:bookmarkEnd w:id="190"/>
      <w:r/>
      <w:bookmarkEnd w:id="218"/>
      <w:r/>
      <w:r/>
    </w:p>
    <w:p>
      <w:pPr>
        <w:jc w:val="center"/>
        <w:spacing w:line="560" w:lineRule="exact"/>
        <w:rPr>
          <w:rFonts w:hint="eastAsia" w:ascii="宋体" w:hAnsi="宋体"/>
          <w:sz w:val="24"/>
        </w:rPr>
      </w:pPr>
      <w:r>
        <w:rPr>
          <w:rFonts w:hint="eastAsia" w:ascii="黑体" w:hAnsi="黑体" w:eastAsia="黑体"/>
          <w:b/>
          <w:sz w:val="32"/>
          <w:szCs w:val="32"/>
        </w:rPr>
        <w:t xml:space="preserve">五、</w:t>
      </w:r>
      <w:r>
        <w:rPr>
          <w:rFonts w:hint="eastAsia" w:ascii="黑体" w:eastAsia="黑体"/>
          <w:b/>
          <w:sz w:val="32"/>
          <w:szCs w:val="32"/>
        </w:rPr>
        <w:t xml:space="preserve">投标人经保监会批准的保险条款及费率表</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宋体" w:hAnsi="宋体"/>
          <w:b/>
          <w:sz w:val="30"/>
        </w:rPr>
      </w:pPr>
      <w:r>
        <w:rPr>
          <w:rFonts w:ascii="黑体" w:hAnsi="黑体" w:eastAsia="黑体"/>
          <w:b/>
          <w:sz w:val="32"/>
          <w:szCs w:val="32"/>
        </w:rPr>
        <w:br w:type="page" w:clear="all"/>
      </w:r>
      <w:r>
        <w:rPr>
          <w:rFonts w:hint="eastAsia" w:ascii="黑体" w:hAnsi="黑体" w:eastAsia="黑体"/>
          <w:b/>
          <w:sz w:val="32"/>
          <w:szCs w:val="32"/>
        </w:rPr>
        <w:t xml:space="preserve">六、</w:t>
      </w:r>
      <w:r>
        <w:rPr>
          <w:rFonts w:hint="eastAsia" w:ascii="黑体" w:eastAsia="黑体"/>
          <w:b/>
          <w:sz w:val="32"/>
          <w:szCs w:val="32"/>
        </w:rPr>
        <w:t xml:space="preserve">保险条款报备手续说明（格式）</w:t>
      </w:r>
      <w:r/>
    </w:p>
    <w:p>
      <w:pPr>
        <w:jc w:val="center"/>
        <w:spacing w:before="50" w:after="50"/>
        <w:rPr>
          <w:rFonts w:hint="eastAsia" w:ascii="黑体" w:hAnsi="黑体" w:eastAsia="黑体"/>
          <w:b/>
          <w:sz w:val="32"/>
          <w:szCs w:val="32"/>
        </w:rPr>
      </w:pPr>
      <w:r>
        <w:rPr>
          <w:rFonts w:hint="eastAsia" w:ascii="黑体" w:hAnsi="黑体" w:eastAsia="黑体"/>
          <w:b/>
          <w:sz w:val="32"/>
          <w:szCs w:val="32"/>
        </w:rPr>
      </w:r>
      <w:r/>
    </w:p>
    <w:p>
      <w:pPr>
        <w:spacing w:after="72" w:line="540" w:lineRule="exact"/>
        <w:rPr>
          <w:rFonts w:hint="eastAsia" w:ascii="宋体" w:hAnsi="宋体"/>
          <w:b/>
          <w:sz w:val="28"/>
          <w:szCs w:val="28"/>
        </w:rPr>
      </w:pPr>
      <w:r>
        <w:rPr>
          <w:rFonts w:hint="eastAsia" w:ascii="宋体" w:hAnsi="宋体"/>
          <w:b/>
          <w:sz w:val="28"/>
          <w:szCs w:val="28"/>
        </w:rPr>
        <w:t xml:space="preserve">致</w:t>
      </w:r>
      <w:r>
        <w:rPr>
          <w:rFonts w:ascii="宋体" w:hAnsi="宋体"/>
          <w:b/>
          <w:sz w:val="28"/>
          <w:szCs w:val="28"/>
        </w:rPr>
        <w:t xml:space="preserve">:</w:t>
      </w:r>
      <w:r>
        <w:rPr>
          <w:rFonts w:hint="eastAsia" w:ascii="宋体" w:hAnsi="宋体"/>
          <w:b/>
          <w:sz w:val="28"/>
          <w:szCs w:val="28"/>
        </w:rPr>
        <w:t xml:space="preserve"> 江苏省政府采购中心：</w:t>
      </w:r>
      <w:r/>
    </w:p>
    <w:p>
      <w:pPr>
        <w:ind w:firstLine="560"/>
        <w:spacing w:after="120" w:line="540" w:lineRule="exact"/>
        <w:rPr>
          <w:rFonts w:hint="eastAsia" w:ascii="宋体" w:hAnsi="宋体"/>
          <w:sz w:val="28"/>
          <w:szCs w:val="28"/>
        </w:rPr>
      </w:pPr>
      <w:r>
        <w:rPr>
          <w:rFonts w:hint="eastAsia" w:ascii="宋体" w:hAnsi="宋体"/>
          <w:sz w:val="28"/>
          <w:szCs w:val="28"/>
        </w:rPr>
        <w:t xml:space="preserve">对于我公司投标文件中涉及的险种条款及相关措辞，如有未履行过报批、报备手续的，我司承诺在出具正式保单前将按照中国金融管理局有关规定进行条款报备手续。</w:t>
      </w:r>
      <w:r/>
    </w:p>
    <w:p>
      <w:pPr>
        <w:spacing w:line="540" w:lineRule="exact"/>
        <w:rPr>
          <w:rFonts w:hint="eastAsia" w:ascii="宋体" w:hAnsi="宋体"/>
          <w:sz w:val="28"/>
          <w:szCs w:val="28"/>
        </w:rPr>
      </w:pPr>
      <w:r>
        <w:rPr>
          <w:rFonts w:hint="eastAsia" w:ascii="宋体" w:hAnsi="宋体"/>
          <w:sz w:val="28"/>
          <w:szCs w:val="28"/>
        </w:rPr>
      </w:r>
      <w:r/>
    </w:p>
    <w:p>
      <w:pPr>
        <w:spacing w:line="540" w:lineRule="exact"/>
        <w:rPr>
          <w:rFonts w:hint="eastAsia" w:ascii="宋体" w:hAnsi="宋体"/>
          <w:sz w:val="28"/>
          <w:szCs w:val="28"/>
        </w:rPr>
      </w:pPr>
      <w:r>
        <w:rPr>
          <w:rFonts w:hint="eastAsia" w:ascii="宋体" w:hAnsi="宋体"/>
          <w:sz w:val="28"/>
          <w:szCs w:val="28"/>
        </w:rPr>
      </w:r>
      <w:r/>
    </w:p>
    <w:p>
      <w:pPr>
        <w:spacing w:line="540" w:lineRule="exact"/>
        <w:rPr>
          <w:rFonts w:hint="eastAsia" w:ascii="宋体" w:hAnsi="宋体"/>
          <w:sz w:val="28"/>
          <w:szCs w:val="28"/>
        </w:rPr>
      </w:pPr>
      <w:r>
        <w:rPr>
          <w:rFonts w:hint="eastAsia" w:ascii="宋体" w:hAnsi="宋体"/>
          <w:sz w:val="28"/>
          <w:szCs w:val="28"/>
        </w:rPr>
      </w:r>
      <w:r/>
    </w:p>
    <w:p>
      <w:pPr>
        <w:ind w:firstLine="309"/>
        <w:rPr>
          <w:rFonts w:hint="eastAsia" w:ascii="宋体" w:hAnsi="宋体"/>
          <w:sz w:val="24"/>
          <w:szCs w:val="24"/>
        </w:rPr>
      </w:pPr>
      <w:r>
        <w:rPr>
          <w:rFonts w:hint="eastAsia" w:ascii="宋体" w:hAnsi="宋体"/>
          <w:b/>
          <w:sz w:val="30"/>
        </w:rPr>
        <w:t xml:space="preserve">投标人（法人公司）全称（加盖CA电子签章）：</w:t>
      </w:r>
      <w:r/>
    </w:p>
    <w:p>
      <w:pPr>
        <w:ind w:firstLine="301"/>
        <w:rPr>
          <w:rFonts w:ascii="黑体" w:hAnsi="Arial" w:eastAsia="黑体"/>
          <w:b/>
          <w:sz w:val="36"/>
        </w:rPr>
      </w:pPr>
      <w:r>
        <w:rPr>
          <w:rFonts w:hint="eastAsia" w:ascii="宋体" w:hAnsi="宋体"/>
          <w:b/>
          <w:sz w:val="30"/>
        </w:rPr>
        <w:t xml:space="preserve">日期：   年   月   日</w:t>
      </w:r>
      <w:r/>
    </w:p>
    <w:p>
      <w:pPr>
        <w:jc w:val="center"/>
        <w:rPr>
          <w:rFonts w:asci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七、</w:t>
      </w:r>
      <w:r>
        <w:rPr>
          <w:rFonts w:hint="eastAsia" w:ascii="黑体" w:eastAsia="黑体"/>
          <w:b/>
          <w:sz w:val="32"/>
          <w:szCs w:val="32"/>
        </w:rPr>
        <w:t xml:space="preserve">服务承诺</w:t>
      </w:r>
      <w:r/>
    </w:p>
    <w:p>
      <w:pPr>
        <w:jc w:val="center"/>
        <w:rPr>
          <w:rFonts w:hint="eastAsia" w:ascii="宋体" w:hAnsi="宋体"/>
          <w:bCs/>
          <w:sz w:val="28"/>
          <w:szCs w:val="28"/>
        </w:rPr>
      </w:pPr>
      <w:r>
        <w:rPr>
          <w:rFonts w:hint="eastAsia" w:ascii="黑体" w:eastAsia="黑体"/>
          <w:sz w:val="32"/>
          <w:szCs w:val="32"/>
        </w:rPr>
        <w:t xml:space="preserve">   （格式由投标人自定）</w:t>
      </w:r>
      <w:r/>
    </w:p>
    <w:p>
      <w:pPr>
        <w:jc w:val="left"/>
        <w:rPr>
          <w:rFonts w:hint="eastAsia" w:ascii="宋体" w:hAnsi="宋体"/>
          <w:sz w:val="24"/>
          <w:szCs w:val="24"/>
        </w:rPr>
      </w:pPr>
      <w:r>
        <w:rPr>
          <w:rFonts w:hint="eastAsia" w:ascii="宋体" w:hAnsi="宋体"/>
          <w:sz w:val="24"/>
          <w:szCs w:val="24"/>
        </w:rPr>
        <w:t xml:space="preserve">包括不限于承保服务（投保流程、服务质量保障体系等）、理赔服务（理赔响应承诺、理赔手续、异地理赔承诺等）、风控服务、培训服务等服务承诺。</w:t>
      </w:r>
      <w:r/>
    </w:p>
    <w:p>
      <w:pPr>
        <w:jc w:val="center"/>
        <w:rPr>
          <w:rFonts w:hint="eastAsia" w:ascii="黑体" w:hAnsi="黑体" w:eastAsia="黑体"/>
          <w:b/>
          <w:sz w:val="32"/>
          <w:szCs w:val="32"/>
        </w:rPr>
      </w:pPr>
      <w:r>
        <w:rPr>
          <w:rFonts w:hint="eastAsia" w:ascii="黑体" w:hAnsi="黑体" w:eastAsia="黑体"/>
          <w:b/>
          <w:sz w:val="32"/>
          <w:szCs w:val="32"/>
        </w:rPr>
      </w:r>
      <w:r/>
    </w:p>
    <w:p>
      <w:pPr>
        <w:spacing w:line="500" w:lineRule="exact"/>
        <w:rPr>
          <w:rFonts w:hint="eastAsia" w:ascii="宋体" w:hAnsi="宋体"/>
          <w:sz w:val="24"/>
          <w:szCs w:val="24"/>
        </w:rPr>
      </w:pPr>
      <w:r>
        <w:rPr>
          <w:rFonts w:hint="eastAsia" w:ascii="宋体" w:hAnsi="宋体"/>
          <w:sz w:val="24"/>
          <w:szCs w:val="24"/>
        </w:rPr>
        <w:t xml:space="preserve">注：1、理赔响应时间的内容按县级以上城市学校和农村学校等有关情况进行描述。</w:t>
      </w:r>
      <w:r/>
    </w:p>
    <w:p>
      <w:pPr>
        <w:ind w:firstLine="480"/>
        <w:spacing w:line="500" w:lineRule="exact"/>
        <w:rPr>
          <w:rFonts w:hint="eastAsia" w:ascii="宋体" w:hAnsi="宋体"/>
          <w:sz w:val="24"/>
          <w:szCs w:val="24"/>
        </w:rPr>
      </w:pPr>
      <w:r>
        <w:rPr>
          <w:rFonts w:hint="eastAsia" w:ascii="宋体" w:hAnsi="宋体"/>
          <w:sz w:val="24"/>
          <w:szCs w:val="24"/>
        </w:rPr>
        <w:t xml:space="preserve">2、理赔预付制度的内容应说明理赔预付的条件和理赔预付的金额。</w:t>
      </w:r>
      <w:r/>
    </w:p>
    <w:p>
      <w:pPr>
        <w:ind w:firstLine="480"/>
        <w:spacing w:line="500" w:lineRule="exact"/>
        <w:rPr>
          <w:rFonts w:hint="eastAsia" w:ascii="宋体" w:hAnsi="宋体"/>
          <w:sz w:val="24"/>
          <w:szCs w:val="24"/>
        </w:rPr>
      </w:pPr>
      <w:r>
        <w:rPr>
          <w:rFonts w:hint="eastAsia" w:ascii="宋体" w:hAnsi="宋体"/>
          <w:sz w:val="24"/>
          <w:szCs w:val="24"/>
        </w:rPr>
        <w:t xml:space="preserve">3、理赔手续的内容应明确提供手续的主体、数量、期限等。</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黑体" w:hAnsi="Arial" w:eastAsia="黑体"/>
          <w:b/>
          <w:sz w:val="36"/>
        </w:rPr>
      </w:pPr>
      <w:r>
        <w:rPr>
          <w:rFonts w:ascii="黑体" w:hAnsi="黑体" w:eastAsia="黑体"/>
          <w:b/>
          <w:sz w:val="32"/>
          <w:szCs w:val="32"/>
        </w:rPr>
        <w:br w:type="page" w:clear="all"/>
      </w:r>
      <w:r>
        <w:rPr>
          <w:rFonts w:hint="eastAsia" w:ascii="黑体" w:hAnsi="黑体" w:eastAsia="黑体"/>
          <w:b/>
          <w:sz w:val="32"/>
          <w:szCs w:val="32"/>
        </w:rPr>
        <w:t xml:space="preserve">八、拟服务本项目人员情况</w:t>
      </w:r>
      <w:r/>
    </w:p>
    <w:p>
      <w:pPr>
        <w:jc w:val="left"/>
        <w:spacing w:line="480" w:lineRule="auto"/>
        <w:rPr>
          <w:rFonts w:hint="eastAsia" w:ascii="宋体" w:hAnsi="宋体"/>
          <w:b/>
          <w:sz w:val="24"/>
          <w:szCs w:val="24"/>
        </w:rPr>
      </w:pPr>
      <w:r>
        <w:rPr>
          <w:rFonts w:hint="eastAsia" w:ascii="宋体" w:hAnsi="宋体"/>
          <w:b/>
          <w:sz w:val="24"/>
          <w:szCs w:val="24"/>
        </w:rPr>
        <w:t xml:space="preserve">（一）本项目主要负责人情况表</w:t>
      </w:r>
      <w:r/>
    </w:p>
    <w:tbl>
      <w:tblPr>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3"/>
        <w:gridCol w:w="1343"/>
        <w:gridCol w:w="1343"/>
        <w:gridCol w:w="1343"/>
        <w:gridCol w:w="1343"/>
        <w:gridCol w:w="1343"/>
        <w:gridCol w:w="1848"/>
      </w:tblGrid>
      <w:tr>
        <w:trPr>
          <w:jc w:val="center"/>
        </w:trPr>
        <w:tc>
          <w:tcPr>
            <w:tcW w:w="81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序号</w:t>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姓名</w:t>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年龄</w:t>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职位</w:t>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从业时间</w:t>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职称情况</w:t>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备注</w:t>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r>
        <w:trPr>
          <w:jc w:val="center"/>
        </w:trPr>
        <w:tc>
          <w:tcPr>
            <w:tcW w:w="813" w:type="dxa"/>
            <w:textDirection w:val="lrTb"/>
            <w:noWrap w:val="false"/>
          </w:tcPr>
          <w:p>
            <w:pPr>
              <w:jc w:val="left"/>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34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c>
          <w:tcPr>
            <w:tcW w:w="18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r>
            <w:r/>
          </w:p>
        </w:tc>
      </w:tr>
    </w:tbl>
    <w:p>
      <w:pPr>
        <w:jc w:val="center"/>
        <w:spacing w:line="480" w:lineRule="auto"/>
        <w:rPr>
          <w:rFonts w:hint="eastAsia" w:ascii="宋体" w:hAnsi="宋体"/>
          <w:b/>
          <w:sz w:val="30"/>
        </w:rPr>
      </w:pPr>
      <w:r>
        <w:rPr>
          <w:rFonts w:hint="eastAsia" w:ascii="宋体" w:hAnsi="宋体"/>
          <w:b/>
          <w:sz w:val="30"/>
        </w:rPr>
      </w:r>
      <w:r/>
    </w:p>
    <w:p>
      <w:pPr>
        <w:jc w:val="center"/>
        <w:spacing w:line="480" w:lineRule="auto"/>
        <w:rPr>
          <w:rFonts w:hint="eastAsia" w:ascii="宋体" w:hAnsi="宋体"/>
          <w:b/>
          <w:sz w:val="30"/>
        </w:rPr>
      </w:pPr>
      <w:r>
        <w:rPr>
          <w:rFonts w:hint="eastAsia" w:ascii="宋体" w:hAnsi="宋体"/>
          <w:b/>
          <w:sz w:val="30"/>
        </w:rPr>
      </w:r>
      <w:r/>
    </w:p>
    <w:p>
      <w:pPr>
        <w:ind w:firstLine="309"/>
        <w:rPr>
          <w:rFonts w:hint="eastAsia" w:ascii="宋体" w:hAnsi="宋体"/>
          <w:b/>
          <w:sz w:val="30"/>
        </w:rPr>
      </w:pPr>
      <w:r>
        <w:rPr>
          <w:rFonts w:hint="eastAsia" w:ascii="宋体" w:hAnsi="宋体"/>
          <w:b/>
          <w:sz w:val="30"/>
        </w:rPr>
        <w:t xml:space="preserve">投标人（法人公司）全称（加盖CA电子签章）：</w:t>
      </w:r>
      <w:r/>
    </w:p>
    <w:p>
      <w:pPr>
        <w:spacing w:line="300" w:lineRule="auto"/>
        <w:rPr>
          <w:rFonts w:hint="eastAsia" w:ascii="宋体" w:hAnsi="宋体"/>
          <w:sz w:val="24"/>
          <w:szCs w:val="24"/>
        </w:rPr>
      </w:pPr>
      <w:r>
        <w:rPr>
          <w:rFonts w:hint="eastAsia" w:ascii="宋体" w:hAnsi="宋体"/>
          <w:sz w:val="24"/>
          <w:szCs w:val="24"/>
        </w:rPr>
      </w:r>
      <w:r/>
    </w:p>
    <w:p>
      <w:pPr>
        <w:ind w:firstLine="480"/>
        <w:spacing w:line="300" w:lineRule="auto"/>
        <w:rPr>
          <w:rFonts w:hint="eastAsia" w:ascii="宋体" w:hAnsi="宋体"/>
          <w:sz w:val="24"/>
          <w:szCs w:val="24"/>
        </w:rPr>
      </w:pPr>
      <w:r>
        <w:rPr>
          <w:rFonts w:hint="eastAsia" w:ascii="宋体" w:hAnsi="宋体"/>
          <w:sz w:val="24"/>
          <w:szCs w:val="24"/>
        </w:rPr>
        <w:t xml:space="preserve">日期：   年   月   日</w:t>
      </w:r>
      <w:r/>
    </w:p>
    <w:p>
      <w:pPr>
        <w:jc w:val="left"/>
        <w:spacing w:line="480" w:lineRule="auto"/>
        <w:rPr>
          <w:rFonts w:ascii="黑体" w:hAnsi="Arial" w:eastAsia="黑体"/>
          <w:b/>
          <w:sz w:val="36"/>
        </w:rPr>
      </w:pPr>
      <w:r>
        <w:rPr>
          <w:rFonts w:ascii="宋体" w:hAnsi="宋体"/>
          <w:b/>
          <w:sz w:val="30"/>
        </w:rPr>
        <w:br w:type="page" w:clear="all"/>
      </w:r>
      <w:r>
        <w:rPr>
          <w:rFonts w:hint="eastAsia" w:ascii="宋体" w:hAnsi="宋体"/>
          <w:b/>
          <w:sz w:val="24"/>
          <w:szCs w:val="24"/>
        </w:rPr>
        <w:t xml:space="preserve">（二）本项目服务团队成员情况</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eastAsia="黑体"/>
          <w:b/>
          <w:sz w:val="32"/>
          <w:szCs w:val="32"/>
        </w:rPr>
      </w:pPr>
      <w:r/>
      <w:bookmarkStart w:id="219" w:name="_Hlt26955054"/>
      <w:r/>
      <w:bookmarkEnd w:id="219"/>
      <w:r>
        <w:rPr>
          <w:rFonts w:ascii="黑体" w:hAnsi="黑体" w:eastAsia="黑体"/>
          <w:b/>
          <w:sz w:val="32"/>
          <w:szCs w:val="32"/>
        </w:rPr>
        <w:br w:type="page" w:clear="all"/>
      </w:r>
      <w:r>
        <w:rPr>
          <w:rFonts w:hint="eastAsia" w:ascii="黑体" w:hAnsi="黑体" w:eastAsia="黑体"/>
          <w:b/>
          <w:sz w:val="32"/>
          <w:szCs w:val="32"/>
        </w:rPr>
        <w:t xml:space="preserve">九、</w:t>
      </w:r>
      <w:r>
        <w:rPr>
          <w:rFonts w:hint="eastAsia" w:ascii="黑体" w:eastAsia="黑体"/>
          <w:b/>
          <w:sz w:val="32"/>
          <w:szCs w:val="32"/>
        </w:rPr>
        <w:t xml:space="preserve">学生人身伤害事故责任险理赔处理计算方法</w:t>
      </w:r>
      <w:r/>
    </w:p>
    <w:p>
      <w:pPr>
        <w:rPr>
          <w:rFonts w:hint="eastAsia" w:ascii="宋体" w:hAnsi="宋体"/>
          <w:b/>
          <w:sz w:val="30"/>
        </w:rPr>
      </w:pPr>
      <w:r>
        <w:rPr>
          <w:rFonts w:hint="eastAsia" w:ascii="宋体" w:hAnsi="宋体"/>
          <w:b/>
          <w:sz w:val="30"/>
        </w:rPr>
      </w:r>
      <w:r/>
    </w:p>
    <w:p>
      <w:pPr>
        <w:spacing w:line="520" w:lineRule="exact"/>
        <w:rPr>
          <w:rFonts w:hint="eastAsia" w:ascii="宋体" w:hAnsi="宋体"/>
          <w:sz w:val="30"/>
        </w:rPr>
      </w:pPr>
      <w:r>
        <w:rPr>
          <w:rFonts w:hint="eastAsia" w:ascii="宋体" w:hAnsi="宋体"/>
          <w:sz w:val="30"/>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8"/>
        <w:gridCol w:w="1890"/>
        <w:gridCol w:w="1632"/>
        <w:gridCol w:w="2131"/>
        <w:gridCol w:w="2747"/>
      </w:tblGrid>
      <w:tr>
        <w:trPr/>
        <w:tc>
          <w:tcPr>
            <w:tcW w:w="73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赔偿范围</w:t>
            </w:r>
            <w:r/>
          </w:p>
        </w:tc>
        <w:tc>
          <w:tcPr>
            <w:tcW w:w="163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计算标准</w:t>
            </w:r>
            <w:r/>
          </w:p>
        </w:tc>
        <w:tc>
          <w:tcPr>
            <w:tcW w:w="2131"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依据</w:t>
            </w:r>
            <w:r/>
          </w:p>
        </w:tc>
        <w:tc>
          <w:tcPr>
            <w:tcW w:w="274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所需单证</w:t>
            </w:r>
            <w:r/>
          </w:p>
        </w:tc>
      </w:tr>
      <w:tr>
        <w:trPr/>
        <w:tc>
          <w:tcPr>
            <w:tcW w:w="73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89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63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131"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74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tc>
          <w:tcPr>
            <w:tcW w:w="73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89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63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131"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74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tc>
          <w:tcPr>
            <w:tcW w:w="738"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89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63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131"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74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Pr>
        <w:tc>
          <w:tcPr>
            <w:gridSpan w:val="5"/>
            <w:tcW w:w="9138"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说明：</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tc>
      </w:tr>
    </w:tbl>
    <w:p>
      <w:pPr>
        <w:ind w:firstLine="360"/>
        <w:spacing w:line="400" w:lineRule="exact"/>
        <w:rPr>
          <w:rFonts w:hint="eastAsia" w:ascii="宋体" w:hAnsi="宋体"/>
          <w:sz w:val="24"/>
        </w:rPr>
      </w:pPr>
      <w:r>
        <w:rPr>
          <w:rFonts w:hint="eastAsia" w:ascii="宋体" w:hAnsi="宋体"/>
          <w:sz w:val="24"/>
        </w:rPr>
        <w:t xml:space="preserve">注：1、投标人应详细说明学生人身伤害事故责任险赔偿范围内规定的各项给付或补偿费用科目及索赔明细。赔偿科目如：死亡赔偿金、伤残赔偿金、医疗费、住院伙食补助费、营养费、监护人误工费、护理费、交通费、残疾用具费、残疾生活补助费、残疾护理补助费、丧葬费等；</w:t>
      </w:r>
      <w:r/>
    </w:p>
    <w:p>
      <w:pPr>
        <w:ind w:firstLine="480"/>
        <w:spacing w:line="400" w:lineRule="exact"/>
        <w:rPr>
          <w:rFonts w:hint="eastAsia" w:ascii="宋体" w:hAnsi="宋体"/>
          <w:sz w:val="24"/>
        </w:rPr>
      </w:pPr>
      <w:r>
        <w:rPr>
          <w:rFonts w:hint="eastAsia" w:ascii="宋体" w:hAnsi="宋体"/>
          <w:sz w:val="24"/>
        </w:rPr>
        <w:t xml:space="preserve">2、投标人应说明当学生人身伤害事故责任险与其他保险产生赔偿责任竞合时的具体处理办法和处理标准，此部分内容应区别给付、补偿两种赔偿方式，如：在既有学生人身伤害事故责任险又有人身意外伤害保险的条件下，给付性赔偿金与补偿性赔偿金如何计算，涉及单证分割的须明确分割程序及标准；</w:t>
      </w:r>
      <w:r/>
    </w:p>
    <w:p>
      <w:pPr>
        <w:ind w:firstLine="480"/>
        <w:spacing w:line="400" w:lineRule="exact"/>
        <w:rPr>
          <w:rFonts w:hint="eastAsia" w:ascii="宋体" w:hAnsi="宋体"/>
          <w:sz w:val="24"/>
        </w:rPr>
      </w:pPr>
      <w:r>
        <w:rPr>
          <w:rFonts w:hint="eastAsia" w:ascii="宋体" w:hAnsi="宋体"/>
          <w:sz w:val="24"/>
        </w:rPr>
        <w:t xml:space="preserve">3、投标人应保证上述内容在协议有效期内相对稳定，并明确列出对上述内容进行必要调整所需条件。</w:t>
      </w:r>
      <w:r/>
    </w:p>
    <w:p>
      <w:pPr>
        <w:ind w:firstLine="240"/>
        <w:jc w:val="left"/>
        <w:spacing w:line="400" w:lineRule="exact"/>
        <w:rPr>
          <w:rFonts w:hint="eastAsia" w:ascii="宋体" w:hAnsi="宋体"/>
          <w:sz w:val="24"/>
        </w:rPr>
      </w:pPr>
      <w:r>
        <w:rPr>
          <w:rFonts w:hint="eastAsia" w:ascii="宋体" w:hAnsi="宋体"/>
          <w:sz w:val="24"/>
        </w:rPr>
      </w:r>
      <w:r/>
    </w:p>
    <w:p>
      <w:pPr>
        <w:ind w:firstLine="240"/>
        <w:jc w:val="left"/>
        <w:spacing w:line="400" w:lineRule="exact"/>
        <w:rPr>
          <w:rFonts w:hint="eastAsia" w:ascii="宋体" w:hAnsi="宋体"/>
          <w:sz w:val="24"/>
        </w:rPr>
      </w:pPr>
      <w:r>
        <w:rPr>
          <w:rFonts w:hint="eastAsia" w:ascii="宋体" w:hAnsi="宋体"/>
          <w:sz w:val="24"/>
        </w:rPr>
      </w:r>
      <w:r/>
    </w:p>
    <w:p>
      <w:pPr>
        <w:ind w:firstLine="240"/>
        <w:jc w:val="left"/>
        <w:spacing w:line="400" w:lineRule="exact"/>
        <w:rPr>
          <w:rFonts w:hint="eastAsia" w:ascii="宋体" w:hAnsi="宋体"/>
          <w:sz w:val="24"/>
        </w:rPr>
      </w:pPr>
      <w:r>
        <w:rPr>
          <w:rFonts w:hint="eastAsia" w:ascii="宋体" w:hAnsi="宋体"/>
          <w:sz w:val="24"/>
        </w:rPr>
      </w:r>
      <w:r/>
    </w:p>
    <w:p>
      <w:pPr>
        <w:rPr>
          <w:rFonts w:hint="eastAsia" w:ascii="宋体" w:hAnsi="宋体"/>
          <w:b/>
          <w:sz w:val="30"/>
        </w:rPr>
      </w:pPr>
      <w:r>
        <w:rPr>
          <w:rFonts w:hint="eastAsia" w:ascii="宋体" w:hAnsi="宋体"/>
          <w:b/>
          <w:sz w:val="30"/>
        </w:rPr>
        <w:t xml:space="preserve">投标人（法人公司）全称（加盖CA电子签章）：</w:t>
      </w:r>
      <w:r/>
    </w:p>
    <w:p>
      <w:pPr>
        <w:rPr>
          <w:rFonts w:ascii="仿宋_GB2312" w:hAnsi="Arial"/>
          <w:sz w:val="30"/>
        </w:rPr>
      </w:pPr>
      <w:r>
        <w:rPr>
          <w:rFonts w:hint="eastAsia" w:ascii="宋体" w:hAnsi="宋体"/>
          <w:b/>
          <w:sz w:val="30"/>
        </w:rPr>
        <w:t xml:space="preserve">日期：   年   月   日</w:t>
      </w:r>
      <w:r/>
    </w:p>
    <w:p>
      <w:pPr>
        <w:pStyle w:val="934"/>
        <w:ind w:firstLine="0"/>
        <w:rPr>
          <w:rFonts w:hint="eastAsia" w:ascii="宋体" w:hAnsi="宋体"/>
          <w:sz w:val="24"/>
        </w:rPr>
      </w:pPr>
      <w:r/>
      <w:bookmarkStart w:id="220" w:name="_Hlt26671374"/>
      <w:r/>
      <w:bookmarkStart w:id="221" w:name="_Hlt26955066"/>
      <w:r/>
      <w:bookmarkStart w:id="222" w:name="_Hlt26609389"/>
      <w:r/>
      <w:bookmarkStart w:id="223" w:name="_Toc462564146"/>
      <w:r/>
      <w:bookmarkEnd w:id="220"/>
      <w:r/>
      <w:bookmarkEnd w:id="221"/>
      <w:r/>
      <w:bookmarkEnd w:id="222"/>
      <w:r/>
      <w:r/>
    </w:p>
    <w:p>
      <w:pPr>
        <w:jc w:val="center"/>
        <w:rPr>
          <w:rFonts w:hint="eastAsia" w:ascii="黑体" w:hAnsi="黑体" w:eastAsia="黑体"/>
          <w:b/>
          <w:sz w:val="32"/>
          <w:szCs w:val="32"/>
        </w:rPr>
      </w:pPr>
      <w:r/>
      <w:bookmarkStart w:id="224" w:name="_格式2__法定代表人授权书"/>
      <w:r/>
      <w:bookmarkEnd w:id="223"/>
      <w:r/>
      <w:bookmarkEnd w:id="224"/>
      <w:r/>
      <w:r/>
    </w:p>
    <w:p>
      <w:pPr>
        <w:jc w:val="center"/>
        <w:rPr>
          <w:rFonts w:asci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w:t>
      </w:r>
      <w:r>
        <w:rPr>
          <w:rFonts w:hint="eastAsia" w:ascii="黑体" w:eastAsia="黑体"/>
          <w:b/>
          <w:sz w:val="32"/>
          <w:szCs w:val="32"/>
        </w:rPr>
        <w:t xml:space="preserve">投标人（法人单位）</w:t>
      </w:r>
      <w:r>
        <w:rPr>
          <w:rFonts w:ascii="黑体" w:eastAsia="黑体"/>
          <w:b/>
          <w:sz w:val="32"/>
          <w:szCs w:val="32"/>
        </w:rPr>
        <w:t xml:space="preserve">情况一览表</w:t>
      </w:r>
      <w:r/>
    </w:p>
    <w:p>
      <w:pPr>
        <w:jc w:val="center"/>
        <w:spacing w:line="480" w:lineRule="auto"/>
        <w:rPr>
          <w:rFonts w:hint="eastAsia" w:ascii="宋体" w:hAnsi="宋体"/>
          <w:b/>
          <w:sz w:val="24"/>
          <w:szCs w:val="24"/>
        </w:rPr>
      </w:pPr>
      <w:r>
        <w:rPr>
          <w:rFonts w:hint="eastAsia" w:ascii="宋体" w:hAnsi="宋体"/>
          <w:b/>
          <w:sz w:val="24"/>
          <w:szCs w:val="24"/>
        </w:rPr>
      </w:r>
      <w:r/>
    </w:p>
    <w:p>
      <w:pPr>
        <w:jc w:val="left"/>
        <w:spacing w:line="480" w:lineRule="auto"/>
        <w:rPr>
          <w:rFonts w:hint="eastAsia" w:ascii="宋体" w:hAnsi="宋体"/>
          <w:b/>
          <w:sz w:val="24"/>
          <w:szCs w:val="24"/>
        </w:rPr>
      </w:pPr>
      <w:r>
        <w:rPr>
          <w:rFonts w:hint="eastAsia" w:ascii="宋体" w:hAnsi="宋体"/>
          <w:b/>
          <w:sz w:val="24"/>
          <w:szCs w:val="24"/>
        </w:rPr>
        <w:t xml:space="preserve">（一）投标人资产状况情况表</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80"/>
        <w:gridCol w:w="1880"/>
        <w:gridCol w:w="1880"/>
        <w:gridCol w:w="1880"/>
        <w:gridCol w:w="1880"/>
      </w:tblGrid>
      <w:tr>
        <w:trPr/>
        <w:tc>
          <w:tcPr>
            <w:tcW w:w="188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注册资金</w:t>
            </w:r>
            <w:r/>
          </w:p>
        </w:tc>
        <w:tc>
          <w:tcPr>
            <w:tcW w:w="188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成立时间</w:t>
            </w:r>
            <w:r/>
          </w:p>
        </w:tc>
        <w:tc>
          <w:tcPr>
            <w:tcW w:w="188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资产总计</w:t>
            </w:r>
            <w:r/>
          </w:p>
        </w:tc>
        <w:tc>
          <w:tcPr>
            <w:tcW w:w="188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负债及所有者权益总计</w:t>
            </w:r>
            <w:r/>
          </w:p>
        </w:tc>
        <w:tc>
          <w:tcPr>
            <w:tcW w:w="188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核心偿付能力</w:t>
            </w:r>
            <w:r/>
          </w:p>
          <w:p>
            <w:pPr>
              <w:jc w:val="center"/>
              <w:spacing w:line="400" w:lineRule="exact"/>
              <w:rPr>
                <w:rFonts w:hint="eastAsia" w:ascii="宋体" w:hAnsi="宋体"/>
                <w:sz w:val="24"/>
                <w:szCs w:val="24"/>
              </w:rPr>
            </w:pPr>
            <w:r>
              <w:rPr>
                <w:rFonts w:hint="eastAsia" w:ascii="宋体" w:hAnsi="宋体"/>
                <w:sz w:val="24"/>
                <w:szCs w:val="24"/>
              </w:rPr>
              <w:t xml:space="preserve">（2025年一季度）</w:t>
            </w:r>
            <w:r/>
          </w:p>
        </w:tc>
      </w:tr>
      <w:tr>
        <w:trPr/>
        <w:tc>
          <w:tcPr>
            <w:tcW w:w="1880" w:type="dxa"/>
            <w:textDirection w:val="lrTb"/>
            <w:noWrap w:val="false"/>
          </w:tcPr>
          <w:p>
            <w:pPr>
              <w:spacing w:line="480" w:lineRule="auto"/>
              <w:rPr>
                <w:rFonts w:hint="eastAsia" w:ascii="宋体" w:hAnsi="宋体"/>
                <w:sz w:val="24"/>
                <w:szCs w:val="24"/>
              </w:rPr>
            </w:pPr>
            <w:r>
              <w:rPr>
                <w:rFonts w:hint="eastAsia" w:ascii="宋体" w:hAnsi="宋体"/>
                <w:sz w:val="24"/>
                <w:szCs w:val="24"/>
              </w:rPr>
            </w:r>
            <w:r/>
          </w:p>
          <w:p>
            <w:pPr>
              <w:spacing w:line="480" w:lineRule="auto"/>
              <w:rPr>
                <w:rFonts w:hint="eastAsia" w:ascii="宋体" w:hAnsi="宋体"/>
                <w:sz w:val="24"/>
                <w:szCs w:val="24"/>
              </w:rPr>
            </w:pPr>
            <w:r>
              <w:rPr>
                <w:rFonts w:hint="eastAsia" w:ascii="宋体" w:hAnsi="宋体"/>
                <w:sz w:val="24"/>
                <w:szCs w:val="24"/>
              </w:rPr>
            </w:r>
            <w:r/>
          </w:p>
        </w:tc>
        <w:tc>
          <w:tcPr>
            <w:tcW w:w="1880" w:type="dxa"/>
            <w:textDirection w:val="lrTb"/>
            <w:noWrap w:val="false"/>
          </w:tcPr>
          <w:p>
            <w:pPr>
              <w:spacing w:line="480" w:lineRule="auto"/>
              <w:rPr>
                <w:rFonts w:hint="eastAsia" w:ascii="宋体" w:hAnsi="宋体"/>
                <w:sz w:val="24"/>
                <w:szCs w:val="24"/>
              </w:rPr>
            </w:pPr>
            <w:r>
              <w:rPr>
                <w:rFonts w:hint="eastAsia" w:ascii="宋体" w:hAnsi="宋体"/>
                <w:sz w:val="24"/>
                <w:szCs w:val="24"/>
              </w:rPr>
            </w:r>
            <w:r/>
          </w:p>
        </w:tc>
        <w:tc>
          <w:tcPr>
            <w:tcW w:w="1880" w:type="dxa"/>
            <w:textDirection w:val="lrTb"/>
            <w:noWrap w:val="false"/>
          </w:tcPr>
          <w:p>
            <w:pPr>
              <w:spacing w:line="480" w:lineRule="auto"/>
              <w:rPr>
                <w:rFonts w:hint="eastAsia" w:ascii="宋体" w:hAnsi="宋体"/>
                <w:sz w:val="24"/>
                <w:szCs w:val="24"/>
              </w:rPr>
            </w:pPr>
            <w:r>
              <w:rPr>
                <w:rFonts w:hint="eastAsia" w:ascii="宋体" w:hAnsi="宋体"/>
                <w:sz w:val="24"/>
                <w:szCs w:val="24"/>
              </w:rPr>
            </w:r>
            <w:r/>
          </w:p>
        </w:tc>
        <w:tc>
          <w:tcPr>
            <w:tcW w:w="1880" w:type="dxa"/>
            <w:textDirection w:val="lrTb"/>
            <w:noWrap w:val="false"/>
          </w:tcPr>
          <w:p>
            <w:pPr>
              <w:spacing w:line="480" w:lineRule="auto"/>
              <w:rPr>
                <w:rFonts w:hint="eastAsia" w:ascii="宋体" w:hAnsi="宋体"/>
                <w:sz w:val="24"/>
                <w:szCs w:val="24"/>
              </w:rPr>
            </w:pPr>
            <w:r>
              <w:rPr>
                <w:rFonts w:hint="eastAsia" w:ascii="宋体" w:hAnsi="宋体"/>
                <w:sz w:val="24"/>
                <w:szCs w:val="24"/>
              </w:rPr>
            </w:r>
            <w:r/>
          </w:p>
        </w:tc>
        <w:tc>
          <w:tcPr>
            <w:tcW w:w="1880" w:type="dxa"/>
            <w:textDirection w:val="lrTb"/>
            <w:noWrap w:val="false"/>
          </w:tcPr>
          <w:p>
            <w:pPr>
              <w:spacing w:line="480" w:lineRule="auto"/>
              <w:rPr>
                <w:rFonts w:hint="eastAsia" w:ascii="宋体" w:hAnsi="宋体"/>
                <w:sz w:val="24"/>
                <w:szCs w:val="24"/>
              </w:rPr>
            </w:pPr>
            <w:r>
              <w:rPr>
                <w:rFonts w:hint="eastAsia" w:ascii="宋体" w:hAnsi="宋体"/>
                <w:sz w:val="24"/>
                <w:szCs w:val="24"/>
              </w:rPr>
            </w:r>
            <w:r/>
          </w:p>
        </w:tc>
      </w:tr>
    </w:tbl>
    <w:p>
      <w:pPr>
        <w:ind w:firstLine="240"/>
        <w:spacing w:line="300" w:lineRule="auto"/>
        <w:rPr>
          <w:rFonts w:hint="eastAsia" w:ascii="宋体" w:hAnsi="宋体"/>
          <w:sz w:val="24"/>
          <w:szCs w:val="24"/>
        </w:rPr>
      </w:pPr>
      <w:r>
        <w:rPr>
          <w:rFonts w:hint="eastAsia" w:ascii="宋体" w:hAnsi="宋体"/>
          <w:sz w:val="24"/>
          <w:szCs w:val="24"/>
        </w:rPr>
        <w:t xml:space="preserve"> 注：货币单位为人民币万元。</w:t>
      </w:r>
      <w:r/>
    </w:p>
    <w:p>
      <w:pPr>
        <w:ind w:firstLine="240"/>
        <w:spacing w:line="300" w:lineRule="auto"/>
        <w:rPr>
          <w:rFonts w:hint="eastAsia" w:ascii="宋体" w:hAnsi="宋体"/>
          <w:sz w:val="24"/>
          <w:szCs w:val="24"/>
        </w:rPr>
      </w:pPr>
      <w:r>
        <w:rPr>
          <w:rFonts w:hint="eastAsia" w:ascii="宋体" w:hAnsi="宋体"/>
          <w:sz w:val="24"/>
          <w:szCs w:val="24"/>
        </w:rPr>
        <w:t xml:space="preserve">提供2024年度的总公司（法人单位）资产负债情况表及经营情况</w:t>
      </w:r>
      <w:r/>
    </w:p>
    <w:p>
      <w:pPr>
        <w:ind w:firstLine="240"/>
        <w:spacing w:line="300" w:lineRule="auto"/>
        <w:rPr>
          <w:rFonts w:hint="eastAsia" w:ascii="宋体" w:hAnsi="宋体"/>
          <w:sz w:val="24"/>
          <w:szCs w:val="24"/>
        </w:rPr>
      </w:pPr>
      <w:r>
        <w:rPr>
          <w:rFonts w:hint="eastAsia" w:ascii="宋体" w:hAnsi="宋体"/>
          <w:sz w:val="24"/>
          <w:szCs w:val="24"/>
        </w:rPr>
        <w:t xml:space="preserve">提供2025年一季度总公司（法人单位）偿付能力报告相关证明材料</w:t>
      </w:r>
      <w:r/>
    </w:p>
    <w:p>
      <w:pPr>
        <w:ind w:firstLine="240"/>
        <w:spacing w:line="300" w:lineRule="auto"/>
        <w:rPr>
          <w:rFonts w:hint="eastAsia" w:ascii="宋体" w:hAnsi="宋体"/>
          <w:sz w:val="24"/>
          <w:szCs w:val="24"/>
        </w:rPr>
      </w:pPr>
      <w:r>
        <w:rPr>
          <w:rFonts w:hint="eastAsia" w:ascii="宋体" w:hAnsi="宋体"/>
          <w:sz w:val="24"/>
          <w:szCs w:val="24"/>
        </w:rPr>
        <w:t xml:space="preserve">若无法提供，请加以说明。</w:t>
      </w:r>
      <w:r/>
    </w:p>
    <w:p>
      <w:pPr>
        <w:ind w:firstLine="240"/>
        <w:spacing w:line="300" w:lineRule="auto"/>
        <w:rPr>
          <w:rFonts w:hint="eastAsia" w:ascii="宋体" w:hAnsi="宋体"/>
          <w:sz w:val="24"/>
          <w:szCs w:val="24"/>
        </w:rPr>
      </w:pPr>
      <w:r>
        <w:rPr>
          <w:rFonts w:hint="eastAsia" w:ascii="宋体" w:hAnsi="宋体"/>
          <w:sz w:val="24"/>
          <w:szCs w:val="24"/>
        </w:rPr>
      </w:r>
      <w:r/>
    </w:p>
    <w:p>
      <w:pPr>
        <w:spacing w:line="480" w:lineRule="auto"/>
        <w:rPr>
          <w:rFonts w:hint="eastAsia" w:ascii="宋体" w:hAnsi="宋体"/>
          <w:b/>
          <w:sz w:val="24"/>
        </w:rPr>
      </w:pPr>
      <w:r>
        <w:rPr>
          <w:rFonts w:hint="eastAsia" w:ascii="宋体" w:hAnsi="宋体"/>
          <w:b/>
          <w:sz w:val="24"/>
        </w:rPr>
      </w:r>
      <w:r/>
    </w:p>
    <w:p>
      <w:pPr>
        <w:rPr>
          <w:rFonts w:hint="eastAsia" w:ascii="宋体" w:hAnsi="宋体"/>
          <w:b/>
          <w:sz w:val="30"/>
        </w:rPr>
      </w:pPr>
      <w:r>
        <w:rPr>
          <w:rFonts w:hint="eastAsia" w:ascii="宋体" w:hAnsi="宋体"/>
          <w:b/>
          <w:sz w:val="30"/>
        </w:rPr>
        <w:t xml:space="preserve">投标人（法人公司）全称（加盖CA电子签章）：</w:t>
      </w:r>
      <w:r/>
    </w:p>
    <w:p>
      <w:pPr>
        <w:spacing w:line="300" w:lineRule="auto"/>
        <w:rPr>
          <w:rFonts w:hint="eastAsia" w:ascii="宋体" w:hAnsi="宋体"/>
          <w:b/>
          <w:sz w:val="30"/>
        </w:rPr>
      </w:pPr>
      <w:r>
        <w:rPr>
          <w:rFonts w:hint="eastAsia" w:ascii="宋体" w:hAnsi="宋体"/>
          <w:b/>
          <w:sz w:val="30"/>
        </w:rPr>
        <w:t xml:space="preserve">日期：   年   月   日</w:t>
      </w:r>
      <w:r/>
    </w:p>
    <w:p>
      <w:pPr>
        <w:jc w:val="left"/>
        <w:spacing w:line="480" w:lineRule="auto"/>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（二）</w:t>
      </w:r>
      <w:r>
        <w:rPr>
          <w:rFonts w:hint="eastAsia" w:ascii="宋体" w:hAnsi="宋体"/>
          <w:b/>
          <w:sz w:val="24"/>
          <w:szCs w:val="24"/>
        </w:rPr>
        <w:t xml:space="preserve">投标人江苏公司状况一览表</w:t>
      </w:r>
      <w:r/>
    </w:p>
    <w:p>
      <w:pPr>
        <w:spacing w:line="480" w:lineRule="auto"/>
        <w:rPr>
          <w:rFonts w:hint="eastAsia" w:ascii="宋体" w:hAnsi="宋体"/>
          <w:sz w:val="30"/>
        </w:rPr>
      </w:pPr>
      <w:r>
        <w:rPr>
          <w:rFonts w:hint="eastAsia" w:ascii="宋体" w:hAnsi="宋体"/>
          <w:sz w:val="30"/>
        </w:rPr>
      </w:r>
      <w:r/>
    </w:p>
    <w:tbl>
      <w:tblPr>
        <w:tblW w:w="9536"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42"/>
        <w:gridCol w:w="2369"/>
        <w:gridCol w:w="2561"/>
        <w:gridCol w:w="13"/>
        <w:gridCol w:w="1544"/>
        <w:gridCol w:w="1507"/>
      </w:tblGrid>
      <w:tr>
        <w:trPr>
          <w:cantSplit/>
          <w:trHeight w:val="634"/>
        </w:trPr>
        <w:tc>
          <w:tcPr>
            <w:gridSpan w:val="6"/>
            <w:tcBorders>
              <w:top w:val="single" w:color="auto" w:sz="4" w:space="0"/>
            </w:tcBorders>
            <w:tcW w:w="9536" w:type="dxa"/>
            <w:vAlign w:val="center"/>
            <w:textDirection w:val="lrTb"/>
            <w:noWrap w:val="false"/>
          </w:tcPr>
          <w:p>
            <w:pPr>
              <w:ind w:left="65" w:hanging="65"/>
              <w:rPr>
                <w:rFonts w:hint="eastAsia" w:ascii="宋体" w:hAnsi="宋体"/>
                <w:sz w:val="24"/>
                <w:szCs w:val="24"/>
              </w:rPr>
            </w:pPr>
            <w:r>
              <w:rPr>
                <w:rFonts w:hint="eastAsia" w:ascii="宋体" w:hAnsi="宋体"/>
                <w:sz w:val="24"/>
                <w:szCs w:val="24"/>
              </w:rPr>
              <w:t xml:space="preserve">经江苏保监局批准设立的江苏省内经营网点数为</w:t>
            </w:r>
            <w:r>
              <w:rPr>
                <w:rFonts w:hint="eastAsia" w:ascii="宋体" w:hAnsi="宋体"/>
                <w:sz w:val="24"/>
                <w:szCs w:val="24"/>
                <w:u w:val="single"/>
              </w:rPr>
              <w:t xml:space="preserve">        </w:t>
            </w:r>
            <w:r>
              <w:rPr>
                <w:rFonts w:hint="eastAsia" w:ascii="宋体" w:hAnsi="宋体"/>
                <w:sz w:val="24"/>
                <w:szCs w:val="24"/>
              </w:rPr>
              <w:t xml:space="preserve">个（含省、市、县（市、区））</w:t>
            </w:r>
            <w:r/>
          </w:p>
        </w:tc>
      </w:tr>
      <w:tr>
        <w:trPr>
          <w:cantSplit/>
          <w:trHeight w:val="491"/>
        </w:trPr>
        <w:tc>
          <w:tcPr>
            <w:tcW w:w="1542" w:type="dxa"/>
            <w:vAlign w:val="center"/>
            <w:vMerge w:val="restart"/>
            <w:textDirection w:val="lrTb"/>
            <w:noWrap w:val="false"/>
          </w:tcPr>
          <w:p>
            <w:pPr>
              <w:jc w:val="center"/>
              <w:rPr>
                <w:rFonts w:hint="eastAsia" w:ascii="宋体" w:hAnsi="宋体"/>
                <w:sz w:val="24"/>
                <w:szCs w:val="24"/>
              </w:rPr>
            </w:pPr>
            <w:r>
              <w:rPr>
                <w:rFonts w:hint="eastAsia" w:ascii="宋体" w:hAnsi="宋体"/>
                <w:sz w:val="24"/>
                <w:szCs w:val="24"/>
              </w:rPr>
              <w:t xml:space="preserve">投标人</w:t>
            </w:r>
            <w:bookmarkStart w:id="225" w:name="OLE_LINK2"/>
            <w:r>
              <w:rPr>
                <w:rFonts w:hint="eastAsia" w:ascii="宋体" w:hAnsi="宋体"/>
                <w:sz w:val="24"/>
                <w:szCs w:val="24"/>
              </w:rPr>
              <w:t xml:space="preserve">经江苏保监局批准设立的具有工商营业执照及经营保险业务许可证的江苏省内县（市、区）及以上经营网点</w:t>
            </w:r>
            <w:bookmarkEnd w:id="225"/>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经营网点名称</w:t>
            </w:r>
            <w:r/>
          </w:p>
        </w:tc>
        <w:tc>
          <w:tcPr>
            <w:gridSpan w:val="2"/>
            <w:tcW w:w="2574" w:type="dxa"/>
            <w:vAlign w:val="center"/>
            <w:textDirection w:val="lrTb"/>
            <w:noWrap w:val="false"/>
          </w:tcPr>
          <w:p>
            <w:pPr>
              <w:ind w:right="-101"/>
              <w:jc w:val="center"/>
              <w:rPr>
                <w:rFonts w:hint="eastAsia" w:ascii="宋体" w:hAnsi="宋体"/>
                <w:sz w:val="24"/>
                <w:szCs w:val="24"/>
              </w:rPr>
            </w:pPr>
            <w:r>
              <w:rPr>
                <w:rFonts w:hint="eastAsia" w:ascii="宋体" w:hAnsi="宋体"/>
                <w:sz w:val="24"/>
                <w:szCs w:val="24"/>
              </w:rPr>
              <w:t xml:space="preserve">网点地址</w:t>
            </w:r>
            <w:r/>
          </w:p>
        </w:tc>
        <w:tc>
          <w:tcPr>
            <w:tcW w:w="154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职工人数</w:t>
            </w:r>
            <w:r/>
          </w:p>
        </w:tc>
        <w:tc>
          <w:tcPr>
            <w:tcW w:w="15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联系电话</w:t>
            </w:r>
            <w:r/>
          </w:p>
        </w:tc>
      </w:tr>
      <w:tr>
        <w:trPr>
          <w:cantSplit/>
          <w:trHeight w:val="492"/>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2574" w:type="dxa"/>
            <w:vAlign w:val="center"/>
            <w:textDirection w:val="lrTb"/>
            <w:noWrap w:val="false"/>
          </w:tcPr>
          <w:p>
            <w:pPr>
              <w:ind w:firstLine="240"/>
              <w:rPr>
                <w:rFonts w:hint="eastAsia" w:ascii="宋体" w:hAnsi="宋体"/>
                <w:sz w:val="24"/>
                <w:szCs w:val="24"/>
                <w:u w:val="single"/>
              </w:rPr>
            </w:pPr>
            <w:r>
              <w:rPr>
                <w:rFonts w:hint="eastAsia" w:ascii="宋体" w:hAnsi="宋体"/>
                <w:sz w:val="24"/>
                <w:szCs w:val="24"/>
                <w:u w:val="single"/>
              </w:rPr>
            </w:r>
            <w:r/>
          </w:p>
        </w:tc>
        <w:tc>
          <w:tcPr>
            <w:tcW w:w="1544"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492"/>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2574" w:type="dxa"/>
            <w:vAlign w:val="center"/>
            <w:textDirection w:val="lrTb"/>
            <w:noWrap w:val="false"/>
          </w:tcPr>
          <w:p>
            <w:pPr>
              <w:ind w:firstLine="240"/>
              <w:rPr>
                <w:rFonts w:hint="eastAsia" w:ascii="宋体" w:hAnsi="宋体"/>
                <w:sz w:val="24"/>
                <w:szCs w:val="24"/>
                <w:u w:val="single"/>
              </w:rPr>
            </w:pPr>
            <w:r>
              <w:rPr>
                <w:rFonts w:hint="eastAsia" w:ascii="宋体" w:hAnsi="宋体"/>
                <w:sz w:val="24"/>
                <w:szCs w:val="24"/>
                <w:u w:val="single"/>
              </w:rPr>
            </w:r>
            <w:r/>
          </w:p>
        </w:tc>
        <w:tc>
          <w:tcPr>
            <w:tcW w:w="1544"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491"/>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2574" w:type="dxa"/>
            <w:vAlign w:val="center"/>
            <w:textDirection w:val="lrTb"/>
            <w:noWrap w:val="false"/>
          </w:tcPr>
          <w:p>
            <w:pPr>
              <w:ind w:firstLine="240"/>
              <w:rPr>
                <w:rFonts w:hint="eastAsia" w:ascii="宋体" w:hAnsi="宋体"/>
                <w:sz w:val="24"/>
                <w:szCs w:val="24"/>
                <w:u w:val="single"/>
              </w:rPr>
            </w:pPr>
            <w:r>
              <w:rPr>
                <w:rFonts w:hint="eastAsia" w:ascii="宋体" w:hAnsi="宋体"/>
                <w:sz w:val="24"/>
                <w:szCs w:val="24"/>
                <w:u w:val="single"/>
              </w:rPr>
            </w:r>
            <w:r/>
          </w:p>
        </w:tc>
        <w:tc>
          <w:tcPr>
            <w:tcW w:w="1544"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492"/>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2574" w:type="dxa"/>
            <w:vAlign w:val="center"/>
            <w:textDirection w:val="lrTb"/>
            <w:noWrap w:val="false"/>
          </w:tcPr>
          <w:p>
            <w:pPr>
              <w:ind w:firstLine="240"/>
              <w:rPr>
                <w:rFonts w:hint="eastAsia" w:ascii="宋体" w:hAnsi="宋体"/>
                <w:sz w:val="24"/>
                <w:szCs w:val="24"/>
                <w:u w:val="single"/>
              </w:rPr>
            </w:pPr>
            <w:r>
              <w:rPr>
                <w:rFonts w:hint="eastAsia" w:ascii="宋体" w:hAnsi="宋体"/>
                <w:sz w:val="24"/>
                <w:szCs w:val="24"/>
                <w:u w:val="single"/>
              </w:rPr>
            </w:r>
            <w:r/>
          </w:p>
        </w:tc>
        <w:tc>
          <w:tcPr>
            <w:tcW w:w="1544"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492"/>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2574" w:type="dxa"/>
            <w:vAlign w:val="center"/>
            <w:textDirection w:val="lrTb"/>
            <w:noWrap w:val="false"/>
          </w:tcPr>
          <w:p>
            <w:pPr>
              <w:ind w:firstLine="240"/>
              <w:rPr>
                <w:rFonts w:hint="eastAsia" w:ascii="宋体" w:hAnsi="宋体"/>
                <w:sz w:val="24"/>
                <w:szCs w:val="24"/>
                <w:u w:val="single"/>
              </w:rPr>
            </w:pPr>
            <w:r>
              <w:rPr>
                <w:rFonts w:hint="eastAsia" w:ascii="宋体" w:hAnsi="宋体"/>
                <w:sz w:val="24"/>
                <w:szCs w:val="24"/>
                <w:u w:val="single"/>
              </w:rPr>
            </w:r>
            <w:r/>
          </w:p>
        </w:tc>
        <w:tc>
          <w:tcPr>
            <w:tcW w:w="1544"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33"/>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31"/>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31"/>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31"/>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492"/>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31"/>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78"/>
        </w:trPr>
        <w:tc>
          <w:tcPr>
            <w:tcW w:w="1542"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78"/>
        </w:trPr>
        <w:tc>
          <w:tcPr>
            <w:tcW w:w="1542"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369"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2561"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557"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507" w:type="dxa"/>
            <w:vAlign w:val="center"/>
            <w:textDirection w:val="lrTb"/>
            <w:noWrap w:val="false"/>
          </w:tcPr>
          <w:p>
            <w:pPr>
              <w:rPr>
                <w:rFonts w:hint="eastAsia" w:ascii="宋体" w:hAnsi="宋体"/>
                <w:sz w:val="24"/>
                <w:szCs w:val="24"/>
              </w:rPr>
            </w:pPr>
            <w:r>
              <w:rPr>
                <w:rFonts w:hint="eastAsia" w:ascii="宋体" w:hAnsi="宋体"/>
                <w:sz w:val="24"/>
                <w:szCs w:val="24"/>
              </w:rPr>
            </w:r>
            <w:r/>
          </w:p>
        </w:tc>
      </w:tr>
    </w:tbl>
    <w:p>
      <w:pPr>
        <w:ind w:firstLine="480"/>
        <w:spacing w:line="300" w:lineRule="auto"/>
        <w:rPr>
          <w:rFonts w:hint="eastAsia" w:ascii="宋体" w:hAnsi="宋体"/>
          <w:sz w:val="24"/>
          <w:szCs w:val="24"/>
        </w:rPr>
      </w:pPr>
      <w:r>
        <w:rPr>
          <w:rFonts w:hint="eastAsia" w:ascii="宋体" w:hAnsi="宋体"/>
          <w:sz w:val="24"/>
          <w:szCs w:val="24"/>
        </w:rPr>
        <w:t xml:space="preserve">注：</w:t>
      </w:r>
      <w:r/>
    </w:p>
    <w:p>
      <w:pPr>
        <w:ind w:firstLine="482"/>
        <w:spacing w:line="300" w:lineRule="auto"/>
        <w:rPr>
          <w:rFonts w:hint="eastAsia" w:ascii="宋体" w:hAnsi="宋体"/>
          <w:b/>
          <w:sz w:val="24"/>
          <w:szCs w:val="24"/>
        </w:rPr>
      </w:pPr>
      <w:r>
        <w:rPr>
          <w:rFonts w:hint="eastAsia" w:ascii="宋体" w:hAnsi="宋体"/>
          <w:b/>
          <w:sz w:val="24"/>
          <w:szCs w:val="24"/>
        </w:rPr>
        <w:t xml:space="preserve">1、13个省辖市</w:t>
      </w:r>
      <w:r>
        <w:rPr>
          <w:rFonts w:ascii="宋体" w:hAnsi="宋体"/>
          <w:b/>
          <w:sz w:val="24"/>
          <w:szCs w:val="24"/>
        </w:rPr>
        <w:t xml:space="preserve">经营网点</w:t>
      </w:r>
      <w:r>
        <w:rPr>
          <w:rFonts w:hint="eastAsia" w:ascii="宋体" w:hAnsi="宋体"/>
          <w:b/>
          <w:sz w:val="24"/>
          <w:szCs w:val="24"/>
        </w:rPr>
        <w:t xml:space="preserve">请提供</w:t>
      </w:r>
      <w:r>
        <w:rPr>
          <w:rFonts w:ascii="宋体" w:hAnsi="宋体"/>
          <w:b/>
          <w:sz w:val="24"/>
          <w:szCs w:val="24"/>
        </w:rPr>
        <w:t xml:space="preserve">营业执照及</w:t>
      </w:r>
      <w:r>
        <w:rPr>
          <w:rFonts w:hint="eastAsia" w:ascii="宋体" w:hAnsi="宋体"/>
          <w:b/>
          <w:sz w:val="24"/>
          <w:szCs w:val="24"/>
        </w:rPr>
        <w:t xml:space="preserve">经营</w:t>
      </w:r>
      <w:r>
        <w:rPr>
          <w:rFonts w:ascii="宋体" w:hAnsi="宋体"/>
          <w:b/>
          <w:sz w:val="24"/>
          <w:szCs w:val="24"/>
        </w:rPr>
        <w:t xml:space="preserve">保险业务许可证复印件</w:t>
      </w:r>
      <w:r>
        <w:rPr>
          <w:rFonts w:hint="eastAsia" w:ascii="宋体" w:hAnsi="宋体"/>
          <w:b/>
          <w:sz w:val="24"/>
          <w:szCs w:val="24"/>
        </w:rPr>
        <w:t xml:space="preserve">。</w:t>
      </w:r>
      <w:r/>
    </w:p>
    <w:p>
      <w:pPr>
        <w:spacing w:line="300" w:lineRule="auto"/>
        <w:rPr>
          <w:rFonts w:hint="eastAsia" w:ascii="宋体" w:hAnsi="宋体"/>
          <w:b/>
          <w:sz w:val="24"/>
          <w:szCs w:val="24"/>
        </w:rPr>
      </w:pPr>
      <w:r>
        <w:rPr>
          <w:rFonts w:hint="eastAsia" w:ascii="宋体" w:hAnsi="宋体"/>
          <w:b/>
          <w:sz w:val="24"/>
          <w:szCs w:val="24"/>
        </w:rPr>
        <w:t xml:space="preserve">    2、本表中所称经营网点指同时具有营业执照及经营保险业务许可证的经营网点。</w:t>
      </w:r>
      <w:r/>
    </w:p>
    <w:p>
      <w:pPr>
        <w:spacing w:line="300" w:lineRule="auto"/>
        <w:rPr>
          <w:rFonts w:hint="eastAsia" w:ascii="宋体" w:hAnsi="宋体"/>
          <w:b/>
          <w:sz w:val="24"/>
          <w:szCs w:val="24"/>
        </w:rPr>
      </w:pPr>
      <w:r>
        <w:rPr>
          <w:rFonts w:hint="eastAsia" w:ascii="宋体" w:hAnsi="宋体"/>
          <w:b/>
          <w:sz w:val="24"/>
          <w:szCs w:val="24"/>
        </w:rPr>
      </w:r>
      <w:r/>
    </w:p>
    <w:p>
      <w:pPr>
        <w:rPr>
          <w:rFonts w:hint="eastAsia" w:ascii="宋体" w:hAnsi="宋体"/>
          <w:b/>
          <w:sz w:val="30"/>
        </w:rPr>
      </w:pPr>
      <w:r>
        <w:rPr>
          <w:rFonts w:hint="eastAsia" w:ascii="宋体" w:hAnsi="宋体"/>
          <w:b/>
          <w:sz w:val="30"/>
        </w:rPr>
        <w:t xml:space="preserve">投标人（法人公司）全称（加盖CA电子签章）：</w:t>
      </w:r>
      <w:r/>
    </w:p>
    <w:p>
      <w:pPr>
        <w:spacing w:line="300" w:lineRule="auto"/>
        <w:rPr>
          <w:rFonts w:hint="eastAsia" w:ascii="宋体" w:hAnsi="宋体"/>
          <w:b/>
          <w:sz w:val="30"/>
        </w:rPr>
      </w:pPr>
      <w:r>
        <w:rPr>
          <w:rFonts w:hint="eastAsia" w:ascii="宋体" w:hAnsi="宋体"/>
          <w:b/>
          <w:sz w:val="30"/>
        </w:rPr>
        <w:t xml:space="preserve">日期：   年   月   日</w:t>
      </w:r>
      <w:r/>
    </w:p>
    <w:p>
      <w:pPr>
        <w:jc w:val="left"/>
        <w:spacing w:line="480" w:lineRule="auto"/>
        <w:rPr>
          <w:rFonts w:hint="eastAsia" w:ascii="宋体" w:hAnsi="宋体"/>
          <w:sz w:val="30"/>
        </w:rPr>
      </w:pPr>
      <w:r>
        <w:rPr>
          <w:rFonts w:ascii="宋体" w:hAnsi="宋体"/>
          <w:b/>
          <w:sz w:val="24"/>
          <w:szCs w:val="24"/>
        </w:rPr>
        <w:br w:type="page" w:clear="all"/>
      </w:r>
      <w:r>
        <w:rPr>
          <w:rFonts w:hint="eastAsia" w:ascii="宋体" w:hAnsi="宋体"/>
          <w:b/>
          <w:sz w:val="24"/>
          <w:szCs w:val="24"/>
        </w:rPr>
        <w:t xml:space="preserve">（三）对江苏省学生人身伤害事故责任险项目拟定的服务机构</w:t>
      </w:r>
      <w:r/>
    </w:p>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b/>
          <w:sz w:val="24"/>
          <w:szCs w:val="24"/>
        </w:rPr>
        <w:t xml:space="preserve">（四）投标人总体评价</w:t>
      </w:r>
      <w:r/>
    </w:p>
    <w:p>
      <w:pPr>
        <w:jc w:val="left"/>
        <w:spacing w:line="480" w:lineRule="exact"/>
        <w:rPr>
          <w:rFonts w:hint="eastAsia" w:ascii="黑体" w:hAnsi="黑体" w:eastAsia="黑体"/>
          <w:b/>
          <w:sz w:val="32"/>
          <w:szCs w:val="32"/>
        </w:rPr>
      </w:pPr>
      <w:r>
        <w:rPr>
          <w:rFonts w:hint="eastAsia" w:ascii="黑体" w:hAnsi="黑体" w:eastAsia="黑体"/>
          <w:b/>
          <w:sz w:val="32"/>
          <w:szCs w:val="32"/>
        </w:rPr>
      </w:r>
      <w:r/>
    </w:p>
    <w:p>
      <w:pPr>
        <w:jc w:val="left"/>
        <w:spacing w:line="480" w:lineRule="exact"/>
        <w:rPr>
          <w:rFonts w:hint="eastAsia" w:ascii="黑体" w:hAnsi="黑体" w:eastAsia="黑体"/>
          <w:b/>
          <w:sz w:val="32"/>
          <w:szCs w:val="32"/>
        </w:rPr>
      </w:pPr>
      <w:r>
        <w:rPr>
          <w:rFonts w:hint="eastAsia" w:ascii="黑体" w:hAnsi="黑体" w:eastAsia="黑体"/>
          <w:b/>
          <w:sz w:val="32"/>
          <w:szCs w:val="32"/>
        </w:rPr>
      </w:r>
      <w:r/>
    </w:p>
    <w:p>
      <w:pPr>
        <w:jc w:val="left"/>
        <w:spacing w:line="480" w:lineRule="exact"/>
        <w:rPr>
          <w:rFonts w:hint="eastAsia" w:ascii="黑体" w:hAnsi="黑体" w:eastAsia="黑体"/>
          <w:b/>
          <w:sz w:val="32"/>
          <w:szCs w:val="32"/>
        </w:rPr>
      </w:pPr>
      <w:r>
        <w:rPr>
          <w:rFonts w:hint="eastAsia" w:ascii="黑体" w:hAnsi="黑体" w:eastAsia="黑体"/>
          <w:b/>
          <w:sz w:val="32"/>
          <w:szCs w:val="32"/>
        </w:rPr>
      </w:r>
      <w:r/>
    </w:p>
    <w:p>
      <w:pPr>
        <w:jc w:val="center"/>
        <w:spacing w:line="48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十一、优质服务业绩表与理赔案例</w:t>
      </w:r>
      <w:r/>
    </w:p>
    <w:p>
      <w:pPr>
        <w:jc w:val="left"/>
        <w:spacing w:line="480" w:lineRule="exact"/>
        <w:rPr>
          <w:rFonts w:hint="eastAsia" w:ascii="宋体" w:hAnsi="宋体"/>
          <w:b/>
          <w:sz w:val="24"/>
          <w:szCs w:val="24"/>
        </w:rPr>
      </w:pPr>
      <w:r>
        <w:rPr>
          <w:rFonts w:hint="eastAsia" w:ascii="宋体" w:hAnsi="宋体"/>
          <w:b/>
          <w:sz w:val="24"/>
          <w:szCs w:val="24"/>
        </w:rPr>
        <w:t xml:space="preserve">（一）承保业绩</w:t>
      </w:r>
      <w:r/>
    </w:p>
    <w:p>
      <w:pPr>
        <w:jc w:val="left"/>
        <w:spacing w:line="480" w:lineRule="exact"/>
        <w:rPr>
          <w:rFonts w:hint="eastAsia" w:ascii="宋体" w:hAnsi="宋体"/>
          <w:b/>
          <w:bCs/>
          <w:sz w:val="24"/>
          <w:szCs w:val="24"/>
        </w:rPr>
      </w:pPr>
      <w:r>
        <w:rPr>
          <w:rFonts w:hint="eastAsia" w:ascii="宋体" w:hAnsi="宋体"/>
          <w:b/>
          <w:bCs/>
          <w:sz w:val="24"/>
          <w:szCs w:val="24"/>
        </w:rPr>
        <w:t xml:space="preserve">1、2019年以来投标人与本项目类似的统保项目列表并附合同或保单（复印件）</w:t>
      </w:r>
      <w:r/>
    </w:p>
    <w:p>
      <w:pPr>
        <w:spacing w:line="480" w:lineRule="exact"/>
        <w:rPr>
          <w:rFonts w:hint="eastAsia" w:ascii="宋体" w:hAnsi="宋体"/>
          <w:sz w:val="24"/>
          <w:szCs w:val="24"/>
        </w:rPr>
      </w:pPr>
      <w:r>
        <w:rPr>
          <w:rFonts w:hint="eastAsia" w:ascii="宋体" w:hAnsi="宋体"/>
          <w:b/>
          <w:sz w:val="24"/>
          <w:szCs w:val="24"/>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50"/>
        <w:gridCol w:w="2720"/>
        <w:gridCol w:w="3969"/>
      </w:tblGrid>
      <w:tr>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合同期限及签订日期</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保费金额及单价</w:t>
            </w:r>
            <w:r/>
          </w:p>
          <w:p>
            <w:pPr>
              <w:jc w:val="center"/>
              <w:spacing w:line="480" w:lineRule="exact"/>
              <w:rPr>
                <w:rFonts w:hint="eastAsia" w:ascii="宋体" w:hAnsi="宋体"/>
                <w:sz w:val="24"/>
                <w:szCs w:val="24"/>
              </w:rPr>
            </w:pPr>
            <w:r>
              <w:rPr>
                <w:rFonts w:hint="eastAsia" w:ascii="宋体" w:hAnsi="宋体"/>
                <w:sz w:val="24"/>
                <w:szCs w:val="24"/>
              </w:rPr>
              <w:t xml:space="preserve">（万元）</w:t>
            </w:r>
            <w:r/>
          </w:p>
        </w:tc>
      </w:tr>
      <w:tr>
        <w:trPr>
          <w:trHeight w:val="820"/>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r>
      <w:tr>
        <w:trPr>
          <w:trHeight w:val="818"/>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r>
    </w:tbl>
    <w:p>
      <w:pPr>
        <w:ind w:left="181" w:firstLine="240"/>
        <w:jc w:val="left"/>
        <w:spacing w:line="360" w:lineRule="auto"/>
        <w:widowControl/>
        <w:rPr>
          <w:rFonts w:hint="eastAsia" w:ascii="宋体" w:hAnsi="宋体"/>
          <w:sz w:val="24"/>
          <w:szCs w:val="24"/>
        </w:rPr>
      </w:pPr>
      <w:r>
        <w:rPr>
          <w:rFonts w:hint="eastAsia" w:ascii="宋体" w:hAnsi="宋体"/>
          <w:sz w:val="24"/>
          <w:szCs w:val="24"/>
        </w:rPr>
      </w:r>
      <w:r/>
    </w:p>
    <w:p>
      <w:pPr>
        <w:ind w:left="181" w:firstLine="240"/>
        <w:jc w:val="left"/>
        <w:spacing w:line="360" w:lineRule="auto"/>
        <w:widowControl/>
        <w:rPr>
          <w:rFonts w:hint="eastAsia" w:ascii="宋体" w:hAnsi="宋体"/>
          <w:sz w:val="24"/>
          <w:szCs w:val="24"/>
        </w:rPr>
      </w:pPr>
      <w:r>
        <w:rPr>
          <w:rFonts w:hint="eastAsia" w:ascii="宋体" w:hAnsi="宋体"/>
          <w:sz w:val="24"/>
          <w:szCs w:val="24"/>
        </w:rPr>
      </w:r>
      <w:r/>
    </w:p>
    <w:p>
      <w:pPr>
        <w:rPr>
          <w:rFonts w:hint="eastAsia" w:ascii="黑体" w:hAnsi="黑体" w:eastAsia="黑体"/>
          <w:b/>
          <w:sz w:val="32"/>
          <w:szCs w:val="32"/>
        </w:rPr>
      </w:pPr>
      <w:r>
        <w:rPr>
          <w:rFonts w:hint="eastAsia" w:ascii="黑体" w:hAnsi="黑体" w:eastAsia="黑体"/>
          <w:b/>
          <w:sz w:val="32"/>
          <w:szCs w:val="32"/>
        </w:rPr>
      </w:r>
      <w:r/>
    </w:p>
    <w:p>
      <w:pPr>
        <w:ind w:firstLine="309"/>
        <w:rPr>
          <w:rFonts w:hint="eastAsia" w:ascii="宋体" w:hAnsi="宋体"/>
          <w:b/>
          <w:sz w:val="30"/>
        </w:rPr>
      </w:pPr>
      <w:r>
        <w:rPr>
          <w:rFonts w:hint="eastAsia" w:ascii="宋体" w:hAnsi="宋体"/>
          <w:b/>
          <w:sz w:val="30"/>
        </w:rPr>
        <w:t xml:space="preserve">投标人（法人公司）全称（加盖CA电子签章）：</w:t>
      </w:r>
      <w:r/>
    </w:p>
    <w:p>
      <w:pPr>
        <w:spacing w:line="300" w:lineRule="auto"/>
        <w:rPr>
          <w:rFonts w:hint="eastAsia" w:ascii="宋体" w:hAnsi="宋体"/>
          <w:sz w:val="24"/>
          <w:szCs w:val="24"/>
        </w:rPr>
      </w:pPr>
      <w:r>
        <w:rPr>
          <w:rFonts w:hint="eastAsia" w:ascii="宋体" w:hAnsi="宋体"/>
          <w:sz w:val="24"/>
          <w:szCs w:val="24"/>
        </w:rPr>
      </w:r>
      <w:r/>
    </w:p>
    <w:p>
      <w:pPr>
        <w:ind w:firstLine="309"/>
        <w:rPr>
          <w:rFonts w:hint="eastAsia" w:ascii="宋体" w:hAnsi="宋体"/>
          <w:b/>
          <w:sz w:val="30"/>
        </w:rPr>
      </w:pPr>
      <w:r>
        <w:rPr>
          <w:rFonts w:hint="eastAsia" w:ascii="宋体" w:hAnsi="宋体"/>
          <w:b/>
          <w:sz w:val="30"/>
        </w:rPr>
        <w:t xml:space="preserve">日期：   年   月   日</w:t>
      </w:r>
      <w:r/>
    </w:p>
    <w:p>
      <w:pPr>
        <w:ind w:left="181" w:firstLine="240"/>
        <w:jc w:val="left"/>
        <w:spacing w:line="360" w:lineRule="auto"/>
        <w:widowControl/>
        <w:rPr>
          <w:rFonts w:hint="eastAsia" w:ascii="宋体" w:hAnsi="宋体"/>
          <w:sz w:val="24"/>
          <w:szCs w:val="24"/>
        </w:rPr>
      </w:pPr>
      <w:r>
        <w:rPr>
          <w:rFonts w:hint="eastAsia" w:ascii="宋体" w:hAnsi="宋体"/>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t xml:space="preserve">2、投标人类似业绩承保工作方面的经验、表现</w:t>
      </w:r>
      <w:r/>
    </w:p>
    <w:p>
      <w:pPr>
        <w:jc w:val="left"/>
        <w:spacing w:line="480" w:lineRule="exact"/>
        <w:rPr>
          <w:rFonts w:hint="eastAsia" w:ascii="宋体" w:hAnsi="宋体"/>
          <w:sz w:val="24"/>
          <w:szCs w:val="24"/>
        </w:rPr>
      </w:pPr>
      <w:r>
        <w:rPr>
          <w:rFonts w:hint="eastAsia" w:ascii="宋体" w:hAnsi="宋体"/>
          <w:sz w:val="24"/>
          <w:szCs w:val="24"/>
        </w:rPr>
        <w:br w:type="page" w:clear="all"/>
      </w:r>
      <w:r>
        <w:rPr>
          <w:rFonts w:hint="eastAsia" w:ascii="宋体" w:hAnsi="宋体"/>
          <w:b/>
          <w:sz w:val="24"/>
          <w:szCs w:val="24"/>
        </w:rPr>
        <w:t xml:space="preserve">（二）理赔业绩</w:t>
      </w:r>
      <w:r/>
    </w:p>
    <w:p>
      <w:pPr>
        <w:jc w:val="left"/>
        <w:spacing w:line="480" w:lineRule="exact"/>
        <w:rPr>
          <w:rFonts w:hint="eastAsia" w:ascii="宋体" w:hAnsi="宋体"/>
          <w:b/>
          <w:bCs/>
          <w:sz w:val="24"/>
          <w:szCs w:val="24"/>
        </w:rPr>
      </w:pPr>
      <w:r>
        <w:rPr>
          <w:rFonts w:hint="eastAsia" w:ascii="宋体" w:hAnsi="宋体"/>
          <w:b/>
          <w:bCs/>
          <w:sz w:val="24"/>
          <w:szCs w:val="24"/>
        </w:rPr>
        <w:t xml:space="preserve">1、投标人类似统保项目理赔经验（提供赔款计算书及支付凭证复印件）</w:t>
      </w:r>
      <w:r/>
    </w:p>
    <w:tbl>
      <w:tblPr>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50"/>
        <w:gridCol w:w="2720"/>
        <w:gridCol w:w="2368"/>
        <w:gridCol w:w="1742"/>
      </w:tblGrid>
      <w:tr>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合同期限及签订日期</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赔款支付时间</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已决</w:t>
            </w:r>
            <w:r/>
          </w:p>
          <w:p>
            <w:pPr>
              <w:jc w:val="center"/>
              <w:spacing w:line="480" w:lineRule="exact"/>
              <w:rPr>
                <w:rFonts w:hint="eastAsia" w:ascii="宋体" w:hAnsi="宋体"/>
                <w:sz w:val="24"/>
                <w:szCs w:val="24"/>
              </w:rPr>
            </w:pPr>
            <w:r>
              <w:rPr>
                <w:rFonts w:hint="eastAsia" w:ascii="宋体" w:hAnsi="宋体"/>
                <w:sz w:val="24"/>
                <w:szCs w:val="24"/>
              </w:rPr>
              <w:t xml:space="preserve">赔款（万元）</w:t>
            </w:r>
            <w:r/>
          </w:p>
        </w:tc>
      </w:tr>
      <w:tr>
        <w:trPr>
          <w:trHeight w:val="820"/>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r>
      <w:tr>
        <w:trPr>
          <w:trHeight w:val="818"/>
        </w:trPr>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r>
            <w:r/>
          </w:p>
        </w:tc>
      </w:tr>
    </w:tbl>
    <w:p>
      <w:pPr>
        <w:ind w:firstLine="480"/>
        <w:spacing w:line="480" w:lineRule="exact"/>
        <w:rPr>
          <w:rFonts w:hint="eastAsia" w:ascii="宋体" w:hAnsi="宋体"/>
          <w:sz w:val="24"/>
          <w:szCs w:val="24"/>
        </w:rPr>
      </w:pPr>
      <w:r/>
      <w:bookmarkStart w:id="226" w:name="OLE_LINK11"/>
      <w:r/>
      <w:r/>
    </w:p>
    <w:p>
      <w:pPr>
        <w:rPr>
          <w:rFonts w:hint="eastAsia" w:ascii="黑体" w:hAnsi="黑体" w:eastAsia="黑体"/>
          <w:b/>
          <w:sz w:val="32"/>
          <w:szCs w:val="32"/>
        </w:rPr>
      </w:pPr>
      <w:r>
        <w:rPr>
          <w:rFonts w:hint="eastAsia" w:ascii="黑体" w:hAnsi="黑体" w:eastAsia="黑体"/>
          <w:b/>
          <w:sz w:val="32"/>
          <w:szCs w:val="32"/>
        </w:rPr>
      </w:r>
      <w:r/>
    </w:p>
    <w:p>
      <w:pPr>
        <w:ind w:firstLine="309"/>
        <w:rPr>
          <w:rFonts w:hint="eastAsia" w:ascii="宋体" w:hAnsi="宋体"/>
          <w:b/>
          <w:sz w:val="30"/>
        </w:rPr>
      </w:pPr>
      <w:r>
        <w:rPr>
          <w:rFonts w:hint="eastAsia" w:ascii="宋体" w:hAnsi="宋体"/>
          <w:b/>
          <w:sz w:val="30"/>
        </w:rPr>
        <w:t xml:space="preserve">投标人（法人公司）全称（加盖CA电子签章）：</w:t>
      </w:r>
      <w:r/>
    </w:p>
    <w:p>
      <w:pPr>
        <w:spacing w:line="300" w:lineRule="auto"/>
        <w:rPr>
          <w:rFonts w:hint="eastAsia" w:ascii="宋体" w:hAnsi="宋体"/>
          <w:sz w:val="24"/>
          <w:szCs w:val="24"/>
        </w:rPr>
      </w:pPr>
      <w:r>
        <w:rPr>
          <w:rFonts w:hint="eastAsia" w:ascii="宋体" w:hAnsi="宋体"/>
          <w:sz w:val="24"/>
          <w:szCs w:val="24"/>
        </w:rPr>
      </w:r>
      <w:r/>
    </w:p>
    <w:p>
      <w:pPr>
        <w:ind w:firstLine="309"/>
        <w:rPr>
          <w:rFonts w:hint="eastAsia" w:ascii="宋体" w:hAnsi="宋体"/>
          <w:b/>
          <w:sz w:val="30"/>
        </w:rPr>
      </w:pPr>
      <w:r>
        <w:rPr>
          <w:rFonts w:hint="eastAsia" w:ascii="宋体" w:hAnsi="宋体"/>
          <w:b/>
          <w:sz w:val="30"/>
        </w:rPr>
        <w:t xml:space="preserve">日期：   年   月   日</w:t>
      </w:r>
      <w:bookmarkEnd w:id="226"/>
      <w:r/>
      <w:r/>
    </w:p>
    <w:p>
      <w:pPr>
        <w:rPr>
          <w:rFonts w:hint="eastAsia" w:ascii="宋体" w:hAnsi="宋体"/>
          <w:sz w:val="24"/>
        </w:rPr>
      </w:pPr>
      <w:r>
        <w:rPr>
          <w:rFonts w:hint="eastAsia" w:ascii="宋体" w:hAnsi="宋体"/>
          <w:sz w:val="24"/>
        </w:rPr>
        <w:t xml:space="preserve"> </w:t>
      </w:r>
      <w:r/>
    </w:p>
    <w:p>
      <w:pPr>
        <w:jc w:val="left"/>
        <w:spacing w:line="480" w:lineRule="exact"/>
        <w:rPr>
          <w:rFonts w:hint="eastAsia" w:ascii="宋体" w:hAnsi="宋体"/>
          <w:sz w:val="24"/>
          <w:szCs w:val="24"/>
        </w:rPr>
      </w:pPr>
      <w:r>
        <w:rPr>
          <w:rFonts w:hint="eastAsia" w:ascii="宋体" w:hAnsi="宋体"/>
          <w:sz w:val="24"/>
          <w:szCs w:val="24"/>
        </w:rPr>
      </w:r>
      <w:r/>
    </w:p>
    <w:p>
      <w:pPr>
        <w:jc w:val="left"/>
        <w:spacing w:line="480" w:lineRule="exact"/>
        <w:rPr>
          <w:rFonts w:hint="eastAsia" w:ascii="宋体" w:hAnsi="宋体"/>
          <w:sz w:val="24"/>
          <w:szCs w:val="24"/>
        </w:rPr>
      </w:pPr>
      <w:r>
        <w:rPr>
          <w:rFonts w:hint="eastAsia" w:ascii="宋体" w:hAnsi="宋体"/>
          <w:sz w:val="24"/>
          <w:szCs w:val="24"/>
        </w:rPr>
      </w:r>
      <w:r/>
    </w:p>
    <w:p>
      <w:pPr>
        <w:jc w:val="left"/>
        <w:spacing w:line="480" w:lineRule="exact"/>
        <w:rPr>
          <w:rFonts w:hint="eastAsia" w:ascii="宋体" w:hAnsi="宋体"/>
          <w:sz w:val="24"/>
          <w:szCs w:val="24"/>
        </w:rPr>
      </w:pPr>
      <w:r>
        <w:rPr>
          <w:rFonts w:hint="eastAsia" w:ascii="宋体" w:hAnsi="宋体"/>
          <w:sz w:val="24"/>
          <w:szCs w:val="24"/>
        </w:rPr>
      </w:r>
      <w:r/>
    </w:p>
    <w:p>
      <w:pPr>
        <w:jc w:val="left"/>
        <w:spacing w:line="480" w:lineRule="exact"/>
        <w:rPr>
          <w:rFonts w:hint="eastAsia" w:ascii="宋体" w:hAnsi="宋体"/>
          <w:b/>
          <w:bCs/>
          <w:sz w:val="24"/>
          <w:szCs w:val="24"/>
        </w:rPr>
      </w:pPr>
      <w:r>
        <w:rPr>
          <w:rFonts w:hint="eastAsia" w:ascii="宋体" w:hAnsi="宋体"/>
          <w:b/>
          <w:bCs/>
          <w:sz w:val="24"/>
          <w:szCs w:val="24"/>
        </w:rPr>
        <w:t xml:space="preserve">2、投标人类似项目理赔工作方面的经验、表现</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十二、保险方案响应及其它服务方案</w:t>
      </w:r>
      <w:r/>
    </w:p>
    <w:p>
      <w:pPr>
        <w:jc w:val="left"/>
        <w:spacing w:line="560" w:lineRule="exact"/>
        <w:rPr>
          <w:rFonts w:hint="eastAsia" w:ascii="宋体" w:hAnsi="宋体"/>
          <w:b/>
          <w:sz w:val="24"/>
          <w:szCs w:val="24"/>
        </w:rPr>
      </w:pPr>
      <w:r>
        <w:rPr>
          <w:rFonts w:hint="eastAsia" w:ascii="宋体" w:hAnsi="宋体"/>
          <w:bCs/>
          <w:sz w:val="24"/>
          <w:szCs w:val="24"/>
        </w:rPr>
        <w:t xml:space="preserve">  注：投标人自行组织编写，格式不拘。应在可能情况下和国家法律法规允许范围内，明确表述实际给予的实质性的优惠和服务承诺。</w:t>
      </w:r>
      <w:r>
        <w:rPr>
          <w:rFonts w:hint="eastAsia" w:ascii="宋体" w:hAnsi="宋体"/>
          <w:b/>
          <w:sz w:val="24"/>
          <w:szCs w:val="24"/>
        </w:rPr>
        <w:br/>
        <w:t xml:space="preserve">（一）保险方案响应情况</w:t>
      </w:r>
      <w:r>
        <w:rPr>
          <w:rFonts w:hint="eastAsia" w:ascii="宋体" w:hAnsi="宋体"/>
          <w:b/>
          <w:sz w:val="24"/>
          <w:szCs w:val="24"/>
        </w:rPr>
        <w:br/>
      </w:r>
      <w:r>
        <w:rPr>
          <w:rFonts w:hint="eastAsia" w:ascii="宋体" w:hAnsi="宋体"/>
          <w:b/>
          <w:sz w:val="24"/>
          <w:szCs w:val="24"/>
        </w:rPr>
        <w:br/>
      </w:r>
      <w:r>
        <w:rPr>
          <w:rFonts w:hint="eastAsia" w:ascii="宋体" w:hAnsi="宋体"/>
          <w:b/>
          <w:sz w:val="24"/>
          <w:szCs w:val="24"/>
        </w:rPr>
        <w:br/>
        <w:t xml:space="preserve">（二）扩展条款及其他特别约定响应情况表</w:t>
      </w:r>
      <w:r>
        <w:rPr>
          <w:rFonts w:hint="eastAsia" w:ascii="宋体" w:hAnsi="宋体"/>
          <w:b/>
          <w:sz w:val="24"/>
          <w:szCs w:val="24"/>
        </w:rPr>
        <w:br/>
        <w:t xml:space="preserve"> </w:t>
      </w:r>
      <w:r/>
    </w:p>
    <w:tbl>
      <w:tblPr>
        <w:tblW w:w="0" w:type="auto"/>
        <w:tblCellSpacing w:w="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930"/>
        <w:gridCol w:w="1718"/>
      </w:tblGrid>
      <w:tr>
        <w:trPr>
          <w:tblCellSpacing w:w="0" w:type="dxa"/>
          <w:trHeight w:val="580"/>
        </w:trPr>
        <w:tc>
          <w:tcPr>
            <w:tcMar>
              <w:left w:w="108" w:type="dxa"/>
              <w:top w:w="0" w:type="dxa"/>
              <w:right w:w="108" w:type="dxa"/>
              <w:bottom w:w="0" w:type="dxa"/>
            </w:tcMar>
            <w:tcW w:w="6930" w:type="dxa"/>
            <w:textDirection w:val="lrTb"/>
            <w:noWrap w:val="false"/>
          </w:tcPr>
          <w:p>
            <w:pPr>
              <w:ind w:left="945"/>
              <w:spacing w:line="540" w:lineRule="exact"/>
              <w:rPr>
                <w:rFonts w:hint="eastAsia" w:ascii="宋体" w:hAnsi="宋体"/>
                <w:sz w:val="24"/>
                <w:szCs w:val="24"/>
              </w:rPr>
            </w:pPr>
            <w:r>
              <w:rPr>
                <w:rFonts w:ascii="宋体" w:hAnsi="宋体"/>
                <w:sz w:val="24"/>
                <w:szCs w:val="24"/>
              </w:rPr>
              <w:t xml:space="preserve">扩展条款</w:t>
            </w:r>
            <w:r>
              <w:rPr>
                <w:rFonts w:hint="eastAsia" w:ascii="宋体" w:hAnsi="宋体"/>
                <w:sz w:val="24"/>
                <w:szCs w:val="24"/>
              </w:rPr>
              <w:t xml:space="preserve">及特别约定</w:t>
            </w:r>
            <w:r>
              <w:rPr>
                <w:rFonts w:ascii="宋体" w:hAnsi="宋体"/>
                <w:sz w:val="24"/>
                <w:szCs w:val="24"/>
              </w:rPr>
              <w:t xml:space="preserve">内容</w:t>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ascii="宋体" w:hAnsi="宋体"/>
                <w:sz w:val="24"/>
                <w:szCs w:val="24"/>
              </w:rPr>
              <w:t xml:space="preserve">是否</w:t>
            </w:r>
            <w:r>
              <w:rPr>
                <w:rFonts w:hint="eastAsia" w:ascii="宋体" w:hAnsi="宋体"/>
                <w:sz w:val="24"/>
                <w:szCs w:val="24"/>
              </w:rPr>
              <w:t xml:space="preserve">完全</w:t>
            </w:r>
            <w:r>
              <w:rPr>
                <w:rFonts w:ascii="宋体" w:hAnsi="宋体"/>
                <w:sz w:val="24"/>
                <w:szCs w:val="24"/>
              </w:rPr>
              <w:t xml:space="preserve">响应</w:t>
            </w:r>
            <w:r/>
          </w:p>
        </w:tc>
      </w:tr>
      <w:tr>
        <w:trPr>
          <w:tblCellSpacing w:w="0" w:type="dxa"/>
          <w:trHeight w:val="580"/>
        </w:trPr>
        <w:tc>
          <w:tcPr>
            <w:tcMar>
              <w:left w:w="108" w:type="dxa"/>
              <w:top w:w="0" w:type="dxa"/>
              <w:right w:w="108" w:type="dxa"/>
              <w:bottom w:w="0" w:type="dxa"/>
            </w:tcMar>
            <w:tcW w:w="6930"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r>
      <w:tr>
        <w:trPr>
          <w:tblCellSpacing w:w="0" w:type="dxa"/>
          <w:trHeight w:val="580"/>
        </w:trPr>
        <w:tc>
          <w:tcPr>
            <w:tcMar>
              <w:left w:w="108" w:type="dxa"/>
              <w:top w:w="0" w:type="dxa"/>
              <w:right w:w="108" w:type="dxa"/>
              <w:bottom w:w="0" w:type="dxa"/>
            </w:tcMar>
            <w:tcW w:w="6930"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r>
      <w:tr>
        <w:trPr>
          <w:tblCellSpacing w:w="0" w:type="dxa"/>
          <w:trHeight w:val="580"/>
        </w:trPr>
        <w:tc>
          <w:tcPr>
            <w:tcMar>
              <w:left w:w="108" w:type="dxa"/>
              <w:top w:w="0" w:type="dxa"/>
              <w:right w:w="108" w:type="dxa"/>
              <w:bottom w:w="0" w:type="dxa"/>
            </w:tcMar>
            <w:tcW w:w="6930"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r>
      <w:tr>
        <w:trPr>
          <w:tblCellSpacing w:w="0" w:type="dxa"/>
          <w:trHeight w:val="580"/>
        </w:trPr>
        <w:tc>
          <w:tcPr>
            <w:tcMar>
              <w:left w:w="108" w:type="dxa"/>
              <w:top w:w="0" w:type="dxa"/>
              <w:right w:w="108" w:type="dxa"/>
              <w:bottom w:w="0" w:type="dxa"/>
            </w:tcMar>
            <w:tcW w:w="6930"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r>
      <w:tr>
        <w:trPr>
          <w:tblCellSpacing w:w="0" w:type="dxa"/>
          <w:trHeight w:val="580"/>
        </w:trPr>
        <w:tc>
          <w:tcPr>
            <w:tcMar>
              <w:left w:w="108" w:type="dxa"/>
              <w:top w:w="0" w:type="dxa"/>
              <w:right w:w="108" w:type="dxa"/>
              <w:bottom w:w="0" w:type="dxa"/>
            </w:tcMar>
            <w:tcW w:w="6930"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c>
          <w:tcPr>
            <w:tcMar>
              <w:left w:w="108" w:type="dxa"/>
              <w:top w:w="0" w:type="dxa"/>
              <w:right w:w="108" w:type="dxa"/>
              <w:bottom w:w="0" w:type="dxa"/>
            </w:tcMar>
            <w:tcW w:w="1718" w:type="dxa"/>
            <w:textDirection w:val="lrTb"/>
            <w:noWrap w:val="false"/>
          </w:tcPr>
          <w:p>
            <w:pPr>
              <w:spacing w:line="540" w:lineRule="exact"/>
              <w:rPr>
                <w:rFonts w:hint="eastAsia" w:ascii="宋体" w:hAnsi="宋体"/>
                <w:sz w:val="24"/>
                <w:szCs w:val="24"/>
              </w:rPr>
            </w:pPr>
            <w:r>
              <w:rPr>
                <w:rFonts w:hint="eastAsia" w:ascii="宋体" w:hAnsi="宋体"/>
                <w:sz w:val="24"/>
                <w:szCs w:val="24"/>
              </w:rPr>
            </w:r>
            <w:r/>
          </w:p>
        </w:tc>
      </w:tr>
    </w:tbl>
    <w:p>
      <w:pPr>
        <w:jc w:val="left"/>
        <w:spacing w:line="560" w:lineRule="exact"/>
        <w:rPr>
          <w:rFonts w:hint="eastAsia" w:ascii="宋体" w:hAnsi="宋体"/>
          <w:b/>
          <w:sz w:val="24"/>
          <w:szCs w:val="24"/>
        </w:rPr>
      </w:pPr>
      <w:r>
        <w:rPr>
          <w:rFonts w:hint="eastAsia" w:ascii="宋体" w:hAnsi="宋体"/>
          <w:b/>
          <w:sz w:val="24"/>
          <w:szCs w:val="24"/>
        </w:rPr>
        <w:br/>
        <w:t xml:space="preserve">（三）其它服务方案</w:t>
      </w:r>
      <w:r>
        <w:rPr>
          <w:rFonts w:hint="eastAsia" w:ascii="宋体" w:hAnsi="宋体"/>
          <w:b/>
          <w:sz w:val="24"/>
          <w:szCs w:val="24"/>
        </w:rPr>
        <w:br/>
      </w:r>
      <w:r>
        <w:rPr>
          <w:rFonts w:hint="eastAsia" w:ascii="宋体" w:hAnsi="宋体"/>
          <w:b/>
          <w:sz w:val="24"/>
          <w:szCs w:val="24"/>
        </w:rPr>
        <w:br/>
      </w:r>
      <w:r>
        <w:rPr>
          <w:rFonts w:hint="eastAsia" w:ascii="宋体" w:hAnsi="宋体"/>
          <w:b/>
          <w:sz w:val="24"/>
          <w:szCs w:val="24"/>
        </w:rPr>
        <w:br/>
        <w:t xml:space="preserve">投标人（法人公司）全称（加盖CA电子签章）：</w:t>
      </w:r>
      <w:r>
        <w:rPr>
          <w:rFonts w:hint="eastAsia" w:ascii="宋体" w:hAnsi="宋体"/>
          <w:b/>
          <w:sz w:val="24"/>
          <w:szCs w:val="24"/>
        </w:rPr>
        <w:br/>
      </w:r>
      <w:r>
        <w:rPr>
          <w:rFonts w:hint="eastAsia" w:ascii="宋体" w:hAnsi="宋体"/>
          <w:b/>
          <w:sz w:val="24"/>
          <w:szCs w:val="24"/>
        </w:rPr>
        <w:br/>
        <w:t xml:space="preserve">日期：   年   月   日</w:t>
      </w:r>
      <w:r/>
    </w:p>
    <w:p>
      <w:pPr>
        <w:jc w:val="center"/>
        <w:spacing w:line="560" w:lineRule="exact"/>
        <w:rPr>
          <w:rFonts w:hint="eastAsia" w:ascii="黑体" w:hAnsi="黑体" w:eastAsia="黑体"/>
          <w:b/>
          <w:sz w:val="32"/>
          <w:szCs w:val="32"/>
        </w:rPr>
      </w:pPr>
      <w:r>
        <w:rPr>
          <w:rFonts w:hint="eastAsia" w:ascii="宋体" w:hAnsi="宋体"/>
          <w:b/>
          <w:sz w:val="24"/>
          <w:szCs w:val="24"/>
        </w:rPr>
        <w:br/>
      </w:r>
      <w:r>
        <w:rPr>
          <w:rFonts w:hint="eastAsia" w:ascii="黑体" w:hAnsi="黑体" w:eastAsia="黑体"/>
          <w:b/>
          <w:sz w:val="32"/>
          <w:szCs w:val="32"/>
        </w:rPr>
        <w:br w:type="page" w:clear="all"/>
      </w:r>
      <w:r>
        <w:rPr>
          <w:rFonts w:hint="eastAsia" w:ascii="黑体" w:hAnsi="黑体" w:eastAsia="黑体"/>
          <w:b/>
          <w:sz w:val="32"/>
          <w:szCs w:val="32"/>
        </w:rPr>
        <w:t xml:space="preserve">十三、学生人身伤害事故责任险服务手册提纲</w:t>
      </w:r>
      <w:r>
        <w:rPr>
          <w:rFonts w:hint="eastAsia" w:ascii="黑体" w:hAnsi="黑体" w:eastAsia="黑体"/>
          <w:b/>
          <w:sz w:val="32"/>
          <w:szCs w:val="32"/>
        </w:rPr>
        <w:br/>
      </w:r>
      <w:r>
        <w:rPr>
          <w:rFonts w:hint="eastAsia" w:ascii="黑体" w:hAnsi="黑体" w:eastAsia="黑体"/>
          <w:b/>
          <w:sz w:val="32"/>
          <w:szCs w:val="32"/>
        </w:rPr>
        <w:br/>
        <w:t xml:space="preserve">   </w:t>
      </w:r>
      <w:r/>
    </w:p>
    <w:p>
      <w:pPr>
        <w:jc w:val="left"/>
        <w:spacing w:line="560" w:lineRule="exact"/>
        <w:rPr>
          <w:rFonts w:hint="eastAsia" w:ascii="黑体" w:hAnsi="黑体" w:eastAsia="黑体"/>
          <w:b/>
          <w:sz w:val="32"/>
          <w:szCs w:val="32"/>
        </w:rPr>
      </w:pPr>
      <w:r>
        <w:rPr>
          <w:rFonts w:hint="eastAsia" w:ascii="宋体" w:hAnsi="宋体"/>
          <w:bCs/>
          <w:sz w:val="24"/>
          <w:szCs w:val="24"/>
        </w:rPr>
        <w:t xml:space="preserve">注：至少应从投保程序、理赔程序、服务网络等三个方面列出对学生人身伤害事故责任险服务的承诺。</w:t>
      </w:r>
      <w:r>
        <w:rPr>
          <w:rFonts w:hint="eastAsia" w:ascii="黑体" w:hAnsi="黑体" w:eastAsia="黑体"/>
          <w:b/>
          <w:sz w:val="32"/>
          <w:szCs w:val="32"/>
        </w:rPr>
        <w:br/>
      </w:r>
      <w:r>
        <w:rPr>
          <w:rFonts w:hint="eastAsia" w:ascii="黑体" w:hAnsi="黑体" w:eastAsia="黑体"/>
          <w:b/>
          <w:sz w:val="32"/>
          <w:szCs w:val="32"/>
        </w:rPr>
        <w:br/>
      </w:r>
      <w:r>
        <w:rPr>
          <w:rFonts w:hint="eastAsia" w:ascii="黑体" w:hAnsi="黑体" w:eastAsia="黑体"/>
          <w:b/>
          <w:sz w:val="32"/>
          <w:szCs w:val="32"/>
        </w:rPr>
        <w:br/>
      </w:r>
      <w:r>
        <w:rPr>
          <w:rFonts w:hint="eastAsia" w:ascii="黑体" w:hAnsi="黑体" w:eastAsia="黑体"/>
          <w:b/>
          <w:sz w:val="32"/>
          <w:szCs w:val="32"/>
        </w:rPr>
        <w:br w:type="page" w:clear="all"/>
      </w:r>
      <w:r/>
    </w:p>
    <w:p>
      <w:pPr>
        <w:jc w:val="center"/>
        <w:rPr>
          <w:rFonts w:hint="eastAsia" w:ascii="宋体" w:hAnsi="宋体" w:cs="仿宋"/>
          <w:b/>
          <w:bCs/>
          <w:sz w:val="32"/>
          <w:szCs w:val="32"/>
        </w:rPr>
      </w:pPr>
      <w:r>
        <w:rPr>
          <w:rFonts w:hint="eastAsia" w:ascii="黑体" w:hAnsi="黑体" w:eastAsia="黑体"/>
          <w:b/>
          <w:sz w:val="32"/>
          <w:szCs w:val="32"/>
        </w:rPr>
        <w:t xml:space="preserve">十四、投标人需说明的其他材料</w:t>
      </w:r>
      <w:r>
        <w:rPr>
          <w:rFonts w:hint="eastAsia" w:ascii="黑体" w:hAnsi="黑体" w:eastAsia="黑体"/>
          <w:b/>
          <w:sz w:val="32"/>
          <w:szCs w:val="32"/>
        </w:rPr>
        <w:br/>
      </w:r>
      <w:r>
        <w:rPr>
          <w:rFonts w:hint="eastAsia" w:ascii="黑体" w:hAnsi="黑体" w:eastAsia="黑体"/>
          <w:b/>
          <w:sz w:val="32"/>
          <w:szCs w:val="32"/>
        </w:rPr>
        <w:br/>
      </w:r>
      <w:r>
        <w:rPr>
          <w:rFonts w:hint="eastAsia" w:ascii="黑体" w:hAnsi="黑体" w:eastAsia="黑体"/>
          <w:b/>
          <w:sz w:val="32"/>
          <w:szCs w:val="32"/>
        </w:rPr>
        <w:br w:type="page" w:clear="all"/>
      </w: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4"/>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972"/>
        <w:rFonts w:hint="eastAsia" w:ascii="宋体" w:hAnsi="宋体"/>
      </w:rPr>
      <w:framePr w:wrap="around" w:vAnchor="text" w:hAnchor="margin" w:xAlign="center" w:y="1"/>
    </w:pPr>
    <w:r>
      <w:rPr>
        <w:rFonts w:ascii="宋体" w:hAnsi="宋体"/>
      </w:rPr>
      <w:fldChar w:fldCharType="begin"/>
    </w:r>
    <w:r>
      <w:rPr>
        <w:rStyle w:val="972"/>
        <w:rFonts w:ascii="宋体" w:hAnsi="宋体"/>
      </w:rPr>
      <w:instrText xml:space="preserve">PAGE  </w:instrText>
    </w:r>
    <w:r>
      <w:rPr>
        <w:rFonts w:ascii="宋体" w:hAnsi="宋体"/>
      </w:rPr>
      <w:fldChar w:fldCharType="separate"/>
    </w:r>
    <w:r>
      <w:rPr>
        <w:rStyle w:val="972"/>
        <w:rFonts w:ascii="宋体" w:hAnsi="宋体"/>
      </w:rPr>
      <w:t xml:space="preserve">42</w:t>
    </w:r>
    <w:r>
      <w:rPr>
        <w:rFonts w:ascii="宋体" w:hAnsi="宋体"/>
      </w:rPr>
      <w:fldChar w:fldCharType="end"/>
    </w:r>
    <w:r/>
  </w:p>
  <w:p>
    <w:pPr>
      <w:pStyle w:val="7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fldChar w:fldCharType="begin"/>
    </w:r>
    <w:r>
      <w:instrText xml:space="preserve">PAGE   \* MERGEFORMAT</w:instrText>
    </w:r>
    <w:r>
      <w:fldChar w:fldCharType="separate"/>
    </w:r>
    <w:r>
      <w:rPr>
        <w:lang w:val="zh-CN"/>
      </w:rPr>
      <w:t xml:space="preserve">1</w:t>
    </w:r>
    <w: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91"/>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ind w:left="1305" w:hanging="360"/>
      </w:pPr>
      <w:rPr>
        <w:u w:val="none"/>
      </w:rPr>
    </w:lvl>
    <w:lvl w:ilvl="1">
      <w:start w:val="1"/>
      <w:numFmt w:val="lowerLetter"/>
      <w:isLgl w:val="false"/>
      <w:suff w:val="tab"/>
      <w:lvlText w:val="%2)"/>
      <w:lvlJc w:val="left"/>
      <w:pPr>
        <w:ind w:left="1785" w:hanging="420"/>
      </w:pPr>
    </w:lvl>
    <w:lvl w:ilvl="2">
      <w:start w:val="1"/>
      <w:numFmt w:val="lowerRoman"/>
      <w:isLgl w:val="false"/>
      <w:suff w:val="tab"/>
      <w:lvlText w:val="%3."/>
      <w:lvlJc w:val="right"/>
      <w:pPr>
        <w:ind w:left="2205" w:hanging="420"/>
      </w:pPr>
    </w:lvl>
    <w:lvl w:ilvl="3">
      <w:start w:val="1"/>
      <w:numFmt w:val="decimal"/>
      <w:isLgl w:val="false"/>
      <w:suff w:val="tab"/>
      <w:lvlText w:val="%4."/>
      <w:lvlJc w:val="left"/>
      <w:pPr>
        <w:ind w:left="2625" w:hanging="420"/>
      </w:pPr>
    </w:lvl>
    <w:lvl w:ilvl="4">
      <w:start w:val="1"/>
      <w:numFmt w:val="lowerLetter"/>
      <w:isLgl w:val="false"/>
      <w:suff w:val="tab"/>
      <w:lvlText w:val="%5)"/>
      <w:lvlJc w:val="left"/>
      <w:pPr>
        <w:ind w:left="3045" w:hanging="420"/>
      </w:pPr>
    </w:lvl>
    <w:lvl w:ilvl="5">
      <w:start w:val="1"/>
      <w:numFmt w:val="lowerRoman"/>
      <w:isLgl w:val="false"/>
      <w:suff w:val="tab"/>
      <w:lvlText w:val="%6."/>
      <w:lvlJc w:val="right"/>
      <w:pPr>
        <w:ind w:left="3465" w:hanging="420"/>
      </w:pPr>
    </w:lvl>
    <w:lvl w:ilvl="6">
      <w:start w:val="1"/>
      <w:numFmt w:val="decimal"/>
      <w:isLgl w:val="false"/>
      <w:suff w:val="tab"/>
      <w:lvlText w:val="%7."/>
      <w:lvlJc w:val="left"/>
      <w:pPr>
        <w:ind w:left="3885" w:hanging="420"/>
      </w:pPr>
    </w:lvl>
    <w:lvl w:ilvl="7">
      <w:start w:val="1"/>
      <w:numFmt w:val="lowerLetter"/>
      <w:isLgl w:val="false"/>
      <w:suff w:val="tab"/>
      <w:lvlText w:val="%8)"/>
      <w:lvlJc w:val="left"/>
      <w:pPr>
        <w:ind w:left="4305" w:hanging="420"/>
      </w:pPr>
    </w:lvl>
    <w:lvl w:ilvl="8">
      <w:start w:val="1"/>
      <w:numFmt w:val="lowerRoman"/>
      <w:isLgl w:val="false"/>
      <w:suff w:val="tab"/>
      <w:lvlText w:val="%9."/>
      <w:lvlJc w:val="right"/>
      <w:pPr>
        <w:ind w:left="4725" w:hanging="420"/>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3"/>
      <w:isLgl w:val="false"/>
      <w:suff w:val="nothing"/>
      <w:lvlText w:val=""/>
      <w:lvlJc w:val="left"/>
      <w:pPr>
        <w:ind w:left="0" w:firstLine="0"/>
      </w:pPr>
      <w:rPr>
        <w:rFonts w:hint="eastAsia"/>
      </w:rPr>
    </w:lvl>
    <w:lvl w:ilvl="6">
      <w:start w:val="1"/>
      <w:numFmt w:val="decimal"/>
      <w:pStyle w:val="744"/>
      <w:isLgl w:val="false"/>
      <w:suff w:val="nothing"/>
      <w:lvlText w:val=""/>
      <w:lvlJc w:val="left"/>
      <w:pPr>
        <w:ind w:left="0" w:firstLine="0"/>
      </w:pPr>
      <w:rPr>
        <w:rFonts w:hint="eastAsia"/>
      </w:rPr>
    </w:lvl>
    <w:lvl w:ilvl="7">
      <w:start w:val="1"/>
      <w:numFmt w:val="decimal"/>
      <w:pStyle w:val="745"/>
      <w:isLgl w:val="false"/>
      <w:suff w:val="nothing"/>
      <w:lvlText w:val=""/>
      <w:lvlJc w:val="left"/>
      <w:pPr>
        <w:ind w:left="0" w:firstLine="0"/>
      </w:pPr>
      <w:rPr>
        <w:rFonts w:hint="eastAsia"/>
      </w:rPr>
    </w:lvl>
    <w:lvl w:ilvl="8">
      <w:start w:val="1"/>
      <w:numFmt w:val="decimal"/>
      <w:pStyle w:val="746"/>
      <w:isLgl w:val="false"/>
      <w:suff w:val="nothing"/>
      <w:lvlText w:val=""/>
      <w:lvlJc w:val="left"/>
      <w:pPr>
        <w:ind w:left="0" w:firstLine="0"/>
      </w:pPr>
      <w:rPr>
        <w:rFonts w:hint="eastAsia"/>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365" w:hanging="720"/>
        <w:tabs>
          <w:tab w:val="num" w:pos="136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2"/>
  </w:num>
  <w:num w:numId="4">
    <w:abstractNumId w:val="9"/>
  </w:num>
  <w:num w:numId="5">
    <w:abstractNumId w:val="3"/>
  </w:num>
  <w:num w:numId="6">
    <w:abstractNumId w:val="8"/>
  </w:num>
  <w:num w:numId="7">
    <w:abstractNumId w:val="5"/>
  </w:num>
  <w:num w:numId="8">
    <w:abstractNumId w:val="0"/>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8">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default="1">
    <w:name w:val="Normal"/>
    <w:qFormat/>
    <w:pPr>
      <w:jc w:val="both"/>
      <w:widowControl w:val="off"/>
    </w:pPr>
    <w:rPr>
      <w:rFonts w:ascii="Times New Roman" w:hAnsi="Times New Roman"/>
      <w:sz w:val="21"/>
      <w:szCs w:val="21"/>
    </w:rPr>
  </w:style>
  <w:style w:type="paragraph" w:styleId="738">
    <w:name w:val="Heading 1"/>
    <w:basedOn w:val="737"/>
    <w:next w:val="737"/>
    <w:link w:val="925"/>
    <w:qFormat/>
    <w:pPr>
      <w:jc w:val="center"/>
      <w:keepNext/>
      <w:outlineLvl w:val="0"/>
    </w:pPr>
    <w:rPr>
      <w:rFonts w:ascii="楷体_GB2312" w:eastAsia="楷体_GB2312"/>
      <w:sz w:val="28"/>
      <w:szCs w:val="28"/>
    </w:rPr>
  </w:style>
  <w:style w:type="paragraph" w:styleId="739">
    <w:name w:val="Heading 2"/>
    <w:basedOn w:val="737"/>
    <w:next w:val="934"/>
    <w:link w:val="926"/>
    <w:qFormat/>
    <w:pPr>
      <w:jc w:val="center"/>
      <w:keepLines/>
      <w:keepNext/>
      <w:spacing w:before="260" w:after="260" w:line="416" w:lineRule="auto"/>
      <w:outlineLvl w:val="1"/>
    </w:pPr>
    <w:rPr>
      <w:rFonts w:ascii="Arial" w:hAnsi="Arial" w:eastAsia="幼圆" w:cs="Arial"/>
      <w:b/>
      <w:bCs/>
      <w:sz w:val="44"/>
      <w:szCs w:val="44"/>
    </w:rPr>
  </w:style>
  <w:style w:type="paragraph" w:styleId="740">
    <w:name w:val="Heading 3"/>
    <w:basedOn w:val="737"/>
    <w:next w:val="934"/>
    <w:link w:val="927"/>
    <w:qFormat/>
    <w:pPr>
      <w:keepLines/>
      <w:keepNext/>
      <w:spacing w:before="260" w:after="260" w:line="416" w:lineRule="auto"/>
      <w:outlineLvl w:val="2"/>
    </w:pPr>
    <w:rPr>
      <w:b/>
      <w:bCs/>
      <w:sz w:val="32"/>
      <w:szCs w:val="32"/>
    </w:rPr>
  </w:style>
  <w:style w:type="paragraph" w:styleId="741">
    <w:name w:val="Heading 4"/>
    <w:basedOn w:val="737"/>
    <w:next w:val="934"/>
    <w:link w:val="928"/>
    <w:qFormat/>
    <w:pPr>
      <w:keepLines/>
      <w:keepNext/>
      <w:spacing w:before="280" w:after="290" w:line="376" w:lineRule="auto"/>
      <w:outlineLvl w:val="3"/>
    </w:pPr>
    <w:rPr>
      <w:rFonts w:ascii="Arial" w:hAnsi="Arial" w:eastAsia="黑体" w:cs="Arial"/>
      <w:b/>
      <w:bCs/>
      <w:sz w:val="28"/>
      <w:szCs w:val="28"/>
    </w:rPr>
  </w:style>
  <w:style w:type="paragraph" w:styleId="742">
    <w:name w:val="Heading 5"/>
    <w:basedOn w:val="737"/>
    <w:next w:val="934"/>
    <w:link w:val="929"/>
    <w:qFormat/>
    <w:pPr>
      <w:keepNext/>
      <w:outlineLvl w:val="4"/>
    </w:pPr>
    <w:rPr>
      <w:rFonts w:ascii="宋体"/>
      <w:color w:val="000000"/>
      <w:sz w:val="28"/>
      <w:szCs w:val="28"/>
    </w:rPr>
  </w:style>
  <w:style w:type="paragraph" w:styleId="743">
    <w:name w:val="Heading 6"/>
    <w:basedOn w:val="737"/>
    <w:next w:val="737"/>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4">
    <w:name w:val="Heading 7"/>
    <w:basedOn w:val="737"/>
    <w:next w:val="737"/>
    <w:link w:val="931"/>
    <w:qFormat/>
    <w:pPr>
      <w:numPr>
        <w:ilvl w:val="6"/>
        <w:numId w:val="1"/>
      </w:numPr>
      <w:keepLines/>
      <w:keepNext/>
      <w:spacing w:before="240" w:after="64" w:line="320" w:lineRule="auto"/>
      <w:outlineLvl w:val="6"/>
    </w:pPr>
    <w:rPr>
      <w:b/>
      <w:bCs/>
      <w:sz w:val="24"/>
      <w:szCs w:val="24"/>
    </w:rPr>
  </w:style>
  <w:style w:type="paragraph" w:styleId="745">
    <w:name w:val="Heading 8"/>
    <w:basedOn w:val="737"/>
    <w:next w:val="737"/>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746">
    <w:name w:val="Heading 9"/>
    <w:basedOn w:val="737"/>
    <w:next w:val="737"/>
    <w:link w:val="933"/>
    <w:qFormat/>
    <w:pPr>
      <w:numPr>
        <w:ilvl w:val="8"/>
        <w:numId w:val="1"/>
      </w:numPr>
      <w:keepLines/>
      <w:keepNext/>
      <w:spacing w:before="240" w:after="64" w:line="320" w:lineRule="auto"/>
      <w:outlineLvl w:val="8"/>
    </w:pPr>
    <w:rPr>
      <w:rFonts w:ascii="Arial" w:hAnsi="Arial" w:eastAsia="黑体"/>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List Paragraph"/>
    <w:basedOn w:val="737"/>
    <w:qFormat/>
    <w:pPr>
      <w:contextualSpacing/>
      <w:ind w:left="720"/>
      <w:jc w:val="left"/>
      <w:widowControl/>
    </w:pPr>
    <w:rPr>
      <w:rFonts w:ascii="Calibri" w:hAnsi="Calibri"/>
      <w:sz w:val="24"/>
      <w:szCs w:val="24"/>
      <w:lang w:eastAsia="en-US" w:bidi="en-US"/>
    </w:rPr>
  </w:style>
  <w:style w:type="paragraph" w:styleId="751">
    <w:name w:val="No Spacing"/>
    <w:uiPriority w:val="99"/>
    <w:qFormat/>
    <w:pPr>
      <w:jc w:val="both"/>
      <w:widowControl w:val="off"/>
    </w:pPr>
    <w:rPr>
      <w:rFonts w:ascii="Times New Roman" w:hAnsi="Times New Roman"/>
      <w:sz w:val="21"/>
      <w:szCs w:val="21"/>
    </w:rPr>
  </w:style>
  <w:style w:type="paragraph" w:styleId="752">
    <w:name w:val="Title"/>
    <w:basedOn w:val="737"/>
    <w:next w:val="737"/>
    <w:link w:val="791"/>
    <w:uiPriority w:val="10"/>
    <w:qFormat/>
    <w:pPr>
      <w:contextualSpacing/>
      <w:spacing w:before="300" w:after="200"/>
    </w:pPr>
    <w:rPr>
      <w:sz w:val="48"/>
      <w:szCs w:val="48"/>
    </w:rPr>
  </w:style>
  <w:style w:type="character" w:styleId="753" w:customStyle="1">
    <w:name w:val="Title Char"/>
    <w:uiPriority w:val="10"/>
    <w:rPr>
      <w:sz w:val="48"/>
      <w:szCs w:val="48"/>
    </w:rPr>
  </w:style>
  <w:style w:type="paragraph" w:styleId="754">
    <w:name w:val="Subtitle"/>
    <w:basedOn w:val="737"/>
    <w:next w:val="737"/>
    <w:link w:val="792"/>
    <w:uiPriority w:val="11"/>
    <w:qFormat/>
    <w:pPr>
      <w:spacing w:before="200" w:after="200"/>
    </w:pPr>
    <w:rPr>
      <w:sz w:val="24"/>
      <w:szCs w:val="24"/>
    </w:rPr>
  </w:style>
  <w:style w:type="character" w:styleId="755" w:customStyle="1">
    <w:name w:val="Subtitle Char"/>
    <w:uiPriority w:val="11"/>
    <w:rPr>
      <w:sz w:val="24"/>
      <w:szCs w:val="24"/>
    </w:rPr>
  </w:style>
  <w:style w:type="paragraph" w:styleId="756">
    <w:name w:val="Quote"/>
    <w:basedOn w:val="737"/>
    <w:next w:val="737"/>
    <w:link w:val="793"/>
    <w:uiPriority w:val="29"/>
    <w:qFormat/>
    <w:pPr>
      <w:ind w:left="720" w:right="720"/>
    </w:pPr>
    <w:rPr>
      <w:i/>
    </w:rPr>
  </w:style>
  <w:style w:type="character" w:styleId="757" w:customStyle="1">
    <w:name w:val="Quote Char"/>
    <w:uiPriority w:val="29"/>
    <w:rPr>
      <w:i/>
    </w:rPr>
  </w:style>
  <w:style w:type="paragraph" w:styleId="758">
    <w:name w:val="Intense Quote"/>
    <w:basedOn w:val="737"/>
    <w:next w:val="737"/>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uiPriority w:val="30"/>
    <w:rPr>
      <w:i/>
    </w:rPr>
  </w:style>
  <w:style w:type="paragraph" w:styleId="760">
    <w:name w:val="Header"/>
    <w:basedOn w:val="737"/>
    <w:link w:val="957"/>
    <w:pPr>
      <w:jc w:val="center"/>
      <w:tabs>
        <w:tab w:val="center" w:pos="4153" w:leader="none"/>
        <w:tab w:val="right" w:pos="8306" w:leader="none"/>
      </w:tabs>
      <w:pBdr>
        <w:bottom w:val="single" w:color="000000" w:sz="6" w:space="1"/>
      </w:pBdr>
    </w:pPr>
    <w:rPr>
      <w:sz w:val="18"/>
      <w:szCs w:val="18"/>
    </w:rPr>
  </w:style>
  <w:style w:type="paragraph" w:styleId="761">
    <w:name w:val="Footer"/>
    <w:basedOn w:val="737"/>
    <w:link w:val="956"/>
    <w:uiPriority w:val="99"/>
    <w:pPr>
      <w:jc w:val="left"/>
      <w:tabs>
        <w:tab w:val="center" w:pos="4153" w:leader="none"/>
        <w:tab w:val="right" w:pos="8306" w:leader="none"/>
      </w:tabs>
    </w:pPr>
    <w:rPr>
      <w:sz w:val="18"/>
      <w:szCs w:val="18"/>
    </w:rPr>
  </w:style>
  <w:style w:type="paragraph" w:styleId="762">
    <w:name w:val="Caption"/>
    <w:basedOn w:val="737"/>
    <w:next w:val="737"/>
    <w:uiPriority w:val="35"/>
    <w:semiHidden/>
    <w:unhideWhenUsed/>
    <w:qFormat/>
    <w:pPr>
      <w:spacing w:line="276" w:lineRule="auto"/>
    </w:pPr>
    <w:rPr>
      <w:b/>
      <w:bCs/>
      <w:color w:val="4f81bd"/>
      <w:sz w:val="18"/>
      <w:szCs w:val="18"/>
    </w:rPr>
  </w:style>
  <w:style w:type="table" w:styleId="763">
    <w:name w:val="Table Grid"/>
    <w:basedOn w:val="748"/>
    <w:pPr>
      <w:jc w:val="both"/>
      <w:widowControl w:val="off"/>
    </w:pPr>
    <w:rPr>
      <w:rFonts w:ascii="Times New Roman" w:hAnsi="Times New Roman"/>
    </w:rPr>
    <w:tblPr/>
  </w:style>
  <w:style w:type="character" w:styleId="764">
    <w:name w:val="Hyperlink"/>
    <w:rPr>
      <w:color w:val="0000ff"/>
      <w:u w:val="single"/>
    </w:rPr>
  </w:style>
  <w:style w:type="paragraph" w:styleId="765">
    <w:name w:val="footnote text"/>
    <w:basedOn w:val="737"/>
    <w:link w:val="923"/>
    <w:uiPriority w:val="99"/>
    <w:semiHidden/>
    <w:unhideWhenUsed/>
    <w:pPr>
      <w:spacing w:after="40"/>
    </w:pPr>
    <w:rPr>
      <w:sz w:val="18"/>
    </w:rPr>
  </w:style>
  <w:style w:type="character" w:styleId="766" w:customStyle="1">
    <w:name w:val="Footnote Text Char"/>
    <w:uiPriority w:val="99"/>
    <w:rPr>
      <w:sz w:val="18"/>
    </w:rPr>
  </w:style>
  <w:style w:type="character" w:styleId="767">
    <w:name w:val="footnote reference"/>
    <w:uiPriority w:val="99"/>
    <w:unhideWhenUsed/>
    <w:rPr>
      <w:vertAlign w:val="superscript"/>
    </w:rPr>
  </w:style>
  <w:style w:type="paragraph" w:styleId="768">
    <w:name w:val="endnote text"/>
    <w:basedOn w:val="737"/>
    <w:link w:val="924"/>
    <w:uiPriority w:val="99"/>
    <w:semiHidden/>
    <w:unhideWhenUsed/>
    <w:rPr>
      <w:sz w:val="20"/>
    </w:rPr>
  </w:style>
  <w:style w:type="character" w:styleId="769" w:customStyle="1">
    <w:name w:val="Endnote Text Char"/>
    <w:uiPriority w:val="99"/>
    <w:rPr>
      <w:sz w:val="20"/>
    </w:rPr>
  </w:style>
  <w:style w:type="character" w:styleId="770">
    <w:name w:val="endnote reference"/>
    <w:uiPriority w:val="99"/>
    <w:semiHidden/>
    <w:unhideWhenUsed/>
    <w:rPr>
      <w:vertAlign w:val="superscript"/>
    </w:rPr>
  </w:style>
  <w:style w:type="paragraph" w:styleId="771">
    <w:name w:val="toc 1"/>
    <w:basedOn w:val="737"/>
    <w:next w:val="737"/>
    <w:semiHidden/>
    <w:pPr>
      <w:jc w:val="left"/>
      <w:spacing w:before="120" w:after="120" w:line="400" w:lineRule="exact"/>
      <w:tabs>
        <w:tab w:val="right" w:pos="8720" w:leader="dot"/>
      </w:tabs>
    </w:pPr>
    <w:rPr>
      <w:rFonts w:ascii="宋体" w:hAnsi="宋体"/>
      <w:caps/>
      <w:sz w:val="24"/>
      <w:szCs w:val="24"/>
    </w:rPr>
  </w:style>
  <w:style w:type="paragraph" w:styleId="772">
    <w:name w:val="toc 2"/>
    <w:basedOn w:val="737"/>
    <w:next w:val="737"/>
    <w:semiHidden/>
    <w:pPr>
      <w:ind w:left="210"/>
      <w:jc w:val="left"/>
    </w:pPr>
    <w:rPr>
      <w:smallCaps/>
      <w:szCs w:val="24"/>
    </w:rPr>
  </w:style>
  <w:style w:type="paragraph" w:styleId="773">
    <w:name w:val="toc 3"/>
    <w:basedOn w:val="737"/>
    <w:next w:val="737"/>
    <w:semiHidden/>
    <w:pPr>
      <w:ind w:left="420"/>
      <w:jc w:val="left"/>
    </w:pPr>
    <w:rPr>
      <w:i/>
      <w:iCs/>
      <w:szCs w:val="24"/>
    </w:rPr>
  </w:style>
  <w:style w:type="paragraph" w:styleId="774">
    <w:name w:val="toc 4"/>
    <w:basedOn w:val="737"/>
    <w:next w:val="737"/>
    <w:semiHidden/>
    <w:pPr>
      <w:ind w:left="630"/>
      <w:jc w:val="left"/>
    </w:pPr>
  </w:style>
  <w:style w:type="paragraph" w:styleId="775">
    <w:name w:val="toc 5"/>
    <w:basedOn w:val="737"/>
    <w:next w:val="737"/>
    <w:semiHidden/>
    <w:pPr>
      <w:ind w:left="840"/>
      <w:jc w:val="left"/>
    </w:pPr>
  </w:style>
  <w:style w:type="paragraph" w:styleId="776">
    <w:name w:val="toc 6"/>
    <w:basedOn w:val="737"/>
    <w:next w:val="737"/>
    <w:semiHidden/>
    <w:pPr>
      <w:ind w:left="1050"/>
      <w:jc w:val="left"/>
    </w:pPr>
  </w:style>
  <w:style w:type="paragraph" w:styleId="777">
    <w:name w:val="toc 7"/>
    <w:basedOn w:val="737"/>
    <w:next w:val="737"/>
    <w:semiHidden/>
    <w:pPr>
      <w:ind w:left="1260"/>
      <w:jc w:val="left"/>
    </w:pPr>
  </w:style>
  <w:style w:type="paragraph" w:styleId="778">
    <w:name w:val="toc 8"/>
    <w:basedOn w:val="737"/>
    <w:next w:val="737"/>
    <w:semiHidden/>
    <w:pPr>
      <w:ind w:left="1470"/>
      <w:jc w:val="left"/>
    </w:pPr>
  </w:style>
  <w:style w:type="paragraph" w:styleId="779">
    <w:name w:val="toc 9"/>
    <w:basedOn w:val="737"/>
    <w:next w:val="737"/>
    <w:semiHidden/>
    <w:pPr>
      <w:ind w:left="1680"/>
      <w:jc w:val="left"/>
    </w:pPr>
  </w:style>
  <w:style w:type="paragraph" w:styleId="780">
    <w:name w:val="TOC Heading"/>
    <w:uiPriority w:val="39"/>
    <w:unhideWhenUsed/>
  </w:style>
  <w:style w:type="paragraph" w:styleId="781">
    <w:name w:val="table of figures"/>
    <w:basedOn w:val="737"/>
    <w:next w:val="737"/>
    <w:semiHidden/>
    <w:pPr>
      <w:ind w:left="840" w:hanging="420"/>
    </w:pPr>
  </w:style>
  <w:style w:type="character" w:styleId="782" w:customStyle="1">
    <w:name w:val="Heading 1 Char"/>
    <w:uiPriority w:val="9"/>
    <w:rPr>
      <w:rFonts w:ascii="Arial" w:hAnsi="Arial" w:eastAsia="Arial" w:cs="Arial"/>
      <w:sz w:val="40"/>
      <w:szCs w:val="40"/>
    </w:rPr>
  </w:style>
  <w:style w:type="character" w:styleId="783" w:customStyle="1">
    <w:name w:val="Heading 2 Char"/>
    <w:uiPriority w:val="9"/>
    <w:rPr>
      <w:rFonts w:ascii="Arial" w:hAnsi="Arial" w:eastAsia="Arial" w:cs="Arial"/>
      <w:sz w:val="34"/>
    </w:rPr>
  </w:style>
  <w:style w:type="character" w:styleId="784" w:customStyle="1">
    <w:name w:val="Heading 3 Char"/>
    <w:uiPriority w:val="9"/>
    <w:rPr>
      <w:rFonts w:ascii="Arial" w:hAnsi="Arial" w:eastAsia="Arial" w:cs="Arial"/>
      <w:sz w:val="30"/>
      <w:szCs w:val="30"/>
    </w:rPr>
  </w:style>
  <w:style w:type="character" w:styleId="785" w:customStyle="1">
    <w:name w:val="Heading 4 Char"/>
    <w:uiPriority w:val="9"/>
    <w:rPr>
      <w:rFonts w:ascii="Arial" w:hAnsi="Arial" w:eastAsia="Arial" w:cs="Arial"/>
      <w:b/>
      <w:bCs/>
      <w:sz w:val="26"/>
      <w:szCs w:val="26"/>
    </w:rPr>
  </w:style>
  <w:style w:type="character" w:styleId="786" w:customStyle="1">
    <w:name w:val="Heading 5 Char"/>
    <w:uiPriority w:val="9"/>
    <w:rPr>
      <w:rFonts w:ascii="Arial" w:hAnsi="Arial" w:eastAsia="Arial" w:cs="Arial"/>
      <w:b/>
      <w:bCs/>
      <w:sz w:val="24"/>
      <w:szCs w:val="24"/>
    </w:rPr>
  </w:style>
  <w:style w:type="character" w:styleId="787" w:customStyle="1">
    <w:name w:val="Heading 6 Char"/>
    <w:uiPriority w:val="9"/>
    <w:rPr>
      <w:rFonts w:ascii="Arial" w:hAnsi="Arial" w:eastAsia="Arial" w:cs="Arial"/>
      <w:b/>
      <w:bCs/>
      <w:sz w:val="22"/>
      <w:szCs w:val="22"/>
    </w:rPr>
  </w:style>
  <w:style w:type="character" w:styleId="788" w:customStyle="1">
    <w:name w:val="Heading 7 Char"/>
    <w:uiPriority w:val="9"/>
    <w:rPr>
      <w:rFonts w:ascii="Arial" w:hAnsi="Arial" w:eastAsia="Arial" w:cs="Arial"/>
      <w:b/>
      <w:bCs/>
      <w:i/>
      <w:iCs/>
      <w:sz w:val="22"/>
      <w:szCs w:val="22"/>
    </w:rPr>
  </w:style>
  <w:style w:type="character" w:styleId="789" w:customStyle="1">
    <w:name w:val="Heading 8 Char"/>
    <w:uiPriority w:val="9"/>
    <w:rPr>
      <w:rFonts w:ascii="Arial" w:hAnsi="Arial" w:eastAsia="Arial" w:cs="Arial"/>
      <w:i/>
      <w:iCs/>
      <w:sz w:val="22"/>
      <w:szCs w:val="22"/>
    </w:rPr>
  </w:style>
  <w:style w:type="character" w:styleId="790" w:customStyle="1">
    <w:name w:val="Heading 9 Char"/>
    <w:uiPriority w:val="9"/>
    <w:rPr>
      <w:rFonts w:ascii="Arial" w:hAnsi="Arial" w:eastAsia="Arial" w:cs="Arial"/>
      <w:i/>
      <w:iCs/>
      <w:sz w:val="21"/>
      <w:szCs w:val="21"/>
    </w:rPr>
  </w:style>
  <w:style w:type="character" w:styleId="791" w:customStyle="1">
    <w:name w:val="标题 字符"/>
    <w:link w:val="752"/>
    <w:uiPriority w:val="10"/>
    <w:rPr>
      <w:sz w:val="48"/>
      <w:szCs w:val="48"/>
    </w:rPr>
  </w:style>
  <w:style w:type="character" w:styleId="792" w:customStyle="1">
    <w:name w:val="副标题 字符"/>
    <w:link w:val="754"/>
    <w:uiPriority w:val="11"/>
    <w:rPr>
      <w:sz w:val="24"/>
      <w:szCs w:val="24"/>
    </w:rPr>
  </w:style>
  <w:style w:type="character" w:styleId="793" w:customStyle="1">
    <w:name w:val="引用 字符"/>
    <w:link w:val="756"/>
    <w:uiPriority w:val="29"/>
    <w:rPr>
      <w:i/>
    </w:rPr>
  </w:style>
  <w:style w:type="character" w:styleId="794" w:customStyle="1">
    <w:name w:val="明显引用 字符"/>
    <w:link w:val="758"/>
    <w:uiPriority w:val="30"/>
    <w:rPr>
      <w:i/>
    </w:rPr>
  </w:style>
  <w:style w:type="character" w:styleId="795" w:customStyle="1">
    <w:name w:val="Header Char"/>
    <w:uiPriority w:val="99"/>
  </w:style>
  <w:style w:type="character" w:styleId="796" w:customStyle="1">
    <w:name w:val="Footer Char"/>
    <w:uiPriority w:val="99"/>
  </w:style>
  <w:style w:type="character" w:styleId="797" w:customStyle="1">
    <w:name w:val="Caption Char"/>
    <w:uiPriority w:val="99"/>
  </w:style>
  <w:style w:type="table" w:styleId="798" w:customStyle="1">
    <w:name w:val="Table Grid Light"/>
    <w:uiPriority w:val="59"/>
    <w:tblPr>
      <w:tblCellMar>
        <w:left w:w="0" w:type="dxa"/>
        <w:top w:w="0" w:type="dxa"/>
        <w:right w:w="0" w:type="dxa"/>
        <w:bottom w:w="0" w:type="dxa"/>
      </w:tblCellMar>
    </w:tblPr>
  </w:style>
  <w:style w:type="table" w:styleId="799" w:customStyle="1">
    <w:name w:val="无格式表格 11"/>
    <w:uiPriority w:val="59"/>
    <w:tblPr>
      <w:tblCellMar>
        <w:left w:w="0" w:type="dxa"/>
        <w:top w:w="0" w:type="dxa"/>
        <w:right w:w="0" w:type="dxa"/>
        <w:bottom w:w="0" w:type="dxa"/>
      </w:tblCellMar>
    </w:tblPr>
  </w:style>
  <w:style w:type="table" w:styleId="800" w:customStyle="1">
    <w:name w:val="无格式表格 21"/>
    <w:uiPriority w:val="59"/>
    <w:tblPr>
      <w:tblCellMar>
        <w:left w:w="0" w:type="dxa"/>
        <w:top w:w="0" w:type="dxa"/>
        <w:right w:w="0" w:type="dxa"/>
        <w:bottom w:w="0" w:type="dxa"/>
      </w:tblCellMar>
    </w:tblPr>
  </w:style>
  <w:style w:type="table" w:styleId="801" w:customStyle="1">
    <w:name w:val="无格式表格 31"/>
    <w:uiPriority w:val="99"/>
    <w:tblPr>
      <w:tblCellMar>
        <w:left w:w="0" w:type="dxa"/>
        <w:top w:w="0" w:type="dxa"/>
        <w:right w:w="0" w:type="dxa"/>
        <w:bottom w:w="0" w:type="dxa"/>
      </w:tblCellMar>
    </w:tblPr>
  </w:style>
  <w:style w:type="table" w:styleId="802" w:customStyle="1">
    <w:name w:val="无格式表格 41"/>
    <w:uiPriority w:val="99"/>
    <w:tblPr>
      <w:tblCellMar>
        <w:left w:w="0" w:type="dxa"/>
        <w:top w:w="0" w:type="dxa"/>
        <w:right w:w="0" w:type="dxa"/>
        <w:bottom w:w="0" w:type="dxa"/>
      </w:tblCellMar>
    </w:tblPr>
  </w:style>
  <w:style w:type="table" w:styleId="803" w:customStyle="1">
    <w:name w:val="无格式表格 51"/>
    <w:uiPriority w:val="99"/>
    <w:tblPr>
      <w:tblCellMar>
        <w:left w:w="0" w:type="dxa"/>
        <w:top w:w="0" w:type="dxa"/>
        <w:right w:w="0" w:type="dxa"/>
        <w:bottom w:w="0" w:type="dxa"/>
      </w:tblCellMar>
    </w:tblPr>
  </w:style>
  <w:style w:type="table" w:styleId="804" w:customStyle="1">
    <w:name w:val="网格表 1 浅色1"/>
    <w:uiPriority w:val="99"/>
    <w:tblPr>
      <w:tblCellMar>
        <w:left w:w="0" w:type="dxa"/>
        <w:top w:w="0" w:type="dxa"/>
        <w:right w:w="0" w:type="dxa"/>
        <w:bottom w:w="0" w:type="dxa"/>
      </w:tblCellMar>
    </w:tblPr>
  </w:style>
  <w:style w:type="table" w:styleId="805" w:customStyle="1">
    <w:name w:val="Grid Table 1 Light - Accent 1"/>
    <w:uiPriority w:val="99"/>
    <w:tblPr>
      <w:tblCellMar>
        <w:left w:w="0" w:type="dxa"/>
        <w:top w:w="0" w:type="dxa"/>
        <w:right w:w="0" w:type="dxa"/>
        <w:bottom w:w="0" w:type="dxa"/>
      </w:tblCellMar>
    </w:tblPr>
  </w:style>
  <w:style w:type="table" w:styleId="806" w:customStyle="1">
    <w:name w:val="Grid Table 1 Light - Accent 2"/>
    <w:uiPriority w:val="99"/>
    <w:tblPr>
      <w:tblCellMar>
        <w:left w:w="0" w:type="dxa"/>
        <w:top w:w="0" w:type="dxa"/>
        <w:right w:w="0" w:type="dxa"/>
        <w:bottom w:w="0" w:type="dxa"/>
      </w:tblCellMar>
    </w:tblPr>
  </w:style>
  <w:style w:type="table" w:styleId="807" w:customStyle="1">
    <w:name w:val="Grid Table 1 Light - Accent 3"/>
    <w:uiPriority w:val="99"/>
    <w:tblPr>
      <w:tblCellMar>
        <w:left w:w="0" w:type="dxa"/>
        <w:top w:w="0" w:type="dxa"/>
        <w:right w:w="0" w:type="dxa"/>
        <w:bottom w:w="0" w:type="dxa"/>
      </w:tblCellMar>
    </w:tblPr>
  </w:style>
  <w:style w:type="table" w:styleId="808" w:customStyle="1">
    <w:name w:val="Grid Table 1 Light - Accent 4"/>
    <w:uiPriority w:val="99"/>
    <w:tblPr>
      <w:tblCellMar>
        <w:left w:w="0" w:type="dxa"/>
        <w:top w:w="0" w:type="dxa"/>
        <w:right w:w="0" w:type="dxa"/>
        <w:bottom w:w="0" w:type="dxa"/>
      </w:tblCellMar>
    </w:tblPr>
  </w:style>
  <w:style w:type="table" w:styleId="809" w:customStyle="1">
    <w:name w:val="Grid Table 1 Light - Accent 5"/>
    <w:uiPriority w:val="99"/>
    <w:tblPr>
      <w:tblCellMar>
        <w:left w:w="0" w:type="dxa"/>
        <w:top w:w="0" w:type="dxa"/>
        <w:right w:w="0" w:type="dxa"/>
        <w:bottom w:w="0" w:type="dxa"/>
      </w:tblCellMar>
    </w:tblPr>
  </w:style>
  <w:style w:type="table" w:styleId="810" w:customStyle="1">
    <w:name w:val="Grid Table 1 Light - Accent 6"/>
    <w:uiPriority w:val="99"/>
    <w:tblPr>
      <w:tblCellMar>
        <w:left w:w="0" w:type="dxa"/>
        <w:top w:w="0" w:type="dxa"/>
        <w:right w:w="0" w:type="dxa"/>
        <w:bottom w:w="0" w:type="dxa"/>
      </w:tblCellMar>
    </w:tblPr>
  </w:style>
  <w:style w:type="table" w:styleId="811" w:customStyle="1">
    <w:name w:val="网格表 21"/>
    <w:uiPriority w:val="99"/>
    <w:tblPr>
      <w:tblCellMar>
        <w:left w:w="0" w:type="dxa"/>
        <w:top w:w="0" w:type="dxa"/>
        <w:right w:w="0" w:type="dxa"/>
        <w:bottom w:w="0" w:type="dxa"/>
      </w:tblCellMar>
    </w:tblPr>
  </w:style>
  <w:style w:type="table" w:styleId="812" w:customStyle="1">
    <w:name w:val="Grid Table 2 - Accent 1"/>
    <w:uiPriority w:val="99"/>
    <w:tblPr>
      <w:tblCellMar>
        <w:left w:w="0" w:type="dxa"/>
        <w:top w:w="0" w:type="dxa"/>
        <w:right w:w="0" w:type="dxa"/>
        <w:bottom w:w="0" w:type="dxa"/>
      </w:tblCellMar>
    </w:tblPr>
  </w:style>
  <w:style w:type="table" w:styleId="813" w:customStyle="1">
    <w:name w:val="Grid Table 2 - Accent 2"/>
    <w:uiPriority w:val="99"/>
    <w:tblPr>
      <w:tblCellMar>
        <w:left w:w="0" w:type="dxa"/>
        <w:top w:w="0" w:type="dxa"/>
        <w:right w:w="0" w:type="dxa"/>
        <w:bottom w:w="0" w:type="dxa"/>
      </w:tblCellMar>
    </w:tblPr>
  </w:style>
  <w:style w:type="table" w:styleId="814" w:customStyle="1">
    <w:name w:val="Grid Table 2 - Accent 3"/>
    <w:uiPriority w:val="99"/>
    <w:tblPr>
      <w:tblCellMar>
        <w:left w:w="0" w:type="dxa"/>
        <w:top w:w="0" w:type="dxa"/>
        <w:right w:w="0" w:type="dxa"/>
        <w:bottom w:w="0" w:type="dxa"/>
      </w:tblCellMar>
    </w:tblPr>
  </w:style>
  <w:style w:type="table" w:styleId="815" w:customStyle="1">
    <w:name w:val="Grid Table 2 - Accent 4"/>
    <w:uiPriority w:val="99"/>
    <w:tblPr>
      <w:tblCellMar>
        <w:left w:w="0" w:type="dxa"/>
        <w:top w:w="0" w:type="dxa"/>
        <w:right w:w="0" w:type="dxa"/>
        <w:bottom w:w="0" w:type="dxa"/>
      </w:tblCellMar>
    </w:tblPr>
  </w:style>
  <w:style w:type="table" w:styleId="816" w:customStyle="1">
    <w:name w:val="Grid Table 2 - Accent 5"/>
    <w:uiPriority w:val="99"/>
    <w:tblPr>
      <w:tblCellMar>
        <w:left w:w="0" w:type="dxa"/>
        <w:top w:w="0" w:type="dxa"/>
        <w:right w:w="0" w:type="dxa"/>
        <w:bottom w:w="0" w:type="dxa"/>
      </w:tblCellMar>
    </w:tblPr>
  </w:style>
  <w:style w:type="table" w:styleId="817" w:customStyle="1">
    <w:name w:val="Grid Table 2 - Accent 6"/>
    <w:uiPriority w:val="99"/>
    <w:tblPr>
      <w:tblCellMar>
        <w:left w:w="0" w:type="dxa"/>
        <w:top w:w="0" w:type="dxa"/>
        <w:right w:w="0" w:type="dxa"/>
        <w:bottom w:w="0" w:type="dxa"/>
      </w:tblCellMar>
    </w:tblPr>
  </w:style>
  <w:style w:type="table" w:styleId="818" w:customStyle="1">
    <w:name w:val="网格表 31"/>
    <w:uiPriority w:val="99"/>
    <w:tblPr>
      <w:tblCellMar>
        <w:left w:w="0" w:type="dxa"/>
        <w:top w:w="0" w:type="dxa"/>
        <w:right w:w="0" w:type="dxa"/>
        <w:bottom w:w="0" w:type="dxa"/>
      </w:tblCellMar>
    </w:tblPr>
  </w:style>
  <w:style w:type="table" w:styleId="819" w:customStyle="1">
    <w:name w:val="Grid Table 3 - Accent 1"/>
    <w:uiPriority w:val="99"/>
    <w:tblPr>
      <w:tblCellMar>
        <w:left w:w="0" w:type="dxa"/>
        <w:top w:w="0" w:type="dxa"/>
        <w:right w:w="0" w:type="dxa"/>
        <w:bottom w:w="0" w:type="dxa"/>
      </w:tblCellMar>
    </w:tblPr>
  </w:style>
  <w:style w:type="table" w:styleId="820" w:customStyle="1">
    <w:name w:val="Grid Table 3 - Accent 2"/>
    <w:uiPriority w:val="99"/>
    <w:tblPr>
      <w:tblCellMar>
        <w:left w:w="0" w:type="dxa"/>
        <w:top w:w="0" w:type="dxa"/>
        <w:right w:w="0" w:type="dxa"/>
        <w:bottom w:w="0" w:type="dxa"/>
      </w:tblCellMar>
    </w:tblPr>
  </w:style>
  <w:style w:type="table" w:styleId="821" w:customStyle="1">
    <w:name w:val="Grid Table 3 - Accent 3"/>
    <w:uiPriority w:val="99"/>
    <w:tblPr>
      <w:tblCellMar>
        <w:left w:w="0" w:type="dxa"/>
        <w:top w:w="0" w:type="dxa"/>
        <w:right w:w="0" w:type="dxa"/>
        <w:bottom w:w="0" w:type="dxa"/>
      </w:tblCellMar>
    </w:tblPr>
  </w:style>
  <w:style w:type="table" w:styleId="822" w:customStyle="1">
    <w:name w:val="Grid Table 3 - Accent 4"/>
    <w:uiPriority w:val="99"/>
    <w:tblPr>
      <w:tblCellMar>
        <w:left w:w="0" w:type="dxa"/>
        <w:top w:w="0" w:type="dxa"/>
        <w:right w:w="0" w:type="dxa"/>
        <w:bottom w:w="0" w:type="dxa"/>
      </w:tblCellMar>
    </w:tblPr>
  </w:style>
  <w:style w:type="table" w:styleId="823" w:customStyle="1">
    <w:name w:val="Grid Table 3 - Accent 5"/>
    <w:uiPriority w:val="99"/>
    <w:tblPr>
      <w:tblCellMar>
        <w:left w:w="0" w:type="dxa"/>
        <w:top w:w="0" w:type="dxa"/>
        <w:right w:w="0" w:type="dxa"/>
        <w:bottom w:w="0" w:type="dxa"/>
      </w:tblCellMar>
    </w:tblPr>
  </w:style>
  <w:style w:type="table" w:styleId="824" w:customStyle="1">
    <w:name w:val="Grid Table 3 - Accent 6"/>
    <w:uiPriority w:val="99"/>
    <w:tblPr>
      <w:tblCellMar>
        <w:left w:w="0" w:type="dxa"/>
        <w:top w:w="0" w:type="dxa"/>
        <w:right w:w="0" w:type="dxa"/>
        <w:bottom w:w="0" w:type="dxa"/>
      </w:tblCellMar>
    </w:tblPr>
  </w:style>
  <w:style w:type="table" w:styleId="825" w:customStyle="1">
    <w:name w:val="网格表 41"/>
    <w:uiPriority w:val="59"/>
    <w:tblPr>
      <w:tblCellMar>
        <w:left w:w="0" w:type="dxa"/>
        <w:top w:w="0" w:type="dxa"/>
        <w:right w:w="0" w:type="dxa"/>
        <w:bottom w:w="0" w:type="dxa"/>
      </w:tblCellMar>
    </w:tblPr>
  </w:style>
  <w:style w:type="table" w:styleId="826" w:customStyle="1">
    <w:name w:val="Grid Table 4 - Accent 1"/>
    <w:uiPriority w:val="59"/>
    <w:tblPr>
      <w:tblCellMar>
        <w:left w:w="0" w:type="dxa"/>
        <w:top w:w="0" w:type="dxa"/>
        <w:right w:w="0" w:type="dxa"/>
        <w:bottom w:w="0" w:type="dxa"/>
      </w:tblCellMar>
    </w:tblPr>
  </w:style>
  <w:style w:type="table" w:styleId="827" w:customStyle="1">
    <w:name w:val="Grid Table 4 - Accent 2"/>
    <w:uiPriority w:val="59"/>
    <w:tblPr>
      <w:tblCellMar>
        <w:left w:w="0" w:type="dxa"/>
        <w:top w:w="0" w:type="dxa"/>
        <w:right w:w="0" w:type="dxa"/>
        <w:bottom w:w="0" w:type="dxa"/>
      </w:tblCellMar>
    </w:tblPr>
  </w:style>
  <w:style w:type="table" w:styleId="828" w:customStyle="1">
    <w:name w:val="Grid Table 4 - Accent 3"/>
    <w:uiPriority w:val="59"/>
    <w:tblPr>
      <w:tblCellMar>
        <w:left w:w="0" w:type="dxa"/>
        <w:top w:w="0" w:type="dxa"/>
        <w:right w:w="0" w:type="dxa"/>
        <w:bottom w:w="0" w:type="dxa"/>
      </w:tblCellMar>
    </w:tblPr>
  </w:style>
  <w:style w:type="table" w:styleId="829" w:customStyle="1">
    <w:name w:val="Grid Table 4 - Accent 4"/>
    <w:uiPriority w:val="59"/>
    <w:tblPr>
      <w:tblCellMar>
        <w:left w:w="0" w:type="dxa"/>
        <w:top w:w="0" w:type="dxa"/>
        <w:right w:w="0" w:type="dxa"/>
        <w:bottom w:w="0" w:type="dxa"/>
      </w:tblCellMar>
    </w:tblPr>
  </w:style>
  <w:style w:type="table" w:styleId="830" w:customStyle="1">
    <w:name w:val="Grid Table 4 - Accent 5"/>
    <w:uiPriority w:val="59"/>
    <w:tblPr>
      <w:tblCellMar>
        <w:left w:w="0" w:type="dxa"/>
        <w:top w:w="0" w:type="dxa"/>
        <w:right w:w="0" w:type="dxa"/>
        <w:bottom w:w="0" w:type="dxa"/>
      </w:tblCellMar>
    </w:tblPr>
  </w:style>
  <w:style w:type="table" w:styleId="831" w:customStyle="1">
    <w:name w:val="Grid Table 4 - Accent 6"/>
    <w:uiPriority w:val="59"/>
    <w:tblPr>
      <w:tblCellMar>
        <w:left w:w="0" w:type="dxa"/>
        <w:top w:w="0" w:type="dxa"/>
        <w:right w:w="0" w:type="dxa"/>
        <w:bottom w:w="0" w:type="dxa"/>
      </w:tblCellMar>
    </w:tblPr>
  </w:style>
  <w:style w:type="table" w:styleId="832" w:customStyle="1">
    <w:name w:val="网格表 5 深色1"/>
    <w:uiPriority w:val="99"/>
    <w:tblPr>
      <w:tblCellMar>
        <w:left w:w="0" w:type="dxa"/>
        <w:top w:w="0" w:type="dxa"/>
        <w:right w:w="0" w:type="dxa"/>
        <w:bottom w:w="0" w:type="dxa"/>
      </w:tblCellMar>
    </w:tblPr>
  </w:style>
  <w:style w:type="table" w:styleId="833" w:customStyle="1">
    <w:name w:val="Grid Table 5 Dark- Accent 1"/>
    <w:uiPriority w:val="99"/>
    <w:tblPr>
      <w:tblCellMar>
        <w:left w:w="0" w:type="dxa"/>
        <w:top w:w="0" w:type="dxa"/>
        <w:right w:w="0" w:type="dxa"/>
        <w:bottom w:w="0" w:type="dxa"/>
      </w:tblCellMar>
    </w:tblPr>
  </w:style>
  <w:style w:type="table" w:styleId="834" w:customStyle="1">
    <w:name w:val="Grid Table 5 Dark - Accent 2"/>
    <w:uiPriority w:val="99"/>
    <w:tblPr>
      <w:tblCellMar>
        <w:left w:w="0" w:type="dxa"/>
        <w:top w:w="0" w:type="dxa"/>
        <w:right w:w="0" w:type="dxa"/>
        <w:bottom w:w="0" w:type="dxa"/>
      </w:tblCellMar>
    </w:tblPr>
  </w:style>
  <w:style w:type="table" w:styleId="835" w:customStyle="1">
    <w:name w:val="Grid Table 5 Dark - Accent 3"/>
    <w:uiPriority w:val="99"/>
    <w:tblPr>
      <w:tblCellMar>
        <w:left w:w="0" w:type="dxa"/>
        <w:top w:w="0" w:type="dxa"/>
        <w:right w:w="0" w:type="dxa"/>
        <w:bottom w:w="0" w:type="dxa"/>
      </w:tblCellMar>
    </w:tblPr>
  </w:style>
  <w:style w:type="table" w:styleId="836" w:customStyle="1">
    <w:name w:val="Grid Table 5 Dark- Accent 4"/>
    <w:uiPriority w:val="99"/>
    <w:tblPr>
      <w:tblCellMar>
        <w:left w:w="0" w:type="dxa"/>
        <w:top w:w="0" w:type="dxa"/>
        <w:right w:w="0" w:type="dxa"/>
        <w:bottom w:w="0" w:type="dxa"/>
      </w:tblCellMar>
    </w:tblPr>
  </w:style>
  <w:style w:type="table" w:styleId="837" w:customStyle="1">
    <w:name w:val="Grid Table 5 Dark - Accent 5"/>
    <w:uiPriority w:val="99"/>
    <w:tblPr>
      <w:tblCellMar>
        <w:left w:w="0" w:type="dxa"/>
        <w:top w:w="0" w:type="dxa"/>
        <w:right w:w="0" w:type="dxa"/>
        <w:bottom w:w="0" w:type="dxa"/>
      </w:tblCellMar>
    </w:tblPr>
  </w:style>
  <w:style w:type="table" w:styleId="838" w:customStyle="1">
    <w:name w:val="Grid Table 5 Dark - Accent 6"/>
    <w:uiPriority w:val="99"/>
    <w:tblPr>
      <w:tblCellMar>
        <w:left w:w="0" w:type="dxa"/>
        <w:top w:w="0" w:type="dxa"/>
        <w:right w:w="0" w:type="dxa"/>
        <w:bottom w:w="0" w:type="dxa"/>
      </w:tblCellMar>
    </w:tblPr>
  </w:style>
  <w:style w:type="table" w:styleId="839" w:customStyle="1">
    <w:name w:val="网格表 6 彩色1"/>
    <w:uiPriority w:val="99"/>
    <w:tblPr>
      <w:tblCellMar>
        <w:left w:w="0" w:type="dxa"/>
        <w:top w:w="0" w:type="dxa"/>
        <w:right w:w="0" w:type="dxa"/>
        <w:bottom w:w="0" w:type="dxa"/>
      </w:tblCellMar>
    </w:tblPr>
  </w:style>
  <w:style w:type="table" w:styleId="840" w:customStyle="1">
    <w:name w:val="Grid Table 6 Colorful - Accent 1"/>
    <w:uiPriority w:val="99"/>
    <w:tblPr>
      <w:tblCellMar>
        <w:left w:w="0" w:type="dxa"/>
        <w:top w:w="0" w:type="dxa"/>
        <w:right w:w="0" w:type="dxa"/>
        <w:bottom w:w="0" w:type="dxa"/>
      </w:tblCellMar>
    </w:tblPr>
  </w:style>
  <w:style w:type="table" w:styleId="841" w:customStyle="1">
    <w:name w:val="Grid Table 6 Colorful - Accent 2"/>
    <w:uiPriority w:val="99"/>
    <w:tblPr>
      <w:tblCellMar>
        <w:left w:w="0" w:type="dxa"/>
        <w:top w:w="0" w:type="dxa"/>
        <w:right w:w="0" w:type="dxa"/>
        <w:bottom w:w="0" w:type="dxa"/>
      </w:tblCellMar>
    </w:tblPr>
  </w:style>
  <w:style w:type="table" w:styleId="842" w:customStyle="1">
    <w:name w:val="Grid Table 6 Colorful - Accent 3"/>
    <w:uiPriority w:val="99"/>
    <w:tblPr>
      <w:tblCellMar>
        <w:left w:w="0" w:type="dxa"/>
        <w:top w:w="0" w:type="dxa"/>
        <w:right w:w="0" w:type="dxa"/>
        <w:bottom w:w="0" w:type="dxa"/>
      </w:tblCellMar>
    </w:tblPr>
  </w:style>
  <w:style w:type="table" w:styleId="843" w:customStyle="1">
    <w:name w:val="Grid Table 6 Colorful - Accent 4"/>
    <w:uiPriority w:val="99"/>
    <w:tblPr>
      <w:tblCellMar>
        <w:left w:w="0" w:type="dxa"/>
        <w:top w:w="0" w:type="dxa"/>
        <w:right w:w="0" w:type="dxa"/>
        <w:bottom w:w="0" w:type="dxa"/>
      </w:tblCellMar>
    </w:tblPr>
  </w:style>
  <w:style w:type="table" w:styleId="844" w:customStyle="1">
    <w:name w:val="Grid Table 6 Colorful - Accent 5"/>
    <w:uiPriority w:val="99"/>
    <w:tblPr>
      <w:tblCellMar>
        <w:left w:w="0" w:type="dxa"/>
        <w:top w:w="0" w:type="dxa"/>
        <w:right w:w="0" w:type="dxa"/>
        <w:bottom w:w="0" w:type="dxa"/>
      </w:tblCellMar>
    </w:tblPr>
  </w:style>
  <w:style w:type="table" w:styleId="845" w:customStyle="1">
    <w:name w:val="Grid Table 6 Colorful - Accent 6"/>
    <w:uiPriority w:val="99"/>
    <w:tblPr>
      <w:tblCellMar>
        <w:left w:w="0" w:type="dxa"/>
        <w:top w:w="0" w:type="dxa"/>
        <w:right w:w="0" w:type="dxa"/>
        <w:bottom w:w="0" w:type="dxa"/>
      </w:tblCellMar>
    </w:tblPr>
  </w:style>
  <w:style w:type="table" w:styleId="846" w:customStyle="1">
    <w:name w:val="网格表 7 彩色1"/>
    <w:uiPriority w:val="99"/>
    <w:tblPr>
      <w:tblCellMar>
        <w:left w:w="0" w:type="dxa"/>
        <w:top w:w="0" w:type="dxa"/>
        <w:right w:w="0" w:type="dxa"/>
        <w:bottom w:w="0" w:type="dxa"/>
      </w:tblCellMar>
    </w:tblPr>
  </w:style>
  <w:style w:type="table" w:styleId="847" w:customStyle="1">
    <w:name w:val="Grid Table 7 Colorful - Accent 1"/>
    <w:uiPriority w:val="99"/>
    <w:tblPr>
      <w:tblCellMar>
        <w:left w:w="0" w:type="dxa"/>
        <w:top w:w="0" w:type="dxa"/>
        <w:right w:w="0" w:type="dxa"/>
        <w:bottom w:w="0" w:type="dxa"/>
      </w:tblCellMar>
    </w:tblPr>
  </w:style>
  <w:style w:type="table" w:styleId="848" w:customStyle="1">
    <w:name w:val="Grid Table 7 Colorful - Accent 2"/>
    <w:uiPriority w:val="99"/>
    <w:tblPr>
      <w:tblCellMar>
        <w:left w:w="0" w:type="dxa"/>
        <w:top w:w="0" w:type="dxa"/>
        <w:right w:w="0" w:type="dxa"/>
        <w:bottom w:w="0" w:type="dxa"/>
      </w:tblCellMar>
    </w:tblPr>
  </w:style>
  <w:style w:type="table" w:styleId="849" w:customStyle="1">
    <w:name w:val="Grid Table 7 Colorful - Accent 3"/>
    <w:uiPriority w:val="99"/>
    <w:tblPr>
      <w:tblCellMar>
        <w:left w:w="0" w:type="dxa"/>
        <w:top w:w="0" w:type="dxa"/>
        <w:right w:w="0" w:type="dxa"/>
        <w:bottom w:w="0" w:type="dxa"/>
      </w:tblCellMar>
    </w:tblPr>
  </w:style>
  <w:style w:type="table" w:styleId="850" w:customStyle="1">
    <w:name w:val="Grid Table 7 Colorful - Accent 4"/>
    <w:uiPriority w:val="99"/>
    <w:tblPr>
      <w:tblCellMar>
        <w:left w:w="0" w:type="dxa"/>
        <w:top w:w="0" w:type="dxa"/>
        <w:right w:w="0" w:type="dxa"/>
        <w:bottom w:w="0" w:type="dxa"/>
      </w:tblCellMar>
    </w:tblPr>
  </w:style>
  <w:style w:type="table" w:styleId="851" w:customStyle="1">
    <w:name w:val="Grid Table 7 Colorful - Accent 5"/>
    <w:uiPriority w:val="99"/>
    <w:tblPr>
      <w:tblCellMar>
        <w:left w:w="0" w:type="dxa"/>
        <w:top w:w="0" w:type="dxa"/>
        <w:right w:w="0" w:type="dxa"/>
        <w:bottom w:w="0" w:type="dxa"/>
      </w:tblCellMar>
    </w:tblPr>
  </w:style>
  <w:style w:type="table" w:styleId="852" w:customStyle="1">
    <w:name w:val="Grid Table 7 Colorful - Accent 6"/>
    <w:uiPriority w:val="99"/>
    <w:tblPr>
      <w:tblCellMar>
        <w:left w:w="0" w:type="dxa"/>
        <w:top w:w="0" w:type="dxa"/>
        <w:right w:w="0" w:type="dxa"/>
        <w:bottom w:w="0" w:type="dxa"/>
      </w:tblCellMar>
    </w:tblPr>
  </w:style>
  <w:style w:type="table" w:styleId="853" w:customStyle="1">
    <w:name w:val="清单表 1 浅色1"/>
    <w:uiPriority w:val="99"/>
    <w:tblPr>
      <w:tblCellMar>
        <w:left w:w="0" w:type="dxa"/>
        <w:top w:w="0" w:type="dxa"/>
        <w:right w:w="0" w:type="dxa"/>
        <w:bottom w:w="0" w:type="dxa"/>
      </w:tblCellMar>
    </w:tblPr>
  </w:style>
  <w:style w:type="table" w:styleId="854" w:customStyle="1">
    <w:name w:val="List Table 1 Light - Accent 1"/>
    <w:uiPriority w:val="99"/>
    <w:tblPr>
      <w:tblCellMar>
        <w:left w:w="0" w:type="dxa"/>
        <w:top w:w="0" w:type="dxa"/>
        <w:right w:w="0" w:type="dxa"/>
        <w:bottom w:w="0" w:type="dxa"/>
      </w:tblCellMar>
    </w:tblPr>
  </w:style>
  <w:style w:type="table" w:styleId="855" w:customStyle="1">
    <w:name w:val="List Table 1 Light - Accent 2"/>
    <w:uiPriority w:val="99"/>
    <w:tblPr>
      <w:tblCellMar>
        <w:left w:w="0" w:type="dxa"/>
        <w:top w:w="0" w:type="dxa"/>
        <w:right w:w="0" w:type="dxa"/>
        <w:bottom w:w="0" w:type="dxa"/>
      </w:tblCellMar>
    </w:tblPr>
  </w:style>
  <w:style w:type="table" w:styleId="856" w:customStyle="1">
    <w:name w:val="List Table 1 Light - Accent 3"/>
    <w:uiPriority w:val="99"/>
    <w:tblPr>
      <w:tblCellMar>
        <w:left w:w="0" w:type="dxa"/>
        <w:top w:w="0" w:type="dxa"/>
        <w:right w:w="0" w:type="dxa"/>
        <w:bottom w:w="0" w:type="dxa"/>
      </w:tblCellMar>
    </w:tblPr>
  </w:style>
  <w:style w:type="table" w:styleId="857" w:customStyle="1">
    <w:name w:val="List Table 1 Light - Accent 4"/>
    <w:uiPriority w:val="99"/>
    <w:tblPr>
      <w:tblCellMar>
        <w:left w:w="0" w:type="dxa"/>
        <w:top w:w="0" w:type="dxa"/>
        <w:right w:w="0" w:type="dxa"/>
        <w:bottom w:w="0" w:type="dxa"/>
      </w:tblCellMar>
    </w:tblPr>
  </w:style>
  <w:style w:type="table" w:styleId="858" w:customStyle="1">
    <w:name w:val="List Table 1 Light - Accent 5"/>
    <w:uiPriority w:val="99"/>
    <w:tblPr>
      <w:tblCellMar>
        <w:left w:w="0" w:type="dxa"/>
        <w:top w:w="0" w:type="dxa"/>
        <w:right w:w="0" w:type="dxa"/>
        <w:bottom w:w="0" w:type="dxa"/>
      </w:tblCellMar>
    </w:tblPr>
  </w:style>
  <w:style w:type="table" w:styleId="859" w:customStyle="1">
    <w:name w:val="List Table 1 Light - Accent 6"/>
    <w:uiPriority w:val="99"/>
    <w:tblPr>
      <w:tblCellMar>
        <w:left w:w="0" w:type="dxa"/>
        <w:top w:w="0" w:type="dxa"/>
        <w:right w:w="0" w:type="dxa"/>
        <w:bottom w:w="0" w:type="dxa"/>
      </w:tblCellMar>
    </w:tblPr>
  </w:style>
  <w:style w:type="table" w:styleId="860" w:customStyle="1">
    <w:name w:val="清单表 21"/>
    <w:uiPriority w:val="99"/>
    <w:tblPr>
      <w:tblCellMar>
        <w:left w:w="0" w:type="dxa"/>
        <w:top w:w="0" w:type="dxa"/>
        <w:right w:w="0" w:type="dxa"/>
        <w:bottom w:w="0" w:type="dxa"/>
      </w:tblCellMar>
    </w:tblPr>
  </w:style>
  <w:style w:type="table" w:styleId="861" w:customStyle="1">
    <w:name w:val="List Table 2 - Accent 1"/>
    <w:uiPriority w:val="99"/>
    <w:tblPr>
      <w:tblCellMar>
        <w:left w:w="0" w:type="dxa"/>
        <w:top w:w="0" w:type="dxa"/>
        <w:right w:w="0" w:type="dxa"/>
        <w:bottom w:w="0" w:type="dxa"/>
      </w:tblCellMar>
    </w:tblPr>
  </w:style>
  <w:style w:type="table" w:styleId="862" w:customStyle="1">
    <w:name w:val="List Table 2 - Accent 2"/>
    <w:uiPriority w:val="99"/>
    <w:tblPr>
      <w:tblCellMar>
        <w:left w:w="0" w:type="dxa"/>
        <w:top w:w="0" w:type="dxa"/>
        <w:right w:w="0" w:type="dxa"/>
        <w:bottom w:w="0" w:type="dxa"/>
      </w:tblCellMar>
    </w:tblPr>
  </w:style>
  <w:style w:type="table" w:styleId="863" w:customStyle="1">
    <w:name w:val="List Table 2 - Accent 3"/>
    <w:uiPriority w:val="99"/>
    <w:tblPr>
      <w:tblCellMar>
        <w:left w:w="0" w:type="dxa"/>
        <w:top w:w="0" w:type="dxa"/>
        <w:right w:w="0" w:type="dxa"/>
        <w:bottom w:w="0" w:type="dxa"/>
      </w:tblCellMar>
    </w:tblPr>
  </w:style>
  <w:style w:type="table" w:styleId="864" w:customStyle="1">
    <w:name w:val="List Table 2 - Accent 4"/>
    <w:uiPriority w:val="99"/>
    <w:tblPr>
      <w:tblCellMar>
        <w:left w:w="0" w:type="dxa"/>
        <w:top w:w="0" w:type="dxa"/>
        <w:right w:w="0" w:type="dxa"/>
        <w:bottom w:w="0" w:type="dxa"/>
      </w:tblCellMar>
    </w:tblPr>
  </w:style>
  <w:style w:type="table" w:styleId="865" w:customStyle="1">
    <w:name w:val="List Table 2 - Accent 5"/>
    <w:uiPriority w:val="99"/>
    <w:tblPr>
      <w:tblCellMar>
        <w:left w:w="0" w:type="dxa"/>
        <w:top w:w="0" w:type="dxa"/>
        <w:right w:w="0" w:type="dxa"/>
        <w:bottom w:w="0" w:type="dxa"/>
      </w:tblCellMar>
    </w:tblPr>
  </w:style>
  <w:style w:type="table" w:styleId="866" w:customStyle="1">
    <w:name w:val="List Table 2 - Accent 6"/>
    <w:uiPriority w:val="99"/>
    <w:tblPr>
      <w:tblCellMar>
        <w:left w:w="0" w:type="dxa"/>
        <w:top w:w="0" w:type="dxa"/>
        <w:right w:w="0" w:type="dxa"/>
        <w:bottom w:w="0" w:type="dxa"/>
      </w:tblCellMar>
    </w:tblPr>
  </w:style>
  <w:style w:type="table" w:styleId="867" w:customStyle="1">
    <w:name w:val="清单表 31"/>
    <w:uiPriority w:val="99"/>
    <w:tblPr>
      <w:tblCellMar>
        <w:left w:w="0" w:type="dxa"/>
        <w:top w:w="0" w:type="dxa"/>
        <w:right w:w="0" w:type="dxa"/>
        <w:bottom w:w="0" w:type="dxa"/>
      </w:tblCellMar>
    </w:tblPr>
  </w:style>
  <w:style w:type="table" w:styleId="868" w:customStyle="1">
    <w:name w:val="List Table 3 - Accent 1"/>
    <w:uiPriority w:val="99"/>
    <w:tblPr>
      <w:tblCellMar>
        <w:left w:w="0" w:type="dxa"/>
        <w:top w:w="0" w:type="dxa"/>
        <w:right w:w="0" w:type="dxa"/>
        <w:bottom w:w="0" w:type="dxa"/>
      </w:tblCellMar>
    </w:tblPr>
  </w:style>
  <w:style w:type="table" w:styleId="869" w:customStyle="1">
    <w:name w:val="List Table 3 - Accent 2"/>
    <w:uiPriority w:val="99"/>
    <w:tblPr>
      <w:tblCellMar>
        <w:left w:w="0" w:type="dxa"/>
        <w:top w:w="0" w:type="dxa"/>
        <w:right w:w="0" w:type="dxa"/>
        <w:bottom w:w="0" w:type="dxa"/>
      </w:tblCellMar>
    </w:tblPr>
  </w:style>
  <w:style w:type="table" w:styleId="870" w:customStyle="1">
    <w:name w:val="List Table 3 - Accent 3"/>
    <w:uiPriority w:val="99"/>
    <w:tblPr>
      <w:tblCellMar>
        <w:left w:w="0" w:type="dxa"/>
        <w:top w:w="0" w:type="dxa"/>
        <w:right w:w="0" w:type="dxa"/>
        <w:bottom w:w="0" w:type="dxa"/>
      </w:tblCellMar>
    </w:tblPr>
  </w:style>
  <w:style w:type="table" w:styleId="871" w:customStyle="1">
    <w:name w:val="List Table 3 - Accent 4"/>
    <w:uiPriority w:val="99"/>
    <w:tblPr>
      <w:tblCellMar>
        <w:left w:w="0" w:type="dxa"/>
        <w:top w:w="0" w:type="dxa"/>
        <w:right w:w="0" w:type="dxa"/>
        <w:bottom w:w="0" w:type="dxa"/>
      </w:tblCellMar>
    </w:tblPr>
  </w:style>
  <w:style w:type="table" w:styleId="872" w:customStyle="1">
    <w:name w:val="List Table 3 - Accent 5"/>
    <w:uiPriority w:val="99"/>
    <w:tblPr>
      <w:tblCellMar>
        <w:left w:w="0" w:type="dxa"/>
        <w:top w:w="0" w:type="dxa"/>
        <w:right w:w="0" w:type="dxa"/>
        <w:bottom w:w="0" w:type="dxa"/>
      </w:tblCellMar>
    </w:tblPr>
  </w:style>
  <w:style w:type="table" w:styleId="873" w:customStyle="1">
    <w:name w:val="List Table 3 - Accent 6"/>
    <w:uiPriority w:val="99"/>
    <w:tblPr>
      <w:tblCellMar>
        <w:left w:w="0" w:type="dxa"/>
        <w:top w:w="0" w:type="dxa"/>
        <w:right w:w="0" w:type="dxa"/>
        <w:bottom w:w="0" w:type="dxa"/>
      </w:tblCellMar>
    </w:tblPr>
  </w:style>
  <w:style w:type="table" w:styleId="874" w:customStyle="1">
    <w:name w:val="清单表 41"/>
    <w:uiPriority w:val="99"/>
    <w:tblPr>
      <w:tblCellMar>
        <w:left w:w="0" w:type="dxa"/>
        <w:top w:w="0" w:type="dxa"/>
        <w:right w:w="0" w:type="dxa"/>
        <w:bottom w:w="0" w:type="dxa"/>
      </w:tblCellMar>
    </w:tblPr>
  </w:style>
  <w:style w:type="table" w:styleId="875" w:customStyle="1">
    <w:name w:val="List Table 4 - Accent 1"/>
    <w:uiPriority w:val="99"/>
    <w:tblPr>
      <w:tblCellMar>
        <w:left w:w="0" w:type="dxa"/>
        <w:top w:w="0" w:type="dxa"/>
        <w:right w:w="0" w:type="dxa"/>
        <w:bottom w:w="0" w:type="dxa"/>
      </w:tblCellMar>
    </w:tblPr>
  </w:style>
  <w:style w:type="table" w:styleId="876" w:customStyle="1">
    <w:name w:val="List Table 4 - Accent 2"/>
    <w:uiPriority w:val="99"/>
    <w:tblPr>
      <w:tblCellMar>
        <w:left w:w="0" w:type="dxa"/>
        <w:top w:w="0" w:type="dxa"/>
        <w:right w:w="0" w:type="dxa"/>
        <w:bottom w:w="0" w:type="dxa"/>
      </w:tblCellMar>
    </w:tblPr>
  </w:style>
  <w:style w:type="table" w:styleId="877" w:customStyle="1">
    <w:name w:val="List Table 4 - Accent 3"/>
    <w:uiPriority w:val="99"/>
    <w:tblPr>
      <w:tblCellMar>
        <w:left w:w="0" w:type="dxa"/>
        <w:top w:w="0" w:type="dxa"/>
        <w:right w:w="0" w:type="dxa"/>
        <w:bottom w:w="0" w:type="dxa"/>
      </w:tblCellMar>
    </w:tblPr>
  </w:style>
  <w:style w:type="table" w:styleId="878" w:customStyle="1">
    <w:name w:val="List Table 4 - Accent 4"/>
    <w:uiPriority w:val="99"/>
    <w:tblPr>
      <w:tblCellMar>
        <w:left w:w="0" w:type="dxa"/>
        <w:top w:w="0" w:type="dxa"/>
        <w:right w:w="0" w:type="dxa"/>
        <w:bottom w:w="0" w:type="dxa"/>
      </w:tblCellMar>
    </w:tblPr>
  </w:style>
  <w:style w:type="table" w:styleId="879" w:customStyle="1">
    <w:name w:val="List Table 4 - Accent 5"/>
    <w:uiPriority w:val="99"/>
    <w:tblPr>
      <w:tblCellMar>
        <w:left w:w="0" w:type="dxa"/>
        <w:top w:w="0" w:type="dxa"/>
        <w:right w:w="0" w:type="dxa"/>
        <w:bottom w:w="0" w:type="dxa"/>
      </w:tblCellMar>
    </w:tblPr>
  </w:style>
  <w:style w:type="table" w:styleId="880" w:customStyle="1">
    <w:name w:val="List Table 4 - Accent 6"/>
    <w:uiPriority w:val="99"/>
    <w:tblPr>
      <w:tblCellMar>
        <w:left w:w="0" w:type="dxa"/>
        <w:top w:w="0" w:type="dxa"/>
        <w:right w:w="0" w:type="dxa"/>
        <w:bottom w:w="0" w:type="dxa"/>
      </w:tblCellMar>
    </w:tblPr>
  </w:style>
  <w:style w:type="table" w:styleId="881" w:customStyle="1">
    <w:name w:val="清单表 5 深色1"/>
    <w:uiPriority w:val="99"/>
    <w:tblPr>
      <w:tblCellMar>
        <w:left w:w="0" w:type="dxa"/>
        <w:top w:w="0" w:type="dxa"/>
        <w:right w:w="0" w:type="dxa"/>
        <w:bottom w:w="0" w:type="dxa"/>
      </w:tblCellMar>
    </w:tblPr>
  </w:style>
  <w:style w:type="table" w:styleId="882" w:customStyle="1">
    <w:name w:val="List Table 5 Dark - Accent 1"/>
    <w:uiPriority w:val="99"/>
    <w:tblPr>
      <w:tblCellMar>
        <w:left w:w="0" w:type="dxa"/>
        <w:top w:w="0" w:type="dxa"/>
        <w:right w:w="0" w:type="dxa"/>
        <w:bottom w:w="0" w:type="dxa"/>
      </w:tblCellMar>
    </w:tblPr>
  </w:style>
  <w:style w:type="table" w:styleId="883" w:customStyle="1">
    <w:name w:val="List Table 5 Dark - Accent 2"/>
    <w:uiPriority w:val="99"/>
    <w:tblPr>
      <w:tblCellMar>
        <w:left w:w="0" w:type="dxa"/>
        <w:top w:w="0" w:type="dxa"/>
        <w:right w:w="0" w:type="dxa"/>
        <w:bottom w:w="0" w:type="dxa"/>
      </w:tblCellMar>
    </w:tblPr>
  </w:style>
  <w:style w:type="table" w:styleId="884" w:customStyle="1">
    <w:name w:val="List Table 5 Dark - Accent 3"/>
    <w:uiPriority w:val="99"/>
    <w:tblPr>
      <w:tblCellMar>
        <w:left w:w="0" w:type="dxa"/>
        <w:top w:w="0" w:type="dxa"/>
        <w:right w:w="0" w:type="dxa"/>
        <w:bottom w:w="0" w:type="dxa"/>
      </w:tblCellMar>
    </w:tblPr>
  </w:style>
  <w:style w:type="table" w:styleId="885" w:customStyle="1">
    <w:name w:val="List Table 5 Dark - Accent 4"/>
    <w:uiPriority w:val="99"/>
    <w:tblPr>
      <w:tblCellMar>
        <w:left w:w="0" w:type="dxa"/>
        <w:top w:w="0" w:type="dxa"/>
        <w:right w:w="0" w:type="dxa"/>
        <w:bottom w:w="0" w:type="dxa"/>
      </w:tblCellMar>
    </w:tblPr>
  </w:style>
  <w:style w:type="table" w:styleId="886" w:customStyle="1">
    <w:name w:val="List Table 5 Dark - Accent 5"/>
    <w:uiPriority w:val="99"/>
    <w:tblPr>
      <w:tblCellMar>
        <w:left w:w="0" w:type="dxa"/>
        <w:top w:w="0" w:type="dxa"/>
        <w:right w:w="0" w:type="dxa"/>
        <w:bottom w:w="0" w:type="dxa"/>
      </w:tblCellMar>
    </w:tblPr>
  </w:style>
  <w:style w:type="table" w:styleId="887" w:customStyle="1">
    <w:name w:val="List Table 5 Dark - Accent 6"/>
    <w:uiPriority w:val="99"/>
    <w:tblPr>
      <w:tblCellMar>
        <w:left w:w="0" w:type="dxa"/>
        <w:top w:w="0" w:type="dxa"/>
        <w:right w:w="0" w:type="dxa"/>
        <w:bottom w:w="0" w:type="dxa"/>
      </w:tblCellMar>
    </w:tblPr>
  </w:style>
  <w:style w:type="table" w:styleId="888" w:customStyle="1">
    <w:name w:val="清单表 6 彩色1"/>
    <w:uiPriority w:val="99"/>
    <w:tblPr>
      <w:tblCellMar>
        <w:left w:w="0" w:type="dxa"/>
        <w:top w:w="0" w:type="dxa"/>
        <w:right w:w="0" w:type="dxa"/>
        <w:bottom w:w="0" w:type="dxa"/>
      </w:tblCellMar>
    </w:tblPr>
  </w:style>
  <w:style w:type="table" w:styleId="889" w:customStyle="1">
    <w:name w:val="List Table 6 Colorful - Accent 1"/>
    <w:uiPriority w:val="99"/>
    <w:tblPr>
      <w:tblCellMar>
        <w:left w:w="0" w:type="dxa"/>
        <w:top w:w="0" w:type="dxa"/>
        <w:right w:w="0" w:type="dxa"/>
        <w:bottom w:w="0" w:type="dxa"/>
      </w:tblCellMar>
    </w:tblPr>
  </w:style>
  <w:style w:type="table" w:styleId="890" w:customStyle="1">
    <w:name w:val="List Table 6 Colorful - Accent 2"/>
    <w:uiPriority w:val="99"/>
    <w:tblPr>
      <w:tblCellMar>
        <w:left w:w="0" w:type="dxa"/>
        <w:top w:w="0" w:type="dxa"/>
        <w:right w:w="0" w:type="dxa"/>
        <w:bottom w:w="0" w:type="dxa"/>
      </w:tblCellMar>
    </w:tblPr>
  </w:style>
  <w:style w:type="table" w:styleId="891" w:customStyle="1">
    <w:name w:val="List Table 6 Colorful - Accent 3"/>
    <w:uiPriority w:val="99"/>
    <w:tblPr>
      <w:tblCellMar>
        <w:left w:w="0" w:type="dxa"/>
        <w:top w:w="0" w:type="dxa"/>
        <w:right w:w="0" w:type="dxa"/>
        <w:bottom w:w="0" w:type="dxa"/>
      </w:tblCellMar>
    </w:tblPr>
  </w:style>
  <w:style w:type="table" w:styleId="892" w:customStyle="1">
    <w:name w:val="List Table 6 Colorful - Accent 4"/>
    <w:uiPriority w:val="99"/>
    <w:tblPr>
      <w:tblCellMar>
        <w:left w:w="0" w:type="dxa"/>
        <w:top w:w="0" w:type="dxa"/>
        <w:right w:w="0" w:type="dxa"/>
        <w:bottom w:w="0" w:type="dxa"/>
      </w:tblCellMar>
    </w:tblPr>
  </w:style>
  <w:style w:type="table" w:styleId="893" w:customStyle="1">
    <w:name w:val="List Table 6 Colorful - Accent 5"/>
    <w:uiPriority w:val="99"/>
    <w:tblPr>
      <w:tblCellMar>
        <w:left w:w="0" w:type="dxa"/>
        <w:top w:w="0" w:type="dxa"/>
        <w:right w:w="0" w:type="dxa"/>
        <w:bottom w:w="0" w:type="dxa"/>
      </w:tblCellMar>
    </w:tblPr>
  </w:style>
  <w:style w:type="table" w:styleId="894" w:customStyle="1">
    <w:name w:val="List Table 6 Colorful - Accent 6"/>
    <w:uiPriority w:val="99"/>
    <w:tblPr>
      <w:tblCellMar>
        <w:left w:w="0" w:type="dxa"/>
        <w:top w:w="0" w:type="dxa"/>
        <w:right w:w="0" w:type="dxa"/>
        <w:bottom w:w="0" w:type="dxa"/>
      </w:tblCellMar>
    </w:tblPr>
  </w:style>
  <w:style w:type="table" w:styleId="895" w:customStyle="1">
    <w:name w:val="清单表 7 彩色1"/>
    <w:uiPriority w:val="99"/>
    <w:tblPr>
      <w:tblCellMar>
        <w:left w:w="0" w:type="dxa"/>
        <w:top w:w="0" w:type="dxa"/>
        <w:right w:w="0" w:type="dxa"/>
        <w:bottom w:w="0" w:type="dxa"/>
      </w:tblCellMar>
    </w:tblPr>
  </w:style>
  <w:style w:type="table" w:styleId="896" w:customStyle="1">
    <w:name w:val="List Table 7 Colorful - Accent 1"/>
    <w:uiPriority w:val="99"/>
    <w:tblPr>
      <w:tblCellMar>
        <w:left w:w="0" w:type="dxa"/>
        <w:top w:w="0" w:type="dxa"/>
        <w:right w:w="0" w:type="dxa"/>
        <w:bottom w:w="0" w:type="dxa"/>
      </w:tblCellMar>
    </w:tblPr>
  </w:style>
  <w:style w:type="table" w:styleId="897" w:customStyle="1">
    <w:name w:val="List Table 7 Colorful - Accent 2"/>
    <w:uiPriority w:val="99"/>
    <w:tblPr>
      <w:tblCellMar>
        <w:left w:w="0" w:type="dxa"/>
        <w:top w:w="0" w:type="dxa"/>
        <w:right w:w="0" w:type="dxa"/>
        <w:bottom w:w="0" w:type="dxa"/>
      </w:tblCellMar>
    </w:tblPr>
  </w:style>
  <w:style w:type="table" w:styleId="898" w:customStyle="1">
    <w:name w:val="List Table 7 Colorful - Accent 3"/>
    <w:uiPriority w:val="99"/>
    <w:tblPr>
      <w:tblCellMar>
        <w:left w:w="0" w:type="dxa"/>
        <w:top w:w="0" w:type="dxa"/>
        <w:right w:w="0" w:type="dxa"/>
        <w:bottom w:w="0" w:type="dxa"/>
      </w:tblCellMar>
    </w:tblPr>
  </w:style>
  <w:style w:type="table" w:styleId="899" w:customStyle="1">
    <w:name w:val="List Table 7 Colorful - Accent 4"/>
    <w:uiPriority w:val="99"/>
    <w:tblPr>
      <w:tblCellMar>
        <w:left w:w="0" w:type="dxa"/>
        <w:top w:w="0" w:type="dxa"/>
        <w:right w:w="0" w:type="dxa"/>
        <w:bottom w:w="0" w:type="dxa"/>
      </w:tblCellMar>
    </w:tblPr>
  </w:style>
  <w:style w:type="table" w:styleId="900" w:customStyle="1">
    <w:name w:val="List Table 7 Colorful - Accent 5"/>
    <w:uiPriority w:val="99"/>
    <w:tblPr>
      <w:tblCellMar>
        <w:left w:w="0" w:type="dxa"/>
        <w:top w:w="0" w:type="dxa"/>
        <w:right w:w="0" w:type="dxa"/>
        <w:bottom w:w="0" w:type="dxa"/>
      </w:tblCellMar>
    </w:tblPr>
  </w:style>
  <w:style w:type="table" w:styleId="901" w:customStyle="1">
    <w:name w:val="List Table 7 Colorful - Accent 6"/>
    <w:uiPriority w:val="99"/>
    <w:tblPr>
      <w:tblCellMar>
        <w:left w:w="0" w:type="dxa"/>
        <w:top w:w="0" w:type="dxa"/>
        <w:right w:w="0" w:type="dxa"/>
        <w:bottom w:w="0" w:type="dxa"/>
      </w:tblCellMar>
    </w:tblPr>
  </w:style>
  <w:style w:type="table" w:styleId="902" w:customStyle="1">
    <w:name w:val="Lined - Accent"/>
    <w:uiPriority w:val="99"/>
    <w:rPr>
      <w:color w:val="404040"/>
    </w:rPr>
    <w:tblPr>
      <w:tblCellMar>
        <w:left w:w="0" w:type="dxa"/>
        <w:top w:w="0" w:type="dxa"/>
        <w:right w:w="0" w:type="dxa"/>
        <w:bottom w:w="0" w:type="dxa"/>
      </w:tblCellMar>
    </w:tblPr>
  </w:style>
  <w:style w:type="table" w:styleId="903" w:customStyle="1">
    <w:name w:val="Lined - Accent 1"/>
    <w:uiPriority w:val="99"/>
    <w:rPr>
      <w:color w:val="404040"/>
    </w:rPr>
    <w:tblPr>
      <w:tblCellMar>
        <w:left w:w="0" w:type="dxa"/>
        <w:top w:w="0" w:type="dxa"/>
        <w:right w:w="0" w:type="dxa"/>
        <w:bottom w:w="0" w:type="dxa"/>
      </w:tblCellMar>
    </w:tblPr>
  </w:style>
  <w:style w:type="table" w:styleId="904" w:customStyle="1">
    <w:name w:val="Lined - Accent 2"/>
    <w:uiPriority w:val="99"/>
    <w:rPr>
      <w:color w:val="404040"/>
    </w:rPr>
    <w:tblPr>
      <w:tblCellMar>
        <w:left w:w="0" w:type="dxa"/>
        <w:top w:w="0" w:type="dxa"/>
        <w:right w:w="0" w:type="dxa"/>
        <w:bottom w:w="0" w:type="dxa"/>
      </w:tblCellMar>
    </w:tblPr>
  </w:style>
  <w:style w:type="table" w:styleId="905" w:customStyle="1">
    <w:name w:val="Lined - Accent 3"/>
    <w:uiPriority w:val="99"/>
    <w:rPr>
      <w:color w:val="404040"/>
    </w:rPr>
    <w:tblPr>
      <w:tblCellMar>
        <w:left w:w="0" w:type="dxa"/>
        <w:top w:w="0" w:type="dxa"/>
        <w:right w:w="0" w:type="dxa"/>
        <w:bottom w:w="0" w:type="dxa"/>
      </w:tblCellMar>
    </w:tblPr>
  </w:style>
  <w:style w:type="table" w:styleId="906" w:customStyle="1">
    <w:name w:val="Lined - Accent 4"/>
    <w:uiPriority w:val="99"/>
    <w:rPr>
      <w:color w:val="404040"/>
    </w:rPr>
    <w:tblPr>
      <w:tblCellMar>
        <w:left w:w="0" w:type="dxa"/>
        <w:top w:w="0" w:type="dxa"/>
        <w:right w:w="0" w:type="dxa"/>
        <w:bottom w:w="0" w:type="dxa"/>
      </w:tblCellMar>
    </w:tblPr>
  </w:style>
  <w:style w:type="table" w:styleId="907" w:customStyle="1">
    <w:name w:val="Lined - Accent 5"/>
    <w:uiPriority w:val="99"/>
    <w:rPr>
      <w:color w:val="404040"/>
    </w:rPr>
    <w:tblPr>
      <w:tblCellMar>
        <w:left w:w="0" w:type="dxa"/>
        <w:top w:w="0" w:type="dxa"/>
        <w:right w:w="0" w:type="dxa"/>
        <w:bottom w:w="0" w:type="dxa"/>
      </w:tblCellMar>
    </w:tblPr>
  </w:style>
  <w:style w:type="table" w:styleId="908" w:customStyle="1">
    <w:name w:val="Lined - Accent 6"/>
    <w:uiPriority w:val="99"/>
    <w:rPr>
      <w:color w:val="404040"/>
    </w:rPr>
    <w:tblPr>
      <w:tblCellMar>
        <w:left w:w="0" w:type="dxa"/>
        <w:top w:w="0" w:type="dxa"/>
        <w:right w:w="0" w:type="dxa"/>
        <w:bottom w:w="0" w:type="dxa"/>
      </w:tblCellMar>
    </w:tblPr>
  </w:style>
  <w:style w:type="table" w:styleId="909" w:customStyle="1">
    <w:name w:val="Bordered &amp; Lined - Accent"/>
    <w:uiPriority w:val="99"/>
    <w:rPr>
      <w:color w:val="404040"/>
    </w:rPr>
    <w:tblPr>
      <w:tblCellMar>
        <w:left w:w="0" w:type="dxa"/>
        <w:top w:w="0" w:type="dxa"/>
        <w:right w:w="0" w:type="dxa"/>
        <w:bottom w:w="0" w:type="dxa"/>
      </w:tblCellMar>
    </w:tblPr>
  </w:style>
  <w:style w:type="table" w:styleId="910" w:customStyle="1">
    <w:name w:val="Bordered &amp; Lined - Accent 1"/>
    <w:uiPriority w:val="99"/>
    <w:rPr>
      <w:color w:val="404040"/>
    </w:rPr>
    <w:tblPr>
      <w:tblCellMar>
        <w:left w:w="0" w:type="dxa"/>
        <w:top w:w="0" w:type="dxa"/>
        <w:right w:w="0" w:type="dxa"/>
        <w:bottom w:w="0" w:type="dxa"/>
      </w:tblCellMar>
    </w:tblPr>
  </w:style>
  <w:style w:type="table" w:styleId="911" w:customStyle="1">
    <w:name w:val="Bordered &amp; Lined - Accent 2"/>
    <w:uiPriority w:val="99"/>
    <w:rPr>
      <w:color w:val="404040"/>
    </w:rPr>
    <w:tblPr>
      <w:tblCellMar>
        <w:left w:w="0" w:type="dxa"/>
        <w:top w:w="0" w:type="dxa"/>
        <w:right w:w="0" w:type="dxa"/>
        <w:bottom w:w="0" w:type="dxa"/>
      </w:tblCellMar>
    </w:tblPr>
  </w:style>
  <w:style w:type="table" w:styleId="912" w:customStyle="1">
    <w:name w:val="Bordered &amp; Lined - Accent 3"/>
    <w:uiPriority w:val="99"/>
    <w:rPr>
      <w:color w:val="404040"/>
    </w:rPr>
    <w:tblPr>
      <w:tblCellMar>
        <w:left w:w="0" w:type="dxa"/>
        <w:top w:w="0" w:type="dxa"/>
        <w:right w:w="0" w:type="dxa"/>
        <w:bottom w:w="0" w:type="dxa"/>
      </w:tblCellMar>
    </w:tblPr>
  </w:style>
  <w:style w:type="table" w:styleId="913" w:customStyle="1">
    <w:name w:val="Bordered &amp; Lined - Accent 4"/>
    <w:uiPriority w:val="99"/>
    <w:rPr>
      <w:color w:val="404040"/>
    </w:rPr>
    <w:tblPr>
      <w:tblCellMar>
        <w:left w:w="0" w:type="dxa"/>
        <w:top w:w="0" w:type="dxa"/>
        <w:right w:w="0" w:type="dxa"/>
        <w:bottom w:w="0" w:type="dxa"/>
      </w:tblCellMar>
    </w:tblPr>
  </w:style>
  <w:style w:type="table" w:styleId="914" w:customStyle="1">
    <w:name w:val="Bordered &amp; Lined - Accent 5"/>
    <w:uiPriority w:val="99"/>
    <w:rPr>
      <w:color w:val="404040"/>
    </w:rPr>
    <w:tblPr>
      <w:tblCellMar>
        <w:left w:w="0" w:type="dxa"/>
        <w:top w:w="0" w:type="dxa"/>
        <w:right w:w="0" w:type="dxa"/>
        <w:bottom w:w="0" w:type="dxa"/>
      </w:tblCellMar>
    </w:tblPr>
  </w:style>
  <w:style w:type="table" w:styleId="915" w:customStyle="1">
    <w:name w:val="Bordered &amp; Lined - Accent 6"/>
    <w:uiPriority w:val="99"/>
    <w:rPr>
      <w:color w:val="404040"/>
    </w:rPr>
    <w:tblPr>
      <w:tblCellMar>
        <w:left w:w="0" w:type="dxa"/>
        <w:top w:w="0" w:type="dxa"/>
        <w:right w:w="0" w:type="dxa"/>
        <w:bottom w:w="0" w:type="dxa"/>
      </w:tblCellMar>
    </w:tblPr>
  </w:style>
  <w:style w:type="table" w:styleId="916" w:customStyle="1">
    <w:name w:val="Bordered"/>
    <w:uiPriority w:val="99"/>
    <w:tblPr>
      <w:tblCellMar>
        <w:left w:w="0" w:type="dxa"/>
        <w:top w:w="0" w:type="dxa"/>
        <w:right w:w="0" w:type="dxa"/>
        <w:bottom w:w="0" w:type="dxa"/>
      </w:tblCellMar>
    </w:tblPr>
  </w:style>
  <w:style w:type="table" w:styleId="917" w:customStyle="1">
    <w:name w:val="Bordered - Accent 1"/>
    <w:uiPriority w:val="99"/>
    <w:tblPr>
      <w:tblCellMar>
        <w:left w:w="0" w:type="dxa"/>
        <w:top w:w="0" w:type="dxa"/>
        <w:right w:w="0" w:type="dxa"/>
        <w:bottom w:w="0" w:type="dxa"/>
      </w:tblCellMar>
    </w:tblPr>
  </w:style>
  <w:style w:type="table" w:styleId="918" w:customStyle="1">
    <w:name w:val="Bordered - Accent 2"/>
    <w:uiPriority w:val="99"/>
    <w:tblPr>
      <w:tblCellMar>
        <w:left w:w="0" w:type="dxa"/>
        <w:top w:w="0" w:type="dxa"/>
        <w:right w:w="0" w:type="dxa"/>
        <w:bottom w:w="0" w:type="dxa"/>
      </w:tblCellMar>
    </w:tblPr>
  </w:style>
  <w:style w:type="table" w:styleId="919" w:customStyle="1">
    <w:name w:val="Bordered - Accent 3"/>
    <w:uiPriority w:val="99"/>
    <w:tblPr>
      <w:tblCellMar>
        <w:left w:w="0" w:type="dxa"/>
        <w:top w:w="0" w:type="dxa"/>
        <w:right w:w="0" w:type="dxa"/>
        <w:bottom w:w="0" w:type="dxa"/>
      </w:tblCellMar>
    </w:tblPr>
  </w:style>
  <w:style w:type="table" w:styleId="920" w:customStyle="1">
    <w:name w:val="Bordered - Accent 4"/>
    <w:uiPriority w:val="99"/>
    <w:tblPr>
      <w:tblCellMar>
        <w:left w:w="0" w:type="dxa"/>
        <w:top w:w="0" w:type="dxa"/>
        <w:right w:w="0" w:type="dxa"/>
        <w:bottom w:w="0" w:type="dxa"/>
      </w:tblCellMar>
    </w:tblPr>
  </w:style>
  <w:style w:type="table" w:styleId="921" w:customStyle="1">
    <w:name w:val="Bordered - Accent 5"/>
    <w:uiPriority w:val="99"/>
    <w:tblPr>
      <w:tblCellMar>
        <w:left w:w="0" w:type="dxa"/>
        <w:top w:w="0" w:type="dxa"/>
        <w:right w:w="0" w:type="dxa"/>
        <w:bottom w:w="0" w:type="dxa"/>
      </w:tblCellMar>
    </w:tblPr>
  </w:style>
  <w:style w:type="table" w:styleId="922" w:customStyle="1">
    <w:name w:val="Bordered - Accent 6"/>
    <w:uiPriority w:val="99"/>
    <w:tblPr>
      <w:tblCellMar>
        <w:left w:w="0" w:type="dxa"/>
        <w:top w:w="0" w:type="dxa"/>
        <w:right w:w="0" w:type="dxa"/>
        <w:bottom w:w="0" w:type="dxa"/>
      </w:tblCellMar>
    </w:tblPr>
  </w:style>
  <w:style w:type="character" w:styleId="923" w:customStyle="1">
    <w:name w:val="脚注文本 字符"/>
    <w:link w:val="765"/>
    <w:uiPriority w:val="99"/>
    <w:rPr>
      <w:sz w:val="18"/>
    </w:rPr>
  </w:style>
  <w:style w:type="character" w:styleId="924" w:customStyle="1">
    <w:name w:val="尾注文本 字符"/>
    <w:link w:val="768"/>
    <w:uiPriority w:val="99"/>
    <w:rPr>
      <w:sz w:val="20"/>
    </w:rPr>
  </w:style>
  <w:style w:type="character" w:styleId="925" w:customStyle="1">
    <w:name w:val="标题 1 字符"/>
    <w:link w:val="738"/>
    <w:rPr>
      <w:rFonts w:ascii="楷体_GB2312" w:hAnsi="Times New Roman" w:eastAsia="楷体_GB2312" w:cs="Times New Roman"/>
      <w:sz w:val="28"/>
      <w:szCs w:val="28"/>
    </w:rPr>
  </w:style>
  <w:style w:type="character" w:styleId="926" w:customStyle="1">
    <w:name w:val="标题 2 字符"/>
    <w:link w:val="739"/>
    <w:rPr>
      <w:rFonts w:ascii="Arial" w:hAnsi="Arial" w:eastAsia="幼圆" w:cs="Arial"/>
      <w:b/>
      <w:bCs/>
      <w:sz w:val="44"/>
      <w:szCs w:val="44"/>
    </w:rPr>
  </w:style>
  <w:style w:type="character" w:styleId="927" w:customStyle="1">
    <w:name w:val="标题 3 字符"/>
    <w:link w:val="740"/>
    <w:rPr>
      <w:rFonts w:ascii="Times New Roman" w:hAnsi="Times New Roman" w:eastAsia="宋体" w:cs="Times New Roman"/>
      <w:b/>
      <w:bCs/>
      <w:sz w:val="32"/>
      <w:szCs w:val="32"/>
    </w:rPr>
  </w:style>
  <w:style w:type="character" w:styleId="928" w:customStyle="1">
    <w:name w:val="标题 4 字符"/>
    <w:link w:val="741"/>
    <w:rPr>
      <w:rFonts w:ascii="Arial" w:hAnsi="Arial" w:eastAsia="黑体" w:cs="Arial"/>
      <w:b/>
      <w:bCs/>
      <w:sz w:val="28"/>
      <w:szCs w:val="28"/>
    </w:rPr>
  </w:style>
  <w:style w:type="character" w:styleId="929" w:customStyle="1">
    <w:name w:val="标题 5 字符"/>
    <w:link w:val="742"/>
    <w:rPr>
      <w:rFonts w:ascii="宋体" w:hAnsi="Times New Roman" w:eastAsia="宋体" w:cs="Times New Roman"/>
      <w:color w:val="000000"/>
      <w:sz w:val="28"/>
      <w:szCs w:val="28"/>
    </w:rPr>
  </w:style>
  <w:style w:type="character" w:styleId="930" w:customStyle="1">
    <w:name w:val="标题 6 字符"/>
    <w:link w:val="743"/>
    <w:rPr>
      <w:rFonts w:ascii="Arial" w:hAnsi="Arial" w:eastAsia="黑体" w:cs="Times New Roman"/>
      <w:b/>
      <w:bCs/>
      <w:sz w:val="24"/>
      <w:szCs w:val="24"/>
    </w:rPr>
  </w:style>
  <w:style w:type="character" w:styleId="931" w:customStyle="1">
    <w:name w:val="标题 7 字符"/>
    <w:link w:val="744"/>
    <w:rPr>
      <w:rFonts w:ascii="Times New Roman" w:hAnsi="Times New Roman" w:eastAsia="宋体" w:cs="Times New Roman"/>
      <w:b/>
      <w:bCs/>
      <w:sz w:val="24"/>
      <w:szCs w:val="24"/>
    </w:rPr>
  </w:style>
  <w:style w:type="character" w:styleId="932" w:customStyle="1">
    <w:name w:val="标题 8 字符"/>
    <w:link w:val="745"/>
    <w:rPr>
      <w:rFonts w:ascii="Arial" w:hAnsi="Arial" w:eastAsia="黑体" w:cs="Times New Roman"/>
      <w:sz w:val="24"/>
      <w:szCs w:val="24"/>
    </w:rPr>
  </w:style>
  <w:style w:type="character" w:styleId="933" w:customStyle="1">
    <w:name w:val="标题 9 字符"/>
    <w:link w:val="746"/>
    <w:rPr>
      <w:rFonts w:ascii="Arial" w:hAnsi="Arial" w:eastAsia="黑体" w:cs="Times New Roman"/>
      <w:szCs w:val="21"/>
    </w:rPr>
  </w:style>
  <w:style w:type="paragraph" w:styleId="934">
    <w:name w:val="Normal Indent"/>
    <w:basedOn w:val="737"/>
    <w:link w:val="935"/>
    <w:pPr>
      <w:ind w:firstLine="420"/>
    </w:pPr>
  </w:style>
  <w:style w:type="character" w:styleId="935" w:customStyle="1">
    <w:name w:val="正文缩进 字符"/>
    <w:link w:val="934"/>
    <w:rPr>
      <w:rFonts w:ascii="Times New Roman" w:hAnsi="Times New Roman" w:eastAsia="宋体" w:cs="Times New Roman"/>
      <w:szCs w:val="21"/>
    </w:rPr>
  </w:style>
  <w:style w:type="paragraph" w:styleId="936">
    <w:name w:val="List 3"/>
    <w:basedOn w:val="737"/>
    <w:pPr>
      <w:ind w:left="100" w:hanging="200"/>
    </w:pPr>
  </w:style>
  <w:style w:type="paragraph" w:styleId="937">
    <w:name w:val="Document Map"/>
    <w:basedOn w:val="737"/>
    <w:link w:val="938"/>
    <w:semiHidden/>
    <w:pPr>
      <w:shd w:val="clear" w:color="auto" w:fill="000080"/>
    </w:pPr>
  </w:style>
  <w:style w:type="character" w:styleId="938" w:customStyle="1">
    <w:name w:val="文档结构图 字符"/>
    <w:link w:val="937"/>
    <w:semiHidden/>
    <w:rPr>
      <w:rFonts w:ascii="Times New Roman" w:hAnsi="Times New Roman" w:eastAsia="宋体" w:cs="Times New Roman"/>
      <w:szCs w:val="21"/>
      <w:shd w:val="clear" w:color="auto" w:fill="000080"/>
    </w:rPr>
  </w:style>
  <w:style w:type="paragraph" w:styleId="939">
    <w:name w:val="annotation text"/>
    <w:basedOn w:val="737"/>
    <w:link w:val="940"/>
    <w:semiHidden/>
    <w:pPr>
      <w:jc w:val="left"/>
    </w:pPr>
  </w:style>
  <w:style w:type="character" w:styleId="940" w:customStyle="1">
    <w:name w:val="批注文字 字符"/>
    <w:link w:val="939"/>
    <w:semiHidden/>
    <w:rPr>
      <w:rFonts w:ascii="Times New Roman" w:hAnsi="Times New Roman" w:eastAsia="宋体" w:cs="Times New Roman"/>
      <w:szCs w:val="21"/>
    </w:rPr>
  </w:style>
  <w:style w:type="paragraph" w:styleId="941">
    <w:name w:val="Body Text 3"/>
    <w:basedOn w:val="737"/>
    <w:link w:val="942"/>
    <w:rPr>
      <w:rFonts w:ascii="仿宋_GB2312" w:hAnsi="Arial" w:eastAsia="仿宋_GB2312"/>
      <w:sz w:val="32"/>
      <w:szCs w:val="32"/>
    </w:rPr>
  </w:style>
  <w:style w:type="character" w:styleId="942" w:customStyle="1">
    <w:name w:val="正文文本 3 字符"/>
    <w:link w:val="941"/>
    <w:rPr>
      <w:rFonts w:ascii="仿宋_GB2312" w:hAnsi="Arial" w:eastAsia="仿宋_GB2312" w:cs="Times New Roman"/>
      <w:sz w:val="32"/>
      <w:szCs w:val="32"/>
    </w:rPr>
  </w:style>
  <w:style w:type="paragraph" w:styleId="943">
    <w:name w:val="Body Text"/>
    <w:basedOn w:val="737"/>
    <w:link w:val="944"/>
    <w:rPr>
      <w:rFonts w:ascii="楷体_GB2312" w:hAnsi="Arial" w:eastAsia="楷体_GB2312"/>
      <w:sz w:val="28"/>
      <w:szCs w:val="28"/>
    </w:rPr>
  </w:style>
  <w:style w:type="character" w:styleId="944" w:customStyle="1">
    <w:name w:val="正文文本 字符"/>
    <w:link w:val="943"/>
    <w:rPr>
      <w:rFonts w:ascii="楷体_GB2312" w:hAnsi="Arial" w:eastAsia="楷体_GB2312" w:cs="Times New Roman"/>
      <w:sz w:val="28"/>
      <w:szCs w:val="28"/>
    </w:rPr>
  </w:style>
  <w:style w:type="paragraph" w:styleId="945">
    <w:name w:val="Body Text Indent"/>
    <w:basedOn w:val="737"/>
    <w:link w:val="946"/>
    <w:pPr>
      <w:ind w:firstLine="645"/>
    </w:pPr>
    <w:rPr>
      <w:rFonts w:ascii="楷体_GB2312" w:eastAsia="楷体_GB2312"/>
      <w:sz w:val="32"/>
      <w:szCs w:val="32"/>
    </w:rPr>
  </w:style>
  <w:style w:type="character" w:styleId="946" w:customStyle="1">
    <w:name w:val="正文文本缩进 字符"/>
    <w:link w:val="945"/>
    <w:rPr>
      <w:rFonts w:ascii="楷体_GB2312" w:hAnsi="Times New Roman" w:eastAsia="楷体_GB2312" w:cs="Times New Roman"/>
      <w:sz w:val="32"/>
      <w:szCs w:val="32"/>
    </w:rPr>
  </w:style>
  <w:style w:type="paragraph" w:styleId="947">
    <w:name w:val="List 2"/>
    <w:basedOn w:val="737"/>
    <w:pPr>
      <w:ind w:left="100" w:hanging="200"/>
    </w:pPr>
  </w:style>
  <w:style w:type="paragraph" w:styleId="948">
    <w:name w:val="Plain Text"/>
    <w:basedOn w:val="737"/>
    <w:link w:val="949"/>
    <w:rPr>
      <w:rFonts w:ascii="宋体" w:hAnsi="Courier New" w:cs="Courier New"/>
    </w:rPr>
  </w:style>
  <w:style w:type="character" w:styleId="949" w:customStyle="1">
    <w:name w:val="纯文本 字符"/>
    <w:link w:val="948"/>
    <w:rPr>
      <w:rFonts w:ascii="宋体" w:hAnsi="Courier New" w:eastAsia="宋体" w:cs="Courier New"/>
      <w:szCs w:val="21"/>
    </w:rPr>
  </w:style>
  <w:style w:type="paragraph" w:styleId="950">
    <w:name w:val="Date"/>
    <w:basedOn w:val="737"/>
    <w:next w:val="737"/>
    <w:link w:val="951"/>
    <w:rPr>
      <w:sz w:val="24"/>
      <w:szCs w:val="24"/>
    </w:rPr>
  </w:style>
  <w:style w:type="character" w:styleId="951" w:customStyle="1">
    <w:name w:val="日期 字符"/>
    <w:link w:val="950"/>
    <w:rPr>
      <w:rFonts w:ascii="Times New Roman" w:hAnsi="Times New Roman" w:eastAsia="宋体" w:cs="Times New Roman"/>
      <w:sz w:val="24"/>
      <w:szCs w:val="24"/>
    </w:rPr>
  </w:style>
  <w:style w:type="paragraph" w:styleId="952">
    <w:name w:val="Body Text Indent 2"/>
    <w:basedOn w:val="737"/>
    <w:link w:val="953"/>
    <w:pPr>
      <w:ind w:left="630" w:firstLine="645"/>
    </w:pPr>
    <w:rPr>
      <w:rFonts w:ascii="Arial" w:hAnsi="Arial" w:eastAsia="仿宋_GB2312" w:cs="Arial"/>
      <w:sz w:val="32"/>
      <w:szCs w:val="32"/>
    </w:rPr>
  </w:style>
  <w:style w:type="character" w:styleId="953" w:customStyle="1">
    <w:name w:val="正文文本缩进 2 字符"/>
    <w:link w:val="952"/>
    <w:rPr>
      <w:rFonts w:ascii="Arial" w:hAnsi="Arial" w:eastAsia="仿宋_GB2312" w:cs="Arial"/>
      <w:sz w:val="32"/>
      <w:szCs w:val="32"/>
    </w:rPr>
  </w:style>
  <w:style w:type="paragraph" w:styleId="954">
    <w:name w:val="Balloon Text"/>
    <w:basedOn w:val="737"/>
    <w:link w:val="955"/>
    <w:semiHidden/>
    <w:rPr>
      <w:sz w:val="18"/>
      <w:szCs w:val="18"/>
    </w:rPr>
  </w:style>
  <w:style w:type="character" w:styleId="955" w:customStyle="1">
    <w:name w:val="批注框文本 字符"/>
    <w:link w:val="954"/>
    <w:semiHidden/>
    <w:rPr>
      <w:rFonts w:ascii="Times New Roman" w:hAnsi="Times New Roman" w:eastAsia="宋体" w:cs="Times New Roman"/>
      <w:sz w:val="18"/>
      <w:szCs w:val="18"/>
    </w:rPr>
  </w:style>
  <w:style w:type="character" w:styleId="956" w:customStyle="1">
    <w:name w:val="页脚 字符"/>
    <w:link w:val="761"/>
    <w:uiPriority w:val="99"/>
    <w:rPr>
      <w:rFonts w:ascii="Times New Roman" w:hAnsi="Times New Roman" w:eastAsia="宋体" w:cs="Times New Roman"/>
      <w:sz w:val="18"/>
      <w:szCs w:val="18"/>
    </w:rPr>
  </w:style>
  <w:style w:type="character" w:styleId="957" w:customStyle="1">
    <w:name w:val="页眉 字符"/>
    <w:link w:val="760"/>
    <w:rPr>
      <w:rFonts w:ascii="Times New Roman" w:hAnsi="Times New Roman" w:eastAsia="宋体" w:cs="Times New Roman"/>
      <w:sz w:val="18"/>
      <w:szCs w:val="18"/>
    </w:rPr>
  </w:style>
  <w:style w:type="paragraph" w:styleId="958">
    <w:name w:val="List"/>
    <w:basedOn w:val="737"/>
    <w:pPr>
      <w:ind w:left="200" w:hanging="200"/>
    </w:pPr>
  </w:style>
  <w:style w:type="paragraph" w:styleId="959">
    <w:name w:val="Body Text Indent 3"/>
    <w:basedOn w:val="737"/>
    <w:link w:val="960"/>
    <w:pPr>
      <w:ind w:left="645" w:firstLine="645"/>
    </w:pPr>
    <w:rPr>
      <w:rFonts w:ascii="Arial" w:hAnsi="Arial" w:eastAsia="仿宋_GB2312" w:cs="Arial"/>
      <w:color w:val="ffff00"/>
      <w:sz w:val="32"/>
      <w:szCs w:val="32"/>
    </w:rPr>
  </w:style>
  <w:style w:type="character" w:styleId="960" w:customStyle="1">
    <w:name w:val="正文文本缩进 3 字符"/>
    <w:link w:val="959"/>
    <w:rPr>
      <w:rFonts w:ascii="Arial" w:hAnsi="Arial" w:eastAsia="仿宋_GB2312" w:cs="Arial"/>
      <w:color w:val="ffff00"/>
      <w:sz w:val="32"/>
      <w:szCs w:val="32"/>
    </w:rPr>
  </w:style>
  <w:style w:type="paragraph" w:styleId="961">
    <w:name w:val="Body Text 2"/>
    <w:basedOn w:val="737"/>
    <w:link w:val="962"/>
    <w:pPr>
      <w:jc w:val="center"/>
      <w:widowControl/>
    </w:pPr>
    <w:rPr>
      <w:rFonts w:ascii="楷体_GB2312" w:eastAsia="楷体_GB2312"/>
      <w:sz w:val="28"/>
      <w:szCs w:val="28"/>
    </w:rPr>
  </w:style>
  <w:style w:type="character" w:styleId="962" w:customStyle="1">
    <w:name w:val="正文文本 2 字符"/>
    <w:link w:val="961"/>
    <w:rPr>
      <w:rFonts w:ascii="楷体_GB2312" w:hAnsi="Times New Roman" w:eastAsia="楷体_GB2312" w:cs="Times New Roman"/>
      <w:sz w:val="28"/>
      <w:szCs w:val="28"/>
    </w:rPr>
  </w:style>
  <w:style w:type="paragraph" w:styleId="963">
    <w:name w:val="Normal (Web)"/>
    <w:basedOn w:val="737"/>
    <w:uiPriority w:val="99"/>
    <w:pPr>
      <w:jc w:val="left"/>
      <w:spacing w:before="100" w:beforeAutospacing="1" w:after="100" w:afterAutospacing="1"/>
      <w:widowControl/>
    </w:pPr>
    <w:rPr>
      <w:rFonts w:ascii="宋体" w:hAnsi="宋体" w:cs="宋体"/>
      <w:sz w:val="24"/>
      <w:szCs w:val="24"/>
    </w:rPr>
  </w:style>
  <w:style w:type="paragraph" w:styleId="964">
    <w:name w:val="index 1"/>
    <w:basedOn w:val="737"/>
    <w:next w:val="737"/>
    <w:semiHidden/>
    <w:pPr>
      <w:spacing w:line="240" w:lineRule="atLeast"/>
    </w:pPr>
    <w:rPr>
      <w:b/>
      <w:bCs/>
    </w:rPr>
  </w:style>
  <w:style w:type="paragraph" w:styleId="965">
    <w:name w:val="annotation subject"/>
    <w:basedOn w:val="939"/>
    <w:next w:val="939"/>
    <w:link w:val="966"/>
    <w:semiHidden/>
    <w:rPr>
      <w:b/>
      <w:bCs/>
    </w:rPr>
  </w:style>
  <w:style w:type="character" w:styleId="966" w:customStyle="1">
    <w:name w:val="批注主题 字符"/>
    <w:link w:val="965"/>
    <w:semiHidden/>
    <w:rPr>
      <w:rFonts w:ascii="Times New Roman" w:hAnsi="Times New Roman" w:eastAsia="宋体" w:cs="Times New Roman"/>
      <w:b/>
      <w:bCs/>
      <w:szCs w:val="21"/>
    </w:rPr>
  </w:style>
  <w:style w:type="paragraph" w:styleId="967">
    <w:name w:val="Body Text First Indent"/>
    <w:basedOn w:val="737"/>
    <w:link w:val="968"/>
    <w:pPr>
      <w:ind w:firstLine="200"/>
      <w:spacing w:line="360" w:lineRule="auto"/>
    </w:pPr>
    <w:rPr>
      <w:rFonts w:ascii="仿宋_GB2312" w:eastAsia="仿宋_GB2312"/>
      <w:sz w:val="30"/>
      <w:szCs w:val="30"/>
    </w:rPr>
  </w:style>
  <w:style w:type="character" w:styleId="968" w:customStyle="1">
    <w:name w:val="正文文本首行缩进 字符"/>
    <w:link w:val="967"/>
    <w:rPr>
      <w:rFonts w:ascii="仿宋_GB2312" w:hAnsi="Times New Roman" w:eastAsia="仿宋_GB2312" w:cs="Times New Roman"/>
      <w:sz w:val="30"/>
      <w:szCs w:val="30"/>
    </w:rPr>
  </w:style>
  <w:style w:type="paragraph" w:styleId="969">
    <w:name w:val="Body Text First Indent 2"/>
    <w:basedOn w:val="945"/>
    <w:link w:val="970"/>
    <w:pPr>
      <w:ind w:firstLine="420"/>
      <w:spacing w:line="360" w:lineRule="auto"/>
    </w:pPr>
    <w:rPr>
      <w:rFonts w:ascii="宋体" w:hAnsi="宋体" w:eastAsia="宋体"/>
      <w:sz w:val="21"/>
      <w:szCs w:val="20"/>
    </w:rPr>
  </w:style>
  <w:style w:type="character" w:styleId="970" w:customStyle="1">
    <w:name w:val="正文文本首行缩进 2 字符"/>
    <w:link w:val="969"/>
    <w:rPr>
      <w:rFonts w:ascii="宋体" w:hAnsi="宋体" w:eastAsia="宋体" w:cs="Times New Roman"/>
      <w:sz w:val="32"/>
      <w:szCs w:val="20"/>
    </w:rPr>
  </w:style>
  <w:style w:type="character" w:styleId="971">
    <w:name w:val="Strong"/>
    <w:qFormat/>
    <w:rPr>
      <w:b/>
      <w:bCs/>
    </w:rPr>
  </w:style>
  <w:style w:type="character" w:styleId="972">
    <w:name w:val="page number"/>
  </w:style>
  <w:style w:type="character" w:styleId="973">
    <w:name w:val="FollowedHyperlink"/>
    <w:rPr>
      <w:color w:val="800080"/>
      <w:u w:val="single"/>
    </w:rPr>
  </w:style>
  <w:style w:type="character" w:styleId="974">
    <w:name w:val="annotation reference"/>
    <w:semiHidden/>
    <w:rPr>
      <w:sz w:val="21"/>
      <w:szCs w:val="21"/>
    </w:rPr>
  </w:style>
  <w:style w:type="character" w:styleId="975" w:customStyle="1">
    <w:name w:val="font5 Char"/>
    <w:rPr>
      <w:rFonts w:ascii="宋体" w:hAnsi="宋体" w:eastAsia="宋体"/>
      <w:sz w:val="28"/>
      <w:szCs w:val="28"/>
      <w:lang w:val="en-US" w:eastAsia="zh-CN" w:bidi="ar-SA"/>
    </w:rPr>
  </w:style>
  <w:style w:type="character" w:styleId="976" w:customStyle="1">
    <w:name w:val="二级目录 Char"/>
    <w:link w:val="977"/>
    <w:rPr>
      <w:b/>
      <w:sz w:val="30"/>
      <w:szCs w:val="28"/>
    </w:rPr>
  </w:style>
  <w:style w:type="paragraph" w:styleId="977" w:customStyle="1">
    <w:name w:val="二级目录"/>
    <w:next w:val="737"/>
    <w:link w:val="976"/>
    <w:pPr>
      <w:numPr>
        <w:numId w:val="2"/>
      </w:numPr>
      <w:tabs>
        <w:tab w:val="left" w:pos="907" w:leader="none"/>
        <w:tab w:val="left" w:pos="1145" w:leader="none"/>
      </w:tabs>
      <w:outlineLvl w:val="1"/>
    </w:pPr>
    <w:rPr>
      <w:b/>
      <w:sz w:val="30"/>
      <w:szCs w:val="28"/>
    </w:rPr>
  </w:style>
  <w:style w:type="character" w:styleId="978" w:customStyle="1">
    <w:name w:val="列出段落 Char"/>
    <w:link w:val="979"/>
    <w:rPr>
      <w:rFonts w:ascii="Calibri" w:hAnsi="Calibri"/>
      <w:sz w:val="24"/>
      <w:szCs w:val="24"/>
      <w:lang w:eastAsia="en-US" w:bidi="en-US"/>
    </w:rPr>
  </w:style>
  <w:style w:type="paragraph" w:styleId="979" w:customStyle="1">
    <w:name w:val="列出段落1"/>
    <w:basedOn w:val="737"/>
    <w:link w:val="978"/>
    <w:qFormat/>
    <w:pPr>
      <w:contextualSpacing/>
      <w:ind w:left="720"/>
      <w:jc w:val="left"/>
      <w:widowControl/>
    </w:pPr>
    <w:rPr>
      <w:rFonts w:ascii="Calibri" w:hAnsi="Calibri"/>
      <w:sz w:val="24"/>
      <w:szCs w:val="24"/>
      <w:lang w:eastAsia="en-US" w:bidi="en-US"/>
    </w:rPr>
  </w:style>
  <w:style w:type="paragraph" w:styleId="980" w:customStyle="1">
    <w:name w:val="Body Text(ch)"/>
    <w:basedOn w:val="737"/>
    <w:next w:val="943"/>
    <w:pPr>
      <w:spacing w:after="120"/>
    </w:pPr>
    <w:rPr>
      <w:rFonts w:ascii="宋体" w:hAnsi="Arial"/>
      <w:bCs/>
      <w:iCs/>
      <w:szCs w:val="24"/>
    </w:rPr>
  </w:style>
  <w:style w:type="paragraph" w:styleId="981" w:customStyle="1">
    <w:name w:val="xl27"/>
    <w:basedOn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6"/>
    <w:basedOn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w:basedOn w:val="937"/>
    <w:rPr>
      <w:rFonts w:ascii="Tahoma" w:hAnsi="Tahoma"/>
      <w:sz w:val="24"/>
      <w:szCs w:val="24"/>
    </w:rPr>
  </w:style>
  <w:style w:type="paragraph" w:styleId="984" w:customStyle="1">
    <w:name w:val="普通正文"/>
    <w:basedOn w:val="737"/>
    <w:qFormat/>
    <w:pPr>
      <w:ind w:firstLine="480"/>
      <w:jc w:val="left"/>
      <w:spacing w:before="120" w:after="120" w:line="360" w:lineRule="auto"/>
    </w:pPr>
    <w:rPr>
      <w:rFonts w:ascii="Arial" w:hAnsi="Arial"/>
      <w:sz w:val="24"/>
      <w:szCs w:val="24"/>
    </w:rPr>
  </w:style>
  <w:style w:type="paragraph" w:styleId="985" w:customStyle="1">
    <w:name w:val="table_lines"/>
    <w:basedOn w:val="737"/>
    <w:pPr>
      <w:jc w:val="left"/>
      <w:widowControl/>
    </w:pPr>
    <w:rPr>
      <w:sz w:val="20"/>
      <w:szCs w:val="20"/>
      <w:lang w:val="de-DE" w:eastAsia="de-DE"/>
    </w:rPr>
  </w:style>
  <w:style w:type="paragraph" w:styleId="986" w:customStyle="1">
    <w:name w:val="附录1"/>
    <w:pPr>
      <w:ind w:left="907" w:hanging="907"/>
      <w:spacing w:before="240" w:line="600" w:lineRule="atLeast"/>
      <w:tabs>
        <w:tab w:val="left" w:pos="907" w:leader="none"/>
      </w:tabs>
    </w:pPr>
    <w:rPr>
      <w:rFonts w:ascii="Times New Roman" w:hAnsi="Times New Roman"/>
      <w:b/>
      <w:i/>
      <w:sz w:val="28"/>
    </w:rPr>
  </w:style>
  <w:style w:type="paragraph" w:styleId="987" w:customStyle="1">
    <w:name w:val="font7"/>
    <w:basedOn w:val="737"/>
    <w:pPr>
      <w:jc w:val="left"/>
      <w:spacing w:before="100" w:beforeAutospacing="1" w:after="100" w:afterAutospacing="1"/>
      <w:widowControl/>
    </w:pPr>
    <w:rPr>
      <w:rFonts w:hint="eastAsia" w:ascii="宋体" w:hAnsi="宋体"/>
      <w:sz w:val="18"/>
      <w:szCs w:val="18"/>
    </w:rPr>
  </w:style>
  <w:style w:type="paragraph" w:styleId="988" w:customStyle="1">
    <w:name w:val="4"/>
    <w:basedOn w:val="737"/>
    <w:next w:val="959"/>
    <w:pPr>
      <w:ind w:firstLine="420"/>
      <w:spacing w:line="360" w:lineRule="auto"/>
    </w:pPr>
    <w:rPr>
      <w:color w:val="ff0000"/>
      <w:sz w:val="24"/>
      <w:szCs w:val="24"/>
    </w:rPr>
  </w:style>
  <w:style w:type="paragraph" w:styleId="989" w:customStyle="1">
    <w:name w:val="普通 (Web)"/>
    <w:basedOn w:val="737"/>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737"/>
    <w:pPr>
      <w:spacing w:line="360" w:lineRule="auto"/>
    </w:pPr>
    <w:rPr>
      <w:sz w:val="24"/>
      <w:szCs w:val="20"/>
    </w:rPr>
  </w:style>
  <w:style w:type="paragraph" w:styleId="991" w:customStyle="1">
    <w:name w:val="样式1"/>
    <w:basedOn w:val="737"/>
    <w:pPr>
      <w:numPr>
        <w:numId w:val="3"/>
      </w:numPr>
      <w:tabs>
        <w:tab w:val="left" w:pos="709" w:leader="none"/>
      </w:tabs>
    </w:pPr>
    <w:rPr>
      <w:rFonts w:ascii="宋体" w:hAnsi="宋体"/>
    </w:rPr>
  </w:style>
  <w:style w:type="paragraph" w:styleId="992" w:customStyle="1">
    <w:name w:val="font6"/>
    <w:basedOn w:val="737"/>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7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737"/>
    <w:next w:val="7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737"/>
    <w:next w:val="737"/>
    <w:pPr>
      <w:ind w:firstLine="624"/>
      <w:spacing w:line="590" w:lineRule="atLeast"/>
    </w:pPr>
    <w:rPr>
      <w:rFonts w:ascii="方正黑体_GBK" w:eastAsia="方正黑体_GBK"/>
      <w:sz w:val="32"/>
      <w:szCs w:val="32"/>
    </w:rPr>
  </w:style>
  <w:style w:type="paragraph" w:styleId="996" w:customStyle="1">
    <w:name w:val="xl24"/>
    <w:basedOn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7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xl28"/>
    <w:basedOn w:val="7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
    <w:basedOn w:val="737"/>
    <w:pPr>
      <w:jc w:val="left"/>
      <w:spacing w:after="160" w:line="240" w:lineRule="exact"/>
      <w:widowControl/>
    </w:pPr>
    <w:rPr>
      <w:rFonts w:ascii="Verdana" w:hAnsi="Verdana"/>
      <w:sz w:val="20"/>
      <w:szCs w:val="20"/>
      <w:lang w:eastAsia="en-US"/>
    </w:rPr>
  </w:style>
  <w:style w:type="paragraph" w:styleId="1000" w:customStyle="1">
    <w:name w:val="xl30"/>
    <w:basedOn w:val="737"/>
    <w:pPr>
      <w:jc w:val="center"/>
      <w:spacing w:before="100" w:beforeAutospacing="1" w:after="100" w:afterAutospacing="1"/>
      <w:widowControl/>
    </w:pPr>
    <w:rPr>
      <w:rFonts w:ascii="宋体" w:hAnsi="宋体"/>
      <w:b/>
      <w:bCs/>
      <w:sz w:val="36"/>
      <w:szCs w:val="36"/>
    </w:rPr>
  </w:style>
  <w:style w:type="paragraph" w:styleId="1001" w:customStyle="1">
    <w:name w:val="Char Char Char Char"/>
    <w:basedOn w:val="937"/>
    <w:pPr>
      <w:spacing w:line="360" w:lineRule="auto"/>
    </w:pPr>
    <w:rPr>
      <w:rFonts w:ascii="Tahoma" w:hAnsi="Tahoma"/>
      <w:sz w:val="24"/>
      <w:szCs w:val="24"/>
    </w:rPr>
  </w:style>
  <w:style w:type="paragraph" w:styleId="1002" w:customStyle="1">
    <w:name w:val="table_1stline"/>
    <w:basedOn w:val="737"/>
    <w:pPr>
      <w:jc w:val="left"/>
      <w:spacing w:before="120"/>
      <w:widowControl/>
    </w:pPr>
    <w:rPr>
      <w:bCs/>
      <w:sz w:val="20"/>
      <w:szCs w:val="20"/>
      <w:lang w:val="de-DE" w:eastAsia="de-DE"/>
    </w:rPr>
  </w:style>
  <w:style w:type="paragraph" w:styleId="1003" w:customStyle="1">
    <w:name w:val="font5"/>
    <w:basedOn w:val="737"/>
    <w:pPr>
      <w:jc w:val="left"/>
      <w:spacing w:before="100" w:beforeAutospacing="1" w:after="100" w:afterAutospacing="1"/>
      <w:widowControl/>
    </w:pPr>
    <w:rPr>
      <w:rFonts w:hint="eastAsia" w:ascii="宋体" w:hAnsi="宋体"/>
      <w:sz w:val="28"/>
      <w:szCs w:val="28"/>
    </w:rPr>
  </w:style>
  <w:style w:type="paragraph" w:styleId="1004" w:customStyle="1">
    <w:name w:val="标题1"/>
    <w:basedOn w:val="737"/>
    <w:next w:val="7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Revision"/>
    <w:uiPriority w:val="99"/>
    <w:semiHidden/>
    <w:rPr>
      <w:rFonts w:ascii="Times New Roman" w:hAnsi="Times New Roman"/>
      <w:sz w:val="21"/>
      <w:szCs w:val="21"/>
    </w:rPr>
  </w:style>
  <w:style w:type="character" w:styleId="1006">
    <w:name w:val="HTML Typewriter"/>
    <w:qFormat/>
    <w:rPr>
      <w:rFonts w:ascii="黑体" w:hAnsi="Courier New" w:eastAsia="黑体"/>
      <w:sz w:val="20"/>
    </w:rPr>
  </w:style>
  <w:style w:type="paragraph" w:styleId="1007" w:customStyle="1">
    <w:name w:val="文档正文"/>
    <w:basedOn w:val="737"/>
    <w:pPr>
      <w:ind w:firstLine="567"/>
      <w:spacing w:line="480" w:lineRule="atLeast"/>
    </w:pPr>
    <w:rPr>
      <w:rFonts w:ascii="仿宋_GB2312" w:eastAsia="仿宋_GB2312"/>
      <w:sz w:val="28"/>
      <w:szCs w:val="20"/>
    </w:rPr>
  </w:style>
  <w:style w:type="character" w:styleId="1008" w:customStyle="1">
    <w:name w:val="正文缩进 Char"/>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8</cp:revision>
  <dcterms:created xsi:type="dcterms:W3CDTF">2025-08-02T09:50:00Z</dcterms:created>
  <dcterms:modified xsi:type="dcterms:W3CDTF">2025-08-08T05:04:53Z</dcterms:modified>
  <cp:version>917504</cp:version>
</cp:coreProperties>
</file>