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spacing w:before="120" w:beforeAutospacing="0" w:after="120" w:afterAutospacing="0" w:line="360" w:lineRule="auto"/>
        <w:rPr>
          <w:color w:val="auto"/>
          <w:highlight w:val="none"/>
        </w:rPr>
      </w:pPr>
      <w:r>
        <w:rPr>
          <w:color w:val="auto"/>
          <w:highlight w:val="none"/>
        </w:rPr>
        <w:t xml:space="preserve"> </w:t>
      </w:r>
      <w:r/>
    </w:p>
    <w:p>
      <w:pPr>
        <w:pStyle w:val="864"/>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864"/>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864"/>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64"/>
        <w:ind w:left="-630" w:right="-630"/>
        <w:keepLines w:val="0"/>
        <w:keepNext w:val="0"/>
        <w:pageBreakBefore w:val="0"/>
        <w:spacing w:before="120" w:beforeAutospacing="0" w:after="120" w:afterAutospacing="0" w:line="360" w:lineRule="auto"/>
        <w:widowControl w:val="off"/>
        <w:rPr>
          <w:rFonts w:hint="eastAsia" w:ascii="Arial" w:hAnsi="Arial" w:cs="Arial"/>
          <w:b/>
          <w:color w:val="auto"/>
          <w:sz w:val="32"/>
          <w:szCs w:val="32"/>
          <w:highlight w:val="none"/>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rPr>
        <w:t xml:space="preserve">东台市富安镇农村人居环境“六位一体”长效管护项目</w:t>
      </w:r>
      <w:r/>
    </w:p>
    <w:p>
      <w:pPr>
        <w:pStyle w:val="864"/>
        <w:ind w:left="-630" w:right="-630"/>
        <w:jc w:val="center"/>
        <w:keepLines w:val="0"/>
        <w:keepNext w:val="0"/>
        <w:pageBreakBefore w:val="0"/>
        <w:spacing w:before="120" w:beforeAutospacing="0" w:after="120" w:afterAutospacing="0" w:line="360" w:lineRule="auto"/>
        <w:widowControl w:val="off"/>
        <w:rPr>
          <w:color w:val="auto"/>
          <w:highlight w:val="none"/>
        </w:rPr>
      </w:pPr>
      <w:r>
        <w:rPr>
          <w:rFonts w:ascii="Times New Roman" w:hAnsi="Times New Roman"/>
          <w:b/>
          <w:color w:val="auto"/>
          <w:sz w:val="32"/>
          <w:szCs w:val="32"/>
          <w:highlight w:val="none"/>
        </w:rPr>
        <w:t xml:space="preserve">项目编号：</w:t>
      </w:r>
      <w:r>
        <w:rPr>
          <w:rFonts w:ascii="Times New Roman" w:hAnsi="Times New Roman"/>
          <w:b/>
          <w:color w:val="auto"/>
          <w:sz w:val="32"/>
          <w:szCs w:val="32"/>
          <w:highlight w:val="none"/>
        </w:rPr>
        <w:fldChar w:fldCharType="begin"/>
      </w:r>
      <w:r>
        <w:rPr>
          <w:rFonts w:ascii="Times New Roman" w:hAnsi="Times New Roman"/>
          <w:b/>
          <w:color w:val="auto"/>
          <w:sz w:val="32"/>
          <w:szCs w:val="32"/>
          <w:highlight w:val="none"/>
        </w:rPr>
        <w:instrText xml:space="preserve"> HYPERLINK "http://jszfcg.jsczt.cn/jszc/wf/plan/detail/d859615d978d4f2999fbb19963910c2f" \o "点击查看" </w:instrText>
      </w:r>
      <w:r>
        <w:rPr>
          <w:rFonts w:ascii="Times New Roman" w:hAnsi="Times New Roman"/>
          <w:b/>
          <w:color w:val="auto"/>
          <w:sz w:val="32"/>
          <w:szCs w:val="32"/>
          <w:highlight w:val="none"/>
        </w:rPr>
        <w:fldChar w:fldCharType="separate"/>
      </w:r>
      <w:r>
        <w:rPr>
          <w:rFonts w:hint="eastAsia" w:ascii="Times New Roman" w:hAnsi="Times New Roman"/>
          <w:b/>
          <w:color w:val="auto"/>
          <w:sz w:val="32"/>
          <w:szCs w:val="32"/>
          <w:highlight w:val="none"/>
          <w:lang w:eastAsia="zh-CN"/>
        </w:rPr>
        <w:t xml:space="preserve">JSZC-320981-HJGC-G2024-0010</w:t>
      </w:r>
      <w:r>
        <w:rPr>
          <w:rFonts w:hint="default" w:ascii="Times New Roman" w:hAnsi="Times New Roman"/>
          <w:b/>
          <w:color w:val="auto"/>
          <w:sz w:val="32"/>
          <w:szCs w:val="32"/>
          <w:highlight w:val="none"/>
        </w:rPr>
        <w:fldChar w:fldCharType="end"/>
      </w:r>
      <w:r/>
    </w:p>
    <w:p>
      <w:pPr>
        <w:pStyle w:val="864"/>
        <w:spacing w:beforeAutospacing="0" w:afterAutospacing="0" w:line="360" w:lineRule="auto"/>
        <w:rPr>
          <w:color w:val="auto"/>
          <w:highlight w:val="none"/>
        </w:rPr>
      </w:pPr>
      <w:r>
        <w:rPr>
          <w:color w:val="auto"/>
          <w:highlight w:val="none"/>
        </w:rPr>
        <w:t xml:space="preserve"> </w:t>
      </w:r>
      <w:r/>
    </w:p>
    <w:p>
      <w:pPr>
        <w:pStyle w:val="864"/>
        <w:spacing w:beforeAutospacing="0" w:afterAutospacing="0" w:line="360" w:lineRule="auto"/>
        <w:rPr>
          <w:color w:val="auto"/>
          <w:highlight w:val="none"/>
        </w:rPr>
      </w:pPr>
      <w:r>
        <w:rPr>
          <w:color w:val="auto"/>
          <w:highlight w:val="none"/>
        </w:rPr>
        <w:t xml:space="preserve"> </w:t>
      </w:r>
      <w:r/>
    </w:p>
    <w:p>
      <w:pPr>
        <w:pStyle w:val="864"/>
        <w:spacing w:beforeAutospacing="0" w:afterAutospacing="0" w:line="360" w:lineRule="auto"/>
        <w:rPr>
          <w:color w:val="auto"/>
          <w:highlight w:val="none"/>
        </w:rPr>
      </w:pPr>
      <w:r>
        <w:rPr>
          <w:color w:val="auto"/>
          <w:highlight w:val="none"/>
        </w:rPr>
        <w:t xml:space="preserve"> </w:t>
      </w:r>
      <w:r/>
    </w:p>
    <w:p>
      <w:pPr>
        <w:pStyle w:val="864"/>
        <w:spacing w:beforeAutospacing="0" w:afterAutospacing="0" w:line="360" w:lineRule="auto"/>
        <w:rPr>
          <w:color w:val="auto"/>
          <w:highlight w:val="none"/>
        </w:rPr>
      </w:pPr>
      <w:r>
        <w:rPr>
          <w:color w:val="auto"/>
          <w:highlight w:val="none"/>
        </w:rPr>
        <w:t xml:space="preserve"> </w:t>
      </w:r>
      <w:r/>
    </w:p>
    <w:p>
      <w:pPr>
        <w:pStyle w:val="864"/>
        <w:spacing w:beforeAutospacing="0" w:afterAutospacing="0" w:line="360" w:lineRule="auto"/>
        <w:rPr>
          <w:color w:val="auto"/>
          <w:highlight w:val="none"/>
        </w:rPr>
      </w:pPr>
      <w:r>
        <w:rPr>
          <w:color w:val="auto"/>
          <w:highlight w:val="none"/>
        </w:rPr>
        <w:t xml:space="preserve"> </w:t>
      </w:r>
      <w:r/>
    </w:p>
    <w:p>
      <w:pPr>
        <w:pStyle w:val="864"/>
        <w:spacing w:beforeAutospacing="0" w:afterAutospacing="0" w:line="360" w:lineRule="auto"/>
        <w:rPr>
          <w:color w:val="auto"/>
          <w:highlight w:val="none"/>
        </w:rPr>
      </w:pPr>
      <w:r>
        <w:rPr>
          <w:color w:val="auto"/>
          <w:highlight w:val="none"/>
        </w:rPr>
        <w:t xml:space="preserve"> </w:t>
      </w:r>
      <w:r/>
    </w:p>
    <w:p>
      <w:pPr>
        <w:pStyle w:val="864"/>
        <w:spacing w:beforeAutospacing="0" w:afterAutospacing="0" w:line="360" w:lineRule="auto"/>
        <w:rPr>
          <w:color w:val="auto"/>
          <w:highlight w:val="none"/>
        </w:rPr>
      </w:pPr>
      <w:r>
        <w:rPr>
          <w:color w:val="auto"/>
          <w:highlight w:val="none"/>
        </w:rPr>
      </w:r>
      <w:r/>
    </w:p>
    <w:p>
      <w:pPr>
        <w:pStyle w:val="864"/>
        <w:spacing w:beforeAutospacing="0" w:afterAutospacing="0" w:line="360" w:lineRule="auto"/>
        <w:rPr>
          <w:color w:val="auto"/>
          <w:highlight w:val="none"/>
        </w:rPr>
      </w:pPr>
      <w:r>
        <w:rPr>
          <w:color w:val="auto"/>
          <w:highlight w:val="none"/>
        </w:rPr>
        <w:t xml:space="preserve"> </w:t>
      </w:r>
      <w:r/>
    </w:p>
    <w:p>
      <w:pPr>
        <w:pStyle w:val="864"/>
        <w:jc w:val="center"/>
        <w:spacing w:before="120" w:beforeAutospacing="0" w:after="120" w:afterAutospacing="0" w:line="360" w:lineRule="auto"/>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：东台市富安镇人民政府</w:t>
      </w:r>
      <w:r/>
    </w:p>
    <w:p>
      <w:pPr>
        <w:pStyle w:val="864"/>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32"/>
          <w:szCs w:val="32"/>
          <w:highlight w:val="none"/>
          <w:lang w:val="en-US" w:eastAsia="zh-CN"/>
        </w:rPr>
        <w:t xml:space="preserve">采购代理机构：江苏宏建工程建设咨询有限公司</w:t>
      </w:r>
      <w:r/>
    </w:p>
    <w:p>
      <w:pPr>
        <w:pStyle w:val="864"/>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u w:val="single"/>
          <w:lang w:val="en-US" w:eastAsia="zh-CN"/>
        </w:rPr>
        <w:t xml:space="preserve"> 2024</w:t>
      </w:r>
      <w:r>
        <w:rPr>
          <w:rFonts w:ascii="Arial" w:hAnsi="Arial" w:cs="Arial"/>
          <w:b/>
          <w:color w:val="auto"/>
          <w:sz w:val="32"/>
          <w:szCs w:val="32"/>
          <w:highlight w:val="none"/>
        </w:rPr>
        <w:t xml:space="preserve">年</w:t>
      </w:r>
      <w:r>
        <w:rPr>
          <w:rFonts w:hint="eastAsia" w:ascii="Arial" w:hAnsi="Arial" w:cs="Arial"/>
          <w:b/>
          <w:color w:val="auto"/>
          <w:sz w:val="32"/>
          <w:szCs w:val="32"/>
          <w:highlight w:val="none"/>
          <w:u w:val="single"/>
          <w:lang w:val="en-US" w:eastAsia="zh-CN"/>
        </w:rPr>
        <w:t xml:space="preserve"> 8</w:t>
      </w:r>
      <w:r>
        <w:rPr>
          <w:rFonts w:ascii="Arial" w:hAnsi="Arial" w:cs="Arial"/>
          <w:b/>
          <w:color w:val="auto"/>
          <w:sz w:val="32"/>
          <w:szCs w:val="32"/>
          <w:highlight w:val="none"/>
        </w:rPr>
        <w:t xml:space="preserve">月</w:t>
      </w:r>
      <w:r>
        <w:rPr>
          <w:rFonts w:hint="eastAsia" w:ascii="Arial" w:hAnsi="Arial" w:cs="Arial"/>
          <w:b/>
          <w:color w:val="auto"/>
          <w:sz w:val="32"/>
          <w:szCs w:val="32"/>
          <w:highlight w:val="none"/>
          <w:u w:val="single"/>
          <w:lang w:val="en-US" w:eastAsia="zh-CN"/>
        </w:rPr>
        <w:t xml:space="preserve">21</w:t>
      </w:r>
      <w:r>
        <w:rPr>
          <w:rFonts w:ascii="Arial" w:hAnsi="Arial" w:cs="Arial"/>
          <w:b/>
          <w:color w:val="auto"/>
          <w:sz w:val="32"/>
          <w:szCs w:val="32"/>
          <w:highlight w:val="none"/>
        </w:rPr>
        <w:t xml:space="preserve">日</w:t>
      </w:r>
      <w:r/>
    </w:p>
    <w:p>
      <w:pPr>
        <w:pStyle w:val="864"/>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864"/>
        <w:jc w:val="center"/>
        <w:spacing w:before="120" w:beforeAutospacing="0" w:after="120" w:afterAutospacing="0" w:line="360" w:lineRule="auto"/>
        <w:rPr>
          <w:color w:val="auto"/>
          <w:highlight w:val="none"/>
        </w:rPr>
      </w:pPr>
      <w:r>
        <w:rPr>
          <w:color w:val="auto"/>
          <w:highlight w:val="none"/>
        </w:rPr>
        <w:t xml:space="preserve"> </w:t>
      </w:r>
      <w:r/>
    </w:p>
    <w:p>
      <w:pPr>
        <w:pStyle w:val="864"/>
        <w:jc w:val="center"/>
        <w:spacing w:beforeAutospacing="0" w:afterAutospacing="0" w:line="480" w:lineRule="auto"/>
        <w:rPr>
          <w:rFonts w:ascii="Times New Roman" w:hAnsi="Times New Roman"/>
          <w:color w:val="auto"/>
          <w:sz w:val="21"/>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auto"/>
          <w:sz w:val="21"/>
          <w:szCs w:val="21"/>
          <w:highlight w:val="none"/>
        </w:rPr>
      </w:r>
      <w:r/>
    </w:p>
    <w:p>
      <w:pPr>
        <w:pStyle w:val="864"/>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513029200"/>
      <w:r/>
      <w:bookmarkStart w:id="1" w:name="_Toc479757206"/>
      <w:r/>
      <w:bookmarkStart w:id="2" w:name="_Toc120614210"/>
      <w:r/>
      <w:bookmarkStart w:id="3" w:name="_Toc20823272"/>
      <w:r/>
      <w:bookmarkStart w:id="4" w:name="_Toc523127445"/>
      <w:r/>
      <w:bookmarkStart w:id="5" w:name="_Toc16938516"/>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64"/>
        <w:jc w:val="both"/>
        <w:spacing w:beforeAutospacing="0" w:afterAutospacing="0" w:line="480" w:lineRule="auto"/>
        <w:rPr>
          <w:color w:val="auto"/>
          <w:highlight w:val="none"/>
        </w:rPr>
      </w:pPr>
      <w:r>
        <w:rPr>
          <w:color w:val="auto"/>
          <w:highlight w:val="none"/>
        </w:rPr>
        <w:t xml:space="preserve"> </w:t>
      </w:r>
      <w:r/>
    </w:p>
    <w:p>
      <w:pPr>
        <w:pStyle w:val="86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01</w:t>
      </w:r>
      <w:r>
        <w:rPr>
          <w:rFonts w:hint="eastAsia" w:ascii="黑体" w:hAnsi="宋体" w:eastAsia="黑体" w:cs="黑体"/>
          <w:color w:val="auto"/>
          <w:sz w:val="36"/>
          <w:szCs w:val="36"/>
          <w:highlight w:val="none"/>
        </w:rPr>
        <w:t xml:space="preserve"> </w:t>
      </w:r>
      <w:r/>
    </w:p>
    <w:p>
      <w:pPr>
        <w:pStyle w:val="86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06</w:t>
      </w:r>
      <w:r>
        <w:rPr>
          <w:rFonts w:hint="eastAsia" w:ascii="黑体" w:hAnsi="宋体" w:eastAsia="黑体" w:cs="黑体"/>
          <w:color w:val="auto"/>
          <w:sz w:val="36"/>
          <w:szCs w:val="36"/>
          <w:highlight w:val="none"/>
        </w:rPr>
        <w:t xml:space="preserve">  </w:t>
      </w:r>
      <w:r/>
    </w:p>
    <w:p>
      <w:pPr>
        <w:pStyle w:val="864"/>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18</w:t>
      </w:r>
      <w:r/>
    </w:p>
    <w:p>
      <w:pPr>
        <w:pStyle w:val="864"/>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26</w:t>
      </w:r>
      <w:r/>
    </w:p>
    <w:p>
      <w:pPr>
        <w:pStyle w:val="864"/>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38</w:t>
      </w:r>
      <w:r/>
    </w:p>
    <w:p>
      <w:pPr>
        <w:pStyle w:val="864"/>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42</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center"/>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864"/>
        <w:ind w:firstLine="480"/>
        <w:jc w:val="both"/>
        <w:spacing w:beforeAutospacing="0" w:afterAutospacing="0"/>
        <w:rPr>
          <w:rFonts w:hint="eastAsia" w:ascii="仿宋" w:hAnsi="仿宋" w:eastAsia="仿宋" w:cs="仿宋"/>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8"/>
          <w:szCs w:val="28"/>
          <w:highlight w:val="none"/>
        </w:rPr>
        <w:t xml:space="preserve">项目概况</w:t>
      </w:r>
      <w:r/>
    </w:p>
    <w:p>
      <w:pPr>
        <w:pStyle w:val="864"/>
        <w:ind w:firstLine="480"/>
        <w:jc w:val="both"/>
        <w:spacing w:beforeAutospacing="0" w:afterAutospacing="0"/>
        <w:rPr>
          <w:rFonts w:hint="eastAsia" w:ascii="仿宋" w:hAnsi="仿宋" w:eastAsia="仿宋" w:cs="仿宋"/>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8"/>
          <w:szCs w:val="28"/>
          <w:highlight w:val="none"/>
          <w:u w:val="single"/>
          <w:lang w:val="en-US" w:eastAsia="zh-CN" w:bidi="ar-SA"/>
        </w:rPr>
        <w:t xml:space="preserve">东台市富安镇农村人居环境“六位一体”长效管护项目</w:t>
      </w:r>
      <w:r>
        <w:rPr>
          <w:rFonts w:hint="eastAsia" w:ascii="仿宋" w:hAnsi="仿宋" w:eastAsia="仿宋" w:cs="仿宋"/>
          <w:color w:val="auto"/>
          <w:sz w:val="28"/>
          <w:szCs w:val="28"/>
          <w:highlight w:val="none"/>
        </w:rPr>
        <w:t xml:space="preserve">招标项目的潜在投标人可在</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u w:val="single"/>
          <w:lang w:val="en-US" w:eastAsia="zh-CN" w:bidi="ar-SA"/>
        </w:rPr>
        <w:t xml:space="preserve">中国政府采购网</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“江苏政府采购网、盐城市政府采购网”</w:t>
      </w:r>
      <w:r>
        <w:rPr>
          <w:rFonts w:hint="eastAsia" w:ascii="仿宋" w:hAnsi="仿宋" w:eastAsia="仿宋" w:cs="仿宋"/>
          <w:color w:val="auto"/>
          <w:sz w:val="28"/>
          <w:szCs w:val="28"/>
          <w:highlight w:val="none"/>
          <w:lang w:val="en-US" w:eastAsia="zh-CN"/>
        </w:rPr>
        <w:t xml:space="preserve">获取</w:t>
      </w:r>
      <w:r>
        <w:rPr>
          <w:rFonts w:hint="eastAsia" w:ascii="仿宋" w:hAnsi="仿宋" w:eastAsia="仿宋" w:cs="仿宋"/>
          <w:color w:val="auto"/>
          <w:sz w:val="28"/>
          <w:szCs w:val="28"/>
          <w:highlight w:val="none"/>
        </w:rPr>
        <w:t xml:space="preserve">招标文件，并于</w:t>
      </w:r>
      <w:r>
        <w:rPr>
          <w:rFonts w:hint="eastAsia" w:ascii="仿宋" w:hAnsi="仿宋" w:eastAsia="仿宋" w:cs="仿宋"/>
          <w:color w:val="auto"/>
          <w:sz w:val="28"/>
          <w:szCs w:val="28"/>
          <w:highlight w:val="none"/>
          <w:u w:val="single"/>
          <w:lang w:val="en-US" w:eastAsia="zh-CN"/>
        </w:rPr>
        <w:t xml:space="preserve">2024</w:t>
      </w:r>
      <w:r>
        <w:rPr>
          <w:rFonts w:hint="eastAsia" w:ascii="仿宋" w:hAnsi="仿宋" w:eastAsia="仿宋" w:cs="仿宋"/>
          <w:color w:val="auto"/>
          <w:sz w:val="28"/>
          <w:szCs w:val="28"/>
          <w:highlight w:val="none"/>
          <w:u w:val="single"/>
        </w:rPr>
        <w:t xml:space="preserve">年</w:t>
      </w:r>
      <w:r>
        <w:rPr>
          <w:rFonts w:hint="eastAsia" w:ascii="仿宋" w:hAnsi="仿宋" w:eastAsia="仿宋" w:cs="仿宋"/>
          <w:color w:val="auto"/>
          <w:sz w:val="28"/>
          <w:szCs w:val="28"/>
          <w:highlight w:val="none"/>
          <w:u w:val="single"/>
          <w:lang w:val="en-US" w:eastAsia="zh-CN"/>
        </w:rPr>
        <w:t xml:space="preserve">9</w:t>
      </w:r>
      <w:r>
        <w:rPr>
          <w:rFonts w:hint="eastAsia" w:ascii="仿宋" w:hAnsi="仿宋" w:eastAsia="仿宋" w:cs="仿宋"/>
          <w:color w:val="auto"/>
          <w:sz w:val="28"/>
          <w:szCs w:val="28"/>
          <w:highlight w:val="none"/>
          <w:u w:val="single"/>
        </w:rPr>
        <w:t xml:space="preserve">月</w:t>
      </w:r>
      <w:r>
        <w:rPr>
          <w:rFonts w:hint="eastAsia" w:ascii="仿宋" w:hAnsi="仿宋" w:eastAsia="仿宋" w:cs="仿宋"/>
          <w:color w:val="auto"/>
          <w:sz w:val="28"/>
          <w:szCs w:val="28"/>
          <w:highlight w:val="none"/>
          <w:u w:val="single"/>
          <w:lang w:val="en-US" w:eastAsia="zh-CN"/>
        </w:rPr>
        <w:t xml:space="preserve">11</w:t>
      </w:r>
      <w:r>
        <w:rPr>
          <w:rFonts w:hint="eastAsia" w:ascii="仿宋" w:hAnsi="仿宋" w:eastAsia="仿宋" w:cs="仿宋"/>
          <w:color w:val="auto"/>
          <w:sz w:val="28"/>
          <w:szCs w:val="28"/>
          <w:highlight w:val="none"/>
          <w:u w:val="single"/>
        </w:rPr>
        <w:t xml:space="preserve">日</w:t>
      </w:r>
      <w:r>
        <w:rPr>
          <w:rFonts w:hint="eastAsia" w:ascii="仿宋" w:hAnsi="仿宋" w:eastAsia="仿宋" w:cs="仿宋"/>
          <w:color w:val="auto"/>
          <w:sz w:val="28"/>
          <w:szCs w:val="28"/>
          <w:highlight w:val="none"/>
          <w:u w:val="single"/>
          <w:lang w:val="en-US" w:eastAsia="zh-CN"/>
        </w:rPr>
        <w:t xml:space="preserve">9</w:t>
      </w:r>
      <w:r>
        <w:rPr>
          <w:rFonts w:hint="eastAsia" w:ascii="仿宋" w:hAnsi="仿宋" w:eastAsia="仿宋" w:cs="仿宋"/>
          <w:color w:val="auto"/>
          <w:sz w:val="28"/>
          <w:szCs w:val="28"/>
          <w:highlight w:val="none"/>
          <w:u w:val="single"/>
        </w:rPr>
        <w:t xml:space="preserve">点</w:t>
      </w:r>
      <w:r>
        <w:rPr>
          <w:rFonts w:hint="eastAsia" w:ascii="仿宋" w:hAnsi="仿宋" w:eastAsia="仿宋" w:cs="仿宋"/>
          <w:color w:val="auto"/>
          <w:sz w:val="28"/>
          <w:szCs w:val="28"/>
          <w:highlight w:val="none"/>
          <w:u w:val="single"/>
          <w:lang w:val="en-US" w:eastAsia="zh-CN"/>
        </w:rPr>
        <w:t xml:space="preserve">00</w:t>
      </w:r>
      <w:r>
        <w:rPr>
          <w:rFonts w:hint="eastAsia" w:ascii="仿宋" w:hAnsi="仿宋" w:eastAsia="仿宋" w:cs="仿宋"/>
          <w:color w:val="auto"/>
          <w:sz w:val="28"/>
          <w:szCs w:val="28"/>
          <w:highlight w:val="none"/>
          <w:u w:val="single"/>
        </w:rPr>
        <w:t xml:space="preserve">分（</w:t>
      </w:r>
      <w:r>
        <w:rPr>
          <w:rFonts w:hint="eastAsia" w:ascii="仿宋" w:hAnsi="仿宋" w:eastAsia="仿宋" w:cs="仿宋"/>
          <w:color w:val="auto"/>
          <w:sz w:val="28"/>
          <w:szCs w:val="28"/>
          <w:highlight w:val="none"/>
        </w:rPr>
        <w:t xml:space="preserve">北京时间）前递交投标文件。</w:t>
      </w:r>
      <w:r/>
    </w:p>
    <w:p>
      <w:pPr>
        <w:pStyle w:val="864"/>
        <w:ind w:firstLine="498"/>
        <w:jc w:val="both"/>
        <w:keepLines/>
        <w:keepNext/>
        <w:spacing w:before="145" w:beforeAutospacing="0" w:after="145" w:afterAutospacing="0" w:line="360" w:lineRule="auto"/>
        <w:rPr>
          <w:color w:val="auto"/>
          <w:highlight w:val="none"/>
        </w:rPr>
      </w:pPr>
      <w:r/>
      <w:bookmarkStart w:id="6" w:name="_Toc35393790"/>
      <w:r/>
      <w:bookmarkStart w:id="7" w:name="_Toc28359002"/>
      <w:r/>
      <w:bookmarkStart w:id="8" w:name="_Toc35393621"/>
      <w:r/>
      <w:bookmarkStart w:id="9" w:name="_Toc38985263"/>
      <w:r/>
      <w:bookmarkStart w:id="10" w:name="_Hlk24379207"/>
      <w:r/>
      <w:bookmarkStart w:id="11" w:name="_Toc28359079"/>
      <w:r>
        <w:rPr>
          <w:rFonts w:ascii="Times New Roman" w:hAnsi="Times New Roman"/>
          <w:b/>
          <w:color w:val="auto"/>
          <w:sz w:val="32"/>
          <w:szCs w:val="32"/>
          <w:highlight w:val="none"/>
        </w:rPr>
        <w:t xml:space="preserve">一、项目基本情况</w:t>
      </w:r>
      <w:bookmarkEnd w:id="6"/>
      <w:r/>
      <w:bookmarkEnd w:id="7"/>
      <w:r/>
      <w:bookmarkEnd w:id="8"/>
      <w:r/>
      <w:bookmarkEnd w:id="9"/>
      <w:r/>
      <w:bookmarkEnd w:id="10"/>
      <w:r/>
      <w:bookmarkEnd w:id="11"/>
      <w:r/>
      <w:r/>
    </w:p>
    <w:p>
      <w:pPr>
        <w:pStyle w:val="864"/>
        <w:ind w:firstLine="480"/>
        <w:jc w:val="both"/>
        <w:spacing w:beforeAutospacing="0" w:afterAutospacing="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1.项目编号：</w:t>
      </w:r>
      <w:r>
        <w:rPr>
          <w:rFonts w:hint="eastAsia" w:ascii="仿宋" w:hAnsi="仿宋" w:eastAsia="仿宋" w:cs="仿宋"/>
          <w:color w:val="auto"/>
          <w:sz w:val="28"/>
          <w:szCs w:val="28"/>
          <w:highlight w:val="none"/>
          <w:u w:val="single"/>
          <w:lang w:eastAsia="zh-CN"/>
        </w:rPr>
        <w:t xml:space="preserve">JSZC-320981-HJGC-G2024-0010</w:t>
      </w:r>
      <w:r/>
    </w:p>
    <w:p>
      <w:pPr>
        <w:pStyle w:val="864"/>
        <w:ind w:firstLine="480"/>
        <w:jc w:val="both"/>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2.项目名称：</w:t>
      </w:r>
      <w:r>
        <w:rPr>
          <w:rFonts w:hint="eastAsia" w:ascii="仿宋" w:hAnsi="仿宋" w:eastAsia="仿宋" w:cs="仿宋"/>
          <w:color w:val="auto"/>
          <w:sz w:val="28"/>
          <w:szCs w:val="28"/>
          <w:highlight w:val="none"/>
          <w:u w:val="single"/>
        </w:rPr>
        <w:t xml:space="preserve">东台市富安镇农村人居环境“六位一体”长效管护项目</w:t>
      </w:r>
      <w:r/>
    </w:p>
    <w:p>
      <w:pPr>
        <w:pStyle w:val="864"/>
        <w:ind w:firstLine="480"/>
        <w:jc w:val="both"/>
        <w:spacing w:beforeAutospacing="0" w:afterAutospacing="0"/>
        <w:rPr>
          <w:rFonts w:hint="eastAsia" w:ascii="仿宋" w:hAnsi="仿宋" w:eastAsia="仿宋" w:cs="仿宋"/>
          <w:color w:val="auto"/>
          <w:sz w:val="28"/>
          <w:szCs w:val="28"/>
          <w:highlight w:val="none"/>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w:t>
      </w:r>
      <w:r>
        <w:rPr>
          <w:rFonts w:hint="eastAsia" w:ascii="仿宋" w:hAnsi="仿宋" w:eastAsia="仿宋" w:cs="仿宋"/>
          <w:i w:val="0"/>
          <w:iCs w:val="0"/>
          <w:caps w:val="0"/>
          <w:color w:val="auto"/>
          <w:spacing w:val="0"/>
          <w:sz w:val="28"/>
          <w:szCs w:val="28"/>
          <w:highlight w:val="none"/>
          <w:shd w:val="clear" w:color="auto" w:fill="ffffff"/>
        </w:rPr>
        <w:t xml:space="preserve">采购方式：</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公开招标</w:t>
      </w:r>
      <w:r/>
    </w:p>
    <w:p>
      <w:pPr>
        <w:pStyle w:val="864"/>
        <w:ind w:firstLine="480"/>
        <w:jc w:val="both"/>
        <w:spacing w:beforeAutospacing="0" w:afterAutospacing="0"/>
        <w:rPr>
          <w:rFonts w:hint="eastAsia" w:ascii="仿宋" w:hAnsi="仿宋" w:eastAsia="仿宋" w:cs="仿宋"/>
          <w:color w:val="auto"/>
          <w:sz w:val="28"/>
          <w:szCs w:val="28"/>
          <w:highlight w:val="none"/>
          <w:shd w:val="clear" w:color="auto" w:fill="ffff00"/>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.预算金额：</w:t>
      </w:r>
      <w:r>
        <w:rPr>
          <w:rFonts w:hint="eastAsia" w:ascii="仿宋" w:hAnsi="仿宋" w:eastAsia="仿宋" w:cs="仿宋"/>
          <w:color w:val="auto"/>
          <w:sz w:val="28"/>
          <w:szCs w:val="28"/>
          <w:highlight w:val="none"/>
          <w:u w:val="single"/>
          <w:lang w:val="en-US" w:eastAsia="zh-CN"/>
        </w:rPr>
        <w:t xml:space="preserve">2460万元（820万元/年）</w:t>
      </w:r>
      <w:r/>
    </w:p>
    <w:p>
      <w:pPr>
        <w:pStyle w:val="864"/>
        <w:ind w:firstLine="480"/>
        <w:jc w:val="both"/>
        <w:spacing w:beforeAutospacing="0" w:afterAutospacing="0"/>
        <w:rPr>
          <w:rFonts w:hint="eastAsia" w:ascii="仿宋" w:hAnsi="仿宋" w:eastAsia="仿宋" w:cs="仿宋"/>
          <w:color w:val="auto"/>
          <w:sz w:val="28"/>
          <w:szCs w:val="28"/>
          <w:highlight w:val="none"/>
          <w:shd w:val="clear" w:color="auto" w:fill="ffff00"/>
        </w:rPr>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5.</w:t>
      </w:r>
      <w:r>
        <w:rPr>
          <w:rFonts w:hint="eastAsia" w:ascii="仿宋" w:hAnsi="仿宋" w:eastAsia="仿宋" w:cs="仿宋"/>
          <w:i w:val="0"/>
          <w:iCs w:val="0"/>
          <w:caps w:val="0"/>
          <w:color w:val="auto"/>
          <w:spacing w:val="0"/>
          <w:sz w:val="28"/>
          <w:szCs w:val="28"/>
          <w:highlight w:val="none"/>
          <w:shd w:val="clear" w:color="auto" w:fill="ffffff"/>
        </w:rPr>
        <w:t xml:space="preserve">最高限价：</w:t>
      </w:r>
      <w:r>
        <w:rPr>
          <w:rFonts w:hint="eastAsia" w:ascii="仿宋" w:hAnsi="仿宋" w:eastAsia="仿宋" w:cs="仿宋"/>
          <w:color w:val="auto"/>
          <w:sz w:val="28"/>
          <w:szCs w:val="28"/>
          <w:highlight w:val="none"/>
          <w:u w:val="single"/>
          <w:lang w:val="en-US" w:eastAsia="zh-CN"/>
        </w:rPr>
        <w:t xml:space="preserve">2460万元（820万元/年）</w:t>
      </w:r>
      <w:r/>
    </w:p>
    <w:p>
      <w:pPr>
        <w:pStyle w:val="864"/>
        <w:ind w:firstLine="480"/>
        <w:jc w:val="both"/>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.采购需求：</w:t>
      </w:r>
      <w:r>
        <w:rPr>
          <w:rFonts w:hint="eastAsia" w:ascii="仿宋" w:hAnsi="仿宋" w:eastAsia="仿宋" w:cs="仿宋"/>
          <w:color w:val="auto"/>
          <w:sz w:val="28"/>
          <w:szCs w:val="28"/>
          <w:highlight w:val="none"/>
          <w:u w:val="single"/>
          <w:lang w:val="en-US" w:eastAsia="zh-CN"/>
        </w:rPr>
        <w:t xml:space="preserve">按采购人要求完成东台市富安镇农村人居环境“六位一体”长效管护项目，服务内容包括但不限于：东台市富安镇全镇（含1个镇区、</w:t>
      </w:r>
      <w:r>
        <w:rPr>
          <w:rFonts w:hint="eastAsia" w:ascii="仿宋" w:hAnsi="仿宋" w:eastAsia="仿宋" w:cs="仿宋"/>
          <w:color w:val="auto"/>
          <w:sz w:val="28"/>
          <w:szCs w:val="28"/>
          <w:highlight w:val="none"/>
          <w:u w:val="single"/>
          <w:lang w:val="en-US" w:eastAsia="zh-CN"/>
        </w:rPr>
        <w:t xml:space="preserve">26个行政村</w:t>
      </w:r>
      <w:r>
        <w:rPr>
          <w:rFonts w:hint="eastAsia" w:ascii="仿宋" w:hAnsi="仿宋" w:eastAsia="仿宋" w:cs="仿宋"/>
          <w:color w:val="auto"/>
          <w:sz w:val="28"/>
          <w:szCs w:val="28"/>
          <w:highlight w:val="none"/>
          <w:u w:val="single"/>
          <w:lang w:val="en-US" w:eastAsia="zh-CN"/>
        </w:rPr>
        <w:t xml:space="preserve">、1个社区）环境公共运营维护长效管护工作，含道路保洁、河道保洁、农路两侧绿化养护、公厕保洁、垃圾分类处置（包含垃圾筒投放、收集、清运）、垃圾压缩中转站的运营维护维修及配件更换。接管富安镇区及乡村的环卫作业，现有环卫设施设备（以清单形式）由镇区</w:t>
      </w:r>
      <w:bookmarkStart w:id="218" w:name="_GoBack"/>
      <w:r/>
      <w:bookmarkEnd w:id="218"/>
      <w:r>
        <w:rPr>
          <w:rFonts w:hint="eastAsia" w:ascii="仿宋" w:hAnsi="仿宋" w:eastAsia="仿宋" w:cs="仿宋"/>
          <w:color w:val="auto"/>
          <w:sz w:val="28"/>
          <w:szCs w:val="28"/>
          <w:highlight w:val="none"/>
          <w:u w:val="single"/>
          <w:lang w:val="en-US" w:eastAsia="zh-CN"/>
        </w:rPr>
        <w:t xml:space="preserve">移交给中标方使用，无条件接管现有保洁人员、已有设备，配备应急处置和突击整治力量，提升环卫作业效率，实现长效管理。</w:t>
      </w:r>
      <w:r>
        <w:rPr>
          <w:rFonts w:hint="eastAsia" w:ascii="仿宋" w:hAnsi="仿宋" w:eastAsia="仿宋" w:cs="仿宋"/>
          <w:color w:val="auto"/>
          <w:sz w:val="28"/>
          <w:szCs w:val="28"/>
          <w:highlight w:val="none"/>
          <w:u w:val="single"/>
        </w:rPr>
        <w:t xml:space="preserve">（详细内容见本招标文件第四章）</w:t>
      </w:r>
      <w:r/>
    </w:p>
    <w:p>
      <w:pPr>
        <w:pStyle w:val="864"/>
        <w:ind w:firstLine="480"/>
        <w:jc w:val="both"/>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.合同履行期限：</w:t>
      </w:r>
      <w:r>
        <w:rPr>
          <w:rFonts w:hint="eastAsia" w:ascii="仿宋" w:hAnsi="仿宋" w:eastAsia="仿宋" w:cs="仿宋"/>
          <w:color w:val="auto"/>
          <w:sz w:val="28"/>
          <w:szCs w:val="28"/>
          <w:highlight w:val="none"/>
          <w:u w:val="single"/>
        </w:rPr>
        <w:t xml:space="preserve">本项目服务期三年</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合同一年一签</w:t>
      </w:r>
      <w:r>
        <w:rPr>
          <w:rFonts w:hint="eastAsia" w:ascii="仿宋" w:hAnsi="仿宋" w:eastAsia="仿宋" w:cs="仿宋"/>
          <w:color w:val="auto"/>
          <w:sz w:val="28"/>
          <w:szCs w:val="28"/>
          <w:highlight w:val="none"/>
          <w:u w:val="single"/>
          <w:lang w:eastAsia="zh-CN"/>
        </w:rPr>
        <w:t xml:space="preserve">。</w:t>
      </w:r>
      <w:r/>
    </w:p>
    <w:p>
      <w:pPr>
        <w:pStyle w:val="864"/>
        <w:ind w:firstLine="480"/>
        <w:jc w:val="both"/>
        <w:spacing w:beforeAutospacing="0" w:afterAutospacing="0" w:line="360" w:lineRule="auto"/>
        <w:rPr>
          <w:rFonts w:hint="eastAsia" w:ascii="仿宋" w:hAnsi="仿宋" w:eastAsia="仿宋" w:cs="仿宋"/>
          <w:color w:val="auto"/>
          <w:sz w:val="28"/>
          <w:szCs w:val="28"/>
          <w:highlight w:val="none"/>
          <w:shd w:val="clear" w:color="auto" w:fill="ffff00"/>
        </w:rPr>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8.</w:t>
      </w:r>
      <w:r>
        <w:rPr>
          <w:rFonts w:hint="eastAsia" w:ascii="仿宋" w:hAnsi="仿宋" w:eastAsia="仿宋" w:cs="仿宋"/>
          <w:i w:val="0"/>
          <w:iCs w:val="0"/>
          <w:caps w:val="0"/>
          <w:color w:val="auto"/>
          <w:spacing w:val="0"/>
          <w:sz w:val="28"/>
          <w:szCs w:val="28"/>
          <w:highlight w:val="none"/>
          <w:shd w:val="clear" w:color="auto" w:fill="ffffff"/>
        </w:rPr>
        <w:t xml:space="preserve">本项目</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不</w:t>
      </w:r>
      <w:r>
        <w:rPr>
          <w:rFonts w:hint="eastAsia" w:ascii="仿宋" w:hAnsi="仿宋" w:eastAsia="仿宋" w:cs="仿宋"/>
          <w:i w:val="0"/>
          <w:iCs w:val="0"/>
          <w:caps w:val="0"/>
          <w:color w:val="auto"/>
          <w:spacing w:val="0"/>
          <w:sz w:val="28"/>
          <w:szCs w:val="28"/>
          <w:highlight w:val="none"/>
          <w:shd w:val="clear" w:color="auto" w:fill="ffffff"/>
        </w:rPr>
        <w:t xml:space="preserve">接受联合体</w:t>
      </w:r>
      <w:r>
        <w:rPr>
          <w:rFonts w:hint="eastAsia" w:ascii="仿宋" w:hAnsi="仿宋" w:eastAsia="仿宋" w:cs="仿宋"/>
          <w:color w:val="auto"/>
          <w:sz w:val="28"/>
          <w:szCs w:val="28"/>
          <w:highlight w:val="none"/>
        </w:rPr>
        <w:t xml:space="preserve">参与</w:t>
      </w:r>
      <w:r>
        <w:rPr>
          <w:rFonts w:hint="eastAsia" w:ascii="仿宋" w:hAnsi="仿宋" w:eastAsia="仿宋" w:cs="仿宋"/>
          <w:color w:val="auto"/>
          <w:sz w:val="28"/>
          <w:szCs w:val="28"/>
          <w:highlight w:val="none"/>
          <w:lang w:val="en-US" w:eastAsia="zh-CN"/>
        </w:rPr>
        <w:t xml:space="preserve">招标。投标人必须具备独立完成本项目的能力，中标后不允许分包、转包。</w:t>
      </w:r>
      <w:r/>
    </w:p>
    <w:p>
      <w:pPr>
        <w:pStyle w:val="864"/>
        <w:ind w:firstLine="498"/>
        <w:jc w:val="both"/>
        <w:keepLines/>
        <w:keepNext/>
        <w:spacing w:before="145" w:beforeAutospacing="0" w:after="145" w:afterAutospacing="0" w:line="360" w:lineRule="auto"/>
        <w:rPr>
          <w:color w:val="auto"/>
          <w:highlight w:val="none"/>
        </w:rPr>
      </w:pPr>
      <w:r/>
      <w:bookmarkStart w:id="12" w:name="_Toc35393791"/>
      <w:r/>
      <w:bookmarkStart w:id="13" w:name="_Toc38985264"/>
      <w:r/>
      <w:bookmarkStart w:id="14" w:name="_Toc28359003"/>
      <w:r/>
      <w:bookmarkStart w:id="15" w:name="_Toc28359080"/>
      <w:r/>
      <w:bookmarkStart w:id="16" w:name="_Toc35393622"/>
      <w:r>
        <w:rPr>
          <w:rFonts w:ascii="Times New Roman" w:hAnsi="Times New Roman"/>
          <w:b/>
          <w:color w:val="auto"/>
          <w:sz w:val="32"/>
          <w:szCs w:val="32"/>
          <w:highlight w:val="none"/>
        </w:rPr>
        <w:t xml:space="preserve">二、申请人的资格要求：</w:t>
      </w:r>
      <w:bookmarkEnd w:id="12"/>
      <w:r/>
      <w:bookmarkEnd w:id="13"/>
      <w:r/>
      <w:bookmarkEnd w:id="14"/>
      <w:r/>
      <w:bookmarkEnd w:id="15"/>
      <w:r/>
      <w:bookmarkEnd w:id="16"/>
      <w:r/>
      <w:r/>
    </w:p>
    <w:p>
      <w:pPr>
        <w:pStyle w:val="864"/>
        <w:ind w:firstLine="480"/>
        <w:jc w:val="both"/>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1.满足《中华人民共和国政府采购法》第二十二条规定，并提供下列材料：</w:t>
      </w:r>
      <w:r/>
    </w:p>
    <w:p>
      <w:pPr>
        <w:pStyle w:val="864"/>
        <w:ind w:firstLine="480"/>
        <w:jc w:val="both"/>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 法人或者其他组织的营业执照等证明文件，自然人的身份证明；</w:t>
      </w:r>
      <w:r/>
    </w:p>
    <w:p>
      <w:pPr>
        <w:pStyle w:val="864"/>
        <w:ind w:firstLine="480"/>
        <w:jc w:val="both"/>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1.2上一年度的财务状况报表（成立不满一年无需提供）；</w:t>
      </w:r>
      <w:r/>
    </w:p>
    <w:p>
      <w:pPr>
        <w:pStyle w:val="864"/>
        <w:ind w:firstLine="480"/>
        <w:jc w:val="both"/>
        <w:spacing w:beforeAutospacing="0" w:afterAutospacing="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1.3</w:t>
      </w:r>
      <w:r>
        <w:rPr>
          <w:rFonts w:hint="eastAsia" w:ascii="仿宋" w:hAnsi="仿宋" w:eastAsia="仿宋" w:cs="仿宋"/>
          <w:color w:val="auto"/>
          <w:sz w:val="28"/>
          <w:szCs w:val="28"/>
          <w:highlight w:val="none"/>
        </w:rPr>
        <w:t xml:space="preserve">具备履行合同所必需的设备和专业技术能力的书面声明；</w:t>
      </w:r>
      <w:r/>
    </w:p>
    <w:p>
      <w:pPr>
        <w:pStyle w:val="864"/>
        <w:ind w:firstLine="480"/>
        <w:jc w:val="both"/>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依法缴纳税收和社会保障资金的相关材料（提</w:t>
      </w:r>
      <w:r>
        <w:rPr>
          <w:rFonts w:hint="eastAsia" w:ascii="仿宋" w:hAnsi="仿宋" w:eastAsia="仿宋" w:cs="仿宋"/>
          <w:color w:val="auto"/>
          <w:sz w:val="28"/>
          <w:szCs w:val="28"/>
          <w:highlight w:val="none"/>
        </w:rPr>
        <w:t xml:space="preserve">供提交响应文件截止时间前一年内至少一个月依法缴纳税收及缴纳社会保障资金的证明材料。供应商依法享受缓缴、免缴税收、社会保障资金的提供证明材料。）；</w:t>
      </w:r>
      <w:r/>
    </w:p>
    <w:p>
      <w:pPr>
        <w:pStyle w:val="864"/>
        <w:ind w:firstLine="480"/>
        <w:jc w:val="both"/>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.5参加政府采购活动前3年内在经营活动中没有重大违法记录的书面声明。</w:t>
      </w:r>
      <w:r/>
    </w:p>
    <w:p>
      <w:pPr>
        <w:pStyle w:val="864"/>
        <w:ind w:firstLine="480"/>
        <w:jc w:val="both"/>
        <w:spacing w:beforeAutospacing="0" w:afterAutospacing="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1.6法律、行政法规规定的其他条件。</w:t>
      </w:r>
      <w:r/>
    </w:p>
    <w:p>
      <w:pPr>
        <w:pStyle w:val="864"/>
        <w:ind w:firstLine="480"/>
        <w:jc w:val="both"/>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1.7</w:t>
      </w:r>
      <w:r>
        <w:rPr>
          <w:rFonts w:hint="eastAsia" w:ascii="仿宋" w:hAnsi="仿宋" w:eastAsia="仿宋" w:cs="仿宋"/>
          <w:color w:val="auto"/>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4"/>
        <w:ind w:firstLine="480"/>
        <w:jc w:val="both"/>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1.8</w:t>
      </w:r>
      <w:r>
        <w:rPr>
          <w:rFonts w:hint="eastAsia" w:ascii="仿宋" w:hAnsi="仿宋" w:eastAsia="仿宋" w:cs="仿宋"/>
          <w:color w:val="auto"/>
          <w:sz w:val="28"/>
          <w:szCs w:val="28"/>
          <w:highlight w:val="none"/>
        </w:rPr>
        <w:t xml:space="preserve">单位负责人为同一人或者存在直接控股、管理关系的不同供应商，不得参加同一合同项下的政府采购活动。</w:t>
      </w:r>
      <w:r/>
    </w:p>
    <w:p>
      <w:pPr>
        <w:pStyle w:val="864"/>
        <w:ind w:firstLine="480"/>
        <w:jc w:val="both"/>
        <w:spacing w:beforeAutospacing="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落实政府采购政策需满足的资格要求：</w:t>
      </w:r>
      <w:r>
        <w:rPr>
          <w:rFonts w:hint="eastAsia" w:ascii="仿宋" w:hAnsi="仿宋" w:eastAsia="仿宋" w:cs="仿宋"/>
          <w:color w:val="auto"/>
          <w:sz w:val="28"/>
          <w:szCs w:val="28"/>
          <w:highlight w:val="none"/>
        </w:rPr>
        <w:t xml:space="preserve">本项目属于专门面向中小企业采购的项目,</w:t>
      </w:r>
      <w:r>
        <w:rPr>
          <w:rFonts w:hint="eastAsia" w:ascii="仿宋" w:hAnsi="仿宋" w:eastAsia="仿宋" w:cs="仿宋"/>
          <w:color w:val="auto"/>
          <w:sz w:val="28"/>
          <w:szCs w:val="28"/>
          <w:highlight w:val="none"/>
        </w:rPr>
        <w:t xml:space="preserve">供应商应提供中小企业声明函或监狱企业或残疾人福利性单位声明函。</w:t>
      </w:r>
      <w:r>
        <w:rPr>
          <w:rFonts w:hint="eastAsia" w:ascii="仿宋" w:hAnsi="仿宋" w:eastAsia="仿宋" w:cs="仿宋"/>
          <w:color w:val="auto"/>
          <w:sz w:val="28"/>
          <w:szCs w:val="28"/>
          <w:highlight w:val="none"/>
        </w:rPr>
      </w:r>
      <w:r/>
    </w:p>
    <w:p>
      <w:pPr>
        <w:pStyle w:val="864"/>
        <w:ind w:firstLine="480"/>
        <w:jc w:val="both"/>
        <w:spacing w:beforeAutospacing="0" w:afterAutospacing="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3.本项目的特定资格要求：</w:t>
      </w:r>
      <w:r/>
    </w:p>
    <w:p>
      <w:pPr>
        <w:pStyle w:val="864"/>
        <w:ind w:firstLine="480"/>
        <w:jc w:val="both"/>
        <w:spacing w:beforeAutospacing="0" w:afterAutospacing="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3.1投标人如委托被授权人参与，则被授权人须为本单位正式职工并提供投标人近期为被授权人缴纳的社会养老保险证明；</w:t>
      </w:r>
      <w:r/>
    </w:p>
    <w:p>
      <w:pPr>
        <w:pStyle w:val="864"/>
        <w:ind w:firstLine="480"/>
        <w:jc w:val="both"/>
        <w:spacing w:beforeAutospacing="0" w:afterAutospacing="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3.2投标人具有有效的城市生活垃圾经营性清扫、收集、运输服务许可证。</w:t>
      </w:r>
      <w:r/>
    </w:p>
    <w:p>
      <w:pPr>
        <w:pStyle w:val="864"/>
        <w:ind w:firstLine="498"/>
        <w:jc w:val="both"/>
        <w:keepLines/>
        <w:keepNext/>
        <w:spacing w:before="145" w:beforeAutospacing="0" w:after="145" w:afterAutospacing="0" w:line="360" w:lineRule="auto"/>
        <w:rPr>
          <w:color w:val="auto"/>
          <w:highlight w:val="none"/>
        </w:rPr>
      </w:pPr>
      <w:r>
        <w:rPr>
          <w:rFonts w:ascii="Times New Roman" w:hAnsi="Times New Roman"/>
          <w:b/>
          <w:color w:val="auto"/>
          <w:sz w:val="32"/>
          <w:szCs w:val="32"/>
          <w:highlight w:val="none"/>
        </w:rPr>
        <w:t xml:space="preserve">三、获取招标文件</w:t>
      </w:r>
      <w:r/>
    </w:p>
    <w:p>
      <w:pPr>
        <w:pStyle w:val="864"/>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17" w:name="_Toc35393793"/>
      <w:r/>
      <w:bookmarkStart w:id="18" w:name="_Toc28359005"/>
      <w:r/>
      <w:bookmarkStart w:id="19" w:name="_Toc35393624"/>
      <w:r/>
      <w:bookmarkStart w:id="20" w:name="_Toc38985266"/>
      <w:r/>
      <w:bookmarkStart w:id="21" w:name="_Toc28359082"/>
      <w:r>
        <w:rPr>
          <w:rFonts w:hint="eastAsia" w:ascii="仿宋" w:hAnsi="仿宋" w:eastAsia="仿宋" w:cs="仿宋"/>
          <w:color w:val="auto"/>
          <w:sz w:val="28"/>
          <w:szCs w:val="28"/>
          <w:highlight w:val="none"/>
        </w:rPr>
        <w:t xml:space="preserve">1.时间：</w:t>
      </w:r>
      <w:bookmarkEnd w:id="17"/>
      <w:r/>
      <w:bookmarkEnd w:id="18"/>
      <w:r/>
      <w:bookmarkEnd w:id="19"/>
      <w:r/>
      <w:bookmarkEnd w:id="20"/>
      <w:r/>
      <w:bookmarkEnd w:id="21"/>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2024</w:t>
      </w:r>
      <w:r>
        <w:rPr>
          <w:rFonts w:hint="eastAsia" w:ascii="仿宋" w:hAnsi="仿宋" w:eastAsia="仿宋" w:cs="仿宋"/>
          <w:i w:val="0"/>
          <w:iCs w:val="0"/>
          <w:caps w:val="0"/>
          <w:color w:val="auto"/>
          <w:spacing w:val="0"/>
          <w:sz w:val="28"/>
          <w:szCs w:val="28"/>
          <w:highlight w:val="none"/>
          <w:u w:val="single"/>
          <w:shd w:val="clear" w:color="auto" w:fill="ffffff"/>
        </w:rPr>
        <w:t xml:space="preserve">年</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8</w:t>
      </w:r>
      <w:r>
        <w:rPr>
          <w:rFonts w:hint="eastAsia" w:ascii="仿宋" w:hAnsi="仿宋" w:eastAsia="仿宋" w:cs="仿宋"/>
          <w:i w:val="0"/>
          <w:iCs w:val="0"/>
          <w:caps w:val="0"/>
          <w:color w:val="auto"/>
          <w:spacing w:val="0"/>
          <w:sz w:val="28"/>
          <w:szCs w:val="28"/>
          <w:highlight w:val="none"/>
          <w:u w:val="single"/>
          <w:shd w:val="clear" w:color="auto" w:fill="ffffff"/>
        </w:rPr>
        <w:t xml:space="preserve">月</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21</w:t>
      </w:r>
      <w:r>
        <w:rPr>
          <w:rFonts w:hint="eastAsia" w:ascii="仿宋" w:hAnsi="仿宋" w:eastAsia="仿宋" w:cs="仿宋"/>
          <w:i w:val="0"/>
          <w:iCs w:val="0"/>
          <w:caps w:val="0"/>
          <w:color w:val="auto"/>
          <w:spacing w:val="0"/>
          <w:sz w:val="28"/>
          <w:szCs w:val="28"/>
          <w:highlight w:val="none"/>
          <w:u w:val="single"/>
          <w:shd w:val="clear" w:color="auto" w:fill="ffffff"/>
        </w:rPr>
        <w:t xml:space="preserve">日</w:t>
      </w:r>
      <w:r>
        <w:rPr>
          <w:rFonts w:hint="eastAsia" w:ascii="仿宋" w:hAnsi="仿宋" w:eastAsia="仿宋" w:cs="仿宋"/>
          <w:i w:val="0"/>
          <w:iCs w:val="0"/>
          <w:caps w:val="0"/>
          <w:color w:val="auto"/>
          <w:spacing w:val="0"/>
          <w:sz w:val="28"/>
          <w:szCs w:val="28"/>
          <w:highlight w:val="none"/>
          <w:shd w:val="clear" w:color="auto" w:fill="ffffff"/>
        </w:rPr>
        <w:t xml:space="preserve">至</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2024</w:t>
      </w:r>
      <w:r>
        <w:rPr>
          <w:rFonts w:hint="eastAsia" w:ascii="仿宋" w:hAnsi="仿宋" w:eastAsia="仿宋" w:cs="仿宋"/>
          <w:i w:val="0"/>
          <w:iCs w:val="0"/>
          <w:caps w:val="0"/>
          <w:color w:val="auto"/>
          <w:spacing w:val="0"/>
          <w:sz w:val="28"/>
          <w:szCs w:val="28"/>
          <w:highlight w:val="none"/>
          <w:u w:val="single"/>
          <w:shd w:val="clear" w:color="auto" w:fill="ffffff"/>
        </w:rPr>
        <w:t xml:space="preserve">年</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8</w:t>
      </w:r>
      <w:r>
        <w:rPr>
          <w:rFonts w:hint="eastAsia" w:ascii="仿宋" w:hAnsi="仿宋" w:eastAsia="仿宋" w:cs="仿宋"/>
          <w:i w:val="0"/>
          <w:iCs w:val="0"/>
          <w:caps w:val="0"/>
          <w:color w:val="auto"/>
          <w:spacing w:val="0"/>
          <w:sz w:val="28"/>
          <w:szCs w:val="28"/>
          <w:highlight w:val="none"/>
          <w:u w:val="single"/>
          <w:shd w:val="clear" w:color="auto" w:fill="ffffff"/>
        </w:rPr>
        <w:t xml:space="preserve">月</w:t>
      </w:r>
      <w:r>
        <w:rPr>
          <w:rFonts w:hint="eastAsia" w:ascii="仿宋" w:hAnsi="仿宋" w:eastAsia="仿宋" w:cs="仿宋"/>
          <w:i w:val="0"/>
          <w:iCs w:val="0"/>
          <w:caps w:val="0"/>
          <w:color w:val="auto"/>
          <w:spacing w:val="0"/>
          <w:sz w:val="28"/>
          <w:szCs w:val="28"/>
          <w:highlight w:val="none"/>
          <w:u w:val="single"/>
          <w:shd w:val="clear" w:color="auto" w:fill="ffffff"/>
          <w:lang w:val="en-US" w:eastAsia="zh-CN"/>
        </w:rPr>
        <w:t xml:space="preserve">28</w:t>
      </w:r>
      <w:r>
        <w:rPr>
          <w:rFonts w:hint="eastAsia" w:ascii="仿宋" w:hAnsi="仿宋" w:eastAsia="仿宋" w:cs="仿宋"/>
          <w:i w:val="0"/>
          <w:iCs w:val="0"/>
          <w:caps w:val="0"/>
          <w:color w:val="auto"/>
          <w:spacing w:val="0"/>
          <w:sz w:val="28"/>
          <w:szCs w:val="28"/>
          <w:highlight w:val="none"/>
          <w:u w:val="single"/>
          <w:shd w:val="clear" w:color="auto" w:fill="ffffff"/>
        </w:rPr>
        <w:t xml:space="preserve">日</w:t>
      </w:r>
      <w:r>
        <w:rPr>
          <w:rFonts w:hint="eastAsia" w:ascii="仿宋" w:hAnsi="仿宋" w:eastAsia="仿宋" w:cs="仿宋"/>
          <w:i w:val="0"/>
          <w:iCs w:val="0"/>
          <w:caps w:val="0"/>
          <w:color w:val="auto"/>
          <w:spacing w:val="0"/>
          <w:sz w:val="28"/>
          <w:szCs w:val="28"/>
          <w:highlight w:val="none"/>
          <w:shd w:val="clear" w:color="auto" w:fill="ffffff"/>
        </w:rPr>
        <w:t xml:space="preserve">，</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每天上午00:00至12:00，下午12:00至23:59（北京时间，法定节假日除外）。</w:t>
      </w:r>
      <w:r/>
    </w:p>
    <w:p>
      <w:pPr>
        <w:pStyle w:val="864"/>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2.地点：中国政府采购网、江苏政府采购网、盐城市政府采购网</w:t>
      </w:r>
      <w:r/>
    </w:p>
    <w:p>
      <w:pPr>
        <w:pStyle w:val="864"/>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3.方式：在“中国政府采购网”、“江苏政府采购网”、“盐城市政府采购网”自行免费下载招标文件。</w:t>
      </w:r>
      <w:r/>
    </w:p>
    <w:p>
      <w:pPr>
        <w:pStyle w:val="864"/>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4.售价：0元</w:t>
      </w:r>
      <w:r/>
    </w:p>
    <w:p>
      <w:pPr>
        <w:pStyle w:val="864"/>
        <w:ind w:firstLine="498"/>
        <w:jc w:val="both"/>
        <w:keepLines/>
        <w:keepNext/>
        <w:spacing w:before="145" w:beforeAutospacing="0" w:after="145" w:afterAutospacing="0" w:line="360" w:lineRule="auto"/>
        <w:rPr>
          <w:color w:val="auto"/>
          <w:highlight w:val="none"/>
        </w:rPr>
      </w:pPr>
      <w:r>
        <w:rPr>
          <w:rFonts w:ascii="Times New Roman" w:hAnsi="Times New Roman"/>
          <w:b/>
          <w:color w:val="auto"/>
          <w:sz w:val="32"/>
          <w:szCs w:val="32"/>
          <w:highlight w:val="none"/>
        </w:rPr>
        <w:t xml:space="preserve">四、提交投标文件截止时间、开标时间和地点</w:t>
      </w:r>
      <w:r/>
    </w:p>
    <w:p>
      <w:pPr>
        <w:pStyle w:val="864"/>
        <w:ind w:left="0" w:right="0" w:firstLine="540"/>
        <w:jc w:val="both"/>
        <w:keepLines w:val="0"/>
        <w:keepNext w:val="0"/>
        <w:spacing w:before="0" w:beforeAutospacing="0" w:after="0" w:afterAutospacing="0" w:line="23" w:lineRule="atLeast"/>
        <w:shd w:val="clear" w:color="auto" w:fill="ffffff"/>
        <w:widowControl/>
        <w:rPr>
          <w:rFonts w:hint="eastAsia" w:ascii="仿宋" w:hAnsi="仿宋" w:eastAsia="仿宋" w:cs="仿宋"/>
          <w:color w:val="auto"/>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8"/>
          <w:szCs w:val="28"/>
          <w:highlight w:val="none"/>
        </w:rPr>
        <w:t xml:space="preserve">1.时间：2024</w:t>
      </w:r>
      <w:r>
        <w:rPr>
          <w:rFonts w:hint="eastAsia" w:ascii="仿宋" w:hAnsi="仿宋" w:eastAsia="仿宋" w:cs="仿宋"/>
          <w:color w:val="auto"/>
          <w:sz w:val="28"/>
          <w:szCs w:val="28"/>
          <w:highlight w:val="none"/>
          <w:lang w:val="en-US" w:eastAsia="zh-CN"/>
        </w:rPr>
        <w:t xml:space="preserve">年9月11日9</w:t>
      </w:r>
      <w:r>
        <w:rPr>
          <w:rFonts w:hint="eastAsia" w:ascii="仿宋" w:hAnsi="仿宋" w:eastAsia="仿宋" w:cs="仿宋"/>
          <w:color w:val="auto"/>
          <w:sz w:val="28"/>
          <w:szCs w:val="28"/>
          <w:highlight w:val="none"/>
        </w:rPr>
        <w:t xml:space="preserve">:00（北京时间）</w:t>
      </w:r>
      <w:r/>
    </w:p>
    <w:p>
      <w:pPr>
        <w:pStyle w:val="864"/>
        <w:ind w:firstLine="480"/>
        <w:jc w:val="both"/>
        <w:spacing w:beforeAutospacing="0" w:afterAutospacing="0"/>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color w:val="auto"/>
          <w:sz w:val="28"/>
          <w:szCs w:val="28"/>
          <w:highlight w:val="none"/>
        </w:rPr>
        <w:t xml:space="preserve">2.地点：</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“苏采云”政府采购交易系统网上开标大厅。</w:t>
      </w:r>
      <w:r/>
    </w:p>
    <w:p>
      <w:pPr>
        <w:pStyle w:val="864"/>
        <w:ind w:firstLine="498"/>
        <w:jc w:val="both"/>
        <w:keepLines/>
        <w:keepNext/>
        <w:spacing w:before="145" w:beforeAutospacing="0" w:after="145" w:afterAutospacing="0" w:line="360" w:lineRule="auto"/>
        <w:rPr>
          <w:color w:val="auto"/>
          <w:highlight w:val="none"/>
        </w:rPr>
      </w:pPr>
      <w:r/>
      <w:bookmarkStart w:id="22" w:name="_Toc28359084"/>
      <w:r/>
      <w:bookmarkStart w:id="23" w:name="_Toc35393794"/>
      <w:r/>
      <w:bookmarkStart w:id="24" w:name="_Toc38985267"/>
      <w:r/>
      <w:bookmarkStart w:id="25" w:name="_Toc28359007"/>
      <w:r/>
      <w:bookmarkStart w:id="26" w:name="_Toc35393625"/>
      <w:r>
        <w:rPr>
          <w:rFonts w:ascii="Times New Roman" w:hAnsi="Times New Roman"/>
          <w:b/>
          <w:color w:val="auto"/>
          <w:sz w:val="32"/>
          <w:szCs w:val="32"/>
          <w:highlight w:val="none"/>
        </w:rPr>
        <w:t xml:space="preserve">五、公告期限</w:t>
      </w:r>
      <w:bookmarkEnd w:id="22"/>
      <w:r/>
      <w:bookmarkEnd w:id="23"/>
      <w:r/>
      <w:bookmarkEnd w:id="24"/>
      <w:r/>
      <w:bookmarkEnd w:id="25"/>
      <w:r/>
      <w:bookmarkEnd w:id="26"/>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5393626"/>
      <w:r/>
      <w:bookmarkStart w:id="29" w:name="_Toc38985268"/>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自本公告发布之日起5个工作日。</w:t>
      </w:r>
      <w:bookmarkEnd w:id="27"/>
      <w:r/>
      <w:bookmarkEnd w:id="28"/>
      <w:r/>
      <w:bookmarkEnd w:id="29"/>
      <w:r/>
      <w:r/>
    </w:p>
    <w:p>
      <w:pPr>
        <w:pStyle w:val="864"/>
        <w:ind w:firstLine="498"/>
        <w:jc w:val="both"/>
        <w:keepLines/>
        <w:keepNext/>
        <w:spacing w:before="145" w:beforeAutospacing="0" w:after="145" w:afterAutospacing="0" w:line="360" w:lineRule="auto"/>
        <w:rPr>
          <w:color w:val="auto"/>
          <w:highlight w:val="none"/>
        </w:rPr>
      </w:pPr>
      <w:r>
        <w:rPr>
          <w:rFonts w:ascii="Times New Roman" w:hAnsi="Times New Roman"/>
          <w:b/>
          <w:color w:val="auto"/>
          <w:sz w:val="32"/>
          <w:szCs w:val="32"/>
          <w:highlight w:val="none"/>
        </w:rPr>
        <w:t xml:space="preserve">六、其他补充事宜</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http://www.ccgp-jiangsu.gov.cn/jiangsu/zlxz/ee/ee3a4bc5a3454aa2b0d9312230633ce9.html。</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2.有关本次招标的事项若存在变动或修改，敬请及时关注东台市富安镇人民政府在“</w:t>
      </w:r>
      <w:r>
        <w:rPr>
          <w:rFonts w:hint="eastAsia" w:ascii="仿宋" w:hAnsi="仿宋" w:eastAsia="仿宋" w:cs="仿宋"/>
          <w:color w:val="auto"/>
          <w:sz w:val="28"/>
          <w:szCs w:val="28"/>
          <w:highlight w:val="none"/>
          <w:lang w:val="en-US" w:eastAsia="zh-CN" w:bidi="ar-SA"/>
        </w:rPr>
        <w:t xml:space="preserve">中国政府采购网</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”、“江苏政府采购网”、“盐城市政府采购网”发布的更正公告。</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3.本次招标不收取投标保证金，不收取质量保证金。</w:t>
      </w:r>
      <w:r/>
    </w:p>
    <w:p>
      <w:pPr>
        <w:pStyle w:val="853"/>
        <w:ind w:left="0" w:right="0" w:firstLine="560"/>
        <w:jc w:val="both"/>
        <w:keepLines w:val="0"/>
        <w:keepNext w:val="0"/>
        <w:spacing w:before="0" w:beforeAutospacing="0" w:after="0" w:afterAutospacing="0" w:line="23" w:lineRule="atLeast"/>
        <w:shd w:val="clear" w:color="auto" w:fill="ffffff"/>
        <w:widowControl/>
        <w:rPr>
          <w:rFonts w:hint="eastAsia" w:ascii="微软雅黑" w:hAnsi="微软雅黑" w:eastAsia="微软雅黑" w:cs="微软雅黑"/>
          <w:b w:val="0"/>
          <w:bCs w:val="0"/>
          <w:i w:val="0"/>
          <w:iCs w:val="0"/>
          <w:caps w:val="0"/>
          <w:color w:val="auto"/>
          <w:spacing w:val="0"/>
          <w:sz w:val="27"/>
          <w:szCs w:val="27"/>
          <w:highlight w:val="none"/>
        </w:rPr>
        <w:pBdr>
          <w:top w:val="none" w:color="auto" w:sz="0" w:space="0"/>
          <w:left w:val="none" w:color="auto" w:sz="0" w:space="0"/>
          <w:bottom w:val="none" w:color="auto" w:sz="0" w:space="0"/>
          <w:right w:val="none" w:color="auto" w:sz="0" w:space="0"/>
        </w:pBdr>
        <w:suppressLineNumbers w:val="0"/>
      </w:pPr>
      <w:r>
        <w:rPr>
          <w:rFonts w:hint="eastAsia" w:ascii="黑体" w:eastAsia="黑体" w:cs="黑体"/>
          <w:b w:val="0"/>
          <w:bCs w:val="0"/>
          <w:i w:val="0"/>
          <w:iCs w:val="0"/>
          <w:caps w:val="0"/>
          <w:color w:val="auto"/>
          <w:spacing w:val="0"/>
          <w:sz w:val="28"/>
          <w:szCs w:val="28"/>
          <w:highlight w:val="none"/>
          <w:u w:val="none"/>
          <w:shd w:val="clear" w:color="auto" w:fill="ffffff"/>
          <w:lang w:val="en-US" w:eastAsia="zh-CN"/>
        </w:rPr>
        <w:t xml:space="preserve">七</w:t>
      </w:r>
      <w:r>
        <w:rPr>
          <w:rFonts w:hint="eastAsia" w:ascii="黑体" w:hAnsi="宋体" w:eastAsia="黑体" w:cs="黑体"/>
          <w:b w:val="0"/>
          <w:bCs w:val="0"/>
          <w:i w:val="0"/>
          <w:iCs w:val="0"/>
          <w:caps w:val="0"/>
          <w:color w:val="auto"/>
          <w:spacing w:val="0"/>
          <w:sz w:val="28"/>
          <w:szCs w:val="28"/>
          <w:highlight w:val="none"/>
          <w:u w:val="none"/>
          <w:shd w:val="clear" w:color="auto" w:fill="ffffff"/>
        </w:rPr>
        <w:t xml:space="preserve">、对本次</w:t>
      </w:r>
      <w:r>
        <w:rPr>
          <w:rFonts w:hint="eastAsia" w:ascii="黑体" w:eastAsia="黑体" w:cs="黑体"/>
          <w:b w:val="0"/>
          <w:bCs w:val="0"/>
          <w:i w:val="0"/>
          <w:iCs w:val="0"/>
          <w:caps w:val="0"/>
          <w:color w:val="auto"/>
          <w:spacing w:val="0"/>
          <w:sz w:val="28"/>
          <w:szCs w:val="28"/>
          <w:highlight w:val="none"/>
          <w:u w:val="none"/>
          <w:shd w:val="clear" w:color="auto" w:fill="ffffff"/>
          <w:lang w:val="en-US" w:eastAsia="zh-CN"/>
        </w:rPr>
        <w:t xml:space="preserve">招标</w:t>
      </w:r>
      <w:r>
        <w:rPr>
          <w:rFonts w:hint="eastAsia" w:ascii="黑体" w:hAnsi="宋体" w:eastAsia="黑体" w:cs="黑体"/>
          <w:b w:val="0"/>
          <w:bCs w:val="0"/>
          <w:i w:val="0"/>
          <w:iCs w:val="0"/>
          <w:caps w:val="0"/>
          <w:color w:val="auto"/>
          <w:spacing w:val="0"/>
          <w:sz w:val="28"/>
          <w:szCs w:val="28"/>
          <w:highlight w:val="none"/>
          <w:u w:val="none"/>
          <w:shd w:val="clear" w:color="auto" w:fill="ffffff"/>
        </w:rPr>
        <w:t xml:space="preserve">提出询问，请按以下方式联系。</w:t>
      </w:r>
      <w:bookmarkEnd w:id="30"/>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1.采购人信息</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名 称： 东台市富安镇人民政府  </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地址： 东台市富安镇凤凰池路8号  </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联系人：  陆先生            </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联系方式： 13815596288           </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2.采购代理机构信息</w:t>
      </w:r>
      <w:r/>
    </w:p>
    <w:p>
      <w:pPr>
        <w:pStyle w:val="864"/>
        <w:ind w:left="0" w:right="0" w:firstLine="560"/>
        <w:jc w:val="both"/>
        <w:keepLines w:val="0"/>
        <w:keepNext w:val="0"/>
        <w:spacing w:before="0" w:beforeAutospacing="0" w:after="0" w:afterAutospacing="0"/>
        <w:shd w:val="clear" w:color="auto" w:fill="ffffff"/>
        <w:widowControl/>
        <w:rPr>
          <w:rFonts w:hint="default"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名 称：江苏宏建工程建设咨询有限公司</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地 址： 东台市城中花园2号楼四楼西侧</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联系人： 冯女士                    </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联系方式：</w:t>
      </w:r>
      <w:bookmarkStart w:id="32" w:name="_Toc28359010"/>
      <w:r/>
      <w:bookmarkStart w:id="33" w:name="_Toc28359087"/>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18261272402       </w:t>
      </w:r>
      <w:bookmarkEnd w:id="32"/>
      <w:r/>
      <w:bookmarkEnd w:id="33"/>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            </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3.</w:t>
      </w:r>
      <w:bookmarkEnd w:id="34"/>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项目联系方式</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项目联系人：冯女士</w:t>
      </w:r>
      <w:r/>
    </w:p>
    <w:p>
      <w:pPr>
        <w:pStyle w:val="864"/>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电　　 话：18261272402　　　　　　　　　　　　</w:t>
      </w:r>
      <w:r/>
    </w:p>
    <w:p>
      <w:pPr>
        <w:rPr>
          <w:color w:val="auto"/>
          <w:highlight w:val="none"/>
        </w:rPr>
      </w:pPr>
      <w:r>
        <w:rPr>
          <w:color w:val="auto"/>
          <w:highlight w:val="none"/>
        </w:rPr>
        <w:t xml:space="preserve"> </w:t>
      </w:r>
      <w:r/>
    </w:p>
    <w:p>
      <w:pPr>
        <w:pStyle w:val="864"/>
        <w:ind w:right="0"/>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br w:type="page" w:clear="all"/>
      </w:r>
      <w:bookmarkStart w:id="35" w:name="_Toc120614211"/>
      <w:r>
        <w:rPr>
          <w:rFonts w:hint="eastAsia" w:ascii="黑体" w:hAnsi="宋体" w:eastAsia="黑体" w:cs="黑体"/>
          <w:b/>
          <w:color w:val="auto"/>
          <w:sz w:val="44"/>
          <w:szCs w:val="44"/>
          <w:highlight w:val="none"/>
        </w:rPr>
        <w:t xml:space="preserve">第二章  </w:t>
      </w:r>
      <w:bookmarkEnd w:id="35"/>
      <w:r/>
      <w:bookmarkStart w:id="36" w:name="_Toc120614213"/>
      <w:r/>
      <w:bookmarkStart w:id="37" w:name="_Toc513029202"/>
      <w:r/>
      <w:bookmarkStart w:id="38" w:name="_Toc16938518"/>
      <w:r/>
      <w:bookmarkStart w:id="39" w:name="_Toc20823274"/>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864"/>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40" w:name="_Toc120614214"/>
      <w:r/>
      <w:bookmarkStart w:id="41" w:name="_Toc513029203"/>
      <w:r/>
      <w:bookmarkStart w:id="42" w:name="_Toc20823275"/>
      <w:r/>
      <w:bookmarkStart w:id="43" w:name="_Toc16938519"/>
      <w:r>
        <w:rPr>
          <w:rFonts w:hint="eastAsia" w:ascii="仿宋" w:hAnsi="仿宋" w:eastAsia="仿宋" w:cs="仿宋"/>
          <w:b/>
          <w:color w:val="auto"/>
          <w:sz w:val="32"/>
          <w:szCs w:val="32"/>
          <w:highlight w:val="none"/>
        </w:rPr>
        <w:t xml:space="preserve">一、总则</w:t>
      </w:r>
      <w:bookmarkEnd w:id="40"/>
      <w:r/>
      <w:bookmarkEnd w:id="41"/>
      <w:r/>
      <w:bookmarkEnd w:id="42"/>
      <w:r/>
      <w:bookmarkEnd w:id="43"/>
      <w:r/>
      <w:r/>
    </w:p>
    <w:p>
      <w:pPr>
        <w:pStyle w:val="864"/>
        <w:ind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44" w:name="_Toc16938520"/>
      <w:r/>
      <w:bookmarkStart w:id="45" w:name="_Toc513029204"/>
      <w:r/>
      <w:bookmarkStart w:id="46" w:name="_Toc458694821"/>
      <w:r/>
      <w:bookmarkStart w:id="47" w:name="_Toc20823276"/>
      <w:r/>
      <w:bookmarkStart w:id="48" w:name="_Hlt16619475"/>
      <w:r>
        <w:rPr>
          <w:rFonts w:hint="eastAsia" w:ascii="仿宋" w:hAnsi="仿宋" w:eastAsia="仿宋" w:cs="仿宋"/>
          <w:color w:val="auto"/>
          <w:sz w:val="28"/>
          <w:szCs w:val="28"/>
          <w:highlight w:val="none"/>
        </w:rPr>
        <w:t xml:space="preserve">1</w:t>
      </w:r>
      <w:bookmarkEnd w:id="44"/>
      <w:r>
        <w:rPr>
          <w:rFonts w:hint="eastAsia" w:ascii="仿宋" w:hAnsi="仿宋" w:eastAsia="仿宋" w:cs="仿宋"/>
          <w:color w:val="auto"/>
          <w:sz w:val="28"/>
          <w:szCs w:val="28"/>
          <w:highlight w:val="none"/>
        </w:rPr>
        <w:t xml:space="preserve">、招标方式</w:t>
      </w:r>
      <w:bookmarkEnd w:id="45"/>
      <w:r/>
      <w:bookmarkEnd w:id="46"/>
      <w:r/>
      <w:bookmarkEnd w:id="47"/>
      <w:r/>
      <w:r/>
    </w:p>
    <w:p>
      <w:pPr>
        <w:pStyle w:val="864"/>
        <w:ind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1.1本次招标采取公开招标方式，本招标文件仅适用于招标公告中所述项目。</w:t>
      </w:r>
      <w:r/>
    </w:p>
    <w:p>
      <w:pPr>
        <w:pStyle w:val="864"/>
        <w:ind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49" w:name="_Toc20823277"/>
      <w:r/>
      <w:bookmarkStart w:id="50" w:name="_Toc16938521"/>
      <w:r/>
      <w:bookmarkStart w:id="51" w:name="_Toc513029205"/>
      <w:r>
        <w:rPr>
          <w:rFonts w:hint="eastAsia" w:ascii="仿宋" w:hAnsi="仿宋" w:eastAsia="仿宋" w:cs="仿宋"/>
          <w:color w:val="auto"/>
          <w:sz w:val="28"/>
          <w:szCs w:val="28"/>
          <w:highlight w:val="none"/>
        </w:rPr>
        <w:t xml:space="preserve">2、合格的投标人</w:t>
      </w:r>
      <w:bookmarkEnd w:id="49"/>
      <w:r/>
      <w:bookmarkEnd w:id="50"/>
      <w:r/>
      <w:bookmarkEnd w:id="51"/>
      <w:r/>
      <w:r/>
    </w:p>
    <w:p>
      <w:pPr>
        <w:pStyle w:val="864"/>
        <w:ind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2.1满足招标公告中供应商的资格要求的规定。</w:t>
      </w:r>
      <w:r/>
    </w:p>
    <w:p>
      <w:pPr>
        <w:pStyle w:val="864"/>
        <w:ind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2.2满足本文件实质性要求和条件的规定。</w:t>
      </w:r>
      <w:r/>
    </w:p>
    <w:p>
      <w:pPr>
        <w:pStyle w:val="864"/>
        <w:ind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52" w:name="_Toc513029206"/>
      <w:r/>
      <w:bookmarkStart w:id="53" w:name="_Toc20823278"/>
      <w:r/>
      <w:bookmarkStart w:id="54" w:name="_Toc16938522"/>
      <w:r>
        <w:rPr>
          <w:rFonts w:hint="eastAsia" w:ascii="仿宋" w:hAnsi="仿宋" w:eastAsia="仿宋" w:cs="仿宋"/>
          <w:color w:val="auto"/>
          <w:sz w:val="28"/>
          <w:szCs w:val="28"/>
          <w:highlight w:val="none"/>
        </w:rPr>
        <w:t xml:space="preserve">3、适用法律</w:t>
      </w:r>
      <w:bookmarkEnd w:id="52"/>
      <w:r/>
      <w:bookmarkEnd w:id="53"/>
      <w:r/>
      <w:bookmarkEnd w:id="54"/>
      <w:r/>
      <w:r/>
    </w:p>
    <w:p>
      <w:pPr>
        <w:pStyle w:val="864"/>
        <w:ind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3.1本次招标及由此产生的合同受中华人民共和国有关的法律法规制约和保护。</w:t>
      </w:r>
      <w:r/>
    </w:p>
    <w:p>
      <w:pPr>
        <w:pStyle w:val="864"/>
        <w:ind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55" w:name="_Toc513029207"/>
      <w:r/>
      <w:bookmarkStart w:id="56" w:name="_Toc462564067"/>
      <w:r/>
      <w:bookmarkStart w:id="57" w:name="_Toc16938523"/>
      <w:r/>
      <w:bookmarkStart w:id="58" w:name="_Toc20823279"/>
      <w:r>
        <w:rPr>
          <w:rFonts w:hint="eastAsia" w:ascii="仿宋" w:hAnsi="仿宋" w:eastAsia="仿宋" w:cs="仿宋"/>
          <w:color w:val="auto"/>
          <w:sz w:val="28"/>
          <w:szCs w:val="28"/>
          <w:highlight w:val="none"/>
        </w:rPr>
        <w:t xml:space="preserve">4、投标费用</w:t>
      </w:r>
      <w:bookmarkEnd w:id="55"/>
      <w:r/>
      <w:bookmarkEnd w:id="56"/>
      <w:r/>
      <w:bookmarkEnd w:id="57"/>
      <w:r/>
      <w:bookmarkEnd w:id="58"/>
      <w:r/>
      <w:r/>
    </w:p>
    <w:p>
      <w:pPr>
        <w:pStyle w:val="864"/>
        <w:ind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4.1投标人应自行承担所有与参加投标有关的费用，无论投标过程中的做法和结果如何，</w:t>
      </w:r>
      <w:r>
        <w:rPr>
          <w:rFonts w:hint="eastAsia" w:ascii="仿宋" w:hAnsi="仿宋" w:eastAsia="仿宋" w:cs="仿宋"/>
          <w:color w:val="auto"/>
          <w:highlight w:val="none"/>
          <w:lang w:eastAsia="zh-CN"/>
        </w:rPr>
        <w:t xml:space="preserve">东台市富安镇人民政府</w:t>
      </w:r>
      <w:r>
        <w:rPr>
          <w:rFonts w:hint="eastAsia" w:ascii="仿宋" w:hAnsi="仿宋" w:eastAsia="仿宋" w:cs="仿宋"/>
          <w:color w:val="auto"/>
          <w:highlight w:val="none"/>
        </w:rPr>
        <w:t xml:space="preserve">（以下简称采购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）在任何情况下均无义务和责任承担这些费用。</w:t>
      </w:r>
      <w:r/>
    </w:p>
    <w:p>
      <w:pPr>
        <w:pStyle w:val="864"/>
        <w:ind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4.2本次招标不收取标书工本费与中标服务费。</w:t>
      </w:r>
      <w:r/>
    </w:p>
    <w:p>
      <w:pPr>
        <w:pStyle w:val="864"/>
        <w:ind w:firstLine="602"/>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b/>
          <w:color w:val="auto"/>
          <w:sz w:val="30"/>
          <w:szCs w:val="30"/>
          <w:highlight w:val="none"/>
        </w:rPr>
        <w:t xml:space="preserve">5、</w:t>
      </w:r>
      <w:r>
        <w:rPr>
          <w:rFonts w:hint="eastAsia" w:ascii="仿宋" w:hAnsi="仿宋" w:eastAsia="仿宋" w:cs="仿宋"/>
          <w:color w:val="auto"/>
          <w:sz w:val="28"/>
          <w:szCs w:val="28"/>
          <w:highlight w:val="none"/>
        </w:rPr>
        <w:t xml:space="preserve">招标文件的约束力</w:t>
      </w:r>
      <w:r/>
    </w:p>
    <w:p>
      <w:pPr>
        <w:pStyle w:val="864"/>
        <w:ind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5.1投标人一旦参加本项目采购活动，即被认为接受了本招标文件的规定和约束。</w:t>
      </w:r>
      <w:r/>
    </w:p>
    <w:p>
      <w:pPr>
        <w:pStyle w:val="864"/>
        <w:ind w:left="0" w:firstLine="643"/>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59" w:name="_Toc120614215"/>
      <w:r/>
      <w:bookmarkStart w:id="60" w:name="_Toc20823281"/>
      <w:r/>
      <w:bookmarkStart w:id="61" w:name="_Toc16938525"/>
      <w:r/>
      <w:bookmarkStart w:id="62" w:name="_Toc513029209"/>
      <w:r>
        <w:rPr>
          <w:rFonts w:hint="eastAsia" w:ascii="仿宋" w:hAnsi="仿宋" w:eastAsia="仿宋" w:cs="仿宋"/>
          <w:b/>
          <w:color w:val="auto"/>
          <w:sz w:val="32"/>
          <w:szCs w:val="32"/>
          <w:highlight w:val="none"/>
        </w:rPr>
        <w:t xml:space="preserve">二、招标文件</w:t>
      </w:r>
      <w:bookmarkEnd w:id="59"/>
      <w:r/>
      <w:bookmarkEnd w:id="60"/>
      <w:r/>
      <w:bookmarkEnd w:id="61"/>
      <w:r/>
      <w:bookmarkEnd w:id="62"/>
      <w:r/>
      <w:r/>
    </w:p>
    <w:p>
      <w:pPr>
        <w:pStyle w:val="864"/>
        <w:ind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63" w:name="_Toc513029210"/>
      <w:r/>
      <w:bookmarkStart w:id="64" w:name="_Toc20823282"/>
      <w:r/>
      <w:bookmarkStart w:id="65" w:name="_Toc16938526"/>
      <w:r>
        <w:rPr>
          <w:rFonts w:hint="eastAsia" w:ascii="仿宋" w:hAnsi="仿宋" w:eastAsia="仿宋" w:cs="仿宋"/>
          <w:color w:val="auto"/>
          <w:sz w:val="28"/>
          <w:szCs w:val="28"/>
          <w:highlight w:val="none"/>
        </w:rPr>
        <w:t xml:space="preserve">6、招标文件构成</w:t>
      </w:r>
      <w:bookmarkEnd w:id="63"/>
      <w:r/>
      <w:bookmarkEnd w:id="64"/>
      <w:r/>
      <w:bookmarkEnd w:id="65"/>
      <w:r/>
      <w:r/>
    </w:p>
    <w:p>
      <w:pPr>
        <w:pStyle w:val="864"/>
        <w:ind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6.1 招标文件由以下部分组成：</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招标公告</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（2）投标人须知</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（3）合同文本</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（4）采购需求</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（5）评标方法与评标标准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（6）投标文件格式</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请仔细检查招标文件是否齐全，如有缺漏请立即与采购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联系解决。</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66" w:name="_Toc16938527"/>
      <w:r/>
      <w:bookmarkStart w:id="67" w:name="_Toc513029211"/>
      <w:r/>
      <w:bookmarkStart w:id="68" w:name="_Toc20823283"/>
      <w:r/>
      <w:bookmarkStart w:id="69" w:name="_Toc462564070"/>
      <w:r>
        <w:rPr>
          <w:rFonts w:hint="eastAsia" w:ascii="仿宋" w:hAnsi="仿宋" w:eastAsia="仿宋" w:cs="仿宋"/>
          <w:color w:val="auto"/>
          <w:sz w:val="28"/>
          <w:szCs w:val="28"/>
          <w:highlight w:val="none"/>
        </w:rPr>
        <w:t xml:space="preserve">7、招标文件的澄清</w:t>
      </w:r>
      <w:bookmarkEnd w:id="66"/>
      <w:r/>
      <w:bookmarkEnd w:id="67"/>
      <w:r/>
      <w:bookmarkEnd w:id="68"/>
      <w:r/>
      <w:bookmarkEnd w:id="69"/>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7.1任何要求对招标文件进行澄清的投标人，应在投标截止期</w:t>
      </w:r>
      <w:r>
        <w:rPr>
          <w:rFonts w:hint="eastAsia" w:ascii="仿宋" w:hAnsi="仿宋" w:eastAsia="仿宋" w:cs="仿宋"/>
          <w:b/>
          <w:color w:val="auto"/>
          <w:highlight w:val="none"/>
        </w:rPr>
        <w:t xml:space="preserve">十日</w:t>
      </w:r>
      <w:r>
        <w:rPr>
          <w:rFonts w:hint="eastAsia" w:ascii="仿宋" w:hAnsi="仿宋" w:eastAsia="仿宋" w:cs="仿宋"/>
          <w:color w:val="auto"/>
          <w:highlight w:val="none"/>
        </w:rPr>
        <w:t xml:space="preserve">前按招标公告中的通讯地址，以书面形式通知采购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70" w:name="_Toc462564071"/>
      <w:r/>
      <w:bookmarkStart w:id="71" w:name="_Toc20823284"/>
      <w:r/>
      <w:bookmarkStart w:id="72" w:name="_Toc513029212"/>
      <w:r/>
      <w:bookmarkStart w:id="73" w:name="_Toc16938528"/>
      <w:r>
        <w:rPr>
          <w:rFonts w:hint="eastAsia" w:ascii="仿宋" w:hAnsi="仿宋" w:eastAsia="仿宋" w:cs="仿宋"/>
          <w:color w:val="auto"/>
          <w:sz w:val="28"/>
          <w:szCs w:val="28"/>
          <w:highlight w:val="none"/>
        </w:rPr>
        <w:t xml:space="preserve">8、招标文件的修改</w:t>
      </w:r>
      <w:bookmarkEnd w:id="70"/>
      <w:r/>
      <w:bookmarkEnd w:id="71"/>
      <w:r/>
      <w:bookmarkEnd w:id="72"/>
      <w:r/>
      <w:bookmarkEnd w:id="73"/>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8.1在投标截止时间前，采购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可以对招标文件进行修改。</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8.2采购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有权按照法定的要求推迟投标截止日期和开标日期。</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8.3招标文件的修改将在</w:t>
      </w:r>
      <w:r>
        <w:rPr>
          <w:rFonts w:hint="eastAsia" w:ascii="仿宋" w:hAnsi="仿宋" w:eastAsia="仿宋" w:cs="仿宋"/>
          <w:color w:val="auto"/>
          <w:highlight w:val="none"/>
          <w:lang w:val="en-US" w:eastAsia="zh-CN"/>
        </w:rPr>
        <w:t xml:space="preserve">中国政府采购网、</w:t>
      </w:r>
      <w:r>
        <w:rPr>
          <w:rFonts w:hint="eastAsia" w:ascii="仿宋" w:hAnsi="仿宋" w:eastAsia="仿宋" w:cs="仿宋"/>
          <w:color w:val="auto"/>
          <w:highlight w:val="none"/>
        </w:rPr>
        <w:t xml:space="preserve">江苏政府采购网</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盐城市政府采购网公布，补充文件将作为招标文件的组成部分，并对投标人具有约束力。</w:t>
      </w:r>
      <w:r/>
    </w:p>
    <w:p>
      <w:pPr>
        <w:pStyle w:val="864"/>
        <w:ind w:left="0" w:firstLine="643"/>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74" w:name="_Toc513029213"/>
      <w:r/>
      <w:bookmarkStart w:id="75" w:name="_Toc16938529"/>
      <w:r/>
      <w:bookmarkStart w:id="76" w:name="_Toc462564072"/>
      <w:r/>
      <w:bookmarkStart w:id="77" w:name="_Toc20823285"/>
      <w:r/>
      <w:bookmarkStart w:id="78" w:name="_Toc120614216"/>
      <w:r>
        <w:rPr>
          <w:rFonts w:hint="eastAsia" w:ascii="仿宋" w:hAnsi="仿宋" w:eastAsia="仿宋" w:cs="仿宋"/>
          <w:b/>
          <w:color w:val="auto"/>
          <w:sz w:val="32"/>
          <w:szCs w:val="32"/>
          <w:highlight w:val="none"/>
        </w:rPr>
        <w:t xml:space="preserve">三、投标文件的编制</w:t>
      </w:r>
      <w:bookmarkEnd w:id="74"/>
      <w:r/>
      <w:bookmarkEnd w:id="75"/>
      <w:r/>
      <w:bookmarkEnd w:id="76"/>
      <w:r/>
      <w:bookmarkEnd w:id="77"/>
      <w:r/>
      <w:bookmarkEnd w:id="78"/>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79" w:name="_Toc16938530"/>
      <w:r/>
      <w:bookmarkStart w:id="80" w:name="_Toc462564073"/>
      <w:r/>
      <w:bookmarkStart w:id="81" w:name="_Toc513029214"/>
      <w:r/>
      <w:bookmarkStart w:id="82" w:name="_Toc20823286"/>
      <w:r>
        <w:rPr>
          <w:rFonts w:hint="eastAsia" w:ascii="仿宋" w:hAnsi="仿宋" w:eastAsia="仿宋" w:cs="仿宋"/>
          <w:color w:val="auto"/>
          <w:sz w:val="28"/>
          <w:szCs w:val="28"/>
          <w:highlight w:val="none"/>
        </w:rPr>
        <w:t xml:space="preserve">9、投标文件的语言及度量衡单位</w:t>
      </w:r>
      <w:bookmarkEnd w:id="79"/>
      <w:r/>
      <w:bookmarkEnd w:id="80"/>
      <w:r/>
      <w:bookmarkEnd w:id="81"/>
      <w:r/>
      <w:bookmarkEnd w:id="82"/>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9.1投标人提交的投标文件以及投标人与采购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就有关投标的所有来往通知、函件和文件均应使用</w:t>
      </w:r>
      <w:r>
        <w:rPr>
          <w:rFonts w:hint="eastAsia" w:ascii="仿宋" w:hAnsi="仿宋" w:eastAsia="仿宋" w:cs="仿宋"/>
          <w:b/>
          <w:color w:val="auto"/>
          <w:highlight w:val="none"/>
        </w:rPr>
        <w:t xml:space="preserve">简体中文</w:t>
      </w:r>
      <w:r>
        <w:rPr>
          <w:rFonts w:hint="eastAsia" w:ascii="仿宋" w:hAnsi="仿宋" w:eastAsia="仿宋" w:cs="仿宋"/>
          <w:color w:val="auto"/>
          <w:highlight w:val="none"/>
        </w:rPr>
        <w:t xml:space="preserve">。</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9.2除技术性能另有规定外，投标文件所使用的度量衡单位，均须采用国家法定计量单位。</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83" w:name="_Toc20823287"/>
      <w:r/>
      <w:bookmarkStart w:id="84" w:name="_Toc16938531"/>
      <w:r/>
      <w:bookmarkStart w:id="85" w:name="_Toc513029215"/>
      <w:r/>
      <w:bookmarkStart w:id="86" w:name="_Toc462564074"/>
      <w:r>
        <w:rPr>
          <w:rFonts w:hint="eastAsia" w:ascii="仿宋" w:hAnsi="仿宋" w:eastAsia="仿宋" w:cs="仿宋"/>
          <w:color w:val="auto"/>
          <w:sz w:val="28"/>
          <w:szCs w:val="28"/>
          <w:highlight w:val="none"/>
        </w:rPr>
        <w:t xml:space="preserve">10、投标文件构成</w:t>
      </w:r>
      <w:bookmarkEnd w:id="83"/>
      <w:r/>
      <w:bookmarkEnd w:id="84"/>
      <w:r/>
      <w:bookmarkEnd w:id="85"/>
      <w:r/>
      <w:bookmarkEnd w:id="86"/>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10.2如标书制作工</w:t>
      </w:r>
      <w:r>
        <w:rPr>
          <w:rFonts w:hint="eastAsia" w:ascii="仿宋" w:hAnsi="仿宋" w:eastAsia="仿宋" w:cs="仿宋"/>
          <w:color w:val="auto"/>
          <w:highlight w:val="none"/>
        </w:rPr>
        <w:t xml:space="preserve">具中格式和内容与</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w:t>
      </w:r>
      <w:r>
        <w:rPr>
          <w:rFonts w:hint="eastAsia" w:ascii="仿宋" w:hAnsi="仿宋" w:eastAsia="仿宋" w:cs="仿宋"/>
          <w:color w:val="auto"/>
          <w:sz w:val="28"/>
          <w:szCs w:val="28"/>
          <w:highlight w:val="none"/>
          <w:lang w:val="en-US" w:eastAsia="zh-CN" w:bidi="ar-SA"/>
        </w:rPr>
        <w:t xml:space="preserve">中国政府采购网</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w:t>
      </w:r>
      <w:r>
        <w:rPr>
          <w:rFonts w:hint="eastAsia" w:ascii="仿宋" w:hAnsi="仿宋" w:eastAsia="仿宋" w:cs="仿宋"/>
          <w:color w:val="auto"/>
          <w:highlight w:val="none"/>
        </w:rPr>
        <w:t xml:space="preserve">“江苏政府采购网”、“盐城市政府采购网”</w:t>
      </w:r>
      <w:r>
        <w:rPr>
          <w:rFonts w:hint="eastAsia" w:ascii="仿宋" w:hAnsi="仿宋" w:eastAsia="仿宋" w:cs="仿宋"/>
          <w:color w:val="auto"/>
          <w:highlight w:val="none"/>
        </w:rPr>
        <w:t xml:space="preserve">发布的招标文件不一致，请以</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w:t>
      </w:r>
      <w:r>
        <w:rPr>
          <w:rFonts w:hint="eastAsia" w:ascii="仿宋" w:hAnsi="仿宋" w:eastAsia="仿宋" w:cs="仿宋"/>
          <w:color w:val="auto"/>
          <w:sz w:val="28"/>
          <w:szCs w:val="28"/>
          <w:highlight w:val="none"/>
          <w:lang w:val="en-US" w:eastAsia="zh-CN" w:bidi="ar-SA"/>
        </w:rPr>
        <w:t xml:space="preserve">中国政府采购网</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w:t>
      </w:r>
      <w:r>
        <w:rPr>
          <w:rFonts w:hint="eastAsia" w:ascii="仿宋" w:hAnsi="仿宋" w:eastAsia="仿宋" w:cs="仿宋"/>
          <w:color w:val="auto"/>
          <w:highlight w:val="none"/>
        </w:rPr>
        <w:t xml:space="preserve">“江苏政府采购网”、</w:t>
      </w:r>
      <w:r>
        <w:rPr>
          <w:rFonts w:hint="eastAsia" w:ascii="仿宋" w:hAnsi="仿宋" w:eastAsia="仿宋" w:cs="仿宋"/>
          <w:color w:val="auto"/>
          <w:highlight w:val="none"/>
        </w:rPr>
        <w:t xml:space="preserve">“盐城市政府采购网”</w:t>
      </w:r>
      <w:r>
        <w:rPr>
          <w:rFonts w:hint="eastAsia" w:ascii="仿宋" w:hAnsi="仿宋" w:eastAsia="仿宋" w:cs="仿宋"/>
          <w:color w:val="auto"/>
          <w:highlight w:val="none"/>
        </w:rPr>
        <w:t xml:space="preserve">发布的招标文件为准。</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87" w:name="_Toc14577357"/>
      <w:r/>
      <w:bookmarkStart w:id="88" w:name="_Toc49090509"/>
      <w:r/>
      <w:bookmarkStart w:id="89" w:name="_Toc513029219"/>
      <w:r/>
      <w:bookmarkStart w:id="90" w:name="_Toc49090507"/>
      <w:r/>
      <w:bookmarkStart w:id="91" w:name="_Toc513029216"/>
      <w:r/>
      <w:bookmarkStart w:id="92" w:name="_Toc14577354"/>
      <w:r/>
      <w:bookmarkStart w:id="93" w:name="_Hlt26668975"/>
      <w:r/>
      <w:bookmarkStart w:id="94" w:name="_Hlt26954838"/>
      <w:r/>
      <w:bookmarkStart w:id="95" w:name="_Hlt26670360"/>
      <w:r>
        <w:rPr>
          <w:rFonts w:hint="eastAsia" w:ascii="仿宋" w:hAnsi="仿宋" w:eastAsia="仿宋" w:cs="仿宋"/>
          <w:color w:val="auto"/>
          <w:sz w:val="28"/>
          <w:szCs w:val="28"/>
          <w:highlight w:val="none"/>
        </w:rPr>
        <w:t xml:space="preserve">11、证明投标人及投标标的符合招标文件规定的文件</w:t>
      </w:r>
      <w:bookmarkEnd w:id="87"/>
      <w:r/>
      <w:bookmarkEnd w:id="88"/>
      <w:r/>
      <w:bookmarkEnd w:id="89"/>
      <w:r/>
      <w:bookmarkEnd w:id="90"/>
      <w:r/>
      <w:bookmarkEnd w:id="91"/>
      <w:r/>
      <w:bookmarkEnd w:id="92"/>
      <w:r/>
      <w:bookmarkStart w:id="96" w:name="_Toc14577355"/>
      <w:r/>
      <w:bookmarkStart w:id="97" w:name="_Toc49090508"/>
      <w:r/>
      <w:r/>
    </w:p>
    <w:p>
      <w:pPr>
        <w:pStyle w:val="864"/>
        <w:ind w:left="0" w:firstLine="48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11.1投标人应按照法律、法规、规章和规范性文件以及招标文件要求提交证明文件，证明其及投标标的符合招标文件规定。</w:t>
      </w:r>
      <w:bookmarkEnd w:id="96"/>
      <w:r/>
      <w:bookmarkEnd w:id="97"/>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11.2招标文件对证明文件无明确形式要求的，证明文件可以以文字资料、图纸和数据等形式提交。</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12、投标分项报价</w:t>
      </w:r>
      <w:bookmarkStart w:id="98" w:name="_Hlt26670373"/>
      <w:r>
        <w:rPr>
          <w:rFonts w:hint="eastAsia" w:ascii="仿宋" w:hAnsi="仿宋" w:eastAsia="仿宋" w:cs="仿宋"/>
          <w:color w:val="auto"/>
          <w:sz w:val="28"/>
          <w:szCs w:val="28"/>
          <w:highlight w:val="none"/>
        </w:rPr>
        <w:t xml:space="preserve">表</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12.1投</w:t>
      </w:r>
      <w:bookmarkStart w:id="99" w:name="_Hlt26954840"/>
      <w:r>
        <w:rPr>
          <w:rFonts w:hint="eastAsia" w:ascii="仿宋" w:hAnsi="仿宋" w:eastAsia="仿宋" w:cs="仿宋"/>
          <w:color w:val="auto"/>
          <w:highlight w:val="none"/>
        </w:rPr>
        <w:t xml:space="preserve">标人应按照招标文件规定格式填报投标分项报价表</w:t>
      </w:r>
      <w:bookmarkStart w:id="100" w:name="_Hlt26670399"/>
      <w:r>
        <w:rPr>
          <w:rFonts w:hint="eastAsia" w:ascii="仿宋" w:hAnsi="仿宋" w:eastAsia="仿宋" w:cs="仿宋"/>
          <w:color w:val="auto"/>
          <w:highlight w:val="none"/>
        </w:rPr>
        <w:t xml:space="preserve">。</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12.2投标货币。投标文件中的单价和总价无特殊规定的采用人民币报价，以元为单位标注。招标文件中另有规定的按规定执行。</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101" w:name="_Hlt26670403"/>
      <w:r/>
      <w:bookmarkStart w:id="102" w:name="_Hlt26954846"/>
      <w:r/>
      <w:bookmarkStart w:id="103" w:name="_Hlt26668983"/>
      <w:r/>
      <w:bookmarkStart w:id="104" w:name="_Hlt26954848"/>
      <w:r/>
      <w:bookmarkStart w:id="105" w:name="_Hlt26954842"/>
      <w:r/>
      <w:bookmarkStart w:id="106" w:name="_Hlt26670425"/>
      <w:r/>
      <w:bookmarkStart w:id="107" w:name="_Hlt26670482"/>
      <w:r/>
      <w:bookmarkStart w:id="108" w:name="_Hlt26670486"/>
      <w:r/>
      <w:bookmarkStart w:id="109" w:name="_Hlt26954844"/>
      <w:r/>
      <w:bookmarkStart w:id="110" w:name="_Hlt26954731"/>
      <w:r>
        <w:rPr>
          <w:rFonts w:hint="eastAsia" w:ascii="仿宋" w:hAnsi="仿宋" w:eastAsia="仿宋" w:cs="仿宋"/>
          <w:color w:val="auto"/>
          <w:sz w:val="28"/>
          <w:szCs w:val="28"/>
          <w:highlight w:val="none"/>
        </w:rPr>
        <w:t xml:space="preserve">13、技术要求响应及偏离表、商务要求响应及偏离表</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13.1投标人需对招标文件中的技术要求与商务要求逐项作出响应或偏离，并说明原因。</w:t>
      </w:r>
      <w:r/>
    </w:p>
    <w:p>
      <w:pPr>
        <w:pStyle w:val="864"/>
        <w:ind w:left="0" w:firstLine="480"/>
        <w:jc w:val="both"/>
        <w:pageBreakBefore w:val="0"/>
        <w:spacing w:beforeAutospacing="0" w:afterAutospacing="0" w:line="360" w:lineRule="auto"/>
        <w:widowControl w:val="off"/>
        <w:tabs>
          <w:tab w:val="left" w:pos="1036"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13.2投标人可在投标文件中提供认为需要的其他技术文件或说明。</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111" w:name="_Toc49090510"/>
      <w:r/>
      <w:bookmarkStart w:id="112" w:name="_Toc14577359"/>
      <w:r>
        <w:rPr>
          <w:rFonts w:hint="eastAsia" w:ascii="仿宋" w:hAnsi="仿宋" w:eastAsia="仿宋" w:cs="仿宋"/>
          <w:color w:val="auto"/>
          <w:sz w:val="28"/>
          <w:szCs w:val="28"/>
          <w:highlight w:val="none"/>
        </w:rPr>
        <w:t xml:space="preserve">14、投标函和开标一览表</w:t>
      </w:r>
      <w:bookmarkEnd w:id="111"/>
      <w:r/>
      <w:bookmarkEnd w:id="112"/>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14.1投标人应按照招标文件中提供的格式完整、正确填写投标函、开标一览表。</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b/>
          <w:color w:val="auto"/>
          <w:highlight w:val="none"/>
        </w:rPr>
        <w:t xml:space="preserve">。</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113" w:name="_Toc14577360"/>
      <w:r/>
      <w:bookmarkStart w:id="114" w:name="_Toc49090511"/>
      <w:r/>
      <w:bookmarkStart w:id="115" w:name="_Hlt26954734"/>
      <w:r/>
      <w:bookmarkStart w:id="116" w:name="_Hlt26670489"/>
      <w:r/>
      <w:bookmarkStart w:id="117" w:name="_Hlt26954850"/>
      <w:r>
        <w:rPr>
          <w:rFonts w:hint="eastAsia" w:ascii="仿宋" w:hAnsi="仿宋" w:eastAsia="仿宋" w:cs="仿宋"/>
          <w:color w:val="auto"/>
          <w:sz w:val="28"/>
          <w:szCs w:val="28"/>
          <w:highlight w:val="none"/>
        </w:rPr>
        <w:t xml:space="preserve">15、投标有效期</w:t>
      </w:r>
      <w:bookmarkEnd w:id="113"/>
      <w:r/>
      <w:bookmarkEnd w:id="114"/>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15.1投标有效期为采购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规定的开标之日后</w:t>
      </w:r>
      <w:r>
        <w:rPr>
          <w:rFonts w:hint="eastAsia" w:ascii="仿宋" w:hAnsi="仿宋" w:eastAsia="仿宋" w:cs="仿宋"/>
          <w:b/>
          <w:color w:val="auto"/>
          <w:highlight w:val="none"/>
          <w:u w:val="single"/>
        </w:rPr>
        <w:t xml:space="preserve">六十（60）天</w:t>
      </w:r>
      <w:r>
        <w:rPr>
          <w:rFonts w:hint="eastAsia" w:ascii="仿宋" w:hAnsi="仿宋" w:eastAsia="仿宋" w:cs="仿宋"/>
          <w:color w:val="auto"/>
          <w:highlight w:val="none"/>
        </w:rPr>
        <w:t xml:space="preserve">。投标有效期比规定短的将被视为未实质性响应招标文件而予以拒绝。</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16、投标有效期的延长</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16.1在特殊情况下，采购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于原投标有效期满之前，可向投标人提出延长投标有效期的要求。这种要求与答复均应采用书面形式。投标人可以拒绝采购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的这一要求而放弃投标。同意延长投标有效期的投标人既不能要求也不允许修改其投标文件，同时受投标有效期约束的所有权利与义务均延长至新的有效期。</w:t>
      </w:r>
      <w:r/>
    </w:p>
    <w:p>
      <w:pPr>
        <w:pStyle w:val="864"/>
        <w:ind w:left="0" w:firstLine="643"/>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118" w:name="_Toc20823296"/>
      <w:r/>
      <w:bookmarkStart w:id="119" w:name="_Toc16938540"/>
      <w:r/>
      <w:bookmarkStart w:id="120" w:name="_Toc513029224"/>
      <w:r/>
      <w:bookmarkStart w:id="121" w:name="_Toc120614217"/>
      <w:r/>
      <w:bookmarkStart w:id="122" w:name="_Hlt26954739"/>
      <w:r/>
      <w:bookmarkStart w:id="123" w:name="_Hlt26954852"/>
      <w:r>
        <w:rPr>
          <w:rFonts w:hint="eastAsia" w:ascii="仿宋" w:hAnsi="仿宋" w:eastAsia="仿宋" w:cs="仿宋"/>
          <w:b/>
          <w:color w:val="auto"/>
          <w:sz w:val="32"/>
          <w:szCs w:val="32"/>
          <w:highlight w:val="none"/>
        </w:rPr>
        <w:t xml:space="preserve">四、投标文件的递交</w:t>
      </w:r>
      <w:bookmarkEnd w:id="118"/>
      <w:r/>
      <w:bookmarkEnd w:id="119"/>
      <w:r/>
      <w:bookmarkEnd w:id="120"/>
      <w:r/>
      <w:bookmarkEnd w:id="121"/>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124" w:name="_Toc20823297"/>
      <w:r/>
      <w:bookmarkStart w:id="125" w:name="_Toc462564084"/>
      <w:r/>
      <w:bookmarkStart w:id="126" w:name="_Toc513029225"/>
      <w:r/>
      <w:bookmarkStart w:id="127" w:name="_Toc16938541"/>
      <w:r>
        <w:rPr>
          <w:rFonts w:hint="eastAsia" w:ascii="仿宋" w:hAnsi="仿宋" w:eastAsia="仿宋" w:cs="仿宋"/>
          <w:color w:val="auto"/>
          <w:sz w:val="28"/>
          <w:szCs w:val="28"/>
          <w:highlight w:val="none"/>
        </w:rPr>
        <w:t xml:space="preserve">17、投标文件</w:t>
      </w:r>
      <w:bookmarkEnd w:id="124"/>
      <w:r/>
      <w:bookmarkEnd w:id="125"/>
      <w:r/>
      <w:bookmarkEnd w:id="126"/>
      <w:r/>
      <w:bookmarkEnd w:id="127"/>
      <w:r>
        <w:rPr>
          <w:rFonts w:hint="eastAsia" w:ascii="仿宋" w:hAnsi="仿宋" w:eastAsia="仿宋" w:cs="仿宋"/>
          <w:color w:val="auto"/>
          <w:sz w:val="28"/>
          <w:szCs w:val="28"/>
          <w:highlight w:val="none"/>
        </w:rPr>
        <w:t xml:space="preserve">的递交</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17.1 电子投标文件的递交</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18、投标截止时间</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i/>
          <w:color w:val="auto"/>
          <w:highlight w:val="none"/>
          <w:u w:val="single"/>
        </w:rPr>
        <w:t xml:space="preserve">18.1投标人上传电子投标文件的时间不得迟于招标公告中规定的投标截止时间。</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18.2采购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可以按照规定，通过修改招标文件酌情延长投标截止时间，在此情况下，投标人的所有权利和义务以及投标人受制的截止时间均应以延长后新的截止时间为准。</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131" w:name="_Toc513029227"/>
      <w:r/>
      <w:bookmarkStart w:id="132" w:name="_Toc16938543"/>
      <w:r/>
      <w:bookmarkStart w:id="133" w:name="_Toc20823299"/>
      <w:r>
        <w:rPr>
          <w:rFonts w:hint="eastAsia" w:ascii="仿宋" w:hAnsi="仿宋" w:eastAsia="仿宋" w:cs="仿宋"/>
          <w:color w:val="auto"/>
          <w:sz w:val="28"/>
          <w:szCs w:val="28"/>
          <w:highlight w:val="none"/>
        </w:rPr>
        <w:t xml:space="preserve">19、投标文件</w:t>
      </w:r>
      <w:bookmarkEnd w:id="131"/>
      <w:r/>
      <w:bookmarkEnd w:id="132"/>
      <w:r/>
      <w:bookmarkEnd w:id="133"/>
      <w:r>
        <w:rPr>
          <w:rFonts w:hint="eastAsia" w:ascii="仿宋" w:hAnsi="仿宋" w:eastAsia="仿宋" w:cs="仿宋"/>
          <w:color w:val="auto"/>
          <w:sz w:val="28"/>
          <w:szCs w:val="28"/>
          <w:highlight w:val="none"/>
        </w:rPr>
        <w:t xml:space="preserve">的拒收</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19.1采购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拒绝接收在其规定的投标截止时间后上传的任何投标文件。</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134" w:name="_Toc513029228"/>
      <w:r/>
      <w:bookmarkStart w:id="135" w:name="_Toc20823300"/>
      <w:r/>
      <w:bookmarkStart w:id="136" w:name="_Toc16938544"/>
      <w:r>
        <w:rPr>
          <w:rFonts w:hint="eastAsia" w:ascii="仿宋" w:hAnsi="仿宋" w:eastAsia="仿宋" w:cs="仿宋"/>
          <w:color w:val="auto"/>
          <w:sz w:val="28"/>
          <w:szCs w:val="28"/>
          <w:highlight w:val="none"/>
        </w:rPr>
        <w:t xml:space="preserve">20、投标文件的撤回和修改</w:t>
      </w:r>
      <w:bookmarkEnd w:id="134"/>
      <w:r/>
      <w:bookmarkEnd w:id="135"/>
      <w:r/>
      <w:bookmarkEnd w:id="136"/>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20.1投标文件的撤回</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21.1.1电子投标文件的撤回</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投标人可在投标截止时间前，撤回其电子投标文件，具体操作方法见《操作手册》。</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21.1.2投标人撤回电子投标文件，则认为其不再参与本项目投标活动。</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20.2 投标文件的修改</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20.2.1投标人可在投标截止时间前，对其电子投标文件进行修改，具体操作方法见《操作手册》。</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20.2.2在投标截止时间之后，投标人不得对其电子投标文件作任何修改。</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20.3在投标截止时间至招标文件中规定的投标有效期满之间的这段时间内，投标人不得撤回其投标。</w:t>
      </w:r>
      <w:r/>
    </w:p>
    <w:p>
      <w:pPr>
        <w:pStyle w:val="864"/>
        <w:ind w:left="0" w:firstLine="643"/>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137" w:name="_Toc16938545"/>
      <w:r/>
      <w:bookmarkStart w:id="138" w:name="_Toc513029229"/>
      <w:r/>
      <w:bookmarkStart w:id="139" w:name="_Toc120614218"/>
      <w:r/>
      <w:bookmarkStart w:id="140" w:name="_Toc20823301"/>
      <w:r>
        <w:rPr>
          <w:rFonts w:hint="eastAsia" w:ascii="仿宋" w:hAnsi="仿宋" w:eastAsia="仿宋" w:cs="仿宋"/>
          <w:b/>
          <w:color w:val="auto"/>
          <w:sz w:val="32"/>
          <w:szCs w:val="32"/>
          <w:highlight w:val="none"/>
        </w:rPr>
        <w:t xml:space="preserve">五、开标与评标</w:t>
      </w:r>
      <w:bookmarkEnd w:id="137"/>
      <w:r/>
      <w:bookmarkEnd w:id="138"/>
      <w:r/>
      <w:bookmarkEnd w:id="139"/>
      <w:r/>
      <w:bookmarkEnd w:id="140"/>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141" w:name="_Toc513029230"/>
      <w:r/>
      <w:bookmarkStart w:id="142" w:name="_Toc16938546"/>
      <w:r/>
      <w:bookmarkStart w:id="143" w:name="_Toc20823302"/>
      <w:r>
        <w:rPr>
          <w:rFonts w:hint="eastAsia" w:ascii="仿宋" w:hAnsi="仿宋" w:eastAsia="仿宋" w:cs="仿宋"/>
          <w:color w:val="auto"/>
          <w:sz w:val="28"/>
          <w:szCs w:val="28"/>
          <w:highlight w:val="none"/>
        </w:rPr>
        <w:t xml:space="preserve">21、开标</w:t>
      </w:r>
      <w:bookmarkEnd w:id="141"/>
      <w:r/>
      <w:bookmarkEnd w:id="142"/>
      <w:r/>
      <w:bookmarkEnd w:id="143"/>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21.1采购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将在招标公告中规定的时间和地点组织公开开标。投标人应当按照《操作手册》规定，参加开标活动和在苏采云系统规定的时间内对投标文件进行解密。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21.2开标仪式由采购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组织。苏采云系统将自动对项目进行开标，并宣布各投标人名称和投标价格。</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21.3投标人在开标过程中涉及到的投标文件解密、开标结果确认等工作，应按照《操作手册》规定执行。</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21.4投标人如果对开标过程和开标记录有疑义，应当根据《操作手册》规定提出，如苏采云系统中《开标记录表》宣布后5分钟内未提出的，视同认可开标结果。</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144" w:name="_Toc20823303"/>
      <w:r/>
      <w:bookmarkStart w:id="145" w:name="_Toc16938547"/>
      <w:r/>
      <w:bookmarkStart w:id="146" w:name="_Toc513029231"/>
      <w:r>
        <w:rPr>
          <w:rFonts w:hint="eastAsia" w:ascii="仿宋" w:hAnsi="仿宋" w:eastAsia="仿宋" w:cs="仿宋"/>
          <w:color w:val="auto"/>
          <w:sz w:val="28"/>
          <w:szCs w:val="28"/>
          <w:highlight w:val="none"/>
        </w:rPr>
        <w:t xml:space="preserve">22、评标委员会</w:t>
      </w:r>
      <w:bookmarkEnd w:id="144"/>
      <w:r/>
      <w:bookmarkEnd w:id="145"/>
      <w:r/>
      <w:bookmarkEnd w:id="146"/>
      <w:r/>
      <w:r/>
    </w:p>
    <w:p>
      <w:pPr>
        <w:pStyle w:val="864"/>
        <w:ind w:left="0" w:firstLine="482"/>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b/>
          <w:color w:val="auto"/>
          <w:highlight w:val="none"/>
        </w:rPr>
        <w:t xml:space="preserve">  </w:t>
      </w:r>
      <w:r>
        <w:rPr>
          <w:rFonts w:hint="eastAsia" w:ascii="仿宋" w:hAnsi="仿宋" w:eastAsia="仿宋" w:cs="仿宋"/>
          <w:color w:val="auto"/>
          <w:highlight w:val="none"/>
        </w:rPr>
        <w:t xml:space="preserve">22.1开标后，采购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将立即组织评标委员会（以下简称评委会）进行评标。</w:t>
      </w:r>
      <w:r/>
    </w:p>
    <w:p>
      <w:pPr>
        <w:pStyle w:val="864"/>
        <w:ind w:left="0" w:firstLine="482"/>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b/>
          <w:color w:val="auto"/>
          <w:highlight w:val="none"/>
        </w:rPr>
        <w:t xml:space="preserve">  </w:t>
      </w:r>
      <w:r>
        <w:rPr>
          <w:rFonts w:hint="eastAsia" w:ascii="仿宋" w:hAnsi="仿宋" w:eastAsia="仿宋" w:cs="仿宋"/>
          <w:color w:val="auto"/>
          <w:highlight w:val="none"/>
        </w:rPr>
        <w:t xml:space="preserve">22.2评委会由采购人代表和有关技术、经济等方面的专家组成，且人员构成符合政府采购有关规定。</w:t>
      </w:r>
      <w:r/>
    </w:p>
    <w:p>
      <w:pPr>
        <w:pStyle w:val="864"/>
        <w:ind w:left="0" w:firstLine="482"/>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b/>
          <w:color w:val="auto"/>
          <w:highlight w:val="none"/>
        </w:rPr>
        <w:t xml:space="preserve">  </w:t>
      </w:r>
      <w:r>
        <w:rPr>
          <w:rFonts w:hint="eastAsia" w:ascii="仿宋" w:hAnsi="仿宋" w:eastAsia="仿宋" w:cs="仿宋"/>
          <w:color w:val="auto"/>
          <w:highlight w:val="none"/>
        </w:rPr>
        <w:t xml:space="preserve">22.3评委会独立工作，负责评审所有投标文件并确定中标侯选人。</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23、评标过程的保密与公正</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23.1凡是与审查、澄清、评价和比较投标的有关资料以及授标建议等，采购人、评委、采购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均不得向投标人或与评标无关的其他人员透露。</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23.2在评标过程中，投标人不得以任何行为影响评标过程，否则其投标文件将被作为无效投标文件。</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23.3采购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和评标委员会不向未中标的投标人解释未中标原因，也不公布评标过程中的相关细节。</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23.4采用综合评分法的项目，未中标的投标人可于中标结果公告期限届满之日起通过苏采云系统查看自己的评审得分及排序情况。</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147" w:name="_Toc16938548"/>
      <w:r/>
      <w:bookmarkStart w:id="148" w:name="_Toc20823304"/>
      <w:r/>
      <w:bookmarkStart w:id="149" w:name="_Toc513029232"/>
      <w:r>
        <w:rPr>
          <w:rFonts w:hint="eastAsia" w:ascii="仿宋" w:hAnsi="仿宋" w:eastAsia="仿宋" w:cs="仿宋"/>
          <w:color w:val="auto"/>
          <w:sz w:val="28"/>
          <w:szCs w:val="28"/>
          <w:highlight w:val="none"/>
        </w:rPr>
        <w:t xml:space="preserve">24、投标文件的澄清</w:t>
      </w:r>
      <w:bookmarkEnd w:id="147"/>
      <w:r/>
      <w:bookmarkEnd w:id="148"/>
      <w:r/>
      <w:bookmarkEnd w:id="149"/>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24.1评标期间，评委会对投标文件中含义不明确、同类问题表述不一致或者有明显文字和计算错误的内容 ，有权要求投标人作出必要的澄清、说明或者补正。</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投标人的澄清、说明或者补正不得超出投标文件的范围或者改变投标文件的实质性内容。</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评标委员会并非对每个投标人都做澄清要求。</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24.3接到评委会澄清、说明和补正要求的投标人如未按规定做出澄清、说明和补正，其风险由投标人自行承担。</w:t>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150" w:name="_Toc20823305"/>
      <w:r/>
      <w:bookmarkStart w:id="151" w:name="_Toc16938549"/>
      <w:r/>
      <w:bookmarkStart w:id="152" w:name="_Toc513029233"/>
      <w:r>
        <w:rPr>
          <w:rFonts w:hint="eastAsia" w:ascii="仿宋" w:hAnsi="仿宋" w:eastAsia="仿宋" w:cs="仿宋"/>
          <w:color w:val="auto"/>
          <w:sz w:val="28"/>
          <w:szCs w:val="28"/>
          <w:highlight w:val="none"/>
        </w:rPr>
        <w:t xml:space="preserve">25、对投标文件的初审</w:t>
      </w:r>
      <w:bookmarkEnd w:id="150"/>
      <w:r/>
      <w:bookmarkEnd w:id="151"/>
      <w:r/>
      <w:bookmarkEnd w:id="152"/>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25.1投标文件初审分为资格审查和符合性审查。</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采购人在进行资格性审查的同时，将在“信用中国”网站（www.creditchina.gov.cn）查询投标人的信用记录，以确定投标人是否具备投标资格,查询结果留存并归档。</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25.1.3未通过资格审查或符合性审查的投标人，采购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将在苏采云系统中告知未通过资格审查或符合性审查的原因，评标结束后，采购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将不再告知未通过资格审查和符合性审查的原因。</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所谓重大偏离或保留是指与招标文件规定的实质性要求存在负偏离，或者在实质上与招标文件不一致，而且限制了合同中买方和采购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25.4评委会将对确定为实质性响应的投标进行进一步审核，确定其是否有计算上或累加上的算术错误，修正错误的原则如下：</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（1）投标文件中开标一览表内容与投标文件中相应内容不一致的，以开标一览表为准。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（2）大写金额和小写金额不一致的，以大写金额为准。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（3）单价金额小数点或者百分比有明显错位的，以开标一览表的总价为准，并修改单价。</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（4）总价金额与按单价汇总金额不一致的，以单价金额计算结果为准。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同时出现两种以上错误的，按照前款规定的顺序修正。</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bookmarkStart w:id="153" w:name="_Toc20823306"/>
      <w:r/>
      <w:bookmarkStart w:id="154" w:name="_Toc513029234"/>
      <w:r/>
      <w:bookmarkStart w:id="155" w:name="_Toc16938550"/>
      <w:r>
        <w:rPr>
          <w:rFonts w:hint="eastAsia" w:ascii="仿宋" w:hAnsi="仿宋" w:eastAsia="仿宋" w:cs="仿宋"/>
          <w:color w:val="auto"/>
          <w:highlight w:val="none"/>
        </w:rPr>
        <w:t xml:space="preserve">25.6投标人在开、评标全过程中应保持通讯畅通，及时登录苏采云系统查阅、答复相关信息，并安排专人与采购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及评标委员会联系。</w:t>
      </w:r>
      <w:bookmarkEnd w:id="153"/>
      <w:r/>
      <w:bookmarkEnd w:id="154"/>
      <w:r/>
      <w:bookmarkEnd w:id="155"/>
      <w:r/>
      <w:r/>
    </w:p>
    <w:p>
      <w:pPr>
        <w:pStyle w:val="864"/>
        <w:ind w:left="0" w:firstLine="56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26、无效投标条款和废标条款</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bookmarkStart w:id="156" w:name="_Toc16938551"/>
      <w:r/>
      <w:bookmarkStart w:id="157" w:name="_Toc513029235"/>
      <w:r/>
      <w:bookmarkStart w:id="158" w:name="_Toc20823307"/>
      <w:r>
        <w:rPr>
          <w:rFonts w:hint="eastAsia" w:ascii="仿宋" w:hAnsi="仿宋" w:eastAsia="仿宋" w:cs="仿宋"/>
          <w:color w:val="auto"/>
          <w:highlight w:val="none"/>
        </w:rPr>
        <w:t xml:space="preserve">26.1无效投标条款</w:t>
      </w:r>
      <w:bookmarkEnd w:id="156"/>
      <w:r/>
      <w:bookmarkEnd w:id="157"/>
      <w:r/>
      <w:bookmarkEnd w:id="158"/>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26.1.1投标人在苏采云系统规定的时间内未成功解密电子投标文件的。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26.1.2投标人未按照招标文件要求上传电子投标文件的。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26.1.3同一投标人提交两个（含两个）以上不同的投标报价的。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26.1.4投标人不具备招标文件中规定资格要求的。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26.1.5投标人的报价超过了采购预算或最高限价的。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26.1.6未通过符合性审查的。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26.1.7不符合招标文件中规定的实质性要求和条件的（</w:t>
      </w:r>
      <w:r>
        <w:rPr>
          <w:rFonts w:hint="eastAsia" w:ascii="仿宋" w:hAnsi="仿宋" w:eastAsia="仿宋" w:cs="仿宋"/>
          <w:i/>
          <w:color w:val="auto"/>
          <w:highlight w:val="none"/>
          <w:u w:val="single"/>
        </w:rPr>
        <w:t xml:space="preserve">本招标文件中斜体且有下划线部分为实质性要求和条件）。</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26.1.9投标文件含有采购人不能接受的附加条件的。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26.1.11投标文件未按照招标文件要求加盖CA电子公章的。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26.1.12</w:t>
      </w:r>
      <w:r>
        <w:rPr>
          <w:rFonts w:hint="default" w:ascii="仿宋" w:hAnsi="仿宋" w:eastAsia="仿宋" w:cs="仿宋"/>
          <w:color w:val="auto"/>
          <w:highlight w:val="none"/>
          <w:lang w:val="en-US" w:eastAsia="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26.1.1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其他法律、法规及本招标文件规定的属无效投标的情形。</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26.2废标条款</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26.2.1符合专业条件的供应商或者对招标文件作实质响应的供应商不足三家的。26.2.2出现影响采购公正的违法、违规行为的。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26.2.3因重大变故，采购任务取消的。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26.2.4评标委员会认定招标文件存在歧义、重大缺陷导致评审工作无法进行。</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26.2.5因苏采云系统系统故障原因造成开标不成功的。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26.3 投标截止时间结束后参加投标的供应商不足三家的处理：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26.3.1如出现投标截止时间结束后参加投标的供应商或者在评标期间对招标文件做出实质响应的供应商不足三家情况，按政府采购相关规定执行。</w:t>
      </w:r>
      <w:r/>
    </w:p>
    <w:p>
      <w:pPr>
        <w:pStyle w:val="864"/>
        <w:ind w:left="0" w:firstLine="643"/>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159" w:name="_Toc120614219"/>
      <w:r>
        <w:rPr>
          <w:rFonts w:hint="eastAsia" w:ascii="仿宋" w:hAnsi="仿宋" w:eastAsia="仿宋" w:cs="仿宋"/>
          <w:b/>
          <w:color w:val="auto"/>
          <w:sz w:val="32"/>
          <w:szCs w:val="32"/>
          <w:highlight w:val="none"/>
        </w:rPr>
        <w:t xml:space="preserve">六、定标</w:t>
      </w:r>
      <w:bookmarkEnd w:id="159"/>
      <w:r/>
      <w:r/>
    </w:p>
    <w:p>
      <w:pPr>
        <w:pStyle w:val="864"/>
        <w:ind w:left="0" w:firstLine="60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160" w:name="_Toc20823310"/>
      <w:r/>
      <w:bookmarkStart w:id="161" w:name="_Toc16938554"/>
      <w:r/>
      <w:bookmarkStart w:id="162" w:name="_Toc513029238"/>
      <w:r>
        <w:rPr>
          <w:rFonts w:hint="eastAsia" w:ascii="仿宋" w:hAnsi="仿宋" w:eastAsia="仿宋" w:cs="仿宋"/>
          <w:color w:val="auto"/>
          <w:sz w:val="30"/>
          <w:szCs w:val="30"/>
          <w:highlight w:val="none"/>
        </w:rPr>
        <w:t xml:space="preserve">27、</w:t>
      </w:r>
      <w:bookmarkEnd w:id="160"/>
      <w:r>
        <w:rPr>
          <w:rFonts w:hint="eastAsia" w:ascii="仿宋" w:hAnsi="仿宋" w:eastAsia="仿宋" w:cs="仿宋"/>
          <w:color w:val="auto"/>
          <w:sz w:val="30"/>
          <w:szCs w:val="30"/>
          <w:highlight w:val="none"/>
        </w:rPr>
        <w:t xml:space="preserve">确定</w:t>
      </w:r>
      <w:bookmarkEnd w:id="161"/>
      <w:r/>
      <w:bookmarkEnd w:id="162"/>
      <w:r>
        <w:rPr>
          <w:rFonts w:hint="eastAsia" w:ascii="仿宋" w:hAnsi="仿宋" w:eastAsia="仿宋" w:cs="仿宋"/>
          <w:color w:val="auto"/>
          <w:sz w:val="30"/>
          <w:szCs w:val="30"/>
          <w:highlight w:val="none"/>
        </w:rPr>
        <w:t xml:space="preserve">中标单位</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27.1中标候选人的选取原则和数量见招标文件第五章规定。 </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27.2采购人应根据评委会推荐的中标候选人确定中标人。</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27.3采购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将</w:t>
      </w:r>
      <w:r>
        <w:rPr>
          <w:rFonts w:hint="eastAsia" w:ascii="仿宋" w:hAnsi="仿宋" w:eastAsia="仿宋" w:cs="仿宋"/>
          <w:color w:val="auto"/>
          <w:highlight w:val="none"/>
        </w:rPr>
        <w:t xml:space="preserve">在</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中国政府采购网”、</w:t>
      </w:r>
      <w:r>
        <w:rPr>
          <w:rFonts w:hint="eastAsia" w:ascii="仿宋" w:hAnsi="仿宋" w:eastAsia="仿宋" w:cs="仿宋"/>
          <w:color w:val="auto"/>
          <w:highlight w:val="none"/>
        </w:rPr>
        <w:t xml:space="preserve">“江苏政府采购网”、“盐城市政府采购网”发布中标公告，公告期限为1个工作日。</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27.4若有充分证据证明，中标人出现下列情况之一的，一经查实，将被取消中标资格：</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27.4.1提供虚假材料谋取中标的。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27.4.2向采购人行贿或者提供其他不正当利益的。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27.4.3属于本文件规定的无效条件，但在评标过程中又未被评委会发现的。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27.4.4与采购人或者其他供应商恶意串通的。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27.4.5采取不正当手段诋毁、排挤其他供应商的。</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bookmarkStart w:id="163" w:name="_Toc200451960"/>
      <w:r>
        <w:rPr>
          <w:rFonts w:hint="eastAsia" w:ascii="仿宋" w:hAnsi="仿宋" w:eastAsia="仿宋" w:cs="仿宋"/>
          <w:color w:val="auto"/>
          <w:highlight w:val="none"/>
        </w:rPr>
        <w:t xml:space="preserve">27.5 有下列情形之一的，视为投标人串通投标，投标无效：</w:t>
      </w:r>
      <w:bookmarkEnd w:id="163"/>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27.5.1不同投标人的投标文件由同一单位或者个人编制。</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27.5.2不同投标人委托同一单位或者个人办理投标事宜。</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27.5.3不同投标人的投标文件载明的项目管理成员或者联系人员为同一人。</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27.5.4不同投标人的投标文件异常一致或者投标报价呈规律性差异。</w:t>
      </w:r>
      <w:r/>
    </w:p>
    <w:p>
      <w:pPr>
        <w:pStyle w:val="864"/>
        <w:ind w:left="0" w:firstLine="60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sz w:val="30"/>
          <w:szCs w:val="30"/>
          <w:highlight w:val="none"/>
        </w:rPr>
        <w:t xml:space="preserve">28、质疑处理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28.1提出质疑的供应商应当是参与所质疑项目采购活动的供应商。潜在供应商依法获取其可质疑的采购文件的，可以对采购文件提出质疑。</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28.2.1对可以质疑的采购文件提出质疑的，为收到采购文件之日或者采购文件公告期限届满之日；</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28.2.2对采购过程提出质疑的，为各采购程序环节结束之日；</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28.2.3对中标或者成交结果提出质疑的，为中标或者成交结果公告期限届满之日。</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28.4供应商（含潜在供应商）对采购方式、采购需求、供应商资格条件及审查结果、评标方法和评标标准、合同文本的询问、质疑请向采购人提出，由采购人负责答复。</w:t>
      </w:r>
      <w:r/>
    </w:p>
    <w:p>
      <w:pPr>
        <w:ind w:left="0" w:firstLine="480"/>
        <w:jc w:val="left"/>
        <w:pageBreakBefore w:val="0"/>
        <w:spacing w:line="360" w:lineRule="auto"/>
        <w:widowControl w:val="off"/>
        <w:tabs>
          <w:tab w:val="left" w:pos="1331"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采购人只接收以纸质原件形式送达的质疑,建议供应商尽量通过邮寄方式提交质疑（采购人不接受未填写快递运单的快件）。</w:t>
      </w:r>
      <w:r/>
    </w:p>
    <w:p>
      <w:pPr>
        <w:ind w:left="0" w:firstLine="480"/>
        <w:jc w:val="left"/>
        <w:pageBreakBefore w:val="0"/>
        <w:spacing w:line="360" w:lineRule="auto"/>
        <w:widowControl w:val="off"/>
        <w:tabs>
          <w:tab w:val="left" w:pos="1331"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质疑受理部门：东台市富安镇人民政府</w:t>
      </w:r>
      <w:r/>
    </w:p>
    <w:p>
      <w:pPr>
        <w:ind w:left="0" w:firstLine="480"/>
        <w:jc w:val="left"/>
        <w:pageBreakBefore w:val="0"/>
        <w:spacing w:line="360" w:lineRule="auto"/>
        <w:widowControl w:val="off"/>
        <w:tabs>
          <w:tab w:val="left" w:pos="1331"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联系地址：东台市凤凰池路8号</w:t>
      </w:r>
      <w:r/>
    </w:p>
    <w:p>
      <w:pPr>
        <w:ind w:left="0" w:firstLine="480"/>
        <w:jc w:val="left"/>
        <w:pageBreakBefore w:val="0"/>
        <w:spacing w:line="360" w:lineRule="auto"/>
        <w:widowControl w:val="off"/>
        <w:tabs>
          <w:tab w:val="left" w:pos="1331"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联系电话：14752996265 </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28.5 以下情形的质疑不予受理</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28.5.1内容不符合《政府采购质疑和投诉办法》第十二条规定的质疑。</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28.5.2超出政府采购法定期限的质疑。</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28.5.3以传真、电子邮件等方式递交的非原件形式的质疑。</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28.5.4未参加投标活动的供应商或在投标活动中自身权益未受到损害的供应商所提出的质疑。</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28.5.5供应商组成联合体参加投标，联合体中任何一方或多方未按要求签字、盖章、加盖公章的质疑。</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28.6供应商提出书面质疑必须有理、有据，不得捏造事实、提供虚假材料进行恶意质疑。否则，一经查实，采购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有权依据政府采购的有关规定，报请政府采购监管部门对该供应商进行相应的行政处罚和记录该供应商的失信信息。</w:t>
      </w:r>
      <w:r/>
    </w:p>
    <w:p>
      <w:pPr>
        <w:pStyle w:val="864"/>
        <w:ind w:left="0" w:firstLine="60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sz w:val="30"/>
          <w:szCs w:val="30"/>
          <w:highlight w:val="none"/>
        </w:rPr>
        <w:t xml:space="preserve">29、中标通知书</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29.l中标结果确定后，采购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64"/>
        <w:ind w:left="0" w:firstLine="643"/>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164" w:name="_Toc20823308"/>
      <w:r/>
      <w:bookmarkStart w:id="165" w:name="_Toc16938552"/>
      <w:r/>
      <w:bookmarkStart w:id="166" w:name="_Toc120614220"/>
      <w:r/>
      <w:bookmarkStart w:id="167" w:name="_Toc513029236"/>
      <w:r>
        <w:rPr>
          <w:rFonts w:hint="eastAsia" w:ascii="仿宋" w:hAnsi="仿宋" w:eastAsia="仿宋" w:cs="仿宋"/>
          <w:b/>
          <w:color w:val="auto"/>
          <w:sz w:val="32"/>
          <w:szCs w:val="32"/>
          <w:highlight w:val="none"/>
        </w:rPr>
        <w:t xml:space="preserve">七、授予合同</w:t>
      </w:r>
      <w:bookmarkEnd w:id="164"/>
      <w:r/>
      <w:bookmarkEnd w:id="165"/>
      <w:r/>
      <w:bookmarkEnd w:id="166"/>
      <w:r/>
      <w:bookmarkEnd w:id="167"/>
      <w:r/>
      <w:r/>
    </w:p>
    <w:p>
      <w:pPr>
        <w:pStyle w:val="864"/>
        <w:ind w:left="0" w:firstLine="60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bookmarkStart w:id="168" w:name="_Toc20823309"/>
      <w:r/>
      <w:bookmarkStart w:id="169" w:name="_Toc513029237"/>
      <w:r/>
      <w:bookmarkStart w:id="170" w:name="_Toc16938553"/>
      <w:r>
        <w:rPr>
          <w:rFonts w:hint="eastAsia" w:ascii="仿宋" w:hAnsi="仿宋" w:eastAsia="仿宋" w:cs="仿宋"/>
          <w:color w:val="auto"/>
          <w:sz w:val="30"/>
          <w:szCs w:val="30"/>
          <w:highlight w:val="none"/>
        </w:rPr>
        <w:t xml:space="preserve">30.签订合同</w:t>
      </w:r>
      <w:bookmarkEnd w:id="168"/>
      <w:r/>
      <w:bookmarkEnd w:id="169"/>
      <w:r/>
      <w:bookmarkEnd w:id="170"/>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30.l中标人应当在中标通知书发出之日起三十日内，按照招标文件确定的事项与采购人签订政府采购合同。</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30.2招标文件、中标人的投标文件及招标过程中有关澄清、承诺文件均应作为合同附件。</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864"/>
        <w:ind w:left="0" w:firstLine="600"/>
        <w:jc w:val="both"/>
        <w:keepLines/>
        <w:keepNext/>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sz w:val="30"/>
          <w:szCs w:val="30"/>
          <w:highlight w:val="none"/>
        </w:rPr>
        <w:t xml:space="preserve">31、服务（包含与服务相关的货物）的追加</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4"/>
        <w:ind w:left="0" w:firstLine="480"/>
        <w:jc w:val="both"/>
        <w:pageBreakBefore w:val="0"/>
        <w:spacing w:beforeAutospacing="0" w:afterAutospacing="0" w:line="360" w:lineRule="auto"/>
        <w:widowControl w:val="off"/>
        <w:rPr>
          <w:rFonts w:hint="eastAsia" w:ascii="仿宋" w:hAnsi="仿宋" w:eastAsia="仿宋" w:cs="仿宋"/>
          <w:color w:val="auto"/>
          <w:highlight w:val="none"/>
        </w:rPr>
      </w:pPr>
      <w:r/>
      <w:bookmarkStart w:id="171" w:name="_Toc20823314"/>
      <w:r/>
      <w:bookmarkStart w:id="172" w:name="_Toc513029242"/>
      <w:r/>
      <w:bookmarkStart w:id="173" w:name="_Toc479757207"/>
      <w:r/>
      <w:bookmarkStart w:id="174" w:name="_Toc120614221"/>
      <w:r/>
      <w:bookmarkStart w:id="175" w:name="_Toc16938558"/>
      <w:r>
        <w:rPr>
          <w:rFonts w:hint="eastAsia" w:ascii="仿宋" w:hAnsi="仿宋" w:eastAsia="仿宋" w:cs="仿宋"/>
          <w:color w:val="auto"/>
          <w:highlight w:val="none"/>
        </w:rPr>
        <w:t xml:space="preserve">32、政府采购履约资金扶持政策</w:t>
      </w:r>
      <w:bookmarkEnd w:id="171"/>
      <w:r/>
      <w:bookmarkEnd w:id="172"/>
      <w:r/>
      <w:bookmarkEnd w:id="173"/>
      <w:r/>
      <w:bookmarkEnd w:id="174"/>
      <w:r/>
      <w:bookmarkEnd w:id="175"/>
      <w:r/>
      <w:r/>
    </w:p>
    <w:p>
      <w:pPr>
        <w:pStyle w:val="864"/>
        <w:ind w:left="0" w:firstLine="480"/>
        <w:jc w:val="both"/>
        <w:pageBreakBefore w:val="0"/>
        <w:spacing w:beforeAutospacing="0" w:afterAutospacing="0" w:line="360" w:lineRule="auto"/>
        <w:widowControl w:val="off"/>
        <w:rPr>
          <w:rFonts w:hint="eastAsia" w:ascii="黑体" w:hAnsi="宋体" w:eastAsia="黑体" w:cs="黑体"/>
          <w:color w:val="auto"/>
          <w:sz w:val="44"/>
          <w:szCs w:val="44"/>
          <w:highlight w:val="none"/>
        </w:rPr>
      </w:pPr>
      <w:r>
        <w:rPr>
          <w:rFonts w:hint="eastAsia" w:ascii="仿宋" w:hAnsi="仿宋" w:eastAsia="仿宋" w:cs="仿宋"/>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ind w:firstLine="480"/>
        <w:jc w:val="both"/>
        <w:spacing w:beforeAutospacing="0" w:afterAutospacing="0" w:line="0" w:lineRule="atLeast"/>
        <w:rPr>
          <w:rFonts w:hint="eastAsia" w:ascii="宋体" w:hAnsi="宋体" w:eastAsia="宋体" w:cs="宋体"/>
          <w:color w:val="auto"/>
          <w:highlight w:val="none"/>
        </w:rPr>
      </w:pPr>
      <w:r/>
      <w:bookmarkStart w:id="176" w:name="_Toc513029243"/>
      <w:r/>
      <w:bookmarkStart w:id="177" w:name="_Toc16938559"/>
      <w:r/>
      <w:bookmarkStart w:id="178" w:name="_Toc20823315"/>
      <w:r/>
      <w:r/>
    </w:p>
    <w:p>
      <w:pPr>
        <w:pStyle w:val="864"/>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第三章  合同文本</w:t>
      </w:r>
      <w:r/>
    </w:p>
    <w:p>
      <w:pPr>
        <w:pStyle w:val="86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以下为中标后签定本项目合同的通用条款，中标人不得提出实质性的修改。</w:t>
      </w:r>
      <w:bookmarkEnd w:id="176"/>
      <w:r/>
      <w:bookmarkEnd w:id="177"/>
      <w:r/>
      <w:bookmarkEnd w:id="178"/>
      <w:r/>
      <w:r/>
    </w:p>
    <w:p>
      <w:pPr>
        <w:pStyle w:val="864"/>
        <w:jc w:val="center"/>
        <w:spacing w:before="145" w:beforeAutospacing="0" w:after="145" w:afterAutospacing="0"/>
        <w:rPr>
          <w:color w:val="auto"/>
          <w:highlight w:val="none"/>
        </w:rPr>
      </w:pPr>
      <w:r>
        <w:rPr>
          <w:color w:val="auto"/>
          <w:highlight w:val="none"/>
        </w:rPr>
        <w:t xml:space="preserve"> </w:t>
      </w:r>
      <w:r/>
    </w:p>
    <w:p>
      <w:pPr>
        <w:pStyle w:val="864"/>
        <w:jc w:val="center"/>
        <w:spacing w:before="145" w:beforeAutospacing="0" w:after="145" w:afterAutospacing="0"/>
        <w:rPr>
          <w:color w:val="auto"/>
          <w:highlight w:val="none"/>
        </w:rPr>
      </w:pPr>
      <w:r>
        <w:rPr>
          <w:rFonts w:hint="eastAsia" w:ascii="宋体" w:hAnsi="宋体" w:eastAsia="宋体" w:cs="宋体"/>
          <w:b/>
          <w:color w:val="auto"/>
          <w:sz w:val="30"/>
          <w:szCs w:val="30"/>
          <w:highlight w:val="none"/>
        </w:rPr>
        <w:t xml:space="preserve">盐城市政府采购合同（服务）（合同编号）</w:t>
      </w:r>
      <w:r/>
    </w:p>
    <w:p>
      <w:pPr>
        <w:pStyle w:val="864"/>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项目名称：东台市富安镇农村人居环境“六位一体”长效管护项目  </w:t>
      </w:r>
      <w:r/>
    </w:p>
    <w:p>
      <w:pPr>
        <w:pStyle w:val="864"/>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"http://jszfcg.jsczt.cn/jszc/wf/plan/detail/d859615d978d4f2999fbb19963910c2f" \o "点击查看"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lang w:eastAsia="zh-CN"/>
        </w:rPr>
        <w:t xml:space="preserve">JSZC-320981-HJGC-G2024-0010</w:t>
      </w:r>
      <w:r>
        <w:rPr>
          <w:rFonts w:hint="eastAsia" w:ascii="宋体" w:hAnsi="宋体" w:eastAsia="宋体" w:cs="宋体"/>
          <w:color w:val="auto"/>
          <w:highlight w:val="none"/>
        </w:rPr>
        <w:fldChar w:fldCharType="end"/>
      </w:r>
      <w:r/>
    </w:p>
    <w:p>
      <w:pPr>
        <w:pStyle w:val="864"/>
        <w:jc w:val="both"/>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甲方：（买方）_________</w:t>
      </w:r>
      <w:r/>
    </w:p>
    <w:p>
      <w:pPr>
        <w:pStyle w:val="864"/>
        <w:jc w:val="both"/>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乙方：（卖方）_________</w:t>
      </w:r>
      <w:r/>
    </w:p>
    <w:p>
      <w:pPr>
        <w:pStyle w:val="864"/>
        <w:jc w:val="both"/>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lang w:eastAsia="zh-CN"/>
        </w:rPr>
        <w:t xml:space="preserve">东台市富安镇人民政府</w:t>
      </w:r>
      <w:r>
        <w:rPr>
          <w:rFonts w:hint="eastAsia" w:ascii="宋体" w:hAnsi="宋体" w:eastAsia="宋体" w:cs="宋体"/>
          <w:color w:val="auto"/>
          <w:highlight w:val="none"/>
          <w:u w:val="single"/>
        </w:rPr>
        <w:t xml:space="preserve"> 东台市富安镇农村人居环境“六位一体”长效管护</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项目公开招标的结果，签署本合同。</w:t>
      </w:r>
      <w:r/>
    </w:p>
    <w:p>
      <w:pPr>
        <w:pStyle w:val="864"/>
        <w:jc w:val="both"/>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b/>
          <w:color w:val="auto"/>
          <w:highlight w:val="none"/>
        </w:rPr>
        <w:t xml:space="preserve">一、合同内容</w:t>
      </w:r>
      <w:r/>
    </w:p>
    <w:p>
      <w:pPr>
        <w:pStyle w:val="864"/>
        <w:ind w:firstLine="480"/>
        <w:jc w:val="both"/>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1.1标的名称：</w:t>
      </w:r>
      <w:r>
        <w:rPr>
          <w:rFonts w:hint="eastAsia" w:ascii="宋体" w:hAnsi="宋体" w:eastAsia="宋体" w:cs="宋体"/>
          <w:color w:val="auto"/>
          <w:sz w:val="24"/>
          <w:szCs w:val="24"/>
          <w:highlight w:val="none"/>
          <w:u w:val="single"/>
        </w:rPr>
        <w:t xml:space="preserve">东台市富安镇农村人居环境“六位一体”长效管护项目</w:t>
      </w:r>
      <w:r/>
    </w:p>
    <w:p>
      <w:pPr>
        <w:pStyle w:val="864"/>
        <w:ind w:firstLine="480"/>
        <w:jc w:val="both"/>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1.2标的质量：</w:t>
      </w:r>
      <w:r>
        <w:rPr>
          <w:rFonts w:hint="eastAsia" w:ascii="宋体" w:hAnsi="宋体" w:eastAsia="宋体" w:cs="宋体"/>
          <w:color w:val="auto"/>
          <w:highlight w:val="none"/>
          <w:u w:val="single"/>
        </w:rPr>
        <w:t xml:space="preserve">符合各项技术标准和国家强制性标准</w:t>
      </w:r>
      <w:r/>
    </w:p>
    <w:p>
      <w:pPr>
        <w:pStyle w:val="864"/>
        <w:ind w:firstLine="480"/>
        <w:jc w:val="both"/>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1.3 标的数量（规模）：</w:t>
      </w:r>
      <w:r>
        <w:rPr>
          <w:rFonts w:hint="eastAsia" w:ascii="宋体" w:hAnsi="宋体" w:eastAsia="宋体" w:cs="宋体"/>
          <w:color w:val="auto"/>
          <w:sz w:val="24"/>
          <w:szCs w:val="24"/>
          <w:highlight w:val="none"/>
          <w:u w:val="single"/>
          <w:lang w:val="en-US" w:eastAsia="zh-CN"/>
        </w:rPr>
        <w:t xml:space="preserve">2460万元（820万元/年）</w:t>
      </w:r>
      <w:r/>
    </w:p>
    <w:p>
      <w:pPr>
        <w:pStyle w:val="864"/>
        <w:ind w:firstLine="480"/>
        <w:jc w:val="both"/>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1.4 履行时间（期限）：</w:t>
      </w:r>
      <w:r>
        <w:rPr>
          <w:rFonts w:hint="eastAsia" w:ascii="宋体" w:hAnsi="宋体" w:eastAsia="宋体" w:cs="宋体"/>
          <w:color w:val="auto"/>
          <w:sz w:val="24"/>
          <w:szCs w:val="24"/>
          <w:highlight w:val="none"/>
          <w:u w:val="single"/>
        </w:rPr>
        <w:t xml:space="preserve">本项目服务期三年</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合同一年一签</w:t>
      </w:r>
      <w:r>
        <w:rPr>
          <w:rFonts w:hint="eastAsia" w:ascii="宋体" w:hAnsi="宋体" w:eastAsia="宋体" w:cs="宋体"/>
          <w:color w:val="auto"/>
          <w:sz w:val="24"/>
          <w:szCs w:val="24"/>
          <w:highlight w:val="none"/>
          <w:u w:val="single"/>
          <w:lang w:eastAsia="zh-CN"/>
        </w:rPr>
        <w:t xml:space="preserve">。</w:t>
      </w:r>
      <w:r/>
    </w:p>
    <w:p>
      <w:pPr>
        <w:pStyle w:val="864"/>
        <w:ind w:firstLine="480"/>
        <w:jc w:val="both"/>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1.5 履行地点：</w:t>
      </w:r>
      <w:r>
        <w:rPr>
          <w:rFonts w:hint="eastAsia" w:ascii="宋体" w:hAnsi="宋体" w:eastAsia="宋体" w:cs="宋体"/>
          <w:color w:val="auto"/>
          <w:sz w:val="24"/>
          <w:szCs w:val="24"/>
          <w:highlight w:val="none"/>
          <w:u w:val="single"/>
          <w:lang w:val="en-US" w:eastAsia="zh-CN"/>
        </w:rPr>
        <w:t xml:space="preserve">东台市富安镇境内</w:t>
      </w:r>
      <w:r/>
    </w:p>
    <w:p>
      <w:pPr>
        <w:pStyle w:val="864"/>
        <w:ind w:firstLine="480"/>
        <w:jc w:val="both"/>
        <w:keepLines w:val="0"/>
        <w:keepNext w:val="0"/>
        <w:pageBreakBefore w:val="0"/>
        <w:spacing w:beforeAutospacing="0" w:afterAutospacing="0" w:line="360" w:lineRule="auto"/>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1.6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履行方式：</w:t>
      </w:r>
      <w:r>
        <w:rPr>
          <w:rFonts w:hint="eastAsia" w:ascii="宋体" w:hAnsi="宋体" w:eastAsia="宋体" w:cs="宋体"/>
          <w:color w:val="auto"/>
          <w:highlight w:val="none"/>
          <w:u w:val="single"/>
          <w:lang w:val="en-US" w:eastAsia="zh-CN"/>
        </w:rPr>
        <w:t xml:space="preserve">中标单位直接履行，不可转包分包</w:t>
      </w:r>
      <w:r/>
    </w:p>
    <w:p>
      <w:pPr>
        <w:pStyle w:val="864"/>
        <w:jc w:val="both"/>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b/>
          <w:color w:val="auto"/>
          <w:highlight w:val="none"/>
        </w:rPr>
        <w:t xml:space="preserve">二、合同金额</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4"/>
          <w:szCs w:val="32"/>
          <w:highlight w:val="none"/>
          <w:lang w:val="en-US" w:eastAsia="zh-CN"/>
        </w:rPr>
        <w:t xml:space="preserve">2.1本合同金额为（大写）：_______________元整（________元）人民币。</w:t>
      </w:r>
      <w:r>
        <w:rPr>
          <w:rFonts w:hint="eastAsia" w:ascii="宋体" w:hAnsi="宋体" w:eastAsia="宋体" w:cs="宋体"/>
          <w:color w:val="auto"/>
          <w:sz w:val="24"/>
          <w:szCs w:val="24"/>
          <w:highlight w:val="none"/>
          <w:lang w:val="en-US" w:eastAsia="zh-CN"/>
        </w:rPr>
        <w:t xml:space="preserve">投标报价应包括但不限于采购文件所确定招标内容的服务管理工作中所必须的直接、间接成本、管理费、风险、规费、人员保险、税金、合理利润等有可能发生的全部费用。</w:t>
      </w:r>
      <w:r>
        <w:rPr>
          <w:rFonts w:hint="eastAsia"/>
          <w:color w:val="auto"/>
          <w:sz w:val="24"/>
          <w:szCs w:val="24"/>
          <w:highlight w:val="none"/>
        </w:rPr>
        <w:t xml:space="preserve">本合同价款包含所有乙方提供合同约定的服务报酬及乙方提供合同中服务所支出的所有费用，甲方在上述合同价款之外不再向乙方支付其他任何费用。</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79" w:name="_Toc479757211"/>
      <w:r/>
      <w:bookmarkStart w:id="180" w:name="_Toc20823346"/>
      <w:r/>
      <w:bookmarkStart w:id="181" w:name="_Toc120614244"/>
      <w:r/>
      <w:bookmarkStart w:id="182" w:name="_Toc462564139"/>
      <w:r/>
      <w:bookmarkStart w:id="183" w:name="_Toc16938590"/>
      <w:r/>
      <w:bookmarkStart w:id="184" w:name="_Hlt16619350"/>
      <w:r/>
      <w:bookmarkStart w:id="185" w:name="_Hlt16619369"/>
      <w:r>
        <w:rPr>
          <w:rFonts w:hint="eastAsia" w:ascii="宋体" w:hAnsi="宋体" w:eastAsia="宋体" w:cs="宋体"/>
          <w:b/>
          <w:color w:val="auto"/>
          <w:sz w:val="24"/>
          <w:szCs w:val="24"/>
          <w:highlight w:val="none"/>
        </w:rPr>
        <w:t xml:space="preserve">三、技术资料</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四、双方权利和义务</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.1甲方的权利和义务</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甲方有权利对乙方服务范围内的工作质量、服务态度等进行监督、检查，发现问题及时向乙方负责人提出口头或书面整改意见。如经多次警告无效，甲方可加倍罚款或扣分。</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如遇特殊情况，例如突击检查，上级部门考核，各类创建、迎检活动时，乙方应无条件服从甲方的指挥，提前配合做好各项保洁服务工作，甲方不再额外支付服务费，如需甲方提供人力，所需费用由乙方承担。</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按规定核拨给乙方服务费，遇重大节庆或关帐等特殊原因时适时延长。</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乙方的权利和义务</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1乙方应根据甲方要求配备管理人员及各类工作人员，按要求认真负责完成日常环卫作业工作，并指定一名负责人，以便甲方随时能联系协调有关事项。同时还需配备管理人员和驾驶人员，人员要满足</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需求。配齐保洁人员。配足配齐管护人员，分类择优聘用保洁管护员，并对保洁员实行优胜劣汰的考核机制。保洁人员相对固定，如有变化需在一周之内报告服务购买方。保洁员选择条件：身体好、思想佳、能吃苦、肯负责、年龄在18－60周岁的村民（身体健康年龄可适当放宽），实行招聘上岗，优先录用现有保洁人员。加强队伍管理。保洁人员着统一的保洁服装，按管护要求及时管护。同时，每季度一次组织保洁管护人员进行业务以及安全知识培训，确保保洁管护队伍业务精湛、安全措施健全。</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2乙方</w:t>
      </w:r>
      <w:r>
        <w:rPr>
          <w:rFonts w:hint="eastAsia" w:ascii="宋体" w:hAnsi="宋体" w:cs="宋体"/>
          <w:color w:val="auto"/>
          <w:sz w:val="24"/>
          <w:szCs w:val="24"/>
          <w:highlight w:val="none"/>
        </w:rPr>
        <w:t xml:space="preserve">根据本合同相关条款的规定及要求开展清扫保洁工作。确保所负责的清扫保洁的道路、河道等呈现干净整洁的面貌，确保垃圾收集及运输工作做到日产日清，并按指定地点、指定时间、指定运输线路运送垃圾，不得拒绝沿线居民向垃圾收集车辆内倾倒生活垃圾。</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乙方应无条件地接受甲方</w:t>
      </w:r>
      <w:r>
        <w:rPr>
          <w:rFonts w:hint="eastAsia" w:ascii="宋体" w:hAnsi="宋体" w:eastAsia="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相关管理部门的考核</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指导</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监督管理，无条件地服从甲方临时工作安排。</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乙方应按相关环境卫生作业标准进行环卫作业服务，不得省时减人。</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自觉执行国家的法律、法规、规范用工，独立处理劳资纠纷等工作。乙方应规范用工，遵守安全规则，保证安全作业、文明作业，如发生劳动用工纠纷或安全责任事故，均由乙方自行负责，甲方不承担任何责任及费用。</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乙方在环卫作业服务过程中应保护好甲方所提供的各类设备、设施。</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其他</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管理组织机构健全，责职分工明确。乙方应在本合同签订7天内提供切实可行的管理组织机构及人员配置和分工情况，并按甲方要求提前熟悉环境，落实预备工作。合同期满前15天做好下阶段移交准备对接工作。</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（2）乙方应按中标时的投标文件承诺，配置保洁机械设备、工具等应全部到位，否则甲方视乙方违约，甲方有权终止合同。</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（3）基础资料、台帐应有专人负责，并满足镇政府月、季、年度考核内部资料管理要求。</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a）能做到各类原始台帐、记录、报表齐全、准确，能按要求及时上报。</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b）能在规定时限内完成镇政府督办工作及指令性任务，配合做好各类群众性活动工作。在灾害天气期间、临时性保洁任务时乙方均应保质保量按时完成甲方安排的指令性任务。</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c）依据环卫作业服务方案，按月向甲方报送月度巡查自查台帐。年终提交全面工作总结。</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d)及时调配重大节庆期间加班加点保洁工作。</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接受甲方和社会监督，对存在的问题在指定时间内整改到位，并将整改结果报甲方。</w:t>
      </w:r>
      <w:r/>
    </w:p>
    <w:p>
      <w:pPr>
        <w:ind w:firstLine="477"/>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f</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准时参加甲方通知召开的相关会议。</w:t>
      </w:r>
      <w:r/>
    </w:p>
    <w:p>
      <w:pPr>
        <w:ind w:firstLine="477"/>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向甲方提出合理化建议。</w:t>
      </w:r>
      <w:r/>
    </w:p>
    <w:p>
      <w:pPr>
        <w:ind w:firstLine="477"/>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h</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法规、政策规定由乙方承担的其他责任。</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6.1乙方交纳人民币_</w:t>
      </w:r>
      <w:r>
        <w:rPr>
          <w:rFonts w:ascii="SimSun" w:hAnsi="SimSun" w:eastAsia="SimSun" w:cs="SimSun"/>
          <w:color w:val="000000"/>
          <w:sz w:val="24"/>
          <w:u w:val="single"/>
        </w:rPr>
        <w:t xml:space="preserve">中标价的5％</w:t>
      </w:r>
      <w:r>
        <w:rPr>
          <w:rFonts w:ascii="SimSun" w:hAnsi="SimSun" w:eastAsia="SimSun" w:cs="SimSun"/>
          <w:color w:val="000000"/>
          <w:sz w:val="24"/>
        </w:rPr>
        <w:t xml:space="preserve">_作为本合同的履约保证金。由乙方在合同签订时向甲方提交。如发现虚假应标行为，履约保证金不予退还，乙方须承担甲方因此所造成的项目延期及重新招标的损失。</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pStyle w:val="864"/>
        <w:ind w:firstLine="48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b/>
          <w:color w:val="auto"/>
          <w:highlight w:val="none"/>
          <w:u w:val="single"/>
        </w:rPr>
        <w:t xml:space="preserve"> 是 </w:t>
      </w:r>
      <w:r>
        <w:rPr>
          <w:rFonts w:hint="eastAsia" w:ascii="宋体" w:hAnsi="宋体" w:eastAsia="宋体" w:cs="宋体"/>
          <w:color w:val="auto"/>
          <w:highlight w:val="none"/>
        </w:rPr>
        <w:t xml:space="preserve">免收 ，降低履约保证金缴纳比例</w:t>
      </w:r>
      <w:r>
        <w:rPr>
          <w:rFonts w:hint="eastAsia" w:ascii="宋体" w:hAnsi="宋体" w:eastAsia="宋体" w:cs="宋体"/>
          <w:b/>
          <w:color w:val="auto"/>
          <w:highlight w:val="none"/>
          <w:u w:val="single"/>
        </w:rPr>
        <w:t xml:space="preserve"> 100%  </w:t>
      </w:r>
      <w:r>
        <w:rPr>
          <w:rFonts w:hint="eastAsia" w:ascii="宋体" w:hAnsi="宋体" w:eastAsia="宋体" w:cs="宋体"/>
          <w:b/>
          <w:color w:val="auto"/>
          <w:highlight w:val="none"/>
        </w:rPr>
        <w:t xml:space="preserve">。</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6.2合同履行结束后，甲方应及时退还交纳的履约保证金。</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6.3履约保证金的退还：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6.3.1方式：无息退还至投标人缴纳履约保证金的账户。如为保函，在到期时自行失效。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6.3.2时间：验收合格且采购人收到发票后30日内。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6.3.3条件：按合同要求全部履约完成并经采购人验收合格，且采购人收到中标人出具的发票。</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6.3.4不予退还情形：</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8.1合同款项的支付方式及进度安排</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8.1.1 预付款支付时间：合同签订后10个工作日内，预付款支付比例：合同金额的30%。</w:t>
      </w:r>
      <w:r/>
    </w:p>
    <w:p>
      <w:pPr>
        <w:pStyle w:val="864"/>
        <w:ind w:firstLine="480"/>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8.1.2 尾款支付时间：</w:t>
      </w:r>
      <w:r>
        <w:rPr>
          <w:rFonts w:hint="eastAsia" w:ascii="宋体" w:hAnsi="宋体" w:eastAsia="宋体" w:cs="宋体"/>
          <w:color w:val="auto"/>
          <w:highlight w:val="none"/>
          <w:u w:val="single"/>
          <w:lang w:val="en-US" w:eastAsia="zh-CN"/>
        </w:rPr>
        <w:t xml:space="preserve">服务</w:t>
      </w:r>
      <w:r>
        <w:rPr>
          <w:rFonts w:hint="eastAsia" w:ascii="宋体" w:hAnsi="宋体" w:eastAsia="宋体" w:cs="宋体"/>
          <w:color w:val="auto"/>
          <w:highlight w:val="none"/>
          <w:u w:val="single"/>
        </w:rPr>
        <w:t xml:space="preserve">费用每季度支付一次（第一次须扣除预付款30%</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不足部分在下次</w:t>
      </w:r>
      <w:r>
        <w:rPr>
          <w:rFonts w:hint="eastAsia" w:ascii="宋体" w:hAnsi="宋体" w:eastAsia="宋体" w:cs="宋体"/>
          <w:color w:val="auto"/>
          <w:highlight w:val="none"/>
          <w:u w:val="single"/>
        </w:rPr>
        <w:t xml:space="preserve">支付</w:t>
      </w:r>
      <w:r>
        <w:rPr>
          <w:rFonts w:hint="eastAsia" w:ascii="宋体" w:hAnsi="宋体" w:eastAsia="宋体" w:cs="宋体"/>
          <w:color w:val="auto"/>
          <w:highlight w:val="none"/>
          <w:u w:val="single"/>
          <w:lang w:val="en-US" w:eastAsia="zh-CN"/>
        </w:rPr>
        <w:t xml:space="preserve">时继续扣除</w:t>
      </w:r>
      <w:r>
        <w:rPr>
          <w:rFonts w:hint="eastAsia" w:ascii="宋体" w:hAnsi="宋体" w:eastAsia="宋体" w:cs="宋体"/>
          <w:color w:val="auto"/>
          <w:highlight w:val="none"/>
          <w:u w:val="single"/>
        </w:rPr>
        <w:t xml:space="preserve">），乙方按季度开据合法票据，季末次月20日后根据考核结果在扣除考核罚款后按实际金额结算上季度服务费</w:t>
      </w:r>
      <w:r>
        <w:rPr>
          <w:rFonts w:hint="eastAsia" w:ascii="宋体" w:hAnsi="宋体" w:eastAsia="宋体" w:cs="宋体"/>
          <w:color w:val="auto"/>
          <w:highlight w:val="none"/>
          <w:u w:val="single"/>
          <w:lang w:val="en-US" w:eastAsia="zh-CN"/>
        </w:rPr>
        <w:t xml:space="preserve">。</w:t>
      </w:r>
      <w:r/>
    </w:p>
    <w:p>
      <w:pPr>
        <w:pStyle w:val="864"/>
        <w:ind w:firstLine="48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u w:val="single"/>
        </w:rPr>
        <w:t xml:space="preserve">服务期满交接完所有</w:t>
      </w:r>
      <w:r>
        <w:rPr>
          <w:rFonts w:hint="eastAsia" w:ascii="宋体" w:hAnsi="宋体" w:eastAsia="宋体" w:cs="宋体"/>
          <w:color w:val="auto"/>
          <w:highlight w:val="none"/>
          <w:u w:val="single"/>
          <w:lang w:val="en-US" w:eastAsia="zh-CN"/>
        </w:rPr>
        <w:t xml:space="preserve">事项</w:t>
      </w:r>
      <w:r>
        <w:rPr>
          <w:rFonts w:hint="eastAsia" w:ascii="宋体" w:hAnsi="宋体" w:eastAsia="宋体" w:cs="宋体"/>
          <w:color w:val="auto"/>
          <w:highlight w:val="none"/>
          <w:u w:val="single"/>
        </w:rPr>
        <w:t xml:space="preserve">后一次性退还履约保证金（无息）。</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十、项目验收</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10.1甲方依法组织履约验收工作。</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10.3对于实际使用人和甲方分离的项目，甲方邀请实际使用人参与验收。</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10.4如有必要，甲方邀请参加本项目的其他供应商或第三方专业机构及专家参与验收，相关意见将作为验收书的参考资料。</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11.1甲方未按合同规定的期限向乙方支付服务费的，每逾期1天甲方向乙方偿付欠款总额的5‰滞纳金，但累计滞纳金总额不超过欠款总额的5% 。</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11.2如乙方不能按合同约定期限履行服务，甲方有权扣留全部履约保证金；同时乙方应向甲方支付合同总价5%的违约金。</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11.3乙方逾期履行服务的，每逾期1天，乙方向甲方偿付逾期履约部分合同价款总额的5‰的滞纳金。如乙方逾期达（30）天，甲方有权解除合同，解除合同的通知自到达乙方时生效。</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11.4乙方未按本合同的规定向甲方交付履约保证金的，应按应交付履约保证金的5%向甲方支付违约金，该违约金的支付不影响乙方应承担的其他违约责任。</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11.5乙方未按本合同的规定和“服务承诺”提供服务的，应按合同总价款的5%向甲方承担违约责任。</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11.6乙方在承担上述</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5款一项或多项违约责任后，仍应继续履行合同规定的义务（甲方解除合同除外）。甲方未能及时追究乙方的任何一项违约责任并不表明甲方放弃追究乙方该项或其他违约责任。。 </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乙方所提供服务的标准不符合合同规定及招标文件规定标准的，甲方有权拒绝接受服务，并可单方面解除合同。</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12.1在合同有效期内，任何一方因不可抗力事件导致不能履行合同，则合同履行期可延长，其延长期与不可抗力影响 期相同。</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12.2不可抗力事件发生后，应立即通知对方，并寄送有关权威机构出具的证明。</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12.3不可抗力事件延续120天以上，双方应通过友好协商，确定是否继续履行合同。</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十三、其它</w:t>
      </w:r>
      <w:r>
        <w:rPr>
          <w:rFonts w:hint="eastAsia" w:ascii="宋体" w:hAnsi="宋体" w:eastAsia="宋体" w:cs="宋体"/>
          <w:b/>
          <w:color w:val="auto"/>
          <w:sz w:val="24"/>
          <w:szCs w:val="24"/>
          <w:highlight w:val="none"/>
          <w:lang w:val="en-US" w:eastAsia="zh-CN"/>
        </w:rPr>
        <w:t xml:space="preserve">条款</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rPr>
        <w:t xml:space="preserve">1对合同服务项目实施环卫作业所需的一切劳动力、材料、设备和服务由乙方自行组织，由此产生的一切费用由乙方承担。如甲方有提供材料、设备的，乙方应在合同结束时完整归还甲方，如有损坏需按价赔偿。</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rPr>
        <w:t xml:space="preserve">2承包期内若有新增的环卫作业服务工作，增加项目由甲乙双方协商，以中标时单项项目均价费用为原则增收。</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rPr>
        <w:t xml:space="preserve">3乙方单位或员工发生被媒体曝光或影响甲方公众形象或违反政府规章制度造成不良影响，而由此产生的损失及消除影响产生的费用，由乙方全部承担，同时甲方有权对乙方进行处罚。</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rPr>
        <w:t xml:space="preserve">4、垃圾中转站蓄水池（污水处理设施清淤）需自行处理，投标人不提供相应场地。</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13.5</w:t>
      </w:r>
      <w:r>
        <w:rPr>
          <w:rFonts w:hint="eastAsia" w:ascii="宋体" w:hAnsi="宋体" w:eastAsia="宋体" w:cs="宋体"/>
          <w:b w:val="0"/>
          <w:bCs/>
          <w:color w:val="auto"/>
          <w:sz w:val="24"/>
          <w:szCs w:val="24"/>
          <w:highlight w:val="none"/>
        </w:rPr>
        <w:t xml:space="preserve">因质量问题发生争议的，应当邀请国家认可的有权机构对质量进行鉴定。符合标准的，鉴定费由甲方承担；不符合质量标准的，鉴定费由乙方承担。</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13.6</w:t>
      </w:r>
      <w:r>
        <w:rPr>
          <w:rFonts w:hint="eastAsia" w:ascii="宋体" w:hAnsi="宋体" w:eastAsia="宋体" w:cs="宋体"/>
          <w:b w:val="0"/>
          <w:bCs/>
          <w:color w:val="auto"/>
          <w:sz w:val="24"/>
          <w:szCs w:val="24"/>
          <w:highlight w:val="none"/>
        </w:rPr>
        <w:t xml:space="preserve">作业过程中必须确保安全，做好各项安全技术交底、人员作业前培训、佩备安全防护用品、不得违规作业，设备操作人员需熟练掌握安全设备安全操作规程，人员身体健康能够满足本工程需求，如因中标人原因发生的一切问题与采购人无关，相关一切费用或民事、刑事责任均由乙方承担。</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四</w:t>
      </w:r>
      <w:r>
        <w:rPr>
          <w:rFonts w:hint="eastAsia" w:ascii="宋体" w:hAnsi="宋体" w:eastAsia="宋体" w:cs="宋体"/>
          <w:b/>
          <w:color w:val="auto"/>
          <w:sz w:val="24"/>
          <w:szCs w:val="24"/>
          <w:highlight w:val="none"/>
        </w:rPr>
        <w:t xml:space="preserve">、解决争议的方法</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.1双方在签订、履行合同中所发生的一切争议，应通过友好协商解决。如协商不成，由甲方住所地人民法院管辖。</w:t>
      </w:r>
      <w:r/>
    </w:p>
    <w:p>
      <w:pPr>
        <w:pStyle w:val="86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、合同生效及其它</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.1合同经双方法定代表人或授权委托代表人签字并加盖单位公章后生效。</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.2本合同未尽事宜，遵照《民法典》、《政府采购法》有关条文执行。</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本合同正本一式</w:t>
      </w:r>
      <w:r>
        <w:rPr>
          <w:rFonts w:hint="eastAsia" w:ascii="宋体" w:hAnsi="宋体" w:eastAsia="宋体" w:cs="宋体"/>
          <w:color w:val="auto"/>
          <w:sz w:val="24"/>
          <w:szCs w:val="24"/>
          <w:highlight w:val="none"/>
          <w:lang w:val="en-US" w:eastAsia="zh-CN"/>
        </w:rPr>
        <w:t xml:space="preserve">捌</w:t>
      </w:r>
      <w:r>
        <w:rPr>
          <w:rFonts w:hint="eastAsia" w:ascii="宋体" w:hAnsi="宋体" w:eastAsia="宋体" w:cs="宋体"/>
          <w:color w:val="auto"/>
          <w:sz w:val="24"/>
          <w:szCs w:val="24"/>
          <w:highlight w:val="none"/>
        </w:rPr>
        <w:t xml:space="preserve">份，具有同等法律效力，甲方、乙方各执</w:t>
      </w:r>
      <w:r>
        <w:rPr>
          <w:rFonts w:hint="eastAsia" w:ascii="宋体" w:hAnsi="宋体" w:eastAsia="宋体" w:cs="宋体"/>
          <w:color w:val="auto"/>
          <w:sz w:val="24"/>
          <w:szCs w:val="24"/>
          <w:highlight w:val="none"/>
          <w:lang w:val="en-US" w:eastAsia="zh-CN"/>
        </w:rPr>
        <w:t xml:space="preserve">叁</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其余两份按要求分送至招标代理机构处备存</w:t>
      </w:r>
      <w:r>
        <w:rPr>
          <w:rFonts w:hint="eastAsia" w:ascii="宋体" w:hAnsi="宋体" w:eastAsia="宋体" w:cs="宋体"/>
          <w:color w:val="auto"/>
          <w:sz w:val="24"/>
          <w:szCs w:val="24"/>
          <w:highlight w:val="none"/>
        </w:rPr>
        <w:t xml:space="preserve">。</w:t>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4"/>
        <w:ind w:left="0" w:firstLine="480"/>
        <w:jc w:val="left"/>
        <w:keepLines w:val="0"/>
        <w:keepNext w:val="0"/>
        <w:pageBreakBefore w:val="0"/>
        <w:spacing w:before="157" w:beforeAutospacing="0" w:after="157"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864"/>
        <w:ind w:left="0" w:firstLine="480"/>
        <w:jc w:val="left"/>
        <w:keepLines w:val="0"/>
        <w:keepNext w:val="0"/>
        <w:pageBreakBefore w:val="0"/>
        <w:spacing w:before="157" w:beforeAutospacing="0" w:after="157"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864"/>
        <w:ind w:left="0" w:firstLine="480"/>
        <w:jc w:val="left"/>
        <w:keepLines w:val="0"/>
        <w:keepNext w:val="0"/>
        <w:pageBreakBefore w:val="0"/>
        <w:spacing w:before="157" w:beforeAutospacing="0" w:after="157"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864"/>
        <w:ind w:left="0" w:firstLine="480"/>
        <w:jc w:val="left"/>
        <w:keepLines w:val="0"/>
        <w:keepNext w:val="0"/>
        <w:pageBreakBefore w:val="0"/>
        <w:spacing w:before="157" w:beforeAutospacing="0" w:after="157"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864"/>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lang w:val="en-US" w:eastAsia="zh-CN"/>
        </w:rPr>
        <w:t xml:space="preserve">2024</w:t>
      </w:r>
      <w:r>
        <w:rPr>
          <w:rFonts w:hint="eastAsia" w:ascii="宋体" w:hAnsi="宋体" w:eastAsia="宋体" w:cs="宋体"/>
          <w:color w:val="auto"/>
          <w:sz w:val="24"/>
          <w:szCs w:val="24"/>
          <w:highlight w:val="none"/>
        </w:rPr>
        <w:t xml:space="preserve">年    月   日</w:t>
      </w:r>
      <w:r/>
    </w:p>
    <w:p>
      <w:pPr>
        <w:pStyle w:val="864"/>
        <w:jc w:val="center"/>
        <w:spacing w:before="120" w:beforeAutospacing="0" w:after="120" w:afterAutospacing="0" w:line="360" w:lineRule="auto"/>
        <w:rPr>
          <w:color w:val="auto"/>
          <w:highlight w:val="none"/>
        </w:rPr>
      </w:pPr>
      <w:r>
        <w:rPr>
          <w:rFonts w:hint="eastAsia" w:ascii="黑体" w:hAnsi="宋体" w:eastAsia="黑体" w:cs="黑体"/>
          <w:color w:val="auto"/>
          <w:sz w:val="44"/>
          <w:szCs w:val="44"/>
          <w:highlight w:val="none"/>
        </w:rPr>
        <w:br w:type="page" w:clear="all"/>
      </w:r>
      <w:r>
        <w:rPr>
          <w:rFonts w:hint="eastAsia" w:ascii="黑体" w:hAnsi="宋体" w:eastAsia="黑体" w:cs="黑体"/>
          <w:color w:val="auto"/>
          <w:sz w:val="44"/>
          <w:szCs w:val="44"/>
          <w:highlight w:val="none"/>
        </w:rPr>
        <w:t xml:space="preserve"> 第</w:t>
      </w:r>
      <w:bookmarkEnd w:id="179"/>
      <w:r>
        <w:rPr>
          <w:rFonts w:hint="eastAsia" w:ascii="黑体" w:hAnsi="宋体" w:eastAsia="黑体" w:cs="黑体"/>
          <w:color w:val="auto"/>
          <w:sz w:val="44"/>
          <w:szCs w:val="44"/>
          <w:highlight w:val="none"/>
        </w:rPr>
        <w:t xml:space="preserve">四章 采购需求</w:t>
      </w:r>
      <w:bookmarkEnd w:id="180"/>
      <w:r/>
      <w:bookmarkEnd w:id="181"/>
      <w:r/>
      <w:bookmarkEnd w:id="182"/>
      <w:r/>
      <w:bookmarkEnd w:id="183"/>
      <w:r/>
      <w:bookmarkEnd w:id="184"/>
      <w:r/>
      <w:r/>
    </w:p>
    <w:p>
      <w:pPr>
        <w:pStyle w:val="864"/>
        <w:jc w:val="both"/>
        <w:spacing w:beforeAutospacing="0" w:afterAutospacing="0" w:line="0" w:lineRule="atLeast"/>
        <w:rPr>
          <w:color w:val="auto"/>
          <w:highlight w:val="none"/>
        </w:rPr>
      </w:pPr>
      <w:r/>
      <w:bookmarkStart w:id="186" w:name="_Toc26554093"/>
      <w:r/>
      <w:bookmarkStart w:id="187" w:name="_Toc49090575"/>
      <w:r>
        <w:rPr>
          <w:rFonts w:hint="eastAsia" w:ascii="宋体" w:hAnsi="宋体" w:eastAsia="宋体" w:cs="宋体"/>
          <w:color w:val="auto"/>
          <w:highlight w:val="none"/>
        </w:rPr>
        <w:t xml:space="preserve">项目属性:服务类项目。</w:t>
      </w:r>
      <w:bookmarkEnd w:id="186"/>
      <w:r/>
      <w:bookmarkEnd w:id="187"/>
      <w:r/>
      <w:r/>
    </w:p>
    <w:p>
      <w:pPr>
        <w:pStyle w:val="864"/>
        <w:jc w:val="both"/>
        <w:spacing w:beforeAutospacing="0" w:afterAutospacing="0" w:line="0" w:lineRule="atLeast"/>
        <w:rPr>
          <w:color w:val="auto"/>
          <w:highlight w:val="none"/>
        </w:rPr>
      </w:pPr>
      <w:r>
        <w:rPr>
          <w:color w:val="auto"/>
          <w:highlight w:val="none"/>
        </w:rPr>
        <w:t xml:space="preserve"> </w:t>
      </w:r>
      <w:r/>
    </w:p>
    <w:p>
      <w:pPr>
        <w:pStyle w:val="854"/>
        <w:ind w:left="0" w:right="0" w:firstLine="562"/>
        <w:pageBreakBefore w:val="0"/>
        <w:spacing w:before="0" w:after="0" w:line="360" w:lineRule="auto"/>
        <w:rPr>
          <w:color w:val="auto"/>
          <w:sz w:val="28"/>
          <w:szCs w:val="28"/>
          <w:highlight w:val="none"/>
        </w:rPr>
      </w:pPr>
      <w:r>
        <w:rPr>
          <w:rFonts w:hint="eastAsia"/>
          <w:color w:val="auto"/>
          <w:sz w:val="28"/>
          <w:szCs w:val="28"/>
          <w:highlight w:val="none"/>
        </w:rPr>
        <w:t xml:space="preserve">（一）服务内容</w:t>
      </w:r>
      <w:r/>
    </w:p>
    <w:p>
      <w:pPr>
        <w:ind w:left="0" w:right="0" w:firstLine="480"/>
        <w:pageBreakBefore w:val="0"/>
        <w:spacing w:line="360" w:lineRule="auto"/>
        <w:rPr>
          <w:rFonts w:hint="default" w:ascii="宋体" w:hAnsi="宋体" w:cs="仿宋" w:eastAsiaTheme="minorEastAsia"/>
          <w:color w:val="auto"/>
          <w:sz w:val="24"/>
          <w:szCs w:val="24"/>
          <w:highlight w:val="none"/>
          <w:lang w:val="en-US" w:eastAsia="zh-CN"/>
        </w:rPr>
      </w:pPr>
      <w:r>
        <w:rPr>
          <w:rFonts w:hint="eastAsia" w:ascii="宋体" w:hAnsi="宋体" w:cs="仿宋"/>
          <w:color w:val="auto"/>
          <w:sz w:val="24"/>
          <w:szCs w:val="24"/>
          <w:highlight w:val="none"/>
          <w:lang w:val="en-US" w:eastAsia="zh-CN"/>
        </w:rPr>
        <w:t xml:space="preserve">服务内容包括但不限于：</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1、</w:t>
      </w:r>
      <w:r>
        <w:rPr>
          <w:rFonts w:hint="eastAsia" w:ascii="宋体" w:hAnsi="宋体" w:cs="仿宋"/>
          <w:color w:val="auto"/>
          <w:sz w:val="24"/>
          <w:szCs w:val="24"/>
          <w:highlight w:val="none"/>
        </w:rPr>
        <w:t xml:space="preserve">东台市</w:t>
      </w:r>
      <w:r>
        <w:rPr>
          <w:rFonts w:hint="eastAsia" w:ascii="宋体" w:hAnsi="宋体" w:cs="仿宋"/>
          <w:color w:val="auto"/>
          <w:sz w:val="24"/>
          <w:szCs w:val="24"/>
          <w:highlight w:val="none"/>
          <w:lang w:val="en-US" w:eastAsia="zh-CN"/>
        </w:rPr>
        <w:t xml:space="preserve">富安</w:t>
      </w:r>
      <w:r>
        <w:rPr>
          <w:rFonts w:hint="eastAsia" w:ascii="宋体" w:hAnsi="宋体" w:cs="仿宋"/>
          <w:color w:val="auto"/>
          <w:sz w:val="24"/>
          <w:szCs w:val="24"/>
          <w:highlight w:val="none"/>
        </w:rPr>
        <w:t xml:space="preserve">镇全镇（含</w:t>
      </w:r>
      <w:r>
        <w:rPr>
          <w:rFonts w:hint="eastAsia" w:ascii="宋体" w:hAnsi="宋体" w:cs="仿宋"/>
          <w:color w:val="auto"/>
          <w:sz w:val="24"/>
          <w:szCs w:val="24"/>
          <w:highlight w:val="none"/>
          <w:lang w:val="en-US" w:eastAsia="zh-CN"/>
        </w:rPr>
        <w:t xml:space="preserve">1</w:t>
      </w:r>
      <w:r>
        <w:rPr>
          <w:rFonts w:hint="eastAsia" w:ascii="宋体" w:hAnsi="宋体" w:cs="仿宋"/>
          <w:color w:val="auto"/>
          <w:sz w:val="24"/>
          <w:szCs w:val="24"/>
          <w:highlight w:val="none"/>
        </w:rPr>
        <w:t xml:space="preserve">个镇区、</w:t>
      </w:r>
      <w:r>
        <w:rPr>
          <w:rFonts w:hint="eastAsia" w:ascii="宋体" w:hAnsi="宋体" w:cs="仿宋"/>
          <w:color w:val="auto"/>
          <w:sz w:val="24"/>
          <w:szCs w:val="24"/>
          <w:highlight w:val="none"/>
          <w:lang w:val="en-US" w:eastAsia="zh-CN"/>
        </w:rPr>
        <w:t xml:space="preserve">26个行政村</w:t>
      </w:r>
      <w:r>
        <w:rPr>
          <w:rFonts w:hint="eastAsia" w:ascii="宋体" w:hAnsi="宋体" w:cs="仿宋"/>
          <w:color w:val="auto"/>
          <w:sz w:val="24"/>
          <w:szCs w:val="24"/>
          <w:highlight w:val="none"/>
          <w:lang w:val="en-US" w:eastAsia="zh-CN"/>
        </w:rPr>
        <w:t xml:space="preserve">、1个社区</w:t>
      </w:r>
      <w:r>
        <w:rPr>
          <w:rFonts w:hint="eastAsia" w:ascii="宋体" w:hAnsi="宋体" w:cs="仿宋"/>
          <w:color w:val="auto"/>
          <w:sz w:val="24"/>
          <w:szCs w:val="24"/>
          <w:highlight w:val="none"/>
        </w:rPr>
        <w:t xml:space="preserve">）环境公共运营维护长效管护工作，含道路保洁、河道保洁、</w:t>
      </w:r>
      <w:r>
        <w:rPr>
          <w:rFonts w:hint="eastAsia" w:ascii="宋体" w:hAnsi="宋体" w:cs="仿宋"/>
          <w:color w:val="auto"/>
          <w:sz w:val="24"/>
          <w:szCs w:val="24"/>
          <w:highlight w:val="none"/>
          <w:lang w:val="en-US" w:eastAsia="zh-CN"/>
        </w:rPr>
        <w:t xml:space="preserve">农路两侧</w:t>
      </w:r>
      <w:r>
        <w:rPr>
          <w:rFonts w:hint="eastAsia" w:ascii="宋体" w:hAnsi="宋体" w:cs="仿宋"/>
          <w:color w:val="auto"/>
          <w:sz w:val="24"/>
          <w:szCs w:val="24"/>
          <w:highlight w:val="none"/>
        </w:rPr>
        <w:t xml:space="preserve">绿化养护、公厕保洁、垃圾分类处置（包含垃圾筒投放、收集、清运）、垃圾压缩中转站的运营维护维修及配件更换</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rPr>
        <w:t xml:space="preserve">配备应急处置和突击整治力量，提升环卫作业效率，实现长效管理。</w:t>
      </w:r>
      <w:r/>
    </w:p>
    <w:p>
      <w:pPr>
        <w:ind w:right="0" w:firstLine="480"/>
        <w:pageBreakBefore w:val="0"/>
        <w:spacing w:line="360" w:lineRule="auto"/>
        <w:rPr>
          <w:rFonts w:hint="default" w:ascii="宋体" w:hAnsi="宋体" w:cs="仿宋"/>
          <w:color w:val="auto"/>
          <w:sz w:val="24"/>
          <w:szCs w:val="24"/>
          <w:highlight w:val="none"/>
          <w:lang w:val="en-US"/>
        </w:rPr>
      </w:pPr>
      <w:r>
        <w:rPr>
          <w:rFonts w:hint="eastAsia" w:ascii="宋体" w:hAnsi="宋体" w:cs="仿宋"/>
          <w:color w:val="auto"/>
          <w:sz w:val="24"/>
          <w:szCs w:val="24"/>
          <w:highlight w:val="none"/>
          <w:lang w:val="en-US" w:eastAsia="zh-CN"/>
        </w:rPr>
        <w:t xml:space="preserve">2、</w:t>
      </w:r>
      <w:r>
        <w:rPr>
          <w:rFonts w:hint="eastAsia" w:ascii="宋体" w:hAnsi="宋体" w:cs="仿宋"/>
          <w:color w:val="auto"/>
          <w:sz w:val="24"/>
          <w:szCs w:val="24"/>
          <w:highlight w:val="none"/>
        </w:rPr>
        <w:t xml:space="preserve">接管</w:t>
      </w:r>
      <w:r>
        <w:rPr>
          <w:rFonts w:hint="eastAsia" w:ascii="宋体" w:hAnsi="宋体" w:cs="仿宋"/>
          <w:color w:val="auto"/>
          <w:sz w:val="24"/>
          <w:szCs w:val="24"/>
          <w:highlight w:val="none"/>
          <w:lang w:val="en-US" w:eastAsia="zh-CN"/>
        </w:rPr>
        <w:t xml:space="preserve">富安</w:t>
      </w:r>
      <w:r>
        <w:rPr>
          <w:rFonts w:hint="eastAsia" w:ascii="宋体" w:hAnsi="宋体" w:cs="仿宋"/>
          <w:color w:val="auto"/>
          <w:sz w:val="24"/>
          <w:szCs w:val="24"/>
          <w:highlight w:val="none"/>
        </w:rPr>
        <w:t xml:space="preserve">镇区及乡村的环卫作业，现有环卫设施设备由镇区移交给中标方使用，无条件接管现有保洁人员、已有设备</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lang w:val="en-US" w:eastAsia="zh-CN"/>
        </w:rPr>
        <w:t xml:space="preserve">具体清单详见本章第六项</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lang w:val="en-US" w:eastAsia="zh-CN"/>
        </w:rPr>
        <w:t xml:space="preserve">此部分人员及设备所有费用包含在投标报价中，中标后必须按投标报价中相关报价进行结算费用，缴纳保险等，一切责任与招标人无涉。</w:t>
      </w:r>
      <w:r/>
    </w:p>
    <w:p>
      <w:pPr>
        <w:pStyle w:val="854"/>
        <w:ind w:left="0" w:right="0" w:firstLine="562"/>
        <w:pageBreakBefore w:val="0"/>
        <w:spacing w:before="0" w:after="0" w:line="360" w:lineRule="auto"/>
        <w:rPr>
          <w:color w:val="auto"/>
          <w:sz w:val="28"/>
          <w:szCs w:val="28"/>
          <w:highlight w:val="none"/>
        </w:rPr>
      </w:pPr>
      <w:r>
        <w:rPr>
          <w:rFonts w:hint="eastAsia"/>
          <w:color w:val="auto"/>
          <w:sz w:val="28"/>
          <w:szCs w:val="28"/>
          <w:highlight w:val="none"/>
        </w:rPr>
        <w:t xml:space="preserve">（二）服务范围</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1、道路保洁：镇域范围内各等级公路、农路、村庄巷道的保洁工作。</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2、河道保洁：镇域内各级河道（市级河道除外）、沟塘及河坡的保洁工作。</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3、垃圾收运工作：镇域内生活垃圾清运至垃圾压缩中转站,非两禁期间的农业生产垃圾（不含成批的农药废弃物清理）清运至各村指定地点，零星的建筑装潢垃圾清运至各村指定地点。</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4、垃圾压缩中转站运营：负责压缩中转站的卫生、设备的维护保养、压缩设备的操作。</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5、垃圾压缩站的日常运行、配件维修更换及维护保养，中转站水电费由采购人负责。</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6、绿化管护：</w:t>
      </w:r>
      <w:r>
        <w:rPr>
          <w:rFonts w:hint="eastAsia" w:ascii="宋体" w:hAnsi="宋体" w:cs="仿宋"/>
          <w:color w:val="auto"/>
          <w:sz w:val="24"/>
          <w:szCs w:val="24"/>
          <w:highlight w:val="none"/>
          <w:lang w:val="en-US" w:eastAsia="zh-CN"/>
        </w:rPr>
        <w:t xml:space="preserve">农路</w:t>
      </w:r>
      <w:r>
        <w:rPr>
          <w:rFonts w:hint="eastAsia" w:ascii="宋体" w:hAnsi="宋体" w:cs="仿宋"/>
          <w:color w:val="auto"/>
          <w:sz w:val="24"/>
          <w:szCs w:val="24"/>
          <w:highlight w:val="none"/>
        </w:rPr>
        <w:t xml:space="preserve">两边绿化剪枝、刷白、割草、除虫工作。</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7、公厕保洁：对镇区公司进行日常保洁（含化粪池清理），公厕的水电费由采购人负责。</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8、垃圾分类处置（</w:t>
      </w:r>
      <w:r>
        <w:rPr>
          <w:rFonts w:hint="eastAsia" w:ascii="宋体" w:hAnsi="宋体" w:cs="仿宋"/>
          <w:color w:val="auto"/>
          <w:sz w:val="24"/>
          <w:szCs w:val="24"/>
          <w:highlight w:val="none"/>
          <w:lang w:val="en-US" w:eastAsia="zh-CN"/>
        </w:rPr>
        <w:t xml:space="preserve">如需要</w:t>
      </w:r>
      <w:r>
        <w:rPr>
          <w:rFonts w:hint="eastAsia" w:ascii="宋体" w:hAnsi="宋体" w:cs="仿宋"/>
          <w:color w:val="auto"/>
          <w:sz w:val="24"/>
          <w:szCs w:val="24"/>
          <w:highlight w:val="none"/>
        </w:rPr>
        <w:t xml:space="preserve">包含投放、收集、清运）。</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9、其他服务：发现乱倒建筑垃圾、工业垃圾、违章建设等要及时报告。</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10、如有新增托管内容产生，由甲乙双方协商，另行签订补充协议。</w:t>
      </w:r>
      <w:r/>
    </w:p>
    <w:p>
      <w:pPr>
        <w:pStyle w:val="854"/>
        <w:ind w:left="0" w:right="0" w:firstLine="562"/>
        <w:pageBreakBefore w:val="0"/>
        <w:spacing w:before="0" w:after="0" w:line="360" w:lineRule="auto"/>
        <w:rPr>
          <w:rFonts w:hint="eastAsia"/>
          <w:color w:val="auto"/>
          <w:sz w:val="28"/>
          <w:szCs w:val="28"/>
          <w:highlight w:val="none"/>
        </w:rPr>
      </w:pPr>
      <w:r>
        <w:rPr>
          <w:rFonts w:hint="eastAsia"/>
          <w:color w:val="auto"/>
          <w:sz w:val="28"/>
          <w:szCs w:val="28"/>
          <w:highlight w:val="none"/>
        </w:rPr>
        <w:t xml:space="preserve">（三） 项目管理要求</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1、设备配备要求</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（1）配备足够数量的收运设施</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①采用垃圾不落地的收运模式，</w:t>
      </w:r>
      <w:r>
        <w:rPr>
          <w:rFonts w:hint="eastAsia" w:ascii="宋体" w:hAnsi="宋体" w:cs="仿宋"/>
          <w:color w:val="auto"/>
          <w:sz w:val="24"/>
          <w:szCs w:val="24"/>
          <w:highlight w:val="none"/>
          <w:lang w:val="en-US" w:eastAsia="zh-CN"/>
        </w:rPr>
        <w:t xml:space="preserve">实现入户收集，</w:t>
      </w:r>
      <w:r>
        <w:rPr>
          <w:rFonts w:hint="eastAsia" w:ascii="宋体" w:hAnsi="宋体" w:cs="仿宋"/>
          <w:color w:val="auto"/>
          <w:sz w:val="24"/>
          <w:szCs w:val="24"/>
          <w:highlight w:val="none"/>
        </w:rPr>
        <w:t xml:space="preserve">每300户配备一辆垃圾收集车辆，收集车在作业过程中杜绝跑冒滴漏的现象；</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②根据垃圾量配备垃圾集中点的垃圾桶及转运桶，同时负责承包期内损坏垃圾箱的更换；</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③配备</w:t>
      </w:r>
      <w:r>
        <w:rPr>
          <w:rFonts w:hint="eastAsia" w:ascii="宋体" w:hAnsi="宋体" w:cs="仿宋"/>
          <w:color w:val="auto"/>
          <w:sz w:val="24"/>
          <w:szCs w:val="24"/>
          <w:highlight w:val="none"/>
          <w:lang w:val="en-US" w:eastAsia="zh-CN"/>
        </w:rPr>
        <w:t xml:space="preserve">5</w:t>
      </w:r>
      <w:r>
        <w:rPr>
          <w:rFonts w:hint="eastAsia" w:ascii="宋体" w:hAnsi="宋体" w:cs="仿宋"/>
          <w:color w:val="auto"/>
          <w:sz w:val="24"/>
          <w:szCs w:val="24"/>
          <w:highlight w:val="none"/>
        </w:rPr>
        <w:t xml:space="preserve">辆后装压缩车（总质量7T-8T）；</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④配备总质量不低于7T的吸污车1辆。　　　　</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（2）配备足够数量的保洁设施</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①为保证道路清扫的彻底性，提高道路机械化保洁率，配备总质量不低于16T洗扫车1辆；</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②为确保PM2.5检测点的检测数据，配备总质量不低于16T的多功能抑尘车1辆（车辆兼有洒水功能）；</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③为每位道路保洁员配备保洁车辆（人力或电动）；</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④配备2辆电动高压冲洗车用于垃圾设施的冲洗保洁。</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（3）配备足够数量的河道保洁设施</w:t>
      </w:r>
      <w:r/>
    </w:p>
    <w:p>
      <w:pPr>
        <w:ind w:left="0" w:right="0"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配备机动保洁船4条，非机动保洁船8条。</w:t>
      </w:r>
      <w:r/>
    </w:p>
    <w:p>
      <w:pPr>
        <w:ind w:left="0" w:right="0" w:firstLine="482"/>
        <w:pageBreakBefore w:val="0"/>
        <w:spacing w:line="360" w:lineRule="auto"/>
        <w:rPr>
          <w:rFonts w:hint="eastAsia" w:ascii="宋体" w:hAnsi="宋体" w:cs="仿宋"/>
          <w:b/>
          <w:color w:val="auto"/>
          <w:sz w:val="24"/>
          <w:szCs w:val="24"/>
          <w:highlight w:val="none"/>
        </w:rPr>
      </w:pPr>
      <w:r>
        <w:rPr>
          <w:rFonts w:hint="eastAsia" w:ascii="宋体" w:hAnsi="宋体" w:cs="仿宋"/>
          <w:b/>
          <w:color w:val="auto"/>
          <w:sz w:val="24"/>
          <w:szCs w:val="24"/>
          <w:highlight w:val="none"/>
        </w:rPr>
        <w:t xml:space="preserve">说明：上述所有设备必须为投标单位自有，投标时已经具有的提供相关证明资料（机动车辆提供行驶证、发票及保险单据，其他设备提供购置发票）；投标时没有的提供承诺函，中标后设备全部到场方可签订合同。</w:t>
      </w:r>
      <w:r/>
    </w:p>
    <w:p>
      <w:pPr>
        <w:ind w:left="0" w:right="0" w:firstLine="480"/>
        <w:pageBreakBefore w:val="0"/>
        <w:spacing w:line="360" w:lineRule="auto"/>
        <w:rPr>
          <w:rFonts w:hint="eastAsia" w:ascii="宋体" w:hAnsi="宋体" w:cs="仿宋"/>
          <w:b/>
          <w:color w:val="auto"/>
          <w:sz w:val="24"/>
          <w:szCs w:val="24"/>
          <w:highlight w:val="none"/>
        </w:rPr>
      </w:pPr>
      <w:r>
        <w:rPr>
          <w:rFonts w:hint="eastAsia" w:ascii="宋体" w:hAnsi="宋体"/>
          <w:color w:val="auto"/>
          <w:sz w:val="24"/>
          <w:szCs w:val="24"/>
          <w:highlight w:val="none"/>
        </w:rPr>
        <w:t xml:space="preserve">（4）全镇范围内涉及到河长制、垃圾分类、263工程及国家级、省、市、县级各种创建活动所需要投入的专用设备由采购单位承担。</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2、人员配备要求</w:t>
      </w:r>
      <w:r/>
    </w:p>
    <w:p>
      <w:pPr>
        <w:ind w:left="0" w:right="0" w:firstLine="48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rPr>
        <w:t xml:space="preserve">项目经理等管理人员3人，片区管理员8人，驾驶员8人，保洁员150人，压缩站管理员1人。</w:t>
      </w:r>
      <w:r/>
    </w:p>
    <w:p>
      <w:pPr>
        <w:ind w:left="0" w:right="0" w:firstLine="48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分类择优聘用保洁管护员</w:t>
      </w:r>
      <w:r>
        <w:rPr>
          <w:rFonts w:hint="eastAsia" w:ascii="宋体" w:hAnsi="宋体"/>
          <w:color w:val="auto"/>
          <w:sz w:val="24"/>
          <w:szCs w:val="24"/>
          <w:highlight w:val="none"/>
        </w:rPr>
        <w:t xml:space="preserve">，并对保洁员实行优胜劣汰的考核机制</w:t>
      </w:r>
      <w:r>
        <w:rPr>
          <w:rFonts w:ascii="宋体" w:hAnsi="宋体"/>
          <w:color w:val="auto"/>
          <w:sz w:val="24"/>
          <w:szCs w:val="24"/>
          <w:highlight w:val="none"/>
        </w:rPr>
        <w:t xml:space="preserve">。</w:t>
      </w:r>
      <w:r>
        <w:rPr>
          <w:rFonts w:hint="eastAsia" w:ascii="宋体" w:hAnsi="宋体"/>
          <w:color w:val="auto"/>
          <w:sz w:val="24"/>
          <w:szCs w:val="24"/>
          <w:highlight w:val="none"/>
        </w:rPr>
        <w:t xml:space="preserve">保洁人员相对固定，如有变化需在一周之内报告服务购买方。保洁员选择条件：</w:t>
      </w:r>
      <w:r>
        <w:rPr>
          <w:rFonts w:ascii="宋体" w:hAnsi="宋体"/>
          <w:color w:val="auto"/>
          <w:sz w:val="24"/>
          <w:szCs w:val="24"/>
          <w:highlight w:val="none"/>
        </w:rPr>
        <w:t xml:space="preserve">身体好、思想佳、能吃苦、肯负责、年龄在18－60周岁的村民（身体健康年龄可适当放宽），实行招聘上岗</w:t>
      </w:r>
      <w:r>
        <w:rPr>
          <w:rFonts w:hint="eastAsia" w:ascii="宋体" w:hAnsi="宋体"/>
          <w:color w:val="auto"/>
          <w:sz w:val="24"/>
          <w:szCs w:val="24"/>
          <w:highlight w:val="none"/>
        </w:rPr>
        <w:t xml:space="preserve">，优先录用现有保洁人员</w:t>
      </w:r>
      <w:r>
        <w:rPr>
          <w:rFonts w:ascii="宋体" w:hAnsi="宋体"/>
          <w:color w:val="auto"/>
          <w:sz w:val="24"/>
          <w:szCs w:val="24"/>
          <w:highlight w:val="none"/>
        </w:rPr>
        <w:t xml:space="preserve">。</w:t>
      </w:r>
      <w:r/>
    </w:p>
    <w:p>
      <w:pPr>
        <w:ind w:left="0" w:right="0" w:firstLine="480"/>
        <w:pageBreakBefore w:val="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加强队伍管理。</w:t>
      </w:r>
      <w:r>
        <w:rPr>
          <w:rFonts w:hint="eastAsia" w:ascii="宋体" w:hAnsi="宋体" w:cs="仿宋"/>
          <w:color w:val="auto"/>
          <w:sz w:val="24"/>
          <w:szCs w:val="24"/>
          <w:highlight w:val="none"/>
        </w:rPr>
        <w:t xml:space="preserve">①</w:t>
      </w:r>
      <w:r>
        <w:rPr>
          <w:rFonts w:ascii="宋体" w:hAnsi="宋体"/>
          <w:color w:val="auto"/>
          <w:sz w:val="24"/>
          <w:szCs w:val="24"/>
          <w:highlight w:val="none"/>
        </w:rPr>
        <w:t xml:space="preserve">保洁</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员着统一的环卫服装，按管护要求及时管护。</w:t>
      </w:r>
      <w:r>
        <w:rPr>
          <w:rFonts w:hint="eastAsia" w:ascii="宋体" w:hAnsi="宋体" w:cs="仿宋"/>
          <w:color w:val="auto"/>
          <w:sz w:val="24"/>
          <w:szCs w:val="24"/>
          <w:highlight w:val="none"/>
        </w:rPr>
        <w:t xml:space="preserve">②</w:t>
      </w:r>
      <w:r>
        <w:rPr>
          <w:rFonts w:hint="eastAsia" w:ascii="宋体" w:hAnsi="宋体"/>
          <w:color w:val="auto"/>
          <w:sz w:val="24"/>
          <w:szCs w:val="24"/>
          <w:highlight w:val="none"/>
        </w:rPr>
        <w:t xml:space="preserve">每季度一次</w:t>
      </w:r>
      <w:r>
        <w:rPr>
          <w:rFonts w:ascii="宋体" w:hAnsi="宋体"/>
          <w:color w:val="auto"/>
          <w:sz w:val="24"/>
          <w:szCs w:val="24"/>
          <w:highlight w:val="none"/>
        </w:rPr>
        <w:t xml:space="preserve">组织</w:t>
      </w:r>
      <w:r>
        <w:rPr>
          <w:rFonts w:hint="eastAsia" w:ascii="宋体" w:hAnsi="宋体"/>
          <w:color w:val="auto"/>
          <w:sz w:val="24"/>
          <w:szCs w:val="24"/>
          <w:highlight w:val="none"/>
        </w:rPr>
        <w:t xml:space="preserve">所有</w:t>
      </w:r>
      <w:r>
        <w:rPr>
          <w:rFonts w:ascii="宋体" w:hAnsi="宋体"/>
          <w:color w:val="auto"/>
          <w:sz w:val="24"/>
          <w:szCs w:val="24"/>
          <w:highlight w:val="none"/>
        </w:rPr>
        <w:t xml:space="preserve">保洁管护人员进行业务以及安全知识培训，确保保洁管护队伍业务精湛、安全措施健全。</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3、服务要求</w:t>
      </w:r>
      <w:r/>
    </w:p>
    <w:p>
      <w:pPr>
        <w:ind w:left="0" w:right="0"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（1）所有人员工资标准不得低于盐城市当前最低工资标准。</w:t>
      </w:r>
      <w:r/>
    </w:p>
    <w:p>
      <w:pPr>
        <w:ind w:left="0" w:right="0"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（2）项目经理等管理人员、车辆驾驶员必须缴纳社保，其余岗位缴纳社保人员不少于岗位人数的一半，雇主责任险或意外伤害险缴纳要求不低于100万的身故保额。</w:t>
      </w:r>
      <w:r/>
    </w:p>
    <w:p>
      <w:pPr>
        <w:ind w:left="0" w:right="0"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（3）职工福利每年不低于400元/人，夏季高温费每年不低于1200元/人，服装等劳保用品每年不低于400元/人。</w:t>
      </w:r>
      <w:r/>
    </w:p>
    <w:p>
      <w:pPr>
        <w:ind w:left="0" w:right="0"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（4）所有车辆必须证件齐全，缴纳各项保险，</w:t>
      </w:r>
      <w:r>
        <w:rPr>
          <w:rFonts w:ascii="宋体" w:hAnsi="宋体"/>
          <w:color w:val="auto"/>
          <w:sz w:val="24"/>
          <w:szCs w:val="24"/>
          <w:highlight w:val="none"/>
        </w:rPr>
        <w:t xml:space="preserve">一切安全责任由公司负责</w:t>
      </w:r>
      <w:r>
        <w:rPr>
          <w:rFonts w:hint="eastAsia" w:ascii="宋体" w:hAnsi="宋体"/>
          <w:color w:val="auto"/>
          <w:sz w:val="24"/>
          <w:szCs w:val="24"/>
          <w:highlight w:val="none"/>
        </w:rPr>
        <w:t xml:space="preserve">。</w:t>
      </w:r>
      <w:r/>
    </w:p>
    <w:p>
      <w:pPr>
        <w:ind w:left="0" w:right="0"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（5）道路保洁车辆必须按作业要求进行作业，杜绝减少作业路面或作业次数。</w:t>
      </w:r>
      <w:r/>
    </w:p>
    <w:p>
      <w:pPr>
        <w:ind w:left="0" w:right="0"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（6）如遇迎检、现场会等</w:t>
      </w:r>
      <w:r>
        <w:rPr>
          <w:rFonts w:ascii="宋体" w:hAnsi="宋体"/>
          <w:color w:val="auto"/>
          <w:sz w:val="24"/>
          <w:szCs w:val="24"/>
          <w:highlight w:val="none"/>
        </w:rPr>
        <w:t xml:space="preserve">特殊</w:t>
      </w:r>
      <w:r>
        <w:rPr>
          <w:rFonts w:hint="eastAsia" w:ascii="宋体" w:hAnsi="宋体"/>
          <w:color w:val="auto"/>
          <w:sz w:val="24"/>
          <w:szCs w:val="24"/>
          <w:highlight w:val="none"/>
        </w:rPr>
        <w:t xml:space="preserve">情况</w:t>
      </w:r>
      <w:r>
        <w:rPr>
          <w:rFonts w:ascii="宋体" w:hAnsi="宋体"/>
          <w:color w:val="auto"/>
          <w:sz w:val="24"/>
          <w:szCs w:val="24"/>
          <w:highlight w:val="none"/>
        </w:rPr>
        <w:t xml:space="preserve">服从镇环境整治办统一调度清理，</w:t>
      </w:r>
      <w:r>
        <w:rPr>
          <w:rFonts w:hint="eastAsia" w:ascii="宋体" w:hAnsi="宋体"/>
          <w:color w:val="auto"/>
          <w:sz w:val="24"/>
          <w:szCs w:val="24"/>
          <w:highlight w:val="none"/>
        </w:rPr>
        <w:t xml:space="preserve">保洁</w:t>
      </w:r>
      <w:r>
        <w:rPr>
          <w:rFonts w:ascii="宋体" w:hAnsi="宋体"/>
          <w:color w:val="auto"/>
          <w:sz w:val="24"/>
          <w:szCs w:val="24"/>
          <w:highlight w:val="none"/>
        </w:rPr>
        <w:t xml:space="preserve">人</w:t>
      </w:r>
      <w:r>
        <w:rPr>
          <w:rFonts w:ascii="宋体" w:hAnsi="宋体"/>
          <w:color w:val="auto"/>
          <w:sz w:val="24"/>
          <w:szCs w:val="24"/>
          <w:highlight w:val="none"/>
        </w:rPr>
        <w:t xml:space="preserve">员必须服从镇环境整治办统一管理</w:t>
      </w:r>
      <w:r>
        <w:rPr>
          <w:rFonts w:hint="eastAsia" w:ascii="宋体" w:hAnsi="宋体"/>
          <w:color w:val="auto"/>
          <w:sz w:val="24"/>
          <w:szCs w:val="24"/>
          <w:highlight w:val="none"/>
        </w:rPr>
        <w:t xml:space="preserve">。</w:t>
      </w:r>
      <w:r/>
    </w:p>
    <w:p>
      <w:pPr>
        <w:ind w:left="0" w:right="0" w:firstLine="482"/>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备注：在报价明细表中，必须至少有上述内容明细（不仅限于上述明细），否则可能导致评标委员会认为投标报价组成不完整。</w:t>
      </w:r>
      <w:r/>
    </w:p>
    <w:p>
      <w:pPr>
        <w:pStyle w:val="854"/>
        <w:ind w:left="0" w:right="0" w:firstLine="562"/>
        <w:pageBreakBefore w:val="0"/>
        <w:spacing w:before="0" w:after="0" w:line="360" w:lineRule="auto"/>
        <w:rPr>
          <w:color w:val="auto"/>
          <w:sz w:val="28"/>
          <w:szCs w:val="28"/>
          <w:highlight w:val="none"/>
        </w:rPr>
      </w:pPr>
      <w:r>
        <w:rPr>
          <w:rFonts w:hint="eastAsia"/>
          <w:color w:val="auto"/>
          <w:sz w:val="28"/>
          <w:szCs w:val="28"/>
          <w:highlight w:val="none"/>
        </w:rPr>
        <w:t xml:space="preserve">（四）作业质量</w:t>
      </w:r>
      <w:r>
        <w:rPr>
          <w:color w:val="auto"/>
          <w:sz w:val="28"/>
          <w:szCs w:val="28"/>
          <w:highlight w:val="none"/>
        </w:rPr>
        <w:t xml:space="preserve">要求</w:t>
      </w:r>
      <w:r/>
    </w:p>
    <w:p>
      <w:pPr>
        <w:pStyle w:val="855"/>
        <w:ind w:left="0" w:right="0" w:firstLine="482"/>
        <w:pageBreakBefore w:val="0"/>
        <w:spacing w:before="0" w:after="0" w:line="360" w:lineRule="auto"/>
        <w:rPr>
          <w:color w:val="auto"/>
          <w:sz w:val="24"/>
          <w:szCs w:val="24"/>
          <w:highlight w:val="none"/>
        </w:rPr>
      </w:pPr>
      <w:r>
        <w:rPr>
          <w:rFonts w:hint="eastAsia"/>
          <w:color w:val="auto"/>
          <w:sz w:val="24"/>
          <w:szCs w:val="24"/>
          <w:highlight w:val="none"/>
        </w:rPr>
        <w:t xml:space="preserve">1、集镇保洁要求</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（1）道路清扫实行不低于8小时动态保洁，交界路段相互交叉保洁；</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2）道路清扫保洁要达到“四无五净”要求，即：无零星垃圾、杂草、杂物；无果皮、纸屑、烟蒂；无积灰泥、积水、污物；无堵塞窨井、沟眼；路面（人行道）净，窨井沟眼净，人行道板树穴净，路肩边角净，花坛周边及隔离护栏下净。路面积尘较多的路段应定期用高压清洗车冲洗，保证路面见本色； </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（3）环卫工人按规范穿着环卫工作服；</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（4）作业车辆和工具保持整洁,作业时不妨碍行人、其它车辆通行；</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（5）路面清扫的垃圾，必须及时清理并在当日清运干净；</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（6）垃圾不得焚烧或者扫入路边雨水口、绿地内；</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（7）下雨天应清扫路沟边、护栏下泥沙，保持雨水口通畅；雨、雪后积水及时清扫；</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（8）落叶季节应及时清扫落叶；</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（9）镇农贸市场、主要街道、公交站台等人群密集、易产生飘浮物的路段加强保洁；</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（10）作业人员应文明作业，不得擅自离岗，不得聚众聊天，严禁与他人争吵、打架，作业过程中禁止拾荒；</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（11）清扫保洁路段、区域不得漏扫、间扫；</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（12）实行机械化作业的路段每日机械洗扫不少于1次、机械冲洗不少于1</w:t>
      </w:r>
      <w:r>
        <w:rPr>
          <w:rFonts w:hint="eastAsia" w:ascii="宋体" w:hAnsi="宋体" w:cs="仿宋"/>
          <w:color w:val="auto"/>
          <w:sz w:val="24"/>
          <w:szCs w:val="24"/>
          <w:highlight w:val="none"/>
        </w:rPr>
        <w:t xml:space="preserve">次。清扫作业时必须洒水，做到清扫不扬尘、不漏土；</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（13）多功能抑尘车每天在PM2.5监测点附近每天循环作业不低于4小时；</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（14）来信、来访等投诉，应按照规定时限及时妥善处理，迅速整改到位；</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（15）自觉服从主管部门的管理和工作安排，积极配合做好各类重大活动期间的环卫保障工作。特殊情况下，应按主管部门通知作业。除重大应急保障工作外均无偿提供保障工作；</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（16）道旁目视范围内绿化带的日常</w:t>
      </w:r>
      <w:r>
        <w:rPr>
          <w:rFonts w:hint="eastAsia" w:ascii="宋体" w:hAnsi="宋体" w:cs="仿宋"/>
          <w:color w:val="auto"/>
          <w:sz w:val="24"/>
          <w:szCs w:val="24"/>
          <w:highlight w:val="none"/>
        </w:rPr>
        <w:t xml:space="preserve">保洁，应与行车道、人行道等同步保洁。做到绿化带内无飘浮物、杂物和暴露垃圾。</w:t>
      </w:r>
      <w:r/>
    </w:p>
    <w:p>
      <w:pPr>
        <w:pStyle w:val="855"/>
        <w:ind w:left="0" w:right="0" w:firstLine="482"/>
        <w:pageBreakBefore w:val="0"/>
        <w:spacing w:before="0" w:after="0" w:line="360" w:lineRule="auto"/>
        <w:rPr>
          <w:color w:val="auto"/>
          <w:sz w:val="24"/>
          <w:szCs w:val="24"/>
          <w:highlight w:val="none"/>
        </w:rPr>
      </w:pPr>
      <w:r>
        <w:rPr>
          <w:rFonts w:hint="eastAsia"/>
          <w:color w:val="auto"/>
          <w:sz w:val="24"/>
          <w:szCs w:val="24"/>
          <w:highlight w:val="none"/>
        </w:rPr>
        <w:t xml:space="preserve">2、农村道路的保洁要求</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（1）对农村四级公路的要求：</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①路面（桥面）清洁、沿线视线范围内无生活垃圾；路肩无杂草、无堆积物、无边坡种植。</w:t>
      </w:r>
      <w:r>
        <w:rPr>
          <w:rFonts w:ascii="宋体" w:hAnsi="宋体" w:cs="仿宋"/>
          <w:color w:val="auto"/>
          <w:sz w:val="24"/>
          <w:szCs w:val="24"/>
          <w:highlight w:val="none"/>
        </w:rPr>
        <w:t xml:space="preserve"> </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②道路沿线电杆、墙面、标牌、公交站亭（牌）、垃圾池（房）上无非标广告；</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③道路两侧路名牌、警示牌、警示桩必须无损坏、歪斜以及遮挡视线的现象；</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④必须有自然灾害天气的应急预案、人员队伍、物资车辆、警示牌、灯以及值班看护等；</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⑤发现水泥路面有裂纹、破损、热毁立即汇报业主方维修。道路两侧路名牌、警示牌、警示桩无损坏、歪斜以及遮挡视线等影响道路交通安全情况，发现情况立即整改到位。</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（2）对水泥硬质路的要求：</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路面清洁，无垃圾、抛洒物、打谷晒场、乱堆乱放现象；</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（3）对村庄沙石道路的要求：</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①路面清洁、无垃圾；</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②看到乱抛乱烧、违章建筑现场要及时上报。</w:t>
      </w:r>
      <w:r/>
    </w:p>
    <w:p>
      <w:pPr>
        <w:pStyle w:val="855"/>
        <w:ind w:left="0" w:right="0" w:firstLine="482"/>
        <w:pageBreakBefore w:val="0"/>
        <w:spacing w:before="0" w:after="0" w:line="360" w:lineRule="auto"/>
        <w:rPr>
          <w:color w:val="auto"/>
          <w:sz w:val="24"/>
          <w:szCs w:val="24"/>
          <w:highlight w:val="none"/>
        </w:rPr>
      </w:pPr>
      <w:r>
        <w:rPr>
          <w:rFonts w:hint="eastAsia"/>
          <w:color w:val="auto"/>
          <w:sz w:val="24"/>
          <w:szCs w:val="24"/>
          <w:highlight w:val="none"/>
        </w:rPr>
        <w:t xml:space="preserve">3、村庄环境整治要求</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（1）垃圾日产日清，箱（桶）内垃圾无长期积存、满溢现象；</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（2）垃圾桶摆放整齐，对垃圾桶进行擦洗，保证</w:t>
      </w:r>
      <w:r>
        <w:rPr>
          <w:rFonts w:hint="eastAsia" w:ascii="宋体" w:hAnsi="宋体" w:cs="仿宋"/>
          <w:color w:val="auto"/>
          <w:sz w:val="24"/>
          <w:szCs w:val="24"/>
          <w:highlight w:val="none"/>
          <w:lang w:val="en-US" w:eastAsia="zh-CN"/>
        </w:rPr>
        <w:t xml:space="preserve">桶</w:t>
      </w:r>
      <w:r>
        <w:rPr>
          <w:rFonts w:hint="eastAsia" w:ascii="宋体" w:hAnsi="宋体" w:cs="仿宋"/>
          <w:color w:val="auto"/>
          <w:sz w:val="24"/>
          <w:szCs w:val="24"/>
          <w:highlight w:val="none"/>
        </w:rPr>
        <w:t xml:space="preserve">外体干净整洁，无破损；</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（3）</w:t>
      </w:r>
      <w:r>
        <w:rPr>
          <w:rFonts w:hint="eastAsia" w:ascii="宋体" w:hAnsi="宋体" w:cs="仿宋"/>
          <w:color w:val="auto"/>
          <w:sz w:val="24"/>
          <w:szCs w:val="24"/>
          <w:highlight w:val="none"/>
          <w:lang w:val="en-US" w:eastAsia="zh-CN"/>
        </w:rPr>
        <w:t xml:space="preserve">垃圾</w:t>
      </w:r>
      <w:r>
        <w:rPr>
          <w:rFonts w:hint="eastAsia" w:ascii="宋体" w:hAnsi="宋体" w:cs="仿宋"/>
          <w:color w:val="auto"/>
          <w:sz w:val="24"/>
          <w:szCs w:val="24"/>
          <w:highlight w:val="none"/>
        </w:rPr>
        <w:t xml:space="preserve">桶外无散露垃圾和污水；</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（4）</w:t>
      </w:r>
      <w:r>
        <w:rPr>
          <w:rFonts w:hint="eastAsia" w:ascii="宋体" w:hAnsi="宋体" w:cs="仿宋"/>
          <w:color w:val="auto"/>
          <w:sz w:val="24"/>
          <w:szCs w:val="24"/>
          <w:highlight w:val="none"/>
          <w:lang w:val="en-US" w:eastAsia="zh-CN"/>
        </w:rPr>
        <w:t xml:space="preserve">垃圾</w:t>
      </w:r>
      <w:r>
        <w:rPr>
          <w:rFonts w:hint="eastAsia" w:ascii="宋体" w:hAnsi="宋体" w:cs="仿宋"/>
          <w:color w:val="auto"/>
          <w:sz w:val="24"/>
          <w:szCs w:val="24"/>
          <w:highlight w:val="none"/>
        </w:rPr>
        <w:t xml:space="preserve">桶内垃圾不得焚烧，更不得随处填埋垃圾；</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（5）住户的房前屋后无果皮、纸屑、垃圾袋等暴露、积存垃圾；</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（6）协助管理房前屋后乱搭乱建现象，如有发现及时上报；</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（7）协助管理公共区域的乱堆乱放现象，如有发现及时上报。</w:t>
      </w:r>
      <w:r/>
    </w:p>
    <w:p>
      <w:pPr>
        <w:pStyle w:val="855"/>
        <w:ind w:left="0" w:right="0" w:firstLine="482"/>
        <w:pageBreakBefore w:val="0"/>
        <w:spacing w:before="0" w:after="0" w:line="360" w:lineRule="auto"/>
        <w:rPr>
          <w:color w:val="auto"/>
          <w:sz w:val="24"/>
          <w:szCs w:val="24"/>
          <w:highlight w:val="none"/>
        </w:rPr>
      </w:pPr>
      <w:r>
        <w:rPr>
          <w:rFonts w:hint="eastAsia"/>
          <w:color w:val="auto"/>
          <w:sz w:val="24"/>
          <w:szCs w:val="24"/>
          <w:highlight w:val="none"/>
        </w:rPr>
        <w:t xml:space="preserve">4、河道保洁要求</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（1）确保河面清洁无水花生、水葫芦、连片秧花、百脚草等有害水生杂物；</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（2）确保水面保持清洁，无漂浮物（主要是白色生活垃圾）；</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（3）河坡整洁无暴露垃圾，发现乱堆乱放、乱建乱搭及时制止并上报有关部门；</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（4）河道清理上岸的垃圾必须送到政府规定的指定地点；</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（5）所有人员必须穿戴统一服装并穿救生衣。</w:t>
      </w:r>
      <w:r/>
    </w:p>
    <w:p>
      <w:pPr>
        <w:pStyle w:val="855"/>
        <w:ind w:left="0" w:right="0" w:firstLine="482"/>
        <w:pageBreakBefore w:val="0"/>
        <w:spacing w:before="0" w:after="0" w:line="360" w:lineRule="auto"/>
        <w:rPr>
          <w:color w:val="auto"/>
          <w:sz w:val="24"/>
          <w:szCs w:val="24"/>
          <w:highlight w:val="none"/>
        </w:rPr>
      </w:pPr>
      <w:r>
        <w:rPr>
          <w:rFonts w:hint="eastAsia"/>
          <w:color w:val="auto"/>
          <w:sz w:val="24"/>
          <w:szCs w:val="24"/>
          <w:highlight w:val="none"/>
        </w:rPr>
        <w:t xml:space="preserve">5、垃圾收集转运</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w:t>
      </w:r>
      <w:r>
        <w:rPr>
          <w:rFonts w:ascii="宋体" w:hAnsi="宋体" w:cs="仿宋"/>
          <w:color w:val="auto"/>
          <w:sz w:val="24"/>
          <w:szCs w:val="24"/>
          <w:highlight w:val="none"/>
        </w:rPr>
        <w:t xml:space="preserve">）</w:t>
      </w:r>
      <w:r>
        <w:rPr>
          <w:rFonts w:hint="eastAsia" w:ascii="宋体" w:hAnsi="宋体" w:cs="仿宋"/>
          <w:color w:val="auto"/>
          <w:sz w:val="24"/>
          <w:szCs w:val="24"/>
          <w:highlight w:val="none"/>
        </w:rPr>
        <w:t xml:space="preserve">每</w:t>
      </w:r>
      <w:r>
        <w:rPr>
          <w:rFonts w:hint="eastAsia" w:ascii="宋体" w:hAnsi="宋体" w:cs="仿宋"/>
          <w:color w:val="auto"/>
          <w:sz w:val="24"/>
          <w:szCs w:val="24"/>
          <w:highlight w:val="none"/>
          <w:lang w:val="en-US" w:eastAsia="zh-CN"/>
        </w:rPr>
        <w:t xml:space="preserve">户自行配备垃圾收集桶</w:t>
      </w:r>
      <w:r>
        <w:rPr>
          <w:rFonts w:hint="eastAsia" w:ascii="宋体" w:hAnsi="宋体" w:cs="仿宋"/>
          <w:color w:val="auto"/>
          <w:sz w:val="24"/>
          <w:szCs w:val="24"/>
          <w:highlight w:val="none"/>
        </w:rPr>
        <w:t xml:space="preserve">，每个村设置1</w:t>
      </w:r>
      <w:r>
        <w:rPr>
          <w:rFonts w:hint="eastAsia" w:ascii="宋体" w:hAnsi="宋体" w:cs="仿宋"/>
          <w:color w:val="auto"/>
          <w:sz w:val="24"/>
          <w:szCs w:val="24"/>
          <w:highlight w:val="none"/>
          <w:lang w:val="en-US" w:eastAsia="zh-CN"/>
        </w:rPr>
        <w:t xml:space="preserve">至2</w:t>
      </w:r>
      <w:r>
        <w:rPr>
          <w:rFonts w:hint="eastAsia" w:ascii="宋体" w:hAnsi="宋体" w:cs="仿宋"/>
          <w:color w:val="auto"/>
          <w:sz w:val="24"/>
          <w:szCs w:val="24"/>
          <w:highlight w:val="none"/>
        </w:rPr>
        <w:t xml:space="preserve">个垃圾桶集中点（可根据村的交通情况增加或减少集中点）；</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（2）垃圾收集人员每天按时</w:t>
      </w:r>
      <w:r>
        <w:rPr>
          <w:rFonts w:hint="eastAsia" w:ascii="宋体" w:hAnsi="宋体" w:cs="仿宋"/>
          <w:color w:val="auto"/>
          <w:sz w:val="24"/>
          <w:szCs w:val="24"/>
          <w:highlight w:val="none"/>
          <w:lang w:val="en-US" w:eastAsia="zh-CN"/>
        </w:rPr>
        <w:t xml:space="preserve">入户将</w:t>
      </w:r>
      <w:r>
        <w:rPr>
          <w:rFonts w:hint="eastAsia" w:ascii="宋体" w:hAnsi="宋体" w:cs="仿宋"/>
          <w:color w:val="auto"/>
          <w:sz w:val="24"/>
          <w:szCs w:val="24"/>
          <w:highlight w:val="none"/>
        </w:rPr>
        <w:t xml:space="preserve">垃圾收集至垃圾桶集中点，经压缩车收集转运至镇垃圾压缩中转站；</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（3）装卸垃圾应符合作业要求，尽量减少噪音，做到收集时轻拿轻放。收集结束后,收集桶应放回原地，做到车走地净，确保</w:t>
      </w:r>
      <w:r>
        <w:rPr>
          <w:rFonts w:hint="eastAsia" w:ascii="宋体" w:hAnsi="宋体" w:cs="仿宋"/>
          <w:color w:val="auto"/>
          <w:sz w:val="24"/>
          <w:szCs w:val="24"/>
          <w:highlight w:val="none"/>
          <w:lang w:val="en-US" w:eastAsia="zh-CN"/>
        </w:rPr>
        <w:t xml:space="preserve">集中点</w:t>
      </w:r>
      <w:r>
        <w:rPr>
          <w:rFonts w:hint="eastAsia" w:ascii="宋体" w:hAnsi="宋体" w:cs="仿宋"/>
          <w:color w:val="auto"/>
          <w:sz w:val="24"/>
          <w:szCs w:val="24"/>
          <w:highlight w:val="none"/>
        </w:rPr>
        <w:t xml:space="preserve">周围无杂物、散落垃圾和污水；</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（4）垃圾收集车辆在收集运输过程中应始终保持密闭，禁止抛洒滴漏；垃圾装运量应以车辆的额定载重和有效容积为限，不得超重、超高运输；</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（5）收集后的垃圾严禁乱倒、乱卸、私设填埋场。进入垃圾压缩站倾卸垃圾时，应自觉服从工作人员的安排或调度，禁止插队；</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（6）对于主管部门和社会监督人员发现的道旁乱倒垃圾杂物，接到通知后，应及时派人清理；</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（7）收集桶应保持完好、无焚烧痕迹，发现设施损坏应及时进行维修和更换；</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（8）收集桶应每天进行擦洗保洁，做到无明显积尘、蛛网、污垢，保证垃圾桶四周环境整洁，地面干净，无积水，箱体和桶体无乱涂写、乱张贴现象；</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（9）非两禁期间的农业生产垃圾（不含成批的农药废弃物清理）清运至各村指定地点，零星的建筑装潢垃圾清运至各村指定地点。</w:t>
      </w:r>
      <w:r/>
    </w:p>
    <w:p>
      <w:pPr>
        <w:pStyle w:val="855"/>
        <w:ind w:left="0" w:right="0" w:firstLine="482"/>
        <w:pageBreakBefore w:val="0"/>
        <w:spacing w:before="0" w:after="0" w:line="360" w:lineRule="auto"/>
        <w:rPr>
          <w:rFonts w:hint="eastAsia"/>
          <w:color w:val="auto"/>
          <w:sz w:val="24"/>
          <w:szCs w:val="24"/>
          <w:highlight w:val="none"/>
        </w:rPr>
      </w:pPr>
      <w:r>
        <w:rPr>
          <w:rFonts w:hint="eastAsia"/>
          <w:color w:val="auto"/>
          <w:sz w:val="24"/>
          <w:szCs w:val="24"/>
          <w:highlight w:val="none"/>
        </w:rPr>
        <w:t xml:space="preserve">6、公厕保洁</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（1）公厕实行巡回保洁，随脏随保，地面清洁无际痕迹坑位元陈粪迹；坑坡无陈粪便，便纸；小便池畅通，池内无隔日杂物，池壁无尿垢；</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（2）保持屋顶墙壁，门窗纱，地面蹲台，便器，隔断板，墩布池，挂衣钩等各种设施、设备清洁卫生，无积尿，积水，结冰，杂物，厕所六面无陈蜘蛛网；</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（3）厕所外部卫生责任区环境干净整洁，保持公厕周围三米内的环境卫生整洁干净；</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4）公厕整洁有序，无乱写乱画，无蚊蝇，无臭味，无疑碱污物，无乱堆物品，无暴露便纸、烟头、痰迹等污物；厕所管道堵塞，粪井满溢，设施损坏(老年扶手，脚踏板，蹲坑，座氮门窗纱，井口，井盖，井圈，厕牌，宣传牌，瓷砖等)及水电有问题，及时维修，及时解决；</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（5）清扫保洁时设置提示标志(正在保洁，请稍等，谢谢合作)，地面保洁时设置防滑标志，文字清晰；检查公厕内水，电设施，确保安全；</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（6）公厕的卫生保洁控制指标应符合：废弃物≤2（个），废弃物停滞时间≤30分钟苍蝇≤2只；</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（7）夏季4月1日一10月31目，每天定时喷洒灭蚊，蝇药及按季节投放鼠药；定时喷洒除臭药剂做到厕内无臭，异味，消杀药液的领用和消杀操作规程须遵守程序作业者，不得私自将药物送人造成安全事故；</w:t>
      </w:r>
      <w:r/>
    </w:p>
    <w:p>
      <w:pPr>
        <w:pStyle w:val="855"/>
        <w:ind w:left="0" w:right="0" w:firstLine="482"/>
        <w:pageBreakBefore w:val="0"/>
        <w:spacing w:before="0" w:after="0" w:line="360" w:lineRule="auto"/>
        <w:rPr>
          <w:rFonts w:hint="eastAsia"/>
          <w:color w:val="auto"/>
          <w:sz w:val="24"/>
          <w:szCs w:val="24"/>
          <w:highlight w:val="none"/>
        </w:rPr>
      </w:pPr>
      <w:r>
        <w:rPr>
          <w:rFonts w:hint="eastAsia"/>
          <w:color w:val="auto"/>
          <w:sz w:val="24"/>
          <w:szCs w:val="24"/>
          <w:highlight w:val="none"/>
        </w:rPr>
        <w:t xml:space="preserve">7、绿化管护</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（1）主干道两侧绿化达到二级养护标准：</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①</w:t>
      </w:r>
      <w:r>
        <w:rPr>
          <w:rFonts w:ascii="宋体" w:hAnsi="宋体" w:cs="仿宋"/>
          <w:color w:val="auto"/>
          <w:sz w:val="24"/>
          <w:szCs w:val="24"/>
          <w:highlight w:val="none"/>
        </w:rPr>
        <w:t xml:space="preserve">修剪：乔木一次以上，灌木二次以上，绿篱二次以上，草坪四次以上。</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②</w:t>
      </w:r>
      <w:r>
        <w:rPr>
          <w:rFonts w:ascii="宋体" w:hAnsi="宋体" w:cs="仿宋"/>
          <w:color w:val="auto"/>
          <w:sz w:val="24"/>
          <w:szCs w:val="24"/>
          <w:highlight w:val="none"/>
        </w:rPr>
        <w:t xml:space="preserve">浇水：乔木二次以上，灌木二次以上，草坪四次以上，适时排水防涝。</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③</w:t>
      </w:r>
      <w:r>
        <w:rPr>
          <w:rFonts w:ascii="宋体" w:hAnsi="宋体" w:cs="仿宋"/>
          <w:color w:val="auto"/>
          <w:sz w:val="24"/>
          <w:szCs w:val="24"/>
          <w:highlight w:val="none"/>
        </w:rPr>
        <w:t xml:space="preserve">施肥：观花乔木两年一次，其它树木三年一次，灌木、草花各一次，草坪一次。</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④</w:t>
      </w:r>
      <w:r>
        <w:rPr>
          <w:rFonts w:ascii="宋体" w:hAnsi="宋体" w:cs="仿宋"/>
          <w:color w:val="auto"/>
          <w:sz w:val="24"/>
          <w:szCs w:val="24"/>
          <w:highlight w:val="none"/>
        </w:rPr>
        <w:t xml:space="preserve">绿地中耕、除草三次以上。</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⑤</w:t>
      </w:r>
      <w:r>
        <w:rPr>
          <w:rFonts w:ascii="宋体" w:hAnsi="宋体" w:cs="仿宋"/>
          <w:color w:val="auto"/>
          <w:sz w:val="24"/>
          <w:szCs w:val="24"/>
          <w:highlight w:val="none"/>
        </w:rPr>
        <w:t xml:space="preserve">病虫害防治：药物防治四次以上，人工防治一次以上。</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⑥</w:t>
      </w:r>
      <w:r>
        <w:rPr>
          <w:rFonts w:ascii="宋体" w:hAnsi="宋体" w:cs="仿宋"/>
          <w:color w:val="auto"/>
          <w:sz w:val="24"/>
          <w:szCs w:val="24"/>
          <w:highlight w:val="none"/>
        </w:rPr>
        <w:t xml:space="preserve">及时清理死树，枯枝清理二次以上。</w:t>
      </w:r>
      <w:r/>
    </w:p>
    <w:p>
      <w:pPr>
        <w:ind w:left="0" w:right="0" w:firstLine="480"/>
        <w:pageBreakBefore w:val="0"/>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（2）农村主干道两侧绿化达到三级养护标准：</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①</w:t>
      </w:r>
      <w:r>
        <w:rPr>
          <w:rFonts w:ascii="宋体" w:hAnsi="宋体" w:cs="仿宋"/>
          <w:color w:val="auto"/>
          <w:sz w:val="24"/>
          <w:szCs w:val="24"/>
          <w:highlight w:val="none"/>
        </w:rPr>
        <w:t xml:space="preserve">修剪：观花乔木、花灌木修剪年各一次以上，其他乔木、灌木两年一次，绿篱一次以上，草坪三次以上。</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②</w:t>
      </w:r>
      <w:r>
        <w:rPr>
          <w:rFonts w:ascii="宋体" w:hAnsi="宋体" w:cs="仿宋"/>
          <w:color w:val="auto"/>
          <w:sz w:val="24"/>
          <w:szCs w:val="24"/>
          <w:highlight w:val="none"/>
        </w:rPr>
        <w:t xml:space="preserve">浇水：乔木一次以上，灌木一次以上，草坪二次以上，适时排水防涝。</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③</w:t>
      </w:r>
      <w:r>
        <w:rPr>
          <w:rFonts w:ascii="宋体" w:hAnsi="宋体" w:cs="仿宋"/>
          <w:color w:val="auto"/>
          <w:sz w:val="24"/>
          <w:szCs w:val="24"/>
          <w:highlight w:val="none"/>
        </w:rPr>
        <w:t xml:space="preserve">施肥：观花乔木两年一次，其它树木四年一次，灌木、草花、草坪各一次。</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④</w:t>
      </w:r>
      <w:r>
        <w:rPr>
          <w:rFonts w:ascii="宋体" w:hAnsi="宋体" w:cs="仿宋"/>
          <w:color w:val="auto"/>
          <w:sz w:val="24"/>
          <w:szCs w:val="24"/>
          <w:highlight w:val="none"/>
        </w:rPr>
        <w:t xml:space="preserve">绿地中耕、除草二次以上。</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⑤</w:t>
      </w:r>
      <w:r>
        <w:rPr>
          <w:rFonts w:ascii="宋体" w:hAnsi="宋体" w:cs="仿宋"/>
          <w:color w:val="auto"/>
          <w:sz w:val="24"/>
          <w:szCs w:val="24"/>
          <w:highlight w:val="none"/>
        </w:rPr>
        <w:t xml:space="preserve">病虫害防治：药物防治三次以上, 主要树木人工防治一次。</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⑥</w:t>
      </w:r>
      <w:r>
        <w:rPr>
          <w:rFonts w:ascii="宋体" w:hAnsi="宋体" w:cs="仿宋"/>
          <w:color w:val="auto"/>
          <w:sz w:val="24"/>
          <w:szCs w:val="24"/>
          <w:highlight w:val="none"/>
        </w:rPr>
        <w:t xml:space="preserve">定期清理死树、枯枝。</w:t>
      </w:r>
      <w:r/>
    </w:p>
    <w:p>
      <w:pPr>
        <w:pStyle w:val="855"/>
        <w:ind w:left="0" w:right="0" w:firstLine="482"/>
        <w:pageBreakBefore w:val="0"/>
        <w:spacing w:before="0" w:after="0" w:line="360" w:lineRule="auto"/>
        <w:rPr>
          <w:color w:val="auto"/>
          <w:sz w:val="24"/>
          <w:szCs w:val="24"/>
          <w:highlight w:val="none"/>
        </w:rPr>
      </w:pPr>
      <w:r>
        <w:rPr>
          <w:rFonts w:hint="eastAsia"/>
          <w:color w:val="auto"/>
          <w:sz w:val="24"/>
          <w:szCs w:val="24"/>
          <w:highlight w:val="none"/>
        </w:rPr>
        <w:t xml:space="preserve">8、压缩中转站运营</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（1）管理员、操作员必须经过安全及相关职业培训，并具备环卫部门认可的上岗证后方可上岗，应保持相对稳定。</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（2）操作员应严格按照操作规程操作压缩设备。</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（3）垃圾箱装车过程中箱体离开地面时要对箱体进行清洗，每次垃圾车辆出站后必须对站内进行清洗。</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（4）禁止建筑装潢垃圾、生产垃圾、工业垃圾、有毒有害垃圾进站。</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（5）定期对设备、设施进行保养，及时维修，确保设备正常运营。</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（6）禁止在站内外捡拾、堆放废品，垃圾转运站内所有垃圾，必须每天清理，不得堆积在站内。转运结束后站内外要彻底清扫、冲洗，站内剩余垃圾不得超过一箱。</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（7）禁止改变管理间、工具间等站内设施的使用功能。管理间、工具间、操作台等处要保持整洁，工具按规定位置放置。</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（8）保持压缩站内外的环境整洁，外墙面无乱涂乱画，无乱堆杂物。压缩站周围5米内卫生整洁，无垃圾、污水等物，绿化良好。</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（9）做好日常消杀工作。</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（10）定期对空气净化设施和污水沉淀池进行检查清理。</w:t>
      </w:r>
      <w:r/>
    </w:p>
    <w:p>
      <w:pPr>
        <w:ind w:left="0" w:right="0" w:firstLine="480"/>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（11）根据需要及时吸运机坑内的污水。每半个月清理一次机坑内的污泥。</w:t>
      </w:r>
      <w:r/>
    </w:p>
    <w:p>
      <w:pPr>
        <w:pStyle w:val="853"/>
        <w:ind w:left="0" w:right="0" w:firstLine="562"/>
        <w:pageBreakBefore w:val="0"/>
        <w:spacing w:before="0" w:beforeAutospacing="0" w:after="0" w:afterAutospacing="0" w:line="360" w:lineRule="auto"/>
        <w:widowControl w:val="off"/>
        <w:rPr>
          <w:color w:val="auto"/>
          <w:sz w:val="28"/>
          <w:szCs w:val="28"/>
          <w:highlight w:val="none"/>
        </w:rPr>
      </w:pPr>
      <w:r>
        <w:rPr>
          <w:rFonts w:hint="eastAsia"/>
          <w:color w:val="auto"/>
          <w:sz w:val="28"/>
          <w:szCs w:val="28"/>
          <w:highlight w:val="none"/>
        </w:rPr>
        <w:t xml:space="preserve">二</w:t>
      </w:r>
      <w:r>
        <w:rPr>
          <w:color w:val="auto"/>
          <w:sz w:val="28"/>
          <w:szCs w:val="28"/>
          <w:highlight w:val="none"/>
        </w:rPr>
        <w:t xml:space="preserve">、考核</w:t>
      </w:r>
      <w:r/>
    </w:p>
    <w:p>
      <w:pPr>
        <w:pStyle w:val="854"/>
        <w:ind w:left="0" w:right="0" w:firstLine="562"/>
        <w:pageBreakBefore w:val="0"/>
        <w:spacing w:before="0" w:beforeAutospacing="0" w:after="0" w:afterAutospacing="0" w:line="360" w:lineRule="auto"/>
        <w:widowControl w:val="off"/>
        <w:rPr>
          <w:color w:val="auto"/>
          <w:sz w:val="28"/>
          <w:szCs w:val="28"/>
          <w:highlight w:val="none"/>
        </w:rPr>
      </w:pPr>
      <w:r>
        <w:rPr>
          <w:rFonts w:hint="eastAsia"/>
          <w:color w:val="auto"/>
          <w:sz w:val="28"/>
          <w:szCs w:val="28"/>
          <w:highlight w:val="none"/>
        </w:rPr>
        <w:t xml:space="preserve">（一）日常考核细则</w:t>
      </w:r>
      <w:r/>
    </w:p>
    <w:p>
      <w:pPr>
        <w:ind w:left="0" w:right="0" w:firstLine="482"/>
        <w:pageBreakBefore w:val="0"/>
        <w:spacing w:beforeAutospacing="0" w:afterAutospacing="0" w:line="360" w:lineRule="auto"/>
        <w:widowControl w:val="off"/>
        <w:rPr>
          <w:rFonts w:hint="eastAsia" w:ascii="宋体" w:hAnsi="宋体" w:cs="仿宋_GB2312"/>
          <w:b/>
          <w:bCs/>
          <w:color w:val="auto"/>
          <w:sz w:val="24"/>
          <w:szCs w:val="24"/>
          <w:highlight w:val="none"/>
        </w:rPr>
      </w:pPr>
      <w:r>
        <w:rPr>
          <w:rFonts w:hint="eastAsia" w:ascii="宋体" w:hAnsi="宋体" w:cs="仿宋_GB2312"/>
          <w:b/>
          <w:bCs/>
          <w:color w:val="auto"/>
          <w:sz w:val="24"/>
          <w:szCs w:val="24"/>
          <w:highlight w:val="none"/>
        </w:rPr>
        <w:t xml:space="preserve">1、道路保洁考核表</w:t>
      </w:r>
      <w:r/>
    </w:p>
    <w:tbl>
      <w:tblPr>
        <w:tblStyle w:val="857"/>
        <w:tblW w:w="100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40"/>
        <w:gridCol w:w="4709"/>
        <w:gridCol w:w="709"/>
        <w:gridCol w:w="670"/>
      </w:tblGrid>
      <w:tr>
        <w:trPr>
          <w:jc w:val="center"/>
          <w:trHeight w:val="511"/>
        </w:trPr>
        <w:tc>
          <w:tcPr>
            <w:tcW w:w="3940" w:type="dxa"/>
            <w:vAlign w:val="center"/>
            <w:textDirection w:val="lrTb"/>
            <w:noWrap w:val="false"/>
          </w:tcPr>
          <w:p>
            <w:pPr>
              <w:jc w:val="center"/>
              <w:spacing w:line="380" w:lineRule="exact"/>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工作要求</w:t>
            </w:r>
            <w:r/>
          </w:p>
        </w:tc>
        <w:tc>
          <w:tcPr>
            <w:tcW w:w="4709" w:type="dxa"/>
            <w:vAlign w:val="center"/>
            <w:textDirection w:val="lrTb"/>
            <w:noWrap w:val="false"/>
          </w:tcPr>
          <w:p>
            <w:pPr>
              <w:jc w:val="center"/>
              <w:spacing w:line="380" w:lineRule="exact"/>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考核标准</w:t>
            </w:r>
            <w:r/>
          </w:p>
        </w:tc>
        <w:tc>
          <w:tcPr>
            <w:tcW w:w="709" w:type="dxa"/>
            <w:vAlign w:val="center"/>
            <w:textDirection w:val="lrTb"/>
            <w:noWrap w:val="false"/>
          </w:tcPr>
          <w:p>
            <w:pPr>
              <w:jc w:val="center"/>
              <w:spacing w:line="380" w:lineRule="exact"/>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考核</w:t>
            </w:r>
            <w:r/>
          </w:p>
          <w:p>
            <w:pPr>
              <w:jc w:val="center"/>
              <w:spacing w:line="380" w:lineRule="exact"/>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情况</w:t>
            </w:r>
            <w:r/>
          </w:p>
        </w:tc>
        <w:tc>
          <w:tcPr>
            <w:tcW w:w="670" w:type="dxa"/>
            <w:vAlign w:val="center"/>
            <w:textDirection w:val="lrTb"/>
            <w:noWrap w:val="false"/>
          </w:tcPr>
          <w:p>
            <w:pPr>
              <w:jc w:val="center"/>
              <w:spacing w:line="380" w:lineRule="exact"/>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考核</w:t>
            </w:r>
            <w:r/>
          </w:p>
          <w:p>
            <w:pPr>
              <w:jc w:val="center"/>
              <w:spacing w:line="380" w:lineRule="exact"/>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扣款</w:t>
            </w:r>
            <w:r/>
          </w:p>
        </w:tc>
      </w:tr>
      <w:tr>
        <w:trPr>
          <w:jc w:val="center"/>
        </w:trPr>
        <w:tc>
          <w:tcPr>
            <w:tcW w:w="3940" w:type="dxa"/>
            <w:vAlign w:val="center"/>
            <w:textDirection w:val="lrTb"/>
            <w:noWrap w:val="false"/>
          </w:tcPr>
          <w:p>
            <w:pPr>
              <w:jc w:val="left"/>
              <w:spacing w:line="38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道路机扫到位</w:t>
            </w:r>
            <w:r/>
          </w:p>
        </w:tc>
        <w:tc>
          <w:tcPr>
            <w:tcW w:w="4709" w:type="dxa"/>
            <w:vAlign w:val="center"/>
            <w:textDirection w:val="lrTb"/>
            <w:noWrap w:val="false"/>
          </w:tcPr>
          <w:p>
            <w:pPr>
              <w:rPr>
                <w:rFonts w:hint="eastAsia" w:ascii="宋体" w:hAnsi="宋体" w:cs="仿宋_GB2312"/>
                <w:color w:val="auto"/>
                <w:szCs w:val="21"/>
                <w:highlight w:val="none"/>
              </w:rPr>
            </w:pPr>
            <w:r>
              <w:rPr>
                <w:rFonts w:hint="eastAsia" w:ascii="宋体" w:hAnsi="宋体" w:cs="仿宋"/>
                <w:color w:val="auto"/>
                <w:szCs w:val="21"/>
                <w:highlight w:val="none"/>
              </w:rPr>
              <w:t xml:space="preserve">集镇、园区及县道每周确保两次，机扫车作业出现漏扫的，质量不达标的，每工段扣100元</w:t>
            </w:r>
            <w:r/>
          </w:p>
        </w:tc>
        <w:tc>
          <w:tcPr>
            <w:tcW w:w="709" w:type="dxa"/>
            <w:vAlign w:val="center"/>
            <w:textDirection w:val="lrTb"/>
            <w:noWrap w:val="false"/>
          </w:tcPr>
          <w:p>
            <w:pPr>
              <w:jc w:val="center"/>
              <w:spacing w:line="380" w:lineRule="exact"/>
              <w:rPr>
                <w:rFonts w:hint="eastAsia" w:ascii="宋体" w:hAnsi="宋体" w:cs="仿宋_GB2312"/>
                <w:color w:val="auto"/>
                <w:szCs w:val="21"/>
                <w:highlight w:val="none"/>
              </w:rPr>
            </w:pPr>
            <w:r>
              <w:rPr>
                <w:rFonts w:hint="eastAsia" w:ascii="宋体" w:hAnsi="宋体" w:cs="仿宋_GB2312"/>
                <w:color w:val="auto"/>
                <w:szCs w:val="21"/>
                <w:highlight w:val="none"/>
              </w:rPr>
            </w:r>
            <w:r/>
          </w:p>
        </w:tc>
        <w:tc>
          <w:tcPr>
            <w:tcW w:w="670" w:type="dxa"/>
            <w:vAlign w:val="center"/>
            <w:textDirection w:val="lrTb"/>
            <w:noWrap w:val="false"/>
          </w:tcPr>
          <w:p>
            <w:pPr>
              <w:jc w:val="center"/>
              <w:spacing w:line="380" w:lineRule="exact"/>
              <w:rPr>
                <w:rFonts w:hint="eastAsia" w:ascii="宋体" w:hAnsi="宋体" w:cs="仿宋_GB2312"/>
                <w:color w:val="auto"/>
                <w:szCs w:val="21"/>
                <w:highlight w:val="none"/>
              </w:rPr>
            </w:pPr>
            <w:r>
              <w:rPr>
                <w:rFonts w:hint="eastAsia" w:ascii="宋体" w:hAnsi="宋体" w:cs="仿宋_GB2312"/>
                <w:color w:val="auto"/>
                <w:szCs w:val="21"/>
                <w:highlight w:val="none"/>
              </w:rPr>
            </w:r>
            <w:r/>
          </w:p>
        </w:tc>
      </w:tr>
      <w:tr>
        <w:trPr>
          <w:jc w:val="center"/>
          <w:trHeight w:val="814"/>
        </w:trPr>
        <w:tc>
          <w:tcPr>
            <w:tcW w:w="3940"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道路人工保洁到位</w:t>
            </w:r>
            <w:r/>
          </w:p>
        </w:tc>
        <w:tc>
          <w:tcPr>
            <w:tcW w:w="470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人工普扫未按时完成，出现漏扫、质量不达标的，每工段扣20元</w:t>
            </w:r>
            <w:r/>
          </w:p>
        </w:tc>
        <w:tc>
          <w:tcPr>
            <w:tcW w:w="70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670"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Pr>
        <w:tc>
          <w:tcPr>
            <w:tcW w:w="3940"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道路两侧无乱堆乱放，需及时上报</w:t>
            </w:r>
            <w:r/>
          </w:p>
        </w:tc>
        <w:tc>
          <w:tcPr>
            <w:tcW w:w="4709"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道路两侧有乱堆乱放一处，未及时上报的扣10元</w:t>
            </w:r>
            <w:r/>
          </w:p>
        </w:tc>
        <w:tc>
          <w:tcPr>
            <w:tcW w:w="709"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670"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Pr>
        <w:tc>
          <w:tcPr>
            <w:tcW w:w="3940"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道路、桥粱、闸站、等用地范围内无暴露垃圾</w:t>
            </w:r>
            <w:r/>
          </w:p>
        </w:tc>
        <w:tc>
          <w:tcPr>
            <w:tcW w:w="4709"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路桥管护范围内有暴露垃圾的，有一处扣10元</w:t>
            </w:r>
            <w:r/>
          </w:p>
        </w:tc>
        <w:tc>
          <w:tcPr>
            <w:tcW w:w="709"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670"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Pr>
        <w:tc>
          <w:tcPr>
            <w:tcW w:w="3940"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路面、桥面干净整洁，无堆积和抛洒物，桥下无垃圾、堆积物和住人等现象；无占道、损坏道路绿化等现象</w:t>
            </w:r>
            <w:r/>
          </w:p>
        </w:tc>
        <w:tc>
          <w:tcPr>
            <w:tcW w:w="4709"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路面桥面有杂物、抛洒物或占道、损坏绿化等现象的，有一处扣10元；桥下堆放易燃、易爆物及杂物或住人等现象的，有一处未及时上报的扣10元</w:t>
            </w:r>
            <w:r/>
          </w:p>
        </w:tc>
        <w:tc>
          <w:tcPr>
            <w:tcW w:w="709"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670"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729"/>
        </w:trPr>
        <w:tc>
          <w:tcPr>
            <w:tcW w:w="3940"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路肩边坡排水沟整理到位，无水生恶性杂草和15cm以上的高草</w:t>
            </w:r>
            <w:r/>
          </w:p>
        </w:tc>
        <w:tc>
          <w:tcPr>
            <w:tcW w:w="4709"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路肩边坡排水沟未整理到位，有水生恶性杂草和15厘米以上高草的，有一处扣10元</w:t>
            </w:r>
            <w:r/>
          </w:p>
        </w:tc>
        <w:tc>
          <w:tcPr>
            <w:tcW w:w="709"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670"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464"/>
        </w:trPr>
        <w:tc>
          <w:tcPr>
            <w:tcW w:w="3940"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路道、村庄绿化保洁到位</w:t>
            </w:r>
            <w:r/>
          </w:p>
        </w:tc>
        <w:tc>
          <w:tcPr>
            <w:tcW w:w="4709"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绿化有明显可视垃圾一处扣10元</w:t>
            </w:r>
            <w:r/>
          </w:p>
        </w:tc>
        <w:tc>
          <w:tcPr>
            <w:tcW w:w="709"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670"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451"/>
        </w:trPr>
        <w:tc>
          <w:tcPr>
            <w:tcW w:w="394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合    计</w:t>
            </w:r>
            <w:r/>
          </w:p>
        </w:tc>
        <w:tc>
          <w:tcPr>
            <w:tcW w:w="470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0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670"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bl>
    <w:p>
      <w:pPr>
        <w:spacing w:line="700" w:lineRule="exact"/>
        <w:rPr>
          <w:rFonts w:hint="eastAsia" w:ascii="宋体" w:hAnsi="宋体" w:cs="仿宋_GB2312"/>
          <w:b/>
          <w:bCs/>
          <w:color w:val="auto"/>
          <w:sz w:val="24"/>
          <w:szCs w:val="24"/>
          <w:highlight w:val="none"/>
        </w:rPr>
      </w:pPr>
      <w:r>
        <w:rPr>
          <w:rFonts w:hint="eastAsia" w:ascii="宋体" w:hAnsi="宋体" w:cs="仿宋_GB2312"/>
          <w:b/>
          <w:bCs/>
          <w:color w:val="auto"/>
          <w:sz w:val="24"/>
          <w:szCs w:val="24"/>
          <w:highlight w:val="none"/>
        </w:rPr>
        <w:t xml:space="preserve">2、垃圾清运考核表</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9"/>
        <w:gridCol w:w="5261"/>
        <w:gridCol w:w="851"/>
        <w:gridCol w:w="724"/>
      </w:tblGrid>
      <w:tr>
        <w:trPr>
          <w:jc w:val="center"/>
        </w:trPr>
        <w:tc>
          <w:tcPr>
            <w:tcW w:w="3119" w:type="dxa"/>
            <w:vAlign w:val="center"/>
            <w:textDirection w:val="lrTb"/>
            <w:noWrap w:val="false"/>
          </w:tcPr>
          <w:p>
            <w:pPr>
              <w:jc w:val="center"/>
              <w:rPr>
                <w:rFonts w:hint="eastAsia" w:ascii="宋体" w:hAnsi="宋体" w:cs="仿宋"/>
                <w:b/>
                <w:color w:val="auto"/>
                <w:szCs w:val="21"/>
                <w:highlight w:val="none"/>
              </w:rPr>
            </w:pPr>
            <w:r>
              <w:rPr>
                <w:rFonts w:hint="eastAsia" w:ascii="宋体" w:hAnsi="宋体" w:cs="仿宋"/>
                <w:b/>
                <w:color w:val="auto"/>
                <w:szCs w:val="21"/>
                <w:highlight w:val="none"/>
              </w:rPr>
              <w:t xml:space="preserve">工作要求</w:t>
            </w:r>
            <w:r/>
          </w:p>
        </w:tc>
        <w:tc>
          <w:tcPr>
            <w:tcW w:w="5261" w:type="dxa"/>
            <w:vAlign w:val="center"/>
            <w:textDirection w:val="lrTb"/>
            <w:noWrap w:val="false"/>
          </w:tcPr>
          <w:p>
            <w:pPr>
              <w:jc w:val="center"/>
              <w:rPr>
                <w:rFonts w:hint="eastAsia" w:ascii="宋体" w:hAnsi="宋体" w:cs="仿宋"/>
                <w:b/>
                <w:color w:val="auto"/>
                <w:szCs w:val="21"/>
                <w:highlight w:val="none"/>
              </w:rPr>
            </w:pPr>
            <w:r>
              <w:rPr>
                <w:rFonts w:hint="eastAsia" w:ascii="宋体" w:hAnsi="宋体" w:cs="仿宋"/>
                <w:b/>
                <w:color w:val="auto"/>
                <w:szCs w:val="21"/>
                <w:highlight w:val="none"/>
              </w:rPr>
              <w:t xml:space="preserve">考核标准</w:t>
            </w:r>
            <w:r/>
          </w:p>
        </w:tc>
        <w:tc>
          <w:tcPr>
            <w:tcW w:w="851" w:type="dxa"/>
            <w:vAlign w:val="center"/>
            <w:textDirection w:val="lrTb"/>
            <w:noWrap w:val="false"/>
          </w:tcPr>
          <w:p>
            <w:pPr>
              <w:jc w:val="center"/>
              <w:rPr>
                <w:rFonts w:hint="eastAsia" w:ascii="宋体" w:hAnsi="宋体" w:cs="仿宋"/>
                <w:b/>
                <w:color w:val="auto"/>
                <w:szCs w:val="21"/>
                <w:highlight w:val="none"/>
              </w:rPr>
            </w:pPr>
            <w:r>
              <w:rPr>
                <w:rFonts w:hint="eastAsia" w:ascii="宋体" w:hAnsi="宋体" w:cs="仿宋"/>
                <w:b/>
                <w:color w:val="auto"/>
                <w:szCs w:val="21"/>
                <w:highlight w:val="none"/>
              </w:rPr>
              <w:t xml:space="preserve">考核</w:t>
            </w:r>
            <w:r/>
          </w:p>
          <w:p>
            <w:pPr>
              <w:jc w:val="center"/>
              <w:rPr>
                <w:rFonts w:hint="eastAsia" w:ascii="宋体" w:hAnsi="宋体" w:cs="仿宋"/>
                <w:b/>
                <w:color w:val="auto"/>
                <w:szCs w:val="21"/>
                <w:highlight w:val="none"/>
              </w:rPr>
            </w:pPr>
            <w:r>
              <w:rPr>
                <w:rFonts w:hint="eastAsia" w:ascii="宋体" w:hAnsi="宋体" w:cs="仿宋"/>
                <w:b/>
                <w:color w:val="auto"/>
                <w:szCs w:val="21"/>
                <w:highlight w:val="none"/>
              </w:rPr>
              <w:t xml:space="preserve">情况</w:t>
            </w:r>
            <w:r/>
          </w:p>
        </w:tc>
        <w:tc>
          <w:tcPr>
            <w:tcW w:w="724" w:type="dxa"/>
            <w:vAlign w:val="center"/>
            <w:textDirection w:val="lrTb"/>
            <w:noWrap w:val="false"/>
          </w:tcPr>
          <w:p>
            <w:pPr>
              <w:jc w:val="center"/>
              <w:rPr>
                <w:rFonts w:hint="eastAsia" w:ascii="宋体" w:hAnsi="宋体" w:cs="仿宋"/>
                <w:b/>
                <w:color w:val="auto"/>
                <w:szCs w:val="21"/>
                <w:highlight w:val="none"/>
              </w:rPr>
            </w:pPr>
            <w:r>
              <w:rPr>
                <w:rFonts w:hint="eastAsia" w:ascii="宋体" w:hAnsi="宋体" w:cs="仿宋"/>
                <w:b/>
                <w:color w:val="auto"/>
                <w:szCs w:val="21"/>
                <w:highlight w:val="none"/>
              </w:rPr>
              <w:t xml:space="preserve">考核</w:t>
            </w:r>
            <w:r/>
          </w:p>
          <w:p>
            <w:pPr>
              <w:jc w:val="center"/>
              <w:rPr>
                <w:rFonts w:hint="eastAsia" w:ascii="宋体" w:hAnsi="宋体" w:cs="仿宋"/>
                <w:b/>
                <w:color w:val="auto"/>
                <w:szCs w:val="21"/>
                <w:highlight w:val="none"/>
              </w:rPr>
            </w:pPr>
            <w:r>
              <w:rPr>
                <w:rFonts w:hint="eastAsia" w:ascii="宋体" w:hAnsi="宋体" w:cs="仿宋"/>
                <w:b/>
                <w:color w:val="auto"/>
                <w:szCs w:val="21"/>
                <w:highlight w:val="none"/>
              </w:rPr>
              <w:t xml:space="preserve">扣款</w:t>
            </w:r>
            <w:r/>
          </w:p>
        </w:tc>
      </w:tr>
      <w:tr>
        <w:trPr>
          <w:jc w:val="center"/>
          <w:trHeight w:val="504"/>
        </w:trPr>
        <w:tc>
          <w:tcPr>
            <w:tcW w:w="311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垃圾量考核</w:t>
            </w:r>
            <w:r/>
          </w:p>
        </w:tc>
        <w:tc>
          <w:tcPr>
            <w:tcW w:w="5261"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按市下达任务相应考核</w:t>
            </w:r>
            <w:r/>
          </w:p>
        </w:tc>
        <w:tc>
          <w:tcPr>
            <w:tcW w:w="851"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24"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674"/>
        </w:trPr>
        <w:tc>
          <w:tcPr>
            <w:tcW w:w="311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严禁私自焚烧垃圾，保持桶边清洁无缺损</w:t>
            </w:r>
            <w:r/>
          </w:p>
        </w:tc>
        <w:tc>
          <w:tcPr>
            <w:tcW w:w="5261"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发现在私自焚烧垃圾的，有一处扣30元，垃圾桶外观、周边不整洁的，有一处扣10元</w:t>
            </w:r>
            <w:r/>
          </w:p>
        </w:tc>
        <w:tc>
          <w:tcPr>
            <w:tcW w:w="851"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24"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672"/>
        </w:trPr>
        <w:tc>
          <w:tcPr>
            <w:tcW w:w="311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垃圾日产日清，无积存无暴露</w:t>
            </w:r>
            <w:r/>
          </w:p>
        </w:tc>
        <w:tc>
          <w:tcPr>
            <w:tcW w:w="5261"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发现垃圾清运不及时的，垃圾桶有积存垃圾的扣20元，垃圾外溢严重的，加倍扣钱</w:t>
            </w:r>
            <w:r/>
          </w:p>
        </w:tc>
        <w:tc>
          <w:tcPr>
            <w:tcW w:w="851"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24"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1124"/>
        </w:trPr>
        <w:tc>
          <w:tcPr>
            <w:tcW w:w="311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所有道路、河道、渠涵沿线及居住区垃圾及时收集处理，集中收集处理率达到100%</w:t>
            </w:r>
            <w:r/>
          </w:p>
        </w:tc>
        <w:tc>
          <w:tcPr>
            <w:tcW w:w="5261"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垃圾未送镇垃圾中转站集中处理的一处扣20元</w:t>
            </w:r>
            <w:r/>
          </w:p>
        </w:tc>
        <w:tc>
          <w:tcPr>
            <w:tcW w:w="851"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24"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841"/>
        </w:trPr>
        <w:tc>
          <w:tcPr>
            <w:tcW w:w="311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垃圾运输车车容整洁、车况良好，行使安全无事故</w:t>
            </w:r>
            <w:r/>
          </w:p>
        </w:tc>
        <w:tc>
          <w:tcPr>
            <w:tcW w:w="5261"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垃圾运输车车容不整洁、车况较差一次扣20元</w:t>
            </w:r>
            <w:r/>
          </w:p>
        </w:tc>
        <w:tc>
          <w:tcPr>
            <w:tcW w:w="851"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24"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495"/>
        </w:trPr>
        <w:tc>
          <w:tcPr>
            <w:tcW w:w="311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垃圾投放设施外表整洁、无污垢</w:t>
            </w:r>
            <w:r/>
          </w:p>
        </w:tc>
        <w:tc>
          <w:tcPr>
            <w:tcW w:w="5261"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垃圾桶定期检查，发现明显污垢一处扣10元</w:t>
            </w:r>
            <w:r/>
          </w:p>
        </w:tc>
        <w:tc>
          <w:tcPr>
            <w:tcW w:w="851"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24"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19"/>
        </w:trPr>
        <w:tc>
          <w:tcPr>
            <w:tcW w:w="311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合    计</w:t>
            </w:r>
            <w:r/>
          </w:p>
        </w:tc>
        <w:tc>
          <w:tcPr>
            <w:tcW w:w="5261"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851"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24"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bl>
    <w:p>
      <w:pPr>
        <w:rPr>
          <w:rFonts w:hint="eastAsia" w:ascii="宋体" w:hAnsi="宋体" w:cs="仿宋"/>
          <w:color w:val="auto"/>
          <w:szCs w:val="21"/>
          <w:highlight w:val="none"/>
        </w:rPr>
      </w:pPr>
      <w:r>
        <w:rPr>
          <w:rFonts w:hint="eastAsia" w:ascii="宋体" w:hAnsi="宋体" w:cs="仿宋"/>
          <w:color w:val="auto"/>
          <w:szCs w:val="21"/>
          <w:highlight w:val="none"/>
        </w:rPr>
      </w:r>
      <w:r/>
    </w:p>
    <w:p>
      <w:pPr>
        <w:spacing w:line="700" w:lineRule="exact"/>
        <w:rPr>
          <w:rFonts w:hint="eastAsia" w:ascii="宋体" w:hAnsi="宋体" w:cs="仿宋_GB2312"/>
          <w:b/>
          <w:bCs/>
          <w:color w:val="auto"/>
          <w:sz w:val="24"/>
          <w:szCs w:val="24"/>
          <w:highlight w:val="none"/>
        </w:rPr>
      </w:pPr>
      <w:r>
        <w:rPr>
          <w:rFonts w:hint="eastAsia" w:ascii="宋体" w:hAnsi="宋体" w:cs="仿宋_GB2312"/>
          <w:b/>
          <w:bCs/>
          <w:color w:val="auto"/>
          <w:sz w:val="24"/>
          <w:szCs w:val="24"/>
          <w:highlight w:val="none"/>
        </w:rPr>
        <w:t xml:space="preserve">3、河道长效管护考核表</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29"/>
        <w:gridCol w:w="4010"/>
        <w:gridCol w:w="702"/>
        <w:gridCol w:w="851"/>
      </w:tblGrid>
      <w:tr>
        <w:trPr>
          <w:jc w:val="center"/>
        </w:trPr>
        <w:tc>
          <w:tcPr>
            <w:tcW w:w="4429" w:type="dxa"/>
            <w:vAlign w:val="center"/>
            <w:textDirection w:val="lrTb"/>
            <w:noWrap w:val="false"/>
          </w:tcPr>
          <w:p>
            <w:pPr>
              <w:jc w:val="center"/>
              <w:rPr>
                <w:rFonts w:hint="eastAsia" w:ascii="宋体" w:hAnsi="宋体" w:cs="仿宋"/>
                <w:b/>
                <w:color w:val="auto"/>
                <w:szCs w:val="21"/>
                <w:highlight w:val="none"/>
              </w:rPr>
            </w:pPr>
            <w:r>
              <w:rPr>
                <w:rFonts w:hint="eastAsia" w:ascii="宋体" w:hAnsi="宋体" w:cs="仿宋"/>
                <w:b/>
                <w:color w:val="auto"/>
                <w:szCs w:val="21"/>
                <w:highlight w:val="none"/>
              </w:rPr>
              <w:t xml:space="preserve">工作要求</w:t>
            </w:r>
            <w:r/>
          </w:p>
        </w:tc>
        <w:tc>
          <w:tcPr>
            <w:tcW w:w="4010" w:type="dxa"/>
            <w:vAlign w:val="center"/>
            <w:textDirection w:val="lrTb"/>
            <w:noWrap w:val="false"/>
          </w:tcPr>
          <w:p>
            <w:pPr>
              <w:jc w:val="center"/>
              <w:rPr>
                <w:rFonts w:hint="eastAsia" w:ascii="宋体" w:hAnsi="宋体" w:cs="仿宋"/>
                <w:b/>
                <w:color w:val="auto"/>
                <w:szCs w:val="21"/>
                <w:highlight w:val="none"/>
              </w:rPr>
            </w:pPr>
            <w:r>
              <w:rPr>
                <w:rFonts w:hint="eastAsia" w:ascii="宋体" w:hAnsi="宋体" w:cs="仿宋"/>
                <w:b/>
                <w:color w:val="auto"/>
                <w:szCs w:val="21"/>
                <w:highlight w:val="none"/>
              </w:rPr>
              <w:t xml:space="preserve">考核标准</w:t>
            </w:r>
            <w:r/>
          </w:p>
        </w:tc>
        <w:tc>
          <w:tcPr>
            <w:tcW w:w="702" w:type="dxa"/>
            <w:vAlign w:val="center"/>
            <w:textDirection w:val="lrTb"/>
            <w:noWrap w:val="false"/>
          </w:tcPr>
          <w:p>
            <w:pPr>
              <w:jc w:val="center"/>
              <w:rPr>
                <w:rFonts w:hint="eastAsia" w:ascii="宋体" w:hAnsi="宋体" w:cs="仿宋"/>
                <w:b/>
                <w:color w:val="auto"/>
                <w:szCs w:val="21"/>
                <w:highlight w:val="none"/>
              </w:rPr>
            </w:pPr>
            <w:r>
              <w:rPr>
                <w:rFonts w:hint="eastAsia" w:ascii="宋体" w:hAnsi="宋体" w:cs="仿宋"/>
                <w:b/>
                <w:color w:val="auto"/>
                <w:szCs w:val="21"/>
                <w:highlight w:val="none"/>
              </w:rPr>
              <w:t xml:space="preserve">考核情况</w:t>
            </w:r>
            <w:r/>
          </w:p>
        </w:tc>
        <w:tc>
          <w:tcPr>
            <w:tcW w:w="851" w:type="dxa"/>
            <w:vAlign w:val="center"/>
            <w:textDirection w:val="lrTb"/>
            <w:noWrap w:val="false"/>
          </w:tcPr>
          <w:p>
            <w:pPr>
              <w:jc w:val="center"/>
              <w:rPr>
                <w:rFonts w:hint="eastAsia" w:ascii="宋体" w:hAnsi="宋体" w:cs="仿宋"/>
                <w:b/>
                <w:color w:val="auto"/>
                <w:szCs w:val="21"/>
                <w:highlight w:val="none"/>
              </w:rPr>
            </w:pPr>
            <w:r>
              <w:rPr>
                <w:rFonts w:hint="eastAsia" w:ascii="宋体" w:hAnsi="宋体" w:cs="仿宋"/>
                <w:b/>
                <w:color w:val="auto"/>
                <w:szCs w:val="21"/>
                <w:highlight w:val="none"/>
              </w:rPr>
              <w:t xml:space="preserve">考核  扣款</w:t>
            </w:r>
            <w:r/>
          </w:p>
        </w:tc>
      </w:tr>
      <w:tr>
        <w:trPr>
          <w:jc w:val="center"/>
          <w:trHeight w:val="961"/>
        </w:trPr>
        <w:tc>
          <w:tcPr>
            <w:tcW w:w="442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河面、沟塘水面无恶性水生植物、无阻水障碍、无漂浮物</w:t>
            </w:r>
            <w:r/>
          </w:p>
        </w:tc>
        <w:tc>
          <w:tcPr>
            <w:tcW w:w="4010"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河道水花生、水葫芦等水生杂草每2平方米扣5元；漂浮物每处扣10元，有连片秧花、百脚草超过每200平方米扣10元。</w:t>
            </w:r>
            <w:r/>
          </w:p>
        </w:tc>
        <w:tc>
          <w:tcPr>
            <w:tcW w:w="702"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851"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40"/>
        </w:trPr>
        <w:tc>
          <w:tcPr>
            <w:tcW w:w="442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河坡无暴露垃圾</w:t>
            </w:r>
            <w:r/>
          </w:p>
        </w:tc>
        <w:tc>
          <w:tcPr>
            <w:tcW w:w="4010"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有暴露垃圾的，有一处扣10元</w:t>
            </w:r>
            <w:r/>
          </w:p>
        </w:tc>
        <w:tc>
          <w:tcPr>
            <w:tcW w:w="702"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851"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Pr>
        <w:tc>
          <w:tcPr>
            <w:tcW w:w="442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河岸青坎无乱堆乱放、无违章搭建，无肆意取土、乱占河道现象，发现以上现象需及时上报</w:t>
            </w:r>
            <w:r/>
          </w:p>
        </w:tc>
        <w:tc>
          <w:tcPr>
            <w:tcW w:w="4010"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管护范围内有一处未及时上报扣10元</w:t>
            </w:r>
            <w:r/>
          </w:p>
        </w:tc>
        <w:tc>
          <w:tcPr>
            <w:tcW w:w="702"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851"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99"/>
        </w:trPr>
        <w:tc>
          <w:tcPr>
            <w:tcW w:w="442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合    计</w:t>
            </w:r>
            <w:r/>
          </w:p>
        </w:tc>
        <w:tc>
          <w:tcPr>
            <w:tcW w:w="4010"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02"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851"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bl>
    <w:p>
      <w:pPr>
        <w:rPr>
          <w:rFonts w:hint="eastAsia" w:ascii="宋体" w:hAnsi="宋体" w:cs="仿宋"/>
          <w:color w:val="auto"/>
          <w:szCs w:val="21"/>
          <w:highlight w:val="none"/>
        </w:rPr>
      </w:pPr>
      <w:r>
        <w:rPr>
          <w:rFonts w:hint="eastAsia" w:ascii="宋体" w:hAnsi="宋体" w:cs="仿宋"/>
          <w:color w:val="auto"/>
          <w:szCs w:val="21"/>
          <w:highlight w:val="none"/>
        </w:rPr>
      </w:r>
      <w:r/>
    </w:p>
    <w:p>
      <w:pPr>
        <w:spacing w:line="700" w:lineRule="exact"/>
        <w:rPr>
          <w:rFonts w:hint="eastAsia" w:ascii="宋体" w:hAnsi="宋体" w:cs="仿宋_GB2312"/>
          <w:b/>
          <w:bCs/>
          <w:color w:val="auto"/>
          <w:sz w:val="24"/>
          <w:szCs w:val="24"/>
          <w:highlight w:val="none"/>
        </w:rPr>
      </w:pPr>
      <w:r>
        <w:rPr>
          <w:rFonts w:hint="eastAsia" w:ascii="宋体" w:hAnsi="宋体" w:cs="仿宋_GB2312"/>
          <w:b/>
          <w:bCs/>
          <w:color w:val="auto"/>
          <w:sz w:val="24"/>
          <w:szCs w:val="24"/>
          <w:highlight w:val="none"/>
        </w:rPr>
        <w:t xml:space="preserve">4、公厕管护考核表</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56"/>
        <w:gridCol w:w="2385"/>
        <w:gridCol w:w="709"/>
        <w:gridCol w:w="744"/>
      </w:tblGrid>
      <w:tr>
        <w:trPr>
          <w:jc w:val="center"/>
        </w:trPr>
        <w:tc>
          <w:tcPr>
            <w:tcW w:w="6156" w:type="dxa"/>
            <w:vAlign w:val="center"/>
            <w:textDirection w:val="lrTb"/>
            <w:noWrap w:val="false"/>
          </w:tcPr>
          <w:p>
            <w:pPr>
              <w:jc w:val="center"/>
              <w:rPr>
                <w:rFonts w:hint="eastAsia" w:ascii="宋体" w:hAnsi="宋体" w:cs="仿宋"/>
                <w:b/>
                <w:color w:val="auto"/>
                <w:szCs w:val="21"/>
                <w:highlight w:val="none"/>
              </w:rPr>
            </w:pPr>
            <w:r>
              <w:rPr>
                <w:rFonts w:hint="eastAsia" w:ascii="宋体" w:hAnsi="宋体" w:cs="仿宋"/>
                <w:b/>
                <w:color w:val="auto"/>
                <w:szCs w:val="21"/>
                <w:highlight w:val="none"/>
              </w:rPr>
              <w:t xml:space="preserve">工作要求</w:t>
            </w:r>
            <w:r/>
          </w:p>
        </w:tc>
        <w:tc>
          <w:tcPr>
            <w:tcW w:w="2385" w:type="dxa"/>
            <w:vAlign w:val="center"/>
            <w:textDirection w:val="lrTb"/>
            <w:noWrap w:val="false"/>
          </w:tcPr>
          <w:p>
            <w:pPr>
              <w:jc w:val="center"/>
              <w:rPr>
                <w:rFonts w:hint="eastAsia" w:ascii="宋体" w:hAnsi="宋体" w:cs="仿宋"/>
                <w:b/>
                <w:color w:val="auto"/>
                <w:szCs w:val="21"/>
                <w:highlight w:val="none"/>
              </w:rPr>
            </w:pPr>
            <w:r>
              <w:rPr>
                <w:rFonts w:hint="eastAsia" w:ascii="宋体" w:hAnsi="宋体" w:cs="仿宋"/>
                <w:b/>
                <w:color w:val="auto"/>
                <w:szCs w:val="21"/>
                <w:highlight w:val="none"/>
              </w:rPr>
              <w:t xml:space="preserve">考核标准</w:t>
            </w:r>
            <w:r/>
          </w:p>
        </w:tc>
        <w:tc>
          <w:tcPr>
            <w:tcW w:w="709" w:type="dxa"/>
            <w:vAlign w:val="center"/>
            <w:textDirection w:val="lrTb"/>
            <w:noWrap w:val="false"/>
          </w:tcPr>
          <w:p>
            <w:pPr>
              <w:jc w:val="center"/>
              <w:rPr>
                <w:rFonts w:hint="eastAsia" w:ascii="宋体" w:hAnsi="宋体" w:cs="仿宋"/>
                <w:b/>
                <w:color w:val="auto"/>
                <w:szCs w:val="21"/>
                <w:highlight w:val="none"/>
              </w:rPr>
            </w:pPr>
            <w:r>
              <w:rPr>
                <w:rFonts w:hint="eastAsia" w:ascii="宋体" w:hAnsi="宋体" w:cs="仿宋"/>
                <w:b/>
                <w:color w:val="auto"/>
                <w:szCs w:val="21"/>
                <w:highlight w:val="none"/>
              </w:rPr>
              <w:t xml:space="preserve">考核情况</w:t>
            </w:r>
            <w:r/>
          </w:p>
        </w:tc>
        <w:tc>
          <w:tcPr>
            <w:tcW w:w="744" w:type="dxa"/>
            <w:vAlign w:val="center"/>
            <w:textDirection w:val="lrTb"/>
            <w:noWrap w:val="false"/>
          </w:tcPr>
          <w:p>
            <w:pPr>
              <w:jc w:val="center"/>
              <w:rPr>
                <w:rFonts w:hint="eastAsia" w:ascii="宋体" w:hAnsi="宋体" w:cs="仿宋"/>
                <w:b/>
                <w:color w:val="auto"/>
                <w:szCs w:val="21"/>
                <w:highlight w:val="none"/>
              </w:rPr>
            </w:pPr>
            <w:r>
              <w:rPr>
                <w:rFonts w:hint="eastAsia" w:ascii="宋体" w:hAnsi="宋体" w:cs="仿宋"/>
                <w:b/>
                <w:color w:val="auto"/>
                <w:szCs w:val="21"/>
                <w:highlight w:val="none"/>
              </w:rPr>
              <w:t xml:space="preserve">考核  扣款</w:t>
            </w:r>
            <w:r/>
          </w:p>
        </w:tc>
      </w:tr>
      <w:tr>
        <w:trPr>
          <w:jc w:val="center"/>
          <w:trHeight w:val="526"/>
        </w:trPr>
        <w:tc>
          <w:tcPr>
            <w:tcW w:w="6156"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公厕内地面、蹲位边无积水、纸屑、烟头及其他杂物</w:t>
            </w:r>
            <w:r/>
          </w:p>
        </w:tc>
        <w:tc>
          <w:tcPr>
            <w:tcW w:w="2385"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发现一处扣20元</w:t>
            </w:r>
            <w:r/>
          </w:p>
        </w:tc>
        <w:tc>
          <w:tcPr>
            <w:tcW w:w="70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44"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801"/>
        </w:trPr>
        <w:tc>
          <w:tcPr>
            <w:tcW w:w="6156"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墙面无蛛网、无乱刻、乱画、乱挂，大小便池畅通，做到“四无一净”，即：无蝇蛆、无尿碱、无异味、无积便，卫生干净</w:t>
            </w:r>
            <w:r/>
          </w:p>
        </w:tc>
        <w:tc>
          <w:tcPr>
            <w:tcW w:w="2385"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发现一处扣20元</w:t>
            </w:r>
            <w:r/>
          </w:p>
        </w:tc>
        <w:tc>
          <w:tcPr>
            <w:tcW w:w="70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44"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480"/>
        </w:trPr>
        <w:tc>
          <w:tcPr>
            <w:tcW w:w="6156"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纸篓卫生袋每天一换，不堆留陈旧垃圾，做到日产日清</w:t>
            </w:r>
            <w:r/>
          </w:p>
        </w:tc>
        <w:tc>
          <w:tcPr>
            <w:tcW w:w="2385"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发现一处扣20元</w:t>
            </w:r>
            <w:r/>
          </w:p>
        </w:tc>
        <w:tc>
          <w:tcPr>
            <w:tcW w:w="70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44"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91"/>
        </w:trPr>
        <w:tc>
          <w:tcPr>
            <w:tcW w:w="6156"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保持公厕门窗明亮，工具物品摆放有序，干净卫生</w:t>
            </w:r>
            <w:r/>
          </w:p>
        </w:tc>
        <w:tc>
          <w:tcPr>
            <w:tcW w:w="2385"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发现一处扣20元</w:t>
            </w:r>
            <w:r/>
          </w:p>
        </w:tc>
        <w:tc>
          <w:tcPr>
            <w:tcW w:w="70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44"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48"/>
        </w:trPr>
        <w:tc>
          <w:tcPr>
            <w:tcW w:w="6156"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集镇公厕粪便及时清运、处理</w:t>
            </w:r>
            <w:r/>
          </w:p>
        </w:tc>
        <w:tc>
          <w:tcPr>
            <w:tcW w:w="2385"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发现一起扣100元</w:t>
            </w:r>
            <w:r/>
          </w:p>
        </w:tc>
        <w:tc>
          <w:tcPr>
            <w:tcW w:w="70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44"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14"/>
        </w:trPr>
        <w:tc>
          <w:tcPr>
            <w:tcW w:w="6156"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合    计</w:t>
            </w:r>
            <w:r/>
          </w:p>
        </w:tc>
        <w:tc>
          <w:tcPr>
            <w:tcW w:w="2385"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0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44"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bl>
    <w:p>
      <w:pPr>
        <w:spacing w:line="700" w:lineRule="exact"/>
        <w:rPr>
          <w:rFonts w:hint="eastAsia" w:ascii="宋体" w:hAnsi="宋体" w:cs="仿宋_GB2312"/>
          <w:b/>
          <w:bCs/>
          <w:color w:val="auto"/>
          <w:sz w:val="24"/>
          <w:szCs w:val="24"/>
          <w:highlight w:val="none"/>
        </w:rPr>
      </w:pPr>
      <w:r>
        <w:rPr>
          <w:rFonts w:hint="eastAsia" w:ascii="宋体" w:hAnsi="宋体" w:cs="仿宋_GB2312"/>
          <w:b/>
          <w:bCs/>
          <w:color w:val="auto"/>
          <w:sz w:val="24"/>
          <w:szCs w:val="24"/>
          <w:highlight w:val="none"/>
        </w:rPr>
        <w:t xml:space="preserve">5、绿化管护考核表</w:t>
      </w:r>
      <w:r/>
    </w:p>
    <w:tbl>
      <w:tblPr>
        <w:tblStyle w:val="857"/>
        <w:tblW w:w="100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12"/>
        <w:gridCol w:w="5812"/>
        <w:gridCol w:w="1418"/>
        <w:gridCol w:w="1186"/>
      </w:tblGrid>
      <w:tr>
        <w:trPr>
          <w:jc w:val="center"/>
          <w:trHeight w:val="511"/>
        </w:trPr>
        <w:tc>
          <w:tcPr>
            <w:tcW w:w="1612" w:type="dxa"/>
            <w:vAlign w:val="center"/>
            <w:textDirection w:val="lrTb"/>
            <w:noWrap w:val="false"/>
          </w:tcPr>
          <w:p>
            <w:pPr>
              <w:jc w:val="center"/>
              <w:spacing w:line="380" w:lineRule="exact"/>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工作要求</w:t>
            </w:r>
            <w:r/>
          </w:p>
        </w:tc>
        <w:tc>
          <w:tcPr>
            <w:tcW w:w="5812" w:type="dxa"/>
            <w:vAlign w:val="center"/>
            <w:textDirection w:val="lrTb"/>
            <w:noWrap w:val="false"/>
          </w:tcPr>
          <w:p>
            <w:pPr>
              <w:jc w:val="center"/>
              <w:spacing w:line="380" w:lineRule="exact"/>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考核标准</w:t>
            </w:r>
            <w:r/>
          </w:p>
        </w:tc>
        <w:tc>
          <w:tcPr>
            <w:tcW w:w="1418" w:type="dxa"/>
            <w:vAlign w:val="center"/>
            <w:textDirection w:val="lrTb"/>
            <w:noWrap w:val="false"/>
          </w:tcPr>
          <w:p>
            <w:pPr>
              <w:jc w:val="center"/>
              <w:spacing w:line="380" w:lineRule="exact"/>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考核情况</w:t>
            </w:r>
            <w:r/>
          </w:p>
        </w:tc>
        <w:tc>
          <w:tcPr>
            <w:tcW w:w="1186" w:type="dxa"/>
            <w:vAlign w:val="center"/>
            <w:textDirection w:val="lrTb"/>
            <w:noWrap w:val="false"/>
          </w:tcPr>
          <w:p>
            <w:pPr>
              <w:jc w:val="center"/>
              <w:spacing w:line="380" w:lineRule="exact"/>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考核扣款</w:t>
            </w:r>
            <w:r/>
          </w:p>
        </w:tc>
      </w:tr>
      <w:tr>
        <w:trPr>
          <w:jc w:val="center"/>
        </w:trPr>
        <w:tc>
          <w:tcPr>
            <w:tcW w:w="1612" w:type="dxa"/>
            <w:vAlign w:val="center"/>
            <w:textDirection w:val="lrTb"/>
            <w:noWrap w:val="false"/>
          </w:tcPr>
          <w:p>
            <w:pPr>
              <w:jc w:val="center"/>
              <w:rPr>
                <w:rFonts w:hint="eastAsia" w:ascii="宋体" w:hAnsi="宋体" w:cs="仿宋_GB2312"/>
                <w:color w:val="auto"/>
                <w:szCs w:val="21"/>
                <w:highlight w:val="none"/>
              </w:rPr>
            </w:pPr>
            <w:r>
              <w:rPr>
                <w:rFonts w:ascii="宋体" w:hAnsi="宋体" w:cs="仿宋"/>
                <w:color w:val="auto"/>
                <w:szCs w:val="21"/>
                <w:highlight w:val="none"/>
              </w:rPr>
              <w:t xml:space="preserve">修剪</w:t>
            </w:r>
            <w:r/>
          </w:p>
        </w:tc>
        <w:tc>
          <w:tcPr>
            <w:tcW w:w="5812" w:type="dxa"/>
            <w:vAlign w:val="center"/>
            <w:textDirection w:val="lrTb"/>
            <w:noWrap w:val="false"/>
          </w:tcPr>
          <w:p>
            <w:pPr>
              <w:rPr>
                <w:rFonts w:hint="eastAsia" w:ascii="宋体" w:hAnsi="宋体" w:cs="仿宋_GB2312"/>
                <w:color w:val="auto"/>
                <w:szCs w:val="21"/>
                <w:highlight w:val="none"/>
              </w:rPr>
            </w:pPr>
            <w:r>
              <w:rPr>
                <w:rFonts w:hint="eastAsia" w:ascii="宋体" w:hAnsi="宋体" w:cs="仿宋_GB2312"/>
                <w:color w:val="auto"/>
                <w:szCs w:val="21"/>
                <w:highlight w:val="none"/>
              </w:rPr>
              <w:t xml:space="preserve">没有按作业要求修剪景观树及草坪的，每少一次扣50元</w:t>
            </w:r>
            <w:r/>
          </w:p>
        </w:tc>
        <w:tc>
          <w:tcPr>
            <w:tcW w:w="1418" w:type="dxa"/>
            <w:vAlign w:val="center"/>
            <w:textDirection w:val="lrTb"/>
            <w:noWrap w:val="false"/>
          </w:tcPr>
          <w:p>
            <w:pPr>
              <w:jc w:val="center"/>
              <w:spacing w:line="380" w:lineRule="exact"/>
              <w:rPr>
                <w:rFonts w:hint="eastAsia" w:ascii="宋体" w:hAnsi="宋体" w:cs="仿宋_GB2312"/>
                <w:color w:val="auto"/>
                <w:szCs w:val="21"/>
                <w:highlight w:val="none"/>
              </w:rPr>
            </w:pPr>
            <w:r>
              <w:rPr>
                <w:rFonts w:hint="eastAsia" w:ascii="宋体" w:hAnsi="宋体" w:cs="仿宋_GB2312"/>
                <w:color w:val="auto"/>
                <w:szCs w:val="21"/>
                <w:highlight w:val="none"/>
              </w:rPr>
            </w:r>
            <w:r/>
          </w:p>
        </w:tc>
        <w:tc>
          <w:tcPr>
            <w:tcW w:w="1186" w:type="dxa"/>
            <w:vAlign w:val="center"/>
            <w:textDirection w:val="lrTb"/>
            <w:noWrap w:val="false"/>
          </w:tcPr>
          <w:p>
            <w:pPr>
              <w:jc w:val="center"/>
              <w:spacing w:line="380" w:lineRule="exact"/>
              <w:rPr>
                <w:rFonts w:hint="eastAsia" w:ascii="宋体" w:hAnsi="宋体" w:cs="仿宋_GB2312"/>
                <w:color w:val="auto"/>
                <w:szCs w:val="21"/>
                <w:highlight w:val="none"/>
              </w:rPr>
            </w:pPr>
            <w:r>
              <w:rPr>
                <w:rFonts w:hint="eastAsia" w:ascii="宋体" w:hAnsi="宋体" w:cs="仿宋_GB2312"/>
                <w:color w:val="auto"/>
                <w:szCs w:val="21"/>
                <w:highlight w:val="none"/>
              </w:rPr>
            </w:r>
            <w:r/>
          </w:p>
        </w:tc>
      </w:tr>
      <w:tr>
        <w:trPr>
          <w:jc w:val="center"/>
          <w:trHeight w:val="213"/>
        </w:trPr>
        <w:tc>
          <w:tcPr>
            <w:tcW w:w="1612"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浇水</w:t>
            </w:r>
            <w:r/>
          </w:p>
        </w:tc>
        <w:tc>
          <w:tcPr>
            <w:tcW w:w="5812" w:type="dxa"/>
            <w:vAlign w:val="center"/>
            <w:textDirection w:val="lrTb"/>
            <w:noWrap w:val="false"/>
          </w:tcPr>
          <w:p>
            <w:pPr>
              <w:rPr>
                <w:rFonts w:hint="eastAsia" w:ascii="宋体" w:hAnsi="宋体" w:cs="仿宋"/>
                <w:color w:val="auto"/>
                <w:szCs w:val="21"/>
                <w:highlight w:val="none"/>
              </w:rPr>
            </w:pPr>
            <w:r>
              <w:rPr>
                <w:rFonts w:hint="eastAsia" w:ascii="宋体" w:hAnsi="宋体" w:cs="仿宋_GB2312"/>
                <w:color w:val="auto"/>
                <w:szCs w:val="21"/>
                <w:highlight w:val="none"/>
              </w:rPr>
              <w:t xml:space="preserve">没有按作业要求修剪景观树及草坪的，每少一次扣50元</w:t>
            </w:r>
            <w:r/>
          </w:p>
        </w:tc>
        <w:tc>
          <w:tcPr>
            <w:tcW w:w="1418"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1186"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Pr>
        <w:tc>
          <w:tcPr>
            <w:tcW w:w="1612"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施肥</w:t>
            </w:r>
            <w:r/>
          </w:p>
        </w:tc>
        <w:tc>
          <w:tcPr>
            <w:tcW w:w="5812" w:type="dxa"/>
            <w:vAlign w:val="top"/>
            <w:textDirection w:val="lrTb"/>
            <w:noWrap w:val="false"/>
          </w:tcPr>
          <w:p>
            <w:pPr>
              <w:rPr>
                <w:rFonts w:hint="eastAsia" w:ascii="宋体" w:hAnsi="宋体" w:cs="仿宋"/>
                <w:color w:val="auto"/>
                <w:szCs w:val="21"/>
                <w:highlight w:val="none"/>
              </w:rPr>
            </w:pPr>
            <w:r>
              <w:rPr>
                <w:rFonts w:hint="eastAsia" w:ascii="宋体" w:hAnsi="宋体" w:cs="仿宋_GB2312"/>
                <w:color w:val="auto"/>
                <w:szCs w:val="21"/>
                <w:highlight w:val="none"/>
              </w:rPr>
              <w:t xml:space="preserve">没有按作业要求修剪景观树及草坪的，每少一次扣80元</w:t>
            </w:r>
            <w:r/>
          </w:p>
        </w:tc>
        <w:tc>
          <w:tcPr>
            <w:tcW w:w="1418"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1186"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Pr>
        <w:tc>
          <w:tcPr>
            <w:tcW w:w="1612"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除草</w:t>
            </w:r>
            <w:r/>
          </w:p>
        </w:tc>
        <w:tc>
          <w:tcPr>
            <w:tcW w:w="5812" w:type="dxa"/>
            <w:vAlign w:val="top"/>
            <w:textDirection w:val="lrTb"/>
            <w:noWrap w:val="false"/>
          </w:tcPr>
          <w:p>
            <w:pPr>
              <w:rPr>
                <w:rFonts w:hint="eastAsia" w:ascii="宋体" w:hAnsi="宋体" w:cs="仿宋"/>
                <w:color w:val="auto"/>
                <w:szCs w:val="21"/>
                <w:highlight w:val="none"/>
              </w:rPr>
            </w:pPr>
            <w:r>
              <w:rPr>
                <w:rFonts w:hint="eastAsia" w:ascii="宋体" w:hAnsi="宋体" w:cs="仿宋_GB2312"/>
                <w:color w:val="auto"/>
                <w:szCs w:val="21"/>
                <w:highlight w:val="none"/>
              </w:rPr>
              <w:t xml:space="preserve">没有按作业要求修剪景观树及草坪的，每少一次扣100元</w:t>
            </w:r>
            <w:r/>
          </w:p>
        </w:tc>
        <w:tc>
          <w:tcPr>
            <w:tcW w:w="1418"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1186"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Pr>
        <w:tc>
          <w:tcPr>
            <w:tcW w:w="1612"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病虫害防治</w:t>
            </w:r>
            <w:r/>
          </w:p>
        </w:tc>
        <w:tc>
          <w:tcPr>
            <w:tcW w:w="5812" w:type="dxa"/>
            <w:vAlign w:val="top"/>
            <w:textDirection w:val="lrTb"/>
            <w:noWrap w:val="false"/>
          </w:tcPr>
          <w:p>
            <w:pPr>
              <w:rPr>
                <w:rFonts w:hint="eastAsia" w:ascii="宋体" w:hAnsi="宋体" w:cs="仿宋"/>
                <w:color w:val="auto"/>
                <w:szCs w:val="21"/>
                <w:highlight w:val="none"/>
              </w:rPr>
            </w:pPr>
            <w:r>
              <w:rPr>
                <w:rFonts w:hint="eastAsia" w:ascii="宋体" w:hAnsi="宋体" w:cs="仿宋_GB2312"/>
                <w:color w:val="auto"/>
                <w:szCs w:val="21"/>
                <w:highlight w:val="none"/>
              </w:rPr>
              <w:t xml:space="preserve">没有按作业要求修剪景观树及草坪的，每少一次扣100元</w:t>
            </w:r>
            <w:r/>
          </w:p>
        </w:tc>
        <w:tc>
          <w:tcPr>
            <w:tcW w:w="1418"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1186"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Pr>
        <w:tc>
          <w:tcPr>
            <w:tcW w:w="1612"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清理死树、枯枝</w:t>
            </w:r>
            <w:r/>
          </w:p>
        </w:tc>
        <w:tc>
          <w:tcPr>
            <w:tcW w:w="5812" w:type="dxa"/>
            <w:vAlign w:val="top"/>
            <w:textDirection w:val="lrTb"/>
            <w:noWrap w:val="false"/>
          </w:tcPr>
          <w:p>
            <w:pPr>
              <w:rPr>
                <w:rFonts w:hint="eastAsia" w:ascii="宋体" w:hAnsi="宋体" w:cs="仿宋"/>
                <w:color w:val="auto"/>
                <w:szCs w:val="21"/>
                <w:highlight w:val="none"/>
              </w:rPr>
            </w:pPr>
            <w:r>
              <w:rPr>
                <w:rFonts w:hint="eastAsia" w:ascii="宋体" w:hAnsi="宋体" w:cs="仿宋_GB2312"/>
                <w:color w:val="auto"/>
                <w:szCs w:val="21"/>
                <w:highlight w:val="none"/>
              </w:rPr>
              <w:t xml:space="preserve">没有按作业要求修剪景观树及草坪的，每少一次扣50元</w:t>
            </w:r>
            <w:r/>
          </w:p>
        </w:tc>
        <w:tc>
          <w:tcPr>
            <w:tcW w:w="1418"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1186"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219"/>
        </w:trPr>
        <w:tc>
          <w:tcPr>
            <w:tcW w:w="1612"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合    计</w:t>
            </w:r>
            <w:r/>
          </w:p>
        </w:tc>
        <w:tc>
          <w:tcPr>
            <w:tcW w:w="5812"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1418"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1186"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bl>
    <w:p>
      <w:pPr>
        <w:spacing w:line="700" w:lineRule="exact"/>
        <w:rPr>
          <w:rFonts w:hint="eastAsia" w:ascii="宋体" w:hAnsi="宋体" w:cs="仿宋_GB2312"/>
          <w:b/>
          <w:bCs/>
          <w:color w:val="auto"/>
          <w:sz w:val="24"/>
          <w:szCs w:val="24"/>
          <w:highlight w:val="none"/>
        </w:rPr>
      </w:pPr>
      <w:r>
        <w:rPr>
          <w:rFonts w:hint="eastAsia" w:ascii="宋体" w:hAnsi="宋体" w:cs="仿宋_GB2312"/>
          <w:b/>
          <w:bCs/>
          <w:color w:val="auto"/>
          <w:sz w:val="24"/>
          <w:szCs w:val="24"/>
          <w:highlight w:val="none"/>
        </w:rPr>
        <w:t xml:space="preserve">6、中转站管理考核表</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39"/>
        <w:gridCol w:w="3402"/>
        <w:gridCol w:w="709"/>
        <w:gridCol w:w="744"/>
      </w:tblGrid>
      <w:tr>
        <w:trPr>
          <w:jc w:val="center"/>
        </w:trPr>
        <w:tc>
          <w:tcPr>
            <w:tcW w:w="5139" w:type="dxa"/>
            <w:vAlign w:val="center"/>
            <w:textDirection w:val="lrTb"/>
            <w:noWrap w:val="false"/>
          </w:tcPr>
          <w:p>
            <w:pPr>
              <w:jc w:val="center"/>
              <w:rPr>
                <w:rFonts w:hint="eastAsia" w:ascii="宋体" w:hAnsi="宋体" w:cs="仿宋"/>
                <w:b/>
                <w:color w:val="auto"/>
                <w:szCs w:val="21"/>
                <w:highlight w:val="none"/>
              </w:rPr>
            </w:pPr>
            <w:r>
              <w:rPr>
                <w:rFonts w:hint="eastAsia" w:ascii="宋体" w:hAnsi="宋体" w:cs="仿宋"/>
                <w:b/>
                <w:color w:val="auto"/>
                <w:szCs w:val="21"/>
                <w:highlight w:val="none"/>
              </w:rPr>
              <w:t xml:space="preserve">工作要求</w:t>
            </w:r>
            <w:r/>
          </w:p>
        </w:tc>
        <w:tc>
          <w:tcPr>
            <w:tcW w:w="3402" w:type="dxa"/>
            <w:vAlign w:val="center"/>
            <w:textDirection w:val="lrTb"/>
            <w:noWrap w:val="false"/>
          </w:tcPr>
          <w:p>
            <w:pPr>
              <w:jc w:val="center"/>
              <w:rPr>
                <w:rFonts w:hint="eastAsia" w:ascii="宋体" w:hAnsi="宋体" w:cs="仿宋"/>
                <w:b/>
                <w:color w:val="auto"/>
                <w:szCs w:val="21"/>
                <w:highlight w:val="none"/>
              </w:rPr>
            </w:pPr>
            <w:r>
              <w:rPr>
                <w:rFonts w:hint="eastAsia" w:ascii="宋体" w:hAnsi="宋体" w:cs="仿宋"/>
                <w:b/>
                <w:color w:val="auto"/>
                <w:szCs w:val="21"/>
                <w:highlight w:val="none"/>
              </w:rPr>
              <w:t xml:space="preserve">考核标准</w:t>
            </w:r>
            <w:r/>
          </w:p>
        </w:tc>
        <w:tc>
          <w:tcPr>
            <w:tcW w:w="709" w:type="dxa"/>
            <w:vAlign w:val="center"/>
            <w:textDirection w:val="lrTb"/>
            <w:noWrap w:val="false"/>
          </w:tcPr>
          <w:p>
            <w:pPr>
              <w:jc w:val="center"/>
              <w:rPr>
                <w:rFonts w:hint="eastAsia" w:ascii="宋体" w:hAnsi="宋体" w:cs="仿宋"/>
                <w:b/>
                <w:color w:val="auto"/>
                <w:szCs w:val="21"/>
                <w:highlight w:val="none"/>
              </w:rPr>
            </w:pPr>
            <w:r>
              <w:rPr>
                <w:rFonts w:hint="eastAsia" w:ascii="宋体" w:hAnsi="宋体" w:cs="仿宋"/>
                <w:b/>
                <w:color w:val="auto"/>
                <w:szCs w:val="21"/>
                <w:highlight w:val="none"/>
              </w:rPr>
              <w:t xml:space="preserve">考核情况</w:t>
            </w:r>
            <w:r/>
          </w:p>
        </w:tc>
        <w:tc>
          <w:tcPr>
            <w:tcW w:w="744" w:type="dxa"/>
            <w:vAlign w:val="center"/>
            <w:textDirection w:val="lrTb"/>
            <w:noWrap w:val="false"/>
          </w:tcPr>
          <w:p>
            <w:pPr>
              <w:jc w:val="center"/>
              <w:rPr>
                <w:rFonts w:hint="eastAsia" w:ascii="宋体" w:hAnsi="宋体" w:cs="仿宋"/>
                <w:b/>
                <w:color w:val="auto"/>
                <w:szCs w:val="21"/>
                <w:highlight w:val="none"/>
              </w:rPr>
            </w:pPr>
            <w:r>
              <w:rPr>
                <w:rFonts w:hint="eastAsia" w:ascii="宋体" w:hAnsi="宋体" w:cs="仿宋"/>
                <w:b/>
                <w:color w:val="auto"/>
                <w:szCs w:val="21"/>
                <w:highlight w:val="none"/>
              </w:rPr>
              <w:t xml:space="preserve">考核  扣款</w:t>
            </w:r>
            <w:r/>
          </w:p>
        </w:tc>
      </w:tr>
      <w:tr>
        <w:trPr>
          <w:jc w:val="center"/>
          <w:trHeight w:val="351"/>
        </w:trPr>
        <w:tc>
          <w:tcPr>
            <w:tcW w:w="513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每天工作结束时对作业场所进行清洗</w:t>
            </w:r>
            <w:r/>
          </w:p>
        </w:tc>
        <w:tc>
          <w:tcPr>
            <w:tcW w:w="3402"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发现一次没有清洗的，扣50元</w:t>
            </w:r>
            <w:r/>
          </w:p>
        </w:tc>
        <w:tc>
          <w:tcPr>
            <w:tcW w:w="70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44"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283"/>
        </w:trPr>
        <w:tc>
          <w:tcPr>
            <w:tcW w:w="513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站内非箱体内无积存垃圾（节假日除外）</w:t>
            </w:r>
            <w:r/>
          </w:p>
        </w:tc>
        <w:tc>
          <w:tcPr>
            <w:tcW w:w="3402"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发现有积存垃圾的，扣50元</w:t>
            </w:r>
            <w:r/>
          </w:p>
        </w:tc>
        <w:tc>
          <w:tcPr>
            <w:tcW w:w="70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44"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409"/>
        </w:trPr>
        <w:tc>
          <w:tcPr>
            <w:tcW w:w="513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禁止建筑装潢垃圾、生产垃圾、工业垃圾进站</w:t>
            </w:r>
            <w:r/>
          </w:p>
        </w:tc>
        <w:tc>
          <w:tcPr>
            <w:tcW w:w="3402"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发现一次扣50元</w:t>
            </w:r>
            <w:r/>
          </w:p>
        </w:tc>
        <w:tc>
          <w:tcPr>
            <w:tcW w:w="70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44"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415"/>
        </w:trPr>
        <w:tc>
          <w:tcPr>
            <w:tcW w:w="513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定期对整体空间进行消杀</w:t>
            </w:r>
            <w:r/>
          </w:p>
        </w:tc>
        <w:tc>
          <w:tcPr>
            <w:tcW w:w="3402"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夏季发现蛆虫一次扣50元</w:t>
            </w:r>
            <w:r/>
          </w:p>
        </w:tc>
        <w:tc>
          <w:tcPr>
            <w:tcW w:w="70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44"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420"/>
        </w:trPr>
        <w:tc>
          <w:tcPr>
            <w:tcW w:w="513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定期清理基坑</w:t>
            </w:r>
            <w:r/>
          </w:p>
        </w:tc>
        <w:tc>
          <w:tcPr>
            <w:tcW w:w="3402"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基坑废水超过箱体扣50元</w:t>
            </w:r>
            <w:r/>
          </w:p>
        </w:tc>
        <w:tc>
          <w:tcPr>
            <w:tcW w:w="70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44"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r>
        <w:trPr>
          <w:jc w:val="center"/>
          <w:trHeight w:val="514"/>
        </w:trPr>
        <w:tc>
          <w:tcPr>
            <w:tcW w:w="513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合    计</w:t>
            </w:r>
            <w:r/>
          </w:p>
        </w:tc>
        <w:tc>
          <w:tcPr>
            <w:tcW w:w="3402"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09" w:type="dxa"/>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c>
          <w:tcPr>
            <w:tcW w:w="744" w:type="dxa"/>
            <w:vAlign w:val="top"/>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r>
            <w:r/>
          </w:p>
        </w:tc>
      </w:tr>
    </w:tbl>
    <w:p>
      <w:pPr>
        <w:pStyle w:val="854"/>
        <w:ind w:firstLine="422"/>
        <w:spacing w:line="240" w:lineRule="auto"/>
        <w:rPr>
          <w:color w:val="auto"/>
          <w:sz w:val="28"/>
          <w:szCs w:val="28"/>
          <w:highlight w:val="none"/>
        </w:rPr>
      </w:pPr>
      <w:r>
        <w:rPr>
          <w:rFonts w:hint="eastAsia"/>
          <w:color w:val="auto"/>
          <w:sz w:val="28"/>
          <w:szCs w:val="28"/>
          <w:highlight w:val="none"/>
        </w:rPr>
        <w:t xml:space="preserve">（二）考核方式</w:t>
      </w:r>
      <w:r/>
    </w:p>
    <w:p>
      <w:pPr>
        <w:ind w:firstLine="480"/>
        <w:rPr>
          <w:rFonts w:hint="eastAsia"/>
          <w:color w:val="auto"/>
          <w:sz w:val="24"/>
          <w:szCs w:val="24"/>
          <w:highlight w:val="none"/>
        </w:rPr>
      </w:pPr>
      <w:r>
        <w:rPr>
          <w:rFonts w:hint="eastAsia"/>
          <w:color w:val="auto"/>
          <w:sz w:val="24"/>
          <w:szCs w:val="24"/>
          <w:highlight w:val="none"/>
        </w:rPr>
        <w:t xml:space="preserve">1、不定期巡查</w:t>
      </w:r>
      <w:r/>
    </w:p>
    <w:p>
      <w:pPr>
        <w:ind w:firstLine="480"/>
        <w:spacing w:line="500" w:lineRule="exact"/>
        <w:rPr>
          <w:rFonts w:hint="eastAsia"/>
          <w:color w:val="auto"/>
          <w:sz w:val="24"/>
          <w:szCs w:val="24"/>
          <w:highlight w:val="none"/>
        </w:rPr>
      </w:pPr>
      <w:r>
        <w:rPr>
          <w:rFonts w:hint="eastAsia"/>
          <w:color w:val="auto"/>
          <w:sz w:val="24"/>
          <w:szCs w:val="24"/>
          <w:highlight w:val="none"/>
        </w:rPr>
        <w:t xml:space="preserve">领导交办的问题、群众反映的问题、镇维护办对全镇环境进行巡查发现的问题，按考核标准进行扣款。</w:t>
      </w:r>
      <w:r/>
    </w:p>
    <w:p>
      <w:pPr>
        <w:ind w:firstLine="480"/>
        <w:spacing w:line="500" w:lineRule="exact"/>
        <w:rPr>
          <w:rFonts w:hint="eastAsia"/>
          <w:color w:val="auto"/>
          <w:sz w:val="24"/>
          <w:szCs w:val="24"/>
          <w:highlight w:val="none"/>
        </w:rPr>
      </w:pPr>
      <w:r>
        <w:rPr>
          <w:rFonts w:hint="eastAsia"/>
          <w:color w:val="auto"/>
          <w:sz w:val="24"/>
          <w:szCs w:val="24"/>
          <w:highlight w:val="none"/>
        </w:rPr>
        <w:t xml:space="preserve">2、月度不定期明查</w:t>
      </w:r>
      <w:r/>
    </w:p>
    <w:p>
      <w:pPr>
        <w:ind w:firstLine="480"/>
        <w:spacing w:line="500" w:lineRule="exact"/>
        <w:rPr>
          <w:rFonts w:hint="eastAsia"/>
          <w:color w:val="auto"/>
          <w:sz w:val="24"/>
          <w:szCs w:val="24"/>
          <w:highlight w:val="none"/>
        </w:rPr>
      </w:pPr>
      <w:r>
        <w:rPr>
          <w:rFonts w:hint="eastAsia"/>
          <w:color w:val="auto"/>
          <w:sz w:val="24"/>
          <w:szCs w:val="24"/>
          <w:highlight w:val="none"/>
        </w:rPr>
        <w:t xml:space="preserve">镇领导、村领导、承包单位、党员群众代表根据考核办法，每月对外包区域内的环境卫生按照考核内容进行考核扣款。</w:t>
      </w:r>
      <w:r/>
    </w:p>
    <w:p>
      <w:pPr>
        <w:ind w:firstLine="480"/>
        <w:spacing w:line="500" w:lineRule="exact"/>
        <w:rPr>
          <w:color w:val="auto"/>
          <w:sz w:val="24"/>
          <w:szCs w:val="24"/>
          <w:highlight w:val="none"/>
        </w:rPr>
      </w:pPr>
      <w:r>
        <w:rPr>
          <w:rFonts w:hint="eastAsia"/>
          <w:color w:val="auto"/>
          <w:sz w:val="24"/>
          <w:szCs w:val="24"/>
          <w:highlight w:val="none"/>
        </w:rPr>
        <w:t xml:space="preserve">3、每年组织两次镇、村、群众等根据全镇环境状况、上级考核情况、项目投入情况、人员工资发放情况、群众反映问题情况、群众满意率等对中标单位进行综合评分，得出年度平均分，高于90分（含90分）不扣款；低于90分，合同价款下浮4%；低于80分，合同价款下浮8%。若三年均低于80分，合同不予续签。连续两次低于60分，终止合同。（具体评分办法由镇政府综合确定）</w:t>
      </w:r>
      <w:r/>
    </w:p>
    <w:p>
      <w:pPr>
        <w:pStyle w:val="853"/>
        <w:ind w:firstLine="424"/>
        <w:keepLines w:val="0"/>
        <w:keepNext w:val="0"/>
        <w:pageBreakBefore w:val="0"/>
        <w:spacing w:beforeAutospacing="0" w:afterAutospacing="0"/>
        <w:widowControl w:val="off"/>
        <w:rPr>
          <w:rFonts w:hint="eastAsia"/>
          <w:color w:val="auto"/>
          <w:sz w:val="28"/>
          <w:szCs w:val="28"/>
          <w:highlight w:val="none"/>
        </w:rPr>
      </w:pPr>
      <w:r>
        <w:rPr>
          <w:rFonts w:hint="eastAsia"/>
          <w:color w:val="auto"/>
          <w:sz w:val="28"/>
          <w:szCs w:val="28"/>
          <w:highlight w:val="none"/>
        </w:rPr>
        <w:t xml:space="preserve">三、项目预算及服务期限</w:t>
      </w:r>
      <w:r/>
    </w:p>
    <w:p>
      <w:pPr>
        <w:ind w:firstLine="480"/>
        <w:spacing w:line="5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1、本项目最高限价：详见招标公告；</w:t>
      </w:r>
      <w:r/>
    </w:p>
    <w:p>
      <w:pPr>
        <w:ind w:firstLine="480"/>
        <w:spacing w:line="5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2、本项目服务期限：服务期限为3年，本合同可续签一次（期限不超过2年）</w:t>
      </w:r>
      <w:r/>
    </w:p>
    <w:p>
      <w:pPr>
        <w:ind w:firstLine="480"/>
        <w:spacing w:line="5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3、在合同期内合同金额原则不予调整，除遇国家政策性调整最低工资标准或社保基数的，双方可根据国家政策协商。</w:t>
      </w:r>
      <w:r/>
    </w:p>
    <w:p>
      <w:pPr>
        <w:pStyle w:val="853"/>
        <w:ind w:firstLine="424"/>
        <w:keepLines w:val="0"/>
        <w:keepNext w:val="0"/>
        <w:pageBreakBefore w:val="0"/>
        <w:spacing w:beforeAutospacing="0" w:afterAutospacing="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四、经费拨付</w:t>
      </w:r>
      <w:r/>
    </w:p>
    <w:p>
      <w:pPr>
        <w:ind w:firstLine="36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每月20日前根据考核结果及农民工工资发放等相关规定支付上月服务费。</w:t>
      </w:r>
      <w:r/>
    </w:p>
    <w:p>
      <w:pPr>
        <w:pStyle w:val="853"/>
        <w:ind w:firstLine="424"/>
        <w:keepLines w:val="0"/>
        <w:keepNext w:val="0"/>
        <w:pageBreakBefore w:val="0"/>
        <w:spacing w:beforeAutospacing="0" w:afterAutospacing="0"/>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五、服务内容明细</w:t>
      </w:r>
      <w:r/>
    </w:p>
    <w:p>
      <w:pPr>
        <w:jc w:val="center"/>
        <w:rPr>
          <w:rFonts w:hint="eastAsia" w:eastAsia="宋体"/>
          <w:b/>
          <w:bCs/>
          <w:color w:val="auto"/>
          <w:sz w:val="28"/>
          <w:szCs w:val="24"/>
          <w:highlight w:val="none"/>
          <w:lang w:val="en-US" w:eastAsia="zh-CN"/>
        </w:rPr>
      </w:pPr>
      <w:r>
        <w:rPr>
          <w:rFonts w:hint="eastAsia"/>
          <w:b/>
          <w:bCs/>
          <w:color w:val="auto"/>
          <w:sz w:val="28"/>
          <w:szCs w:val="24"/>
          <w:highlight w:val="none"/>
          <w:lang w:val="en-US" w:eastAsia="zh-CN"/>
        </w:rPr>
        <w:t xml:space="preserve">各村基础数据明细表</w:t>
      </w:r>
      <w:r/>
    </w:p>
    <w:tbl>
      <w:tblPr>
        <w:tblStyle w:val="85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307"/>
        <w:gridCol w:w="1566"/>
        <w:gridCol w:w="1360"/>
        <w:gridCol w:w="1473"/>
        <w:gridCol w:w="1763"/>
      </w:tblGrid>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村别</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村民小组</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户数</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人口</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道路长度（km）</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建团</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1010</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2709</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21.528</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竹林</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975</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2680</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21.071</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梁湾</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1338</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3978</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44.112</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九九</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1296</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3641</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30.377</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双富</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1999</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6143</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47.592</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富宝</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956</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2927</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22.014</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勤丰</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766</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2254</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29.118</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坝桥</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785</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2318</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25.368</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丁庄</w:t>
            </w:r>
            <w:r/>
          </w:p>
        </w:tc>
        <w:tc>
          <w:tcPr>
            <w:tcBorders>
              <w:top w:val="none" w:color="000000" w:sz="4" w:space="0"/>
              <w:left w:val="none" w:color="000000" w:sz="4" w:space="0"/>
              <w:bottom w:val="none" w:color="000000" w:sz="4" w:space="0"/>
              <w:right w:val="non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862</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2387</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23.699</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新安</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1655</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4734</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41.506</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孟庄</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769</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2305</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23.873</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安澜</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721</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2118</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16.242</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王桑</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818</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2048</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52.82</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小东</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1367</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3706</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38.408</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久胜</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1092</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3111</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27.376</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西场</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746</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2328</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23.486</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富北</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1504</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4575</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33.403</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沙港</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992</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2651</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31.838</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上灶</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763</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1938</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29.39</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十灶</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1356</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3297</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63.857</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富民</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1280</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3546</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36.86</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团结</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850</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2428</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26.965</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桥梓</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1108</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2475</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32.772</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集贤</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755</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1834</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22.61</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米港</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1582</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3929</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46.328</w:t>
            </w:r>
            <w:r/>
          </w:p>
        </w:tc>
      </w:tr>
      <w:tr>
        <w:trPr>
          <w:trHeight w:val="440"/>
        </w:trPr>
        <w:tc>
          <w:tcPr>
            <w:tcBorders>
              <w:top w:val="single" w:color="000000" w:sz="4" w:space="0"/>
              <w:left w:val="single" w:color="000000" w:sz="4" w:space="0"/>
              <w:bottom w:val="single" w:color="000000" w:sz="4" w:space="0"/>
              <w:right w:val="single" w:color="000000" w:sz="4" w:space="0"/>
            </w:tcBorders>
            <w:tcW w:w="615"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元九</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1094</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3085</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36.61</w:t>
            </w:r>
            <w:r/>
          </w:p>
        </w:tc>
      </w:tr>
      <w:tr>
        <w:trPr>
          <w:trHeight w:val="440"/>
        </w:trPr>
        <w:tc>
          <w:tcPr>
            <w:gridSpan w:val="2"/>
            <w:tcBorders>
              <w:top w:val="single" w:color="000000" w:sz="4" w:space="0"/>
              <w:left w:val="single" w:color="000000" w:sz="4" w:space="0"/>
              <w:bottom w:val="single" w:color="000000" w:sz="4" w:space="0"/>
              <w:right w:val="single" w:color="000000" w:sz="4" w:space="0"/>
            </w:tcBorders>
            <w:tcW w:w="1382"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292</w:t>
            </w:r>
            <w:r/>
          </w:p>
        </w:tc>
        <w:tc>
          <w:tcPr>
            <w:tcBorders>
              <w:top w:val="single" w:color="000000" w:sz="4" w:space="0"/>
              <w:left w:val="single" w:color="000000" w:sz="4" w:space="0"/>
              <w:bottom w:val="single" w:color="000000" w:sz="4" w:space="0"/>
              <w:right w:val="single" w:color="000000" w:sz="4" w:space="0"/>
            </w:tcBorders>
            <w:tcW w:w="798"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28439</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79145</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849.223</w:t>
            </w:r>
            <w:r/>
          </w:p>
        </w:tc>
      </w:tr>
    </w:tbl>
    <w:p>
      <w:pPr>
        <w:pStyle w:val="864"/>
        <w:ind w:firstLine="560"/>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sz w:val="28"/>
          <w:szCs w:val="28"/>
          <w:highlight w:val="none"/>
        </w:rPr>
        <w:t xml:space="preserve">本次服务的项目需求，各潜在投标人应自行踏勘现场，将各项费用（含不可预见性费用）综合考虑到报价中，中标后发包人不再另行支付。具体区域内道路、河道等保洁工作量以各投标单位实地考察为准，业主不承担因投标单位考察不彻底而造成的损失。采购人提供的</w:t>
      </w:r>
      <w:r>
        <w:rPr>
          <w:rFonts w:hint="eastAsia" w:ascii="宋体" w:hAnsi="宋体" w:eastAsia="宋体" w:cs="宋体"/>
          <w:color w:val="auto"/>
          <w:sz w:val="28"/>
          <w:szCs w:val="28"/>
          <w:highlight w:val="none"/>
          <w:lang w:val="en-US" w:eastAsia="zh-CN"/>
        </w:rPr>
        <w:t xml:space="preserve">所有内容</w:t>
      </w:r>
      <w:r>
        <w:rPr>
          <w:rFonts w:hint="eastAsia" w:ascii="宋体" w:hAnsi="宋体" w:eastAsia="宋体" w:cs="宋体"/>
          <w:color w:val="auto"/>
          <w:sz w:val="28"/>
          <w:szCs w:val="28"/>
          <w:highlight w:val="none"/>
        </w:rPr>
        <w:t xml:space="preserve">仅供投标人投标参考，面积</w:t>
      </w:r>
      <w:r>
        <w:rPr>
          <w:rFonts w:hint="eastAsia" w:ascii="宋体" w:hAnsi="宋体" w:eastAsia="宋体" w:cs="宋体"/>
          <w:color w:val="auto"/>
          <w:sz w:val="28"/>
          <w:szCs w:val="28"/>
          <w:highlight w:val="none"/>
          <w:lang w:val="en-US" w:eastAsia="zh-CN"/>
        </w:rPr>
        <w:t xml:space="preserve">或道路长度等</w:t>
      </w:r>
      <w:r>
        <w:rPr>
          <w:rFonts w:hint="eastAsia" w:ascii="宋体" w:hAnsi="宋体" w:eastAsia="宋体" w:cs="宋体"/>
          <w:color w:val="auto"/>
          <w:sz w:val="28"/>
          <w:szCs w:val="28"/>
          <w:highlight w:val="none"/>
        </w:rPr>
        <w:t xml:space="preserve">由各潜在投标人自行测算报价，不论数量是否准确，</w:t>
      </w:r>
      <w:r>
        <w:rPr>
          <w:rFonts w:hint="eastAsia" w:ascii="宋体" w:hAnsi="宋体" w:eastAsia="宋体" w:cs="宋体"/>
          <w:color w:val="auto"/>
          <w:sz w:val="28"/>
          <w:szCs w:val="28"/>
          <w:highlight w:val="none"/>
          <w:lang w:val="en-US" w:eastAsia="zh-CN"/>
        </w:rPr>
        <w:t xml:space="preserve">服务</w:t>
      </w:r>
      <w:r>
        <w:rPr>
          <w:rFonts w:hint="eastAsia" w:ascii="宋体" w:hAnsi="宋体" w:eastAsia="宋体" w:cs="宋体"/>
          <w:color w:val="auto"/>
          <w:sz w:val="28"/>
          <w:szCs w:val="28"/>
          <w:highlight w:val="none"/>
        </w:rPr>
        <w:t xml:space="preserve">管理费用报价均不作调整，因此各潜在投标人应充分掌握实际服务范围及服务要求，投标人需与采购人代表联系后自行踏勘现场，以充分了解掌握服务内容及要求，根据招标需求测算报价，若有遗漏，后果由投标人自行承担</w:t>
      </w:r>
      <w:r>
        <w:rPr>
          <w:rFonts w:hint="eastAsia" w:ascii="宋体" w:hAnsi="宋体" w:eastAsia="宋体" w:cs="宋体"/>
          <w:color w:val="auto"/>
          <w:sz w:val="28"/>
          <w:szCs w:val="28"/>
          <w:highlight w:val="none"/>
          <w:lang w:eastAsia="zh-CN"/>
        </w:rPr>
        <w:t xml:space="preserve">。</w:t>
      </w:r>
      <w:r/>
    </w:p>
    <w:p>
      <w:pPr>
        <w:pStyle w:val="853"/>
        <w:ind w:firstLine="424"/>
        <w:keepLines w:val="0"/>
        <w:keepNext w:val="0"/>
        <w:pageBreakBefore w:val="0"/>
        <w:spacing w:beforeAutospacing="0" w:afterAutospacing="0"/>
        <w:widowControl w:val="off"/>
        <w:rPr>
          <w:rFonts w:hint="default" w:ascii="宋体" w:hAnsi="宋体" w:eastAsia="宋体" w:cs="宋体"/>
          <w:color w:val="auto"/>
          <w:sz w:val="28"/>
          <w:szCs w:val="28"/>
          <w:highlight w:val="none"/>
          <w:lang w:val="en-US" w:eastAsia="zh-CN"/>
        </w:rPr>
      </w:pPr>
      <w:r/>
      <w:bookmarkStart w:id="188" w:name="_Toc120614281"/>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现有环卫设施设备</w:t>
      </w:r>
      <w:r/>
    </w:p>
    <w:tbl>
      <w:tblPr>
        <w:tblStyle w:val="857"/>
        <w:tblW w:w="89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4"/>
        <w:gridCol w:w="1466"/>
        <w:gridCol w:w="1426"/>
        <w:gridCol w:w="1410"/>
        <w:gridCol w:w="1095"/>
        <w:gridCol w:w="1253"/>
        <w:gridCol w:w="1566"/>
      </w:tblGrid>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车辆型号</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载重(吨)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压缩车</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三力/新中绿</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2.75T/3T</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bookmarkStart w:id="189" w:name="OLE_LINK5"/>
            <w:r>
              <w:rPr>
                <w:rFonts w:hint="eastAsia" w:ascii="宋体" w:hAnsi="宋体" w:eastAsia="宋体" w:cs="宋体"/>
                <w:i w:val="0"/>
                <w:iCs w:val="0"/>
                <w:color w:val="auto"/>
                <w:sz w:val="22"/>
                <w:szCs w:val="22"/>
                <w:highlight w:val="none"/>
                <w:u w:val="none"/>
                <w:lang w:val="en-US" w:eastAsia="zh-CN" w:bidi="ar"/>
              </w:rPr>
              <w:t xml:space="preserve">辆</w:t>
            </w:r>
            <w:bookmarkEnd w:id="189"/>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440"/>
        </w:trPr>
        <w:tc>
          <w:tcPr>
            <w:shd w:val="clear" w:color="auto" w:fill="auto"/>
            <w:tcBorders>
              <w:top w:val="non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4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对接车</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神狐</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16T</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雾化车</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悦达</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18T</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清运车</w:t>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(船车)</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悦达</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1T</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440"/>
        </w:trPr>
        <w:tc>
          <w:tcPr>
            <w:shd w:val="clear" w:color="auto" w:fill="auto"/>
            <w:tcBorders>
              <w:top w:val="single" w:color="000000" w:sz="4" w:space="0"/>
              <w:left w:val="single" w:color="000000" w:sz="4" w:space="0"/>
              <w:right w:val="single" w:color="000000" w:sz="4" w:space="0"/>
            </w:tcBorders>
            <w:tcW w:w="694"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right w:val="single" w:color="000000" w:sz="4" w:space="0"/>
            </w:tcBorders>
            <w:tcW w:w="1466"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垃圾清运车</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中洁</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1T</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黄牌照，车厢底微损坏，接手后需维修</w:t>
            </w:r>
            <w:r/>
          </w:p>
        </w:tc>
      </w:tr>
      <w:tr>
        <w:trPr>
          <w:jc w:val="center"/>
          <w:trHeight w:val="650"/>
        </w:trPr>
        <w:tc>
          <w:tcPr>
            <w:shd w:val="clear" w:color="auto" w:fill="auto"/>
            <w:tcBorders>
              <w:left w:val="single" w:color="000000" w:sz="4" w:space="0"/>
              <w:bottom w:val="single" w:color="000000" w:sz="4" w:space="0"/>
              <w:right w:val="single" w:color="000000" w:sz="4" w:space="0"/>
            </w:tcBorders>
            <w:tcW w:w="69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1466"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程力</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1.5T</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bookmarkStart w:id="190" w:name="OLE_LINK6"/>
            <w:r>
              <w:rPr>
                <w:rFonts w:hint="eastAsia" w:ascii="宋体" w:hAnsi="宋体" w:eastAsia="宋体" w:cs="宋体"/>
                <w:i w:val="0"/>
                <w:iCs w:val="0"/>
                <w:color w:val="auto"/>
                <w:sz w:val="22"/>
                <w:szCs w:val="22"/>
                <w:highlight w:val="none"/>
                <w:u w:val="none"/>
                <w:lang w:val="en-US" w:eastAsia="zh-CN" w:bidi="ar"/>
              </w:rPr>
              <w:t xml:space="preserve">黄牌照</w:t>
            </w:r>
            <w:bookmarkEnd w:id="190"/>
            <w:r/>
            <w:r/>
          </w:p>
        </w:tc>
      </w:tr>
    </w:tbl>
    <w:p>
      <w:pPr>
        <w:pStyle w:val="864"/>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4"/>
        <w:jc w:val="center"/>
        <w:spacing w:beforeAutospacing="0" w:afterAutospacing="0"/>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864"/>
        <w:jc w:val="both"/>
        <w:spacing w:beforeAutospacing="0" w:afterAutospacing="0"/>
        <w:rPr>
          <w:color w:val="auto"/>
          <w:highlight w:val="none"/>
        </w:rPr>
      </w:pPr>
      <w:r>
        <w:rPr>
          <w:color w:val="auto"/>
          <w:highlight w:val="none"/>
        </w:rPr>
        <w:t xml:space="preserve"> </w:t>
      </w:r>
      <w:r/>
    </w:p>
    <w:p>
      <w:pPr>
        <w:pStyle w:val="864"/>
        <w:ind w:left="0" w:firstLine="480"/>
        <w:keepLines w:val="0"/>
        <w:keepNext w:val="0"/>
        <w:pageBreakBefore w:val="0"/>
        <w:spacing w:beforeAutospacing="0" w:afterAutospacing="0" w:line="360" w:lineRule="auto"/>
        <w:widowControl w:val="off"/>
        <w:rPr>
          <w:color w:val="auto"/>
          <w:highlight w:val="none"/>
        </w:rPr>
      </w:pPr>
      <w:r>
        <w:rPr>
          <w:rFonts w:ascii="Arial" w:hAnsi="Arial" w:cs="Arial"/>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64"/>
        <w:ind w:left="0" w:firstLine="480"/>
        <w:keepLines w:val="0"/>
        <w:keepNext w:val="0"/>
        <w:pageBreakBefore w:val="0"/>
        <w:spacing w:beforeAutospacing="0" w:afterAutospacing="0" w:line="360" w:lineRule="auto"/>
        <w:widowControl w:val="off"/>
        <w:rPr>
          <w:b w:val="0"/>
          <w:bCs/>
          <w:color w:val="auto"/>
          <w:highlight w:val="none"/>
        </w:rPr>
      </w:pPr>
      <w:r>
        <w:rPr>
          <w:rFonts w:hint="eastAsia" w:ascii="宋体" w:hAnsi="宋体" w:eastAsia="宋体" w:cs="宋体"/>
          <w:b w:val="0"/>
          <w:bCs/>
          <w:color w:val="auto"/>
          <w:highlight w:val="none"/>
        </w:rPr>
        <w:t xml:space="preserve">政府采购政策功能落实</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highlight w:val="none"/>
        </w:rPr>
      </w:pPr>
      <w:r>
        <w:rPr>
          <w:rFonts w:hint="eastAsia" w:cs="宋体"/>
          <w:color w:val="auto"/>
          <w:highlight w:val="none"/>
        </w:rPr>
        <w:t xml:space="preserve">1、小微型企业价格扣除</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（1）本项目为专门面向中小企业采购的项目或者采购包，不再执行价格评审优惠的扶持政策。</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（2）供应商需按照采购文件的要求提供相应的《中小企业声明函》。</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（3）企业标准请参照《关于印发中小企业划型标准规定的通知》（工信部联企业[2011]300号）文件规定自行填写。</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（4）项目为专门面向中小企业采购的项目,供应商必须为中小微企业，不接受非中小型企业参与本项目投标。参加政府采购活动的中小微企业如实提供《中小企业声明函》，否则视为无效标。</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2、残疾人福利单位价格扣除</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（1）本项目对残疾人福利性单位视同小型、微型企业，给予20%的扣除价格，用扣除后的价格参与评审。</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（2）残疾人福利单位需按照采购文件的要求提供《残疾人福利性单位声明函》。</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（3）残疾人福利单位标准请参照《关于促进残疾人就业政府采购政策的通知》（财库〔2017〕141号）。</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3、监狱和戒毒企业价格扣除</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（1）本项目对监狱和戒毒企业（简称监狱企业）视同小型、微型企业，给予20%</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（3）监狱企业标准请参照《关于政府采购支持监狱企业发展有关问题的通知》（财库[2014]68号）。</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4、残疾人福利单位、监狱企业属于小型、微型企业的，不重复享受政策。</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lang w:val="en-US" w:eastAsia="zh-CN"/>
        </w:rPr>
        <w:t xml:space="preserve">6</w:t>
      </w:r>
      <w:r>
        <w:rPr>
          <w:rFonts w:hint="eastAsia" w:ascii="宋体" w:hAnsi="宋体" w:eastAsia="宋体" w:cs="宋体"/>
          <w:b w:val="0"/>
          <w:bCs/>
          <w:color w:val="auto"/>
          <w:highlight w:val="none"/>
        </w:rPr>
        <w:t xml:space="preserve">、严格执行政府采购关于支持</w:t>
      </w:r>
      <w:r>
        <w:rPr>
          <w:rFonts w:hint="eastAsia" w:ascii="宋体" w:hAnsi="宋体" w:eastAsia="宋体" w:cs="宋体"/>
          <w:b w:val="0"/>
          <w:bCs/>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lang w:val="en-US" w:eastAsia="zh-CN"/>
        </w:rPr>
        <w:t xml:space="preserve">7</w:t>
      </w:r>
      <w:r>
        <w:rPr>
          <w:rFonts w:hint="eastAsia" w:ascii="宋体" w:hAnsi="宋体" w:eastAsia="宋体" w:cs="宋体"/>
          <w:b w:val="0"/>
          <w:bCs/>
          <w:color w:val="auto"/>
          <w:highlight w:val="none"/>
        </w:rPr>
        <w:t xml:space="preserve">、供应商对于投标产品的商品包装、快递包装应按照“财办库〔2020〕123号《关于印发《商品包装政府采购需求标准（试行）》、《快递包装政府采购需求标准（试行）》的通知》”执行。</w:t>
      </w:r>
      <w:r/>
    </w:p>
    <w:p>
      <w:pPr>
        <w:pStyle w:val="864"/>
        <w:ind w:left="0" w:firstLine="480"/>
        <w:keepLines w:val="0"/>
        <w:keepNext w:val="0"/>
        <w:pageBreakBefore w:val="0"/>
        <w:spacing w:beforeAutospacing="0" w:afterAutospacing="0" w:line="360" w:lineRule="auto"/>
        <w:widowControl w:val="off"/>
        <w:rPr>
          <w:rFonts w:hint="eastAsia" w:ascii="宋体" w:hAnsi="宋体" w:eastAsia="宋体" w:cs="宋体"/>
          <w:b w:val="0"/>
          <w:bCs/>
          <w:color w:val="auto"/>
          <w:highlight w:val="none"/>
        </w:rPr>
      </w:pPr>
      <w:r>
        <w:rPr>
          <w:rFonts w:hint="eastAsia" w:ascii="宋体" w:hAnsi="宋体" w:eastAsia="宋体" w:cs="宋体"/>
          <w:b w:val="0"/>
          <w:bCs/>
          <w:color w:val="auto"/>
          <w:highlight w:val="none"/>
          <w:lang w:val="en-US" w:eastAsia="zh-CN"/>
        </w:rPr>
        <w:t xml:space="preserve">8</w:t>
      </w:r>
      <w:r>
        <w:rPr>
          <w:rFonts w:hint="eastAsia" w:ascii="宋体" w:hAnsi="宋体" w:eastAsia="宋体" w:cs="宋体"/>
          <w:b w:val="0"/>
          <w:bCs/>
          <w:color w:val="auto"/>
          <w:highlight w:val="none"/>
        </w:rPr>
        <w:t xml:space="preserve">、本文件中若涉及到数据中心采购，应按照《&lt;绿色数据中心政府采购需求标准（试行）&gt;的通知》（财库〔2023〕7号）执行。</w:t>
      </w:r>
      <w:r/>
    </w:p>
    <w:p>
      <w:pPr>
        <w:pStyle w:val="864"/>
        <w:ind w:left="0" w:firstLine="482"/>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b/>
          <w:color w:val="auto"/>
          <w:highlight w:val="none"/>
        </w:rPr>
        <w:t xml:space="preserve">评标方法与评标标准</w:t>
      </w:r>
      <w:r/>
    </w:p>
    <w:tbl>
      <w:tblPr>
        <w:tblStyle w:val="857"/>
        <w:tblW w:w="9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992"/>
        <w:gridCol w:w="567"/>
        <w:gridCol w:w="1414"/>
        <w:gridCol w:w="6289"/>
      </w:tblGrid>
      <w:tr>
        <w:trPr>
          <w:jc w:val="center"/>
          <w:trHeight w:val="405"/>
        </w:trPr>
        <w:tc>
          <w:tcPr>
            <w:tcW w:w="568" w:type="dxa"/>
            <w:vAlign w:val="center"/>
            <w:textDirection w:val="lrTb"/>
            <w:noWrap w:val="false"/>
          </w:tcPr>
          <w:p>
            <w:pPr>
              <w:ind w:firstLine="0"/>
              <w:jc w:val="center"/>
              <w:keepLines w:val="0"/>
              <w:keepNext w:val="0"/>
              <w:pageBreakBefore w:val="0"/>
              <w:spacing w:line="44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rPr>
                <w:rFonts w:ascii="宋体" w:hAnsi="宋体" w:cs="宋体"/>
                <w:b/>
                <w:bCs/>
                <w:color w:val="auto"/>
                <w:szCs w:val="21"/>
                <w:highlight w:val="none"/>
              </w:rPr>
              <w:t xml:space="preserve"> </w:t>
            </w:r>
            <w:r/>
          </w:p>
        </w:tc>
        <w:tc>
          <w:tcPr>
            <w:tcW w:w="992" w:type="dxa"/>
            <w:vAlign w:val="center"/>
            <w:textDirection w:val="lrTb"/>
            <w:noWrap w:val="false"/>
          </w:tcPr>
          <w:p>
            <w:pPr>
              <w:ind w:firstLine="0"/>
              <w:jc w:val="center"/>
              <w:keepLines w:val="0"/>
              <w:keepNext w:val="0"/>
              <w:pageBreakBefore w:val="0"/>
              <w:spacing w:line="44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评分点名称</w:t>
            </w:r>
            <w:r>
              <w:rPr>
                <w:rFonts w:ascii="宋体" w:hAnsi="宋体" w:cs="宋体"/>
                <w:b/>
                <w:bCs/>
                <w:color w:val="auto"/>
                <w:szCs w:val="21"/>
                <w:highlight w:val="none"/>
              </w:rPr>
              <w:t xml:space="preserve"> </w:t>
            </w:r>
            <w:r/>
          </w:p>
        </w:tc>
        <w:tc>
          <w:tcPr>
            <w:tcW w:w="567" w:type="dxa"/>
            <w:vAlign w:val="center"/>
            <w:textDirection w:val="lrTb"/>
            <w:noWrap w:val="false"/>
          </w:tcPr>
          <w:p>
            <w:pPr>
              <w:ind w:firstLine="0"/>
              <w:jc w:val="center"/>
              <w:keepLines w:val="0"/>
              <w:keepNext w:val="0"/>
              <w:pageBreakBefore w:val="0"/>
              <w:spacing w:line="44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p>
        </w:tc>
        <w:tc>
          <w:tcPr>
            <w:gridSpan w:val="2"/>
            <w:tcW w:w="7703" w:type="dxa"/>
            <w:vAlign w:val="center"/>
            <w:textDirection w:val="lrTb"/>
            <w:noWrap w:val="false"/>
          </w:tcPr>
          <w:p>
            <w:pPr>
              <w:ind w:firstLine="0"/>
              <w:jc w:val="center"/>
              <w:keepLines w:val="0"/>
              <w:keepNext w:val="0"/>
              <w:pageBreakBefore w:val="0"/>
              <w:spacing w:line="44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评审标准</w:t>
            </w:r>
            <w:r/>
          </w:p>
        </w:tc>
      </w:tr>
      <w:tr>
        <w:trPr>
          <w:jc w:val="center"/>
          <w:trHeight w:val="317"/>
        </w:trPr>
        <w:tc>
          <w:tcPr>
            <w:tcW w:w="568" w:type="dxa"/>
            <w:vAlign w:val="center"/>
            <w:textDirection w:val="lrTb"/>
            <w:noWrap w:val="false"/>
          </w:tcPr>
          <w:p>
            <w:pPr>
              <w:ind w:firstLine="0"/>
              <w:jc w:val="center"/>
              <w:keepLines w:val="0"/>
              <w:keepNext w:val="0"/>
              <w:pageBreakBefore w:val="0"/>
              <w:spacing w:line="440" w:lineRule="exact"/>
              <w:widowControl/>
              <w:rPr>
                <w:rFonts w:ascii="宋体" w:hAnsi="宋体" w:cs="宋体"/>
                <w:color w:val="auto"/>
                <w:szCs w:val="21"/>
                <w:highlight w:val="none"/>
              </w:rPr>
            </w:pPr>
            <w:r>
              <w:rPr>
                <w:rFonts w:ascii="宋体" w:hAnsi="宋体" w:cs="宋体"/>
                <w:color w:val="auto"/>
                <w:szCs w:val="21"/>
                <w:highlight w:val="none"/>
              </w:rPr>
              <w:t xml:space="preserve">1</w:t>
            </w:r>
            <w:r/>
          </w:p>
        </w:tc>
        <w:tc>
          <w:tcPr>
            <w:tcW w:w="992" w:type="dxa"/>
            <w:vAlign w:val="center"/>
            <w:textDirection w:val="lrTb"/>
            <w:noWrap w:val="false"/>
          </w:tcPr>
          <w:p>
            <w:pPr>
              <w:ind w:firstLine="0"/>
              <w:jc w:val="center"/>
              <w:keepLines w:val="0"/>
              <w:keepNext w:val="0"/>
              <w:pageBreakBefore w:val="0"/>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价格</w:t>
            </w:r>
            <w:r/>
          </w:p>
        </w:tc>
        <w:tc>
          <w:tcPr>
            <w:tcW w:w="567" w:type="dxa"/>
            <w:vAlign w:val="center"/>
            <w:textDirection w:val="lrTb"/>
            <w:noWrap w:val="false"/>
          </w:tcPr>
          <w:p>
            <w:pPr>
              <w:ind w:firstLine="0"/>
              <w:jc w:val="center"/>
              <w:keepLines w:val="0"/>
              <w:keepNext w:val="0"/>
              <w:pageBreakBefore w:val="0"/>
              <w:spacing w:line="44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gridSpan w:val="2"/>
            <w:tcW w:w="7703" w:type="dxa"/>
            <w:vAlign w:val="center"/>
            <w:textDirection w:val="lrTb"/>
            <w:noWrap w:val="false"/>
          </w:tcPr>
          <w:p>
            <w:pPr>
              <w:ind w:firstLine="0"/>
              <w:jc w:val="left"/>
              <w:keepLines w:val="0"/>
              <w:keepNext w:val="0"/>
              <w:pageBreakBefore w:val="0"/>
              <w:spacing w:line="440" w:lineRule="exact"/>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  </w:t>
            </w:r>
            <w:r>
              <w:rPr>
                <w:rFonts w:hint="eastAsia" w:ascii="宋体" w:hAnsi="宋体" w:cs="宋体"/>
                <w:b w:val="0"/>
                <w:bCs w:val="0"/>
                <w:color w:val="auto"/>
                <w:szCs w:val="21"/>
                <w:highlight w:val="none"/>
                <w:lang w:val="en-US" w:eastAsia="zh-CN"/>
              </w:rPr>
              <w:t xml:space="preserve">满足招标文件要求且投标价格最低的投标报价为基准价，其价格分为满分。报价得分＝（评标基准价/投标报价）×10。</w:t>
            </w:r>
            <w:r/>
          </w:p>
          <w:p>
            <w:pPr>
              <w:ind w:firstLine="211"/>
              <w:jc w:val="left"/>
              <w:keepLines w:val="0"/>
              <w:keepNext w:val="0"/>
              <w:pageBreakBefore w:val="0"/>
              <w:spacing w:line="440" w:lineRule="exact"/>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特别提醒：各潜在投标人按招标人提供的采购需求，自行踏勘现场，根据现场实际情况综合考虑报价。</w:t>
            </w:r>
            <w:r/>
          </w:p>
          <w:p>
            <w:pPr>
              <w:ind w:firstLine="211"/>
              <w:jc w:val="left"/>
              <w:keepLines w:val="0"/>
              <w:keepNext w:val="0"/>
              <w:pageBreakBefore w:val="0"/>
              <w:spacing w:line="440" w:lineRule="exact"/>
              <w:widowControl/>
              <w:rPr>
                <w:rFonts w:hint="default"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请各潜在投标人谨慎报价，不可恶意低价。</w:t>
            </w:r>
            <w:r/>
          </w:p>
        </w:tc>
      </w:tr>
      <w:tr>
        <w:trPr>
          <w:jc w:val="center"/>
          <w:trHeight w:val="285"/>
        </w:trPr>
        <w:tc>
          <w:tcPr>
            <w:tcW w:w="568" w:type="dxa"/>
            <w:vAlign w:val="center"/>
            <w:textDirection w:val="lrTb"/>
            <w:noWrap w:val="false"/>
          </w:tcPr>
          <w:p>
            <w:pPr>
              <w:ind w:firstLine="0"/>
              <w:jc w:val="center"/>
              <w:keepLines w:val="0"/>
              <w:keepNext w:val="0"/>
              <w:pageBreakBefore w:val="0"/>
              <w:spacing w:line="440" w:lineRule="exact"/>
              <w:widowControl/>
              <w:rPr>
                <w:rFonts w:ascii="宋体" w:hAnsi="宋体" w:cs="宋体"/>
                <w:color w:val="auto"/>
                <w:szCs w:val="21"/>
                <w:highlight w:val="none"/>
              </w:rPr>
            </w:pPr>
            <w:r>
              <w:rPr>
                <w:rFonts w:ascii="宋体" w:hAnsi="宋体" w:cs="宋体"/>
                <w:color w:val="auto"/>
                <w:szCs w:val="21"/>
                <w:highlight w:val="none"/>
              </w:rPr>
              <w:t xml:space="preserve">2</w:t>
            </w:r>
            <w:r/>
          </w:p>
        </w:tc>
        <w:tc>
          <w:tcPr>
            <w:tcW w:w="992" w:type="dxa"/>
            <w:vAlign w:val="center"/>
            <w:textDirection w:val="lrTb"/>
            <w:noWrap w:val="false"/>
          </w:tcPr>
          <w:p>
            <w:pPr>
              <w:ind w:firstLine="0"/>
              <w:jc w:val="center"/>
              <w:keepLines w:val="0"/>
              <w:keepNext w:val="0"/>
              <w:pageBreakBefore w:val="0"/>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履约</w:t>
            </w:r>
            <w:r/>
          </w:p>
          <w:p>
            <w:pPr>
              <w:ind w:firstLine="0"/>
              <w:jc w:val="center"/>
              <w:keepLines w:val="0"/>
              <w:keepNext w:val="0"/>
              <w:pageBreakBefore w:val="0"/>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能力</w:t>
            </w:r>
            <w:r/>
          </w:p>
        </w:tc>
        <w:tc>
          <w:tcPr>
            <w:tcW w:w="567" w:type="dxa"/>
            <w:vAlign w:val="center"/>
            <w:textDirection w:val="lrTb"/>
            <w:noWrap w:val="false"/>
          </w:tcPr>
          <w:p>
            <w:pPr>
              <w:ind w:firstLine="0"/>
              <w:jc w:val="center"/>
              <w:keepLines w:val="0"/>
              <w:keepNext w:val="0"/>
              <w:pageBreakBefore w:val="0"/>
              <w:spacing w:line="44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gridSpan w:val="2"/>
            <w:tcW w:w="7703" w:type="dxa"/>
            <w:vAlign w:val="center"/>
            <w:textDirection w:val="lrTb"/>
            <w:noWrap w:val="false"/>
          </w:tcPr>
          <w:p>
            <w:pPr>
              <w:ind w:firstLine="420"/>
              <w:jc w:val="left"/>
              <w:keepLines w:val="0"/>
              <w:keepNext w:val="0"/>
              <w:pageBreakBefore w:val="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投标人在投标时已经完全具备项目最低配置要求的设施设备的，得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分；承诺中标后到位的，得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ind w:firstLine="0"/>
              <w:jc w:val="left"/>
              <w:keepLines w:val="0"/>
              <w:keepNext w:val="0"/>
              <w:pageBreakBefore w:val="0"/>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【注：1、机动车辆提供行驶证、车辆登记证及保险单据，其他设备提供购置发票。2、提供所有评分项的设备不可重复。】</w:t>
            </w:r>
            <w:r/>
          </w:p>
        </w:tc>
      </w:tr>
      <w:tr>
        <w:trPr>
          <w:jc w:val="center"/>
          <w:trHeight w:val="285"/>
        </w:trPr>
        <w:tc>
          <w:tcPr>
            <w:tcW w:w="568"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992" w:type="dxa"/>
            <w:vAlign w:val="center"/>
            <w:textDirection w:val="lrTb"/>
            <w:noWrap w:val="false"/>
          </w:tcPr>
          <w:p>
            <w:pPr>
              <w:ind w:firstLine="0"/>
              <w:jc w:val="center"/>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应急</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能力</w:t>
            </w:r>
            <w:r/>
          </w:p>
        </w:tc>
        <w:tc>
          <w:tcPr>
            <w:tcW w:w="567" w:type="dxa"/>
            <w:vAlign w:val="center"/>
            <w:textDirection w:val="lrTb"/>
            <w:noWrap w:val="false"/>
          </w:tcPr>
          <w:p>
            <w:pPr>
              <w:ind w:firstLine="0"/>
              <w:jc w:val="center"/>
              <w:keepLines w:val="0"/>
              <w:keepNext w:val="0"/>
              <w:pageBreakBefore w:val="0"/>
              <w:spacing w:line="440" w:lineRule="exac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gridSpan w:val="2"/>
            <w:tcW w:w="7703" w:type="dxa"/>
            <w:vAlign w:val="center"/>
            <w:textDirection w:val="lrTb"/>
            <w:noWrap w:val="false"/>
          </w:tcPr>
          <w:p>
            <w:pPr>
              <w:ind w:firstLine="210"/>
              <w:keepLines w:val="0"/>
              <w:keepNext w:val="0"/>
              <w:pageBreakBefore w:val="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1、为配合镇区完成上级的考核、迎检活动，有总质量18T及以上应急酒水车或多功能扫地车、总质量7T-8T应急后装压缩车，有1项得1分，最高2分。</w:t>
            </w:r>
            <w:r/>
          </w:p>
          <w:p>
            <w:pPr>
              <w:ind w:firstLine="210"/>
              <w:keepLines w:val="0"/>
              <w:keepNext w:val="0"/>
              <w:pageBreakBefore w:val="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2、为配合压缩站渗滤液的处理及公厕应急粪污的处理，有带车载发电功能的污水处理车、总质量10T及以上公厕应急吸粪车，有1项得1分，最高2分。</w:t>
            </w:r>
            <w:r/>
          </w:p>
          <w:p>
            <w:pPr>
              <w:ind w:firstLine="210"/>
              <w:keepLines w:val="0"/>
              <w:keepNext w:val="0"/>
              <w:pageBreakBefore w:val="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3、为配合垃圾中转站的维护保养及突发情况，有15M3配套移动压缩站及其配套车辆或有总质量25T及以上应急转运车，得1分。</w:t>
            </w:r>
            <w:r/>
          </w:p>
          <w:p>
            <w:pPr>
              <w:ind w:firstLine="21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【注:1、如自有则提供：机动车辆提供行驶证及保险单据，其他设备提供购置发票；2、如租赁则提供：机动车辆提供行驶证、保险单据及租赁合同；3、所有评分项的设备不可重复。】</w:t>
            </w:r>
            <w:r/>
          </w:p>
        </w:tc>
      </w:tr>
      <w:tr>
        <w:trPr>
          <w:jc w:val="center"/>
          <w:trHeight w:val="733"/>
        </w:trPr>
        <w:tc>
          <w:tcPr>
            <w:tcW w:w="568" w:type="dxa"/>
            <w:vAlign w:val="center"/>
            <w:vMerge w:val="restart"/>
            <w:textDirection w:val="lrTb"/>
            <w:noWrap w:val="false"/>
          </w:tcPr>
          <w:p>
            <w:pPr>
              <w:ind w:firstLine="0"/>
              <w:jc w:val="center"/>
              <w:keepLines w:val="0"/>
              <w:keepNext w:val="0"/>
              <w:pageBreakBefore w:val="0"/>
              <w:spacing w:line="440" w:lineRule="exact"/>
              <w:widowControl/>
              <w:rPr>
                <w:rFonts w:hint="eastAsia" w:ascii="宋体" w:hAnsi="宋体" w:cs="宋体" w:eastAsiaTheme="minorEastAsia"/>
                <w:color w:val="auto"/>
                <w:szCs w:val="21"/>
                <w:highlight w:val="none"/>
                <w:lang w:eastAsia="zh-CN"/>
              </w:rPr>
            </w:pPr>
            <w:r>
              <w:rPr>
                <w:rFonts w:hint="eastAsia" w:ascii="宋体" w:hAnsi="宋体" w:cs="宋体"/>
                <w:color w:val="auto"/>
                <w:szCs w:val="21"/>
                <w:highlight w:val="none"/>
                <w:lang w:val="en-US" w:eastAsia="zh-CN"/>
              </w:rPr>
              <w:t xml:space="preserve">4</w:t>
            </w:r>
            <w:r/>
          </w:p>
        </w:tc>
        <w:tc>
          <w:tcPr>
            <w:tcW w:w="992" w:type="dxa"/>
            <w:vAlign w:val="center"/>
            <w:vMerge w:val="restart"/>
            <w:textDirection w:val="lrTb"/>
            <w:noWrap w:val="false"/>
          </w:tcPr>
          <w:p>
            <w:pPr>
              <w:ind w:firstLine="0"/>
              <w:jc w:val="center"/>
              <w:keepLines w:val="0"/>
              <w:keepNext w:val="0"/>
              <w:pageBreakBefore w:val="0"/>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服务</w:t>
            </w:r>
            <w:r/>
          </w:p>
          <w:p>
            <w:pPr>
              <w:ind w:firstLine="0"/>
              <w:jc w:val="center"/>
              <w:keepLines w:val="0"/>
              <w:keepNext w:val="0"/>
              <w:pageBreakBefore w:val="0"/>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水平</w:t>
            </w:r>
            <w:r/>
          </w:p>
        </w:tc>
        <w:tc>
          <w:tcPr>
            <w:tcW w:w="567" w:type="dxa"/>
            <w:vAlign w:val="center"/>
            <w:vMerge w:val="restart"/>
            <w:textDirection w:val="lrTb"/>
            <w:noWrap w:val="false"/>
          </w:tcPr>
          <w:p>
            <w:pPr>
              <w:ind w:firstLine="0"/>
              <w:jc w:val="center"/>
              <w:keepLines w:val="0"/>
              <w:keepNext w:val="0"/>
              <w:pageBreakBefore w:val="0"/>
              <w:spacing w:line="44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80</w:t>
            </w:r>
            <w:r/>
          </w:p>
        </w:tc>
        <w:tc>
          <w:tcPr>
            <w:tcW w:w="141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道路保洁管护方案</w:t>
            </w:r>
            <w:r/>
          </w:p>
          <w:p>
            <w:pPr>
              <w:ind w:firstLine="0"/>
              <w:jc w:val="center"/>
              <w:keepLines w:val="0"/>
              <w:keepNext w:val="0"/>
              <w:pageBreakBefore w:val="0"/>
              <w:spacing w:line="440" w:lineRule="exact"/>
              <w:widowControl/>
              <w:rPr>
                <w:rFonts w:ascii="宋体" w:hAnsi="宋体" w:cs="宋体"/>
                <w:color w:val="auto"/>
                <w:szCs w:val="21"/>
                <w:highlight w:val="none"/>
              </w:rPr>
            </w:pPr>
            <w:r>
              <w:rPr>
                <w:rFonts w:ascii="宋体" w:hAnsi="宋体" w:cs="宋体"/>
                <w:color w:val="auto"/>
                <w:szCs w:val="21"/>
                <w:highlight w:val="none"/>
              </w:rPr>
            </w:r>
            <w:r/>
          </w:p>
        </w:tc>
        <w:tc>
          <w:tcPr>
            <w:tcW w:w="6289" w:type="dxa"/>
            <w:vAlign w:val="center"/>
            <w:textDirection w:val="lrTb"/>
            <w:noWrap w:val="false"/>
          </w:tcPr>
          <w:p>
            <w:pPr>
              <w:ind w:firstLine="42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①</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根据投标人现场踏勘的实际情况、重难点分析、人员配置合理说明、设备配置合理说明、作业时间安排、作业流程设置等内容的科学性、可行性、完整性在1-</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分之间进行评价</w:t>
            </w:r>
            <w:bookmarkStart w:id="191" w:name="OLE_LINK1"/>
            <w:r>
              <w:rPr>
                <w:rFonts w:hint="eastAsia" w:ascii="宋体" w:hAnsi="宋体" w:cs="宋体"/>
                <w:color w:val="auto"/>
                <w:szCs w:val="21"/>
                <w:highlight w:val="none"/>
              </w:rPr>
              <w:t xml:space="preserve">，未提供或方案内容不全不得分。</w:t>
            </w:r>
            <w:r/>
          </w:p>
          <w:p>
            <w:pPr>
              <w:ind w:firstLine="420"/>
              <w:jc w:val="left"/>
              <w:keepLines w:val="0"/>
              <w:keepNext w:val="0"/>
              <w:pageBreakBefore w:val="0"/>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②</w:t>
            </w:r>
            <w:bookmarkEnd w:id="191"/>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方案中所涉及的机械保洁车辆有中华人民共和国机动车环保信息随车清单的，有1辆得1分，最多2分。</w:t>
            </w:r>
            <w:r/>
          </w:p>
        </w:tc>
      </w:tr>
      <w:tr>
        <w:trPr>
          <w:jc w:val="center"/>
          <w:trHeight w:val="733"/>
        </w:trPr>
        <w:tc>
          <w:tcPr>
            <w:tcW w:w="568" w:type="dxa"/>
            <w:vAlign w:val="center"/>
            <w:vMerge w:val="continue"/>
            <w:textDirection w:val="lrTb"/>
            <w:noWrap w:val="false"/>
          </w:tcPr>
          <w:p>
            <w:pPr>
              <w:ind w:firstLine="0"/>
              <w:jc w:val="left"/>
              <w:keepLines w:val="0"/>
              <w:keepNext w:val="0"/>
              <w:pageBreakBefore w:val="0"/>
              <w:spacing w:line="440" w:lineRule="exact"/>
              <w:widowControl/>
              <w:rPr>
                <w:highlight w:val="none"/>
              </w:rPr>
            </w:pPr>
            <w:r>
              <w:rPr>
                <w:highlight w:val="none"/>
              </w:rPr>
            </w:r>
            <w:r/>
          </w:p>
        </w:tc>
        <w:tc>
          <w:tcPr>
            <w:tcW w:w="992" w:type="dxa"/>
            <w:vAlign w:val="center"/>
            <w:vMerge w:val="continue"/>
            <w:textDirection w:val="lrTb"/>
            <w:noWrap w:val="false"/>
          </w:tcPr>
          <w:p>
            <w:pPr>
              <w:ind w:firstLine="0"/>
              <w:jc w:val="left"/>
              <w:keepLines w:val="0"/>
              <w:keepNext w:val="0"/>
              <w:pageBreakBefore w:val="0"/>
              <w:spacing w:line="440" w:lineRule="exact"/>
              <w:widowControl/>
              <w:rPr>
                <w:highlight w:val="none"/>
              </w:rPr>
            </w:pPr>
            <w:r>
              <w:rPr>
                <w:highlight w:val="none"/>
              </w:rPr>
            </w:r>
            <w:r/>
          </w:p>
        </w:tc>
        <w:tc>
          <w:tcPr>
            <w:tcW w:w="567" w:type="dxa"/>
            <w:vAlign w:val="center"/>
            <w:vMerge w:val="continue"/>
            <w:textDirection w:val="lrTb"/>
            <w:noWrap w:val="false"/>
          </w:tcPr>
          <w:p>
            <w:pPr>
              <w:ind w:firstLine="0"/>
              <w:jc w:val="left"/>
              <w:keepLines w:val="0"/>
              <w:keepNext w:val="0"/>
              <w:pageBreakBefore w:val="0"/>
              <w:spacing w:line="440" w:lineRule="exact"/>
              <w:widowControl/>
              <w:rPr>
                <w:highlight w:val="none"/>
              </w:rPr>
            </w:pPr>
            <w:r>
              <w:rPr>
                <w:highlight w:val="none"/>
              </w:rPr>
            </w:r>
            <w:r/>
          </w:p>
        </w:tc>
        <w:tc>
          <w:tcPr>
            <w:tcW w:w="1414" w:type="dxa"/>
            <w:vAlign w:val="center"/>
            <w:textDirection w:val="lrTb"/>
            <w:noWrap w:val="false"/>
          </w:tcPr>
          <w:p>
            <w:pPr>
              <w:ind w:firstLine="0"/>
              <w:jc w:val="center"/>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垃圾收集方案</w:t>
            </w:r>
            <w:r/>
          </w:p>
        </w:tc>
        <w:tc>
          <w:tcPr>
            <w:tcW w:w="6289" w:type="dxa"/>
            <w:vAlign w:val="center"/>
            <w:textDirection w:val="lrTb"/>
            <w:noWrap w:val="false"/>
          </w:tcPr>
          <w:p>
            <w:pPr>
              <w:ind w:firstLine="420"/>
              <w:jc w:val="left"/>
              <w:keepLines w:val="0"/>
              <w:keepNext w:val="0"/>
              <w:pageBreakBefore w:val="0"/>
              <w:spacing w:line="440" w:lineRule="exact"/>
              <w:widowControl/>
              <w:rPr>
                <w:rFonts w:hint="eastAsia" w:ascii="宋体" w:hAnsi="宋体" w:cs="宋体"/>
                <w:color w:val="auto"/>
                <w:szCs w:val="21"/>
                <w:highlight w:val="none"/>
              </w:rPr>
            </w:pPr>
            <w:r/>
            <w:bookmarkStart w:id="192" w:name="OLE_LINK2"/>
            <w:r>
              <w:rPr>
                <w:rFonts w:hint="eastAsia" w:ascii="宋体" w:hAnsi="宋体" w:cs="宋体"/>
                <w:color w:val="auto"/>
                <w:szCs w:val="21"/>
                <w:highlight w:val="none"/>
              </w:rPr>
              <w:t xml:space="preserve">①</w:t>
            </w:r>
            <w:r>
              <w:rPr>
                <w:rFonts w:hint="eastAsia" w:ascii="宋体" w:hAnsi="宋体" w:cs="宋体"/>
                <w:color w:val="auto"/>
                <w:szCs w:val="21"/>
                <w:highlight w:val="none"/>
                <w:lang w:val="en-US" w:eastAsia="zh-CN"/>
              </w:rPr>
              <w:t xml:space="preserve">.</w:t>
            </w:r>
            <w:bookmarkEnd w:id="192"/>
            <w:r>
              <w:rPr>
                <w:rFonts w:hint="eastAsia" w:ascii="宋体" w:hAnsi="宋体" w:cs="宋体"/>
                <w:color w:val="auto"/>
                <w:szCs w:val="21"/>
                <w:highlight w:val="none"/>
              </w:rPr>
              <w:t xml:space="preserve">根据投标人现场踏勘的实际情况、重难点分析、人员配置合理说明、设备配置合理说明、作业时间安排、作业流程设置等内容的科学性、可行性、完整性在1-</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分之间进行评价</w:t>
            </w:r>
            <w:bookmarkStart w:id="193" w:name="OLE_LINK3"/>
            <w:r>
              <w:rPr>
                <w:rFonts w:hint="eastAsia" w:ascii="宋体" w:hAnsi="宋体" w:cs="宋体"/>
                <w:color w:val="auto"/>
                <w:szCs w:val="21"/>
                <w:highlight w:val="none"/>
              </w:rPr>
              <w:t xml:space="preserve">，未提供或方案内容不全不得分。</w:t>
            </w:r>
            <w:r/>
          </w:p>
          <w:p>
            <w:pPr>
              <w:ind w:firstLine="420"/>
              <w:jc w:val="left"/>
              <w:keepLines w:val="0"/>
              <w:keepNext w:val="0"/>
              <w:pageBreakBefore w:val="0"/>
              <w:spacing w:line="440" w:lineRule="exact"/>
              <w:widowControl/>
              <w:rPr>
                <w:rFonts w:hint="eastAsia" w:ascii="宋体" w:hAnsi="宋体" w:cs="宋体" w:eastAsiaTheme="minorEastAsia"/>
                <w:color w:val="auto"/>
                <w:szCs w:val="21"/>
                <w:highlight w:val="none"/>
                <w:lang w:eastAsia="zh-CN"/>
              </w:rPr>
            </w:pPr>
            <w:r>
              <w:rPr>
                <w:rFonts w:hint="eastAsia" w:ascii="宋体" w:hAnsi="宋体" w:cs="宋体"/>
                <w:color w:val="auto"/>
                <w:szCs w:val="21"/>
                <w:highlight w:val="none"/>
              </w:rPr>
              <w:t xml:space="preserve">②</w:t>
            </w:r>
            <w:r>
              <w:rPr>
                <w:rFonts w:hint="eastAsia" w:ascii="宋体" w:hAnsi="宋体" w:cs="宋体"/>
                <w:color w:val="auto"/>
                <w:szCs w:val="21"/>
                <w:highlight w:val="none"/>
                <w:lang w:val="en-US" w:eastAsia="zh-CN"/>
              </w:rPr>
              <w:t xml:space="preserve">.</w:t>
            </w:r>
            <w:bookmarkEnd w:id="193"/>
            <w:r>
              <w:rPr>
                <w:rFonts w:hint="eastAsia" w:ascii="宋体" w:hAnsi="宋体" w:cs="宋体"/>
                <w:color w:val="auto"/>
                <w:szCs w:val="21"/>
                <w:highlight w:val="none"/>
              </w:rPr>
              <w:t xml:space="preserve">方案中所涉及的垃圾收集车辆有中华人民共和国机动车环保信息随车清单的，有1辆得1分，最多3分</w:t>
            </w:r>
            <w:r>
              <w:rPr>
                <w:rFonts w:hint="eastAsia" w:ascii="宋体" w:hAnsi="宋体" w:cs="宋体"/>
                <w:color w:val="auto"/>
                <w:szCs w:val="21"/>
                <w:highlight w:val="none"/>
                <w:lang w:eastAsia="zh-CN"/>
              </w:rPr>
              <w:t xml:space="preserve">。</w:t>
            </w:r>
            <w:r/>
          </w:p>
        </w:tc>
      </w:tr>
      <w:tr>
        <w:trPr>
          <w:jc w:val="center"/>
          <w:trHeight w:val="733"/>
        </w:trPr>
        <w:tc>
          <w:tcPr>
            <w:tcW w:w="568"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567"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14" w:type="dxa"/>
            <w:vAlign w:val="center"/>
            <w:textDirection w:val="lrTb"/>
            <w:noWrap w:val="false"/>
          </w:tcPr>
          <w:p>
            <w:pPr>
              <w:ind w:firstLine="0"/>
              <w:jc w:val="center"/>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河道保洁方案</w:t>
            </w:r>
            <w:r/>
          </w:p>
        </w:tc>
        <w:tc>
          <w:tcPr>
            <w:tcW w:w="6289" w:type="dxa"/>
            <w:vAlign w:val="center"/>
            <w:textDirection w:val="lrTb"/>
            <w:noWrap w:val="false"/>
          </w:tcPr>
          <w:p>
            <w:pPr>
              <w:ind w:firstLine="42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①</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根据投标人现场踏勘的实际情况、重难点分析、人员配置合理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包括</w:t>
            </w:r>
            <w:r>
              <w:rPr>
                <w:rFonts w:hint="eastAsia" w:ascii="宋体" w:hAnsi="宋体" w:cs="宋体"/>
                <w:color w:val="auto"/>
                <w:szCs w:val="21"/>
                <w:highlight w:val="none"/>
              </w:rPr>
              <w:t xml:space="preserve">自动打捞船</w:t>
            </w:r>
            <w:r>
              <w:rPr>
                <w:rFonts w:hint="eastAsia" w:ascii="宋体" w:hAnsi="宋体" w:cs="宋体"/>
                <w:color w:val="auto"/>
                <w:szCs w:val="21"/>
                <w:highlight w:val="none"/>
                <w:lang w:val="en-US" w:eastAsia="zh-CN"/>
              </w:rPr>
              <w:t xml:space="preserve">驾驶人员及工作人员等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说明、设备配置合理说明、作业时间安排、作业流程设置等内容的科学性、可行性、</w:t>
            </w:r>
            <w:r>
              <w:rPr>
                <w:rFonts w:hint="eastAsia" w:ascii="宋体" w:hAnsi="宋体" w:cs="宋体"/>
                <w:color w:val="auto"/>
                <w:szCs w:val="21"/>
                <w:highlight w:val="none"/>
                <w:lang w:val="en-US" w:eastAsia="zh-CN"/>
              </w:rPr>
              <w:t xml:space="preserve">安全性、</w:t>
            </w:r>
            <w:r>
              <w:rPr>
                <w:rFonts w:hint="eastAsia" w:ascii="宋体" w:hAnsi="宋体" w:cs="宋体"/>
                <w:color w:val="auto"/>
                <w:szCs w:val="21"/>
                <w:highlight w:val="none"/>
              </w:rPr>
              <w:t xml:space="preserve">完整性在1-</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分之间进行评价，未提供或方案内容不全不得分。</w:t>
            </w:r>
            <w:r/>
          </w:p>
          <w:p>
            <w:pPr>
              <w:ind w:firstLine="42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②</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方案中所涉及的自动打捞船为投标人自有且有船舶检验证书的，有1条得1分，最多2分。</w:t>
            </w:r>
            <w:r/>
          </w:p>
        </w:tc>
      </w:tr>
      <w:tr>
        <w:trPr>
          <w:jc w:val="center"/>
          <w:trHeight w:val="1640"/>
        </w:trPr>
        <w:tc>
          <w:tcPr>
            <w:tcW w:w="568"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567"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14" w:type="dxa"/>
            <w:vAlign w:val="center"/>
            <w:textDirection w:val="lrTb"/>
            <w:noWrap w:val="false"/>
          </w:tcPr>
          <w:p>
            <w:pPr>
              <w:ind w:firstLine="0"/>
              <w:jc w:val="center"/>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绿化管护方案</w:t>
            </w:r>
            <w:r/>
          </w:p>
        </w:tc>
        <w:tc>
          <w:tcPr>
            <w:tcW w:w="6289" w:type="dxa"/>
            <w:vAlign w:val="center"/>
            <w:textDirection w:val="lrTb"/>
            <w:noWrap w:val="false"/>
          </w:tcPr>
          <w:p>
            <w:pPr>
              <w:ind w:firstLine="21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根据投标人现场踏勘的实际情况、重难点分析、人员配置合理说明、设备配置合理说明、作业时间安排、作业流程设置等内容的科学性、可行性、完整性在1-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分之间进行评价，</w:t>
            </w:r>
            <w:r>
              <w:rPr>
                <w:rFonts w:hint="eastAsia" w:ascii="宋体" w:hAnsi="宋体" w:cs="宋体"/>
                <w:color w:val="auto"/>
                <w:szCs w:val="21"/>
                <w:highlight w:val="none"/>
                <w:lang w:val="en-US" w:eastAsia="zh-CN"/>
              </w:rPr>
              <w:t xml:space="preserve">未提供或方案</w:t>
            </w:r>
            <w:r>
              <w:rPr>
                <w:rFonts w:hint="eastAsia" w:ascii="宋体" w:hAnsi="宋体" w:cs="宋体"/>
                <w:color w:val="auto"/>
                <w:szCs w:val="21"/>
                <w:highlight w:val="none"/>
              </w:rPr>
              <w:t xml:space="preserve">内容不全不得分。</w:t>
            </w:r>
            <w:r/>
          </w:p>
        </w:tc>
      </w:tr>
      <w:tr>
        <w:trPr>
          <w:jc w:val="center"/>
          <w:trHeight w:val="733"/>
        </w:trPr>
        <w:tc>
          <w:tcPr>
            <w:tcW w:w="568"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567"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14" w:type="dxa"/>
            <w:vAlign w:val="center"/>
            <w:textDirection w:val="lrTb"/>
            <w:noWrap w:val="false"/>
          </w:tcPr>
          <w:p>
            <w:pPr>
              <w:ind w:firstLine="0"/>
              <w:jc w:val="center"/>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公厕保洁方案</w:t>
            </w:r>
            <w:r/>
          </w:p>
        </w:tc>
        <w:tc>
          <w:tcPr>
            <w:tcW w:w="6289" w:type="dxa"/>
            <w:vAlign w:val="center"/>
            <w:textDirection w:val="lrTb"/>
            <w:noWrap w:val="false"/>
          </w:tcPr>
          <w:p>
            <w:pPr>
              <w:ind w:firstLine="21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根据投标人现场踏勘的实际情况、重难点分析、人员配置合理说明、设备配置合理说明、作业时间安排、作业流程设置等内容的科学性、可行性、完整性在1-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分之间进行评价，</w:t>
            </w:r>
            <w:r>
              <w:rPr>
                <w:rFonts w:hint="eastAsia" w:ascii="宋体" w:hAnsi="宋体" w:cs="宋体"/>
                <w:color w:val="auto"/>
                <w:szCs w:val="21"/>
                <w:highlight w:val="none"/>
                <w:lang w:val="en-US" w:eastAsia="zh-CN"/>
              </w:rPr>
              <w:t xml:space="preserve">未提供或方案</w:t>
            </w:r>
            <w:r>
              <w:rPr>
                <w:rFonts w:hint="eastAsia" w:ascii="宋体" w:hAnsi="宋体" w:cs="宋体"/>
                <w:color w:val="auto"/>
                <w:szCs w:val="21"/>
                <w:highlight w:val="none"/>
              </w:rPr>
              <w:t xml:space="preserve">内容不全不得分。</w:t>
            </w:r>
            <w:r/>
          </w:p>
        </w:tc>
      </w:tr>
      <w:tr>
        <w:trPr>
          <w:jc w:val="center"/>
          <w:trHeight w:val="733"/>
        </w:trPr>
        <w:tc>
          <w:tcPr>
            <w:tcW w:w="568"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567"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14" w:type="dxa"/>
            <w:vAlign w:val="center"/>
            <w:textDirection w:val="lrTb"/>
            <w:noWrap w:val="false"/>
          </w:tcPr>
          <w:p>
            <w:pPr>
              <w:ind w:firstLine="0"/>
              <w:jc w:val="center"/>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压缩中转站运营方案</w:t>
            </w:r>
            <w:r/>
          </w:p>
        </w:tc>
        <w:tc>
          <w:tcPr>
            <w:tcW w:w="6289" w:type="dxa"/>
            <w:vAlign w:val="center"/>
            <w:textDirection w:val="lrTb"/>
            <w:noWrap w:val="false"/>
          </w:tcPr>
          <w:p>
            <w:pPr>
              <w:ind w:firstLine="21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rPr>
                <w:rFonts w:hint="eastAsia" w:ascii="宋体" w:hAnsi="宋体" w:cs="宋体"/>
                <w:color w:val="auto"/>
                <w:szCs w:val="21"/>
                <w:highlight w:val="none"/>
              </w:rPr>
              <w:t xml:space="preserve">根据</w:t>
            </w:r>
            <w:r>
              <w:rPr>
                <w:rFonts w:hint="eastAsia" w:ascii="宋体" w:hAnsi="宋体" w:cs="宋体"/>
                <w:color w:val="auto"/>
                <w:szCs w:val="21"/>
                <w:highlight w:val="none"/>
              </w:rPr>
              <w:t xml:space="preserve">投标人现场踏勘的实际情况、重难点分析、人员配置合理说明、设备维护保养说明、作业时间安排、作业流程设置等内容的科学性、可行性、完整性在1-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分之间进行评价，</w:t>
            </w:r>
            <w:r>
              <w:rPr>
                <w:rFonts w:hint="eastAsia" w:ascii="宋体" w:hAnsi="宋体" w:cs="宋体"/>
                <w:color w:val="auto"/>
                <w:szCs w:val="21"/>
                <w:highlight w:val="none"/>
                <w:lang w:val="en-US" w:eastAsia="zh-CN"/>
              </w:rPr>
              <w:t xml:space="preserve">未提供或方案</w:t>
            </w:r>
            <w:r>
              <w:rPr>
                <w:rFonts w:hint="eastAsia" w:ascii="宋体" w:hAnsi="宋体" w:cs="宋体"/>
                <w:color w:val="auto"/>
                <w:szCs w:val="21"/>
                <w:highlight w:val="none"/>
              </w:rPr>
              <w:t xml:space="preserve">内容不全不得分。</w:t>
            </w:r>
            <w:r/>
          </w:p>
        </w:tc>
      </w:tr>
      <w:tr>
        <w:trPr>
          <w:jc w:val="center"/>
          <w:trHeight w:val="733"/>
        </w:trPr>
        <w:tc>
          <w:tcPr>
            <w:tcW w:w="568"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567"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14" w:type="dxa"/>
            <w:vAlign w:val="center"/>
            <w:textDirection w:val="lrTb"/>
            <w:noWrap w:val="false"/>
          </w:tcPr>
          <w:p>
            <w:pPr>
              <w:ind w:firstLine="0"/>
              <w:jc w:val="center"/>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安全文明生产管理方案</w:t>
            </w:r>
            <w:r/>
          </w:p>
        </w:tc>
        <w:tc>
          <w:tcPr>
            <w:tcW w:w="6289" w:type="dxa"/>
            <w:vAlign w:val="center"/>
            <w:textDirection w:val="lrTb"/>
            <w:noWrap w:val="false"/>
          </w:tcPr>
          <w:p>
            <w:pPr>
              <w:ind w:firstLine="21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根据投标人提供的安全管理人员配备说明、安全设备配备说明、安全防范措施、安全预案、安全培训、风险规避、文明作业措施等内容的科学性、完整性在1-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分之间进行评价，</w:t>
            </w:r>
            <w:r>
              <w:rPr>
                <w:rFonts w:hint="eastAsia" w:ascii="宋体" w:hAnsi="宋体" w:cs="宋体"/>
                <w:color w:val="auto"/>
                <w:szCs w:val="21"/>
                <w:highlight w:val="none"/>
                <w:lang w:val="en-US" w:eastAsia="zh-CN"/>
              </w:rPr>
              <w:t xml:space="preserve">未提供或方案</w:t>
            </w:r>
            <w:r>
              <w:rPr>
                <w:rFonts w:hint="eastAsia" w:ascii="宋体" w:hAnsi="宋体" w:cs="宋体"/>
                <w:color w:val="auto"/>
                <w:szCs w:val="21"/>
                <w:highlight w:val="none"/>
              </w:rPr>
              <w:t xml:space="preserve">内容不全不得分。</w:t>
            </w:r>
            <w:r/>
          </w:p>
        </w:tc>
      </w:tr>
      <w:tr>
        <w:trPr>
          <w:jc w:val="center"/>
          <w:trHeight w:val="1444"/>
        </w:trPr>
        <w:tc>
          <w:tcPr>
            <w:tcW w:w="568"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567"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14" w:type="dxa"/>
            <w:vAlign w:val="center"/>
            <w:textDirection w:val="lrTb"/>
            <w:noWrap w:val="false"/>
          </w:tcPr>
          <w:p>
            <w:pPr>
              <w:ind w:firstLine="0"/>
              <w:jc w:val="center"/>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自然灾害（突发应急事件）处置方案</w:t>
            </w:r>
            <w:r/>
          </w:p>
        </w:tc>
        <w:tc>
          <w:tcPr>
            <w:tcW w:w="6289" w:type="dxa"/>
            <w:vAlign w:val="center"/>
            <w:textDirection w:val="lrTb"/>
            <w:noWrap w:val="false"/>
          </w:tcPr>
          <w:p>
            <w:pPr>
              <w:ind w:firstLine="21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根据投标人提供的应急组织架构、应急设备保障、应急处理方案等内容的科学性、完整性在1-</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分之间进行评价，</w:t>
            </w:r>
            <w:r>
              <w:rPr>
                <w:rFonts w:hint="eastAsia" w:ascii="宋体" w:hAnsi="宋体" w:cs="宋体"/>
                <w:color w:val="auto"/>
                <w:szCs w:val="21"/>
                <w:highlight w:val="none"/>
                <w:lang w:val="en-US" w:eastAsia="zh-CN"/>
              </w:rPr>
              <w:t xml:space="preserve">未提供或方案</w:t>
            </w:r>
            <w:r>
              <w:rPr>
                <w:rFonts w:hint="eastAsia" w:ascii="宋体" w:hAnsi="宋体" w:cs="宋体"/>
                <w:color w:val="auto"/>
                <w:szCs w:val="21"/>
                <w:highlight w:val="none"/>
              </w:rPr>
              <w:t xml:space="preserve">内容不全不得分。</w:t>
            </w:r>
            <w:r/>
          </w:p>
        </w:tc>
      </w:tr>
      <w:tr>
        <w:trPr>
          <w:jc w:val="center"/>
          <w:trHeight w:val="1197"/>
        </w:trPr>
        <w:tc>
          <w:tcPr>
            <w:tcW w:w="568"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992"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567" w:type="dxa"/>
            <w:vAlign w:val="center"/>
            <w:vMerge w:val="continue"/>
            <w:textDirection w:val="lrTb"/>
            <w:noWrap w:val="false"/>
          </w:tcPr>
          <w:p>
            <w:pPr>
              <w:ind w:firstLine="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14" w:type="dxa"/>
            <w:vAlign w:val="center"/>
            <w:textDirection w:val="lrTb"/>
            <w:noWrap w:val="false"/>
          </w:tcPr>
          <w:p>
            <w:pPr>
              <w:ind w:firstLine="0"/>
              <w:jc w:val="center"/>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质量保证措施</w:t>
            </w:r>
            <w:r/>
          </w:p>
        </w:tc>
        <w:tc>
          <w:tcPr>
            <w:tcW w:w="6289" w:type="dxa"/>
            <w:vAlign w:val="center"/>
            <w:textDirection w:val="lrTb"/>
            <w:noWrap w:val="false"/>
          </w:tcPr>
          <w:p>
            <w:pPr>
              <w:ind w:firstLine="210"/>
              <w:jc w:val="left"/>
              <w:keepLines w:val="0"/>
              <w:keepNext w:val="0"/>
              <w:pageBreakBefore w:val="0"/>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根据投标人提供的项目运营质量保证措施的科学性、完整性在1-</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分之间进行评价</w:t>
            </w:r>
            <w:bookmarkStart w:id="194" w:name="OLE_LINK4"/>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未提供或方案</w:t>
            </w:r>
            <w:r>
              <w:rPr>
                <w:rFonts w:hint="eastAsia" w:ascii="宋体" w:hAnsi="宋体" w:cs="宋体"/>
                <w:color w:val="auto"/>
                <w:szCs w:val="21"/>
                <w:highlight w:val="none"/>
              </w:rPr>
              <w:t xml:space="preserve">内容不全不得分。</w:t>
            </w:r>
            <w:bookmarkEnd w:id="194"/>
            <w:r/>
            <w:r/>
          </w:p>
        </w:tc>
      </w:tr>
    </w:tbl>
    <w:p>
      <w:pPr>
        <w:pStyle w:val="864"/>
        <w:keepLines w:val="0"/>
        <w:keepNext w:val="0"/>
        <w:pageBreakBefore w:val="0"/>
        <w:spacing w:beforeAutospacing="0" w:afterAutospacing="0" w:line="360" w:lineRule="auto"/>
        <w:widowControl w:val="off"/>
        <w:rPr>
          <w:rFonts w:hint="eastAsia"/>
          <w:color w:val="auto"/>
          <w:highlight w:val="none"/>
        </w:rPr>
      </w:pPr>
      <w:r>
        <w:rPr>
          <w:rFonts w:hint="eastAsia"/>
          <w:color w:val="auto"/>
          <w:highlight w:val="none"/>
        </w:rPr>
        <w:t xml:space="preserve">说明：（1）所有打分项均以供应商所提供的响应文件进行打分，响应文件中未提及的不予认可，响应文件提交的截止时间后不得修改或是补充响应文件。（2）供应商的最终得分为所有评委打分的平均值，计算结果保留至小数点后两位。</w:t>
      </w:r>
      <w:r/>
    </w:p>
    <w:p>
      <w:pPr>
        <w:pStyle w:val="864"/>
        <w:ind w:left="0" w:firstLine="480"/>
        <w:keepLines w:val="0"/>
        <w:keepNext w:val="0"/>
        <w:pageBreakBefore w:val="0"/>
        <w:spacing w:beforeAutospacing="0" w:afterAutospacing="0" w:line="360" w:lineRule="auto"/>
        <w:widowControl w:val="off"/>
        <w:rPr>
          <w:color w:val="auto"/>
          <w:highlight w:val="none"/>
        </w:rPr>
      </w:pPr>
      <w:r>
        <w:rPr>
          <w:color w:val="auto"/>
          <w:highlight w:val="none"/>
        </w:rPr>
      </w:r>
      <w:r/>
    </w:p>
    <w:p>
      <w:pPr>
        <w:pStyle w:val="864"/>
        <w:ind w:left="0" w:firstLine="480"/>
        <w:keepLines w:val="0"/>
        <w:keepNext w:val="0"/>
        <w:pageBreakBefore w:val="0"/>
        <w:spacing w:beforeAutospacing="0" w:afterAutospacing="0" w:line="360" w:lineRule="auto"/>
        <w:widowControl w:val="off"/>
        <w:rPr>
          <w:color w:val="auto"/>
          <w:highlight w:val="none"/>
        </w:rPr>
      </w:pPr>
      <w:r>
        <w:rPr>
          <w:color w:val="auto"/>
          <w:highlight w:val="none"/>
        </w:rPr>
      </w:r>
      <w:r/>
    </w:p>
    <w:p>
      <w:pPr>
        <w:pStyle w:val="864"/>
        <w:ind w:left="0" w:firstLine="480"/>
        <w:keepLines w:val="0"/>
        <w:keepNext w:val="0"/>
        <w:pageBreakBefore w:val="0"/>
        <w:spacing w:beforeAutospacing="0" w:afterAutospacing="0" w:line="360" w:lineRule="auto"/>
        <w:widowControl w:val="off"/>
        <w:rPr>
          <w:color w:val="auto"/>
          <w:highlight w:val="none"/>
        </w:rPr>
      </w:pPr>
      <w:r>
        <w:rPr>
          <w:color w:val="auto"/>
          <w:highlight w:val="none"/>
        </w:rPr>
      </w:r>
      <w:r/>
    </w:p>
    <w:p>
      <w:pPr>
        <w:pStyle w:val="864"/>
        <w:ind w:left="0" w:firstLine="480"/>
        <w:keepLines w:val="0"/>
        <w:keepNext w:val="0"/>
        <w:pageBreakBefore w:val="0"/>
        <w:spacing w:beforeAutospacing="0" w:afterAutospacing="0" w:line="360" w:lineRule="auto"/>
        <w:widowControl w:val="off"/>
        <w:rPr>
          <w:color w:val="auto"/>
          <w:highlight w:val="none"/>
        </w:rPr>
      </w:pPr>
      <w:r>
        <w:rPr>
          <w:color w:val="auto"/>
          <w:highlight w:val="none"/>
        </w:rPr>
      </w:r>
      <w:r/>
    </w:p>
    <w:p>
      <w:pPr>
        <w:pStyle w:val="864"/>
        <w:ind w:left="0" w:firstLine="480"/>
        <w:keepLines w:val="0"/>
        <w:keepNext w:val="0"/>
        <w:pageBreakBefore w:val="0"/>
        <w:spacing w:beforeAutospacing="0" w:afterAutospacing="0" w:line="360" w:lineRule="auto"/>
        <w:widowControl w:val="off"/>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t xml:space="preserve"> </w:t>
      </w:r>
      <w:r/>
    </w:p>
    <w:p>
      <w:pPr>
        <w:pStyle w:val="864"/>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864"/>
        <w:jc w:val="center"/>
        <w:spacing w:beforeAutospacing="0" w:afterAutospacing="0"/>
        <w:rPr>
          <w:rFonts w:hint="eastAsia" w:ascii="宋体" w:hAnsi="宋体" w:eastAsia="宋体" w:cs="宋体"/>
          <w:b/>
          <w:color w:val="auto"/>
          <w:sz w:val="72"/>
          <w:szCs w:val="72"/>
          <w:highlight w:val="none"/>
        </w:rPr>
      </w:pPr>
      <w:r/>
      <w:bookmarkStart w:id="195" w:name="_Toc26554094"/>
      <w:r/>
      <w:bookmarkEnd w:id="195"/>
      <w:r/>
      <w:bookmarkStart w:id="196" w:name="_Hlt26955039"/>
      <w:r/>
      <w:bookmarkEnd w:id="196"/>
      <w:r/>
      <w:bookmarkStart w:id="197" w:name="_Hlt26671244"/>
      <w:r/>
      <w:bookmarkEnd w:id="197"/>
      <w:r/>
      <w:bookmarkStart w:id="198" w:name="_Toc120614282"/>
      <w:r/>
      <w:bookmarkStart w:id="199" w:name="_Toc49090576"/>
      <w:r/>
      <w:r/>
    </w:p>
    <w:p>
      <w:pPr>
        <w:pStyle w:val="86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64"/>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r>
      <w:r/>
    </w:p>
    <w:p>
      <w:pPr>
        <w:pStyle w:val="864"/>
        <w:jc w:val="center"/>
        <w:spacing w:beforeAutospacing="0" w:afterAutospacing="0"/>
        <w:rPr>
          <w:color w:val="auto"/>
          <w:highlight w:val="none"/>
        </w:rPr>
      </w:pPr>
      <w:r>
        <w:rPr>
          <w:color w:val="auto"/>
          <w:highlight w:val="none"/>
        </w:rPr>
      </w:r>
      <w:r/>
    </w:p>
    <w:p>
      <w:pPr>
        <w:pStyle w:val="864"/>
        <w:jc w:val="center"/>
        <w:spacing w:beforeAutospacing="0" w:afterAutospacing="0"/>
        <w:rPr>
          <w:color w:val="auto"/>
          <w:highlight w:val="none"/>
        </w:rPr>
      </w:pPr>
      <w:r>
        <w:rPr>
          <w:color w:val="auto"/>
          <w:highlight w:val="none"/>
        </w:rPr>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r>
      <w:r/>
    </w:p>
    <w:p>
      <w:pPr>
        <w:pStyle w:val="864"/>
        <w:jc w:val="center"/>
        <w:spacing w:beforeAutospacing="0" w:afterAutospacing="0"/>
        <w:rPr>
          <w:color w:val="auto"/>
          <w:highlight w:val="none"/>
        </w:rPr>
      </w:pPr>
      <w:r>
        <w:rPr>
          <w:color w:val="auto"/>
          <w:highlight w:val="none"/>
        </w:rPr>
        <w:t xml:space="preserve"> </w:t>
      </w:r>
      <w:r/>
    </w:p>
    <w:p>
      <w:pPr>
        <w:pStyle w:val="864"/>
        <w:ind w:firstLine="1084"/>
        <w:jc w:val="both"/>
        <w:spacing w:beforeAutospacing="0" w:afterAutospacing="0" w:line="360" w:lineRule="auto"/>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64"/>
        <w:ind w:firstLine="1084"/>
        <w:jc w:val="both"/>
        <w:spacing w:beforeAutospacing="0" w:afterAutospacing="0" w:line="360" w:lineRule="auto"/>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64"/>
        <w:jc w:val="both"/>
        <w:spacing w:beforeAutospacing="0" w:afterAutospacing="0" w:line="360" w:lineRule="auto"/>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864"/>
        <w:jc w:val="both"/>
        <w:spacing w:beforeAutospacing="0" w:afterAutospacing="0" w:line="360" w:lineRule="auto"/>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both"/>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4"/>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4"/>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ind w:left="0" w:firstLine="480"/>
        <w:jc w:val="both"/>
        <w:keepLines w:val="0"/>
        <w:keepNext w:val="0"/>
        <w:pageBreakBefore w:val="0"/>
        <w:spacing w:beforeAutospacing="0" w:afterAutospacing="0" w:line="360" w:lineRule="auto"/>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一、法人或者其他组织的营业执照等证明文件，自然人的身份证明</w:t>
      </w:r>
      <w:r/>
    </w:p>
    <w:p>
      <w:pPr>
        <w:ind w:left="0" w:firstLine="480"/>
        <w:jc w:val="left"/>
        <w:keepLines w:val="0"/>
        <w:keepNext w:val="0"/>
        <w:pageBreakBefore w:val="0"/>
        <w:spacing w:line="360" w:lineRule="auto"/>
        <w:tabs>
          <w:tab w:val="left" w:pos="1331" w:leader="none"/>
        </w:tabs>
        <w:rPr>
          <w:rFonts w:hint="eastAsia" w:ascii="宋体" w:hAnsi="宋体" w:eastAsia="宋体" w:cs="宋体"/>
          <w:i/>
          <w:color w:val="auto"/>
          <w:sz w:val="24"/>
          <w:szCs w:val="24"/>
          <w:highlight w:val="none"/>
          <w:u w:val="single"/>
          <w:lang w:val="en-US" w:eastAsia="zh-CN" w:bidi="ar-SA"/>
        </w:rPr>
      </w:pPr>
      <w:r>
        <w:rPr>
          <w:rFonts w:hint="eastAsia" w:ascii="宋体" w:hAnsi="宋体" w:eastAsia="宋体" w:cs="宋体"/>
          <w:i/>
          <w:color w:val="auto"/>
          <w:sz w:val="24"/>
          <w:szCs w:val="24"/>
          <w:highlight w:val="none"/>
          <w:u w:val="single"/>
          <w:lang w:val="en-US" w:eastAsia="zh-CN" w:bidi="ar-SA"/>
        </w:rPr>
        <w:t xml:space="preserve">二、上一年度的财务状况报表（</w:t>
      </w:r>
      <w:r>
        <w:rPr>
          <w:rFonts w:hint="eastAsia" w:ascii="宋体" w:hAnsi="宋体" w:eastAsia="宋体" w:cs="宋体"/>
          <w:i/>
          <w:color w:val="auto"/>
          <w:sz w:val="24"/>
          <w:szCs w:val="24"/>
          <w:highlight w:val="none"/>
          <w:u w:val="single"/>
          <w:lang w:val="en-US" w:eastAsia="zh-CN" w:bidi="ar-SA"/>
        </w:rPr>
        <w:t xml:space="preserve">至少提供资产负债表、利润表、现金流量表，</w:t>
      </w:r>
      <w:r/>
    </w:p>
    <w:p>
      <w:pPr>
        <w:pStyle w:val="864"/>
        <w:ind w:left="0" w:firstLine="480"/>
        <w:jc w:val="both"/>
        <w:keepLines w:val="0"/>
        <w:keepNext w:val="0"/>
        <w:pageBreakBefore w:val="0"/>
        <w:spacing w:beforeAutospacing="0" w:afterAutospacing="0" w:line="360" w:lineRule="auto"/>
        <w:rPr>
          <w:rFonts w:hint="eastAsia" w:ascii="宋体" w:hAnsi="宋体" w:eastAsia="宋体" w:cs="宋体"/>
          <w:i/>
          <w:color w:val="auto"/>
          <w:sz w:val="24"/>
          <w:szCs w:val="24"/>
          <w:highlight w:val="none"/>
          <w:u w:val="single"/>
          <w:lang w:val="en-US" w:eastAsia="zh-CN" w:bidi="ar-SA"/>
        </w:rPr>
      </w:pPr>
      <w:r>
        <w:rPr>
          <w:rFonts w:hint="eastAsia" w:ascii="宋体" w:hAnsi="宋体" w:eastAsia="宋体" w:cs="宋体"/>
          <w:i/>
          <w:color w:val="auto"/>
          <w:sz w:val="24"/>
          <w:szCs w:val="24"/>
          <w:highlight w:val="none"/>
          <w:u w:val="single"/>
          <w:lang w:val="en-US" w:eastAsia="zh-CN" w:bidi="ar-SA"/>
        </w:rPr>
        <w:t xml:space="preserve">投标人成立不满一年无需提供）</w:t>
      </w:r>
      <w:r/>
    </w:p>
    <w:p>
      <w:pPr>
        <w:pStyle w:val="864"/>
        <w:ind w:left="0" w:firstLine="480"/>
        <w:jc w:val="both"/>
        <w:keepLines w:val="0"/>
        <w:keepNext w:val="0"/>
        <w:pageBreakBefore w:val="0"/>
        <w:spacing w:beforeAutospacing="0" w:afterAutospacing="0"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lang w:val="en-US" w:eastAsia="zh-CN"/>
        </w:rPr>
        <w:t xml:space="preserve">三</w:t>
      </w:r>
      <w:r>
        <w:rPr>
          <w:rFonts w:hint="eastAsia" w:ascii="宋体" w:hAnsi="宋体" w:eastAsia="宋体" w:cs="宋体"/>
          <w:i/>
          <w:color w:val="auto"/>
          <w:highlight w:val="none"/>
          <w:u w:val="single"/>
        </w:rPr>
        <w:t xml:space="preserve">、具备履行合同所必需的设备和专业技术能力的书面声明</w:t>
      </w:r>
      <w:r/>
    </w:p>
    <w:p>
      <w:pPr>
        <w:pStyle w:val="864"/>
        <w:ind w:left="0" w:firstLine="480"/>
        <w:jc w:val="both"/>
        <w:keepLines w:val="0"/>
        <w:keepNext w:val="0"/>
        <w:pageBreakBefore w:val="0"/>
        <w:spacing w:beforeAutospacing="0" w:afterAutospacing="0"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lang w:val="en-US" w:eastAsia="zh-CN"/>
        </w:rPr>
        <w:t xml:space="preserve">四</w:t>
      </w:r>
      <w:r>
        <w:rPr>
          <w:rFonts w:hint="eastAsia" w:ascii="宋体" w:hAnsi="宋体" w:eastAsia="宋体" w:cs="宋体"/>
          <w:i/>
          <w:color w:val="auto"/>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4"/>
        <w:ind w:left="0" w:firstLine="480"/>
        <w:jc w:val="both"/>
        <w:keepLines w:val="0"/>
        <w:keepNext w:val="0"/>
        <w:pageBreakBefore w:val="0"/>
        <w:spacing w:beforeAutospacing="0" w:afterAutospacing="0" w:line="360" w:lineRule="auto"/>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五、参加政府采购活动前 3 年内在经营活动中没有重大违法记录的书面声明</w:t>
      </w:r>
      <w:r/>
    </w:p>
    <w:p>
      <w:pPr>
        <w:pStyle w:val="864"/>
        <w:ind w:left="0" w:firstLine="480"/>
        <w:jc w:val="both"/>
        <w:keepLines w:val="0"/>
        <w:keepNext w:val="0"/>
        <w:pageBreakBefore w:val="0"/>
        <w:spacing w:beforeAutospacing="0" w:afterAutospacing="0" w:line="360" w:lineRule="auto"/>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六、特定资格要求的证明文件（如果本项目设置特定资格要求，则需要提供）</w:t>
      </w:r>
      <w:r/>
    </w:p>
    <w:p>
      <w:pPr>
        <w:pStyle w:val="864"/>
        <w:ind w:left="0" w:firstLine="480"/>
        <w:jc w:val="both"/>
        <w:keepLines w:val="0"/>
        <w:keepNext w:val="0"/>
        <w:pageBreakBefore w:val="0"/>
        <w:spacing w:beforeAutospacing="0" w:afterAutospacing="0" w:line="360" w:lineRule="auto"/>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七、法人授权书</w:t>
      </w:r>
      <w:r/>
    </w:p>
    <w:p>
      <w:pPr>
        <w:pStyle w:val="864"/>
        <w:ind w:left="0" w:firstLine="480"/>
        <w:jc w:val="both"/>
        <w:keepLines w:val="0"/>
        <w:keepNext w:val="0"/>
        <w:pageBreakBefore w:val="0"/>
        <w:spacing w:beforeAutospacing="0" w:afterAutospacing="0" w:line="360" w:lineRule="auto"/>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八、投标函</w:t>
      </w:r>
      <w:r/>
    </w:p>
    <w:p>
      <w:pPr>
        <w:pStyle w:val="864"/>
        <w:ind w:left="0"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九、中小企业声明函</w:t>
      </w:r>
      <w:r/>
    </w:p>
    <w:p>
      <w:pPr>
        <w:pStyle w:val="864"/>
        <w:ind w:left="0"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十、残疾人福利性单位声明函</w:t>
      </w:r>
      <w:r/>
    </w:p>
    <w:p>
      <w:pPr>
        <w:pStyle w:val="864"/>
        <w:ind w:left="0"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十一、技术要求响应及偏离表</w:t>
      </w:r>
      <w:r/>
    </w:p>
    <w:p>
      <w:pPr>
        <w:pStyle w:val="864"/>
        <w:ind w:left="0"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十二、商务要求响应及偏离表</w:t>
      </w:r>
      <w:r/>
    </w:p>
    <w:p>
      <w:pPr>
        <w:pStyle w:val="864"/>
        <w:ind w:left="0"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十三、</w:t>
      </w:r>
      <w:r>
        <w:rPr>
          <w:rFonts w:hint="eastAsia" w:ascii="宋体" w:hAnsi="宋体" w:eastAsia="宋体" w:cs="宋体"/>
          <w:i/>
          <w:color w:val="auto"/>
          <w:highlight w:val="none"/>
          <w:u w:val="single"/>
        </w:rPr>
        <w:t xml:space="preserve">开标一览表</w:t>
      </w:r>
      <w:r/>
    </w:p>
    <w:p>
      <w:pPr>
        <w:pStyle w:val="864"/>
        <w:ind w:left="0"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十四、</w:t>
      </w:r>
      <w:r>
        <w:rPr>
          <w:rFonts w:hint="eastAsia" w:ascii="宋体" w:hAnsi="宋体" w:eastAsia="宋体" w:cs="宋体"/>
          <w:i/>
          <w:color w:val="auto"/>
          <w:highlight w:val="none"/>
          <w:u w:val="single"/>
          <w:lang w:val="en-US" w:eastAsia="zh-CN"/>
        </w:rPr>
        <w:t xml:space="preserve">报价明细表</w:t>
      </w:r>
      <w:r/>
    </w:p>
    <w:p>
      <w:pPr>
        <w:ind w:left="0" w:firstLine="480"/>
        <w:keepLines w:val="0"/>
        <w:keepNext w:val="0"/>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、技术方案、服务承诺、培训承诺等</w:t>
      </w:r>
      <w:r/>
    </w:p>
    <w:p>
      <w:pPr>
        <w:pStyle w:val="864"/>
        <w:ind w:left="0"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、盐城市政府采购事前信用承诺书</w:t>
      </w:r>
      <w:r/>
    </w:p>
    <w:p>
      <w:pPr>
        <w:pStyle w:val="864"/>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64"/>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rPr>
        <w:t xml:space="preserve">表</w:t>
      </w:r>
      <w:r/>
    </w:p>
    <w:p>
      <w:pPr>
        <w:pStyle w:val="86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投标人成立不满一年不需提供</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64"/>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64"/>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4"/>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864"/>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64"/>
        <w:ind w:firstLine="480"/>
        <w:jc w:val="both"/>
        <w:spacing w:beforeAutospacing="0" w:afterAutospacing="0"/>
        <w:rPr>
          <w:color w:val="auto"/>
          <w:highlight w:val="none"/>
        </w:rPr>
      </w:pPr>
      <w:r/>
      <w:bookmarkStart w:id="200"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200"/>
      <w:r/>
      <w:r/>
    </w:p>
    <w:p>
      <w:pPr>
        <w:pStyle w:val="864"/>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4"/>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64"/>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864"/>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64"/>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64"/>
        <w:jc w:val="both"/>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4"/>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4"/>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4"/>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ind w:firstLine="480"/>
        <w:rPr>
          <w:rFonts w:ascii="宋体" w:hAnsi="宋体" w:eastAsia="宋体" w:cs="宋体"/>
          <w:color w:val="auto"/>
          <w:sz w:val="24"/>
          <w:highlight w:val="none"/>
        </w:rPr>
      </w:pPr>
      <w:r/>
      <w:bookmarkStart w:id="201" w:name="_Hlt26955070"/>
      <w:r/>
      <w:bookmarkStart w:id="202" w:name="_格式3__银行出具的资信证明"/>
      <w:r/>
      <w:bookmarkStart w:id="203" w:name="_Hlt26671380"/>
      <w:r/>
      <w:r/>
    </w:p>
    <w:p>
      <w:pPr>
        <w:ind w:firstLine="480"/>
        <w:spacing w:line="48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本授权书声明：我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（投标人名称）        </w:t>
      </w:r>
      <w:r>
        <w:rPr>
          <w:rFonts w:hint="eastAsia" w:ascii="宋体" w:hAnsi="宋体" w:eastAsia="宋体" w:cs="宋体"/>
          <w:color w:val="auto"/>
          <w:sz w:val="24"/>
          <w:highlight w:val="none"/>
        </w:rPr>
        <w:t xml:space="preserve"> 的法定代表人，现授权____________（投标人名称）的________________（被授权人的姓名）为我单位就JSZC-</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号项目的投标文件的法定代表人授权委托代理，，我承认被授权人全权代表我所签署的本项目的投标文件的内容。以本单位名义全权处理一切与该项目采购有关的事务。</w:t>
      </w:r>
      <w:r/>
    </w:p>
    <w:p>
      <w:pPr>
        <w:pStyle w:val="872"/>
        <w:ind w:firstLine="480"/>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872"/>
        <w:ind w:firstLine="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72"/>
        <w:ind w:firstLine="1200"/>
        <w:spacing w:line="480" w:lineRule="auto"/>
        <w:rPr>
          <w:rFonts w:ascii="宋体" w:hAnsi="宋体" w:eastAsia="宋体" w:cs="宋体"/>
          <w:color w:val="auto"/>
          <w:sz w:val="24"/>
          <w:szCs w:val="24"/>
          <w:highlight w:val="none"/>
          <w:u w:val="single"/>
        </w:rPr>
      </w:pPr>
      <w:r>
        <w:rPr>
          <w:rFonts w:hint="eastAsia" w:ascii="宋体" w:hAnsi="宋体" w:eastAsia="宋体" w:cs="宋体"/>
          <w:color w:val="auto"/>
          <w:sz w:val="24"/>
          <w:highlight w:val="none"/>
        </w:rPr>
        <w:t xml:space="preserve">代理人</w:t>
      </w: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872"/>
        <w:ind w:firstLine="0"/>
        <w:spacing w:line="48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872"/>
        <w:ind w:firstLine="1200"/>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872"/>
        <w:ind w:firstLine="480"/>
        <w:spacing w:line="48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872"/>
        <w:ind w:firstLine="480"/>
        <w:spacing w:line="480" w:lineRule="auto"/>
        <w:rPr>
          <w:rFonts w:ascii="宋体" w:hAnsi="宋体" w:eastAsia="宋体" w:cs="宋体"/>
          <w:color w:val="auto"/>
          <w:sz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rPr>
        <w:t xml:space="preserve">（加盖CA电子公章）</w:t>
      </w:r>
      <w:r/>
    </w:p>
    <w:p>
      <w:pPr>
        <w:pStyle w:val="872"/>
        <w:ind w:firstLine="1200"/>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jc w:val="left"/>
        <w:spacing w:line="48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（附：被授权人身份证正反面复印件或扫描件）</w:t>
      </w:r>
      <w:r/>
    </w:p>
    <w:p>
      <w:pPr>
        <w:pStyle w:val="858"/>
        <w:spacing w:line="480" w:lineRule="auto"/>
        <w:rPr>
          <w:rFonts w:ascii="宋体" w:hAnsi="宋体" w:eastAsia="宋体" w:cs="宋体"/>
          <w:i/>
          <w:color w:val="auto"/>
          <w:sz w:val="24"/>
          <w:highlight w:val="none"/>
          <w:u w:val="single"/>
        </w:rPr>
      </w:pPr>
      <w:r>
        <w:rPr>
          <w:rFonts w:ascii="宋体" w:hAnsi="宋体" w:eastAsia="宋体" w:cs="宋体"/>
          <w:i/>
          <w:color w:val="auto"/>
          <w:sz w:val="24"/>
          <w:highlight w:val="none"/>
          <w:u w:val="single"/>
        </w:rPr>
      </w:r>
      <w:r/>
    </w:p>
    <w:p>
      <w:pPr>
        <w:spacing w:line="48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rPr>
          <w:rFonts w:hint="eastAsia" w:ascii="宋体" w:hAnsi="宋体" w:eastAsia="宋体" w:cs="宋体"/>
          <w:color w:val="auto"/>
          <w:sz w:val="24"/>
          <w:highlight w:val="none"/>
        </w:rPr>
        <w:t xml:space="preserve">被授权人须为本单位正式职工并提供投标人为被授权人缴纳的社会养老保险证明。</w:t>
      </w:r>
      <w:r/>
    </w:p>
    <w:p>
      <w:pPr>
        <w:pStyle w:val="864"/>
        <w:ind w:firstLine="420"/>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八、投标函</w:t>
      </w:r>
      <w:r/>
    </w:p>
    <w:p>
      <w:pPr>
        <w:pStyle w:val="86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4"/>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东台市富安镇人民政府</w:t>
      </w:r>
      <w:r/>
    </w:p>
    <w:p>
      <w:pPr>
        <w:pStyle w:val="86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eastAsia="zh-CN"/>
        </w:rPr>
        <w:t xml:space="preserve">JSZC-320981-HJGC-G2024-0010</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86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6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86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6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6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6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6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6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864"/>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86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86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86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86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86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86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864"/>
        <w:ind w:firstLine="240"/>
        <w:jc w:val="center"/>
        <w:spacing w:beforeAutospacing="0" w:afterAutospacing="0" w:line="0" w:lineRule="atLeast"/>
        <w:rPr>
          <w:color w:val="auto"/>
          <w:highlight w:val="none"/>
        </w:rPr>
      </w:pPr>
      <w:r>
        <w:rPr>
          <w:color w:val="auto"/>
          <w:highlight w:val="none"/>
        </w:rPr>
        <w:t xml:space="preserve"> </w:t>
      </w:r>
      <w:r/>
    </w:p>
    <w:p>
      <w:pPr>
        <w:pStyle w:val="864"/>
        <w:ind w:firstLine="240"/>
        <w:jc w:val="center"/>
        <w:spacing w:beforeAutospacing="0" w:afterAutospacing="0" w:line="0" w:lineRule="atLeast"/>
        <w:rPr>
          <w:color w:val="auto"/>
          <w:highlight w:val="none"/>
        </w:rPr>
      </w:pPr>
      <w:r>
        <w:rPr>
          <w:color w:val="auto"/>
          <w:highlight w:val="none"/>
        </w:rPr>
        <w:t xml:space="preserve"> </w:t>
      </w:r>
      <w:r/>
    </w:p>
    <w:p>
      <w:pPr>
        <w:pStyle w:val="864"/>
        <w:ind w:firstLine="240"/>
        <w:jc w:val="center"/>
        <w:spacing w:beforeAutospacing="0" w:afterAutospacing="0" w:line="0" w:lineRule="atLeast"/>
        <w:rPr>
          <w:color w:val="auto"/>
          <w:highlight w:val="none"/>
        </w:rPr>
      </w:pPr>
      <w:r>
        <w:rPr>
          <w:color w:val="auto"/>
          <w:highlight w:val="none"/>
        </w:rPr>
        <w:t xml:space="preserve"> </w:t>
      </w:r>
      <w:r/>
    </w:p>
    <w:p>
      <w:pPr>
        <w:pStyle w:val="864"/>
        <w:ind w:firstLine="240"/>
        <w:jc w:val="center"/>
        <w:spacing w:beforeAutospacing="0" w:afterAutospacing="0" w:line="0" w:lineRule="atLeast"/>
        <w:rPr>
          <w:color w:val="auto"/>
          <w:highlight w:val="none"/>
        </w:rPr>
      </w:pPr>
      <w:r>
        <w:rPr>
          <w:color w:val="auto"/>
          <w:highlight w:val="none"/>
        </w:rPr>
        <w:t xml:space="preserve"> </w:t>
      </w:r>
      <w:r/>
    </w:p>
    <w:p>
      <w:pPr>
        <w:pStyle w:val="864"/>
        <w:ind w:firstLine="240"/>
        <w:jc w:val="center"/>
        <w:spacing w:beforeAutospacing="0" w:afterAutospacing="0" w:line="0" w:lineRule="atLeast"/>
        <w:rPr>
          <w:color w:val="auto"/>
          <w:highlight w:val="none"/>
        </w:rPr>
      </w:pPr>
      <w:r>
        <w:rPr>
          <w:color w:val="auto"/>
          <w:highlight w:val="none"/>
        </w:rPr>
        <w:t xml:space="preserve"> </w:t>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九、中小企业声明函（服务）</w:t>
      </w:r>
      <w:r/>
    </w:p>
    <w:p>
      <w:pPr>
        <w:pStyle w:val="864"/>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lang w:eastAsia="zh-CN"/>
        </w:rPr>
        <w:t xml:space="preserve">东台市富安镇人民政府</w:t>
      </w:r>
      <w:r>
        <w:rPr>
          <w:rFonts w:hint="eastAsia" w:ascii="宋体" w:hAnsi="宋体" w:eastAsia="宋体" w:cs="宋体"/>
          <w:color w:val="auto"/>
          <w:highlight w:val="none"/>
        </w:rPr>
        <w:t xml:space="preserve">组织的采购编号为</w:t>
      </w:r>
      <w:r>
        <w:rPr>
          <w:rFonts w:hint="eastAsia" w:ascii="宋体" w:hAnsi="宋体" w:eastAsia="宋体" w:cs="宋体"/>
          <w:color w:val="auto"/>
          <w:sz w:val="24"/>
          <w:szCs w:val="24"/>
          <w:highlight w:val="none"/>
          <w:u w:val="single"/>
          <w:lang w:eastAsia="zh-CN"/>
        </w:rPr>
        <w:t xml:space="preserve">JSZC-320981-HJGC-G2024-0010</w:t>
      </w:r>
      <w:r>
        <w:rPr>
          <w:rFonts w:hint="eastAsia" w:ascii="宋体" w:hAnsi="宋体" w:eastAsia="宋体" w:cs="宋体"/>
          <w:color w:val="auto"/>
          <w:highlight w:val="none"/>
        </w:rPr>
        <w:t xml:space="preserve">，</w:t>
      </w:r>
      <w:r>
        <w:rPr>
          <w:rFonts w:hint="eastAsia" w:ascii="宋体" w:hAnsi="宋体" w:eastAsia="宋体" w:cs="宋体"/>
          <w:color w:val="auto"/>
          <w:sz w:val="24"/>
          <w:szCs w:val="24"/>
          <w:highlight w:val="none"/>
          <w:u w:val="single"/>
        </w:rPr>
        <w:t xml:space="preserve">东台市富安镇农村人居环境“六位一体”长效管护项目</w:t>
      </w:r>
      <w:r>
        <w:rPr>
          <w:rFonts w:hint="eastAsia" w:ascii="宋体" w:hAnsi="宋体" w:eastAsia="宋体" w:cs="宋体"/>
          <w:color w:val="auto"/>
          <w:highlight w:val="none"/>
          <w:u w:val="single"/>
        </w:rPr>
        <w:t xml:space="preserve">（分包号：</w:t>
      </w:r>
      <w:r>
        <w:rPr>
          <w:rFonts w:hint="eastAsia" w:ascii="宋体" w:hAnsi="宋体" w:eastAsia="宋体" w:cs="宋体"/>
          <w:color w:val="auto"/>
          <w:sz w:val="24"/>
          <w:szCs w:val="24"/>
          <w:highlight w:val="none"/>
          <w:u w:val="single"/>
          <w:lang w:eastAsia="zh-CN"/>
        </w:rPr>
        <w:t xml:space="preserve">JSZC-320981-HJGC-G2024-0010</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4"/>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（小型企业、微型企业）；</w:t>
      </w:r>
      <w:r/>
    </w:p>
    <w:p>
      <w:pPr>
        <w:pStyle w:val="864"/>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（小型企业、微型企业）；</w:t>
      </w:r>
      <w:r/>
    </w:p>
    <w:p>
      <w:pPr>
        <w:pStyle w:val="864"/>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p>
      <w:pPr>
        <w:pStyle w:val="864"/>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864"/>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864"/>
        <w:ind w:right="720"/>
        <w:jc w:val="both"/>
        <w:spacing w:beforeAutospacing="0" w:afterAutospacing="0" w:line="0" w:lineRule="atLeast"/>
        <w:rPr>
          <w:color w:val="auto"/>
          <w:highlight w:val="none"/>
        </w:rPr>
      </w:pPr>
      <w:r>
        <w:rPr>
          <w:color w:val="auto"/>
          <w:highlight w:val="none"/>
        </w:rPr>
        <w:t xml:space="preserve"> </w:t>
      </w:r>
      <w:r/>
    </w:p>
    <w:p>
      <w:pPr>
        <w:pStyle w:val="864"/>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64"/>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64"/>
        <w:ind w:firstLine="240"/>
        <w:jc w:val="both"/>
        <w:spacing w:beforeAutospacing="0" w:afterAutospacing="0" w:line="0" w:lineRule="atLeast"/>
        <w:rPr>
          <w:color w:val="auto"/>
          <w:highlight w:val="none"/>
        </w:rPr>
      </w:pPr>
      <w:r>
        <w:rPr>
          <w:color w:val="auto"/>
          <w:highlight w:val="none"/>
        </w:rPr>
        <w:t xml:space="preserve"> </w:t>
      </w:r>
      <w:r/>
    </w:p>
    <w:p>
      <w:pPr>
        <w:pStyle w:val="86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6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64"/>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w:t>
      </w:r>
      <w:r/>
    </w:p>
    <w:p>
      <w:pPr>
        <w:pStyle w:val="864"/>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auto"/>
          <w:highlight w:val="none"/>
          <w:u w:val="single"/>
          <w:lang w:eastAsia="zh-CN"/>
        </w:rPr>
        <w:t xml:space="preserve">东台市富安镇人民政府</w:t>
      </w:r>
      <w:r>
        <w:rPr>
          <w:rFonts w:hint="eastAsia" w:ascii="宋体" w:hAnsi="宋体" w:eastAsia="宋体" w:cs="宋体"/>
          <w:color w:val="auto"/>
          <w:highlight w:val="none"/>
        </w:rPr>
        <w:t xml:space="preserve">单位的采购文件编号为</w:t>
      </w:r>
      <w:r>
        <w:rPr>
          <w:rFonts w:hint="eastAsia" w:ascii="宋体" w:hAnsi="宋体" w:eastAsia="宋体" w:cs="宋体"/>
          <w:color w:val="auto"/>
          <w:sz w:val="24"/>
          <w:szCs w:val="24"/>
          <w:highlight w:val="none"/>
          <w:u w:val="single"/>
          <w:lang w:eastAsia="zh-CN"/>
        </w:rPr>
        <w:t xml:space="preserve">JSZC-320981-HJGC-G2024-0010</w:t>
      </w:r>
      <w:r>
        <w:rPr>
          <w:rFonts w:hint="eastAsia" w:ascii="宋体" w:hAnsi="宋体" w:eastAsia="宋体" w:cs="宋体"/>
          <w:color w:val="auto"/>
          <w:highlight w:val="none"/>
        </w:rPr>
        <w:t xml:space="preserve">的</w:t>
      </w:r>
      <w:r>
        <w:rPr>
          <w:rFonts w:hint="eastAsia" w:ascii="宋体" w:hAnsi="宋体" w:eastAsia="宋体" w:cs="宋体"/>
          <w:color w:val="auto"/>
          <w:sz w:val="24"/>
          <w:szCs w:val="24"/>
          <w:highlight w:val="none"/>
          <w:u w:val="single"/>
        </w:rPr>
        <w:t xml:space="preserve">东台市富安镇农村人居环境“六位一体”长效管护项目</w:t>
      </w:r>
      <w:r>
        <w:rPr>
          <w:rFonts w:hint="eastAsia" w:ascii="宋体" w:hAnsi="宋体" w:eastAsia="宋体" w:cs="宋体"/>
          <w:color w:val="auto"/>
          <w:highlight w:val="none"/>
        </w:rPr>
        <w:t xml:space="preserve">项目采购活动由本单位提供服务。</w:t>
      </w:r>
      <w:r/>
    </w:p>
    <w:p>
      <w:pPr>
        <w:pStyle w:val="864"/>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64"/>
        <w:ind w:firstLine="480"/>
        <w:jc w:val="both"/>
        <w:spacing w:beforeAutospacing="0" w:afterAutospacing="0" w:line="360" w:lineRule="auto"/>
        <w:rPr>
          <w:color w:val="auto"/>
          <w:highlight w:val="none"/>
        </w:rPr>
      </w:pPr>
      <w:r>
        <w:rPr>
          <w:color w:val="auto"/>
          <w:highlight w:val="none"/>
        </w:rPr>
        <w:t xml:space="preserve"> </w:t>
      </w:r>
      <w:r/>
    </w:p>
    <w:p>
      <w:pPr>
        <w:pStyle w:val="864"/>
        <w:ind w:firstLine="480"/>
        <w:jc w:val="both"/>
        <w:spacing w:beforeAutospacing="0" w:afterAutospacing="0" w:line="360" w:lineRule="auto"/>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864"/>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864"/>
        <w:ind w:firstLine="624"/>
        <w:jc w:val="both"/>
        <w:spacing w:beforeAutospacing="0" w:afterAutospacing="0" w:line="0" w:lineRule="atLeast"/>
        <w:rPr>
          <w:color w:val="auto"/>
          <w:highlight w:val="none"/>
        </w:rPr>
      </w:pPr>
      <w:r>
        <w:rPr>
          <w:color w:val="auto"/>
          <w:highlight w:val="none"/>
        </w:rPr>
        <w:t xml:space="preserve"> </w:t>
      </w:r>
      <w:r/>
    </w:p>
    <w:p>
      <w:pPr>
        <w:pStyle w:val="864"/>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6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4"/>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rPr>
          <w:color w:val="auto"/>
          <w:highlight w:val="none"/>
        </w:rPr>
      </w:pPr>
      <w:r>
        <w:rPr>
          <w:rFonts w:hint="eastAsia" w:ascii="黑体" w:hAnsi="宋体" w:eastAsia="黑体" w:cs="黑体"/>
          <w:b/>
          <w:color w:val="auto"/>
          <w:sz w:val="32"/>
          <w:szCs w:val="32"/>
          <w:highlight w:val="none"/>
          <w:lang w:val="en-US" w:eastAsia="zh-CN"/>
        </w:rPr>
        <w:t xml:space="preserve">十一</w:t>
      </w:r>
      <w:r>
        <w:rPr>
          <w:rFonts w:hint="eastAsia" w:ascii="黑体" w:hAnsi="宋体" w:eastAsia="黑体" w:cs="黑体"/>
          <w:b/>
          <w:color w:val="auto"/>
          <w:sz w:val="32"/>
          <w:szCs w:val="32"/>
          <w:highlight w:val="none"/>
        </w:rPr>
        <w:t xml:space="preserve">、技术要求响应及偏离表</w:t>
      </w:r>
      <w:r/>
    </w:p>
    <w:tbl>
      <w:tblPr>
        <w:tblStyle w:val="85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bl>
    <w:p>
      <w:pPr>
        <w:pStyle w:val="864"/>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bookmarkStart w:id="204"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、商务要求响应及偏离表</w:t>
      </w:r>
      <w:r/>
    </w:p>
    <w:tbl>
      <w:tblPr>
        <w:tblStyle w:val="857"/>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color w:val="auto"/>
                <w:highlight w:val="none"/>
              </w:rPr>
            </w:pPr>
            <w:r/>
            <w:bookmarkStart w:id="205" w:name="_Hlt26671343"/>
            <w:r/>
            <w:bookmarkStart w:id="206" w:name="_Hlt26671372"/>
            <w:r/>
            <w:bookmarkStart w:id="207" w:name="_Hlt26609391"/>
            <w:r/>
            <w:bookmarkStart w:id="208" w:name="_Hlt26955056"/>
            <w:r/>
            <w:bookmarkStart w:id="209" w:name="_Hlt26955064"/>
            <w:r/>
            <w:bookmarkStart w:id="210" w:name="_Hlt26782999"/>
            <w:r/>
            <w:bookmarkStart w:id="211" w:name="_Hlt26580838"/>
            <w:r/>
            <w:bookmarkStart w:id="212" w:name="_Hlt24879081"/>
            <w:r>
              <w:rPr>
                <w:rFonts w:hint="eastAsia" w:ascii="宋体" w:hAnsi="宋体" w:eastAsia="宋体" w:cs="宋体"/>
                <w:color w:val="auto"/>
                <w:highlight w:val="none"/>
              </w:rPr>
              <w:t xml:space="preserve">序号</w:t>
            </w:r>
            <w:bookmarkEnd w:id="205"/>
            <w:r/>
            <w:bookmarkEnd w:id="206"/>
            <w:r/>
            <w:bookmarkEnd w:id="207"/>
            <w:r/>
            <w:bookmarkEnd w:id="208"/>
            <w:r/>
            <w:bookmarkEnd w:id="209"/>
            <w:r/>
            <w:bookmarkEnd w:id="210"/>
            <w:r/>
            <w:bookmarkEnd w:id="211"/>
            <w:r/>
            <w:bookmarkEnd w:id="212"/>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bl>
    <w:p>
      <w:pPr>
        <w:pStyle w:val="864"/>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64"/>
        <w:jc w:val="both"/>
        <w:spacing w:beforeAutospacing="0" w:afterAutospacing="0" w:line="480" w:lineRule="auto"/>
        <w:rPr>
          <w:color w:val="auto"/>
          <w:highlight w:val="none"/>
        </w:rPr>
      </w:pPr>
      <w:r>
        <w:rPr>
          <w:color w:val="auto"/>
          <w:highlight w:val="none"/>
        </w:rPr>
        <w:t xml:space="preserve"> </w:t>
      </w:r>
      <w:r/>
    </w:p>
    <w:p>
      <w:pPr>
        <w:pStyle w:val="864"/>
        <w:jc w:val="both"/>
        <w:spacing w:beforeAutospacing="0" w:afterAutospacing="0" w:line="480" w:lineRule="auto"/>
        <w:rPr>
          <w:color w:val="auto"/>
          <w:highlight w:val="none"/>
        </w:rPr>
      </w:pPr>
      <w:r>
        <w:rPr>
          <w:color w:val="auto"/>
          <w:highlight w:val="none"/>
        </w:rPr>
        <w:t xml:space="preserve"> </w:t>
      </w:r>
      <w:r/>
    </w:p>
    <w:p>
      <w:pPr>
        <w:pStyle w:val="864"/>
        <w:jc w:val="center"/>
        <w:spacing w:beforeAutospacing="0" w:afterAutospacing="0"/>
        <w:rPr>
          <w:color w:val="auto"/>
          <w:highlight w:val="none"/>
        </w:rPr>
      </w:pPr>
      <w:r/>
      <w:bookmarkStart w:id="213" w:name="_Hlt26955066"/>
      <w:r/>
      <w:bookmarkStart w:id="214" w:name="_格式2__法定代表人授权书"/>
      <w:r/>
      <w:bookmarkStart w:id="215" w:name="_Toc462564146"/>
      <w:r/>
      <w:bookmarkStart w:id="216" w:name="_Hlt26609389"/>
      <w:r/>
      <w:bookmarkStart w:id="217" w:name="_Hlt26671374"/>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三</w:t>
      </w:r>
      <w:r>
        <w:rPr>
          <w:rFonts w:hint="eastAsia" w:ascii="黑体" w:hAnsi="宋体" w:eastAsia="黑体" w:cs="黑体"/>
          <w:b/>
          <w:i/>
          <w:color w:val="auto"/>
          <w:sz w:val="32"/>
          <w:szCs w:val="32"/>
          <w:highlight w:val="none"/>
          <w:u w:val="single"/>
        </w:rPr>
        <w:t xml:space="preserve">、开标一览表</w:t>
      </w:r>
      <w:r/>
    </w:p>
    <w:p>
      <w:pPr>
        <w:pStyle w:val="864"/>
        <w:ind w:firstLine="480"/>
        <w:jc w:val="both"/>
        <w:spacing w:beforeAutospacing="0" w:afterAutospacing="0"/>
        <w:rPr>
          <w:color w:val="auto"/>
          <w:highlight w:val="none"/>
        </w:rPr>
      </w:pPr>
      <w:r>
        <w:rPr>
          <w:color w:val="auto"/>
          <w:highlight w:val="none"/>
        </w:rPr>
      </w:r>
      <w:r/>
    </w:p>
    <w:tbl>
      <w:tblPr>
        <w:tblStyle w:val="857"/>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val="false"/>
          </w:tcPr>
          <w:p>
            <w:pPr>
              <w:ind w:firstLine="420"/>
              <w:rPr>
                <w:rFonts w:hint="eastAsia" w:ascii="宋体"/>
                <w:color w:val="auto"/>
                <w:szCs w:val="28"/>
                <w:highlight w:val="none"/>
              </w:rPr>
            </w:pPr>
            <w:r>
              <w:rPr>
                <w:rFonts w:hint="eastAsia" w:ascii="宋体"/>
                <w:color w:val="auto"/>
                <w:szCs w:val="28"/>
                <w:highlight w:val="none"/>
              </w:rPr>
              <w:t xml:space="preserve">项 目 编 号</w:t>
            </w:r>
            <w:r/>
          </w:p>
        </w:tc>
        <w:tc>
          <w:tcPr>
            <w:tcW w:w="7445" w:type="dxa"/>
            <w:vAlign w:val="center"/>
            <w:textDirection w:val="lrTb"/>
            <w:noWrap w:val="false"/>
          </w:tcPr>
          <w:p>
            <w:pPr>
              <w:pStyle w:val="853"/>
              <w:ind w:firstLine="689"/>
              <w:jc w:val="both"/>
              <w:rPr>
                <w:rFonts w:hint="eastAsia" w:ascii="宋体" w:hAnsi="宋体" w:eastAsia="宋体"/>
                <w:color w:val="auto"/>
                <w:sz w:val="28"/>
                <w:szCs w:val="28"/>
                <w:highlight w:val="none"/>
              </w:rPr>
              <w:outlineLvl w:val="9"/>
            </w:pPr>
            <w:r>
              <w:rPr>
                <w:rFonts w:hint="eastAsia" w:ascii="宋体" w:hAnsi="宋体" w:eastAsia="宋体"/>
                <w:color w:val="auto"/>
                <w:sz w:val="28"/>
                <w:szCs w:val="28"/>
                <w:highlight w:val="none"/>
              </w:rPr>
            </w:r>
            <w:r/>
          </w:p>
        </w:tc>
      </w:tr>
      <w:tr>
        <w:trPr>
          <w:cantSplit/>
          <w:trHeight w:val="789"/>
        </w:trPr>
        <w:tc>
          <w:tcPr>
            <w:tcW w:w="2700" w:type="dxa"/>
            <w:vAlign w:val="center"/>
            <w:textDirection w:val="lrTb"/>
            <w:noWrap w:val="false"/>
          </w:tcPr>
          <w:p>
            <w:pPr>
              <w:ind w:firstLine="420"/>
              <w:rPr>
                <w:rFonts w:hint="eastAsia" w:ascii="宋体"/>
                <w:color w:val="auto"/>
                <w:szCs w:val="28"/>
                <w:highlight w:val="none"/>
              </w:rPr>
            </w:pPr>
            <w:r>
              <w:rPr>
                <w:rFonts w:hint="eastAsia" w:ascii="宋体"/>
                <w:color w:val="auto"/>
                <w:szCs w:val="28"/>
                <w:highlight w:val="none"/>
              </w:rPr>
              <w:t xml:space="preserve">项 目 名 称</w:t>
            </w:r>
            <w:r/>
          </w:p>
        </w:tc>
        <w:tc>
          <w:tcPr>
            <w:tcW w:w="7445" w:type="dxa"/>
            <w:vAlign w:val="center"/>
            <w:textDirection w:val="lrTb"/>
            <w:noWrap w:val="false"/>
          </w:tcPr>
          <w:p>
            <w:pPr>
              <w:pStyle w:val="853"/>
              <w:jc w:val="both"/>
              <w:rPr>
                <w:rFonts w:hint="eastAsia"/>
                <w:color w:val="auto"/>
                <w:sz w:val="28"/>
                <w:szCs w:val="28"/>
                <w:highlight w:val="none"/>
              </w:rPr>
              <w:outlineLvl w:val="9"/>
            </w:pPr>
            <w:r>
              <w:rPr>
                <w:rFonts w:hint="eastAsia"/>
                <w:color w:val="auto"/>
                <w:sz w:val="28"/>
                <w:szCs w:val="28"/>
                <w:highlight w:val="none"/>
              </w:rPr>
            </w:r>
            <w:r/>
          </w:p>
        </w:tc>
      </w:tr>
      <w:tr>
        <w:trPr>
          <w:cantSplit/>
          <w:trHeight w:val="821"/>
        </w:trPr>
        <w:tc>
          <w:tcPr>
            <w:gridSpan w:val="2"/>
            <w:tcW w:w="10145" w:type="dxa"/>
            <w:vAlign w:val="center"/>
            <w:textDirection w:val="lrTb"/>
            <w:noWrap w:val="false"/>
          </w:tcPr>
          <w:p>
            <w:pPr>
              <w:rPr>
                <w:rFonts w:hint="eastAsia" w:ascii="宋体"/>
                <w:color w:val="auto"/>
                <w:szCs w:val="28"/>
                <w:highlight w:val="none"/>
              </w:rPr>
            </w:pPr>
            <w:r>
              <w:rPr>
                <w:rFonts w:hint="eastAsia" w:ascii="宋体"/>
                <w:b/>
                <w:bCs/>
                <w:color w:val="auto"/>
                <w:szCs w:val="28"/>
                <w:highlight w:val="none"/>
              </w:rPr>
              <w:t xml:space="preserve">项目投标报价：（大写）</w:t>
            </w:r>
            <w:r>
              <w:rPr>
                <w:rFonts w:hint="eastAsia" w:ascii="宋体"/>
                <w:b/>
                <w:bCs/>
                <w:color w:val="auto"/>
                <w:szCs w:val="28"/>
                <w:highlight w:val="none"/>
                <w:u w:val="single"/>
              </w:rPr>
              <w:t xml:space="preserve">                       </w:t>
            </w:r>
            <w:r>
              <w:rPr>
                <w:rFonts w:hint="eastAsia" w:ascii="宋体"/>
                <w:b/>
                <w:bCs/>
                <w:color w:val="auto"/>
                <w:szCs w:val="28"/>
                <w:highlight w:val="none"/>
              </w:rPr>
              <w:t xml:space="preserve">，小写：</w:t>
            </w:r>
            <w:r>
              <w:rPr>
                <w:rFonts w:hint="eastAsia" w:ascii="宋体"/>
                <w:b/>
                <w:bCs/>
                <w:color w:val="auto"/>
                <w:szCs w:val="28"/>
                <w:highlight w:val="none"/>
                <w:u w:val="single"/>
              </w:rPr>
              <w:t xml:space="preserve">                     </w:t>
            </w:r>
            <w:r>
              <w:rPr>
                <w:rFonts w:hint="eastAsia" w:ascii="宋体"/>
                <w:b/>
                <w:bCs/>
                <w:color w:val="auto"/>
                <w:szCs w:val="28"/>
                <w:highlight w:val="none"/>
              </w:rPr>
              <w:t xml:space="preserve"> </w:t>
            </w:r>
            <w:r/>
          </w:p>
        </w:tc>
      </w:tr>
      <w:tr>
        <w:trPr>
          <w:cantSplit/>
          <w:trHeight w:val="821"/>
        </w:trPr>
        <w:tc>
          <w:tcPr>
            <w:gridSpan w:val="2"/>
            <w:tcW w:w="10145" w:type="dxa"/>
            <w:vAlign w:val="center"/>
            <w:textDirection w:val="lrTb"/>
            <w:noWrap w:val="false"/>
          </w:tcPr>
          <w:p>
            <w:pPr>
              <w:rPr>
                <w:rFonts w:hint="eastAsia" w:ascii="宋体"/>
                <w:b/>
                <w:bCs/>
                <w:color w:val="auto"/>
                <w:szCs w:val="28"/>
                <w:highlight w:val="none"/>
              </w:rPr>
            </w:pPr>
            <w:r>
              <w:rPr>
                <w:rFonts w:hint="eastAsia" w:ascii="宋体"/>
                <w:b/>
                <w:bCs/>
                <w:color w:val="auto"/>
                <w:szCs w:val="28"/>
                <w:highlight w:val="none"/>
              </w:rPr>
              <w:t xml:space="preserve">是否提供《企业类型声明函》：</w:t>
            </w:r>
            <w:r>
              <w:rPr>
                <w:rFonts w:hint="eastAsia" w:ascii="宋体"/>
                <w:b/>
                <w:bCs/>
                <w:color w:val="auto"/>
                <w:szCs w:val="28"/>
                <w:highlight w:val="none"/>
                <w:u w:val="single"/>
              </w:rPr>
              <w:t xml:space="preserve">  是/否   </w:t>
            </w:r>
            <w:r/>
          </w:p>
        </w:tc>
      </w:tr>
    </w:tbl>
    <w:p>
      <w:pPr>
        <w:spacing w:line="180" w:lineRule="atLeast"/>
        <w:rPr>
          <w:rFonts w:hint="eastAsia" w:ascii="宋体" w:hAnsi="宋体"/>
          <w:color w:val="auto"/>
          <w:szCs w:val="28"/>
          <w:highlight w:val="none"/>
        </w:rPr>
      </w:pPr>
      <w:r>
        <w:rPr>
          <w:rFonts w:hint="eastAsia" w:ascii="宋体" w:hAnsi="宋体"/>
          <w:color w:val="auto"/>
          <w:szCs w:val="28"/>
          <w:highlight w:val="none"/>
        </w:rPr>
        <w:t xml:space="preserve">填写说明：</w:t>
      </w:r>
      <w:r/>
    </w:p>
    <w:p>
      <w:pPr>
        <w:numPr>
          <w:ilvl w:val="0"/>
          <w:numId w:val="1"/>
        </w:numPr>
        <w:rPr>
          <w:rStyle w:val="869"/>
          <w:rFonts w:hint="eastAsia" w:ascii="宋体" w:hAnsi="宋体"/>
          <w:color w:val="auto"/>
          <w:sz w:val="24"/>
          <w:highlight w:val="none"/>
        </w:rPr>
      </w:pPr>
      <w:r>
        <w:rPr>
          <w:rStyle w:val="869"/>
          <w:rFonts w:ascii="宋体" w:hAnsi="宋体"/>
          <w:color w:val="auto"/>
          <w:sz w:val="24"/>
          <w:highlight w:val="none"/>
        </w:rPr>
        <w:t xml:space="preserve">开标一览表不得填报选择性报价，否则将作为无效投标</w:t>
      </w:r>
      <w:r>
        <w:rPr>
          <w:rStyle w:val="869"/>
          <w:rFonts w:hint="eastAsia" w:ascii="宋体" w:hAnsi="宋体"/>
          <w:color w:val="auto"/>
          <w:sz w:val="24"/>
          <w:highlight w:val="none"/>
        </w:rPr>
        <w:t xml:space="preserve">。</w:t>
      </w:r>
      <w:r/>
    </w:p>
    <w:p>
      <w:pPr>
        <w:numPr>
          <w:ilvl w:val="0"/>
          <w:numId w:val="1"/>
        </w:numPr>
        <w:rPr>
          <w:rStyle w:val="869"/>
          <w:rFonts w:hint="eastAsia" w:ascii="宋体" w:hAnsi="宋体"/>
          <w:color w:val="auto"/>
          <w:sz w:val="24"/>
          <w:highlight w:val="none"/>
        </w:rPr>
      </w:pPr>
      <w:r>
        <w:rPr>
          <w:rFonts w:hint="eastAsia" w:ascii="宋体" w:hAnsi="宋体" w:cs="宋体"/>
          <w:color w:val="auto"/>
          <w:sz w:val="24"/>
          <w:szCs w:val="24"/>
          <w:highlight w:val="none"/>
        </w:rPr>
        <w:t xml:space="preserve">投标报价保留两位小数。</w:t>
      </w:r>
      <w:r/>
    </w:p>
    <w:p>
      <w:pPr>
        <w:pStyle w:val="870"/>
        <w:rPr>
          <w:rFonts w:hint="eastAsia" w:ascii="宋体" w:hAnsi="宋体"/>
          <w:b/>
          <w:color w:val="auto"/>
          <w:sz w:val="24"/>
          <w:highlight w:val="none"/>
        </w:rPr>
      </w:pPr>
      <w:r>
        <w:rPr>
          <w:rFonts w:hint="eastAsia" w:ascii="宋体" w:hAnsi="宋体"/>
          <w:b/>
          <w:color w:val="auto"/>
          <w:sz w:val="24"/>
          <w:highlight w:val="none"/>
        </w:rPr>
      </w:r>
      <w:r/>
    </w:p>
    <w:p>
      <w:pPr>
        <w:ind w:firstLine="2400"/>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33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val="en-US"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200"/>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      </w:t>
      </w:r>
      <w:r/>
    </w:p>
    <w:p>
      <w:pPr>
        <w:pStyle w:val="864"/>
        <w:ind w:firstLine="480"/>
        <w:jc w:val="right"/>
        <w:spacing w:beforeAutospacing="0" w:afterAutospacing="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rPr>
          <w:color w:val="auto"/>
          <w:highlight w:val="none"/>
        </w:rPr>
        <w:t xml:space="preserve"> </w:t>
      </w:r>
      <w:r/>
    </w:p>
    <w:p>
      <w:pPr>
        <w:pStyle w:val="864"/>
        <w:jc w:val="center"/>
        <w:spacing w:beforeAutospacing="0" w:afterAutospacing="0"/>
        <w:rPr>
          <w:color w:val="auto"/>
          <w:highlight w:val="none"/>
        </w:rPr>
      </w:pPr>
      <w:r>
        <w:rPr>
          <w:color w:val="auto"/>
          <w:highlight w:val="none"/>
        </w:rPr>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864"/>
        <w:jc w:val="center"/>
        <w:spacing w:beforeAutospacing="0" w:afterAutospacing="0"/>
        <w:rPr>
          <w:rFonts w:hint="eastAsia" w:ascii="黑体" w:hAnsi="宋体" w:eastAsia="黑体" w:cs="黑体"/>
          <w:b/>
          <w:i/>
          <w:color w:val="auto"/>
          <w:sz w:val="32"/>
          <w:szCs w:val="32"/>
          <w:highlight w:val="none"/>
          <w:u w:val="single"/>
          <w:lang w:val="en-US" w:eastAsia="zh-CN"/>
        </w:rPr>
      </w:pPr>
      <w:r>
        <w:rPr>
          <w:rFonts w:hint="eastAsia" w:ascii="黑体" w:hAnsi="宋体" w:eastAsia="黑体" w:cs="黑体"/>
          <w:b/>
          <w:i/>
          <w:color w:val="auto"/>
          <w:sz w:val="32"/>
          <w:szCs w:val="32"/>
          <w:highlight w:val="none"/>
          <w:u w:val="single"/>
          <w:lang w:val="en-US" w:eastAsia="zh-CN"/>
        </w:rPr>
        <w:t xml:space="preserve">十四、报价明细表</w:t>
      </w:r>
      <w:r/>
    </w:p>
    <w:tbl>
      <w:tblPr>
        <w:tblStyle w:val="857"/>
        <w:tblpPr w:horzAnchor="page" w:tblpX="1539" w:vertAnchor="text" w:tblpY="163" w:leftFromText="180" w:topFromText="0" w:rightFromText="180" w:bottomFromText="0"/>
        <w:tblW w:w="9757" w:type="dxa"/>
        <w:tblInd w:w="0" w:type="dxa"/>
        <w:tblLayout w:type="fixed"/>
        <w:tblCellMar>
          <w:left w:w="0" w:type="dxa"/>
          <w:top w:w="0" w:type="dxa"/>
          <w:right w:w="0" w:type="dxa"/>
          <w:bottom w:w="0" w:type="dxa"/>
        </w:tblCellMar>
        <w:tblLook w:val="04A0" w:firstRow="1" w:lastRow="0" w:firstColumn="1" w:lastColumn="0" w:noHBand="0" w:noVBand="1"/>
      </w:tblPr>
      <w:tblGrid>
        <w:gridCol w:w="1089"/>
        <w:gridCol w:w="3076"/>
        <w:gridCol w:w="721"/>
        <w:gridCol w:w="1082"/>
        <w:gridCol w:w="1263"/>
        <w:gridCol w:w="1263"/>
        <w:gridCol w:w="1263"/>
      </w:tblGrid>
      <w:tr>
        <w:trPr>
          <w:trHeight w:val="61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9" w:type="dxa"/>
            <w:vAlign w:val="center"/>
            <w:textDirection w:val="lrTb"/>
            <w:noWrap w:val="false"/>
          </w:tcPr>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76" w:type="dxa"/>
            <w:vAlign w:val="center"/>
            <w:textDirection w:val="lrTb"/>
            <w:noWrap w:val="false"/>
          </w:tcPr>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t xml:space="preserve">项目名称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1" w:type="dxa"/>
            <w:vAlign w:val="center"/>
            <w:textDirection w:val="lrTb"/>
            <w:noWrap w:val="false"/>
          </w:tcPr>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2" w:type="dxa"/>
            <w:vAlign w:val="center"/>
            <w:textDirection w:val="lrTb"/>
            <w:noWrap w:val="false"/>
          </w:tcPr>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63" w:type="dxa"/>
            <w:vAlign w:val="center"/>
            <w:textDirection w:val="lrTb"/>
            <w:noWrap w:val="false"/>
          </w:tcPr>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t xml:space="preserve">单价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63" w:type="dxa"/>
            <w:vAlign w:val="center"/>
            <w:textDirection w:val="lrTb"/>
            <w:noWrap w:val="false"/>
          </w:tcPr>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t xml:space="preserve">合价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63" w:type="dxa"/>
            <w:vAlign w:val="center"/>
            <w:textDirection w:val="lrTb"/>
            <w:noWrap w:val="false"/>
          </w:tcPr>
          <w:p>
            <w:pPr>
              <w:jc w:val="center"/>
              <w:rPr>
                <w:rFonts w:hint="default"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t xml:space="preserve">备注</w:t>
            </w:r>
            <w:r/>
          </w:p>
        </w:tc>
      </w:tr>
      <w:tr>
        <w:trPr>
          <w:trHeight w:val="263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9" w:type="dxa"/>
            <w:vAlign w:val="center"/>
            <w:textDirection w:val="lrTb"/>
            <w:noWrap w:val="false"/>
          </w:tcPr>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76" w:type="dxa"/>
            <w:vAlign w:val="center"/>
            <w:textDirection w:val="lrTb"/>
            <w:noWrap w:val="false"/>
          </w:tcPr>
          <w:p>
            <w:pPr>
              <w:jc w:val="center"/>
              <w:rPr>
                <w:rFonts w:hint="default" w:ascii="仿宋_GB2312" w:hAnsi="Times New Roman" w:eastAsia="仿宋_GB2312" w:cs="Times New Roman"/>
                <w:color w:val="auto"/>
                <w:sz w:val="24"/>
                <w:szCs w:val="22"/>
                <w:highlight w:val="none"/>
                <w:lang w:val="en-US" w:eastAsia="zh-CN"/>
              </w:rPr>
            </w:pPr>
            <w:r>
              <w:rPr>
                <w:rFonts w:hint="default" w:ascii="仿宋_GB2312" w:hAnsi="Times New Roman" w:eastAsia="仿宋_GB2312" w:cs="Times New Roman"/>
                <w:color w:val="auto"/>
                <w:sz w:val="24"/>
                <w:szCs w:val="22"/>
                <w:highlight w:val="none"/>
                <w:lang w:val="en-US" w:eastAsia="zh-CN"/>
              </w:rPr>
              <w:t xml:space="preserve">东台市富安镇农村人居环境“六位一体”长效管护项目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1" w:type="dxa"/>
            <w:vAlign w:val="center"/>
            <w:textDirection w:val="lrTb"/>
            <w:noWrap w:val="false"/>
          </w:tcPr>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t xml:space="preserve">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2" w:type="dxa"/>
            <w:vAlign w:val="center"/>
            <w:textDirection w:val="lrTb"/>
            <w:noWrap w:val="false"/>
          </w:tcPr>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63" w:type="dxa"/>
            <w:vAlign w:val="center"/>
            <w:textDirection w:val="lrTb"/>
            <w:noWrap w:val="false"/>
          </w:tcPr>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63" w:type="dxa"/>
            <w:vAlign w:val="center"/>
            <w:textDirection w:val="lrTb"/>
            <w:noWrap w:val="false"/>
          </w:tcPr>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63" w:type="dxa"/>
            <w:vAlign w:val="center"/>
            <w:textDirection w:val="lrTb"/>
            <w:noWrap w:val="false"/>
          </w:tcPr>
          <w:p>
            <w:pPr>
              <w:jc w:val="center"/>
              <w:rPr>
                <w:rFonts w:hint="eastAsia" w:ascii="仿宋_GB2312" w:hAnsi="Times New Roman" w:eastAsia="仿宋_GB2312" w:cs="Times New Roman"/>
                <w:b/>
                <w:bCs/>
                <w:color w:val="auto"/>
                <w:sz w:val="24"/>
                <w:szCs w:val="22"/>
                <w:highlight w:val="none"/>
                <w:lang w:val="en-US" w:eastAsia="zh-CN"/>
              </w:rPr>
            </w:pPr>
            <w:r>
              <w:rPr>
                <w:rFonts w:hint="eastAsia" w:ascii="仿宋_GB2312" w:hAnsi="Times New Roman" w:eastAsia="仿宋_GB2312" w:cs="Times New Roman"/>
                <w:b/>
                <w:bCs/>
                <w:color w:val="auto"/>
                <w:sz w:val="24"/>
                <w:szCs w:val="22"/>
                <w:highlight w:val="none"/>
                <w:lang w:val="en-US" w:eastAsia="zh-CN"/>
              </w:rPr>
            </w:r>
            <w:r/>
          </w:p>
        </w:tc>
      </w:tr>
      <w:tr>
        <w:trPr>
          <w:trHeight w:val="83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9" w:type="dxa"/>
            <w:vAlign w:val="center"/>
            <w:textDirection w:val="lrTb"/>
            <w:noWrap w:val="false"/>
          </w:tcPr>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76" w:type="dxa"/>
            <w:vAlign w:val="center"/>
            <w:textDirection w:val="lrTb"/>
            <w:noWrap w:val="false"/>
          </w:tcPr>
          <w:p>
            <w:pPr>
              <w:jc w:val="center"/>
              <w:rPr>
                <w:rFonts w:hint="default" w:ascii="仿宋_GB2312" w:hAnsi="Times New Roman" w:eastAsia="仿宋_GB2312" w:cs="Times New Roman"/>
                <w:color w:val="auto"/>
                <w:sz w:val="24"/>
                <w:szCs w:val="22"/>
                <w:highlight w:val="none"/>
                <w:lang w:val="en-US" w:eastAsia="zh-CN"/>
              </w:rPr>
            </w:pPr>
            <w:r>
              <w:rPr>
                <w:rFonts w:hint="default" w:ascii="仿宋_GB2312" w:hAnsi="Times New Roman" w:eastAsia="仿宋_GB2312" w:cs="Times New Roman"/>
                <w:color w:val="auto"/>
                <w:sz w:val="24"/>
                <w:szCs w:val="22"/>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1" w:type="dxa"/>
            <w:vAlign w:val="center"/>
            <w:textDirection w:val="lrTb"/>
            <w:noWrap w:val="false"/>
          </w:tcPr>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2" w:type="dxa"/>
            <w:vAlign w:val="center"/>
            <w:textDirection w:val="lrTb"/>
            <w:noWrap w:val="false"/>
          </w:tcPr>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63" w:type="dxa"/>
            <w:vAlign w:val="center"/>
            <w:textDirection w:val="lrTb"/>
            <w:noWrap w:val="false"/>
          </w:tcPr>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63" w:type="dxa"/>
            <w:vAlign w:val="center"/>
            <w:textDirection w:val="lrTb"/>
            <w:noWrap w:val="false"/>
          </w:tcPr>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63" w:type="dxa"/>
            <w:vAlign w:val="center"/>
            <w:textDirection w:val="lrTb"/>
            <w:noWrap w:val="false"/>
          </w:tcPr>
          <w:p>
            <w:pPr>
              <w:jc w:val="center"/>
              <w:rPr>
                <w:rFonts w:hint="eastAsia" w:ascii="仿宋_GB2312" w:hAnsi="Times New Roman" w:eastAsia="仿宋_GB2312" w:cs="Times New Roman"/>
                <w:b/>
                <w:bCs/>
                <w:color w:val="auto"/>
                <w:sz w:val="24"/>
                <w:szCs w:val="22"/>
                <w:highlight w:val="none"/>
                <w:lang w:val="en-US" w:eastAsia="zh-CN"/>
              </w:rPr>
            </w:pPr>
            <w:r>
              <w:rPr>
                <w:rFonts w:hint="eastAsia" w:ascii="仿宋_GB2312" w:hAnsi="Times New Roman" w:eastAsia="仿宋_GB2312" w:cs="Times New Roman"/>
                <w:b/>
                <w:bCs/>
                <w:color w:val="auto"/>
                <w:sz w:val="24"/>
                <w:szCs w:val="22"/>
                <w:highlight w:val="none"/>
                <w:lang w:val="en-US" w:eastAsia="zh-CN"/>
              </w:rPr>
            </w:r>
            <w:r/>
          </w:p>
        </w:tc>
      </w:tr>
      <w:tr>
        <w:trPr>
          <w:cantSplit/>
          <w:trHeight w:val="729"/>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1089" w:type="dxa"/>
            <w:vAlign w:val="center"/>
            <w:textDirection w:val="lrTb"/>
            <w:noWrap w:val="false"/>
          </w:tcPr>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t xml:space="preserve">总价</w:t>
            </w:r>
            <w:r/>
          </w:p>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t xml:space="preserve">（大小写）</w:t>
            </w:r>
            <w:r/>
          </w:p>
        </w:tc>
        <w:tc>
          <w:tcPr>
            <w:gridSpan w:val="6"/>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68" w:type="dxa"/>
            <w:vAlign w:val="top"/>
            <w:textDirection w:val="lrTb"/>
            <w:noWrap w:val="false"/>
          </w:tcPr>
          <w:p>
            <w:pPr>
              <w:jc w:val="center"/>
              <w:rPr>
                <w:rFonts w:hint="eastAsia" w:ascii="仿宋_GB2312" w:hAnsi="Times New Roman" w:eastAsia="仿宋_GB2312" w:cs="Times New Roman"/>
                <w:color w:val="auto"/>
                <w:sz w:val="24"/>
                <w:szCs w:val="22"/>
                <w:highlight w:val="none"/>
                <w:lang w:val="en-US" w:eastAsia="zh-CN"/>
              </w:rPr>
            </w:pPr>
            <w:r>
              <w:rPr>
                <w:rFonts w:hint="eastAsia" w:ascii="仿宋_GB2312" w:hAnsi="Times New Roman" w:eastAsia="仿宋_GB2312" w:cs="Times New Roman"/>
                <w:color w:val="auto"/>
                <w:sz w:val="24"/>
                <w:szCs w:val="22"/>
                <w:highlight w:val="none"/>
                <w:lang w:val="en-US" w:eastAsia="zh-CN"/>
              </w:rPr>
            </w:r>
            <w:r/>
          </w:p>
        </w:tc>
      </w:tr>
    </w:tbl>
    <w:p>
      <w:pPr>
        <w:pStyle w:val="870"/>
        <w:ind w:firstLine="480"/>
        <w:keepLines w:val="0"/>
        <w:keepNext w:val="0"/>
        <w:pageBreakBefore w:val="0"/>
        <w:spacing w:line="360" w:lineRule="auto"/>
        <w:widowControl w:val="off"/>
        <w:rPr>
          <w:rFonts w:hint="eastAsia" w:ascii="仿宋_GB2312" w:hAnsi="Times New Roman" w:eastAsia="仿宋_GB2312" w:cs="Times New Roman"/>
          <w:color w:val="auto"/>
          <w:sz w:val="24"/>
          <w:highlight w:val="none"/>
          <w:lang w:val="en-US" w:eastAsia="zh-CN"/>
        </w:rPr>
      </w:pPr>
      <w:r>
        <w:rPr>
          <w:rFonts w:hint="eastAsia" w:ascii="仿宋_GB2312" w:hAnsi="Times New Roman" w:eastAsia="仿宋_GB2312" w:cs="Times New Roman"/>
          <w:color w:val="auto"/>
          <w:sz w:val="24"/>
          <w:highlight w:val="none"/>
          <w:lang w:val="en-US" w:eastAsia="zh-CN"/>
        </w:rPr>
        <w:t xml:space="preserve">注：</w:t>
      </w:r>
      <w:r>
        <w:rPr>
          <w:rFonts w:hint="eastAsia" w:hAnsi="Times New Roman" w:cs="Times New Roman"/>
          <w:color w:val="auto"/>
          <w:sz w:val="24"/>
          <w:highlight w:val="none"/>
          <w:lang w:val="en-US" w:eastAsia="zh-CN"/>
        </w:rPr>
        <w:t xml:space="preserve">1、</w:t>
      </w:r>
      <w:r>
        <w:rPr>
          <w:rFonts w:hint="eastAsia" w:ascii="仿宋_GB2312" w:hAnsi="Times New Roman" w:eastAsia="仿宋_GB2312" w:cs="Times New Roman"/>
          <w:color w:val="auto"/>
          <w:sz w:val="24"/>
          <w:highlight w:val="none"/>
          <w:lang w:val="en-US" w:eastAsia="zh-CN"/>
        </w:rPr>
        <w:t xml:space="preserve">单价及总价中包括管理、人员的工资、</w:t>
      </w:r>
      <w:r>
        <w:rPr>
          <w:rFonts w:hint="eastAsia" w:hAnsi="Times New Roman" w:cs="Times New Roman"/>
          <w:color w:val="auto"/>
          <w:sz w:val="24"/>
          <w:highlight w:val="none"/>
          <w:lang w:val="en-US" w:eastAsia="zh-CN"/>
        </w:rPr>
        <w:t xml:space="preserve">保险、</w:t>
      </w:r>
      <w:r>
        <w:rPr>
          <w:rFonts w:hint="eastAsia" w:ascii="仿宋_GB2312" w:hAnsi="Times New Roman" w:eastAsia="仿宋_GB2312" w:cs="Times New Roman"/>
          <w:color w:val="auto"/>
          <w:sz w:val="24"/>
          <w:highlight w:val="none"/>
          <w:lang w:val="en-US" w:eastAsia="zh-CN"/>
        </w:rPr>
        <w:t xml:space="preserve">作业设备费、安全措施费、材料、工具折旧维保费、上级检查应急加班费、</w:t>
      </w:r>
      <w:r>
        <w:rPr>
          <w:rFonts w:hint="eastAsia" w:hAnsi="Times New Roman" w:cs="Times New Roman"/>
          <w:color w:val="auto"/>
          <w:sz w:val="24"/>
          <w:highlight w:val="none"/>
          <w:lang w:val="en-US" w:eastAsia="zh-CN"/>
        </w:rPr>
        <w:t xml:space="preserve">保洁、绿化养护、垃圾处理处置、</w:t>
      </w:r>
      <w:r>
        <w:rPr>
          <w:rFonts w:hint="eastAsia" w:ascii="仿宋_GB2312" w:hAnsi="Times New Roman" w:eastAsia="仿宋_GB2312" w:cs="Times New Roman"/>
          <w:color w:val="auto"/>
          <w:sz w:val="24"/>
          <w:highlight w:val="none"/>
          <w:lang w:val="en-US" w:eastAsia="zh-CN"/>
        </w:rPr>
        <w:t xml:space="preserve">垃圾清运、垃圾压缩中转站的运营维护维修</w:t>
      </w:r>
      <w:r>
        <w:rPr>
          <w:rFonts w:hint="eastAsia" w:hAnsi="Times New Roman" w:cs="Times New Roman"/>
          <w:color w:val="auto"/>
          <w:sz w:val="24"/>
          <w:highlight w:val="none"/>
          <w:lang w:val="en-US" w:eastAsia="zh-CN"/>
        </w:rPr>
        <w:t xml:space="preserve">、</w:t>
      </w:r>
      <w:r>
        <w:rPr>
          <w:rFonts w:hint="eastAsia" w:ascii="仿宋_GB2312" w:hAnsi="Times New Roman" w:eastAsia="仿宋_GB2312" w:cs="Times New Roman"/>
          <w:color w:val="auto"/>
          <w:sz w:val="24"/>
          <w:highlight w:val="none"/>
          <w:lang w:val="en-US" w:eastAsia="zh-CN"/>
        </w:rPr>
        <w:t xml:space="preserve">售后服务、税费等各项费用及保洁服务中有可能发生的一切费用。凡必须完成的项目漏项或少计均视为已包含在本次投标报价的范围以内，</w:t>
      </w:r>
      <w:r>
        <w:rPr>
          <w:rFonts w:hint="eastAsia" w:hAnsi="Times New Roman" w:cs="Times New Roman"/>
          <w:color w:val="auto"/>
          <w:sz w:val="24"/>
          <w:highlight w:val="none"/>
          <w:lang w:val="en-US" w:eastAsia="zh-CN"/>
        </w:rPr>
        <w:t xml:space="preserve">采购人</w:t>
      </w:r>
      <w:r>
        <w:rPr>
          <w:rFonts w:hint="eastAsia" w:ascii="仿宋_GB2312" w:hAnsi="Times New Roman" w:eastAsia="仿宋_GB2312" w:cs="Times New Roman"/>
          <w:color w:val="auto"/>
          <w:sz w:val="24"/>
          <w:highlight w:val="none"/>
          <w:lang w:val="en-US" w:eastAsia="zh-CN"/>
        </w:rPr>
        <w:t xml:space="preserve">不再另行增加费用。报价时应逐项填写数量、单价和合价，最后汇总得出总价。</w:t>
      </w:r>
      <w:r/>
    </w:p>
    <w:p>
      <w:pPr>
        <w:pStyle w:val="870"/>
        <w:ind w:firstLine="480"/>
        <w:keepLines w:val="0"/>
        <w:keepNext w:val="0"/>
        <w:pageBreakBefore w:val="0"/>
        <w:spacing w:line="360" w:lineRule="auto"/>
        <w:widowControl w:val="off"/>
        <w:rPr>
          <w:rFonts w:hint="default" w:ascii="仿宋_GB2312" w:hAnsi="Times New Roman" w:eastAsia="仿宋_GB2312" w:cs="Times New Roman"/>
          <w:color w:val="auto"/>
          <w:sz w:val="24"/>
          <w:highlight w:val="none"/>
          <w:lang w:val="en-US" w:eastAsia="zh-CN"/>
        </w:rPr>
      </w:pPr>
      <w:r>
        <w:rPr>
          <w:rFonts w:hint="eastAsia" w:ascii="仿宋_GB2312" w:hAnsi="Times New Roman" w:eastAsia="仿宋_GB2312" w:cs="Times New Roman"/>
          <w:color w:val="auto"/>
          <w:sz w:val="24"/>
          <w:highlight w:val="none"/>
          <w:lang w:val="en-US" w:eastAsia="zh-CN"/>
        </w:rPr>
        <w:t xml:space="preserve">2、各投标人</w:t>
      </w:r>
      <w:r>
        <w:rPr>
          <w:rFonts w:hint="eastAsia" w:hAnsi="Times New Roman" w:cs="Times New Roman"/>
          <w:color w:val="auto"/>
          <w:sz w:val="24"/>
          <w:highlight w:val="none"/>
          <w:lang w:val="en-US" w:eastAsia="zh-CN"/>
        </w:rPr>
        <w:t xml:space="preserve">须</w:t>
      </w:r>
      <w:r>
        <w:rPr>
          <w:rFonts w:hint="eastAsia" w:ascii="仿宋_GB2312" w:hAnsi="Times New Roman" w:eastAsia="仿宋_GB2312" w:cs="Times New Roman"/>
          <w:color w:val="auto"/>
          <w:sz w:val="24"/>
          <w:highlight w:val="none"/>
          <w:lang w:val="en-US" w:eastAsia="zh-CN"/>
        </w:rPr>
        <w:t xml:space="preserve">根据各投标方案要求自行设计</w:t>
      </w:r>
      <w:r>
        <w:rPr>
          <w:rFonts w:hint="eastAsia" w:hAnsi="Times New Roman" w:cs="Times New Roman"/>
          <w:color w:val="auto"/>
          <w:sz w:val="24"/>
          <w:highlight w:val="none"/>
          <w:lang w:val="en-US" w:eastAsia="zh-CN"/>
        </w:rPr>
        <w:t xml:space="preserve">相关分项内容</w:t>
      </w:r>
      <w:r>
        <w:rPr>
          <w:rFonts w:hint="eastAsia" w:ascii="仿宋_GB2312" w:hAnsi="Times New Roman" w:eastAsia="仿宋_GB2312" w:cs="Times New Roman"/>
          <w:color w:val="auto"/>
          <w:sz w:val="24"/>
          <w:highlight w:val="none"/>
          <w:lang w:val="en-US" w:eastAsia="zh-CN"/>
        </w:rPr>
        <w:t xml:space="preserve">，并根据上述报价表格式报价，填写清单项目及报价等内容。</w:t>
      </w:r>
      <w:r/>
    </w:p>
    <w:p>
      <w:pPr>
        <w:ind w:firstLine="33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val="en-US"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right"/>
        <w:spacing w:before="50" w:after="50"/>
        <w:widowControl/>
        <w:rPr>
          <w:color w:val="auto"/>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五</w:t>
      </w:r>
      <w:r>
        <w:rPr>
          <w:rFonts w:hint="eastAsia" w:ascii="宋体" w:hAnsi="宋体" w:eastAsia="宋体" w:cs="宋体"/>
          <w:color w:val="auto"/>
          <w:sz w:val="32"/>
          <w:szCs w:val="32"/>
          <w:highlight w:val="none"/>
        </w:rPr>
        <w:t xml:space="preserve">、技术方案、服务承诺、培训承诺等</w:t>
      </w:r>
      <w:r/>
    </w:p>
    <w:p>
      <w:pPr>
        <w:pStyle w:val="864"/>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864"/>
        <w:jc w:val="center"/>
        <w:spacing w:beforeAutospacing="0" w:afterAutospacing="0"/>
        <w:rPr>
          <w:color w:val="auto"/>
          <w:highlight w:val="none"/>
        </w:rPr>
      </w:pPr>
      <w:r>
        <w:rPr>
          <w:color w:val="auto"/>
          <w:highlight w:val="none"/>
        </w:rPr>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5"/>
      <w:r/>
      <w:bookmarkEnd w:id="188"/>
      <w:r/>
      <w:bookmarkEnd w:id="198"/>
      <w:r/>
      <w:bookmarkEnd w:id="199"/>
      <w:r/>
      <w:bookmarkEnd w:id="201"/>
      <w:r/>
      <w:bookmarkEnd w:id="202"/>
      <w:r/>
      <w:bookmarkEnd w:id="203"/>
      <w:r/>
      <w:bookmarkEnd w:id="204"/>
      <w:r/>
      <w:bookmarkEnd w:id="213"/>
      <w:r/>
      <w:bookmarkEnd w:id="214"/>
      <w:r/>
      <w:bookmarkEnd w:id="215"/>
      <w:r/>
      <w:bookmarkEnd w:id="216"/>
      <w:r/>
      <w:bookmarkEnd w:id="217"/>
      <w:r/>
      <w:r/>
    </w:p>
    <w:p>
      <w:pPr>
        <w:rPr>
          <w:color w:val="auto"/>
          <w:highlight w:val="none"/>
        </w:rPr>
      </w:pPr>
      <w:r>
        <w:rPr>
          <w:color w:val="auto"/>
          <w:highlight w:val="none"/>
        </w:rPr>
      </w:r>
      <w:r/>
    </w:p>
    <w:p>
      <w:pPr>
        <w:pStyle w:val="864"/>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64"/>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6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6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6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6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6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6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6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6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6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64"/>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6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6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6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6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6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64"/>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64"/>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6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6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6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6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6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4"/>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852"/>
    <w:next w:val="852"/>
    <w:link w:val="680"/>
    <w:uiPriority w:val="9"/>
    <w:qFormat/>
    <w:pPr>
      <w:keepLines/>
      <w:keepNext/>
      <w:spacing w:before="480" w:after="200"/>
      <w:outlineLvl w:val="0"/>
    </w:pPr>
    <w:rPr>
      <w:rFonts w:ascii="Arial" w:hAnsi="Arial" w:eastAsia="Arial" w:cs="Arial"/>
      <w:sz w:val="40"/>
      <w:szCs w:val="40"/>
    </w:rPr>
  </w:style>
  <w:style w:type="character" w:styleId="680">
    <w:name w:val="Heading 1 Char"/>
    <w:basedOn w:val="856"/>
    <w:link w:val="679"/>
    <w:uiPriority w:val="9"/>
    <w:rPr>
      <w:rFonts w:ascii="Arial" w:hAnsi="Arial" w:eastAsia="Arial" w:cs="Arial"/>
      <w:sz w:val="40"/>
      <w:szCs w:val="40"/>
    </w:rPr>
  </w:style>
  <w:style w:type="character" w:styleId="681">
    <w:name w:val="Heading 2 Char"/>
    <w:basedOn w:val="856"/>
    <w:link w:val="853"/>
    <w:uiPriority w:val="9"/>
    <w:rPr>
      <w:rFonts w:ascii="Arial" w:hAnsi="Arial" w:eastAsia="Arial" w:cs="Arial"/>
      <w:sz w:val="34"/>
    </w:rPr>
  </w:style>
  <w:style w:type="character" w:styleId="682">
    <w:name w:val="Heading 3 Char"/>
    <w:basedOn w:val="856"/>
    <w:link w:val="854"/>
    <w:uiPriority w:val="9"/>
    <w:rPr>
      <w:rFonts w:ascii="Arial" w:hAnsi="Arial" w:eastAsia="Arial" w:cs="Arial"/>
      <w:sz w:val="30"/>
      <w:szCs w:val="30"/>
    </w:rPr>
  </w:style>
  <w:style w:type="character" w:styleId="683">
    <w:name w:val="Heading 4 Char"/>
    <w:basedOn w:val="856"/>
    <w:link w:val="855"/>
    <w:uiPriority w:val="9"/>
    <w:rPr>
      <w:rFonts w:ascii="Arial" w:hAnsi="Arial" w:eastAsia="Arial" w:cs="Arial"/>
      <w:b/>
      <w:bCs/>
      <w:sz w:val="26"/>
      <w:szCs w:val="26"/>
    </w:rPr>
  </w:style>
  <w:style w:type="paragraph" w:styleId="684">
    <w:name w:val="Heading 5"/>
    <w:basedOn w:val="852"/>
    <w:next w:val="852"/>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basedOn w:val="856"/>
    <w:link w:val="684"/>
    <w:uiPriority w:val="9"/>
    <w:rPr>
      <w:rFonts w:ascii="Arial" w:hAnsi="Arial" w:eastAsia="Arial" w:cs="Arial"/>
      <w:b/>
      <w:bCs/>
      <w:sz w:val="24"/>
      <w:szCs w:val="24"/>
    </w:rPr>
  </w:style>
  <w:style w:type="paragraph" w:styleId="686">
    <w:name w:val="Heading 6"/>
    <w:basedOn w:val="852"/>
    <w:next w:val="852"/>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basedOn w:val="856"/>
    <w:link w:val="686"/>
    <w:uiPriority w:val="9"/>
    <w:rPr>
      <w:rFonts w:ascii="Arial" w:hAnsi="Arial" w:eastAsia="Arial" w:cs="Arial"/>
      <w:b/>
      <w:bCs/>
      <w:sz w:val="22"/>
      <w:szCs w:val="22"/>
    </w:rPr>
  </w:style>
  <w:style w:type="paragraph" w:styleId="688">
    <w:name w:val="Heading 7"/>
    <w:basedOn w:val="852"/>
    <w:next w:val="852"/>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6"/>
    <w:link w:val="688"/>
    <w:uiPriority w:val="9"/>
    <w:rPr>
      <w:rFonts w:ascii="Arial" w:hAnsi="Arial" w:eastAsia="Arial" w:cs="Arial"/>
      <w:b/>
      <w:bCs/>
      <w:i/>
      <w:iCs/>
      <w:sz w:val="22"/>
      <w:szCs w:val="22"/>
    </w:rPr>
  </w:style>
  <w:style w:type="paragraph" w:styleId="690">
    <w:name w:val="Heading 8"/>
    <w:basedOn w:val="852"/>
    <w:next w:val="852"/>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6"/>
    <w:link w:val="690"/>
    <w:uiPriority w:val="9"/>
    <w:rPr>
      <w:rFonts w:ascii="Arial" w:hAnsi="Arial" w:eastAsia="Arial" w:cs="Arial"/>
      <w:i/>
      <w:iCs/>
      <w:sz w:val="22"/>
      <w:szCs w:val="22"/>
    </w:rPr>
  </w:style>
  <w:style w:type="paragraph" w:styleId="692">
    <w:name w:val="Heading 9"/>
    <w:basedOn w:val="852"/>
    <w:next w:val="852"/>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6"/>
    <w:link w:val="692"/>
    <w:uiPriority w:val="9"/>
    <w:rPr>
      <w:rFonts w:ascii="Arial" w:hAnsi="Arial" w:eastAsia="Arial" w:cs="Arial"/>
      <w:i/>
      <w:iCs/>
      <w:sz w:val="21"/>
      <w:szCs w:val="21"/>
    </w:rPr>
  </w:style>
  <w:style w:type="paragraph" w:styleId="694">
    <w:name w:val="List Paragraph"/>
    <w:basedOn w:val="852"/>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52"/>
    <w:next w:val="852"/>
    <w:link w:val="697"/>
    <w:uiPriority w:val="10"/>
    <w:qFormat/>
    <w:pPr>
      <w:contextualSpacing/>
      <w:spacing w:before="300" w:after="200"/>
    </w:pPr>
    <w:rPr>
      <w:sz w:val="48"/>
      <w:szCs w:val="48"/>
    </w:rPr>
  </w:style>
  <w:style w:type="character" w:styleId="697">
    <w:name w:val="Title Char"/>
    <w:basedOn w:val="856"/>
    <w:link w:val="696"/>
    <w:uiPriority w:val="10"/>
    <w:rPr>
      <w:sz w:val="48"/>
      <w:szCs w:val="48"/>
    </w:rPr>
  </w:style>
  <w:style w:type="paragraph" w:styleId="698">
    <w:name w:val="Subtitle"/>
    <w:basedOn w:val="852"/>
    <w:next w:val="852"/>
    <w:link w:val="699"/>
    <w:uiPriority w:val="11"/>
    <w:qFormat/>
    <w:pPr>
      <w:spacing w:before="200" w:after="200"/>
    </w:pPr>
    <w:rPr>
      <w:sz w:val="24"/>
      <w:szCs w:val="24"/>
    </w:rPr>
  </w:style>
  <w:style w:type="character" w:styleId="699">
    <w:name w:val="Subtitle Char"/>
    <w:basedOn w:val="856"/>
    <w:link w:val="698"/>
    <w:uiPriority w:val="11"/>
    <w:rPr>
      <w:sz w:val="24"/>
      <w:szCs w:val="24"/>
    </w:rPr>
  </w:style>
  <w:style w:type="paragraph" w:styleId="700">
    <w:name w:val="Quote"/>
    <w:basedOn w:val="852"/>
    <w:next w:val="852"/>
    <w:link w:val="701"/>
    <w:uiPriority w:val="29"/>
    <w:qFormat/>
    <w:pPr>
      <w:ind w:left="720" w:right="720"/>
    </w:pPr>
    <w:rPr>
      <w:i/>
    </w:rPr>
  </w:style>
  <w:style w:type="character" w:styleId="701">
    <w:name w:val="Quote Char"/>
    <w:link w:val="700"/>
    <w:uiPriority w:val="29"/>
    <w:rPr>
      <w:i/>
    </w:rPr>
  </w:style>
  <w:style w:type="paragraph" w:styleId="702">
    <w:name w:val="Intense Quote"/>
    <w:basedOn w:val="852"/>
    <w:next w:val="852"/>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56"/>
    <w:link w:val="862"/>
    <w:uiPriority w:val="99"/>
  </w:style>
  <w:style w:type="character" w:styleId="705">
    <w:name w:val="Footer Char"/>
    <w:basedOn w:val="856"/>
    <w:link w:val="861"/>
    <w:uiPriority w:val="99"/>
  </w:style>
  <w:style w:type="paragraph" w:styleId="706">
    <w:name w:val="Caption"/>
    <w:basedOn w:val="852"/>
    <w:next w:val="852"/>
    <w:uiPriority w:val="35"/>
    <w:semiHidden/>
    <w:unhideWhenUsed/>
    <w:qFormat/>
    <w:pPr>
      <w:spacing w:line="276" w:lineRule="auto"/>
    </w:pPr>
    <w:rPr>
      <w:b/>
      <w:bCs/>
      <w:color w:val="4f81bd" w:themeColor="accent1"/>
      <w:sz w:val="18"/>
      <w:szCs w:val="18"/>
    </w:rPr>
  </w:style>
  <w:style w:type="character" w:styleId="707">
    <w:name w:val="Caption Char"/>
    <w:basedOn w:val="706"/>
    <w:link w:val="861"/>
    <w:uiPriority w:val="99"/>
  </w:style>
  <w:style w:type="table" w:styleId="708">
    <w:name w:val="Table Grid"/>
    <w:basedOn w:val="85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9">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5">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6">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7">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8">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9">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0">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7">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0">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1">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2">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3">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4">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5">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7">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8">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9">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0">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1">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1">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2">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3">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4">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5">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6">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8">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9">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0">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1">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2">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3">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5">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9">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2">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6">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4">
    <w:name w:val="Hyperlink"/>
    <w:uiPriority w:val="99"/>
    <w:unhideWhenUsed/>
    <w:rPr>
      <w:color w:val="0000ff" w:themeColor="hyperlink"/>
      <w:u w:val="single"/>
    </w:rPr>
  </w:style>
  <w:style w:type="paragraph" w:styleId="835">
    <w:name w:val="footnote text"/>
    <w:basedOn w:val="852"/>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6"/>
    <w:uiPriority w:val="99"/>
    <w:unhideWhenUsed/>
    <w:rPr>
      <w:vertAlign w:val="superscript"/>
    </w:rPr>
  </w:style>
  <w:style w:type="paragraph" w:styleId="838">
    <w:name w:val="endnote text"/>
    <w:basedOn w:val="852"/>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6"/>
    <w:uiPriority w:val="99"/>
    <w:semiHidden/>
    <w:unhideWhenUsed/>
    <w:rPr>
      <w:vertAlign w:val="superscript"/>
    </w:rPr>
  </w:style>
  <w:style w:type="paragraph" w:styleId="841">
    <w:name w:val="toc 1"/>
    <w:basedOn w:val="852"/>
    <w:next w:val="852"/>
    <w:uiPriority w:val="39"/>
    <w:unhideWhenUsed/>
    <w:pPr>
      <w:ind w:left="0" w:right="0" w:firstLine="0"/>
      <w:spacing w:after="57"/>
    </w:p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3">
    <w:name w:val="Heading 2"/>
    <w:basedOn w:val="852"/>
    <w:next w:val="85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54">
    <w:name w:val="Heading 3"/>
    <w:basedOn w:val="852"/>
    <w:next w:val="852"/>
    <w:uiPriority w:val="9"/>
    <w:unhideWhenUsed/>
    <w:qFormat/>
    <w:pPr>
      <w:keepLines/>
      <w:keepNext/>
      <w:spacing w:before="260" w:after="260" w:line="416" w:lineRule="auto"/>
      <w:outlineLvl w:val="2"/>
    </w:pPr>
    <w:rPr>
      <w:b/>
      <w:bCs/>
      <w:sz w:val="32"/>
      <w:szCs w:val="32"/>
    </w:rPr>
  </w:style>
  <w:style w:type="paragraph" w:styleId="855">
    <w:name w:val="Heading 4"/>
    <w:basedOn w:val="852"/>
    <w:next w:val="852"/>
    <w:uiPriority w:val="9"/>
    <w:unhideWhenUsed/>
    <w:qFormat/>
    <w:pPr>
      <w:keepLines/>
      <w:keepNext/>
      <w:spacing w:before="280" w:after="290" w:line="376" w:lineRule="auto"/>
      <w:outlineLvl w:val="3"/>
    </w:pPr>
    <w:rPr>
      <w:rFonts w:ascii="Cambria" w:hAnsi="Cambria" w:eastAsia="宋体" w:cs="Times New Roman"/>
      <w:b/>
      <w:bCs/>
      <w:sz w:val="28"/>
      <w:szCs w:val="28"/>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Normal Indent"/>
    <w:basedOn w:val="852"/>
    <w:uiPriority w:val="0"/>
    <w:qFormat/>
    <w:pPr>
      <w:ind w:firstLine="420"/>
    </w:pPr>
  </w:style>
  <w:style w:type="paragraph" w:styleId="859">
    <w:name w:val="Body Text"/>
    <w:basedOn w:val="852"/>
    <w:next w:val="852"/>
    <w:uiPriority w:val="0"/>
    <w:qFormat/>
    <w:rPr>
      <w:rFonts w:ascii="楷体_GB2312" w:hAnsi="Arial" w:eastAsia="楷体_GB2312"/>
      <w:sz w:val="28"/>
      <w:szCs w:val="20"/>
    </w:rPr>
  </w:style>
  <w:style w:type="paragraph" w:styleId="860">
    <w:name w:val="Body Text Indent 2"/>
    <w:basedOn w:val="852"/>
    <w:uiPriority w:val="0"/>
    <w:qFormat/>
    <w:pPr>
      <w:ind w:firstLine="480"/>
    </w:pPr>
    <w:rPr>
      <w:rFonts w:ascii="仿宋_GB2312" w:eastAsia="仿宋_GB2312"/>
      <w:sz w:val="24"/>
    </w:rPr>
  </w:style>
  <w:style w:type="paragraph" w:styleId="861">
    <w:name w:val="Footer"/>
    <w:basedOn w:val="852"/>
    <w:link w:val="868"/>
    <w:uiPriority w:val="0"/>
    <w:qFormat/>
    <w:pPr>
      <w:jc w:val="left"/>
      <w:tabs>
        <w:tab w:val="center" w:pos="4153" w:leader="none"/>
        <w:tab w:val="right" w:pos="8306" w:leader="none"/>
      </w:tabs>
    </w:pPr>
    <w:rPr>
      <w:sz w:val="18"/>
      <w:szCs w:val="18"/>
    </w:rPr>
  </w:style>
  <w:style w:type="paragraph" w:styleId="862">
    <w:name w:val="Header"/>
    <w:basedOn w:val="852"/>
    <w:link w:val="867"/>
    <w:uiPriority w:val="0"/>
    <w:qFormat/>
    <w:pPr>
      <w:jc w:val="center"/>
      <w:tabs>
        <w:tab w:val="center" w:pos="4153" w:leader="none"/>
        <w:tab w:val="right" w:pos="8306" w:leader="none"/>
      </w:tabs>
      <w:pBdr>
        <w:bottom w:val="single" w:color="auto" w:sz="6" w:space="1"/>
      </w:pBdr>
    </w:pPr>
    <w:rPr>
      <w:sz w:val="18"/>
      <w:szCs w:val="18"/>
    </w:rPr>
  </w:style>
  <w:style w:type="paragraph" w:styleId="863">
    <w:name w:val="index 9"/>
    <w:basedOn w:val="852"/>
    <w:next w:val="852"/>
    <w:uiPriority w:val="0"/>
    <w:qFormat/>
    <w:pPr>
      <w:ind w:left="1600"/>
    </w:pPr>
    <w:rPr>
      <w:rFonts w:ascii="Times New Roman" w:hAnsi="Times New Roman" w:eastAsia="宋体" w:cs="Times New Roman"/>
    </w:rPr>
  </w:style>
  <w:style w:type="paragraph" w:styleId="864">
    <w:name w:val="Normal (Web)"/>
    <w:basedOn w:val="852"/>
    <w:uiPriority w:val="0"/>
    <w:qFormat/>
    <w:pPr>
      <w:jc w:val="left"/>
      <w:spacing w:beforeAutospacing="1" w:afterAutospacing="1"/>
    </w:pPr>
    <w:rPr>
      <w:rFonts w:cs="Times New Roman"/>
      <w:sz w:val="24"/>
    </w:rPr>
  </w:style>
  <w:style w:type="paragraph" w:styleId="865">
    <w:name w:val="Body Text First Indent"/>
    <w:basedOn w:val="859"/>
    <w:next w:val="852"/>
    <w:uiPriority w:val="0"/>
    <w:qFormat/>
    <w:pPr>
      <w:ind w:firstLine="200"/>
      <w:spacing w:line="360" w:lineRule="auto"/>
    </w:pPr>
    <w:rPr>
      <w:rFonts w:ascii="仿宋_GB2312" w:eastAsia="仿宋_GB2312"/>
      <w:sz w:val="30"/>
      <w:szCs w:val="30"/>
    </w:rPr>
  </w:style>
  <w:style w:type="character" w:styleId="866">
    <w:name w:val="Strong"/>
    <w:basedOn w:val="856"/>
    <w:uiPriority w:val="0"/>
    <w:qFormat/>
    <w:rPr>
      <w:b/>
    </w:rPr>
  </w:style>
  <w:style w:type="character" w:styleId="867" w:customStyle="1">
    <w:name w:val="页眉 Char"/>
    <w:basedOn w:val="856"/>
    <w:link w:val="862"/>
    <w:uiPriority w:val="0"/>
    <w:qFormat/>
    <w:rPr>
      <w:rFonts w:asciiTheme="minorHAnsi" w:hAnsiTheme="minorHAnsi" w:eastAsiaTheme="minorEastAsia" w:cstheme="minorBidi"/>
      <w:sz w:val="18"/>
      <w:szCs w:val="18"/>
    </w:rPr>
  </w:style>
  <w:style w:type="character" w:styleId="868" w:customStyle="1">
    <w:name w:val="页脚 Char"/>
    <w:basedOn w:val="856"/>
    <w:link w:val="861"/>
    <w:uiPriority w:val="0"/>
    <w:qFormat/>
    <w:rPr>
      <w:rFonts w:asciiTheme="minorHAnsi" w:hAnsiTheme="minorHAnsi" w:eastAsiaTheme="minorEastAsia" w:cstheme="minorBidi"/>
      <w:sz w:val="18"/>
      <w:szCs w:val="18"/>
    </w:rPr>
  </w:style>
  <w:style w:type="character" w:styleId="869" w:customStyle="1">
    <w:name w:val="NormalCharacter"/>
    <w:uiPriority w:val="0"/>
    <w:qFormat/>
  </w:style>
  <w:style w:type="paragraph" w:styleId="870"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871" w:customStyle="1">
    <w:name w:val="正文1"/>
    <w:basedOn w:val="852"/>
    <w:uiPriority w:val="0"/>
    <w:qFormat/>
    <w:pPr>
      <w:ind w:firstLine="482"/>
      <w:jc w:val="left"/>
      <w:spacing w:line="408" w:lineRule="auto"/>
    </w:pPr>
    <w:rPr>
      <w:rFonts w:ascii="宋体" w:hAnsi="宋体" w:eastAsia="宋体" w:cs="Times New Roman"/>
      <w:sz w:val="24"/>
    </w:rPr>
  </w:style>
  <w:style w:type="paragraph" w:styleId="872" w:customStyle="1">
    <w:name w:val="Char"/>
    <w:basedOn w:val="852"/>
    <w:uiPriority w:val="0"/>
    <w:qFormat/>
    <w:pPr>
      <w:ind w:firstLine="200"/>
      <w:tabs>
        <w:tab w:val="left" w:pos="360" w:leader="none"/>
      </w:tabs>
    </w:pPr>
    <w:rPr>
      <w:sz w:val="28"/>
      <w:szCs w:val="30"/>
    </w:rPr>
  </w:style>
  <w:style w:type="character" w:styleId="873" w:customStyle="1">
    <w:name w:val="font41"/>
    <w:basedOn w:val="856"/>
    <w:uiPriority w:val="0"/>
    <w:rPr>
      <w:rFonts w:hint="eastAsia" w:ascii="宋体" w:hAnsi="宋体" w:eastAsia="宋体" w:cs="宋体"/>
      <w:color w:val="000000"/>
      <w:sz w:val="22"/>
      <w:szCs w:val="22"/>
      <w:u w:val="none"/>
    </w:rPr>
  </w:style>
  <w:style w:type="character" w:styleId="874" w:customStyle="1">
    <w:name w:val="font01"/>
    <w:basedOn w:val="856"/>
    <w:uiPriority w:val="0"/>
    <w:rPr>
      <w:rFonts w:hint="eastAsia" w:ascii="宋体" w:hAnsi="宋体" w:eastAsia="宋体" w:cs="宋体"/>
      <w:color w:val="000000"/>
      <w:sz w:val="22"/>
      <w:szCs w:val="22"/>
      <w:u w:val="none"/>
    </w:rPr>
  </w:style>
  <w:style w:type="character" w:styleId="875" w:customStyle="1">
    <w:name w:val="font21"/>
    <w:basedOn w:val="856"/>
    <w:uiPriority w:val="0"/>
    <w:rPr>
      <w:rFonts w:hint="eastAsia" w:ascii="宋体" w:hAnsi="宋体" w:eastAsia="宋体" w:cs="宋体"/>
      <w:color w:val="000000"/>
      <w:sz w:val="28"/>
      <w:szCs w:val="28"/>
      <w:u w:val="none"/>
    </w:rPr>
  </w:style>
  <w:style w:type="numbering" w:styleId="8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冯菁</cp:lastModifiedBy>
  <cp:revision>275</cp:revision>
  <dcterms:created xsi:type="dcterms:W3CDTF">2014-10-29T12:08:00Z</dcterms:created>
  <dcterms:modified xsi:type="dcterms:W3CDTF">2024-08-21T09:01:23Z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2BE6FDF6BFD0463390E7EB4DD2B8731A_13</vt:lpwstr>
  </property>
</Properties>
</file>