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E4249CB">
      <w:pPr>
        <w:spacing w:line="360" w:lineRule="auto"/>
        <w:jc w:val="center"/>
        <w:rPr>
          <w:rFonts w:ascii="楷体" w:hAnsi="楷体" w:eastAsia="楷体"/>
          <w:b/>
          <w:sz w:val="84"/>
        </w:rPr>
      </w:pPr>
    </w:p>
    <w:p w14:paraId="7C7DBD05">
      <w:pPr>
        <w:spacing w:line="360" w:lineRule="auto"/>
        <w:jc w:val="center"/>
        <w:rPr>
          <w:rFonts w:ascii="宋体" w:hAnsi="宋体"/>
          <w:b/>
          <w:sz w:val="84"/>
        </w:rPr>
      </w:pPr>
      <w:r>
        <w:rPr>
          <w:rFonts w:hint="eastAsia" w:ascii="宋体" w:hAnsi="宋体"/>
          <w:b/>
          <w:sz w:val="84"/>
        </w:rPr>
        <w:t>招   标   文   件</w:t>
      </w:r>
    </w:p>
    <w:p w14:paraId="408E1925">
      <w:pPr>
        <w:spacing w:line="360" w:lineRule="auto"/>
        <w:jc w:val="center"/>
        <w:rPr>
          <w:rFonts w:ascii="宋体" w:hAnsi="宋体"/>
          <w:sz w:val="44"/>
          <w:szCs w:val="44"/>
        </w:rPr>
      </w:pPr>
    </w:p>
    <w:p w14:paraId="10451EDB">
      <w:pPr>
        <w:pStyle w:val="4"/>
        <w:spacing w:line="360" w:lineRule="auto"/>
        <w:rPr>
          <w:rFonts w:ascii="宋体" w:hAnsi="宋体" w:eastAsia="宋体"/>
        </w:rPr>
      </w:pPr>
    </w:p>
    <w:p w14:paraId="1AA7DA88">
      <w:pPr>
        <w:widowControl/>
        <w:ind w:firstLine="1084"/>
        <w:rPr>
          <w:rFonts w:hint="eastAsia" w:ascii="Segoe UI" w:hAnsi="Segoe UI" w:eastAsia="宋体" w:cs="Segoe UI"/>
          <w:szCs w:val="21"/>
          <w:highlight w:val="yellow"/>
          <w:lang w:val="en-US" w:eastAsia="zh-CN"/>
        </w:rPr>
      </w:pPr>
      <w:r>
        <w:rPr>
          <w:rFonts w:hint="eastAsia" w:ascii="宋体" w:hAnsi="宋体"/>
          <w:b/>
          <w:sz w:val="36"/>
        </w:rPr>
        <w:t>项目编号：</w:t>
      </w:r>
      <w:r>
        <w:rPr>
          <w:rFonts w:hint="eastAsia" w:ascii="宋体" w:hAnsi="宋体"/>
          <w:b/>
          <w:sz w:val="36"/>
          <w:highlight w:val="none"/>
          <w:lang w:eastAsia="zh-CN"/>
        </w:rPr>
        <w:t>JSZC-321183-YDGC-G2025-0021</w:t>
      </w:r>
    </w:p>
    <w:p w14:paraId="612DAA2C">
      <w:pPr>
        <w:spacing w:line="360" w:lineRule="auto"/>
        <w:rPr>
          <w:rFonts w:ascii="宋体" w:hAnsi="宋体"/>
          <w:sz w:val="32"/>
        </w:rPr>
      </w:pPr>
    </w:p>
    <w:p w14:paraId="36C0D82E">
      <w:pPr>
        <w:spacing w:line="360" w:lineRule="auto"/>
        <w:jc w:val="center"/>
        <w:rPr>
          <w:rFonts w:ascii="宋体" w:hAnsi="宋体"/>
          <w:sz w:val="32"/>
        </w:rPr>
      </w:pPr>
    </w:p>
    <w:p w14:paraId="1137C999">
      <w:pPr>
        <w:spacing w:line="360" w:lineRule="auto"/>
        <w:ind w:firstLine="723"/>
        <w:jc w:val="center"/>
        <w:outlineLvl w:val="0"/>
        <w:rPr>
          <w:rFonts w:ascii="宋体" w:hAnsi="宋体"/>
          <w:b/>
          <w:sz w:val="36"/>
        </w:rPr>
      </w:pPr>
      <w:r>
        <w:rPr>
          <w:rFonts w:hint="eastAsia" w:ascii="宋体" w:hAnsi="宋体"/>
          <w:b/>
          <w:sz w:val="36"/>
          <w:szCs w:val="36"/>
        </w:rPr>
        <w:t>项目名称</w:t>
      </w:r>
      <w:r>
        <w:rPr>
          <w:rFonts w:hint="eastAsia" w:ascii="宋体" w:hAnsi="宋体"/>
          <w:sz w:val="36"/>
          <w:szCs w:val="36"/>
        </w:rPr>
        <w:t>：</w:t>
      </w:r>
      <w:r>
        <w:rPr>
          <w:rFonts w:hint="eastAsia" w:ascii="宋体" w:hAnsi="宋体" w:cs="宋体"/>
          <w:b/>
          <w:bCs/>
          <w:color w:val="auto"/>
          <w:sz w:val="36"/>
          <w:szCs w:val="36"/>
          <w:lang w:val="en-US" w:eastAsia="zh-CN"/>
        </w:rPr>
        <w:t>智能化数字化葡萄生产基地提升项目硬件部分采购</w:t>
      </w:r>
    </w:p>
    <w:p w14:paraId="01608FAC">
      <w:pPr>
        <w:spacing w:line="360" w:lineRule="auto"/>
        <w:rPr>
          <w:rFonts w:ascii="宋体" w:hAnsi="宋体"/>
          <w:b/>
          <w:sz w:val="36"/>
        </w:rPr>
      </w:pPr>
    </w:p>
    <w:p w14:paraId="57DDFCE9">
      <w:pPr>
        <w:spacing w:line="360" w:lineRule="auto"/>
        <w:jc w:val="center"/>
        <w:rPr>
          <w:rFonts w:ascii="宋体" w:hAnsi="宋体" w:cs="仿宋"/>
          <w:sz w:val="32"/>
          <w:szCs w:val="32"/>
        </w:rPr>
      </w:pPr>
    </w:p>
    <w:p w14:paraId="0C203094">
      <w:pPr>
        <w:spacing w:line="360" w:lineRule="auto"/>
        <w:jc w:val="center"/>
        <w:outlineLvl w:val="0"/>
        <w:rPr>
          <w:rFonts w:ascii="宋体" w:hAnsi="宋体"/>
          <w:b/>
          <w:sz w:val="36"/>
          <w:highlight w:val="white"/>
        </w:rPr>
      </w:pPr>
      <w:r>
        <w:rPr>
          <w:rFonts w:hint="eastAsia" w:ascii="宋体" w:hAnsi="宋体"/>
          <w:b/>
          <w:sz w:val="36"/>
          <w:highlight w:val="white"/>
          <w:lang w:eastAsia="zh-CN"/>
        </w:rPr>
        <w:t>永道工程咨询（江苏）有限公司</w:t>
      </w:r>
      <w:r>
        <w:rPr>
          <w:rFonts w:hint="eastAsia" w:ascii="宋体" w:hAnsi="宋体"/>
          <w:b/>
          <w:sz w:val="36"/>
          <w:highlight w:val="white"/>
        </w:rPr>
        <w:t xml:space="preserve"> </w:t>
      </w:r>
    </w:p>
    <w:p w14:paraId="70174C5C">
      <w:pPr>
        <w:spacing w:line="360" w:lineRule="auto"/>
        <w:jc w:val="center"/>
        <w:rPr>
          <w:rFonts w:ascii="宋体" w:hAnsi="宋体"/>
          <w:b/>
          <w:sz w:val="36"/>
          <w:szCs w:val="36"/>
        </w:rPr>
      </w:pPr>
    </w:p>
    <w:p w14:paraId="099858AB">
      <w:pPr>
        <w:spacing w:line="360" w:lineRule="auto"/>
        <w:jc w:val="center"/>
        <w:rPr>
          <w:rFonts w:ascii="宋体" w:hAnsi="宋体"/>
          <w:b/>
          <w:sz w:val="36"/>
          <w:szCs w:val="36"/>
          <w:highlight w:val="none"/>
        </w:rPr>
      </w:pPr>
      <w:r>
        <w:rPr>
          <w:rFonts w:hint="eastAsia" w:ascii="宋体" w:hAnsi="宋体"/>
          <w:b/>
          <w:sz w:val="36"/>
          <w:szCs w:val="22"/>
          <w:highlight w:val="none"/>
          <w:lang w:eastAsia="zh-CN"/>
        </w:rPr>
        <w:t>2025</w:t>
      </w:r>
      <w:r>
        <w:rPr>
          <w:rFonts w:hint="eastAsia" w:ascii="宋体" w:hAnsi="宋体"/>
          <w:b/>
          <w:sz w:val="36"/>
          <w:szCs w:val="22"/>
          <w:highlight w:val="none"/>
        </w:rPr>
        <w:t>年</w:t>
      </w:r>
      <w:r>
        <w:rPr>
          <w:rFonts w:hint="eastAsia" w:ascii="宋体" w:hAnsi="宋体"/>
          <w:b/>
          <w:sz w:val="36"/>
          <w:szCs w:val="22"/>
          <w:highlight w:val="none"/>
          <w:lang w:val="en-US" w:eastAsia="zh-CN"/>
        </w:rPr>
        <w:t xml:space="preserve"> 6 </w:t>
      </w:r>
      <w:r>
        <w:rPr>
          <w:rFonts w:hint="eastAsia" w:ascii="宋体" w:hAnsi="宋体"/>
          <w:b/>
          <w:sz w:val="36"/>
          <w:szCs w:val="22"/>
          <w:highlight w:val="none"/>
        </w:rPr>
        <w:t>月</w:t>
      </w:r>
      <w:r>
        <w:rPr>
          <w:rFonts w:hint="eastAsia" w:ascii="宋体" w:hAnsi="宋体"/>
          <w:b/>
          <w:sz w:val="36"/>
          <w:szCs w:val="22"/>
          <w:highlight w:val="none"/>
          <w:lang w:val="en-US" w:eastAsia="zh-CN"/>
        </w:rPr>
        <w:t xml:space="preserve"> 4 </w:t>
      </w:r>
      <w:r>
        <w:rPr>
          <w:rFonts w:hint="eastAsia" w:ascii="宋体" w:hAnsi="宋体"/>
          <w:b/>
          <w:sz w:val="36"/>
          <w:szCs w:val="22"/>
          <w:highlight w:val="none"/>
        </w:rPr>
        <w:t>日</w:t>
      </w:r>
    </w:p>
    <w:p w14:paraId="675F81AA">
      <w:pPr>
        <w:spacing w:line="360" w:lineRule="auto"/>
        <w:jc w:val="center"/>
        <w:rPr>
          <w:rFonts w:ascii="宋体" w:hAnsi="宋体"/>
          <w:b/>
          <w:sz w:val="44"/>
        </w:rPr>
      </w:pPr>
    </w:p>
    <w:p w14:paraId="38261DCD">
      <w:pPr>
        <w:pStyle w:val="58"/>
        <w:spacing w:line="360" w:lineRule="auto"/>
        <w:rPr>
          <w:rFonts w:hAnsi="宋体"/>
          <w:b/>
          <w:color w:val="auto"/>
          <w:sz w:val="44"/>
        </w:rPr>
      </w:pPr>
    </w:p>
    <w:p w14:paraId="34B1E791">
      <w:pPr>
        <w:pStyle w:val="61"/>
        <w:spacing w:line="360" w:lineRule="auto"/>
        <w:rPr>
          <w:lang w:eastAsia="zh-CN"/>
        </w:rPr>
      </w:pPr>
    </w:p>
    <w:p w14:paraId="56D51E4C">
      <w:pPr>
        <w:spacing w:line="360" w:lineRule="auto"/>
        <w:jc w:val="center"/>
        <w:rPr>
          <w:rFonts w:ascii="宋体" w:hAnsi="宋体"/>
          <w:b/>
          <w:sz w:val="44"/>
        </w:rPr>
      </w:pPr>
      <w:r>
        <w:rPr>
          <w:rFonts w:hint="eastAsia" w:ascii="宋体" w:hAnsi="宋体"/>
          <w:b/>
          <w:sz w:val="44"/>
        </w:rPr>
        <w:t>招标文件目录</w:t>
      </w:r>
    </w:p>
    <w:p w14:paraId="63213064">
      <w:pPr>
        <w:spacing w:line="360" w:lineRule="auto"/>
        <w:ind w:firstLine="883"/>
        <w:jc w:val="center"/>
        <w:rPr>
          <w:rFonts w:ascii="宋体" w:hAnsi="宋体"/>
          <w:b/>
          <w:sz w:val="44"/>
        </w:rPr>
      </w:pPr>
    </w:p>
    <w:p w14:paraId="426AF5E7">
      <w:pPr>
        <w:spacing w:line="360" w:lineRule="auto"/>
        <w:rPr>
          <w:rFonts w:ascii="宋体" w:hAnsi="宋体"/>
          <w:b/>
          <w:sz w:val="30"/>
        </w:rPr>
      </w:pPr>
      <w:r>
        <w:rPr>
          <w:rFonts w:hint="eastAsia" w:ascii="宋体" w:hAnsi="宋体"/>
          <w:b/>
          <w:sz w:val="30"/>
        </w:rPr>
        <w:t xml:space="preserve">第一部分    投标邀请   </w:t>
      </w:r>
    </w:p>
    <w:p w14:paraId="41BF6177">
      <w:pPr>
        <w:spacing w:line="360" w:lineRule="auto"/>
        <w:rPr>
          <w:rFonts w:ascii="宋体" w:hAnsi="宋体"/>
          <w:b/>
          <w:sz w:val="30"/>
        </w:rPr>
      </w:pPr>
      <w:r>
        <w:rPr>
          <w:rFonts w:hint="eastAsia" w:ascii="宋体" w:hAnsi="宋体"/>
          <w:b/>
          <w:sz w:val="30"/>
        </w:rPr>
        <w:t xml:space="preserve">第二部分    投标人须知                  </w:t>
      </w:r>
    </w:p>
    <w:p w14:paraId="46A1820F">
      <w:pPr>
        <w:spacing w:line="360" w:lineRule="auto"/>
        <w:rPr>
          <w:rFonts w:ascii="宋体" w:hAnsi="宋体"/>
          <w:b/>
          <w:sz w:val="30"/>
        </w:rPr>
      </w:pPr>
      <w:r>
        <w:rPr>
          <w:rFonts w:hint="eastAsia" w:ascii="宋体" w:hAnsi="宋体"/>
          <w:b/>
          <w:sz w:val="30"/>
        </w:rPr>
        <w:t>第三部分    拟签订的合同文本</w:t>
      </w:r>
    </w:p>
    <w:p w14:paraId="18D6E690">
      <w:pPr>
        <w:spacing w:line="360" w:lineRule="auto"/>
        <w:rPr>
          <w:rFonts w:ascii="宋体" w:hAnsi="宋体"/>
          <w:b/>
          <w:sz w:val="30"/>
        </w:rPr>
      </w:pPr>
      <w:r>
        <w:rPr>
          <w:rFonts w:hint="eastAsia" w:ascii="宋体" w:hAnsi="宋体"/>
          <w:b/>
          <w:sz w:val="30"/>
        </w:rPr>
        <w:t>第四部分    采购需求</w:t>
      </w:r>
    </w:p>
    <w:p w14:paraId="35E77DB4">
      <w:pPr>
        <w:spacing w:line="360" w:lineRule="auto"/>
        <w:rPr>
          <w:rFonts w:ascii="宋体" w:hAnsi="宋体"/>
          <w:b/>
          <w:sz w:val="30"/>
        </w:rPr>
      </w:pPr>
      <w:r>
        <w:rPr>
          <w:rFonts w:hint="eastAsia" w:ascii="宋体" w:hAnsi="宋体"/>
          <w:b/>
          <w:sz w:val="30"/>
        </w:rPr>
        <w:t>第五部分    评标办法和标准</w:t>
      </w:r>
    </w:p>
    <w:p w14:paraId="22E5023C">
      <w:pPr>
        <w:spacing w:line="360" w:lineRule="auto"/>
        <w:jc w:val="left"/>
        <w:rPr>
          <w:rFonts w:ascii="宋体" w:hAnsi="宋体"/>
          <w:b/>
          <w:sz w:val="30"/>
        </w:rPr>
      </w:pPr>
      <w:r>
        <w:rPr>
          <w:rFonts w:hint="eastAsia" w:ascii="宋体" w:hAnsi="宋体"/>
          <w:b/>
          <w:sz w:val="30"/>
        </w:rPr>
        <w:t>第六部分    投标文件（格式）</w:t>
      </w:r>
    </w:p>
    <w:p w14:paraId="31410A4D">
      <w:pPr>
        <w:pStyle w:val="5"/>
        <w:keepNext w:val="0"/>
        <w:keepLines w:val="0"/>
        <w:spacing w:before="200" w:after="200" w:line="360" w:lineRule="auto"/>
        <w:ind w:left="779" w:right="900" w:firstLine="420"/>
        <w:jc w:val="center"/>
        <w:rPr>
          <w:rFonts w:hint="eastAsia" w:ascii="宋体" w:hAnsi="宋体"/>
          <w:sz w:val="36"/>
          <w:szCs w:val="36"/>
          <w:lang w:eastAsia="zh-CN"/>
        </w:rPr>
        <w:sectPr>
          <w:pgSz w:w="11907" w:h="16840"/>
          <w:pgMar w:top="1440" w:right="1270" w:bottom="1440" w:left="1270" w:header="851" w:footer="851" w:gutter="0"/>
          <w:cols w:space="720" w:num="1"/>
          <w:titlePg/>
          <w:docGrid w:linePitch="360" w:charSpace="0"/>
        </w:sectPr>
      </w:pPr>
      <w:bookmarkStart w:id="0" w:name="_Toc92167999"/>
      <w:bookmarkStart w:id="1" w:name="_Toc100386033"/>
      <w:bookmarkStart w:id="2" w:name="_Toc20732967"/>
    </w:p>
    <w:p w14:paraId="0350A1F0">
      <w:pPr>
        <w:pStyle w:val="5"/>
        <w:keepNext w:val="0"/>
        <w:keepLines w:val="0"/>
        <w:spacing w:before="200" w:after="200" w:line="360" w:lineRule="auto"/>
        <w:ind w:left="779" w:right="900" w:firstLine="420"/>
        <w:jc w:val="center"/>
        <w:rPr>
          <w:rFonts w:ascii="宋体" w:hAnsi="宋体"/>
          <w:sz w:val="36"/>
          <w:szCs w:val="36"/>
          <w:lang w:eastAsia="zh-CN"/>
        </w:rPr>
      </w:pPr>
      <w:r>
        <w:rPr>
          <w:rFonts w:hint="eastAsia" w:ascii="宋体" w:hAnsi="宋体"/>
          <w:sz w:val="36"/>
          <w:szCs w:val="36"/>
          <w:lang w:eastAsia="zh-CN"/>
        </w:rPr>
        <w:t>第一部分  投标邀请</w:t>
      </w:r>
      <w:bookmarkEnd w:id="0"/>
      <w:bookmarkEnd w:id="1"/>
      <w:bookmarkEnd w:id="2"/>
    </w:p>
    <w:p w14:paraId="1940A368">
      <w:pPr>
        <w:pBdr>
          <w:top w:val="single" w:color="000000" w:sz="4" w:space="1"/>
          <w:left w:val="single" w:color="000000" w:sz="4" w:space="4"/>
          <w:bottom w:val="single" w:color="000000" w:sz="4" w:space="1"/>
          <w:right w:val="single" w:color="000000" w:sz="4" w:space="4"/>
        </w:pBdr>
        <w:spacing w:line="360" w:lineRule="auto"/>
        <w:ind w:firstLine="480"/>
        <w:rPr>
          <w:rFonts w:ascii="宋体" w:hAnsi="宋体"/>
          <w:sz w:val="24"/>
          <w:szCs w:val="28"/>
        </w:rPr>
      </w:pPr>
      <w:bookmarkStart w:id="3" w:name="_Toc100386044"/>
      <w:bookmarkStart w:id="4" w:name="_Toc98669341"/>
      <w:bookmarkStart w:id="5" w:name="_Toc98669699"/>
      <w:bookmarkStart w:id="6" w:name="_Toc20732978"/>
      <w:bookmarkStart w:id="7" w:name="_Toc92168010"/>
      <w:r>
        <w:rPr>
          <w:rFonts w:hint="eastAsia" w:ascii="宋体" w:hAnsi="宋体"/>
          <w:sz w:val="24"/>
          <w:szCs w:val="28"/>
        </w:rPr>
        <w:t>项目概况</w:t>
      </w:r>
    </w:p>
    <w:p w14:paraId="24BA17BE">
      <w:pPr>
        <w:pBdr>
          <w:top w:val="single" w:color="000000" w:sz="4" w:space="1"/>
          <w:left w:val="single" w:color="000000" w:sz="4" w:space="4"/>
          <w:bottom w:val="single" w:color="000000" w:sz="4" w:space="1"/>
          <w:right w:val="single" w:color="000000" w:sz="4" w:space="4"/>
        </w:pBdr>
        <w:spacing w:line="360" w:lineRule="auto"/>
        <w:ind w:firstLine="480"/>
        <w:rPr>
          <w:rFonts w:ascii="宋体" w:hAnsi="宋体"/>
          <w:sz w:val="24"/>
          <w:szCs w:val="28"/>
          <w:u w:val="single"/>
        </w:rPr>
      </w:pPr>
      <w:r>
        <w:rPr>
          <w:rFonts w:hint="eastAsia" w:ascii="宋体" w:hAnsi="宋体"/>
          <w:sz w:val="24"/>
          <w:szCs w:val="28"/>
          <w:highlight w:val="white"/>
          <w:u w:val="single"/>
          <w:lang w:eastAsia="zh-CN"/>
        </w:rPr>
        <w:t>智能化数字化葡萄生产基地提升项目硬件部分采购</w:t>
      </w:r>
      <w:r>
        <w:rPr>
          <w:rFonts w:hint="eastAsia" w:ascii="宋体" w:hAnsi="宋体"/>
          <w:sz w:val="24"/>
          <w:szCs w:val="28"/>
          <w:highlight w:val="white"/>
        </w:rPr>
        <w:t>项</w:t>
      </w:r>
      <w:r>
        <w:rPr>
          <w:rFonts w:hint="eastAsia" w:ascii="宋体" w:hAnsi="宋体"/>
          <w:sz w:val="24"/>
          <w:szCs w:val="28"/>
        </w:rPr>
        <w:t>目的潜在投标人应在</w:t>
      </w:r>
      <w:r>
        <w:rPr>
          <w:rFonts w:hint="eastAsia" w:ascii="宋体" w:hAnsi="宋体"/>
          <w:sz w:val="24"/>
          <w:szCs w:val="28"/>
          <w:highlight w:val="white"/>
          <w:u w:val="single"/>
        </w:rPr>
        <w:t>江苏政府采购网-苏采云平台</w:t>
      </w:r>
      <w:r>
        <w:rPr>
          <w:rFonts w:hint="eastAsia" w:ascii="宋体" w:hAnsi="宋体"/>
          <w:sz w:val="24"/>
          <w:highlight w:val="white"/>
          <w:u w:val="single"/>
        </w:rPr>
        <w:t>http://jszfcg.jsczt.cn/jszc/login</w:t>
      </w:r>
      <w:r>
        <w:rPr>
          <w:rFonts w:hint="eastAsia" w:ascii="宋体" w:hAnsi="宋体"/>
          <w:sz w:val="24"/>
          <w:szCs w:val="28"/>
        </w:rPr>
        <w:t>获取招标文件，并于</w:t>
      </w:r>
      <w:r>
        <w:rPr>
          <w:rFonts w:hint="eastAsia" w:ascii="宋体" w:hAnsi="宋体"/>
          <w:sz w:val="24"/>
          <w:szCs w:val="28"/>
          <w:highlight w:val="white"/>
          <w:u w:val="single"/>
          <w:lang w:eastAsia="zh-CN"/>
        </w:rPr>
        <w:t>2025</w:t>
      </w:r>
      <w:r>
        <w:rPr>
          <w:rFonts w:hint="eastAsia" w:ascii="宋体" w:hAnsi="宋体"/>
          <w:sz w:val="24"/>
          <w:szCs w:val="28"/>
          <w:highlight w:val="white"/>
          <w:u w:val="single"/>
        </w:rPr>
        <w:t>年</w:t>
      </w:r>
      <w:r>
        <w:rPr>
          <w:rFonts w:hint="eastAsia" w:ascii="宋体" w:hAnsi="宋体"/>
          <w:sz w:val="24"/>
          <w:szCs w:val="28"/>
          <w:highlight w:val="white"/>
          <w:u w:val="single"/>
          <w:lang w:val="en-US" w:eastAsia="zh-CN"/>
        </w:rPr>
        <w:t xml:space="preserve"> 7 </w:t>
      </w:r>
      <w:r>
        <w:rPr>
          <w:rFonts w:hint="eastAsia" w:ascii="宋体" w:hAnsi="宋体"/>
          <w:sz w:val="24"/>
          <w:szCs w:val="28"/>
          <w:highlight w:val="white"/>
          <w:u w:val="single"/>
        </w:rPr>
        <w:t>月</w:t>
      </w:r>
      <w:r>
        <w:rPr>
          <w:rFonts w:hint="eastAsia" w:ascii="宋体" w:hAnsi="宋体"/>
          <w:sz w:val="24"/>
          <w:szCs w:val="28"/>
          <w:highlight w:val="white"/>
          <w:u w:val="single"/>
          <w:lang w:val="en-US" w:eastAsia="zh-CN"/>
        </w:rPr>
        <w:t xml:space="preserve"> 16 </w:t>
      </w:r>
      <w:r>
        <w:rPr>
          <w:rFonts w:hint="eastAsia" w:ascii="宋体" w:hAnsi="宋体"/>
          <w:sz w:val="24"/>
          <w:szCs w:val="28"/>
          <w:highlight w:val="white"/>
          <w:u w:val="single"/>
        </w:rPr>
        <w:t>日09点00分</w:t>
      </w:r>
      <w:r>
        <w:rPr>
          <w:rFonts w:hint="eastAsia" w:ascii="宋体" w:hAnsi="宋体"/>
          <w:sz w:val="24"/>
          <w:szCs w:val="28"/>
        </w:rPr>
        <w:t>（</w:t>
      </w:r>
      <w:r>
        <w:rPr>
          <w:rFonts w:hint="eastAsia" w:ascii="宋体" w:hAnsi="宋体"/>
          <w:bCs/>
          <w:sz w:val="24"/>
          <w:szCs w:val="28"/>
        </w:rPr>
        <w:t>北京时间）前按要求递交投标文件</w:t>
      </w:r>
      <w:r>
        <w:rPr>
          <w:rFonts w:hint="eastAsia" w:ascii="宋体" w:hAnsi="宋体"/>
          <w:sz w:val="24"/>
          <w:szCs w:val="28"/>
        </w:rPr>
        <w:t>。</w:t>
      </w:r>
    </w:p>
    <w:p w14:paraId="08CD4019">
      <w:pPr>
        <w:pStyle w:val="4"/>
        <w:spacing w:line="360" w:lineRule="auto"/>
        <w:ind w:left="-142"/>
        <w:jc w:val="both"/>
        <w:rPr>
          <w:rFonts w:ascii="宋体" w:hAnsi="宋体" w:eastAsia="宋体" w:cs="宋体"/>
          <w:b w:val="0"/>
          <w:sz w:val="24"/>
          <w:szCs w:val="28"/>
        </w:rPr>
      </w:pPr>
      <w:bookmarkStart w:id="8" w:name="_Toc28359079"/>
      <w:bookmarkStart w:id="9" w:name="_Toc28359002"/>
      <w:bookmarkStart w:id="10" w:name="_Toc35393790"/>
      <w:bookmarkStart w:id="11" w:name="_Toc35393621"/>
      <w:bookmarkStart w:id="12" w:name="_Hlk24379207"/>
      <w:r>
        <w:rPr>
          <w:rFonts w:hint="eastAsia" w:ascii="宋体" w:hAnsi="宋体" w:eastAsia="宋体" w:cs="宋体"/>
          <w:b w:val="0"/>
          <w:sz w:val="24"/>
          <w:szCs w:val="28"/>
        </w:rPr>
        <w:t>一、项目基本情况</w:t>
      </w:r>
      <w:bookmarkEnd w:id="8"/>
      <w:bookmarkEnd w:id="9"/>
      <w:bookmarkEnd w:id="10"/>
      <w:bookmarkEnd w:id="11"/>
    </w:p>
    <w:p w14:paraId="41339B74">
      <w:pPr>
        <w:widowControl/>
        <w:ind w:firstLine="480"/>
        <w:rPr>
          <w:rFonts w:ascii="Segoe UI" w:hAnsi="Segoe UI" w:cs="Segoe UI"/>
          <w:szCs w:val="21"/>
        </w:rPr>
      </w:pPr>
      <w:r>
        <w:rPr>
          <w:rFonts w:hint="eastAsia" w:ascii="宋体" w:hAnsi="宋体"/>
          <w:sz w:val="24"/>
          <w:szCs w:val="28"/>
        </w:rPr>
        <w:t>项目编号</w:t>
      </w:r>
      <w:r>
        <w:rPr>
          <w:rFonts w:hint="eastAsia" w:ascii="宋体" w:hAnsi="宋体"/>
          <w:sz w:val="24"/>
          <w:szCs w:val="28"/>
          <w:highlight w:val="white"/>
        </w:rPr>
        <w:t>：</w:t>
      </w:r>
      <w:r>
        <w:rPr>
          <w:rFonts w:hint="eastAsia" w:ascii="宋体" w:hAnsi="宋体"/>
          <w:sz w:val="24"/>
          <w:szCs w:val="28"/>
          <w:lang w:eastAsia="zh-CN"/>
        </w:rPr>
        <w:t>JSZC-321183-YDGC-G2025-0021</w:t>
      </w:r>
      <w:r>
        <w:rPr>
          <w:rFonts w:hint="eastAsia" w:ascii="宋体" w:hAnsi="宋体"/>
          <w:sz w:val="24"/>
          <w:szCs w:val="28"/>
          <w:lang w:val="en-US" w:eastAsia="zh-CN"/>
        </w:rPr>
        <w:t xml:space="preserve">          </w:t>
      </w:r>
      <w:r>
        <w:rPr>
          <w:rFonts w:hint="eastAsia" w:ascii="宋体" w:hAnsi="宋体"/>
          <w:sz w:val="24"/>
          <w:szCs w:val="28"/>
        </w:rPr>
        <w:t xml:space="preserve"> </w:t>
      </w:r>
    </w:p>
    <w:p w14:paraId="4FA70E72">
      <w:pPr>
        <w:spacing w:line="360" w:lineRule="auto"/>
        <w:ind w:firstLine="480"/>
        <w:rPr>
          <w:rFonts w:hint="eastAsia" w:ascii="宋体" w:hAnsi="宋体" w:eastAsia="宋体"/>
          <w:sz w:val="24"/>
          <w:szCs w:val="28"/>
          <w:lang w:eastAsia="zh-CN"/>
        </w:rPr>
      </w:pPr>
      <w:r>
        <w:rPr>
          <w:rFonts w:hint="eastAsia" w:ascii="宋体" w:hAnsi="宋体"/>
          <w:sz w:val="24"/>
          <w:szCs w:val="28"/>
        </w:rPr>
        <w:t>项目名称：</w:t>
      </w:r>
      <w:bookmarkEnd w:id="12"/>
      <w:r>
        <w:rPr>
          <w:rFonts w:hint="eastAsia" w:ascii="宋体" w:hAnsi="宋体"/>
          <w:sz w:val="24"/>
          <w:szCs w:val="28"/>
          <w:highlight w:val="white"/>
          <w:lang w:eastAsia="zh-CN"/>
        </w:rPr>
        <w:t>智能化数字化葡萄生产基地提升项目硬件部分采购</w:t>
      </w:r>
    </w:p>
    <w:p w14:paraId="0898AD20">
      <w:pPr>
        <w:spacing w:line="360" w:lineRule="auto"/>
        <w:ind w:firstLine="480"/>
        <w:rPr>
          <w:rFonts w:ascii="宋体" w:hAnsi="宋体"/>
          <w:sz w:val="24"/>
          <w:szCs w:val="28"/>
        </w:rPr>
      </w:pPr>
      <w:r>
        <w:rPr>
          <w:rFonts w:hint="eastAsia" w:ascii="宋体" w:hAnsi="宋体"/>
          <w:sz w:val="24"/>
          <w:szCs w:val="28"/>
        </w:rPr>
        <w:t>预算金额：</w:t>
      </w:r>
      <w:r>
        <w:rPr>
          <w:rFonts w:hint="eastAsia" w:ascii="宋体" w:hAnsi="宋体"/>
          <w:sz w:val="24"/>
          <w:szCs w:val="28"/>
          <w:lang w:val="en-US" w:eastAsia="zh-CN"/>
        </w:rPr>
        <w:t>378.68192</w:t>
      </w:r>
      <w:r>
        <w:rPr>
          <w:rFonts w:hint="eastAsia" w:ascii="宋体" w:hAnsi="宋体"/>
          <w:sz w:val="24"/>
          <w:szCs w:val="28"/>
          <w:highlight w:val="none"/>
        </w:rPr>
        <w:t>万元</w:t>
      </w:r>
    </w:p>
    <w:p w14:paraId="2C8C88E1">
      <w:pPr>
        <w:spacing w:line="360" w:lineRule="auto"/>
        <w:ind w:firstLine="480"/>
        <w:rPr>
          <w:rFonts w:hint="eastAsia" w:ascii="宋体" w:hAnsi="宋体" w:eastAsia="宋体"/>
          <w:sz w:val="24"/>
          <w:lang w:eastAsia="zh-CN"/>
        </w:rPr>
      </w:pPr>
      <w:r>
        <w:rPr>
          <w:rFonts w:hint="eastAsia" w:ascii="宋体" w:hAnsi="宋体"/>
          <w:sz w:val="24"/>
          <w:szCs w:val="28"/>
        </w:rPr>
        <w:t>最高限价：</w:t>
      </w:r>
      <w:r>
        <w:rPr>
          <w:rFonts w:hint="eastAsia" w:ascii="宋体" w:hAnsi="宋体"/>
          <w:sz w:val="24"/>
          <w:szCs w:val="28"/>
          <w:lang w:val="en-US" w:eastAsia="zh-CN"/>
        </w:rPr>
        <w:t>3786819.20</w:t>
      </w:r>
      <w:r>
        <w:rPr>
          <w:rFonts w:hint="eastAsia" w:ascii="宋体" w:hAnsi="宋体"/>
          <w:sz w:val="24"/>
          <w:szCs w:val="28"/>
          <w:highlight w:val="none"/>
          <w:lang w:eastAsia="zh-CN"/>
        </w:rPr>
        <w:t>元</w:t>
      </w:r>
    </w:p>
    <w:p w14:paraId="6DC67045">
      <w:pPr>
        <w:spacing w:line="360" w:lineRule="auto"/>
        <w:ind w:firstLine="480"/>
        <w:rPr>
          <w:rFonts w:ascii="宋体" w:hAnsi="宋体"/>
          <w:sz w:val="24"/>
        </w:rPr>
      </w:pPr>
      <w:r>
        <w:rPr>
          <w:rFonts w:hint="eastAsia" w:ascii="宋体" w:hAnsi="宋体"/>
          <w:sz w:val="24"/>
          <w:szCs w:val="28"/>
        </w:rPr>
        <w:t>采购需求：详细内容及要求见第四部分采购需求</w:t>
      </w:r>
    </w:p>
    <w:p w14:paraId="19B47DF1">
      <w:pPr>
        <w:spacing w:line="360" w:lineRule="auto"/>
        <w:ind w:firstLine="480"/>
        <w:rPr>
          <w:rFonts w:ascii="宋体" w:hAnsi="宋体"/>
          <w:sz w:val="24"/>
          <w:szCs w:val="28"/>
        </w:rPr>
      </w:pPr>
      <w:r>
        <w:rPr>
          <w:rFonts w:hint="eastAsia" w:ascii="宋体" w:hAnsi="宋体"/>
          <w:sz w:val="24"/>
          <w:szCs w:val="28"/>
        </w:rPr>
        <w:t>合同履行期限：</w:t>
      </w:r>
      <w:r>
        <w:rPr>
          <w:rFonts w:hint="eastAsia" w:ascii="宋体" w:hAnsi="宋体"/>
          <w:sz w:val="24"/>
          <w:szCs w:val="28"/>
          <w:highlight w:val="none"/>
          <w:lang w:val="en-US" w:eastAsia="zh-CN"/>
        </w:rPr>
        <w:t>合同签订后4个月内完成</w:t>
      </w:r>
      <w:r>
        <w:rPr>
          <w:rFonts w:hint="eastAsia" w:ascii="宋体" w:hAnsi="宋体"/>
          <w:sz w:val="24"/>
          <w:szCs w:val="28"/>
        </w:rPr>
        <w:t>。</w:t>
      </w:r>
    </w:p>
    <w:p w14:paraId="2223BE97">
      <w:pPr>
        <w:spacing w:line="360" w:lineRule="auto"/>
        <w:ind w:firstLine="480"/>
        <w:rPr>
          <w:rFonts w:ascii="宋体" w:hAnsi="宋体"/>
          <w:sz w:val="24"/>
          <w:szCs w:val="28"/>
        </w:rPr>
      </w:pPr>
      <w:r>
        <w:rPr>
          <w:rFonts w:hint="eastAsia" w:ascii="宋体" w:hAnsi="宋体"/>
          <w:sz w:val="24"/>
        </w:rPr>
        <w:t>本项目是否接受联合体投标：</w:t>
      </w:r>
      <w:r>
        <w:rPr>
          <w:rFonts w:ascii="Wingdings" w:hAnsi="Wingdings" w:eastAsia="Wingdings" w:cs="Wingdings"/>
          <w:sz w:val="24"/>
          <w:szCs w:val="28"/>
        </w:rPr>
        <w:t></w:t>
      </w:r>
      <w:r>
        <w:rPr>
          <w:rFonts w:hint="eastAsia" w:ascii="宋体" w:hAnsi="宋体"/>
          <w:sz w:val="24"/>
          <w:szCs w:val="28"/>
        </w:rPr>
        <w:t>不接受</w:t>
      </w:r>
    </w:p>
    <w:p w14:paraId="22790B48">
      <w:pPr>
        <w:pStyle w:val="4"/>
        <w:spacing w:line="360" w:lineRule="auto"/>
        <w:ind w:left="-142"/>
        <w:jc w:val="both"/>
        <w:rPr>
          <w:rFonts w:ascii="宋体" w:hAnsi="宋体" w:eastAsia="宋体" w:cs="宋体"/>
          <w:b w:val="0"/>
          <w:sz w:val="24"/>
          <w:szCs w:val="28"/>
        </w:rPr>
      </w:pPr>
      <w:bookmarkStart w:id="13" w:name="_Toc35393791"/>
      <w:bookmarkStart w:id="14" w:name="_Toc35393622"/>
      <w:bookmarkStart w:id="15" w:name="_Toc28359080"/>
      <w:bookmarkStart w:id="16" w:name="_Toc28359003"/>
      <w:r>
        <w:rPr>
          <w:rFonts w:hint="eastAsia" w:ascii="宋体" w:hAnsi="宋体" w:eastAsia="宋体" w:cs="宋体"/>
          <w:b w:val="0"/>
          <w:sz w:val="24"/>
          <w:szCs w:val="28"/>
        </w:rPr>
        <w:t>二、申请人的资格要求：</w:t>
      </w:r>
      <w:bookmarkEnd w:id="13"/>
      <w:bookmarkEnd w:id="14"/>
      <w:bookmarkEnd w:id="15"/>
      <w:bookmarkEnd w:id="16"/>
    </w:p>
    <w:p w14:paraId="07A79F39">
      <w:pPr>
        <w:spacing w:line="360" w:lineRule="auto"/>
        <w:ind w:firstLine="480"/>
        <w:rPr>
          <w:rFonts w:ascii="宋体" w:hAnsi="宋体"/>
          <w:sz w:val="24"/>
          <w:szCs w:val="28"/>
        </w:rPr>
      </w:pPr>
      <w:bookmarkStart w:id="17" w:name="_Toc35393792"/>
      <w:bookmarkStart w:id="18" w:name="_Toc28359004"/>
      <w:bookmarkStart w:id="19" w:name="_Toc35393623"/>
      <w:bookmarkStart w:id="20" w:name="_Toc28359081"/>
      <w:r>
        <w:rPr>
          <w:rFonts w:hint="eastAsia" w:ascii="宋体" w:hAnsi="宋体"/>
          <w:sz w:val="24"/>
          <w:szCs w:val="28"/>
        </w:rPr>
        <w:t>1.满足《中华人民共和国政府采购法》第二十二条规定：</w:t>
      </w:r>
    </w:p>
    <w:p w14:paraId="3CC3F378">
      <w:pPr>
        <w:spacing w:line="360" w:lineRule="auto"/>
        <w:ind w:firstLine="480"/>
        <w:rPr>
          <w:rFonts w:ascii="宋体" w:hAnsi="宋体"/>
          <w:sz w:val="24"/>
          <w:szCs w:val="28"/>
        </w:rPr>
      </w:pPr>
      <w:r>
        <w:rPr>
          <w:rFonts w:hint="eastAsia" w:ascii="宋体" w:hAnsi="宋体"/>
          <w:sz w:val="24"/>
          <w:szCs w:val="28"/>
        </w:rPr>
        <w:t>1.1具有独立承担民事责任的能力（提供法人或者其他组织的营业执照等证明文件扫描件；投标人为自然人的，提供其身份证扫描件）；</w:t>
      </w:r>
    </w:p>
    <w:p w14:paraId="0330191E">
      <w:pPr>
        <w:spacing w:line="360" w:lineRule="auto"/>
        <w:ind w:firstLine="480"/>
        <w:rPr>
          <w:rFonts w:ascii="宋体" w:hAnsi="宋体"/>
          <w:sz w:val="24"/>
          <w:szCs w:val="28"/>
          <w:highlight w:val="yellow"/>
        </w:rPr>
      </w:pPr>
      <w:r>
        <w:rPr>
          <w:rFonts w:hint="eastAsia" w:ascii="宋体" w:hAnsi="宋体"/>
          <w:sz w:val="24"/>
          <w:szCs w:val="28"/>
        </w:rPr>
        <w:t>1.2具有良好的商业信誉和健全的财务会计制度[提供</w:t>
      </w:r>
      <w:r>
        <w:rPr>
          <w:rFonts w:hint="eastAsia" w:ascii="宋体" w:hAnsi="宋体"/>
          <w:sz w:val="24"/>
          <w:szCs w:val="28"/>
          <w:lang w:val="en-US" w:eastAsia="zh-CN"/>
        </w:rPr>
        <w:t>2024年度</w:t>
      </w:r>
      <w:r>
        <w:rPr>
          <w:rFonts w:hint="eastAsia" w:ascii="宋体" w:hAnsi="宋体"/>
          <w:sz w:val="24"/>
          <w:szCs w:val="28"/>
        </w:rPr>
        <w:t>财务报告、成立不满一年的提供至少一个月财务报告，或银行出具的资信证明，或财政部门认可的政府采购专业担保机构出具的投标担保函等，或资格承诺函（格式见第六部分）]；</w:t>
      </w:r>
    </w:p>
    <w:p w14:paraId="498803D1">
      <w:pPr>
        <w:spacing w:line="360" w:lineRule="auto"/>
        <w:ind w:firstLine="480"/>
        <w:rPr>
          <w:rFonts w:ascii="宋体" w:hAnsi="宋体"/>
          <w:sz w:val="24"/>
          <w:szCs w:val="28"/>
        </w:rPr>
      </w:pPr>
      <w:r>
        <w:rPr>
          <w:rFonts w:hint="eastAsia" w:ascii="宋体" w:hAnsi="宋体"/>
          <w:sz w:val="24"/>
          <w:szCs w:val="28"/>
        </w:rPr>
        <w:t>1.3具有履行合同所必需的设备和专业技术能力[提供投标人相关信息一览表或资格承诺函（格式见第六部分）]；</w:t>
      </w:r>
    </w:p>
    <w:p w14:paraId="413EEF1F">
      <w:pPr>
        <w:spacing w:line="360" w:lineRule="auto"/>
        <w:ind w:firstLine="480"/>
        <w:rPr>
          <w:rFonts w:ascii="宋体" w:hAnsi="宋体"/>
          <w:sz w:val="24"/>
          <w:szCs w:val="28"/>
        </w:rPr>
      </w:pPr>
      <w:r>
        <w:rPr>
          <w:rFonts w:hint="eastAsia" w:ascii="宋体" w:hAnsi="宋体"/>
          <w:sz w:val="24"/>
          <w:szCs w:val="28"/>
        </w:rPr>
        <w:t>1.4有依法缴纳税收和社会保障资金的良好记录[提供参加本次政府采购活动前半年内至少一个月依法缴纳税收和社会保险的凭据或资格承诺函（格式见第六部分）]；</w:t>
      </w:r>
    </w:p>
    <w:p w14:paraId="72626744">
      <w:pPr>
        <w:spacing w:line="360" w:lineRule="auto"/>
        <w:ind w:firstLine="480"/>
        <w:rPr>
          <w:rFonts w:hint="eastAsia" w:ascii="宋体" w:hAnsi="宋体" w:eastAsia="宋体"/>
          <w:sz w:val="24"/>
          <w:szCs w:val="28"/>
          <w:lang w:eastAsia="zh-CN"/>
        </w:rPr>
      </w:pPr>
      <w:r>
        <w:rPr>
          <w:rFonts w:hint="eastAsia" w:ascii="宋体" w:hAnsi="宋体"/>
          <w:sz w:val="24"/>
          <w:szCs w:val="28"/>
        </w:rPr>
        <w:t>1.5参加政府采购活动前三年内，在经营活动中没有重大违法记录[见投标函或提供资格承诺函（格式见第六部分）]</w:t>
      </w:r>
      <w:r>
        <w:rPr>
          <w:rFonts w:hint="eastAsia" w:ascii="宋体" w:hAnsi="宋体"/>
          <w:sz w:val="24"/>
          <w:szCs w:val="28"/>
          <w:lang w:eastAsia="zh-CN"/>
        </w:rPr>
        <w:t>；</w:t>
      </w:r>
    </w:p>
    <w:p w14:paraId="465E9841">
      <w:pPr>
        <w:spacing w:line="360" w:lineRule="auto"/>
        <w:ind w:firstLine="480"/>
        <w:rPr>
          <w:rFonts w:ascii="宋体" w:hAnsi="宋体"/>
          <w:sz w:val="24"/>
          <w:szCs w:val="28"/>
        </w:rPr>
      </w:pPr>
      <w:r>
        <w:rPr>
          <w:rFonts w:hint="eastAsia" w:ascii="宋体" w:hAnsi="宋体"/>
          <w:sz w:val="24"/>
          <w:szCs w:val="28"/>
        </w:rPr>
        <w:t>1.6法律、行政法规规定的其他条件：</w:t>
      </w:r>
      <w:r>
        <w:rPr>
          <w:rFonts w:hint="eastAsia" w:ascii="宋体" w:hAnsi="宋体"/>
          <w:bCs/>
          <w:sz w:val="24"/>
          <w:szCs w:val="28"/>
        </w:rPr>
        <w:t>无</w:t>
      </w:r>
      <w:r>
        <w:rPr>
          <w:rFonts w:hint="eastAsia" w:ascii="宋体" w:hAnsi="宋体"/>
          <w:sz w:val="24"/>
          <w:szCs w:val="28"/>
        </w:rPr>
        <w:t>。</w:t>
      </w:r>
    </w:p>
    <w:p w14:paraId="19F5AC2D">
      <w:pPr>
        <w:spacing w:line="360" w:lineRule="auto"/>
        <w:ind w:firstLine="480"/>
        <w:rPr>
          <w:rFonts w:hint="eastAsia" w:ascii="宋体" w:hAnsi="宋体" w:eastAsia="宋体"/>
          <w:sz w:val="24"/>
          <w:szCs w:val="28"/>
          <w:lang w:eastAsia="zh-CN"/>
        </w:rPr>
      </w:pPr>
      <w:r>
        <w:rPr>
          <w:rFonts w:hint="eastAsia" w:ascii="宋体" w:hAnsi="宋体"/>
          <w:sz w:val="24"/>
          <w:szCs w:val="28"/>
        </w:rPr>
        <w:t>2.落实政府采购政策需满足的资格要求：</w:t>
      </w:r>
      <w:r>
        <w:rPr>
          <w:rFonts w:ascii="宋体" w:hAnsi="宋体" w:eastAsia="宋体" w:cs="宋体"/>
          <w:color w:val="000000"/>
          <w:sz w:val="24"/>
        </w:rPr>
        <w:t>本项目不属于专门面向中小微企业采购的项目</w:t>
      </w:r>
      <w:r>
        <w:rPr>
          <w:rFonts w:hint="eastAsia" w:ascii="宋体" w:hAnsi="宋体" w:eastAsia="宋体" w:cs="宋体"/>
          <w:color w:val="000000"/>
          <w:sz w:val="24"/>
          <w:lang w:eastAsia="zh-CN"/>
        </w:rPr>
        <w:t>。</w:t>
      </w:r>
    </w:p>
    <w:p w14:paraId="2B7465D4">
      <w:pPr>
        <w:pStyle w:val="9"/>
        <w:spacing w:line="360" w:lineRule="auto"/>
        <w:ind w:firstLine="480"/>
        <w:rPr>
          <w:rFonts w:ascii="宋体" w:hAnsi="宋体"/>
          <w:sz w:val="24"/>
          <w:szCs w:val="28"/>
          <w:lang w:eastAsia="zh-CN"/>
        </w:rPr>
      </w:pPr>
      <w:r>
        <w:rPr>
          <w:rFonts w:hint="eastAsia" w:ascii="宋体" w:hAnsi="宋体"/>
          <w:sz w:val="24"/>
          <w:szCs w:val="28"/>
          <w:lang w:eastAsia="zh-CN"/>
        </w:rPr>
        <w:t>3.</w:t>
      </w:r>
      <w:r>
        <w:rPr>
          <w:rFonts w:hint="eastAsia" w:ascii="宋体" w:hAnsi="宋体"/>
          <w:sz w:val="24"/>
          <w:szCs w:val="28"/>
          <w:highlight w:val="none"/>
          <w:lang w:eastAsia="zh-CN"/>
        </w:rPr>
        <w:t>本项目的特定资格要求：无。</w:t>
      </w:r>
    </w:p>
    <w:p w14:paraId="033BA79C">
      <w:pPr>
        <w:spacing w:line="360" w:lineRule="auto"/>
        <w:ind w:firstLine="480"/>
        <w:rPr>
          <w:rFonts w:ascii="宋体" w:hAnsi="宋体"/>
          <w:sz w:val="24"/>
          <w:szCs w:val="28"/>
        </w:rPr>
      </w:pPr>
      <w:r>
        <w:rPr>
          <w:rFonts w:hint="eastAsia" w:ascii="宋体" w:hAnsi="宋体"/>
          <w:sz w:val="24"/>
          <w:szCs w:val="28"/>
        </w:rPr>
        <w:t xml:space="preserve">4.拒绝下述供应商参加本次采购活动： </w:t>
      </w:r>
    </w:p>
    <w:p w14:paraId="7F4F12FE">
      <w:pPr>
        <w:spacing w:line="360" w:lineRule="auto"/>
        <w:ind w:firstLine="480"/>
        <w:rPr>
          <w:rFonts w:ascii="宋体" w:hAnsi="宋体"/>
          <w:sz w:val="24"/>
          <w:szCs w:val="28"/>
        </w:rPr>
      </w:pPr>
      <w:r>
        <w:rPr>
          <w:rFonts w:hint="eastAsia" w:ascii="宋体" w:hAnsi="宋体"/>
          <w:sz w:val="24"/>
          <w:szCs w:val="28"/>
        </w:rPr>
        <w:t xml:space="preserve">（1）供应商单位负责人为同一人或者存在直接控股、管理关系的不同供应商，不得参加同一合同项下的政府采购活动； </w:t>
      </w:r>
    </w:p>
    <w:p w14:paraId="07AA5723">
      <w:pPr>
        <w:spacing w:line="360" w:lineRule="auto"/>
        <w:ind w:firstLine="480"/>
        <w:rPr>
          <w:rFonts w:ascii="宋体" w:hAnsi="宋体"/>
          <w:sz w:val="24"/>
          <w:szCs w:val="28"/>
        </w:rPr>
      </w:pPr>
      <w:r>
        <w:rPr>
          <w:rFonts w:hint="eastAsia" w:ascii="宋体" w:hAnsi="宋体"/>
          <w:sz w:val="24"/>
          <w:szCs w:val="28"/>
        </w:rPr>
        <w:t xml:space="preserve">（2）为采购项目提供整体设计、规范编制或者项目管理、监理、检测等服务的供应商，不得参加本项目的采购活动； </w:t>
      </w:r>
    </w:p>
    <w:p w14:paraId="09F731F8">
      <w:pPr>
        <w:pStyle w:val="9"/>
        <w:spacing w:line="360" w:lineRule="auto"/>
        <w:ind w:firstLine="480"/>
        <w:rPr>
          <w:rFonts w:ascii="宋体" w:hAnsi="宋体"/>
          <w:sz w:val="24"/>
          <w:szCs w:val="28"/>
          <w:lang w:eastAsia="zh-CN"/>
        </w:rPr>
      </w:pPr>
      <w:r>
        <w:rPr>
          <w:rFonts w:hint="eastAsia" w:ascii="宋体" w:hAnsi="宋体"/>
          <w:sz w:val="24"/>
          <w:szCs w:val="28"/>
        </w:rPr>
        <w:t>（3）供应商被“信用中国”网站（www.creditchina.gov.cn）、“中国政府采购网”(www.ccgp.gov.cn)列入失信被执行人、重大税收违法案件当事人名单、政府采购严重违法失信行为记录名单。</w:t>
      </w:r>
    </w:p>
    <w:p w14:paraId="343844DF">
      <w:pPr>
        <w:pStyle w:val="4"/>
        <w:spacing w:line="360" w:lineRule="auto"/>
        <w:ind w:left="-142"/>
        <w:jc w:val="both"/>
        <w:rPr>
          <w:rFonts w:ascii="宋体" w:hAnsi="宋体" w:eastAsia="宋体" w:cs="宋体"/>
          <w:b w:val="0"/>
          <w:sz w:val="24"/>
          <w:szCs w:val="28"/>
        </w:rPr>
      </w:pPr>
      <w:r>
        <w:rPr>
          <w:rFonts w:hint="eastAsia" w:ascii="宋体" w:hAnsi="宋体" w:eastAsia="宋体" w:cs="宋体"/>
          <w:b w:val="0"/>
          <w:sz w:val="24"/>
          <w:szCs w:val="28"/>
        </w:rPr>
        <w:t>三、获取招标文件</w:t>
      </w:r>
      <w:bookmarkEnd w:id="17"/>
      <w:bookmarkEnd w:id="18"/>
      <w:bookmarkEnd w:id="19"/>
      <w:bookmarkEnd w:id="20"/>
    </w:p>
    <w:p w14:paraId="3A9B278D">
      <w:pPr>
        <w:spacing w:line="360" w:lineRule="auto"/>
        <w:ind w:firstLine="480"/>
        <w:rPr>
          <w:rFonts w:ascii="宋体" w:hAnsi="宋体"/>
          <w:sz w:val="24"/>
          <w:szCs w:val="28"/>
        </w:rPr>
      </w:pPr>
      <w:bookmarkStart w:id="21" w:name="_Toc28359005"/>
      <w:bookmarkStart w:id="22" w:name="_Toc35393793"/>
      <w:bookmarkStart w:id="23" w:name="_Toc35393624"/>
      <w:bookmarkStart w:id="24" w:name="_Toc28359082"/>
      <w:r>
        <w:rPr>
          <w:rFonts w:hint="eastAsia" w:ascii="宋体" w:hAnsi="宋体"/>
          <w:sz w:val="24"/>
          <w:szCs w:val="28"/>
        </w:rPr>
        <w:t>获取时间</w:t>
      </w:r>
      <w:r>
        <w:rPr>
          <w:rFonts w:hint="eastAsia" w:ascii="宋体" w:hAnsi="宋体"/>
          <w:color w:val="000000" w:themeColor="text1"/>
          <w:sz w:val="24"/>
          <w:szCs w:val="28"/>
          <w:highlight w:val="white"/>
          <w14:textFill>
            <w14:solidFill>
              <w14:schemeClr w14:val="tx1"/>
            </w14:solidFill>
          </w14:textFill>
        </w:rPr>
        <w:t>：</w:t>
      </w:r>
      <w:r>
        <w:rPr>
          <w:rFonts w:hint="eastAsia" w:ascii="宋体" w:hAnsi="宋体"/>
          <w:color w:val="0000FF"/>
          <w:sz w:val="24"/>
          <w:szCs w:val="28"/>
          <w:highlight w:val="white"/>
        </w:rPr>
        <w:t>公告之时起至2025年</w:t>
      </w:r>
      <w:r>
        <w:rPr>
          <w:rFonts w:hint="eastAsia" w:ascii="宋体" w:hAnsi="宋体"/>
          <w:color w:val="0000FF"/>
          <w:sz w:val="24"/>
          <w:szCs w:val="28"/>
          <w:highlight w:val="white"/>
          <w:lang w:val="en-US" w:eastAsia="zh-CN"/>
        </w:rPr>
        <w:t>7</w:t>
      </w:r>
      <w:r>
        <w:rPr>
          <w:rFonts w:hint="eastAsia" w:ascii="宋体" w:hAnsi="宋体"/>
          <w:color w:val="0000FF"/>
          <w:sz w:val="24"/>
          <w:szCs w:val="28"/>
          <w:highlight w:val="white"/>
        </w:rPr>
        <w:t>月</w:t>
      </w:r>
      <w:r>
        <w:rPr>
          <w:rFonts w:hint="eastAsia" w:ascii="宋体" w:hAnsi="宋体"/>
          <w:color w:val="0000FF"/>
          <w:sz w:val="24"/>
          <w:szCs w:val="28"/>
          <w:highlight w:val="white"/>
          <w:lang w:val="en-US" w:eastAsia="zh-CN"/>
        </w:rPr>
        <w:t>16</w:t>
      </w:r>
      <w:r>
        <w:rPr>
          <w:rFonts w:hint="eastAsia" w:ascii="宋体" w:hAnsi="宋体"/>
          <w:color w:val="0000FF"/>
          <w:sz w:val="24"/>
          <w:szCs w:val="28"/>
          <w:highlight w:val="white"/>
        </w:rPr>
        <w:t>日09:</w:t>
      </w:r>
      <w:r>
        <w:rPr>
          <w:rFonts w:hint="eastAsia" w:ascii="宋体" w:hAnsi="宋体"/>
          <w:color w:val="0000FF"/>
          <w:sz w:val="24"/>
          <w:szCs w:val="28"/>
          <w:highlight w:val="none"/>
        </w:rPr>
        <w:t>00</w:t>
      </w:r>
      <w:r>
        <w:rPr>
          <w:rFonts w:hint="eastAsia" w:ascii="宋体" w:hAnsi="宋体"/>
          <w:sz w:val="24"/>
          <w:szCs w:val="28"/>
        </w:rPr>
        <w:t>（北京时间）</w:t>
      </w:r>
    </w:p>
    <w:p w14:paraId="321551A5">
      <w:pPr>
        <w:spacing w:line="360" w:lineRule="auto"/>
        <w:ind w:firstLine="480"/>
        <w:rPr>
          <w:rFonts w:ascii="宋体" w:hAnsi="宋体"/>
          <w:sz w:val="24"/>
          <w:szCs w:val="28"/>
        </w:rPr>
      </w:pPr>
      <w:r>
        <w:rPr>
          <w:rFonts w:hint="eastAsia" w:ascii="宋体" w:hAnsi="宋体"/>
          <w:sz w:val="24"/>
          <w:szCs w:val="28"/>
        </w:rPr>
        <w:t>获取地点：江苏政府采购网-苏采云电子交易平台</w:t>
      </w:r>
    </w:p>
    <w:p w14:paraId="19BC9DB1">
      <w:pPr>
        <w:spacing w:line="360" w:lineRule="auto"/>
        <w:ind w:firstLine="480"/>
        <w:rPr>
          <w:rFonts w:ascii="宋体" w:hAnsi="宋体"/>
          <w:sz w:val="24"/>
          <w:szCs w:val="28"/>
        </w:rPr>
      </w:pPr>
      <w:r>
        <w:rPr>
          <w:rFonts w:hint="eastAsia" w:ascii="宋体" w:hAnsi="宋体"/>
          <w:sz w:val="24"/>
          <w:szCs w:val="28"/>
        </w:rPr>
        <w:t>获取方式：在线获取</w:t>
      </w:r>
    </w:p>
    <w:p w14:paraId="5CBB3CA0">
      <w:pPr>
        <w:spacing w:line="360" w:lineRule="auto"/>
        <w:ind w:firstLine="480"/>
        <w:rPr>
          <w:rFonts w:ascii="宋体" w:hAnsi="宋体"/>
          <w:sz w:val="24"/>
          <w:szCs w:val="28"/>
        </w:rPr>
      </w:pPr>
      <w:r>
        <w:rPr>
          <w:rFonts w:hint="eastAsia" w:ascii="宋体" w:hAnsi="宋体"/>
          <w:sz w:val="24"/>
          <w:szCs w:val="28"/>
        </w:rPr>
        <w:t>（1）登录</w:t>
      </w:r>
      <w:r>
        <w:rPr>
          <w:rFonts w:ascii="宋体" w:hAnsi="宋体"/>
          <w:sz w:val="24"/>
          <w:szCs w:val="28"/>
        </w:rPr>
        <w:t>http://www.ccgp-jiangsu.gov.cn/</w:t>
      </w:r>
      <w:r>
        <w:rPr>
          <w:rFonts w:hint="eastAsia" w:ascii="宋体" w:hAnsi="宋体"/>
          <w:sz w:val="24"/>
          <w:szCs w:val="28"/>
        </w:rPr>
        <w:t>首页点击“苏采云”进入系统。</w:t>
      </w:r>
    </w:p>
    <w:p w14:paraId="310B9571">
      <w:pPr>
        <w:spacing w:line="360" w:lineRule="auto"/>
        <w:ind w:firstLine="480"/>
        <w:rPr>
          <w:rFonts w:ascii="宋体" w:hAnsi="宋体"/>
          <w:sz w:val="24"/>
          <w:szCs w:val="28"/>
        </w:rPr>
      </w:pPr>
      <w:r>
        <w:rPr>
          <w:rFonts w:hint="eastAsia" w:ascii="宋体" w:hAnsi="宋体"/>
          <w:sz w:val="24"/>
          <w:szCs w:val="28"/>
        </w:rPr>
        <w:t>（2）获取采购文件的方式：“苏采云”系统用户注册--获取“CA数字证书”--CA绑定与登录--网上报名--下载采购文件(后缀名为.kedt”)。</w:t>
      </w:r>
    </w:p>
    <w:p w14:paraId="50DF7AE4">
      <w:pPr>
        <w:spacing w:line="360" w:lineRule="auto"/>
        <w:ind w:left="420"/>
        <w:jc w:val="left"/>
        <w:rPr>
          <w:rFonts w:ascii="宋体" w:hAnsi="宋体"/>
          <w:sz w:val="24"/>
          <w:szCs w:val="28"/>
        </w:rPr>
      </w:pPr>
      <w:r>
        <w:rPr>
          <w:rFonts w:hint="eastAsia" w:ascii="宋体" w:hAnsi="宋体"/>
          <w:sz w:val="24"/>
          <w:szCs w:val="28"/>
        </w:rPr>
        <w:t>操作指南：</w:t>
      </w:r>
    </w:p>
    <w:p w14:paraId="3497F56E">
      <w:pPr>
        <w:spacing w:line="360" w:lineRule="auto"/>
        <w:ind w:left="420"/>
        <w:jc w:val="left"/>
        <w:rPr>
          <w:rFonts w:ascii="宋体" w:hAnsi="宋体"/>
          <w:sz w:val="24"/>
          <w:highlight w:val="white"/>
          <w:u w:val="single"/>
        </w:rPr>
      </w:pPr>
      <w:r>
        <w:fldChar w:fldCharType="begin"/>
      </w:r>
      <w:r>
        <w:instrText xml:space="preserve"> HYPERLINK "http://www.ccgp-jiangsu.gov.cn/jiangsu/zlxz/ee/ee3a4bc5a3454aa2b0d93122306" \o "http://www.ccgp-jiangsu.gov.cn/jiangsu/zlxz/ee/ee3a4bc5a3454aa2b0d93122306" </w:instrText>
      </w:r>
      <w:r>
        <w:fldChar w:fldCharType="separate"/>
      </w:r>
      <w:r>
        <w:rPr>
          <w:rStyle w:val="34"/>
          <w:rFonts w:ascii="宋体" w:hAnsi="宋体"/>
          <w:color w:val="auto"/>
          <w:sz w:val="24"/>
          <w:highlight w:val="white"/>
        </w:rPr>
        <w:t>http://www.ccgp-jiangsu.gov.cn/jiangsu/zlxz/ee/ee3a4bc5a3454aa2b0d93122306</w:t>
      </w:r>
      <w:r>
        <w:rPr>
          <w:rStyle w:val="34"/>
          <w:rFonts w:ascii="宋体" w:hAnsi="宋体"/>
          <w:color w:val="auto"/>
          <w:sz w:val="24"/>
          <w:highlight w:val="white"/>
        </w:rPr>
        <w:fldChar w:fldCharType="end"/>
      </w:r>
    </w:p>
    <w:p w14:paraId="675364C7">
      <w:pPr>
        <w:spacing w:line="360" w:lineRule="auto"/>
        <w:jc w:val="left"/>
        <w:rPr>
          <w:rFonts w:ascii="宋体" w:hAnsi="宋体"/>
          <w:sz w:val="24"/>
          <w:highlight w:val="white"/>
          <w:u w:val="single"/>
        </w:rPr>
      </w:pPr>
      <w:r>
        <w:rPr>
          <w:rFonts w:ascii="宋体" w:hAnsi="宋体"/>
          <w:sz w:val="24"/>
          <w:highlight w:val="white"/>
          <w:u w:val="single"/>
        </w:rPr>
        <w:t>33ce9.html</w:t>
      </w:r>
    </w:p>
    <w:p w14:paraId="4E9835C1">
      <w:pPr>
        <w:spacing w:line="360" w:lineRule="auto"/>
        <w:ind w:firstLine="480"/>
        <w:jc w:val="left"/>
        <w:rPr>
          <w:rFonts w:ascii="宋体" w:hAnsi="宋体"/>
          <w:sz w:val="24"/>
          <w:szCs w:val="28"/>
        </w:rPr>
      </w:pPr>
      <w:r>
        <w:rPr>
          <w:rFonts w:hint="eastAsia" w:ascii="宋体" w:hAnsi="宋体"/>
          <w:sz w:val="24"/>
          <w:szCs w:val="28"/>
        </w:rPr>
        <w:t>采购文件售价：免费</w:t>
      </w:r>
    </w:p>
    <w:p w14:paraId="10230F0B">
      <w:pPr>
        <w:pStyle w:val="4"/>
        <w:spacing w:line="360" w:lineRule="auto"/>
        <w:ind w:left="-142"/>
        <w:jc w:val="both"/>
        <w:rPr>
          <w:rFonts w:ascii="宋体" w:hAnsi="宋体" w:eastAsia="宋体" w:cs="宋体"/>
          <w:b w:val="0"/>
          <w:sz w:val="24"/>
          <w:szCs w:val="28"/>
        </w:rPr>
      </w:pPr>
      <w:r>
        <w:rPr>
          <w:rFonts w:hint="eastAsia" w:ascii="宋体" w:hAnsi="宋体" w:eastAsia="宋体" w:cs="宋体"/>
          <w:b w:val="0"/>
          <w:sz w:val="24"/>
          <w:szCs w:val="28"/>
        </w:rPr>
        <w:t>四、</w:t>
      </w:r>
      <w:bookmarkEnd w:id="21"/>
      <w:bookmarkEnd w:id="22"/>
      <w:bookmarkEnd w:id="23"/>
      <w:bookmarkEnd w:id="24"/>
      <w:r>
        <w:rPr>
          <w:rFonts w:hint="eastAsia" w:ascii="宋体" w:hAnsi="宋体" w:eastAsia="宋体" w:cs="宋体"/>
          <w:b w:val="0"/>
          <w:sz w:val="24"/>
          <w:szCs w:val="28"/>
        </w:rPr>
        <w:t>提交投标文件截止时间、开标时间和地点</w:t>
      </w:r>
    </w:p>
    <w:p w14:paraId="29D54AD8">
      <w:pPr>
        <w:spacing w:line="360" w:lineRule="auto"/>
        <w:ind w:firstLine="480"/>
        <w:rPr>
          <w:rFonts w:ascii="宋体" w:hAnsi="宋体"/>
          <w:bCs/>
          <w:sz w:val="24"/>
          <w:szCs w:val="28"/>
          <w:u w:val="single"/>
        </w:rPr>
      </w:pPr>
      <w:r>
        <w:rPr>
          <w:rFonts w:hint="eastAsia" w:ascii="宋体" w:hAnsi="宋体"/>
          <w:bCs/>
          <w:sz w:val="24"/>
          <w:szCs w:val="28"/>
        </w:rPr>
        <w:t>提交截止时间及开标时间：</w:t>
      </w:r>
      <w:r>
        <w:rPr>
          <w:rFonts w:hint="eastAsia" w:ascii="宋体" w:hAnsi="宋体"/>
          <w:bCs/>
          <w:sz w:val="24"/>
          <w:szCs w:val="28"/>
          <w:highlight w:val="white"/>
          <w:lang w:eastAsia="zh-CN"/>
        </w:rPr>
        <w:t>2025</w:t>
      </w:r>
      <w:r>
        <w:rPr>
          <w:rFonts w:hint="eastAsia" w:ascii="宋体" w:hAnsi="宋体"/>
          <w:bCs/>
          <w:sz w:val="24"/>
          <w:szCs w:val="28"/>
          <w:highlight w:val="white"/>
        </w:rPr>
        <w:t>年</w:t>
      </w:r>
      <w:r>
        <w:rPr>
          <w:rFonts w:hint="eastAsia" w:ascii="宋体" w:hAnsi="宋体"/>
          <w:bCs/>
          <w:sz w:val="24"/>
          <w:szCs w:val="28"/>
          <w:highlight w:val="white"/>
          <w:lang w:val="en-US" w:eastAsia="zh-CN"/>
        </w:rPr>
        <w:t xml:space="preserve"> 7 </w:t>
      </w:r>
      <w:r>
        <w:rPr>
          <w:rFonts w:hint="eastAsia" w:ascii="宋体" w:hAnsi="宋体"/>
          <w:bCs/>
          <w:sz w:val="24"/>
          <w:szCs w:val="28"/>
          <w:highlight w:val="white"/>
        </w:rPr>
        <w:t>月</w:t>
      </w:r>
      <w:r>
        <w:rPr>
          <w:rFonts w:hint="eastAsia" w:ascii="宋体" w:hAnsi="宋体"/>
          <w:bCs/>
          <w:sz w:val="24"/>
          <w:szCs w:val="28"/>
          <w:highlight w:val="white"/>
          <w:lang w:val="en-US" w:eastAsia="zh-CN"/>
        </w:rPr>
        <w:t xml:space="preserve"> 16 </w:t>
      </w:r>
      <w:r>
        <w:rPr>
          <w:rFonts w:hint="eastAsia" w:ascii="宋体" w:hAnsi="宋体"/>
          <w:bCs/>
          <w:sz w:val="24"/>
          <w:szCs w:val="28"/>
          <w:highlight w:val="white"/>
        </w:rPr>
        <w:t>日 09点00分</w:t>
      </w:r>
      <w:r>
        <w:rPr>
          <w:rFonts w:hint="eastAsia" w:ascii="宋体" w:hAnsi="宋体"/>
          <w:bCs/>
          <w:sz w:val="24"/>
          <w:szCs w:val="28"/>
        </w:rPr>
        <w:t>（北京时间）</w:t>
      </w:r>
    </w:p>
    <w:p w14:paraId="0C04A4AB">
      <w:pPr>
        <w:spacing w:line="360" w:lineRule="auto"/>
        <w:ind w:firstLine="480"/>
        <w:rPr>
          <w:rFonts w:ascii="宋体" w:hAnsi="宋体"/>
          <w:bCs/>
          <w:sz w:val="24"/>
          <w:szCs w:val="28"/>
        </w:rPr>
      </w:pPr>
      <w:bookmarkStart w:id="25" w:name="_Toc35393625"/>
      <w:bookmarkStart w:id="26" w:name="_Toc35393794"/>
      <w:bookmarkStart w:id="27" w:name="_Toc28359084"/>
      <w:bookmarkStart w:id="28" w:name="_Toc28359007"/>
      <w:r>
        <w:rPr>
          <w:rFonts w:hint="eastAsia" w:ascii="宋体" w:hAnsi="宋体"/>
          <w:bCs/>
          <w:sz w:val="24"/>
          <w:szCs w:val="28"/>
        </w:rPr>
        <w:t>截至提交投标文件截止时间，电子交易平台投标通道将关闭，投标人未完成电子投标文件有效提交的，其投标将被拒绝。</w:t>
      </w:r>
    </w:p>
    <w:p w14:paraId="2A555C79">
      <w:pPr>
        <w:spacing w:line="360" w:lineRule="auto"/>
        <w:ind w:firstLine="480"/>
        <w:rPr>
          <w:rFonts w:ascii="宋体" w:hAnsi="宋体"/>
          <w:bCs/>
          <w:sz w:val="24"/>
          <w:szCs w:val="28"/>
        </w:rPr>
      </w:pPr>
      <w:r>
        <w:rPr>
          <w:rFonts w:hint="eastAsia" w:ascii="宋体" w:hAnsi="宋体"/>
          <w:bCs/>
          <w:sz w:val="24"/>
          <w:szCs w:val="28"/>
        </w:rPr>
        <w:t>开标地点：苏采云开标大厅</w:t>
      </w:r>
    </w:p>
    <w:p w14:paraId="756A4DB1">
      <w:pPr>
        <w:spacing w:line="360" w:lineRule="auto"/>
        <w:ind w:firstLine="480"/>
        <w:rPr>
          <w:rFonts w:ascii="宋体" w:hAnsi="宋体"/>
          <w:sz w:val="24"/>
          <w:szCs w:val="28"/>
        </w:rPr>
      </w:pPr>
      <w:r>
        <w:rPr>
          <w:rFonts w:hint="eastAsia" w:ascii="宋体" w:hAnsi="宋体"/>
          <w:sz w:val="24"/>
          <w:szCs w:val="28"/>
        </w:rPr>
        <w:t>（1）本项目通过</w:t>
      </w:r>
      <w:r>
        <w:rPr>
          <w:rFonts w:hint="eastAsia" w:ascii="宋体" w:hAnsi="宋体" w:cs="宋体"/>
          <w:sz w:val="24"/>
          <w:szCs w:val="28"/>
          <w:highlight w:val="white"/>
        </w:rPr>
        <w:t>苏采云电子</w:t>
      </w:r>
      <w:r>
        <w:rPr>
          <w:rFonts w:hint="eastAsia" w:ascii="宋体" w:hAnsi="宋体"/>
          <w:sz w:val="24"/>
          <w:szCs w:val="28"/>
        </w:rPr>
        <w:t>交易平台进行采购，供应商须通过</w:t>
      </w:r>
      <w:r>
        <w:rPr>
          <w:rFonts w:hint="eastAsia" w:ascii="宋体" w:hAnsi="宋体" w:cs="宋体"/>
          <w:sz w:val="24"/>
          <w:szCs w:val="28"/>
        </w:rPr>
        <w:t>《江苏省政府采购交易管理系统（苏采云）供应商操作指南》</w:t>
      </w:r>
      <w:r>
        <w:rPr>
          <w:rFonts w:hint="eastAsia" w:ascii="宋体" w:hAnsi="宋体"/>
          <w:sz w:val="24"/>
          <w:szCs w:val="28"/>
        </w:rPr>
        <w:t>中指定的</w:t>
      </w:r>
      <w:r>
        <w:rPr>
          <w:rFonts w:hint="eastAsia" w:ascii="宋体" w:hAnsi="宋体"/>
          <w:sz w:val="24"/>
          <w:szCs w:val="28"/>
          <w:highlight w:val="white"/>
        </w:rPr>
        <w:t>政府采购客户端工具</w:t>
      </w:r>
      <w:r>
        <w:rPr>
          <w:rFonts w:hint="eastAsia" w:ascii="宋体" w:hAnsi="宋体"/>
          <w:sz w:val="24"/>
          <w:szCs w:val="28"/>
        </w:rPr>
        <w:t>在线制作并提交响应文件。</w:t>
      </w:r>
      <w:r>
        <w:rPr>
          <w:rFonts w:hint="eastAsia" w:ascii="宋体" w:hAnsi="宋体"/>
          <w:sz w:val="24"/>
          <w:highlight w:val="white"/>
        </w:rPr>
        <w:t>将后缀名为“.kedt”的采购文件导入政府采购客户端工具--制作响应文件--导出加密的响应文件(后缀名为zip) --通过“苏采云”系统上传响应文件。</w:t>
      </w:r>
      <w:r>
        <w:rPr>
          <w:rFonts w:hint="eastAsia" w:ascii="宋体" w:hAnsi="宋体"/>
          <w:sz w:val="24"/>
          <w:szCs w:val="28"/>
          <w:highlight w:val="white"/>
        </w:rPr>
        <w:t>政府采购客户端工具可通过“苏采云”系统--已报名项目--报名详情页面内相应链接进行下载，</w:t>
      </w:r>
      <w:r>
        <w:rPr>
          <w:rFonts w:hint="eastAsia" w:ascii="宋体" w:hAnsi="宋体"/>
          <w:sz w:val="24"/>
          <w:szCs w:val="28"/>
        </w:rPr>
        <w:t>截至提交电子响应文件截止时间，电子交易平台投标通道将关闭，供应商未完成电子响应文件有效提交的，其响应将被拒绝。</w:t>
      </w:r>
    </w:p>
    <w:p w14:paraId="73611E8C">
      <w:pPr>
        <w:spacing w:line="360" w:lineRule="auto"/>
        <w:ind w:firstLine="480"/>
        <w:rPr>
          <w:rFonts w:ascii="宋体" w:hAnsi="宋体"/>
          <w:sz w:val="24"/>
          <w:szCs w:val="28"/>
        </w:rPr>
      </w:pPr>
      <w:r>
        <w:rPr>
          <w:rFonts w:hint="eastAsia" w:ascii="宋体" w:hAnsi="宋体"/>
          <w:sz w:val="24"/>
          <w:szCs w:val="28"/>
        </w:rPr>
        <w:t>（2）本项目采用远程不见面交易模式，通过不见面交易系统及相应的配套硬件设备（摄像头、话筒、麦克风等）完成远程解密、开标现场异议及回复、开标唱标等交互环节。</w:t>
      </w:r>
    </w:p>
    <w:p w14:paraId="10603701">
      <w:pPr>
        <w:spacing w:line="360" w:lineRule="auto"/>
        <w:ind w:firstLine="480"/>
        <w:rPr>
          <w:rFonts w:ascii="宋体" w:hAnsi="宋体"/>
          <w:sz w:val="24"/>
          <w:szCs w:val="28"/>
        </w:rPr>
      </w:pPr>
      <w:r>
        <w:rPr>
          <w:rFonts w:hint="eastAsia" w:ascii="宋体" w:hAnsi="宋体"/>
          <w:sz w:val="24"/>
          <w:szCs w:val="28"/>
        </w:rPr>
        <w:t>不见面交易相关要求和说明如下：</w:t>
      </w:r>
    </w:p>
    <w:p w14:paraId="7287A864">
      <w:pPr>
        <w:spacing w:line="360" w:lineRule="auto"/>
        <w:ind w:firstLine="480"/>
        <w:rPr>
          <w:rFonts w:ascii="宋体" w:hAnsi="宋体"/>
          <w:sz w:val="24"/>
          <w:szCs w:val="28"/>
        </w:rPr>
      </w:pPr>
      <w:r>
        <w:rPr>
          <w:rFonts w:hint="eastAsia" w:ascii="宋体" w:hAnsi="宋体"/>
          <w:sz w:val="24"/>
          <w:szCs w:val="28"/>
        </w:rPr>
        <w:t>（1）不见面开标项目的时间均以国家授时中心发布的时间为准；</w:t>
      </w:r>
    </w:p>
    <w:p w14:paraId="34C7C262">
      <w:pPr>
        <w:spacing w:line="360" w:lineRule="auto"/>
        <w:ind w:firstLine="480"/>
        <w:rPr>
          <w:rFonts w:ascii="宋体" w:hAnsi="宋体"/>
          <w:sz w:val="24"/>
          <w:szCs w:val="28"/>
        </w:rPr>
      </w:pPr>
      <w:r>
        <w:rPr>
          <w:rFonts w:hint="eastAsia" w:ascii="宋体" w:hAnsi="宋体"/>
          <w:sz w:val="24"/>
          <w:szCs w:val="28"/>
        </w:rPr>
        <w:t>（2）开标当日，供应商不必抵达开标现场，仅需在任意地点通过“苏采云”系统（网址：http：//jszfcg.jsczt.cn/）进入系统“开标大厅”参与开标过程；</w:t>
      </w:r>
    </w:p>
    <w:p w14:paraId="114A2BE9">
      <w:pPr>
        <w:spacing w:line="360" w:lineRule="auto"/>
        <w:ind w:firstLine="480"/>
        <w:rPr>
          <w:rFonts w:ascii="宋体" w:hAnsi="宋体"/>
          <w:sz w:val="24"/>
          <w:szCs w:val="28"/>
        </w:rPr>
      </w:pPr>
      <w:r>
        <w:rPr>
          <w:rFonts w:hint="eastAsia" w:ascii="宋体" w:hAnsi="宋体"/>
          <w:sz w:val="24"/>
          <w:szCs w:val="28"/>
        </w:rPr>
        <w:t>（3）未按时加入开标会议区并完成登录操作的或未能在开标会议区内全程参与交互的，视为放弃交互和放弃对开评标全过程提疑的权利，供应商将无法看到解密指令、异议回复、唱标等实时情况，并承担由此导致的后果；</w:t>
      </w:r>
    </w:p>
    <w:p w14:paraId="7AF8E35F">
      <w:pPr>
        <w:spacing w:line="360" w:lineRule="auto"/>
        <w:ind w:firstLine="480"/>
        <w:rPr>
          <w:rFonts w:ascii="宋体" w:hAnsi="宋体"/>
          <w:sz w:val="24"/>
          <w:szCs w:val="28"/>
        </w:rPr>
      </w:pPr>
      <w:r>
        <w:rPr>
          <w:rFonts w:hint="eastAsia" w:ascii="宋体" w:hAnsi="宋体"/>
          <w:sz w:val="24"/>
          <w:szCs w:val="28"/>
        </w:rPr>
        <w:t>（4）响应文件递交截止时间后，采购人或采购代理机构将在系统内公布供应商名单然后通过开标会议区发出响应文件解密的指令，供应商在各自地点按规定时间自行实施远程解密，供应商解密限定在系统发布解密指令后30分钟之内完成。因供应商网络与电源不稳定、未按操作手册要求配置软硬件、解密锁发生故障或用错、故意不在要求时限内完成解密等自身原因，导致响应文件在规定时间内未能解密、解密失败或解密超时，视为供应商撤销其响应文件；因网上平台发生故障，导致无法按时完成投标文件解密或开、评标工作无法进行的，可根据实际情况相应延迟解密时间或调整开、评标时间（友情提示：若供应商已领取副锁（含多把副锁）请注意正副锁的使用差别）。本项目在限定的解密时间内，只要有一家供应商解密成功，即视为网上招投标平台运行无故障。</w:t>
      </w:r>
    </w:p>
    <w:p w14:paraId="5DB2AD85">
      <w:pPr>
        <w:spacing w:line="360" w:lineRule="auto"/>
        <w:ind w:firstLine="480"/>
        <w:rPr>
          <w:rFonts w:ascii="宋体" w:hAnsi="宋体"/>
          <w:sz w:val="24"/>
          <w:szCs w:val="28"/>
        </w:rPr>
      </w:pPr>
      <w:r>
        <w:rPr>
          <w:rFonts w:hint="eastAsia" w:ascii="宋体" w:hAnsi="宋体"/>
          <w:sz w:val="24"/>
          <w:szCs w:val="28"/>
        </w:rPr>
        <w:t>（5）因供应商自身软硬件配备不齐全或发生故障等问题而导致在交互过程中出现不稳定或中断等情况的，由供应商自身承担后果。</w:t>
      </w:r>
    </w:p>
    <w:p w14:paraId="75D1F133">
      <w:pPr>
        <w:pStyle w:val="4"/>
        <w:spacing w:line="360" w:lineRule="auto"/>
        <w:ind w:left="-142"/>
        <w:jc w:val="both"/>
        <w:rPr>
          <w:rFonts w:ascii="宋体" w:hAnsi="宋体" w:eastAsia="宋体" w:cs="宋体"/>
          <w:b w:val="0"/>
          <w:bCs/>
          <w:sz w:val="24"/>
          <w:szCs w:val="28"/>
        </w:rPr>
      </w:pPr>
      <w:r>
        <w:rPr>
          <w:rFonts w:hint="eastAsia" w:ascii="宋体" w:hAnsi="宋体" w:eastAsia="宋体" w:cs="宋体"/>
          <w:b w:val="0"/>
          <w:bCs/>
          <w:sz w:val="24"/>
          <w:szCs w:val="28"/>
        </w:rPr>
        <w:t>五、公告期限</w:t>
      </w:r>
      <w:bookmarkEnd w:id="25"/>
      <w:bookmarkEnd w:id="26"/>
      <w:bookmarkEnd w:id="27"/>
      <w:bookmarkEnd w:id="28"/>
    </w:p>
    <w:p w14:paraId="5801ADC4">
      <w:pPr>
        <w:spacing w:line="360" w:lineRule="auto"/>
        <w:ind w:firstLine="480"/>
        <w:rPr>
          <w:rFonts w:ascii="宋体" w:hAnsi="宋体" w:cs="宋体"/>
          <w:sz w:val="24"/>
          <w:szCs w:val="28"/>
        </w:rPr>
      </w:pPr>
      <w:r>
        <w:rPr>
          <w:rFonts w:hint="eastAsia" w:ascii="宋体" w:hAnsi="宋体" w:cs="宋体"/>
          <w:sz w:val="24"/>
          <w:szCs w:val="28"/>
        </w:rPr>
        <w:t>自本公告发布之日起5个工作日。</w:t>
      </w:r>
    </w:p>
    <w:p w14:paraId="346288F3">
      <w:pPr>
        <w:pStyle w:val="4"/>
        <w:spacing w:line="360" w:lineRule="auto"/>
        <w:ind w:left="-142"/>
        <w:jc w:val="both"/>
        <w:rPr>
          <w:rFonts w:ascii="宋体" w:hAnsi="宋体" w:eastAsia="宋体" w:cs="宋体"/>
          <w:b w:val="0"/>
          <w:sz w:val="24"/>
          <w:szCs w:val="28"/>
        </w:rPr>
      </w:pPr>
      <w:bookmarkStart w:id="29" w:name="_Toc35393626"/>
      <w:bookmarkStart w:id="30" w:name="_Toc35393795"/>
      <w:r>
        <w:rPr>
          <w:rFonts w:hint="eastAsia" w:ascii="宋体" w:hAnsi="宋体" w:eastAsia="宋体" w:cs="宋体"/>
          <w:b w:val="0"/>
          <w:sz w:val="24"/>
          <w:szCs w:val="28"/>
        </w:rPr>
        <w:t>六、其他补充事宜</w:t>
      </w:r>
      <w:bookmarkEnd w:id="29"/>
      <w:bookmarkEnd w:id="30"/>
    </w:p>
    <w:p w14:paraId="3A822287">
      <w:pPr>
        <w:spacing w:line="360" w:lineRule="auto"/>
        <w:ind w:firstLine="480"/>
        <w:rPr>
          <w:rFonts w:ascii="宋体" w:hAnsi="宋体"/>
          <w:sz w:val="24"/>
          <w:szCs w:val="28"/>
        </w:rPr>
      </w:pPr>
      <w:bookmarkStart w:id="31" w:name="OLE_LINK9"/>
      <w:bookmarkStart w:id="32" w:name="_Toc28359085"/>
      <w:bookmarkStart w:id="33" w:name="_Toc35393627"/>
      <w:bookmarkStart w:id="34" w:name="_Toc35393796"/>
      <w:bookmarkStart w:id="35" w:name="_Toc28359008"/>
      <w:r>
        <w:rPr>
          <w:rFonts w:hint="eastAsia" w:ascii="宋体" w:hAnsi="宋体"/>
          <w:sz w:val="24"/>
          <w:szCs w:val="28"/>
        </w:rPr>
        <w:t>1.本项目通过电子交易平台进行采购，请供应商提前详细阅读《江苏省政府采购交易管理系统（苏采云）供应商操作指南》。网址：</w:t>
      </w:r>
      <w:r>
        <w:rPr>
          <w:rFonts w:ascii="宋体" w:hAnsi="宋体"/>
          <w:sz w:val="24"/>
          <w:szCs w:val="28"/>
        </w:rPr>
        <w:t>http://www.ccgp-jiangsu.gov.cn/jiangsu/zlxz/ee/ee3a4bc5a3454aa2b0d9312230633ce9.html</w:t>
      </w:r>
      <w:r>
        <w:rPr>
          <w:rFonts w:hint="eastAsia" w:ascii="宋体" w:hAnsi="宋体"/>
          <w:sz w:val="24"/>
          <w:szCs w:val="28"/>
        </w:rPr>
        <w:t>。供应商在系统使用过程中如遇到涉及平台使用的任何问题，应在工作日上午9：00-1</w:t>
      </w:r>
      <w:r>
        <w:rPr>
          <w:rFonts w:ascii="宋体" w:hAnsi="宋体"/>
          <w:sz w:val="24"/>
          <w:szCs w:val="28"/>
        </w:rPr>
        <w:t>1</w:t>
      </w:r>
      <w:r>
        <w:rPr>
          <w:rFonts w:hint="eastAsia" w:ascii="宋体" w:hAnsi="宋体"/>
          <w:sz w:val="24"/>
          <w:szCs w:val="28"/>
        </w:rPr>
        <w:t>:</w:t>
      </w:r>
      <w:r>
        <w:rPr>
          <w:rFonts w:ascii="宋体" w:hAnsi="宋体"/>
          <w:sz w:val="24"/>
          <w:szCs w:val="28"/>
        </w:rPr>
        <w:t>3</w:t>
      </w:r>
      <w:r>
        <w:rPr>
          <w:rFonts w:hint="eastAsia" w:ascii="宋体" w:hAnsi="宋体"/>
          <w:sz w:val="24"/>
          <w:szCs w:val="28"/>
        </w:rPr>
        <w:t>0 下午13:30-17:30期间致电技术支持热线咨询，联系方式：0519-86722803  0519-86722805。</w:t>
      </w:r>
    </w:p>
    <w:p w14:paraId="04CA6351">
      <w:pPr>
        <w:spacing w:line="360" w:lineRule="auto"/>
        <w:ind w:firstLine="480"/>
        <w:rPr>
          <w:rFonts w:ascii="宋体" w:hAnsi="宋体"/>
          <w:sz w:val="24"/>
          <w:szCs w:val="28"/>
        </w:rPr>
      </w:pPr>
      <w:r>
        <w:rPr>
          <w:rFonts w:hint="eastAsia" w:ascii="宋体" w:hAnsi="宋体"/>
          <w:sz w:val="24"/>
          <w:szCs w:val="28"/>
        </w:rPr>
        <w:t>2.供应商需提前办理数字认证证书(政务CA及方正签章)，办理方式和注意事项详见:</w:t>
      </w:r>
      <w:r>
        <w:rPr>
          <w:rFonts w:ascii="宋体" w:hAnsi="宋体"/>
          <w:sz w:val="24"/>
          <w:szCs w:val="28"/>
        </w:rPr>
        <w:t xml:space="preserve"> </w:t>
      </w:r>
      <w:r>
        <w:fldChar w:fldCharType="begin"/>
      </w:r>
      <w:r>
        <w:instrText xml:space="preserve"> HYPERLINK "http://jsxcmm.com/help/help.html" \o "http://jsxcmm.com/help/help.html" </w:instrText>
      </w:r>
      <w:r>
        <w:fldChar w:fldCharType="separate"/>
      </w:r>
      <w:r>
        <w:rPr>
          <w:rFonts w:ascii="宋体" w:hAnsi="宋体"/>
          <w:sz w:val="24"/>
          <w:szCs w:val="28"/>
        </w:rPr>
        <w:t>http://jsxcmm.com/help/help.html</w:t>
      </w:r>
      <w:r>
        <w:rPr>
          <w:rFonts w:ascii="宋体" w:hAnsi="宋体"/>
          <w:sz w:val="24"/>
          <w:szCs w:val="28"/>
        </w:rPr>
        <w:fldChar w:fldCharType="end"/>
      </w:r>
      <w:r>
        <w:rPr>
          <w:rFonts w:ascii="宋体" w:hAnsi="宋体"/>
          <w:sz w:val="24"/>
          <w:szCs w:val="28"/>
        </w:rPr>
        <w:t>。</w:t>
      </w:r>
    </w:p>
    <w:p w14:paraId="231DE2FF">
      <w:pPr>
        <w:spacing w:line="360" w:lineRule="auto"/>
        <w:ind w:firstLine="480"/>
        <w:rPr>
          <w:rFonts w:ascii="宋体" w:hAnsi="宋体"/>
          <w:sz w:val="24"/>
          <w:szCs w:val="28"/>
        </w:rPr>
      </w:pPr>
      <w:r>
        <w:rPr>
          <w:rFonts w:hint="eastAsia" w:ascii="宋体" w:hAnsi="宋体"/>
          <w:sz w:val="24"/>
          <w:szCs w:val="28"/>
        </w:rPr>
        <w:t>3.苏采云系统使用稳定谷歌浏览器（100版本以下）或360安全浏览器（极速模式）。</w:t>
      </w:r>
      <w:bookmarkEnd w:id="31"/>
    </w:p>
    <w:p w14:paraId="6052D0DA">
      <w:pPr>
        <w:pStyle w:val="1597"/>
        <w:spacing w:line="360" w:lineRule="auto"/>
        <w:rPr>
          <w:rFonts w:ascii="宋体" w:hAnsi="宋体"/>
        </w:rPr>
      </w:pPr>
    </w:p>
    <w:p w14:paraId="1EAE6DFF">
      <w:pPr>
        <w:pStyle w:val="4"/>
        <w:spacing w:line="360" w:lineRule="auto"/>
        <w:ind w:left="-142"/>
        <w:jc w:val="both"/>
        <w:rPr>
          <w:rFonts w:ascii="宋体" w:hAnsi="宋体" w:eastAsia="宋体" w:cs="宋体"/>
          <w:b w:val="0"/>
          <w:sz w:val="24"/>
          <w:szCs w:val="28"/>
        </w:rPr>
      </w:pPr>
      <w:r>
        <w:rPr>
          <w:rFonts w:hint="eastAsia" w:ascii="宋体" w:hAnsi="宋体" w:eastAsia="宋体" w:cs="宋体"/>
          <w:b w:val="0"/>
          <w:sz w:val="24"/>
          <w:szCs w:val="28"/>
        </w:rPr>
        <w:t>七、对本次招标提出询问，请按以下方式联系。</w:t>
      </w:r>
      <w:bookmarkEnd w:id="32"/>
      <w:bookmarkEnd w:id="33"/>
      <w:bookmarkEnd w:id="34"/>
      <w:bookmarkEnd w:id="35"/>
    </w:p>
    <w:p w14:paraId="491430C3">
      <w:pPr>
        <w:widowControl/>
        <w:spacing w:line="360" w:lineRule="auto"/>
        <w:ind w:firstLine="720"/>
        <w:jc w:val="left"/>
        <w:rPr>
          <w:rFonts w:ascii="宋体" w:hAnsi="宋体"/>
          <w:sz w:val="24"/>
          <w:szCs w:val="28"/>
        </w:rPr>
      </w:pPr>
      <w:r>
        <w:rPr>
          <w:rFonts w:hint="eastAsia" w:ascii="宋体" w:hAnsi="宋体" w:cs="宋体"/>
          <w:sz w:val="24"/>
          <w:szCs w:val="28"/>
        </w:rPr>
        <w:t>1.采购人信息</w:t>
      </w:r>
    </w:p>
    <w:p w14:paraId="2C1F71F0">
      <w:pPr>
        <w:spacing w:line="360" w:lineRule="auto"/>
        <w:ind w:left="1079" w:hanging="300"/>
        <w:jc w:val="left"/>
        <w:rPr>
          <w:rFonts w:hint="eastAsia" w:ascii="宋体" w:hAnsi="宋体" w:eastAsia="宋体"/>
          <w:sz w:val="24"/>
          <w:szCs w:val="28"/>
          <w:highlight w:val="none"/>
          <w:lang w:eastAsia="zh-CN"/>
        </w:rPr>
      </w:pPr>
      <w:r>
        <w:rPr>
          <w:rFonts w:hint="eastAsia" w:ascii="宋体" w:hAnsi="宋体"/>
          <w:sz w:val="24"/>
          <w:szCs w:val="28"/>
        </w:rPr>
        <w:t>名 称：</w:t>
      </w:r>
      <w:r>
        <w:rPr>
          <w:rFonts w:hint="eastAsia" w:ascii="宋体" w:hAnsi="宋体"/>
          <w:sz w:val="24"/>
          <w:szCs w:val="28"/>
          <w:highlight w:val="none"/>
          <w:lang w:eastAsia="zh-CN"/>
        </w:rPr>
        <w:t>句容市茅山镇人民政府</w:t>
      </w:r>
    </w:p>
    <w:p w14:paraId="38E99431">
      <w:pPr>
        <w:spacing w:line="360" w:lineRule="auto"/>
        <w:ind w:left="1079" w:hanging="300"/>
        <w:jc w:val="left"/>
        <w:rPr>
          <w:rFonts w:ascii="宋体" w:hAnsi="宋体" w:cs="宋体"/>
          <w:sz w:val="24"/>
          <w:szCs w:val="28"/>
          <w:highlight w:val="none"/>
        </w:rPr>
      </w:pPr>
      <w:r>
        <w:rPr>
          <w:rFonts w:hint="eastAsia" w:ascii="宋体" w:hAnsi="宋体"/>
          <w:sz w:val="24"/>
          <w:szCs w:val="28"/>
          <w:highlight w:val="none"/>
        </w:rPr>
        <w:t>地 址：句容市茅山镇春城集镇</w:t>
      </w:r>
    </w:p>
    <w:p w14:paraId="19D0F5FF">
      <w:pPr>
        <w:spacing w:line="360" w:lineRule="auto"/>
        <w:ind w:left="1079" w:hanging="300"/>
        <w:jc w:val="left"/>
        <w:rPr>
          <w:rFonts w:hint="eastAsia" w:ascii="宋体" w:hAnsi="宋体" w:eastAsia="宋体"/>
          <w:sz w:val="24"/>
          <w:szCs w:val="28"/>
          <w:lang w:eastAsia="zh-CN"/>
        </w:rPr>
      </w:pPr>
      <w:r>
        <w:rPr>
          <w:rFonts w:hint="eastAsia" w:ascii="宋体" w:hAnsi="宋体"/>
          <w:sz w:val="24"/>
          <w:szCs w:val="28"/>
        </w:rPr>
        <w:t>联系人：</w:t>
      </w:r>
      <w:r>
        <w:rPr>
          <w:rFonts w:hint="eastAsia" w:ascii="宋体" w:hAnsi="宋体"/>
          <w:sz w:val="24"/>
          <w:szCs w:val="28"/>
          <w:highlight w:val="none"/>
          <w:lang w:val="en-US" w:eastAsia="zh-CN"/>
        </w:rPr>
        <w:t>陈主任</w:t>
      </w:r>
    </w:p>
    <w:p w14:paraId="7C692633">
      <w:pPr>
        <w:spacing w:line="360" w:lineRule="auto"/>
        <w:ind w:left="1079" w:hanging="300"/>
        <w:jc w:val="left"/>
        <w:rPr>
          <w:rFonts w:hint="default" w:ascii="宋体" w:hAnsi="宋体" w:eastAsia="宋体"/>
          <w:sz w:val="24"/>
          <w:szCs w:val="28"/>
          <w:highlight w:val="yellow"/>
          <w:lang w:val="en-US" w:eastAsia="zh-CN"/>
        </w:rPr>
      </w:pPr>
      <w:r>
        <w:rPr>
          <w:rFonts w:hint="eastAsia" w:ascii="宋体" w:hAnsi="宋体"/>
          <w:sz w:val="24"/>
          <w:szCs w:val="28"/>
        </w:rPr>
        <w:t>联系方式：</w:t>
      </w:r>
      <w:bookmarkStart w:id="36" w:name="_Toc28359086"/>
      <w:bookmarkStart w:id="37" w:name="_Toc28359009"/>
      <w:r>
        <w:rPr>
          <w:rFonts w:hint="eastAsia" w:ascii="宋体" w:hAnsi="宋体"/>
          <w:sz w:val="24"/>
          <w:szCs w:val="28"/>
          <w:highlight w:val="none"/>
          <w:lang w:val="en-US" w:eastAsia="zh-CN"/>
        </w:rPr>
        <w:t>0511-87873399</w:t>
      </w:r>
    </w:p>
    <w:p w14:paraId="55034A28">
      <w:pPr>
        <w:spacing w:line="360" w:lineRule="auto"/>
        <w:ind w:left="1079" w:hanging="300"/>
        <w:jc w:val="left"/>
        <w:rPr>
          <w:rFonts w:ascii="宋体" w:hAnsi="宋体"/>
          <w:sz w:val="24"/>
          <w:szCs w:val="28"/>
        </w:rPr>
      </w:pPr>
      <w:r>
        <w:rPr>
          <w:rFonts w:hint="eastAsia" w:ascii="宋体" w:hAnsi="宋体" w:cs="宋体"/>
          <w:sz w:val="24"/>
          <w:szCs w:val="28"/>
        </w:rPr>
        <w:t>2.采购代理机构信息</w:t>
      </w:r>
      <w:bookmarkEnd w:id="36"/>
      <w:bookmarkEnd w:id="37"/>
    </w:p>
    <w:p w14:paraId="1E2880B9">
      <w:pPr>
        <w:spacing w:line="360" w:lineRule="auto"/>
        <w:ind w:left="1079" w:hanging="300"/>
        <w:jc w:val="left"/>
        <w:rPr>
          <w:rFonts w:hint="eastAsia" w:ascii="宋体" w:hAnsi="宋体" w:eastAsia="宋体"/>
          <w:sz w:val="24"/>
          <w:szCs w:val="28"/>
          <w:lang w:eastAsia="zh-CN"/>
        </w:rPr>
      </w:pPr>
      <w:r>
        <w:rPr>
          <w:rFonts w:hint="eastAsia" w:ascii="宋体" w:hAnsi="宋体"/>
          <w:sz w:val="24"/>
          <w:szCs w:val="28"/>
        </w:rPr>
        <w:t>名 称：</w:t>
      </w:r>
      <w:r>
        <w:rPr>
          <w:rFonts w:hint="eastAsia" w:ascii="宋体" w:hAnsi="宋体"/>
          <w:sz w:val="24"/>
          <w:szCs w:val="28"/>
          <w:highlight w:val="white"/>
          <w:lang w:eastAsia="zh-CN"/>
        </w:rPr>
        <w:t>永道工程咨询（江苏）有限公司</w:t>
      </w:r>
    </w:p>
    <w:p w14:paraId="69F903D8">
      <w:pPr>
        <w:spacing w:line="360" w:lineRule="auto"/>
        <w:ind w:left="1079" w:hanging="300"/>
        <w:jc w:val="left"/>
        <w:rPr>
          <w:rFonts w:hint="eastAsia" w:ascii="宋体" w:hAnsi="宋体" w:eastAsia="宋体"/>
          <w:sz w:val="24"/>
          <w:szCs w:val="28"/>
          <w:lang w:eastAsia="zh-CN"/>
        </w:rPr>
      </w:pPr>
      <w:r>
        <w:rPr>
          <w:rFonts w:hint="eastAsia" w:ascii="宋体" w:hAnsi="宋体"/>
          <w:sz w:val="24"/>
          <w:szCs w:val="28"/>
        </w:rPr>
        <w:t>地 址：</w:t>
      </w:r>
      <w:r>
        <w:rPr>
          <w:rFonts w:hint="eastAsia" w:ascii="宋体" w:hAnsi="宋体"/>
          <w:sz w:val="24"/>
          <w:szCs w:val="28"/>
          <w:lang w:eastAsia="zh-CN"/>
        </w:rPr>
        <w:t>句容市肖杆村258号</w:t>
      </w:r>
    </w:p>
    <w:p w14:paraId="5FFE912C">
      <w:pPr>
        <w:spacing w:line="360" w:lineRule="auto"/>
        <w:ind w:left="1079" w:hanging="300"/>
        <w:jc w:val="left"/>
        <w:rPr>
          <w:rFonts w:hint="default" w:ascii="宋体" w:hAnsi="宋体" w:eastAsia="宋体"/>
          <w:sz w:val="24"/>
          <w:szCs w:val="28"/>
          <w:lang w:val="en-US" w:eastAsia="zh-CN"/>
        </w:rPr>
      </w:pPr>
      <w:r>
        <w:rPr>
          <w:rFonts w:hint="eastAsia" w:ascii="宋体" w:hAnsi="宋体"/>
          <w:sz w:val="24"/>
          <w:szCs w:val="28"/>
        </w:rPr>
        <w:t>联系方式：</w:t>
      </w:r>
      <w:bookmarkStart w:id="38" w:name="_Toc28359010"/>
      <w:bookmarkStart w:id="39" w:name="_Toc28359087"/>
      <w:r>
        <w:rPr>
          <w:rFonts w:hint="eastAsia" w:ascii="宋体" w:hAnsi="宋体"/>
          <w:sz w:val="24"/>
          <w:szCs w:val="28"/>
          <w:highlight w:val="none"/>
          <w:lang w:val="en-US" w:eastAsia="zh-CN"/>
        </w:rPr>
        <w:t>0511-87301979</w:t>
      </w:r>
    </w:p>
    <w:p w14:paraId="03B7D899">
      <w:pPr>
        <w:spacing w:line="360" w:lineRule="auto"/>
        <w:ind w:left="1079" w:hanging="300"/>
        <w:jc w:val="left"/>
        <w:rPr>
          <w:rFonts w:ascii="宋体" w:hAnsi="宋体"/>
          <w:sz w:val="24"/>
          <w:szCs w:val="28"/>
        </w:rPr>
      </w:pPr>
      <w:r>
        <w:rPr>
          <w:rFonts w:hint="eastAsia" w:ascii="宋体" w:hAnsi="宋体" w:cs="宋体"/>
          <w:sz w:val="24"/>
          <w:szCs w:val="28"/>
        </w:rPr>
        <w:t>3.项目联系方式</w:t>
      </w:r>
      <w:bookmarkEnd w:id="38"/>
      <w:bookmarkEnd w:id="39"/>
    </w:p>
    <w:p w14:paraId="6CAD911F">
      <w:pPr>
        <w:spacing w:line="360" w:lineRule="auto"/>
        <w:ind w:left="1079" w:hanging="300"/>
        <w:jc w:val="left"/>
        <w:rPr>
          <w:rFonts w:hint="default" w:ascii="宋体" w:hAnsi="宋体" w:eastAsia="宋体"/>
          <w:sz w:val="24"/>
          <w:szCs w:val="28"/>
          <w:lang w:val="en-US" w:eastAsia="zh-CN"/>
        </w:rPr>
      </w:pPr>
      <w:r>
        <w:rPr>
          <w:rFonts w:hint="eastAsia" w:ascii="宋体" w:hAnsi="宋体"/>
          <w:sz w:val="24"/>
          <w:szCs w:val="28"/>
        </w:rPr>
        <w:t>项目联系人：</w:t>
      </w:r>
      <w:r>
        <w:rPr>
          <w:rFonts w:hint="eastAsia" w:ascii="宋体" w:hAnsi="宋体"/>
          <w:sz w:val="24"/>
          <w:szCs w:val="28"/>
          <w:lang w:val="en-US" w:eastAsia="zh-CN"/>
        </w:rPr>
        <w:t>唐工</w:t>
      </w:r>
    </w:p>
    <w:p w14:paraId="58C8C886">
      <w:pPr>
        <w:spacing w:line="360" w:lineRule="auto"/>
        <w:ind w:left="1079" w:hanging="300"/>
        <w:jc w:val="left"/>
        <w:rPr>
          <w:rFonts w:hint="default" w:ascii="宋体" w:hAnsi="宋体"/>
          <w:sz w:val="24"/>
          <w:szCs w:val="28"/>
          <w:lang w:val="en-US"/>
        </w:rPr>
      </w:pPr>
      <w:r>
        <w:rPr>
          <w:rFonts w:hint="eastAsia" w:ascii="宋体" w:hAnsi="宋体"/>
          <w:sz w:val="24"/>
          <w:szCs w:val="28"/>
        </w:rPr>
        <w:t>电 话：</w:t>
      </w:r>
      <w:r>
        <w:rPr>
          <w:rFonts w:hint="eastAsia" w:ascii="宋体" w:hAnsi="宋体"/>
          <w:sz w:val="24"/>
          <w:szCs w:val="28"/>
          <w:highlight w:val="none"/>
          <w:lang w:val="en-US" w:eastAsia="zh-CN"/>
        </w:rPr>
        <w:t>15262997531</w:t>
      </w:r>
    </w:p>
    <w:p w14:paraId="22DCAD25">
      <w:pPr>
        <w:spacing w:line="360" w:lineRule="auto"/>
        <w:ind w:left="1079" w:hanging="300"/>
        <w:jc w:val="right"/>
        <w:rPr>
          <w:rFonts w:ascii="宋体" w:hAnsi="宋体" w:cs="宋体"/>
          <w:sz w:val="24"/>
          <w:szCs w:val="28"/>
        </w:rPr>
      </w:pPr>
    </w:p>
    <w:p w14:paraId="0E4CBB65">
      <w:pPr>
        <w:spacing w:line="360" w:lineRule="auto"/>
        <w:ind w:left="1079" w:hanging="300"/>
        <w:jc w:val="right"/>
        <w:rPr>
          <w:rFonts w:hint="eastAsia" w:ascii="宋体" w:hAnsi="宋体" w:eastAsia="宋体" w:cs="宋体"/>
          <w:sz w:val="24"/>
          <w:szCs w:val="28"/>
          <w:lang w:eastAsia="zh-CN"/>
        </w:rPr>
      </w:pPr>
      <w:r>
        <w:rPr>
          <w:rFonts w:hint="eastAsia" w:ascii="宋体" w:hAnsi="宋体" w:cs="宋体"/>
          <w:sz w:val="24"/>
          <w:szCs w:val="28"/>
        </w:rPr>
        <w:t xml:space="preserve">                   </w:t>
      </w:r>
      <w:r>
        <w:rPr>
          <w:rFonts w:hint="eastAsia" w:ascii="宋体" w:hAnsi="宋体"/>
          <w:sz w:val="24"/>
          <w:szCs w:val="28"/>
          <w:highlight w:val="white"/>
          <w:lang w:eastAsia="zh-CN"/>
        </w:rPr>
        <w:t>永道工程咨询（江苏）有限公司</w:t>
      </w:r>
    </w:p>
    <w:p w14:paraId="3D1DDD36">
      <w:pPr>
        <w:spacing w:line="360" w:lineRule="auto"/>
        <w:ind w:left="1079" w:hanging="300"/>
        <w:jc w:val="right"/>
        <w:rPr>
          <w:rFonts w:ascii="宋体" w:hAnsi="宋体"/>
          <w:sz w:val="24"/>
          <w:szCs w:val="28"/>
          <w:highlight w:val="white"/>
        </w:rPr>
      </w:pPr>
      <w:r>
        <w:rPr>
          <w:rFonts w:hint="eastAsia" w:ascii="宋体" w:hAnsi="宋体" w:cs="宋体"/>
          <w:sz w:val="24"/>
          <w:szCs w:val="28"/>
        </w:rPr>
        <w:t xml:space="preserve">                                               </w:t>
      </w:r>
      <w:r>
        <w:rPr>
          <w:rFonts w:hint="eastAsia" w:ascii="宋体" w:hAnsi="宋体"/>
          <w:sz w:val="24"/>
          <w:szCs w:val="28"/>
          <w:highlight w:val="white"/>
        </w:rPr>
        <w:t xml:space="preserve">     </w:t>
      </w:r>
      <w:r>
        <w:rPr>
          <w:rFonts w:hint="eastAsia" w:ascii="宋体" w:hAnsi="宋体"/>
          <w:sz w:val="24"/>
          <w:szCs w:val="28"/>
          <w:highlight w:val="none"/>
          <w:lang w:eastAsia="zh-CN"/>
        </w:rPr>
        <w:t>2025</w:t>
      </w:r>
      <w:r>
        <w:rPr>
          <w:rFonts w:hint="eastAsia" w:ascii="宋体" w:hAnsi="宋体"/>
          <w:sz w:val="24"/>
          <w:szCs w:val="28"/>
          <w:highlight w:val="none"/>
        </w:rPr>
        <w:t>年</w:t>
      </w:r>
      <w:r>
        <w:rPr>
          <w:rFonts w:hint="eastAsia" w:ascii="宋体" w:hAnsi="宋体"/>
          <w:sz w:val="24"/>
          <w:szCs w:val="28"/>
          <w:highlight w:val="none"/>
          <w:lang w:val="en-US" w:eastAsia="zh-CN"/>
        </w:rPr>
        <w:t xml:space="preserve"> 6 </w:t>
      </w:r>
      <w:r>
        <w:rPr>
          <w:rFonts w:hint="eastAsia" w:ascii="宋体" w:hAnsi="宋体"/>
          <w:sz w:val="24"/>
          <w:szCs w:val="28"/>
          <w:highlight w:val="none"/>
        </w:rPr>
        <w:t>月</w:t>
      </w:r>
      <w:r>
        <w:rPr>
          <w:rFonts w:hint="eastAsia" w:ascii="宋体" w:hAnsi="宋体"/>
          <w:sz w:val="24"/>
          <w:szCs w:val="28"/>
          <w:highlight w:val="none"/>
          <w:lang w:val="en-US" w:eastAsia="zh-CN"/>
        </w:rPr>
        <w:t xml:space="preserve"> 4 </w:t>
      </w:r>
      <w:r>
        <w:rPr>
          <w:rFonts w:hint="eastAsia" w:ascii="宋体" w:hAnsi="宋体"/>
          <w:sz w:val="24"/>
          <w:szCs w:val="28"/>
          <w:highlight w:val="none"/>
        </w:rPr>
        <w:t>日</w:t>
      </w:r>
      <w:bookmarkEnd w:id="3"/>
      <w:bookmarkEnd w:id="4"/>
      <w:bookmarkEnd w:id="5"/>
      <w:bookmarkEnd w:id="6"/>
      <w:bookmarkEnd w:id="7"/>
    </w:p>
    <w:p w14:paraId="2FC0945A">
      <w:pPr>
        <w:spacing w:line="360" w:lineRule="auto"/>
        <w:rPr>
          <w:rFonts w:ascii="宋体" w:hAnsi="宋体"/>
          <w:szCs w:val="32"/>
        </w:rPr>
      </w:pPr>
      <w:bookmarkStart w:id="40" w:name="_Toc92168000"/>
      <w:bookmarkStart w:id="41" w:name="_Toc100386034"/>
      <w:r>
        <w:rPr>
          <w:rFonts w:hint="eastAsia" w:ascii="宋体" w:hAnsi="宋体"/>
          <w:szCs w:val="32"/>
        </w:rPr>
        <w:br w:type="page" w:clear="all"/>
      </w:r>
    </w:p>
    <w:p w14:paraId="09CC7C9E">
      <w:pPr>
        <w:pStyle w:val="5"/>
        <w:keepNext w:val="0"/>
        <w:keepLines w:val="0"/>
        <w:spacing w:before="0" w:after="0" w:line="360" w:lineRule="auto"/>
        <w:jc w:val="center"/>
        <w:rPr>
          <w:rFonts w:ascii="宋体" w:hAnsi="宋体"/>
          <w:szCs w:val="32"/>
          <w:lang w:eastAsia="zh-CN"/>
        </w:rPr>
      </w:pPr>
      <w:r>
        <w:rPr>
          <w:rFonts w:hint="eastAsia" w:ascii="宋体" w:hAnsi="宋体"/>
          <w:szCs w:val="32"/>
          <w:lang w:eastAsia="zh-CN"/>
        </w:rPr>
        <w:t>第二部分    投标人须知</w:t>
      </w:r>
    </w:p>
    <w:p w14:paraId="37B6095E">
      <w:pPr>
        <w:pStyle w:val="5"/>
        <w:keepNext w:val="0"/>
        <w:keepLines w:val="0"/>
        <w:spacing w:before="0" w:after="0" w:line="360" w:lineRule="auto"/>
        <w:jc w:val="center"/>
        <w:rPr>
          <w:rFonts w:ascii="宋体" w:hAnsi="宋体"/>
          <w:szCs w:val="32"/>
        </w:rPr>
      </w:pPr>
      <w:r>
        <w:rPr>
          <w:rFonts w:hint="eastAsia" w:ascii="宋体" w:hAnsi="宋体"/>
          <w:szCs w:val="32"/>
        </w:rPr>
        <w:t>前附表</w:t>
      </w:r>
    </w:p>
    <w:tbl>
      <w:tblPr>
        <w:tblStyle w:val="30"/>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12"/>
        <w:gridCol w:w="1980"/>
        <w:gridCol w:w="6791"/>
      </w:tblGrid>
      <w:tr w14:paraId="0804BB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6" w:type="dxa"/>
            <w:noWrap w:val="0"/>
            <w:vAlign w:val="center"/>
          </w:tcPr>
          <w:p w14:paraId="364EC182">
            <w:pPr>
              <w:pStyle w:val="9"/>
              <w:spacing w:line="360" w:lineRule="auto"/>
              <w:ind w:firstLine="0"/>
              <w:jc w:val="center"/>
              <w:rPr>
                <w:rFonts w:ascii="宋体" w:hAnsi="宋体" w:cs="楷体"/>
                <w:sz w:val="24"/>
              </w:rPr>
            </w:pPr>
            <w:r>
              <w:rPr>
                <w:rFonts w:hint="eastAsia" w:ascii="宋体" w:hAnsi="宋体" w:cs="楷体"/>
                <w:sz w:val="24"/>
              </w:rPr>
              <w:t>序号</w:t>
            </w:r>
          </w:p>
        </w:tc>
        <w:tc>
          <w:tcPr>
            <w:tcW w:w="1994" w:type="dxa"/>
            <w:noWrap w:val="0"/>
            <w:vAlign w:val="center"/>
          </w:tcPr>
          <w:p w14:paraId="738F62E9">
            <w:pPr>
              <w:pStyle w:val="9"/>
              <w:spacing w:line="360" w:lineRule="auto"/>
              <w:ind w:firstLine="0"/>
              <w:jc w:val="center"/>
              <w:rPr>
                <w:rFonts w:ascii="宋体" w:hAnsi="宋体" w:cs="楷体"/>
                <w:sz w:val="24"/>
              </w:rPr>
            </w:pPr>
            <w:r>
              <w:rPr>
                <w:rFonts w:hint="eastAsia" w:ascii="宋体" w:hAnsi="宋体" w:cs="楷体"/>
                <w:sz w:val="24"/>
              </w:rPr>
              <w:t>事项</w:t>
            </w:r>
          </w:p>
        </w:tc>
        <w:tc>
          <w:tcPr>
            <w:tcW w:w="6819" w:type="dxa"/>
            <w:noWrap w:val="0"/>
            <w:vAlign w:val="center"/>
          </w:tcPr>
          <w:p w14:paraId="153D4841">
            <w:pPr>
              <w:pStyle w:val="9"/>
              <w:spacing w:line="360" w:lineRule="auto"/>
              <w:ind w:firstLine="0"/>
              <w:jc w:val="center"/>
              <w:rPr>
                <w:rFonts w:ascii="宋体" w:hAnsi="宋体" w:cs="楷体"/>
                <w:sz w:val="24"/>
              </w:rPr>
            </w:pPr>
            <w:r>
              <w:rPr>
                <w:rFonts w:hint="eastAsia" w:ascii="宋体" w:hAnsi="宋体" w:cs="楷体"/>
                <w:sz w:val="24"/>
              </w:rPr>
              <w:t>本项目规定</w:t>
            </w:r>
          </w:p>
        </w:tc>
      </w:tr>
      <w:tr w14:paraId="3B1CF5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6" w:type="dxa"/>
            <w:noWrap w:val="0"/>
            <w:vAlign w:val="center"/>
          </w:tcPr>
          <w:p w14:paraId="583AD571">
            <w:pPr>
              <w:pStyle w:val="9"/>
              <w:spacing w:line="360" w:lineRule="auto"/>
              <w:ind w:firstLine="0"/>
              <w:jc w:val="center"/>
              <w:rPr>
                <w:rFonts w:ascii="宋体" w:hAnsi="宋体" w:cs="楷体"/>
                <w:sz w:val="24"/>
              </w:rPr>
            </w:pPr>
            <w:r>
              <w:rPr>
                <w:rFonts w:hint="eastAsia" w:ascii="宋体" w:hAnsi="宋体" w:cs="楷体"/>
                <w:sz w:val="24"/>
              </w:rPr>
              <w:t>1</w:t>
            </w:r>
          </w:p>
        </w:tc>
        <w:tc>
          <w:tcPr>
            <w:tcW w:w="1994" w:type="dxa"/>
            <w:noWrap w:val="0"/>
            <w:vAlign w:val="center"/>
          </w:tcPr>
          <w:p w14:paraId="5EB178DE">
            <w:pPr>
              <w:pStyle w:val="9"/>
              <w:spacing w:line="360" w:lineRule="auto"/>
              <w:ind w:firstLine="0"/>
              <w:jc w:val="center"/>
              <w:rPr>
                <w:rFonts w:ascii="宋体" w:hAnsi="宋体" w:cs="楷体"/>
                <w:sz w:val="24"/>
              </w:rPr>
            </w:pPr>
            <w:r>
              <w:rPr>
                <w:rFonts w:hint="eastAsia" w:ascii="宋体" w:hAnsi="宋体" w:cs="楷体"/>
                <w:sz w:val="24"/>
              </w:rPr>
              <w:t>报价要求</w:t>
            </w:r>
          </w:p>
        </w:tc>
        <w:tc>
          <w:tcPr>
            <w:tcW w:w="6819" w:type="dxa"/>
            <w:noWrap w:val="0"/>
            <w:vAlign w:val="center"/>
          </w:tcPr>
          <w:p w14:paraId="1B171F7A">
            <w:pPr>
              <w:pStyle w:val="9"/>
              <w:spacing w:line="360" w:lineRule="auto"/>
              <w:ind w:firstLine="0"/>
              <w:rPr>
                <w:rFonts w:ascii="宋体" w:hAnsi="宋体" w:cs="楷体"/>
                <w:sz w:val="24"/>
                <w:lang w:eastAsia="zh-CN"/>
              </w:rPr>
            </w:pPr>
            <w:r>
              <w:rPr>
                <w:rFonts w:hint="eastAsia" w:ascii="宋体" w:hAnsi="宋体" w:cs="楷体"/>
                <w:sz w:val="24"/>
                <w:lang w:eastAsia="zh-CN"/>
              </w:rPr>
              <w:t>本次投标报价的币种为人民币。</w:t>
            </w:r>
          </w:p>
          <w:p w14:paraId="430B87F8">
            <w:pPr>
              <w:pStyle w:val="9"/>
              <w:spacing w:line="360" w:lineRule="auto"/>
              <w:ind w:firstLine="0"/>
              <w:rPr>
                <w:rFonts w:ascii="宋体" w:hAnsi="宋体" w:cs="楷体"/>
                <w:sz w:val="24"/>
                <w:lang w:eastAsia="zh-CN"/>
              </w:rPr>
            </w:pPr>
            <w:r>
              <w:rPr>
                <w:rFonts w:hint="eastAsia" w:ascii="宋体" w:hAnsi="宋体" w:cs="楷体"/>
                <w:sz w:val="24"/>
                <w:lang w:eastAsia="zh-CN"/>
              </w:rPr>
              <w:t>投标人应按招标文件所提供的各报价表格式报价。</w:t>
            </w:r>
          </w:p>
          <w:p w14:paraId="2B98AFEB">
            <w:pPr>
              <w:pStyle w:val="9"/>
              <w:spacing w:line="360" w:lineRule="auto"/>
              <w:ind w:firstLine="0"/>
              <w:rPr>
                <w:rFonts w:ascii="宋体" w:hAnsi="宋体" w:cs="楷体"/>
                <w:sz w:val="24"/>
                <w:lang w:eastAsia="zh-CN"/>
              </w:rPr>
            </w:pPr>
            <w:r>
              <w:rPr>
                <w:rFonts w:hint="eastAsia" w:ascii="宋体" w:hAnsi="宋体" w:cs="楷体"/>
                <w:sz w:val="24"/>
                <w:lang w:eastAsia="zh-CN"/>
              </w:rPr>
              <w:t>投标人应对本项目报出最具有竞争力的价格，应包括本次招标要求提供的货物（服务）已支付或将支付的所有费用（含税费）。</w:t>
            </w:r>
          </w:p>
          <w:p w14:paraId="53571758">
            <w:pPr>
              <w:pStyle w:val="9"/>
              <w:spacing w:line="360" w:lineRule="auto"/>
              <w:ind w:firstLine="0"/>
              <w:rPr>
                <w:rFonts w:ascii="宋体" w:hAnsi="宋体" w:cs="楷体"/>
                <w:sz w:val="24"/>
                <w:lang w:eastAsia="zh-CN"/>
              </w:rPr>
            </w:pPr>
            <w:r>
              <w:rPr>
                <w:rFonts w:hint="eastAsia" w:ascii="宋体" w:hAnsi="宋体" w:cs="楷体"/>
                <w:sz w:val="24"/>
                <w:lang w:eastAsia="zh-CN"/>
              </w:rPr>
              <w:t>最低投标报价不能作为中标的保证。</w:t>
            </w:r>
          </w:p>
          <w:p w14:paraId="4A94B4E7">
            <w:pPr>
              <w:pStyle w:val="9"/>
              <w:spacing w:line="360" w:lineRule="auto"/>
              <w:ind w:firstLine="0"/>
              <w:rPr>
                <w:rFonts w:ascii="宋体" w:hAnsi="宋体" w:cs="楷体"/>
                <w:sz w:val="24"/>
                <w:lang w:eastAsia="zh-CN"/>
              </w:rPr>
            </w:pPr>
            <w:r>
              <w:rPr>
                <w:rFonts w:hint="eastAsia" w:ascii="宋体" w:hAnsi="宋体" w:cs="楷体"/>
                <w:sz w:val="24"/>
                <w:lang w:eastAsia="zh-CN"/>
              </w:rPr>
              <w:t>中标价即为合同签约价。</w:t>
            </w:r>
          </w:p>
          <w:p w14:paraId="6A2B43E4">
            <w:pPr>
              <w:pStyle w:val="9"/>
              <w:spacing w:line="360" w:lineRule="auto"/>
              <w:ind w:firstLine="0"/>
              <w:rPr>
                <w:rFonts w:ascii="宋体" w:hAnsi="宋体" w:cs="楷体"/>
                <w:sz w:val="24"/>
                <w:lang w:eastAsia="zh-CN"/>
              </w:rPr>
            </w:pPr>
            <w:r>
              <w:rPr>
                <w:rFonts w:hint="eastAsia" w:ascii="宋体" w:hAnsi="宋体" w:cs="楷体"/>
                <w:sz w:val="24"/>
                <w:lang w:eastAsia="zh-CN"/>
              </w:rPr>
              <w:t>如出现报价前后不一致的，将按招标文件第五部分“评标办法和标准”第5项规定进行修正。</w:t>
            </w:r>
          </w:p>
        </w:tc>
      </w:tr>
      <w:tr w14:paraId="24F46B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66" w:hRule="atLeast"/>
        </w:trPr>
        <w:tc>
          <w:tcPr>
            <w:tcW w:w="816" w:type="dxa"/>
            <w:noWrap w:val="0"/>
            <w:vAlign w:val="center"/>
          </w:tcPr>
          <w:p w14:paraId="693F6E23">
            <w:pPr>
              <w:pStyle w:val="9"/>
              <w:spacing w:line="360" w:lineRule="auto"/>
              <w:ind w:firstLine="0"/>
              <w:jc w:val="center"/>
              <w:rPr>
                <w:rFonts w:ascii="宋体" w:hAnsi="宋体" w:cs="楷体"/>
                <w:sz w:val="24"/>
              </w:rPr>
            </w:pPr>
            <w:r>
              <w:rPr>
                <w:rFonts w:hint="eastAsia" w:ascii="宋体" w:hAnsi="宋体" w:cs="楷体"/>
                <w:sz w:val="24"/>
              </w:rPr>
              <w:t>2</w:t>
            </w:r>
          </w:p>
        </w:tc>
        <w:tc>
          <w:tcPr>
            <w:tcW w:w="1994" w:type="dxa"/>
            <w:noWrap w:val="0"/>
            <w:vAlign w:val="center"/>
          </w:tcPr>
          <w:p w14:paraId="34F8C24D">
            <w:pPr>
              <w:pStyle w:val="9"/>
              <w:spacing w:line="360" w:lineRule="auto"/>
              <w:ind w:firstLine="0"/>
              <w:jc w:val="center"/>
              <w:rPr>
                <w:rFonts w:ascii="宋体" w:hAnsi="宋体" w:cs="楷体"/>
                <w:sz w:val="24"/>
              </w:rPr>
            </w:pPr>
            <w:r>
              <w:rPr>
                <w:rFonts w:hint="eastAsia" w:ascii="宋体" w:hAnsi="宋体" w:cs="楷体"/>
                <w:sz w:val="24"/>
              </w:rPr>
              <w:t>转包及分包</w:t>
            </w:r>
          </w:p>
        </w:tc>
        <w:tc>
          <w:tcPr>
            <w:tcW w:w="6819" w:type="dxa"/>
            <w:noWrap w:val="0"/>
            <w:vAlign w:val="center"/>
          </w:tcPr>
          <w:p w14:paraId="4DEF42C4">
            <w:pPr>
              <w:pStyle w:val="9"/>
              <w:spacing w:line="360" w:lineRule="auto"/>
              <w:ind w:firstLine="0"/>
              <w:rPr>
                <w:rFonts w:ascii="宋体" w:hAnsi="宋体" w:cs="楷体"/>
                <w:sz w:val="24"/>
                <w:lang w:eastAsia="zh-CN"/>
              </w:rPr>
            </w:pPr>
            <w:r>
              <w:rPr>
                <w:rFonts w:hint="eastAsia" w:ascii="宋体" w:hAnsi="宋体" w:cs="楷体"/>
                <w:sz w:val="24"/>
                <w:lang w:eastAsia="zh-CN"/>
              </w:rPr>
              <w:t>项目依法不得转包</w:t>
            </w:r>
          </w:p>
          <w:p w14:paraId="57C4CFEC">
            <w:pPr>
              <w:pStyle w:val="9"/>
              <w:spacing w:line="360" w:lineRule="auto"/>
              <w:ind w:firstLine="0"/>
              <w:rPr>
                <w:rFonts w:ascii="宋体" w:hAnsi="宋体" w:cs="楷体"/>
                <w:sz w:val="24"/>
                <w:lang w:eastAsia="zh-CN"/>
              </w:rPr>
            </w:pPr>
            <w:r>
              <w:rPr>
                <w:rFonts w:ascii="Wingdings" w:hAnsi="Wingdings" w:eastAsia="Wingdings" w:cs="Wingdings"/>
                <w:sz w:val="24"/>
                <w:lang w:eastAsia="zh-CN"/>
              </w:rPr>
              <w:t></w:t>
            </w:r>
            <w:r>
              <w:rPr>
                <w:rFonts w:hint="eastAsia" w:ascii="宋体" w:hAnsi="宋体" w:cs="楷体"/>
                <w:sz w:val="24"/>
                <w:lang w:eastAsia="zh-CN"/>
              </w:rPr>
              <w:t>A本项目不同意分包。</w:t>
            </w:r>
          </w:p>
          <w:p w14:paraId="1AF91412">
            <w:pPr>
              <w:pStyle w:val="9"/>
              <w:spacing w:line="360" w:lineRule="auto"/>
              <w:ind w:firstLine="0"/>
              <w:rPr>
                <w:rFonts w:ascii="宋体" w:hAnsi="宋体" w:cs="楷体"/>
                <w:sz w:val="24"/>
                <w:lang w:eastAsia="zh-CN"/>
              </w:rPr>
            </w:pPr>
            <w:r>
              <w:rPr>
                <w:rFonts w:ascii="Wingdings 2" w:hAnsi="Wingdings 2" w:eastAsia="Wingdings 2" w:cs="Wingdings 2"/>
                <w:sz w:val="24"/>
                <w:lang w:eastAsia="zh-CN"/>
              </w:rPr>
              <w:t></w:t>
            </w:r>
            <w:r>
              <w:rPr>
                <w:rFonts w:hint="eastAsia" w:ascii="宋体" w:hAnsi="宋体" w:cs="楷体"/>
                <w:sz w:val="24"/>
                <w:lang w:eastAsia="zh-CN"/>
              </w:rPr>
              <w:t>B同意将非主体、非关键性的工作分包。投标人应当在投标文件中载明分包承担主体，分包承担主体应当具备相应资质条件且不得再次分包。</w:t>
            </w:r>
            <w:r>
              <w:rPr>
                <w:rFonts w:hint="eastAsia" w:ascii="宋体" w:hAnsi="宋体"/>
                <w:sz w:val="24"/>
                <w:shd w:val="clear" w:color="auto" w:fill="FFFFFF"/>
                <w:lang w:eastAsia="zh-CN"/>
              </w:rPr>
              <w:t>享受中小企业扶持政策获得政府采购合同的，小微企业不得将合同分包给大中型企业，中型企业不得将合同分包给大型企业。</w:t>
            </w:r>
          </w:p>
        </w:tc>
      </w:tr>
      <w:tr w14:paraId="1DFEDE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66" w:hRule="atLeast"/>
        </w:trPr>
        <w:tc>
          <w:tcPr>
            <w:tcW w:w="816" w:type="dxa"/>
            <w:noWrap w:val="0"/>
            <w:vAlign w:val="center"/>
          </w:tcPr>
          <w:p w14:paraId="3CC1CA8A">
            <w:pPr>
              <w:pStyle w:val="9"/>
              <w:spacing w:line="360" w:lineRule="auto"/>
              <w:ind w:firstLine="0"/>
              <w:jc w:val="center"/>
              <w:rPr>
                <w:rFonts w:ascii="宋体" w:hAnsi="宋体" w:cs="楷体"/>
                <w:sz w:val="24"/>
              </w:rPr>
            </w:pPr>
            <w:r>
              <w:rPr>
                <w:rFonts w:hint="eastAsia" w:ascii="宋体" w:hAnsi="宋体" w:cs="楷体"/>
                <w:sz w:val="24"/>
              </w:rPr>
              <w:t>3</w:t>
            </w:r>
          </w:p>
        </w:tc>
        <w:tc>
          <w:tcPr>
            <w:tcW w:w="1994" w:type="dxa"/>
            <w:noWrap w:val="0"/>
            <w:vAlign w:val="center"/>
          </w:tcPr>
          <w:p w14:paraId="0FFD2003">
            <w:pPr>
              <w:pStyle w:val="9"/>
              <w:spacing w:line="360" w:lineRule="auto"/>
              <w:ind w:firstLine="0"/>
              <w:jc w:val="center"/>
              <w:rPr>
                <w:rFonts w:ascii="宋体" w:hAnsi="宋体" w:cs="楷体"/>
                <w:sz w:val="24"/>
              </w:rPr>
            </w:pPr>
            <w:r>
              <w:rPr>
                <w:rFonts w:hint="eastAsia" w:ascii="宋体" w:hAnsi="宋体" w:cs="楷体"/>
                <w:sz w:val="24"/>
              </w:rPr>
              <w:t>开标前答疑会</w:t>
            </w:r>
          </w:p>
        </w:tc>
        <w:tc>
          <w:tcPr>
            <w:tcW w:w="6819" w:type="dxa"/>
            <w:noWrap w:val="0"/>
            <w:vAlign w:val="center"/>
          </w:tcPr>
          <w:p w14:paraId="06532B39">
            <w:pPr>
              <w:pStyle w:val="9"/>
              <w:spacing w:line="360" w:lineRule="auto"/>
              <w:ind w:firstLine="0"/>
              <w:rPr>
                <w:rFonts w:ascii="宋体" w:hAnsi="宋体" w:cs="楷体"/>
                <w:sz w:val="24"/>
              </w:rPr>
            </w:pPr>
            <w:r>
              <w:rPr>
                <w:rFonts w:ascii="Wingdings" w:hAnsi="Wingdings" w:eastAsia="Wingdings" w:cs="Wingdings"/>
                <w:sz w:val="24"/>
              </w:rPr>
              <w:t></w:t>
            </w:r>
            <w:r>
              <w:rPr>
                <w:rFonts w:hint="eastAsia" w:ascii="宋体" w:hAnsi="宋体" w:cs="楷体"/>
                <w:sz w:val="24"/>
              </w:rPr>
              <w:t>A不组织</w:t>
            </w:r>
          </w:p>
          <w:p w14:paraId="1947314A">
            <w:pPr>
              <w:pStyle w:val="9"/>
              <w:spacing w:line="360" w:lineRule="auto"/>
              <w:ind w:firstLine="0"/>
              <w:rPr>
                <w:rFonts w:ascii="宋体" w:hAnsi="宋体" w:cs="楷体"/>
                <w:sz w:val="24"/>
              </w:rPr>
            </w:pPr>
            <w:r>
              <w:rPr>
                <w:rFonts w:ascii="Wingdings 2" w:hAnsi="Wingdings 2" w:eastAsia="Wingdings 2" w:cs="Wingdings 2"/>
                <w:sz w:val="24"/>
              </w:rPr>
              <w:t></w:t>
            </w:r>
            <w:r>
              <w:rPr>
                <w:rFonts w:hint="eastAsia" w:ascii="宋体" w:hAnsi="宋体" w:cs="楷体"/>
                <w:sz w:val="24"/>
              </w:rPr>
              <w:t>B组织</w:t>
            </w:r>
          </w:p>
        </w:tc>
      </w:tr>
      <w:tr w14:paraId="549363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66" w:hRule="atLeast"/>
        </w:trPr>
        <w:tc>
          <w:tcPr>
            <w:tcW w:w="816" w:type="dxa"/>
            <w:noWrap w:val="0"/>
            <w:vAlign w:val="center"/>
          </w:tcPr>
          <w:p w14:paraId="1773A6BF">
            <w:pPr>
              <w:pStyle w:val="9"/>
              <w:spacing w:line="360" w:lineRule="auto"/>
              <w:ind w:firstLine="0"/>
              <w:jc w:val="center"/>
              <w:rPr>
                <w:rFonts w:ascii="宋体" w:hAnsi="宋体" w:cs="楷体"/>
                <w:sz w:val="24"/>
              </w:rPr>
            </w:pPr>
            <w:r>
              <w:rPr>
                <w:rFonts w:hint="eastAsia" w:ascii="宋体" w:hAnsi="宋体" w:cs="楷体"/>
                <w:sz w:val="24"/>
              </w:rPr>
              <w:t>4</w:t>
            </w:r>
          </w:p>
        </w:tc>
        <w:tc>
          <w:tcPr>
            <w:tcW w:w="1994" w:type="dxa"/>
            <w:noWrap w:val="0"/>
            <w:vAlign w:val="center"/>
          </w:tcPr>
          <w:p w14:paraId="53E3751F">
            <w:pPr>
              <w:pStyle w:val="9"/>
              <w:spacing w:line="360" w:lineRule="auto"/>
              <w:ind w:firstLine="0"/>
              <w:jc w:val="center"/>
              <w:rPr>
                <w:rFonts w:ascii="宋体" w:hAnsi="宋体" w:cs="楷体"/>
                <w:sz w:val="24"/>
              </w:rPr>
            </w:pPr>
            <w:r>
              <w:rPr>
                <w:rFonts w:hint="eastAsia" w:ascii="宋体" w:hAnsi="宋体" w:cs="楷体"/>
                <w:sz w:val="24"/>
              </w:rPr>
              <w:t>现场踏勘</w:t>
            </w:r>
          </w:p>
        </w:tc>
        <w:tc>
          <w:tcPr>
            <w:tcW w:w="6819" w:type="dxa"/>
            <w:noWrap w:val="0"/>
            <w:vAlign w:val="center"/>
          </w:tcPr>
          <w:p w14:paraId="1AC42E60">
            <w:pPr>
              <w:pStyle w:val="9"/>
              <w:spacing w:line="360" w:lineRule="auto"/>
              <w:ind w:firstLine="0"/>
              <w:rPr>
                <w:rFonts w:ascii="宋体" w:hAnsi="宋体" w:cs="楷体"/>
                <w:sz w:val="24"/>
                <w:lang w:eastAsia="zh-CN"/>
              </w:rPr>
            </w:pPr>
            <w:r>
              <w:rPr>
                <w:rFonts w:ascii="Wingdings" w:hAnsi="Wingdings" w:eastAsia="Wingdings" w:cs="Wingdings"/>
                <w:sz w:val="24"/>
                <w:lang w:eastAsia="zh-CN"/>
              </w:rPr>
              <w:t></w:t>
            </w:r>
            <w:r>
              <w:rPr>
                <w:rFonts w:hint="eastAsia" w:ascii="宋体" w:hAnsi="宋体" w:cs="楷体"/>
                <w:sz w:val="24"/>
                <w:lang w:eastAsia="zh-CN"/>
              </w:rPr>
              <w:t>A不统一组织</w:t>
            </w:r>
          </w:p>
          <w:p w14:paraId="26BFCE2E">
            <w:pPr>
              <w:pStyle w:val="9"/>
              <w:spacing w:line="360" w:lineRule="auto"/>
              <w:ind w:firstLine="0"/>
              <w:rPr>
                <w:rFonts w:ascii="宋体" w:hAnsi="宋体" w:cs="楷体"/>
                <w:sz w:val="24"/>
                <w:lang w:eastAsia="zh-CN"/>
              </w:rPr>
            </w:pPr>
            <w:r>
              <w:rPr>
                <w:rFonts w:ascii="Wingdings 2" w:hAnsi="Wingdings 2" w:eastAsia="Wingdings 2" w:cs="Wingdings 2"/>
                <w:sz w:val="24"/>
                <w:lang w:eastAsia="zh-CN"/>
              </w:rPr>
              <w:t></w:t>
            </w:r>
            <w:r>
              <w:rPr>
                <w:rFonts w:hint="eastAsia" w:ascii="宋体" w:hAnsi="宋体" w:cs="楷体"/>
                <w:sz w:val="24"/>
                <w:lang w:eastAsia="zh-CN"/>
              </w:rPr>
              <w:t>B统一组织</w:t>
            </w:r>
          </w:p>
        </w:tc>
      </w:tr>
      <w:tr w14:paraId="213FBA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66" w:hRule="atLeast"/>
        </w:trPr>
        <w:tc>
          <w:tcPr>
            <w:tcW w:w="816" w:type="dxa"/>
            <w:noWrap w:val="0"/>
            <w:vAlign w:val="center"/>
          </w:tcPr>
          <w:p w14:paraId="04384EE8">
            <w:pPr>
              <w:pStyle w:val="9"/>
              <w:spacing w:line="360" w:lineRule="auto"/>
              <w:ind w:firstLine="0"/>
              <w:jc w:val="center"/>
              <w:rPr>
                <w:rFonts w:ascii="宋体" w:hAnsi="宋体" w:cs="楷体"/>
                <w:sz w:val="24"/>
              </w:rPr>
            </w:pPr>
            <w:r>
              <w:rPr>
                <w:rFonts w:hint="eastAsia" w:ascii="宋体" w:hAnsi="宋体" w:cs="楷体"/>
                <w:sz w:val="24"/>
              </w:rPr>
              <w:t>5</w:t>
            </w:r>
          </w:p>
        </w:tc>
        <w:tc>
          <w:tcPr>
            <w:tcW w:w="1994" w:type="dxa"/>
            <w:noWrap w:val="0"/>
            <w:vAlign w:val="center"/>
          </w:tcPr>
          <w:p w14:paraId="11392653">
            <w:pPr>
              <w:pStyle w:val="9"/>
              <w:spacing w:line="360" w:lineRule="auto"/>
              <w:ind w:firstLine="0"/>
              <w:jc w:val="center"/>
              <w:rPr>
                <w:rFonts w:ascii="宋体" w:hAnsi="宋体" w:cs="楷体"/>
                <w:sz w:val="24"/>
              </w:rPr>
            </w:pPr>
            <w:r>
              <w:rPr>
                <w:rFonts w:hint="eastAsia" w:ascii="宋体" w:hAnsi="宋体" w:cs="楷体"/>
                <w:sz w:val="24"/>
              </w:rPr>
              <w:t>演示</w:t>
            </w:r>
          </w:p>
        </w:tc>
        <w:tc>
          <w:tcPr>
            <w:tcW w:w="6819" w:type="dxa"/>
            <w:noWrap w:val="0"/>
            <w:vAlign w:val="center"/>
          </w:tcPr>
          <w:p w14:paraId="1FCC38A7">
            <w:pPr>
              <w:pStyle w:val="9"/>
              <w:spacing w:line="360" w:lineRule="auto"/>
              <w:ind w:firstLine="0"/>
              <w:rPr>
                <w:rFonts w:ascii="宋体" w:hAnsi="宋体" w:cs="楷体"/>
                <w:sz w:val="24"/>
              </w:rPr>
            </w:pPr>
            <w:r>
              <w:rPr>
                <w:rFonts w:ascii="Wingdings 2" w:hAnsi="Wingdings 2" w:eastAsia="Wingdings 2" w:cs="Wingdings 2"/>
                <w:sz w:val="24"/>
                <w:lang w:eastAsia="zh-CN"/>
              </w:rPr>
              <w:t>R</w:t>
            </w:r>
            <w:r>
              <w:rPr>
                <w:rFonts w:hint="eastAsia" w:ascii="宋体" w:hAnsi="宋体" w:cs="楷体"/>
                <w:sz w:val="24"/>
              </w:rPr>
              <w:t>A无</w:t>
            </w:r>
          </w:p>
          <w:p w14:paraId="07529CFE">
            <w:pPr>
              <w:pStyle w:val="9"/>
              <w:spacing w:line="360" w:lineRule="auto"/>
              <w:ind w:firstLine="0"/>
              <w:rPr>
                <w:rFonts w:ascii="宋体" w:hAnsi="宋体" w:cs="楷体"/>
                <w:sz w:val="24"/>
              </w:rPr>
            </w:pPr>
            <w:r>
              <w:rPr>
                <w:rFonts w:ascii="Wingdings 2" w:hAnsi="Wingdings 2" w:eastAsia="Wingdings 2" w:cs="Wingdings 2"/>
                <w:sz w:val="24"/>
                <w:lang w:eastAsia="zh-CN"/>
              </w:rPr>
              <w:t></w:t>
            </w:r>
            <w:r>
              <w:rPr>
                <w:rFonts w:hint="eastAsia" w:ascii="宋体" w:hAnsi="宋体" w:cs="楷体"/>
                <w:sz w:val="24"/>
              </w:rPr>
              <w:t>B有</w:t>
            </w:r>
          </w:p>
        </w:tc>
      </w:tr>
      <w:tr w14:paraId="7D3E7C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6" w:type="dxa"/>
            <w:noWrap w:val="0"/>
            <w:vAlign w:val="center"/>
          </w:tcPr>
          <w:p w14:paraId="3ED2AECD">
            <w:pPr>
              <w:pStyle w:val="9"/>
              <w:spacing w:line="360" w:lineRule="auto"/>
              <w:ind w:firstLine="0"/>
              <w:jc w:val="center"/>
              <w:rPr>
                <w:rFonts w:ascii="宋体" w:hAnsi="宋体" w:cs="楷体"/>
                <w:sz w:val="24"/>
              </w:rPr>
            </w:pPr>
            <w:r>
              <w:rPr>
                <w:rFonts w:hint="eastAsia" w:ascii="宋体" w:hAnsi="宋体" w:cs="楷体"/>
                <w:sz w:val="24"/>
              </w:rPr>
              <w:t>6</w:t>
            </w:r>
          </w:p>
        </w:tc>
        <w:tc>
          <w:tcPr>
            <w:tcW w:w="1994" w:type="dxa"/>
            <w:noWrap w:val="0"/>
            <w:vAlign w:val="center"/>
          </w:tcPr>
          <w:p w14:paraId="0D1D0031">
            <w:pPr>
              <w:pStyle w:val="9"/>
              <w:spacing w:line="360" w:lineRule="auto"/>
              <w:ind w:firstLine="0"/>
              <w:jc w:val="center"/>
              <w:rPr>
                <w:rFonts w:ascii="宋体" w:hAnsi="宋体" w:cs="楷体"/>
                <w:sz w:val="24"/>
              </w:rPr>
            </w:pPr>
            <w:r>
              <w:rPr>
                <w:rFonts w:hint="eastAsia" w:ascii="宋体" w:hAnsi="宋体" w:cs="楷体"/>
                <w:sz w:val="24"/>
              </w:rPr>
              <w:t>样品</w:t>
            </w:r>
          </w:p>
        </w:tc>
        <w:tc>
          <w:tcPr>
            <w:tcW w:w="6819" w:type="dxa"/>
            <w:noWrap w:val="0"/>
            <w:vAlign w:val="center"/>
          </w:tcPr>
          <w:p w14:paraId="049C1E57">
            <w:pPr>
              <w:pStyle w:val="9"/>
              <w:spacing w:line="360" w:lineRule="auto"/>
              <w:ind w:firstLine="0"/>
              <w:rPr>
                <w:rFonts w:ascii="宋体" w:hAnsi="宋体" w:cs="楷体"/>
                <w:sz w:val="24"/>
              </w:rPr>
            </w:pPr>
            <w:r>
              <w:rPr>
                <w:rFonts w:ascii="Wingdings" w:hAnsi="Wingdings" w:eastAsia="Wingdings" w:cs="Wingdings"/>
                <w:sz w:val="24"/>
              </w:rPr>
              <w:t></w:t>
            </w:r>
            <w:r>
              <w:rPr>
                <w:rFonts w:hint="eastAsia" w:ascii="宋体" w:hAnsi="宋体" w:cs="楷体"/>
                <w:sz w:val="24"/>
              </w:rPr>
              <w:t>A不要求提供。</w:t>
            </w:r>
          </w:p>
          <w:p w14:paraId="4EC41852">
            <w:pPr>
              <w:pStyle w:val="9"/>
              <w:spacing w:line="360" w:lineRule="auto"/>
              <w:ind w:firstLine="0"/>
              <w:rPr>
                <w:rFonts w:ascii="宋体" w:hAnsi="宋体" w:cs="楷体"/>
                <w:sz w:val="24"/>
              </w:rPr>
            </w:pPr>
            <w:r>
              <w:rPr>
                <w:rFonts w:ascii="Wingdings 2" w:hAnsi="Wingdings 2" w:eastAsia="Wingdings 2" w:cs="Wingdings 2"/>
                <w:sz w:val="24"/>
              </w:rPr>
              <w:t></w:t>
            </w:r>
            <w:r>
              <w:rPr>
                <w:rFonts w:hint="eastAsia" w:ascii="宋体" w:hAnsi="宋体" w:cs="楷体"/>
                <w:sz w:val="24"/>
              </w:rPr>
              <w:t>B要求提供</w:t>
            </w:r>
          </w:p>
        </w:tc>
      </w:tr>
      <w:tr w14:paraId="24F53A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6" w:type="dxa"/>
            <w:noWrap w:val="0"/>
            <w:vAlign w:val="center"/>
          </w:tcPr>
          <w:p w14:paraId="2F38758E">
            <w:pPr>
              <w:pStyle w:val="9"/>
              <w:spacing w:line="360" w:lineRule="auto"/>
              <w:ind w:firstLine="0"/>
              <w:jc w:val="center"/>
              <w:rPr>
                <w:rFonts w:ascii="宋体" w:hAnsi="宋体" w:cs="楷体"/>
                <w:sz w:val="24"/>
              </w:rPr>
            </w:pPr>
            <w:r>
              <w:rPr>
                <w:rFonts w:hint="eastAsia" w:ascii="宋体" w:hAnsi="宋体" w:cs="楷体"/>
                <w:sz w:val="24"/>
              </w:rPr>
              <w:t>7</w:t>
            </w:r>
          </w:p>
        </w:tc>
        <w:tc>
          <w:tcPr>
            <w:tcW w:w="1994" w:type="dxa"/>
            <w:noWrap w:val="0"/>
            <w:vAlign w:val="center"/>
          </w:tcPr>
          <w:p w14:paraId="1063A193">
            <w:pPr>
              <w:pStyle w:val="9"/>
              <w:spacing w:line="360" w:lineRule="auto"/>
              <w:ind w:firstLine="0"/>
              <w:jc w:val="center"/>
              <w:rPr>
                <w:rFonts w:ascii="宋体" w:hAnsi="宋体" w:cs="楷体"/>
                <w:sz w:val="24"/>
                <w:lang w:eastAsia="zh-CN"/>
              </w:rPr>
            </w:pPr>
            <w:r>
              <w:rPr>
                <w:rFonts w:hint="eastAsia" w:ascii="宋体" w:hAnsi="宋体" w:cs="楷体"/>
                <w:sz w:val="24"/>
                <w:highlight w:val="none"/>
                <w:lang w:eastAsia="zh-CN"/>
              </w:rPr>
              <w:t>是否允许采购进口产品</w:t>
            </w:r>
          </w:p>
        </w:tc>
        <w:tc>
          <w:tcPr>
            <w:tcW w:w="6819" w:type="dxa"/>
            <w:noWrap w:val="0"/>
            <w:vAlign w:val="center"/>
          </w:tcPr>
          <w:p w14:paraId="1EB9938E">
            <w:pPr>
              <w:pStyle w:val="9"/>
              <w:spacing w:line="360" w:lineRule="auto"/>
              <w:ind w:firstLine="0"/>
              <w:rPr>
                <w:rFonts w:ascii="宋体" w:hAnsi="宋体" w:cs="楷体"/>
                <w:sz w:val="24"/>
                <w:lang w:eastAsia="zh-CN"/>
              </w:rPr>
            </w:pPr>
            <w:r>
              <w:rPr>
                <w:rFonts w:ascii="Wingdings" w:hAnsi="Wingdings" w:eastAsia="Wingdings" w:cs="Wingdings"/>
                <w:sz w:val="24"/>
                <w:lang w:eastAsia="zh-CN"/>
              </w:rPr>
              <w:t></w:t>
            </w:r>
            <w:r>
              <w:rPr>
                <w:rFonts w:hint="eastAsia" w:ascii="宋体" w:hAnsi="宋体" w:cs="楷体"/>
                <w:sz w:val="24"/>
                <w:lang w:eastAsia="zh-CN"/>
              </w:rPr>
              <w:t>A本项目不允许采购进口产品。</w:t>
            </w:r>
          </w:p>
          <w:p w14:paraId="0969003C">
            <w:pPr>
              <w:pStyle w:val="9"/>
              <w:spacing w:line="360" w:lineRule="auto"/>
              <w:ind w:firstLine="0"/>
              <w:rPr>
                <w:rFonts w:ascii="宋体" w:hAnsi="宋体" w:cs="楷体"/>
                <w:sz w:val="24"/>
                <w:lang w:eastAsia="zh-CN"/>
              </w:rPr>
            </w:pPr>
            <w:r>
              <w:rPr>
                <w:rFonts w:ascii="Wingdings 2" w:hAnsi="Wingdings 2" w:eastAsia="Wingdings 2" w:cs="Wingdings 2"/>
                <w:sz w:val="24"/>
                <w:lang w:eastAsia="zh-CN"/>
              </w:rPr>
              <w:t></w:t>
            </w:r>
            <w:r>
              <w:rPr>
                <w:rFonts w:hint="eastAsia" w:ascii="宋体" w:hAnsi="宋体" w:cs="楷体"/>
                <w:sz w:val="24"/>
                <w:lang w:eastAsia="zh-CN"/>
              </w:rPr>
              <w:t>B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p>
        </w:tc>
      </w:tr>
      <w:tr w14:paraId="435FEE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816" w:type="dxa"/>
            <w:noWrap w:val="0"/>
            <w:vAlign w:val="center"/>
          </w:tcPr>
          <w:p w14:paraId="4EECCCB2">
            <w:pPr>
              <w:pStyle w:val="9"/>
              <w:spacing w:line="360" w:lineRule="auto"/>
              <w:ind w:firstLine="0"/>
              <w:jc w:val="center"/>
              <w:rPr>
                <w:rFonts w:ascii="宋体" w:hAnsi="宋体" w:cs="楷体"/>
                <w:sz w:val="24"/>
              </w:rPr>
            </w:pPr>
            <w:r>
              <w:rPr>
                <w:rFonts w:hint="eastAsia" w:ascii="宋体" w:hAnsi="宋体" w:cs="楷体"/>
                <w:sz w:val="24"/>
              </w:rPr>
              <w:t>8</w:t>
            </w:r>
          </w:p>
        </w:tc>
        <w:tc>
          <w:tcPr>
            <w:tcW w:w="1994" w:type="dxa"/>
            <w:noWrap w:val="0"/>
            <w:vAlign w:val="center"/>
          </w:tcPr>
          <w:p w14:paraId="4792D5D7">
            <w:pPr>
              <w:pStyle w:val="9"/>
              <w:spacing w:line="360" w:lineRule="auto"/>
              <w:ind w:firstLine="0"/>
              <w:jc w:val="center"/>
              <w:rPr>
                <w:rFonts w:ascii="宋体" w:hAnsi="宋体" w:cs="楷体"/>
                <w:sz w:val="24"/>
              </w:rPr>
            </w:pPr>
            <w:r>
              <w:rPr>
                <w:rFonts w:hint="eastAsia" w:ascii="宋体" w:hAnsi="宋体" w:cs="楷体"/>
                <w:sz w:val="24"/>
              </w:rPr>
              <w:t>项目属性与核心产品</w:t>
            </w:r>
          </w:p>
        </w:tc>
        <w:tc>
          <w:tcPr>
            <w:tcW w:w="6819" w:type="dxa"/>
            <w:noWrap w:val="0"/>
            <w:vAlign w:val="center"/>
          </w:tcPr>
          <w:p w14:paraId="42255360">
            <w:pPr>
              <w:pStyle w:val="9"/>
              <w:spacing w:line="360" w:lineRule="auto"/>
              <w:ind w:firstLine="0"/>
              <w:rPr>
                <w:rFonts w:ascii="宋体" w:hAnsi="宋体" w:cs="楷体"/>
                <w:sz w:val="24"/>
                <w:lang w:eastAsia="zh-CN"/>
              </w:rPr>
            </w:pPr>
            <w:r>
              <w:rPr>
                <w:rFonts w:ascii="Wingdings" w:hAnsi="Wingdings" w:eastAsia="Wingdings" w:cs="Wingdings"/>
                <w:sz w:val="24"/>
                <w:lang w:eastAsia="zh-CN"/>
              </w:rPr>
              <w:t></w:t>
            </w:r>
            <w:r>
              <w:rPr>
                <w:rFonts w:hint="eastAsia" w:ascii="宋体" w:hAnsi="宋体" w:cs="楷体"/>
                <w:sz w:val="24"/>
                <w:lang w:eastAsia="zh-CN"/>
              </w:rPr>
              <w:t>A货物类。</w:t>
            </w:r>
          </w:p>
          <w:p w14:paraId="082929DB">
            <w:pPr>
              <w:pStyle w:val="9"/>
              <w:spacing w:line="360" w:lineRule="auto"/>
              <w:ind w:firstLine="0"/>
              <w:rPr>
                <w:rFonts w:ascii="宋体" w:hAnsi="宋体" w:cs="楷体"/>
                <w:sz w:val="24"/>
                <w:lang w:eastAsia="zh-CN"/>
              </w:rPr>
            </w:pPr>
            <w:r>
              <w:rPr>
                <w:rFonts w:ascii="Wingdings 2" w:hAnsi="Wingdings 2" w:eastAsia="Wingdings 2" w:cs="Wingdings 2"/>
                <w:sz w:val="24"/>
                <w:lang w:eastAsia="zh-CN"/>
              </w:rPr>
              <w:t></w:t>
            </w:r>
            <w:r>
              <w:rPr>
                <w:rFonts w:hint="eastAsia" w:ascii="宋体" w:hAnsi="宋体" w:cs="楷体"/>
                <w:sz w:val="24"/>
                <w:lang w:eastAsia="zh-CN"/>
              </w:rPr>
              <w:t>B服务类。</w:t>
            </w:r>
          </w:p>
          <w:p w14:paraId="00A6308E">
            <w:pPr>
              <w:pStyle w:val="9"/>
              <w:spacing w:line="360" w:lineRule="auto"/>
              <w:ind w:firstLine="0"/>
              <w:rPr>
                <w:rFonts w:hint="default" w:ascii="宋体" w:hAnsi="宋体" w:cs="楷体"/>
                <w:sz w:val="24"/>
                <w:lang w:val="en-US" w:eastAsia="zh-CN"/>
              </w:rPr>
            </w:pPr>
            <w:r>
              <w:rPr>
                <w:rFonts w:hint="eastAsia" w:ascii="宋体" w:hAnsi="宋体" w:cs="楷体"/>
                <w:sz w:val="24"/>
                <w:lang w:eastAsia="zh-CN"/>
              </w:rPr>
              <w:t>本项目核心产品为：</w:t>
            </w:r>
            <w:r>
              <w:rPr>
                <w:rFonts w:hint="eastAsia" w:ascii="宋体" w:hAnsi="宋体" w:cs="宋体"/>
                <w:sz w:val="24"/>
                <w:highlight w:val="none"/>
                <w:lang w:val="en-US" w:eastAsia="zh-CN"/>
              </w:rPr>
              <w:t>智能主控</w:t>
            </w:r>
          </w:p>
        </w:tc>
      </w:tr>
      <w:tr w14:paraId="17EA3C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6" w:type="dxa"/>
            <w:noWrap w:val="0"/>
            <w:vAlign w:val="center"/>
          </w:tcPr>
          <w:p w14:paraId="4E28DC1E">
            <w:pPr>
              <w:pStyle w:val="9"/>
              <w:spacing w:line="360" w:lineRule="auto"/>
              <w:ind w:firstLine="0"/>
              <w:jc w:val="center"/>
              <w:rPr>
                <w:rFonts w:ascii="宋体" w:hAnsi="宋体" w:cs="楷体"/>
                <w:sz w:val="24"/>
              </w:rPr>
            </w:pPr>
            <w:r>
              <w:rPr>
                <w:rFonts w:hint="eastAsia" w:ascii="宋体" w:hAnsi="宋体" w:cs="楷体"/>
                <w:sz w:val="24"/>
              </w:rPr>
              <w:t>9</w:t>
            </w:r>
          </w:p>
        </w:tc>
        <w:tc>
          <w:tcPr>
            <w:tcW w:w="1994" w:type="dxa"/>
            <w:noWrap w:val="0"/>
            <w:vAlign w:val="center"/>
          </w:tcPr>
          <w:p w14:paraId="37CF5542">
            <w:pPr>
              <w:pStyle w:val="9"/>
              <w:spacing w:line="360" w:lineRule="auto"/>
              <w:ind w:firstLine="0"/>
              <w:jc w:val="center"/>
              <w:rPr>
                <w:rFonts w:ascii="宋体" w:hAnsi="宋体" w:cs="楷体"/>
                <w:sz w:val="24"/>
                <w:lang w:eastAsia="zh-CN"/>
              </w:rPr>
            </w:pPr>
            <w:r>
              <w:rPr>
                <w:rFonts w:hint="eastAsia" w:ascii="宋体" w:hAnsi="宋体" w:cs="楷体"/>
                <w:sz w:val="24"/>
                <w:lang w:eastAsia="zh-CN"/>
              </w:rPr>
              <w:t>采购标的对应的中小企业划分标准所属行业</w:t>
            </w:r>
          </w:p>
        </w:tc>
        <w:tc>
          <w:tcPr>
            <w:tcW w:w="6819" w:type="dxa"/>
            <w:noWrap w:val="0"/>
            <w:vAlign w:val="center"/>
          </w:tcPr>
          <w:p w14:paraId="54D6B489">
            <w:pPr>
              <w:pStyle w:val="9"/>
              <w:spacing w:line="360" w:lineRule="auto"/>
              <w:ind w:firstLine="0"/>
              <w:rPr>
                <w:rFonts w:ascii="宋体" w:hAnsi="宋体" w:cs="楷体"/>
                <w:sz w:val="24"/>
                <w:highlight w:val="yellow"/>
                <w:lang w:eastAsia="zh-CN"/>
              </w:rPr>
            </w:pPr>
            <w:r>
              <w:rPr>
                <w:rFonts w:hint="eastAsia" w:ascii="宋体" w:hAnsi="宋体" w:cs="楷体"/>
                <w:sz w:val="24"/>
                <w:lang w:eastAsia="zh-CN"/>
              </w:rPr>
              <w:t>标的：智能化数字化葡萄生产基地提升项目硬件部分采购，</w:t>
            </w:r>
            <w:r>
              <w:rPr>
                <w:rFonts w:hint="eastAsia" w:ascii="宋体" w:hAnsi="宋体" w:cs="楷体"/>
                <w:sz w:val="24"/>
                <w:highlight w:val="none"/>
                <w:lang w:eastAsia="zh-CN"/>
              </w:rPr>
              <w:t>属于行业：</w:t>
            </w:r>
            <w:r>
              <w:rPr>
                <w:rFonts w:hint="eastAsia" w:ascii="宋体" w:hAnsi="宋体" w:cs="楷体"/>
                <w:sz w:val="24"/>
                <w:highlight w:val="none"/>
                <w:lang w:val="en-US" w:eastAsia="zh-CN"/>
              </w:rPr>
              <w:t>其他未列明行业</w:t>
            </w:r>
            <w:r>
              <w:rPr>
                <w:rFonts w:hint="eastAsia" w:ascii="宋体" w:hAnsi="宋体" w:cs="楷体"/>
                <w:sz w:val="24"/>
                <w:highlight w:val="none"/>
                <w:lang w:eastAsia="zh-CN"/>
              </w:rPr>
              <w:t>。</w:t>
            </w:r>
          </w:p>
          <w:p w14:paraId="2568E81F">
            <w:pPr>
              <w:spacing w:line="276" w:lineRule="auto"/>
              <w:rPr>
                <w:rFonts w:ascii="宋体" w:hAnsi="宋体" w:cs="楷体"/>
                <w:b/>
                <w:sz w:val="24"/>
                <w:szCs w:val="24"/>
              </w:rPr>
            </w:pPr>
            <w:r>
              <w:rPr>
                <w:rFonts w:hint="eastAsia" w:ascii="宋体" w:hAnsi="宋体" w:cs="楷体"/>
                <w:b/>
                <w:sz w:val="24"/>
                <w:szCs w:val="24"/>
              </w:rPr>
              <w:t>本项目</w:t>
            </w:r>
            <w:r>
              <w:rPr>
                <w:rFonts w:hint="eastAsia" w:ascii="宋体" w:hAnsi="宋体" w:cs="楷体"/>
                <w:b/>
                <w:sz w:val="24"/>
                <w:szCs w:val="24"/>
                <w:lang w:val="en-US" w:eastAsia="zh-CN"/>
              </w:rPr>
              <w:t>不</w:t>
            </w:r>
            <w:r>
              <w:rPr>
                <w:rFonts w:hint="eastAsia" w:ascii="宋体" w:hAnsi="宋体" w:cs="楷体"/>
                <w:b/>
                <w:sz w:val="24"/>
                <w:szCs w:val="24"/>
              </w:rPr>
              <w:t>属于专门面向中小微企业(注：监狱企业、残疾人福利性单位视同小微企业。</w:t>
            </w:r>
            <w:r>
              <w:rPr>
                <w:rFonts w:ascii="宋体" w:hAnsi="宋体" w:cs="楷体"/>
                <w:b/>
                <w:sz w:val="24"/>
                <w:szCs w:val="24"/>
              </w:rPr>
              <w:t>)</w:t>
            </w:r>
          </w:p>
          <w:p w14:paraId="43D11C56">
            <w:pPr>
              <w:spacing w:line="276" w:lineRule="auto"/>
              <w:rPr>
                <w:rFonts w:ascii="宋体" w:hAnsi="宋体" w:cs="楷体"/>
                <w:sz w:val="24"/>
                <w:szCs w:val="24"/>
              </w:rPr>
            </w:pPr>
            <w:r>
              <w:rPr>
                <w:rFonts w:ascii="宋体" w:hAnsi="宋体" w:cs="楷体"/>
                <w:sz w:val="24"/>
                <w:szCs w:val="24"/>
              </w:rPr>
              <w:t>1、</w:t>
            </w:r>
            <w:r>
              <w:rPr>
                <w:rFonts w:hint="eastAsia" w:ascii="宋体" w:hAnsi="宋体" w:cs="楷体"/>
                <w:sz w:val="24"/>
                <w:szCs w:val="24"/>
              </w:rPr>
              <w:t>工程施工全部由符合政策要求的中小企业承接，提供中小企业声明函；标准请对照《关于印发中小企业划型标准规定的通知》（工信部联企业[2011]300号）。</w:t>
            </w:r>
          </w:p>
          <w:p w14:paraId="6D183D44">
            <w:pPr>
              <w:spacing w:line="276" w:lineRule="auto"/>
              <w:rPr>
                <w:rFonts w:ascii="宋体" w:hAnsi="宋体" w:cs="楷体"/>
                <w:sz w:val="24"/>
                <w:szCs w:val="24"/>
              </w:rPr>
            </w:pPr>
            <w:r>
              <w:rPr>
                <w:rFonts w:hint="eastAsia" w:ascii="宋体" w:hAnsi="宋体" w:cs="楷体"/>
                <w:sz w:val="24"/>
                <w:szCs w:val="24"/>
              </w:rPr>
              <w:t xml:space="preserve">2、根据《财政部、司法部关于政府采购支持监狱企业发展有关问题的通知》（财库〔2014〕68号）的规定，监狱企业视同小微企业，参加本次采购活动的监狱企业应当提供省级以上监狱管理局、戒毒管理局（含新疆生产建设兵团）出具的属于监狱企业的证明文件。 </w:t>
            </w:r>
          </w:p>
          <w:p w14:paraId="5057D5DF">
            <w:pPr>
              <w:pStyle w:val="9"/>
              <w:spacing w:line="360" w:lineRule="auto"/>
              <w:ind w:firstLine="0"/>
              <w:rPr>
                <w:rFonts w:ascii="宋体" w:hAnsi="宋体" w:cs="楷体"/>
                <w:sz w:val="24"/>
              </w:rPr>
            </w:pPr>
            <w:r>
              <w:rPr>
                <w:rFonts w:hint="eastAsia" w:ascii="宋体" w:hAnsi="宋体" w:cs="楷体"/>
                <w:sz w:val="24"/>
                <w:szCs w:val="24"/>
              </w:rPr>
              <w:t>3、根据《关于促进残疾人就业政府采购政策的通知》（财库〔2017〕141号）的规定，残疾人福利性单位视同小型、微型企业。符合条件的残疾人福利性单位应当提供《残疾人福利性单位声明函》，并对声明的真实性负责。</w:t>
            </w:r>
          </w:p>
        </w:tc>
      </w:tr>
      <w:tr w14:paraId="626E70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6" w:type="dxa"/>
            <w:noWrap w:val="0"/>
            <w:vAlign w:val="center"/>
          </w:tcPr>
          <w:p w14:paraId="13C36E7A">
            <w:pPr>
              <w:pStyle w:val="9"/>
              <w:spacing w:line="360" w:lineRule="auto"/>
              <w:ind w:firstLine="0"/>
              <w:jc w:val="center"/>
              <w:rPr>
                <w:rFonts w:ascii="宋体" w:hAnsi="宋体" w:cs="楷体"/>
                <w:sz w:val="24"/>
              </w:rPr>
            </w:pPr>
            <w:r>
              <w:rPr>
                <w:rFonts w:hint="eastAsia" w:ascii="宋体" w:hAnsi="宋体" w:cs="楷体"/>
                <w:sz w:val="24"/>
              </w:rPr>
              <w:t>10</w:t>
            </w:r>
          </w:p>
        </w:tc>
        <w:tc>
          <w:tcPr>
            <w:tcW w:w="1994" w:type="dxa"/>
            <w:noWrap w:val="0"/>
            <w:vAlign w:val="center"/>
          </w:tcPr>
          <w:p w14:paraId="09500C7B">
            <w:pPr>
              <w:pStyle w:val="9"/>
              <w:spacing w:line="360" w:lineRule="auto"/>
              <w:ind w:firstLine="0"/>
              <w:jc w:val="center"/>
              <w:rPr>
                <w:rFonts w:ascii="宋体" w:hAnsi="宋体" w:cs="楷体"/>
                <w:sz w:val="24"/>
                <w:lang w:eastAsia="zh-CN"/>
              </w:rPr>
            </w:pPr>
            <w:r>
              <w:rPr>
                <w:rFonts w:hint="eastAsia" w:ascii="宋体" w:hAnsi="宋体" w:cs="楷体"/>
                <w:sz w:val="24"/>
                <w:lang w:eastAsia="zh-CN"/>
              </w:rPr>
              <w:t>节能产品、环境标志产品</w:t>
            </w:r>
          </w:p>
        </w:tc>
        <w:tc>
          <w:tcPr>
            <w:tcW w:w="6819" w:type="dxa"/>
            <w:noWrap w:val="0"/>
            <w:vAlign w:val="center"/>
          </w:tcPr>
          <w:p w14:paraId="520785D8">
            <w:pPr>
              <w:pStyle w:val="9"/>
              <w:spacing w:line="360" w:lineRule="auto"/>
              <w:ind w:firstLine="0"/>
              <w:rPr>
                <w:rFonts w:ascii="宋体" w:hAnsi="宋体" w:cs="楷体"/>
                <w:sz w:val="24"/>
              </w:rPr>
            </w:pPr>
            <w:r>
              <w:rPr>
                <w:rFonts w:hint="eastAsia" w:ascii="宋体" w:hAnsi="宋体"/>
                <w:sz w:val="24"/>
              </w:rPr>
              <w:t>无</w:t>
            </w:r>
          </w:p>
        </w:tc>
      </w:tr>
      <w:tr w14:paraId="11EF9D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6" w:type="dxa"/>
            <w:noWrap w:val="0"/>
            <w:vAlign w:val="center"/>
          </w:tcPr>
          <w:p w14:paraId="0CFB31FD">
            <w:pPr>
              <w:pStyle w:val="9"/>
              <w:spacing w:line="360" w:lineRule="auto"/>
              <w:ind w:firstLine="0"/>
              <w:jc w:val="center"/>
              <w:rPr>
                <w:rFonts w:ascii="宋体" w:hAnsi="宋体" w:cs="楷体"/>
                <w:sz w:val="24"/>
              </w:rPr>
            </w:pPr>
            <w:r>
              <w:rPr>
                <w:rFonts w:hint="eastAsia" w:ascii="宋体" w:hAnsi="宋体" w:cs="楷体"/>
                <w:sz w:val="24"/>
              </w:rPr>
              <w:t>11</w:t>
            </w:r>
          </w:p>
        </w:tc>
        <w:tc>
          <w:tcPr>
            <w:tcW w:w="1994" w:type="dxa"/>
            <w:noWrap w:val="0"/>
            <w:vAlign w:val="center"/>
          </w:tcPr>
          <w:p w14:paraId="52BE008C">
            <w:pPr>
              <w:pStyle w:val="9"/>
              <w:spacing w:line="360" w:lineRule="auto"/>
              <w:ind w:firstLine="0"/>
              <w:jc w:val="center"/>
              <w:rPr>
                <w:rFonts w:ascii="宋体" w:hAnsi="宋体" w:cs="楷体"/>
                <w:sz w:val="24"/>
              </w:rPr>
            </w:pPr>
            <w:r>
              <w:rPr>
                <w:rFonts w:hint="eastAsia" w:ascii="宋体" w:hAnsi="宋体" w:cs="楷体"/>
                <w:sz w:val="24"/>
              </w:rPr>
              <w:t>中小企业信用融资</w:t>
            </w:r>
          </w:p>
        </w:tc>
        <w:tc>
          <w:tcPr>
            <w:tcW w:w="6819" w:type="dxa"/>
            <w:noWrap w:val="0"/>
            <w:vAlign w:val="center"/>
          </w:tcPr>
          <w:p w14:paraId="08C664B4">
            <w:pPr>
              <w:pStyle w:val="9"/>
              <w:spacing w:line="360" w:lineRule="auto"/>
              <w:ind w:firstLine="0"/>
              <w:rPr>
                <w:rFonts w:ascii="宋体" w:hAnsi="宋体" w:cs="楷体"/>
                <w:sz w:val="24"/>
                <w:lang w:eastAsia="zh-CN"/>
              </w:rPr>
            </w:pPr>
            <w:r>
              <w:rPr>
                <w:rFonts w:hint="eastAsia" w:ascii="宋体" w:hAnsi="宋体" w:cs="楷体"/>
                <w:sz w:val="24"/>
              </w:rPr>
              <w:t>进一步发挥政府采购政策导向作用，有效缓解企业融资难题，推进完善应收账款融资服务平台的融资服务功能，促进中小微企业平稳健康发展，</w:t>
            </w:r>
            <w:bookmarkStart w:id="42" w:name="_Hlk136445673"/>
            <w:r>
              <w:rPr>
                <w:rFonts w:hint="eastAsia" w:ascii="宋体" w:hAnsi="宋体" w:cs="楷体"/>
                <w:sz w:val="24"/>
              </w:rPr>
              <w:t>镇江市财政局和中国人民银行镇江市中心支行联合印发《关于转发〈关于深入推进政府采购线上合同信用融资工作的通知〉的通知》</w:t>
            </w:r>
            <w:bookmarkEnd w:id="42"/>
            <w:r>
              <w:rPr>
                <w:rFonts w:hint="eastAsia" w:ascii="宋体" w:hAnsi="宋体" w:cs="楷体"/>
                <w:sz w:val="24"/>
              </w:rPr>
              <w:t>，</w:t>
            </w:r>
            <w:bookmarkStart w:id="43" w:name="_Hlk136444446"/>
            <w:r>
              <w:rPr>
                <w:rFonts w:hint="eastAsia" w:ascii="宋体" w:hAnsi="宋体" w:cs="楷体"/>
                <w:sz w:val="24"/>
              </w:rPr>
              <w:t>采购项目中标人如有融资需求，可在签订政府采购合同时向采购人说明融资需求，由采购人在录入合同时标注融资需求后，凭政府采购合同在相关金融机构办理无抵押、低利率授信申请。</w:t>
            </w:r>
            <w:bookmarkEnd w:id="43"/>
            <w:r>
              <w:rPr>
                <w:rFonts w:hint="eastAsia" w:ascii="宋体" w:hAnsi="宋体" w:cs="楷体"/>
                <w:sz w:val="24"/>
              </w:rPr>
              <w:t>办理流程详见江苏政府采购网“政采贷”栏目，网址：</w:t>
            </w:r>
            <w:r>
              <w:rPr>
                <w:rFonts w:ascii="宋体" w:hAnsi="宋体" w:cs="楷体"/>
                <w:sz w:val="24"/>
              </w:rPr>
              <w:t>http://www.ccgp-jiangsu.gov.cn/jiangsu/paying.html</w:t>
            </w:r>
            <w:r>
              <w:rPr>
                <w:rFonts w:hint="eastAsia" w:ascii="宋体" w:hAnsi="宋体" w:cs="楷体"/>
                <w:sz w:val="24"/>
              </w:rPr>
              <w:t>咨询电话：镇江市财政局政府采购处0</w:t>
            </w:r>
            <w:r>
              <w:rPr>
                <w:rFonts w:ascii="宋体" w:hAnsi="宋体" w:cs="楷体"/>
                <w:sz w:val="24"/>
              </w:rPr>
              <w:t>511-80909958</w:t>
            </w:r>
            <w:r>
              <w:rPr>
                <w:rFonts w:hint="eastAsia" w:ascii="宋体" w:hAnsi="宋体" w:cs="楷体"/>
                <w:sz w:val="24"/>
              </w:rPr>
              <w:t>。</w:t>
            </w:r>
          </w:p>
        </w:tc>
      </w:tr>
      <w:tr w14:paraId="529554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6" w:type="dxa"/>
            <w:noWrap w:val="0"/>
            <w:vAlign w:val="center"/>
          </w:tcPr>
          <w:p w14:paraId="4ACEE267">
            <w:pPr>
              <w:pStyle w:val="9"/>
              <w:spacing w:line="360" w:lineRule="auto"/>
              <w:ind w:firstLine="0"/>
              <w:jc w:val="center"/>
              <w:rPr>
                <w:rFonts w:ascii="宋体" w:hAnsi="宋体" w:cs="楷体"/>
                <w:sz w:val="24"/>
              </w:rPr>
            </w:pPr>
            <w:r>
              <w:rPr>
                <w:rFonts w:hint="eastAsia" w:ascii="宋体" w:hAnsi="宋体" w:cs="楷体"/>
                <w:sz w:val="24"/>
              </w:rPr>
              <w:t>12</w:t>
            </w:r>
          </w:p>
        </w:tc>
        <w:tc>
          <w:tcPr>
            <w:tcW w:w="1994" w:type="dxa"/>
            <w:noWrap w:val="0"/>
            <w:vAlign w:val="center"/>
          </w:tcPr>
          <w:p w14:paraId="58C09F2F">
            <w:pPr>
              <w:pStyle w:val="9"/>
              <w:spacing w:line="360" w:lineRule="auto"/>
              <w:ind w:firstLine="0"/>
              <w:jc w:val="center"/>
              <w:rPr>
                <w:rFonts w:ascii="宋体" w:hAnsi="宋体" w:cs="楷体"/>
                <w:sz w:val="24"/>
              </w:rPr>
            </w:pPr>
            <w:r>
              <w:rPr>
                <w:rFonts w:hint="eastAsia" w:ascii="宋体" w:hAnsi="宋体" w:cs="楷体"/>
                <w:sz w:val="24"/>
              </w:rPr>
              <w:t>特别说明</w:t>
            </w:r>
          </w:p>
        </w:tc>
        <w:tc>
          <w:tcPr>
            <w:tcW w:w="6819" w:type="dxa"/>
            <w:noWrap w:val="0"/>
            <w:vAlign w:val="center"/>
          </w:tcPr>
          <w:p w14:paraId="79185499">
            <w:pPr>
              <w:pStyle w:val="9"/>
              <w:spacing w:line="360" w:lineRule="auto"/>
              <w:ind w:firstLine="0"/>
              <w:rPr>
                <w:rFonts w:ascii="宋体" w:hAnsi="宋体" w:cs="楷体"/>
                <w:i/>
                <w:iCs/>
                <w:sz w:val="24"/>
              </w:rPr>
            </w:pPr>
            <w:r>
              <w:rPr>
                <w:rFonts w:ascii="宋体" w:hAnsi="宋体" w:cs="楷体"/>
                <w:sz w:val="24"/>
              </w:rPr>
              <w:t>无</w:t>
            </w:r>
          </w:p>
        </w:tc>
      </w:tr>
    </w:tbl>
    <w:p w14:paraId="265A914E">
      <w:pPr>
        <w:pStyle w:val="5"/>
        <w:keepNext w:val="0"/>
        <w:keepLines w:val="0"/>
        <w:spacing w:before="0" w:after="0" w:line="360" w:lineRule="auto"/>
        <w:jc w:val="both"/>
        <w:rPr>
          <w:rFonts w:ascii="宋体" w:hAnsi="宋体"/>
          <w:szCs w:val="32"/>
        </w:rPr>
      </w:pPr>
    </w:p>
    <w:p w14:paraId="1E8B3160">
      <w:pPr>
        <w:pStyle w:val="5"/>
        <w:keepNext w:val="0"/>
        <w:keepLines w:val="0"/>
        <w:spacing w:before="0" w:after="0" w:line="360" w:lineRule="auto"/>
        <w:jc w:val="center"/>
        <w:rPr>
          <w:rFonts w:hint="eastAsia" w:ascii="宋体" w:hAnsi="宋体"/>
          <w:szCs w:val="32"/>
        </w:rPr>
      </w:pPr>
    </w:p>
    <w:p w14:paraId="13152C21">
      <w:pPr>
        <w:pStyle w:val="5"/>
        <w:keepNext w:val="0"/>
        <w:keepLines w:val="0"/>
        <w:spacing w:before="0" w:after="0" w:line="360" w:lineRule="auto"/>
        <w:jc w:val="center"/>
        <w:rPr>
          <w:rFonts w:ascii="宋体" w:hAnsi="宋体"/>
        </w:rPr>
      </w:pPr>
      <w:r>
        <w:rPr>
          <w:rFonts w:hint="eastAsia" w:ascii="宋体" w:hAnsi="宋体"/>
          <w:szCs w:val="32"/>
        </w:rPr>
        <w:t>一、总  则</w:t>
      </w:r>
      <w:bookmarkEnd w:id="40"/>
      <w:bookmarkEnd w:id="41"/>
    </w:p>
    <w:p w14:paraId="32A01D2F">
      <w:pPr>
        <w:pStyle w:val="5"/>
        <w:keepNext w:val="0"/>
        <w:keepLines w:val="0"/>
        <w:spacing w:before="0" w:after="0" w:line="360" w:lineRule="auto"/>
        <w:ind w:firstLine="446"/>
        <w:rPr>
          <w:rFonts w:ascii="宋体" w:hAnsi="宋体"/>
          <w:sz w:val="30"/>
        </w:rPr>
      </w:pPr>
      <w:bookmarkStart w:id="44" w:name="_Toc92168001"/>
      <w:bookmarkStart w:id="45" w:name="_Toc100386035"/>
      <w:r>
        <w:rPr>
          <w:rFonts w:hint="eastAsia" w:ascii="宋体" w:hAnsi="宋体"/>
          <w:sz w:val="30"/>
        </w:rPr>
        <w:t>1．适用范围</w:t>
      </w:r>
      <w:bookmarkEnd w:id="44"/>
      <w:bookmarkEnd w:id="45"/>
    </w:p>
    <w:p w14:paraId="260CD235">
      <w:pPr>
        <w:spacing w:line="360" w:lineRule="auto"/>
        <w:ind w:firstLine="480"/>
        <w:rPr>
          <w:rFonts w:ascii="宋体" w:hAnsi="宋体"/>
          <w:sz w:val="24"/>
        </w:rPr>
      </w:pPr>
      <w:r>
        <w:rPr>
          <w:rFonts w:hint="eastAsia" w:ascii="宋体" w:hAnsi="宋体"/>
          <w:sz w:val="24"/>
        </w:rPr>
        <w:t>1.1 本招标文件仅适用于</w:t>
      </w:r>
      <w:r>
        <w:rPr>
          <w:rFonts w:hint="eastAsia" w:ascii="宋体" w:hAnsi="宋体" w:cs="楷体"/>
          <w:sz w:val="24"/>
          <w:lang w:eastAsia="zh-CN"/>
        </w:rPr>
        <w:t>智能化数字化葡萄生产基地提升项目硬件部分采购</w:t>
      </w:r>
    </w:p>
    <w:p w14:paraId="51DDAD0D">
      <w:pPr>
        <w:pStyle w:val="5"/>
        <w:keepNext w:val="0"/>
        <w:keepLines w:val="0"/>
        <w:spacing w:before="200" w:after="200" w:line="360" w:lineRule="auto"/>
        <w:ind w:firstLine="446"/>
        <w:rPr>
          <w:rFonts w:ascii="宋体" w:hAnsi="宋体"/>
          <w:sz w:val="30"/>
          <w:lang w:eastAsia="zh-CN"/>
        </w:rPr>
      </w:pPr>
      <w:bookmarkStart w:id="46" w:name="_Toc100386036"/>
      <w:bookmarkStart w:id="47" w:name="_Toc92168002"/>
      <w:r>
        <w:rPr>
          <w:rFonts w:hint="eastAsia" w:ascii="宋体" w:hAnsi="宋体"/>
          <w:sz w:val="30"/>
          <w:lang w:eastAsia="zh-CN"/>
        </w:rPr>
        <w:t>2．定义</w:t>
      </w:r>
      <w:bookmarkEnd w:id="46"/>
      <w:bookmarkEnd w:id="47"/>
    </w:p>
    <w:p w14:paraId="38EC66B8">
      <w:pPr>
        <w:spacing w:line="360" w:lineRule="auto"/>
        <w:ind w:firstLine="480"/>
        <w:rPr>
          <w:rFonts w:ascii="宋体" w:hAnsi="宋体"/>
          <w:sz w:val="24"/>
        </w:rPr>
      </w:pPr>
      <w:bookmarkStart w:id="48" w:name="_Toc98669693"/>
      <w:bookmarkStart w:id="49" w:name="_Toc100386038"/>
      <w:bookmarkStart w:id="50" w:name="_Toc92168004"/>
      <w:bookmarkStart w:id="51" w:name="_Toc98669335"/>
      <w:bookmarkStart w:id="52" w:name="_Toc20732971"/>
      <w:r>
        <w:rPr>
          <w:rFonts w:hint="eastAsia" w:ascii="宋体" w:hAnsi="宋体"/>
          <w:sz w:val="24"/>
        </w:rPr>
        <w:t>招标文件中下列术语应解释为：</w:t>
      </w:r>
    </w:p>
    <w:p w14:paraId="69205039">
      <w:pPr>
        <w:spacing w:line="360" w:lineRule="auto"/>
        <w:ind w:firstLine="480"/>
        <w:rPr>
          <w:rFonts w:ascii="宋体" w:hAnsi="宋体"/>
          <w:sz w:val="24"/>
        </w:rPr>
      </w:pPr>
      <w:r>
        <w:rPr>
          <w:rFonts w:hint="eastAsia" w:ascii="宋体" w:hAnsi="宋体"/>
          <w:sz w:val="24"/>
        </w:rPr>
        <w:t>2.1 “采购人”系指依法进行政府采购的国家机关、事业单位、团体组织，即：</w:t>
      </w:r>
      <w:r>
        <w:rPr>
          <w:rFonts w:hint="eastAsia" w:ascii="宋体" w:hAnsi="宋体" w:cs="楷体"/>
          <w:sz w:val="24"/>
          <w:highlight w:val="none"/>
          <w:u w:val="single"/>
          <w:lang w:eastAsia="zh-CN"/>
        </w:rPr>
        <w:t>句容市茅山镇人民政府</w:t>
      </w:r>
      <w:r>
        <w:rPr>
          <w:rFonts w:hint="eastAsia" w:ascii="宋体" w:hAnsi="宋体"/>
          <w:sz w:val="24"/>
        </w:rPr>
        <w:t>。</w:t>
      </w:r>
    </w:p>
    <w:p w14:paraId="5C86BEDF">
      <w:pPr>
        <w:spacing w:line="360" w:lineRule="auto"/>
        <w:ind w:firstLine="480"/>
        <w:rPr>
          <w:rFonts w:ascii="宋体" w:hAnsi="宋体"/>
          <w:sz w:val="24"/>
        </w:rPr>
      </w:pPr>
      <w:r>
        <w:rPr>
          <w:rFonts w:hint="eastAsia" w:ascii="宋体" w:hAnsi="宋体"/>
          <w:sz w:val="24"/>
        </w:rPr>
        <w:t>2.2 “投标人”系指响应招标、参加投标竞争的法人、其他组织或者自然人。</w:t>
      </w:r>
    </w:p>
    <w:p w14:paraId="0450E66D">
      <w:pPr>
        <w:spacing w:line="360" w:lineRule="auto"/>
        <w:ind w:firstLine="480"/>
        <w:rPr>
          <w:rFonts w:ascii="宋体" w:hAnsi="宋体"/>
          <w:sz w:val="24"/>
        </w:rPr>
      </w:pPr>
      <w:r>
        <w:rPr>
          <w:rFonts w:hint="eastAsia" w:ascii="宋体" w:hAnsi="宋体"/>
          <w:sz w:val="24"/>
        </w:rPr>
        <w:t>2.3 “采购代理机构”系指组织本次采购活动的单位，即：</w:t>
      </w:r>
      <w:r>
        <w:rPr>
          <w:rFonts w:hint="eastAsia" w:ascii="宋体" w:hAnsi="宋体" w:cs="隶书"/>
          <w:sz w:val="24"/>
          <w:u w:val="single"/>
          <w:lang w:eastAsia="zh-CN"/>
        </w:rPr>
        <w:t>永道工程咨询（江苏）有限公司</w:t>
      </w:r>
      <w:r>
        <w:rPr>
          <w:rFonts w:hint="eastAsia" w:ascii="宋体" w:hAnsi="宋体"/>
          <w:sz w:val="24"/>
        </w:rPr>
        <w:t>。</w:t>
      </w:r>
    </w:p>
    <w:p w14:paraId="31F45F5D">
      <w:pPr>
        <w:spacing w:line="360" w:lineRule="auto"/>
        <w:ind w:firstLine="480"/>
        <w:rPr>
          <w:rFonts w:ascii="宋体" w:hAnsi="宋体" w:cs="楷体"/>
          <w:sz w:val="24"/>
          <w:u w:val="single"/>
        </w:rPr>
      </w:pPr>
      <w:r>
        <w:rPr>
          <w:rFonts w:hint="eastAsia" w:ascii="宋体" w:hAnsi="宋体"/>
          <w:sz w:val="24"/>
        </w:rPr>
        <w:t>2.4“货物”系指本招标文件所述采购标的涉及的各种形态和种类的物品，即：</w:t>
      </w:r>
      <w:r>
        <w:rPr>
          <w:rFonts w:hint="eastAsia" w:ascii="宋体" w:hAnsi="宋体" w:cs="楷体"/>
          <w:sz w:val="24"/>
          <w:u w:val="single"/>
          <w:lang w:eastAsia="zh-CN"/>
        </w:rPr>
        <w:t>智能化数字化葡萄生产基地提升项目硬件部分采购</w:t>
      </w:r>
      <w:r>
        <w:rPr>
          <w:rFonts w:hint="eastAsia" w:ascii="宋体" w:hAnsi="宋体" w:cs="楷体"/>
          <w:sz w:val="24"/>
          <w:u w:val="single"/>
        </w:rPr>
        <w:t>。</w:t>
      </w:r>
    </w:p>
    <w:p w14:paraId="74E594E5">
      <w:pPr>
        <w:spacing w:line="360" w:lineRule="auto"/>
        <w:ind w:firstLine="480"/>
        <w:rPr>
          <w:rFonts w:ascii="宋体" w:hAnsi="宋体"/>
          <w:sz w:val="24"/>
        </w:rPr>
      </w:pPr>
      <w:r>
        <w:rPr>
          <w:rFonts w:hint="eastAsia" w:ascii="宋体" w:hAnsi="宋体"/>
          <w:sz w:val="24"/>
        </w:rPr>
        <w:t>2.5“</w:t>
      </w:r>
      <w:r>
        <w:rPr>
          <w:rFonts w:ascii="Wingdings" w:hAnsi="Wingdings" w:eastAsia="楷体"/>
          <w:sz w:val="24"/>
        </w:rPr>
        <w:t></w:t>
      </w:r>
      <w:r>
        <w:rPr>
          <w:rFonts w:hint="eastAsia" w:ascii="宋体" w:hAnsi="宋体"/>
          <w:sz w:val="24"/>
        </w:rPr>
        <w:t>”系指适用本项目的要求，“</w:t>
      </w:r>
      <w:r>
        <w:rPr>
          <w:rFonts w:hint="eastAsia" w:ascii="宋体" w:hAnsi="MS Mincho" w:eastAsia="MS Mincho" w:cs="MS Mincho"/>
          <w:sz w:val="24"/>
        </w:rPr>
        <w:t>☐</w:t>
      </w:r>
      <w:r>
        <w:rPr>
          <w:rFonts w:hint="eastAsia" w:ascii="宋体" w:hAnsi="宋体"/>
          <w:sz w:val="24"/>
        </w:rPr>
        <w:t>”系指不适用本项目的要求。</w:t>
      </w:r>
    </w:p>
    <w:p w14:paraId="45E7F241">
      <w:pPr>
        <w:pStyle w:val="5"/>
        <w:keepNext w:val="0"/>
        <w:keepLines w:val="0"/>
        <w:spacing w:line="360" w:lineRule="auto"/>
        <w:ind w:firstLine="446"/>
        <w:rPr>
          <w:rFonts w:ascii="宋体" w:hAnsi="宋体"/>
          <w:sz w:val="30"/>
          <w:lang w:eastAsia="zh-CN"/>
        </w:rPr>
      </w:pPr>
      <w:r>
        <w:rPr>
          <w:rFonts w:hint="eastAsia" w:ascii="宋体" w:hAnsi="宋体"/>
          <w:sz w:val="30"/>
          <w:lang w:eastAsia="zh-CN"/>
        </w:rPr>
        <w:t>3．采购方式</w:t>
      </w:r>
    </w:p>
    <w:p w14:paraId="15F0C3E4">
      <w:pPr>
        <w:spacing w:line="360" w:lineRule="auto"/>
        <w:ind w:firstLine="480"/>
        <w:rPr>
          <w:rFonts w:ascii="宋体" w:hAnsi="宋体"/>
          <w:sz w:val="24"/>
        </w:rPr>
      </w:pPr>
      <w:r>
        <w:rPr>
          <w:rFonts w:hint="eastAsia" w:ascii="宋体" w:hAnsi="宋体"/>
          <w:sz w:val="24"/>
        </w:rPr>
        <w:t>3.1 本次采购采取公开招标方式</w:t>
      </w:r>
      <w:r>
        <w:rPr>
          <w:rFonts w:ascii="Wingdings" w:hAnsi="Wingdings" w:eastAsia="Wingdings" w:cs="Wingdings"/>
          <w:sz w:val="24"/>
        </w:rPr>
        <w:t></w:t>
      </w:r>
      <w:r>
        <w:rPr>
          <w:rFonts w:hint="eastAsia" w:ascii="宋体" w:hAnsi="宋体"/>
          <w:sz w:val="24"/>
        </w:rPr>
        <w:t>综合评分法。</w:t>
      </w:r>
    </w:p>
    <w:p w14:paraId="6729B8A2">
      <w:pPr>
        <w:spacing w:line="360" w:lineRule="auto"/>
        <w:ind w:firstLine="480"/>
        <w:rPr>
          <w:rFonts w:ascii="宋体" w:hAnsi="宋体"/>
          <w:sz w:val="24"/>
          <w:szCs w:val="28"/>
        </w:rPr>
      </w:pPr>
      <w:r>
        <w:rPr>
          <w:rFonts w:hint="eastAsia" w:ascii="宋体" w:hAnsi="宋体"/>
          <w:sz w:val="24"/>
          <w:szCs w:val="28"/>
        </w:rPr>
        <w:t>3.2 本项目资格审查方式：</w:t>
      </w:r>
      <w:r>
        <w:rPr>
          <w:rFonts w:ascii="Wingdings" w:hAnsi="Wingdings" w:eastAsia="Wingdings" w:cs="Wingdings"/>
          <w:sz w:val="24"/>
        </w:rPr>
        <w:t></w:t>
      </w:r>
      <w:r>
        <w:rPr>
          <w:rFonts w:hint="eastAsia" w:ascii="宋体" w:hAnsi="宋体"/>
          <w:sz w:val="24"/>
          <w:szCs w:val="28"/>
        </w:rPr>
        <w:t xml:space="preserve">资格后审 </w:t>
      </w:r>
    </w:p>
    <w:p w14:paraId="2DF574E8">
      <w:pPr>
        <w:spacing w:line="360" w:lineRule="auto"/>
        <w:ind w:firstLine="480"/>
        <w:rPr>
          <w:rFonts w:ascii="宋体" w:hAnsi="宋体"/>
          <w:sz w:val="24"/>
          <w:szCs w:val="28"/>
        </w:rPr>
      </w:pPr>
      <w:r>
        <w:rPr>
          <w:rFonts w:hint="eastAsia" w:ascii="宋体" w:hAnsi="宋体"/>
          <w:sz w:val="24"/>
          <w:szCs w:val="28"/>
        </w:rPr>
        <w:t>3.3 本次采购确定的中标人数量：1名</w:t>
      </w:r>
    </w:p>
    <w:p w14:paraId="54C89A00">
      <w:pPr>
        <w:pStyle w:val="5"/>
        <w:keepNext w:val="0"/>
        <w:keepLines w:val="0"/>
        <w:spacing w:line="360" w:lineRule="auto"/>
        <w:ind w:firstLine="446"/>
        <w:rPr>
          <w:rFonts w:ascii="宋体" w:hAnsi="宋体"/>
          <w:sz w:val="30"/>
          <w:lang w:eastAsia="zh-CN"/>
        </w:rPr>
      </w:pPr>
      <w:r>
        <w:rPr>
          <w:rFonts w:hint="eastAsia" w:ascii="宋体" w:hAnsi="宋体"/>
          <w:sz w:val="30"/>
          <w:lang w:eastAsia="zh-CN"/>
        </w:rPr>
        <w:t>4．投标费用</w:t>
      </w:r>
      <w:bookmarkEnd w:id="48"/>
      <w:bookmarkEnd w:id="49"/>
      <w:bookmarkEnd w:id="50"/>
      <w:bookmarkEnd w:id="51"/>
      <w:bookmarkEnd w:id="52"/>
    </w:p>
    <w:p w14:paraId="2025338E">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4.1 投标人应自行承担所有与参加投标有关的费用</w:t>
      </w:r>
      <w:r>
        <w:rPr>
          <w:rFonts w:ascii="宋体" w:hAnsi="宋体" w:eastAsia="宋体" w:cs="宋体"/>
          <w:b/>
          <w:color w:val="000000"/>
          <w:sz w:val="24"/>
        </w:rPr>
        <w:t>。</w:t>
      </w:r>
    </w:p>
    <w:p w14:paraId="371884B0">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FF"/>
          <w:sz w:val="24"/>
          <w:highlight w:val="white"/>
        </w:rPr>
        <w:t>代理服务费由采购人支付，收费标准是参照国家计委关于印发《代理服务收费管理暂行办法》的通知（计价格[2002]1980 号）的70%计算。</w:t>
      </w:r>
    </w:p>
    <w:p w14:paraId="1ADBCE22">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FF"/>
          <w:sz w:val="24"/>
          <w:highlight w:val="white"/>
        </w:rPr>
        <w:t>代理费用收款信息：</w:t>
      </w:r>
    </w:p>
    <w:p w14:paraId="0D077792">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FF"/>
          <w:sz w:val="24"/>
          <w:highlight w:val="white"/>
        </w:rPr>
        <w:t>收款单位：永道工程咨询（江苏）有限公司句容分公司</w:t>
      </w:r>
    </w:p>
    <w:p w14:paraId="2152FCFE">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FF"/>
          <w:sz w:val="24"/>
          <w:highlight w:val="white"/>
        </w:rPr>
        <w:t>收款账号：3211040401010000000313</w:t>
      </w:r>
    </w:p>
    <w:p w14:paraId="030A9DEC">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FF"/>
          <w:sz w:val="24"/>
          <w:highlight w:val="white"/>
        </w:rPr>
        <w:t>开户银行：江苏句容农村商业银行股份有限公司御东国际支行</w:t>
      </w:r>
    </w:p>
    <w:p w14:paraId="6261F604">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4.2不论投标的结果如何，采购人和采购代理机构在任何情况下均无义务和责任承担上述费用。</w:t>
      </w:r>
    </w:p>
    <w:p w14:paraId="7A25887F">
      <w:pPr>
        <w:pStyle w:val="5"/>
        <w:keepNext w:val="0"/>
        <w:keepLines w:val="0"/>
        <w:spacing w:before="200" w:after="200" w:line="360" w:lineRule="auto"/>
        <w:ind w:firstLine="446"/>
        <w:rPr>
          <w:rFonts w:ascii="宋体" w:hAnsi="宋体"/>
          <w:color w:val="000000"/>
          <w:sz w:val="30"/>
        </w:rPr>
      </w:pPr>
      <w:bookmarkStart w:id="53" w:name="_Toc20732973"/>
      <w:bookmarkStart w:id="54" w:name="_Toc100386039"/>
      <w:bookmarkStart w:id="55" w:name="_Toc92168005"/>
      <w:bookmarkStart w:id="56" w:name="_Toc98669694"/>
      <w:bookmarkStart w:id="57" w:name="_Toc98669336"/>
      <w:r>
        <w:rPr>
          <w:rFonts w:hint="eastAsia" w:ascii="宋体" w:hAnsi="宋体"/>
          <w:sz w:val="30"/>
        </w:rPr>
        <w:t>5．</w:t>
      </w:r>
      <w:r>
        <w:rPr>
          <w:rFonts w:hint="eastAsia" w:ascii="宋体" w:hAnsi="宋体"/>
          <w:color w:val="000000"/>
          <w:sz w:val="30"/>
        </w:rPr>
        <w:t>政策功能</w:t>
      </w:r>
      <w:bookmarkEnd w:id="53"/>
      <w:bookmarkEnd w:id="54"/>
      <w:bookmarkEnd w:id="55"/>
      <w:bookmarkEnd w:id="56"/>
      <w:bookmarkEnd w:id="57"/>
    </w:p>
    <w:p w14:paraId="241B9F7E">
      <w:pPr>
        <w:spacing w:line="360" w:lineRule="auto"/>
        <w:ind w:firstLine="480"/>
        <w:rPr>
          <w:rFonts w:ascii="宋体" w:hAnsi="宋体"/>
          <w:sz w:val="24"/>
        </w:rPr>
      </w:pPr>
      <w:r>
        <w:rPr>
          <w:rFonts w:hint="eastAsia" w:ascii="宋体" w:hAnsi="宋体"/>
          <w:sz w:val="24"/>
        </w:rPr>
        <w:t>5.1支持中小企业发展</w:t>
      </w:r>
    </w:p>
    <w:p w14:paraId="7D8876CD">
      <w:pPr>
        <w:spacing w:line="360" w:lineRule="auto"/>
        <w:ind w:firstLine="480"/>
        <w:rPr>
          <w:rFonts w:ascii="宋体" w:hAnsi="宋体"/>
          <w:sz w:val="24"/>
        </w:rPr>
      </w:pPr>
      <w:r>
        <w:rPr>
          <w:rFonts w:hint="eastAsia" w:ascii="宋体" w:hAnsi="宋体"/>
          <w:sz w:val="24"/>
        </w:rPr>
        <w:t>5.1.1中小企业，是指在中华人民共和国境内依法设立，依据国务院批准的中小企业划分标准确定的中型企业、小型企业和微型企业，但与大企业的负责人为同一人，或者与大企业存在直接控股、管理关系的除外。</w:t>
      </w:r>
    </w:p>
    <w:p w14:paraId="2195A0B4">
      <w:pPr>
        <w:spacing w:line="360" w:lineRule="auto"/>
        <w:ind w:firstLine="480"/>
        <w:rPr>
          <w:rFonts w:ascii="宋体" w:hAnsi="宋体"/>
          <w:sz w:val="24"/>
        </w:rPr>
      </w:pPr>
      <w:r>
        <w:rPr>
          <w:rFonts w:hint="eastAsia" w:ascii="宋体" w:hAnsi="宋体"/>
          <w:sz w:val="24"/>
        </w:rPr>
        <w:t>符合中小企业划分标准的个体工商户，在政府采购活动中视同中小企业。</w:t>
      </w:r>
    </w:p>
    <w:p w14:paraId="40EE32FC">
      <w:pPr>
        <w:spacing w:line="360" w:lineRule="auto"/>
        <w:ind w:firstLine="480"/>
        <w:rPr>
          <w:rFonts w:ascii="宋体" w:hAnsi="宋体"/>
          <w:sz w:val="24"/>
        </w:rPr>
      </w:pPr>
      <w:r>
        <w:rPr>
          <w:rFonts w:hint="eastAsia" w:ascii="宋体" w:hAnsi="宋体"/>
          <w:sz w:val="24"/>
        </w:rPr>
        <w:t>5.1.2在未预留份额专门面向中小企业的政府采购货物或服务项目，以及预留份额政府采购货物或服务项目中的非预留部分标项中，投标人提供的货物、工程或者服务符合下列情形的，享受中小企业扶持政策：</w:t>
      </w:r>
    </w:p>
    <w:p w14:paraId="6C4CBDA7">
      <w:pPr>
        <w:spacing w:line="360" w:lineRule="auto"/>
        <w:ind w:firstLine="480"/>
        <w:rPr>
          <w:rFonts w:ascii="宋体" w:hAnsi="宋体"/>
          <w:sz w:val="24"/>
        </w:rPr>
      </w:pPr>
      <w:r>
        <w:rPr>
          <w:rFonts w:hint="eastAsia" w:ascii="宋体" w:hAnsi="宋体"/>
          <w:sz w:val="24"/>
        </w:rPr>
        <w:t>5.1.2.1在货物采购项目中，货物由中小企业制造，即货物由中小企业生产且使用该中小企业商号或者注册商标；</w:t>
      </w:r>
    </w:p>
    <w:p w14:paraId="1E56AEF7">
      <w:pPr>
        <w:spacing w:line="360" w:lineRule="auto"/>
        <w:ind w:firstLine="480"/>
        <w:rPr>
          <w:rFonts w:ascii="宋体" w:hAnsi="宋体"/>
          <w:sz w:val="24"/>
        </w:rPr>
      </w:pPr>
      <w:r>
        <w:rPr>
          <w:rFonts w:hint="eastAsia" w:ascii="宋体" w:hAnsi="宋体"/>
          <w:sz w:val="24"/>
        </w:rPr>
        <w:t>5.1.2.2在工程采购项目中，工程由中小企业承建，即工程施工单位为中小企业；</w:t>
      </w:r>
    </w:p>
    <w:p w14:paraId="147EB2C2">
      <w:pPr>
        <w:spacing w:line="360" w:lineRule="auto"/>
        <w:ind w:firstLine="480"/>
        <w:rPr>
          <w:rFonts w:ascii="宋体" w:hAnsi="宋体"/>
          <w:sz w:val="24"/>
        </w:rPr>
      </w:pPr>
      <w:r>
        <w:rPr>
          <w:rFonts w:hint="eastAsia" w:ascii="宋体" w:hAnsi="宋体"/>
          <w:sz w:val="24"/>
        </w:rPr>
        <w:t>5.1.2.3在服务采购项目中，服务由中小企业承接，即提供服务的人员为中小企业依照《中华人民共和国劳动合同法》订立劳动合同的从业人员。</w:t>
      </w:r>
    </w:p>
    <w:p w14:paraId="4180301B">
      <w:pPr>
        <w:spacing w:line="360" w:lineRule="auto"/>
        <w:ind w:firstLine="480"/>
        <w:rPr>
          <w:rFonts w:ascii="宋体" w:hAnsi="宋体"/>
          <w:sz w:val="24"/>
        </w:rPr>
      </w:pPr>
      <w:r>
        <w:rPr>
          <w:rFonts w:hint="eastAsia" w:ascii="宋体" w:hAnsi="宋体"/>
          <w:sz w:val="24"/>
        </w:rPr>
        <w:t>在货物采购项目中，投标人提供的货物既有中小企业制造货物，也有大型企业制造货物的，不享受中小企业扶持政策。</w:t>
      </w:r>
    </w:p>
    <w:p w14:paraId="589319E8">
      <w:pPr>
        <w:spacing w:line="360" w:lineRule="auto"/>
        <w:ind w:firstLine="480"/>
        <w:rPr>
          <w:rFonts w:ascii="宋体" w:hAnsi="宋体"/>
          <w:sz w:val="24"/>
        </w:rPr>
      </w:pPr>
      <w:r>
        <w:rPr>
          <w:rFonts w:hint="eastAsia" w:ascii="宋体" w:hAnsi="宋体"/>
          <w:sz w:val="24"/>
        </w:rPr>
        <w:t>以联合体形式参加政府采购活动，联合体各方均为中小企业的，联合体视同中小企业。其中，联合体各方均为小微企业的，联合体视同小微企业。</w:t>
      </w:r>
    </w:p>
    <w:p w14:paraId="082ACBEF">
      <w:pPr>
        <w:spacing w:line="360" w:lineRule="auto"/>
        <w:ind w:firstLine="480"/>
        <w:rPr>
          <w:rFonts w:ascii="宋体" w:hAnsi="宋体"/>
          <w:sz w:val="24"/>
        </w:rPr>
      </w:pPr>
      <w:r>
        <w:rPr>
          <w:rFonts w:hint="eastAsia" w:ascii="宋体" w:hAnsi="宋体"/>
          <w:sz w:val="24"/>
        </w:rPr>
        <w:t>5.1.3根据《政府采购促进中小企业发展管理办法》要求，对于专门面向中小微企业的项目，投标人应按照采购文件格式要求提供《中小企业声明函》；对于未预留份额专门面向中小企业的政府采购货物或服务项目，以及预留份额政府采购货物或服务项目中的非预留部分标项，对小型和微型企业的投标报价给予</w:t>
      </w:r>
      <w:bookmarkStart w:id="58" w:name="_Hlk132637972"/>
      <w:r>
        <w:rPr>
          <w:rFonts w:ascii="宋体" w:hAnsi="宋体"/>
          <w:sz w:val="24"/>
        </w:rPr>
        <w:t>10%-20%</w:t>
      </w:r>
      <w:bookmarkEnd w:id="58"/>
      <w:r>
        <w:rPr>
          <w:rFonts w:ascii="宋体" w:hAnsi="宋体"/>
          <w:sz w:val="24"/>
        </w:rPr>
        <w:t>的扣除，</w:t>
      </w:r>
      <w:bookmarkStart w:id="59" w:name="_Hlk132637893"/>
      <w:r>
        <w:rPr>
          <w:rFonts w:ascii="宋体" w:hAnsi="宋体"/>
          <w:sz w:val="24"/>
        </w:rPr>
        <w:t>用扣除后的价格参与评审</w:t>
      </w:r>
      <w:bookmarkEnd w:id="59"/>
      <w:r>
        <w:rPr>
          <w:rFonts w:ascii="宋体" w:hAnsi="宋体"/>
          <w:sz w:val="24"/>
        </w:rPr>
        <w:t>。接受大中型企业与小微企业组成联合体或者允许大中型企业向一家或者多家小微企业分包的</w:t>
      </w:r>
      <w:r>
        <w:rPr>
          <w:rFonts w:hint="eastAsia" w:ascii="宋体" w:hAnsi="宋体"/>
          <w:sz w:val="24"/>
        </w:rPr>
        <w:t>政府</w:t>
      </w:r>
      <w:r>
        <w:rPr>
          <w:rFonts w:ascii="宋体" w:hAnsi="宋体"/>
          <w:sz w:val="24"/>
        </w:rPr>
        <w:t>采购</w:t>
      </w:r>
      <w:r>
        <w:rPr>
          <w:rFonts w:hint="eastAsia" w:ascii="宋体" w:hAnsi="宋体"/>
          <w:sz w:val="24"/>
        </w:rPr>
        <w:t>货物或服务</w:t>
      </w:r>
      <w:r>
        <w:rPr>
          <w:rFonts w:ascii="宋体" w:hAnsi="宋体"/>
          <w:sz w:val="24"/>
        </w:rPr>
        <w:t>项目，对于联合协议或者分包意向协议</w:t>
      </w:r>
      <w:r>
        <w:rPr>
          <w:rFonts w:hint="eastAsia" w:ascii="宋体" w:hAnsi="宋体"/>
          <w:sz w:val="24"/>
        </w:rPr>
        <w:t>约定小型、微型企业的协议合同金额占到合同总金额30%以上的，给予联合体</w:t>
      </w:r>
      <w:r>
        <w:rPr>
          <w:rFonts w:ascii="宋体" w:hAnsi="宋体"/>
          <w:sz w:val="24"/>
        </w:rPr>
        <w:t>4</w:t>
      </w:r>
      <w:r>
        <w:rPr>
          <w:rFonts w:hint="eastAsia" w:ascii="宋体" w:hAnsi="宋体"/>
          <w:sz w:val="24"/>
        </w:rPr>
        <w:t>%</w:t>
      </w:r>
      <w:r>
        <w:rPr>
          <w:rFonts w:ascii="宋体" w:hAnsi="宋体"/>
          <w:sz w:val="24"/>
        </w:rPr>
        <w:t>-6%</w:t>
      </w:r>
      <w:r>
        <w:rPr>
          <w:rFonts w:hint="eastAsia" w:ascii="宋体" w:hAnsi="宋体"/>
          <w:sz w:val="24"/>
        </w:rPr>
        <w:t>的价格扣除。联合体各方均为小型、微型企业的，联合体视同为小型、微型企业享受</w:t>
      </w:r>
      <w:r>
        <w:rPr>
          <w:rFonts w:ascii="宋体" w:hAnsi="宋体"/>
          <w:sz w:val="24"/>
        </w:rPr>
        <w:t>10%-20%</w:t>
      </w:r>
      <w:r>
        <w:rPr>
          <w:rFonts w:hint="eastAsia" w:ascii="宋体" w:hAnsi="宋体"/>
          <w:sz w:val="24"/>
        </w:rPr>
        <w:t>的价格扣除，</w:t>
      </w:r>
      <w:r>
        <w:rPr>
          <w:rFonts w:ascii="宋体" w:hAnsi="宋体"/>
          <w:sz w:val="24"/>
        </w:rPr>
        <w:t>用扣除后的价格参与评审</w:t>
      </w:r>
      <w:r>
        <w:rPr>
          <w:rFonts w:hint="eastAsia" w:ascii="宋体" w:hAnsi="宋体"/>
          <w:sz w:val="24"/>
        </w:rPr>
        <w:t>。可享受中小企业扶持政策的投标人应按照采购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p>
    <w:p w14:paraId="4F899DFB">
      <w:pPr>
        <w:spacing w:line="360" w:lineRule="auto"/>
        <w:ind w:firstLine="480"/>
        <w:rPr>
          <w:rFonts w:ascii="宋体" w:hAnsi="宋体"/>
          <w:sz w:val="24"/>
        </w:rPr>
      </w:pPr>
      <w:r>
        <w:rPr>
          <w:rFonts w:hint="eastAsia" w:ascii="宋体" w:hAnsi="宋体"/>
          <w:sz w:val="24"/>
        </w:rPr>
        <w:t>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p>
    <w:p w14:paraId="7B7A57B7">
      <w:pPr>
        <w:spacing w:line="360" w:lineRule="auto"/>
        <w:ind w:firstLine="480"/>
        <w:rPr>
          <w:rFonts w:ascii="宋体" w:hAnsi="宋体"/>
          <w:sz w:val="24"/>
        </w:rPr>
      </w:pPr>
      <w:r>
        <w:rPr>
          <w:rFonts w:hint="eastAsia" w:ascii="宋体" w:hAnsi="宋体"/>
          <w:sz w:val="24"/>
        </w:rPr>
        <w:t>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p>
    <w:p w14:paraId="34FBC1D5">
      <w:pPr>
        <w:spacing w:line="360" w:lineRule="auto"/>
        <w:ind w:firstLine="480"/>
        <w:rPr>
          <w:rFonts w:ascii="宋体" w:hAnsi="宋体"/>
          <w:sz w:val="24"/>
        </w:rPr>
      </w:pPr>
      <w:r>
        <w:rPr>
          <w:rFonts w:hint="eastAsia" w:ascii="宋体" w:hAnsi="宋体"/>
          <w:sz w:val="24"/>
        </w:rPr>
        <w:t>5.1.6中小企业享受扶持政策获得政府采购合同的，小微企业不得将合同分包给大中型企业，中型企业不得将合同分包给大型企业。</w:t>
      </w:r>
    </w:p>
    <w:p w14:paraId="77653BEB">
      <w:pPr>
        <w:spacing w:line="360" w:lineRule="auto"/>
        <w:ind w:firstLine="480"/>
        <w:rPr>
          <w:rFonts w:ascii="宋体" w:hAnsi="宋体"/>
          <w:sz w:val="24"/>
        </w:rPr>
      </w:pPr>
      <w:r>
        <w:rPr>
          <w:rFonts w:hint="eastAsia" w:ascii="宋体" w:hAnsi="宋体"/>
          <w:sz w:val="24"/>
        </w:rPr>
        <w:t>5.2强制采购信息安全产品</w:t>
      </w:r>
    </w:p>
    <w:p w14:paraId="4EA564BB">
      <w:pPr>
        <w:spacing w:line="360" w:lineRule="auto"/>
        <w:ind w:firstLine="480"/>
        <w:rPr>
          <w:rFonts w:ascii="宋体" w:hAnsi="宋体"/>
          <w:sz w:val="24"/>
        </w:rPr>
      </w:pPr>
      <w:r>
        <w:rPr>
          <w:rFonts w:hint="eastAsia" w:ascii="宋体" w:hAnsi="宋体"/>
          <w:sz w:val="24"/>
        </w:rPr>
        <w:t>信息安全产品指国家质检总局国家认监委《信息安全产品强制性认证目录》，并获得强制性产品认证证书的产品。</w:t>
      </w:r>
    </w:p>
    <w:p w14:paraId="6112DBAF">
      <w:pPr>
        <w:spacing w:line="360" w:lineRule="auto"/>
        <w:ind w:firstLine="480"/>
        <w:rPr>
          <w:rFonts w:ascii="宋体" w:hAnsi="宋体"/>
          <w:sz w:val="24"/>
        </w:rPr>
      </w:pPr>
      <w:r>
        <w:rPr>
          <w:rFonts w:hint="eastAsia" w:ascii="宋体" w:hAnsi="宋体"/>
          <w:sz w:val="24"/>
        </w:rPr>
        <w:t>5.3支持绿色发展</w:t>
      </w:r>
    </w:p>
    <w:p w14:paraId="00BA4A59">
      <w:pPr>
        <w:spacing w:line="360" w:lineRule="auto"/>
        <w:ind w:firstLine="480"/>
        <w:rPr>
          <w:rFonts w:ascii="宋体" w:hAnsi="宋体"/>
          <w:sz w:val="24"/>
        </w:rPr>
      </w:pPr>
      <w:r>
        <w:rPr>
          <w:rFonts w:ascii="宋体" w:hAnsi="宋体"/>
          <w:sz w:val="24"/>
        </w:rPr>
        <w:t>5.3.1</w:t>
      </w:r>
      <w:r>
        <w:rPr>
          <w:rFonts w:hint="eastAsia" w:ascii="宋体" w:hAnsi="宋体"/>
          <w:sz w:val="24"/>
        </w:rPr>
        <w:t>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p>
    <w:p w14:paraId="53987DC0">
      <w:pPr>
        <w:spacing w:line="360" w:lineRule="auto"/>
        <w:ind w:firstLine="480"/>
        <w:rPr>
          <w:rFonts w:ascii="宋体" w:hAnsi="宋体"/>
          <w:sz w:val="24"/>
        </w:rPr>
      </w:pPr>
      <w:r>
        <w:rPr>
          <w:rFonts w:hint="eastAsia" w:ascii="宋体" w:hAnsi="宋体"/>
          <w:sz w:val="24"/>
        </w:rPr>
        <w:t>5.</w:t>
      </w:r>
      <w:r>
        <w:rPr>
          <w:rFonts w:ascii="宋体" w:hAnsi="宋体"/>
          <w:sz w:val="24"/>
        </w:rPr>
        <w:t>3.2</w:t>
      </w:r>
      <w:r>
        <w:rPr>
          <w:rFonts w:hint="eastAsia" w:ascii="宋体" w:hAnsi="宋体"/>
          <w:sz w:val="24"/>
        </w:rPr>
        <w:t>本项目中涉及商品包装和快递包装的，参考《财政部办公厅关于印发《商品包装政府采购需求标准（试行）》、 《快递包装政府采购需求标准（试行）》的通知》（财办库〔2020〕123号）规定的包装需求标准。</w:t>
      </w:r>
    </w:p>
    <w:p w14:paraId="489E84FC">
      <w:pPr>
        <w:spacing w:line="360" w:lineRule="auto"/>
        <w:ind w:firstLine="480"/>
        <w:rPr>
          <w:rFonts w:ascii="宋体" w:hAnsi="宋体"/>
          <w:sz w:val="24"/>
        </w:rPr>
      </w:pPr>
      <w:r>
        <w:rPr>
          <w:rFonts w:hint="eastAsia" w:ascii="宋体" w:hAnsi="宋体"/>
          <w:sz w:val="24"/>
        </w:rPr>
        <w:t>5.3.3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w:t>
      </w:r>
    </w:p>
    <w:p w14:paraId="33A4BF4A">
      <w:pPr>
        <w:spacing w:line="360" w:lineRule="auto"/>
        <w:ind w:firstLine="480"/>
        <w:rPr>
          <w:rFonts w:ascii="宋体" w:hAnsi="宋体"/>
          <w:sz w:val="24"/>
        </w:rPr>
      </w:pPr>
      <w:r>
        <w:rPr>
          <w:rFonts w:hint="eastAsia" w:ascii="宋体" w:hAnsi="宋体"/>
          <w:sz w:val="24"/>
        </w:rPr>
        <w:t>5.3.4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w:t>
      </w:r>
    </w:p>
    <w:p w14:paraId="63C1AD7D">
      <w:pPr>
        <w:spacing w:line="360" w:lineRule="auto"/>
        <w:ind w:firstLine="480"/>
        <w:rPr>
          <w:rFonts w:ascii="宋体" w:hAnsi="宋体"/>
          <w:sz w:val="24"/>
        </w:rPr>
      </w:pPr>
      <w:r>
        <w:rPr>
          <w:rFonts w:hint="eastAsia" w:ascii="宋体" w:hAnsi="宋体"/>
          <w:sz w:val="24"/>
        </w:rPr>
        <w:t>5.3.5纳入政府采购管理的装修、修缮等项目，鼓励参考财政部办公厅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p>
    <w:p w14:paraId="2BD2C56F">
      <w:pPr>
        <w:spacing w:line="360" w:lineRule="auto"/>
        <w:ind w:firstLine="480"/>
        <w:rPr>
          <w:rFonts w:ascii="宋体" w:hAnsi="宋体"/>
          <w:sz w:val="24"/>
        </w:rPr>
      </w:pPr>
      <w:r>
        <w:rPr>
          <w:rFonts w:hint="eastAsia" w:ascii="宋体" w:hAnsi="宋体"/>
          <w:sz w:val="24"/>
        </w:rPr>
        <w:t>5.4 根据国家扶持中小企业的有关政策，采购项目中标人在履约过程中如遇到资金困难，凭政府采购合同在相关金融机构办理授信申请，相关事宜请查阅“</w:t>
      </w:r>
      <w:r>
        <w:rPr>
          <w:rFonts w:ascii="宋体" w:hAnsi="宋体"/>
          <w:sz w:val="24"/>
        </w:rPr>
        <w:t>江苏政府采购网</w:t>
      </w:r>
      <w:r>
        <w:rPr>
          <w:rFonts w:hint="eastAsia" w:ascii="宋体" w:hAnsi="宋体"/>
          <w:sz w:val="24"/>
        </w:rPr>
        <w:t>---</w:t>
      </w:r>
      <w:r>
        <w:rPr>
          <w:rFonts w:ascii="宋体" w:hAnsi="宋体"/>
          <w:sz w:val="24"/>
        </w:rPr>
        <w:t>政采贷</w:t>
      </w:r>
      <w:r>
        <w:rPr>
          <w:rFonts w:hint="eastAsia" w:ascii="宋体" w:hAnsi="宋体"/>
          <w:sz w:val="24"/>
        </w:rPr>
        <w:t>”网站。</w:t>
      </w:r>
    </w:p>
    <w:p w14:paraId="1F5EC95E">
      <w:pPr>
        <w:spacing w:line="360" w:lineRule="auto"/>
        <w:ind w:firstLine="480"/>
        <w:rPr>
          <w:rFonts w:ascii="宋体" w:hAnsi="宋体"/>
          <w:sz w:val="24"/>
        </w:rPr>
      </w:pPr>
      <w:r>
        <w:rPr>
          <w:rFonts w:hint="eastAsia" w:ascii="宋体" w:hAnsi="宋体"/>
          <w:sz w:val="24"/>
        </w:rPr>
        <w:t>5.5支持创新发展</w:t>
      </w:r>
    </w:p>
    <w:p w14:paraId="1B83CF07">
      <w:pPr>
        <w:spacing w:line="360" w:lineRule="auto"/>
        <w:ind w:firstLine="480"/>
        <w:rPr>
          <w:rFonts w:ascii="宋体" w:hAnsi="宋体"/>
          <w:sz w:val="24"/>
        </w:rPr>
      </w:pPr>
      <w:r>
        <w:rPr>
          <w:rFonts w:hint="eastAsia" w:ascii="宋体" w:hAnsi="宋体"/>
          <w:sz w:val="24"/>
        </w:rPr>
        <w:t>5.5.1采购人优先采购被认定为重点推广应用、首台（套）重大装备、重点领域首版次软件的自主创新产品。</w:t>
      </w:r>
    </w:p>
    <w:p w14:paraId="3A42B867">
      <w:pPr>
        <w:spacing w:line="360" w:lineRule="auto"/>
        <w:ind w:firstLine="480"/>
        <w:rPr>
          <w:rFonts w:ascii="宋体" w:hAnsi="宋体"/>
          <w:sz w:val="24"/>
        </w:rPr>
      </w:pPr>
      <w:r>
        <w:rPr>
          <w:rFonts w:hint="eastAsia" w:ascii="宋体" w:hAnsi="宋体"/>
          <w:sz w:val="24"/>
        </w:rPr>
        <w:t>5.6平等对待内外资企业和符合条件的破产重整企业</w:t>
      </w:r>
    </w:p>
    <w:p w14:paraId="64FB2AD8">
      <w:pPr>
        <w:spacing w:line="360" w:lineRule="auto"/>
        <w:ind w:firstLine="480"/>
        <w:rPr>
          <w:rFonts w:ascii="宋体" w:hAnsi="宋体"/>
          <w:sz w:val="24"/>
        </w:rPr>
      </w:pPr>
      <w:r>
        <w:rPr>
          <w:rFonts w:hint="eastAsia" w:ascii="宋体" w:hAnsi="宋体"/>
          <w:sz w:val="24"/>
        </w:rPr>
        <w:t>5.6.1平等对待内外资企业和符合条件的破产重整企业，切实保障企业公平竞争，平等维护企业的合法利益。</w:t>
      </w:r>
    </w:p>
    <w:p w14:paraId="432A20C8">
      <w:pPr>
        <w:pStyle w:val="5"/>
        <w:keepNext w:val="0"/>
        <w:keepLines w:val="0"/>
        <w:spacing w:before="0" w:after="0" w:line="360" w:lineRule="auto"/>
        <w:jc w:val="center"/>
        <w:rPr>
          <w:rFonts w:ascii="宋体" w:hAnsi="宋体"/>
          <w:szCs w:val="32"/>
        </w:rPr>
      </w:pPr>
      <w:r>
        <w:rPr>
          <w:rFonts w:hint="eastAsia" w:ascii="宋体" w:hAnsi="宋体"/>
          <w:szCs w:val="32"/>
        </w:rPr>
        <w:t>二、招标文件</w:t>
      </w:r>
    </w:p>
    <w:p w14:paraId="5AAC273C">
      <w:pPr>
        <w:pStyle w:val="5"/>
        <w:keepNext w:val="0"/>
        <w:keepLines w:val="0"/>
        <w:spacing w:before="200" w:after="200" w:line="360" w:lineRule="auto"/>
        <w:ind w:firstLine="446"/>
        <w:rPr>
          <w:rFonts w:ascii="宋体" w:hAnsi="宋体"/>
          <w:sz w:val="30"/>
        </w:rPr>
      </w:pPr>
      <w:bookmarkStart w:id="60" w:name="_Toc20732976"/>
      <w:bookmarkStart w:id="61" w:name="_Toc92168008"/>
      <w:bookmarkStart w:id="62" w:name="_Toc100386042"/>
      <w:bookmarkStart w:id="63" w:name="_Toc98669339"/>
      <w:bookmarkStart w:id="64" w:name="_Toc98669697"/>
      <w:r>
        <w:rPr>
          <w:rFonts w:hint="eastAsia" w:ascii="宋体" w:hAnsi="宋体"/>
          <w:sz w:val="30"/>
        </w:rPr>
        <w:t>6.招标文件组成</w:t>
      </w:r>
    </w:p>
    <w:p w14:paraId="0B054221">
      <w:pPr>
        <w:spacing w:line="360" w:lineRule="auto"/>
        <w:ind w:firstLine="480"/>
        <w:rPr>
          <w:rFonts w:ascii="宋体" w:hAnsi="宋体"/>
          <w:sz w:val="24"/>
        </w:rPr>
      </w:pPr>
      <w:r>
        <w:rPr>
          <w:rFonts w:hint="eastAsia" w:ascii="宋体" w:hAnsi="宋体"/>
          <w:sz w:val="24"/>
        </w:rPr>
        <w:t xml:space="preserve">6.1 </w:t>
      </w:r>
      <w:r>
        <w:rPr>
          <w:rFonts w:hint="eastAsia" w:ascii="宋体" w:hAnsi="宋体"/>
          <w:color w:val="000000"/>
          <w:sz w:val="24"/>
        </w:rPr>
        <w:t>招标文件包括：</w:t>
      </w:r>
    </w:p>
    <w:p w14:paraId="094D1A82">
      <w:pPr>
        <w:spacing w:line="360" w:lineRule="auto"/>
        <w:ind w:firstLine="480"/>
        <w:rPr>
          <w:rFonts w:ascii="宋体" w:hAnsi="宋体"/>
          <w:sz w:val="24"/>
        </w:rPr>
      </w:pPr>
      <w:r>
        <w:rPr>
          <w:rFonts w:hint="eastAsia" w:ascii="宋体" w:hAnsi="宋体"/>
          <w:sz w:val="24"/>
        </w:rPr>
        <w:t>（1）投标邀请</w:t>
      </w:r>
    </w:p>
    <w:p w14:paraId="7D380E3A">
      <w:pPr>
        <w:spacing w:line="360" w:lineRule="auto"/>
        <w:ind w:firstLine="480"/>
        <w:rPr>
          <w:rFonts w:ascii="宋体" w:hAnsi="宋体"/>
          <w:sz w:val="24"/>
        </w:rPr>
      </w:pPr>
      <w:r>
        <w:rPr>
          <w:rFonts w:hint="eastAsia" w:ascii="宋体" w:hAnsi="宋体"/>
          <w:sz w:val="24"/>
        </w:rPr>
        <w:t xml:space="preserve">（2）投标人须知 </w:t>
      </w:r>
    </w:p>
    <w:p w14:paraId="324BADDF">
      <w:pPr>
        <w:spacing w:line="360" w:lineRule="auto"/>
        <w:ind w:firstLine="480"/>
        <w:rPr>
          <w:rFonts w:ascii="宋体" w:hAnsi="宋体"/>
          <w:sz w:val="24"/>
        </w:rPr>
      </w:pPr>
      <w:r>
        <w:rPr>
          <w:rFonts w:hint="eastAsia" w:ascii="宋体" w:hAnsi="宋体"/>
          <w:sz w:val="24"/>
        </w:rPr>
        <w:t>（3）拟签订的合同文本</w:t>
      </w:r>
    </w:p>
    <w:p w14:paraId="408985D3">
      <w:pPr>
        <w:spacing w:line="360" w:lineRule="auto"/>
        <w:ind w:firstLine="480"/>
        <w:rPr>
          <w:rFonts w:ascii="宋体" w:hAnsi="宋体"/>
          <w:sz w:val="24"/>
        </w:rPr>
      </w:pPr>
      <w:r>
        <w:rPr>
          <w:rFonts w:hint="eastAsia" w:ascii="宋体" w:hAnsi="宋体"/>
          <w:sz w:val="24"/>
        </w:rPr>
        <w:t>（4）采购需求</w:t>
      </w:r>
    </w:p>
    <w:p w14:paraId="3AF8BD97">
      <w:pPr>
        <w:spacing w:line="360" w:lineRule="auto"/>
        <w:ind w:firstLine="480"/>
        <w:rPr>
          <w:rFonts w:ascii="宋体" w:hAnsi="宋体"/>
          <w:sz w:val="24"/>
        </w:rPr>
      </w:pPr>
      <w:r>
        <w:rPr>
          <w:rFonts w:hint="eastAsia" w:ascii="宋体" w:hAnsi="宋体"/>
          <w:sz w:val="24"/>
        </w:rPr>
        <w:t>（5）评标办法和标准</w:t>
      </w:r>
    </w:p>
    <w:p w14:paraId="63D827A0">
      <w:pPr>
        <w:spacing w:line="360" w:lineRule="auto"/>
        <w:ind w:firstLine="480"/>
        <w:rPr>
          <w:rFonts w:ascii="宋体" w:hAnsi="宋体"/>
          <w:sz w:val="24"/>
        </w:rPr>
      </w:pPr>
      <w:r>
        <w:rPr>
          <w:rFonts w:hint="eastAsia" w:ascii="宋体" w:hAnsi="宋体"/>
          <w:sz w:val="24"/>
        </w:rPr>
        <w:t>（6）投标文件（格式）</w:t>
      </w:r>
    </w:p>
    <w:p w14:paraId="4BFF13B9">
      <w:pPr>
        <w:spacing w:line="360" w:lineRule="auto"/>
        <w:ind w:firstLine="480"/>
        <w:rPr>
          <w:rFonts w:ascii="宋体" w:hAnsi="宋体"/>
          <w:sz w:val="24"/>
        </w:rPr>
      </w:pPr>
      <w:r>
        <w:rPr>
          <w:rFonts w:hint="eastAsia" w:ascii="宋体" w:hAnsi="宋体"/>
          <w:sz w:val="24"/>
        </w:rPr>
        <w:t>6.2 投标人获取本文件后，应认真阅读本文件中所有的事项、格式条款和规范等要求。</w:t>
      </w:r>
    </w:p>
    <w:p w14:paraId="11B3C517">
      <w:pPr>
        <w:spacing w:line="360" w:lineRule="auto"/>
        <w:ind w:firstLine="480"/>
        <w:rPr>
          <w:rFonts w:ascii="宋体" w:hAnsi="宋体"/>
          <w:sz w:val="24"/>
        </w:rPr>
      </w:pPr>
      <w:r>
        <w:rPr>
          <w:rFonts w:hint="eastAsia" w:ascii="宋体" w:hAnsi="宋体"/>
          <w:sz w:val="24"/>
        </w:rPr>
        <w:t xml:space="preserve">6.3 </w:t>
      </w:r>
      <w:r>
        <w:rPr>
          <w:rFonts w:hint="eastAsia" w:ascii="宋体" w:hAnsi="宋体"/>
          <w:b/>
          <w:sz w:val="24"/>
          <w:u w:val="single"/>
        </w:rPr>
        <w:t>除非有特殊要求，招标文件不单独提供招标标的所在地自然环境、气象条件、公用设施等情况，投标人被视为熟悉上述与签订和履行合同有关的一切情况</w:t>
      </w:r>
      <w:r>
        <w:rPr>
          <w:rFonts w:hint="eastAsia" w:ascii="宋体" w:hAnsi="宋体"/>
          <w:sz w:val="24"/>
        </w:rPr>
        <w:t>。</w:t>
      </w:r>
    </w:p>
    <w:p w14:paraId="0D05D35A">
      <w:pPr>
        <w:pStyle w:val="5"/>
        <w:keepNext w:val="0"/>
        <w:keepLines w:val="0"/>
        <w:spacing w:before="200" w:after="200" w:line="360" w:lineRule="auto"/>
        <w:ind w:firstLine="446"/>
        <w:rPr>
          <w:rFonts w:ascii="宋体" w:hAnsi="宋体"/>
          <w:sz w:val="30"/>
        </w:rPr>
      </w:pPr>
      <w:r>
        <w:rPr>
          <w:rFonts w:hint="eastAsia" w:ascii="宋体" w:hAnsi="宋体"/>
          <w:sz w:val="30"/>
        </w:rPr>
        <w:t>7．招标文件的澄清</w:t>
      </w:r>
      <w:bookmarkEnd w:id="60"/>
      <w:bookmarkEnd w:id="61"/>
      <w:bookmarkEnd w:id="62"/>
      <w:bookmarkEnd w:id="63"/>
      <w:bookmarkEnd w:id="64"/>
      <w:bookmarkStart w:id="65" w:name="_Toc100386043"/>
      <w:bookmarkStart w:id="66" w:name="_Toc98669340"/>
      <w:bookmarkStart w:id="67" w:name="_Toc92168009"/>
      <w:bookmarkStart w:id="68" w:name="_Toc20732977"/>
      <w:bookmarkStart w:id="69" w:name="_Toc98669698"/>
      <w:r>
        <w:rPr>
          <w:rFonts w:hint="eastAsia" w:ascii="宋体" w:hAnsi="宋体"/>
          <w:sz w:val="30"/>
        </w:rPr>
        <w:t>和修改</w:t>
      </w:r>
      <w:bookmarkEnd w:id="65"/>
      <w:bookmarkEnd w:id="66"/>
      <w:bookmarkEnd w:id="67"/>
      <w:bookmarkEnd w:id="68"/>
      <w:bookmarkEnd w:id="69"/>
    </w:p>
    <w:p w14:paraId="29756017">
      <w:pPr>
        <w:spacing w:line="360" w:lineRule="auto"/>
        <w:ind w:firstLine="480"/>
        <w:rPr>
          <w:rFonts w:ascii="宋体" w:hAnsi="宋体"/>
          <w:sz w:val="24"/>
        </w:rPr>
      </w:pPr>
      <w:r>
        <w:rPr>
          <w:rFonts w:hint="eastAsia" w:ascii="宋体" w:hAnsi="宋体"/>
          <w:sz w:val="24"/>
        </w:rPr>
        <w:t>7.1 任何要求对招标文件进行澄清的潜在投标人，应及时联系项目联系人。</w:t>
      </w:r>
    </w:p>
    <w:p w14:paraId="729B5A05">
      <w:pPr>
        <w:spacing w:line="360" w:lineRule="auto"/>
        <w:ind w:firstLine="480"/>
        <w:rPr>
          <w:rFonts w:ascii="宋体" w:hAnsi="宋体"/>
          <w:sz w:val="24"/>
        </w:rPr>
      </w:pPr>
      <w:r>
        <w:rPr>
          <w:rFonts w:hint="eastAsia" w:ascii="宋体" w:hAnsi="宋体"/>
          <w:sz w:val="24"/>
        </w:rPr>
        <w:t xml:space="preserve">7.2 </w:t>
      </w:r>
      <w:r>
        <w:rPr>
          <w:rFonts w:hint="eastAsia" w:ascii="宋体" w:hAnsi="宋体"/>
          <w:b/>
          <w:sz w:val="24"/>
        </w:rPr>
        <w:t>按照权责相一致原则，投标人提出的对于招标文件主要商务、技术指标的相关澄清、修改要求，由采购人负责答复并视情况作出澄清或修改的决定。</w:t>
      </w:r>
    </w:p>
    <w:p w14:paraId="6EA3C716">
      <w:pPr>
        <w:spacing w:line="360" w:lineRule="auto"/>
        <w:ind w:firstLine="480"/>
        <w:rPr>
          <w:rFonts w:ascii="宋体" w:hAnsi="宋体"/>
          <w:sz w:val="24"/>
        </w:rPr>
      </w:pPr>
      <w:r>
        <w:rPr>
          <w:rFonts w:hint="eastAsia" w:ascii="宋体" w:hAnsi="宋体"/>
          <w:sz w:val="24"/>
        </w:rPr>
        <w:t>7.3 采购代理机构可以对已发出的招标文件、资格预审文件、投标邀请进行必要的澄清或者修改，但不改变采购标的和资格要求。澄清或者修改将在</w:t>
      </w:r>
      <w:r>
        <w:rPr>
          <w:rFonts w:hint="eastAsia" w:ascii="宋体" w:hAnsi="宋体"/>
          <w:color w:val="0000FF"/>
          <w:sz w:val="24"/>
        </w:rPr>
        <w:t>原公告媒体</w:t>
      </w:r>
      <w:r>
        <w:rPr>
          <w:rFonts w:hint="eastAsia" w:ascii="宋体" w:hAnsi="宋体"/>
          <w:sz w:val="24"/>
        </w:rPr>
        <w:t>上发布澄清公告，澄清或者修改的内容为招标文件、资格预审文件、投标邀请的组成部分。</w:t>
      </w:r>
    </w:p>
    <w:p w14:paraId="2E7212EB">
      <w:pPr>
        <w:spacing w:line="360" w:lineRule="auto"/>
        <w:ind w:firstLine="480"/>
        <w:rPr>
          <w:rFonts w:ascii="宋体" w:hAnsi="宋体"/>
          <w:sz w:val="24"/>
        </w:rPr>
      </w:pPr>
      <w:r>
        <w:rPr>
          <w:rFonts w:hint="eastAsia" w:ascii="宋体" w:hAnsi="宋体"/>
          <w:sz w:val="24"/>
        </w:rPr>
        <w:t>7.4 澄清或者修改的内容可能影响投标文件编制的，采购代理机构将在提交截止时间至少15日前，在系统中以书面形式通知所有已获取招标文件的潜在投标人；不足15日的，采购代理机构将顺延提交投标文件的截止时间。</w:t>
      </w:r>
      <w:r>
        <w:rPr>
          <w:rFonts w:hint="eastAsia" w:ascii="宋体" w:hAnsi="宋体"/>
          <w:color w:val="000000"/>
          <w:sz w:val="24"/>
        </w:rPr>
        <w:t>投标人应及时自行登录系统查看相应内容。</w:t>
      </w:r>
    </w:p>
    <w:p w14:paraId="11906CE5">
      <w:pPr>
        <w:pStyle w:val="5"/>
        <w:keepNext w:val="0"/>
        <w:keepLines w:val="0"/>
        <w:tabs>
          <w:tab w:val="left" w:pos="492"/>
        </w:tabs>
        <w:spacing w:before="0" w:after="0" w:line="360" w:lineRule="auto"/>
        <w:rPr>
          <w:rFonts w:ascii="宋体" w:hAnsi="宋体"/>
          <w:sz w:val="24"/>
          <w:szCs w:val="24"/>
        </w:rPr>
      </w:pPr>
      <w:r>
        <w:rPr>
          <w:rFonts w:hint="eastAsia" w:ascii="宋体" w:hAnsi="宋体"/>
          <w:sz w:val="24"/>
        </w:rPr>
        <w:tab/>
      </w:r>
      <w:r>
        <w:rPr>
          <w:rFonts w:hint="eastAsia" w:ascii="宋体" w:hAnsi="宋体"/>
          <w:b w:val="0"/>
          <w:sz w:val="24"/>
          <w:szCs w:val="24"/>
        </w:rPr>
        <w:t>7.5</w:t>
      </w:r>
      <w:r>
        <w:rPr>
          <w:rFonts w:hint="eastAsia" w:ascii="宋体" w:hAnsi="宋体"/>
          <w:sz w:val="24"/>
          <w:szCs w:val="24"/>
        </w:rPr>
        <w:t xml:space="preserve"> 如</w:t>
      </w:r>
      <w:r>
        <w:rPr>
          <w:rFonts w:hint="eastAsia" w:ascii="宋体" w:hAnsi="宋体"/>
          <w:sz w:val="24"/>
        </w:rPr>
        <w:t>澄清或修改公告</w:t>
      </w:r>
      <w:r>
        <w:rPr>
          <w:rFonts w:hint="eastAsia" w:ascii="宋体" w:hAnsi="宋体"/>
          <w:sz w:val="24"/>
          <w:szCs w:val="24"/>
        </w:rPr>
        <w:t>有重新发布招标文件的，投标人应下载最新发布的招标文件制作投标文件。</w:t>
      </w:r>
      <w:r>
        <w:rPr>
          <w:rFonts w:ascii="宋体" w:hAnsi="宋体"/>
          <w:sz w:val="24"/>
          <w:szCs w:val="24"/>
        </w:rPr>
        <w:t>因投标人自身原因未能及时获取的</w:t>
      </w:r>
      <w:r>
        <w:rPr>
          <w:rFonts w:hint="eastAsia" w:ascii="宋体" w:hAnsi="宋体"/>
          <w:sz w:val="24"/>
          <w:szCs w:val="24"/>
        </w:rPr>
        <w:t>，一切后果由投标人自行承担。</w:t>
      </w:r>
    </w:p>
    <w:p w14:paraId="2E0330C5">
      <w:pPr>
        <w:pStyle w:val="5"/>
        <w:keepNext w:val="0"/>
        <w:keepLines w:val="0"/>
        <w:spacing w:before="200" w:after="200" w:line="360" w:lineRule="auto"/>
        <w:jc w:val="center"/>
        <w:rPr>
          <w:rFonts w:ascii="宋体" w:hAnsi="宋体"/>
          <w:szCs w:val="32"/>
        </w:rPr>
      </w:pPr>
      <w:r>
        <w:rPr>
          <w:rFonts w:hint="eastAsia" w:ascii="宋体" w:hAnsi="宋体"/>
          <w:szCs w:val="32"/>
        </w:rPr>
        <w:t>三、投标文件</w:t>
      </w:r>
    </w:p>
    <w:p w14:paraId="41778072">
      <w:pPr>
        <w:pStyle w:val="5"/>
        <w:keepNext w:val="0"/>
        <w:keepLines w:val="0"/>
        <w:spacing w:before="200" w:after="200" w:line="360" w:lineRule="auto"/>
        <w:ind w:firstLine="446"/>
        <w:rPr>
          <w:rFonts w:ascii="宋体" w:hAnsi="宋体"/>
          <w:sz w:val="30"/>
        </w:rPr>
      </w:pPr>
      <w:r>
        <w:rPr>
          <w:rFonts w:hint="eastAsia" w:ascii="宋体" w:hAnsi="宋体"/>
          <w:sz w:val="30"/>
        </w:rPr>
        <w:t>8.编制投标文件的工具</w:t>
      </w:r>
    </w:p>
    <w:p w14:paraId="47EC0B37">
      <w:pPr>
        <w:spacing w:line="360" w:lineRule="auto"/>
        <w:ind w:firstLine="480"/>
        <w:rPr>
          <w:rFonts w:ascii="宋体" w:hAnsi="宋体"/>
          <w:sz w:val="24"/>
        </w:rPr>
      </w:pPr>
      <w:r>
        <w:rPr>
          <w:rFonts w:hint="eastAsia" w:ascii="宋体" w:hAnsi="宋体"/>
          <w:sz w:val="24"/>
        </w:rPr>
        <w:t>8.1 投标人须通过《“苏采云”系统供应商操作手册》中指定的政府采购客户端工具在线制作并提交响应文件。</w:t>
      </w:r>
    </w:p>
    <w:p w14:paraId="610BEC51">
      <w:pPr>
        <w:pStyle w:val="5"/>
        <w:keepNext w:val="0"/>
        <w:keepLines w:val="0"/>
        <w:spacing w:before="200" w:after="200" w:line="360" w:lineRule="auto"/>
        <w:ind w:firstLine="446"/>
        <w:rPr>
          <w:rFonts w:ascii="宋体" w:hAnsi="宋体"/>
          <w:sz w:val="30"/>
        </w:rPr>
      </w:pPr>
      <w:r>
        <w:rPr>
          <w:rFonts w:hint="eastAsia" w:ascii="宋体" w:hAnsi="宋体"/>
          <w:sz w:val="30"/>
        </w:rPr>
        <w:t>9.投标文件语言及度量衡单位</w:t>
      </w:r>
    </w:p>
    <w:p w14:paraId="5CB3CC00">
      <w:pPr>
        <w:spacing w:line="360" w:lineRule="auto"/>
        <w:ind w:firstLine="480"/>
        <w:rPr>
          <w:rFonts w:ascii="宋体" w:hAnsi="宋体"/>
          <w:sz w:val="24"/>
        </w:rPr>
      </w:pPr>
      <w:r>
        <w:rPr>
          <w:rFonts w:hint="eastAsia" w:ascii="宋体" w:hAnsi="宋体"/>
          <w:sz w:val="24"/>
        </w:rPr>
        <w:t>9.1 投标人的投标文件以及投标人就有关投标的所有来往通知、函件和文件均应使用简体中文。投标人提交的支持性文件可以使用另一种语言，但相应内容应翻译成中文，在解释响应文件时以中文文本为准。</w:t>
      </w:r>
    </w:p>
    <w:p w14:paraId="29D5F731">
      <w:pPr>
        <w:spacing w:line="360" w:lineRule="auto"/>
        <w:ind w:firstLine="480"/>
        <w:rPr>
          <w:rFonts w:ascii="宋体" w:hAnsi="宋体"/>
          <w:sz w:val="24"/>
        </w:rPr>
      </w:pPr>
      <w:r>
        <w:rPr>
          <w:rFonts w:hint="eastAsia" w:ascii="宋体" w:hAnsi="宋体"/>
          <w:sz w:val="24"/>
        </w:rPr>
        <w:t>9.2 投标文件中所使用的计量单位除招标文件中另有特殊规定外，一律使用法定计量单位。</w:t>
      </w:r>
    </w:p>
    <w:p w14:paraId="0052F9E3">
      <w:pPr>
        <w:pStyle w:val="5"/>
        <w:keepNext w:val="0"/>
        <w:keepLines w:val="0"/>
        <w:spacing w:before="200" w:after="200" w:line="360" w:lineRule="auto"/>
        <w:ind w:firstLine="446"/>
        <w:rPr>
          <w:rFonts w:ascii="宋体" w:hAnsi="宋体"/>
          <w:sz w:val="30"/>
        </w:rPr>
      </w:pPr>
      <w:r>
        <w:rPr>
          <w:rFonts w:hint="eastAsia" w:ascii="宋体" w:hAnsi="宋体"/>
          <w:sz w:val="30"/>
        </w:rPr>
        <w:t>10.投标文件的构成</w:t>
      </w:r>
    </w:p>
    <w:p w14:paraId="5C4AF7C6">
      <w:pPr>
        <w:pStyle w:val="1217"/>
        <w:widowControl/>
        <w:spacing w:line="360" w:lineRule="auto"/>
        <w:ind w:firstLine="425"/>
        <w:rPr>
          <w:rFonts w:ascii="宋体" w:hAnsi="宋体"/>
          <w:sz w:val="24"/>
        </w:rPr>
      </w:pPr>
      <w:r>
        <w:rPr>
          <w:rFonts w:hint="eastAsia" w:ascii="宋体" w:hAnsi="宋体"/>
          <w:sz w:val="24"/>
        </w:rPr>
        <w:t>10.1 投标文件分为资格部分、商务部分、技术部分和价格部分。</w:t>
      </w:r>
    </w:p>
    <w:p w14:paraId="591CB864">
      <w:pPr>
        <w:pStyle w:val="1217"/>
        <w:widowControl/>
        <w:spacing w:line="360" w:lineRule="auto"/>
        <w:ind w:firstLine="425"/>
        <w:rPr>
          <w:rFonts w:ascii="宋体" w:hAnsi="宋体"/>
          <w:sz w:val="24"/>
        </w:rPr>
      </w:pPr>
      <w:r>
        <w:rPr>
          <w:rFonts w:hint="eastAsia" w:ascii="宋体" w:hAnsi="宋体"/>
          <w:sz w:val="24"/>
        </w:rPr>
        <w:t>10.2 资格部分系指投标人提交的证明其有资格参加投标的文件。</w:t>
      </w:r>
    </w:p>
    <w:p w14:paraId="522146BA">
      <w:pPr>
        <w:pStyle w:val="1217"/>
        <w:widowControl/>
        <w:spacing w:line="360" w:lineRule="auto"/>
        <w:ind w:firstLine="425"/>
        <w:rPr>
          <w:rFonts w:ascii="宋体" w:hAnsi="宋体"/>
          <w:sz w:val="24"/>
        </w:rPr>
      </w:pPr>
      <w:r>
        <w:rPr>
          <w:rFonts w:hint="eastAsia" w:ascii="宋体" w:hAnsi="宋体"/>
          <w:sz w:val="24"/>
        </w:rPr>
        <w:t>10.2 商务部分系指投标人提交的证明其中标后有能力履行合同的文件。</w:t>
      </w:r>
    </w:p>
    <w:p w14:paraId="5D0A99AD">
      <w:pPr>
        <w:pStyle w:val="1217"/>
        <w:widowControl/>
        <w:spacing w:line="360" w:lineRule="auto"/>
        <w:ind w:firstLine="425"/>
        <w:rPr>
          <w:rFonts w:ascii="宋体" w:hAnsi="宋体"/>
          <w:sz w:val="24"/>
        </w:rPr>
      </w:pPr>
      <w:r>
        <w:rPr>
          <w:rFonts w:hint="eastAsia" w:ascii="宋体" w:hAnsi="宋体"/>
          <w:sz w:val="24"/>
        </w:rPr>
        <w:t>10.3 技术部分系指投标人提交的能够证明投标人提供的货物（服务）符合招标文件规定的文件。</w:t>
      </w:r>
    </w:p>
    <w:p w14:paraId="162E3B1D">
      <w:pPr>
        <w:pStyle w:val="1217"/>
        <w:widowControl/>
        <w:spacing w:line="360" w:lineRule="auto"/>
        <w:ind w:firstLine="425"/>
        <w:rPr>
          <w:rFonts w:ascii="宋体" w:hAnsi="宋体"/>
          <w:sz w:val="24"/>
        </w:rPr>
      </w:pPr>
      <w:r>
        <w:rPr>
          <w:rFonts w:hint="eastAsia" w:ascii="宋体" w:hAnsi="宋体"/>
          <w:sz w:val="24"/>
        </w:rPr>
        <w:t>10.4 具体填写格式详见招标文件第六部分。</w:t>
      </w:r>
    </w:p>
    <w:p w14:paraId="73ACC884">
      <w:pPr>
        <w:pStyle w:val="5"/>
        <w:keepNext w:val="0"/>
        <w:keepLines w:val="0"/>
        <w:spacing w:before="200" w:after="200" w:line="360" w:lineRule="auto"/>
        <w:ind w:firstLine="446"/>
        <w:rPr>
          <w:rFonts w:ascii="宋体" w:hAnsi="宋体"/>
          <w:sz w:val="30"/>
        </w:rPr>
      </w:pPr>
      <w:r>
        <w:rPr>
          <w:rFonts w:hint="eastAsia" w:ascii="宋体" w:hAnsi="宋体"/>
          <w:sz w:val="30"/>
        </w:rPr>
        <w:t>11．投标文件的编制</w:t>
      </w:r>
    </w:p>
    <w:p w14:paraId="09824A4A">
      <w:pPr>
        <w:spacing w:line="360" w:lineRule="auto"/>
        <w:ind w:left="1" w:firstLine="480"/>
        <w:rPr>
          <w:rFonts w:ascii="宋体" w:hAnsi="宋体"/>
          <w:b/>
          <w:sz w:val="24"/>
        </w:rPr>
      </w:pPr>
      <w:r>
        <w:rPr>
          <w:rFonts w:hint="eastAsia" w:ascii="宋体" w:hAnsi="宋体"/>
          <w:sz w:val="24"/>
        </w:rPr>
        <w:t>11.1 投标人应仔细阅读招标文件，按照招标文件的要求编制投标文件。投标文件应当对招标文件提出的要求和条件作出明确响应。</w:t>
      </w:r>
    </w:p>
    <w:p w14:paraId="7705E8A5">
      <w:pPr>
        <w:spacing w:line="360" w:lineRule="auto"/>
        <w:ind w:left="1" w:firstLine="480"/>
        <w:rPr>
          <w:rFonts w:ascii="宋体" w:hAnsi="宋体"/>
          <w:b/>
          <w:sz w:val="24"/>
        </w:rPr>
      </w:pPr>
      <w:r>
        <w:rPr>
          <w:rFonts w:hint="eastAsia" w:ascii="宋体" w:hAnsi="宋体"/>
          <w:sz w:val="24"/>
        </w:rPr>
        <w:t xml:space="preserve">11.2 </w:t>
      </w:r>
      <w:r>
        <w:rPr>
          <w:rFonts w:hint="eastAsia" w:ascii="宋体" w:hAnsi="宋体"/>
          <w:b/>
          <w:sz w:val="24"/>
        </w:rPr>
        <w:t>投标人在编制投标文件时，请按照招标文件第六部分规定的格式进行填写并提交到对应位置，无相应内容可填的项应填写“无”、“没有相应指标”等明确的回答文字。</w:t>
      </w:r>
    </w:p>
    <w:p w14:paraId="1A23AAED">
      <w:pPr>
        <w:spacing w:line="360" w:lineRule="auto"/>
        <w:ind w:left="1" w:firstLine="480"/>
        <w:rPr>
          <w:rFonts w:ascii="宋体" w:hAnsi="宋体"/>
          <w:sz w:val="24"/>
        </w:rPr>
      </w:pPr>
      <w:r>
        <w:rPr>
          <w:rFonts w:hint="eastAsia" w:ascii="宋体" w:hAnsi="宋体"/>
          <w:sz w:val="24"/>
        </w:rPr>
        <w:t>11.3 如没有按照招标文件要求和规定编制投标文件及提交相关资料，其风险应由投标人自行承担；投标文件编排混乱、文字表达不清或上传资料内容模糊所引起的不利后果，由投标人自行承担。</w:t>
      </w:r>
    </w:p>
    <w:p w14:paraId="5137030D">
      <w:pPr>
        <w:spacing w:line="360" w:lineRule="auto"/>
        <w:ind w:left="1" w:firstLine="480"/>
        <w:rPr>
          <w:rFonts w:ascii="宋体" w:hAnsi="宋体"/>
          <w:b/>
          <w:sz w:val="24"/>
        </w:rPr>
      </w:pPr>
      <w:r>
        <w:rPr>
          <w:rFonts w:hint="eastAsia" w:ascii="宋体" w:hAnsi="宋体"/>
          <w:sz w:val="24"/>
        </w:rPr>
        <w:t xml:space="preserve">11.4 </w:t>
      </w:r>
      <w:r>
        <w:rPr>
          <w:rFonts w:hint="eastAsia" w:ascii="宋体" w:hAnsi="宋体"/>
          <w:b/>
          <w:sz w:val="24"/>
        </w:rPr>
        <w:t>投标人必须保证投标文件所提供的全部资料合法、真实、可靠。</w:t>
      </w:r>
    </w:p>
    <w:p w14:paraId="4ACCF1C7">
      <w:pPr>
        <w:spacing w:line="360" w:lineRule="auto"/>
        <w:ind w:firstLine="446"/>
        <w:rPr>
          <w:rFonts w:ascii="宋体" w:hAnsi="宋体"/>
          <w:color w:val="4BACC6" w:themeColor="accent5"/>
          <w:sz w:val="24"/>
          <w14:textFill>
            <w14:solidFill>
              <w14:schemeClr w14:val="accent5"/>
            </w14:solidFill>
          </w14:textFill>
        </w:rPr>
      </w:pPr>
      <w:r>
        <w:rPr>
          <w:rFonts w:hint="eastAsia" w:ascii="宋体" w:hAnsi="宋体"/>
          <w:b/>
          <w:sz w:val="30"/>
        </w:rPr>
        <w:t>12．投标保证金</w:t>
      </w:r>
    </w:p>
    <w:p w14:paraId="74899084">
      <w:pPr>
        <w:spacing w:line="360" w:lineRule="auto"/>
        <w:ind w:left="1" w:firstLine="480"/>
        <w:rPr>
          <w:rFonts w:ascii="宋体" w:hAnsi="宋体"/>
          <w:b/>
          <w:sz w:val="24"/>
        </w:rPr>
      </w:pPr>
      <w:r>
        <w:rPr>
          <w:rFonts w:hint="eastAsia" w:ascii="宋体" w:hAnsi="宋体"/>
          <w:sz w:val="24"/>
        </w:rPr>
        <w:t xml:space="preserve">12.1 </w:t>
      </w:r>
      <w:r>
        <w:rPr>
          <w:rFonts w:hint="eastAsia" w:ascii="宋体" w:hAnsi="宋体"/>
          <w:b/>
          <w:sz w:val="24"/>
        </w:rPr>
        <w:t>本项目不收投标保证金。</w:t>
      </w:r>
    </w:p>
    <w:p w14:paraId="6F9F955D">
      <w:pPr>
        <w:pStyle w:val="5"/>
        <w:keepNext w:val="0"/>
        <w:keepLines w:val="0"/>
        <w:spacing w:before="200" w:after="200" w:line="360" w:lineRule="auto"/>
        <w:ind w:firstLine="446"/>
        <w:rPr>
          <w:rFonts w:ascii="宋体" w:hAnsi="宋体"/>
          <w:sz w:val="30"/>
        </w:rPr>
      </w:pPr>
      <w:r>
        <w:rPr>
          <w:rFonts w:hint="eastAsia" w:ascii="宋体" w:hAnsi="宋体"/>
          <w:sz w:val="30"/>
        </w:rPr>
        <w:t>13．投标有效期</w:t>
      </w:r>
    </w:p>
    <w:p w14:paraId="28176325">
      <w:pPr>
        <w:spacing w:line="360" w:lineRule="auto"/>
        <w:ind w:firstLine="480"/>
        <w:rPr>
          <w:rFonts w:ascii="宋体" w:hAnsi="宋体"/>
          <w:sz w:val="24"/>
        </w:rPr>
      </w:pPr>
      <w:r>
        <w:rPr>
          <w:rFonts w:hint="eastAsia" w:ascii="宋体" w:hAnsi="宋体"/>
          <w:sz w:val="24"/>
        </w:rPr>
        <w:t>13.1 投标有效期为：投标文件自</w:t>
      </w:r>
      <w:r>
        <w:rPr>
          <w:rFonts w:hint="eastAsia" w:ascii="宋体" w:hAnsi="宋体" w:cs="宋体"/>
          <w:sz w:val="24"/>
          <w:szCs w:val="28"/>
        </w:rPr>
        <w:t>提交投标文件截止时间</w:t>
      </w:r>
      <w:r>
        <w:rPr>
          <w:rFonts w:hint="eastAsia" w:ascii="宋体" w:hAnsi="宋体"/>
          <w:sz w:val="24"/>
        </w:rPr>
        <w:t>之日起</w:t>
      </w:r>
      <w:r>
        <w:rPr>
          <w:rFonts w:hint="eastAsia" w:ascii="宋体" w:hAnsi="宋体"/>
          <w:color w:val="0000FF"/>
          <w:sz w:val="24"/>
        </w:rPr>
        <w:t>90天</w:t>
      </w:r>
      <w:r>
        <w:rPr>
          <w:rFonts w:hint="eastAsia" w:ascii="宋体" w:hAnsi="宋体"/>
          <w:sz w:val="24"/>
        </w:rPr>
        <w:t>内有效。投标人一旦获取了本招标文件并参加投标，即被认为接受了投标有效期的约定。</w:t>
      </w:r>
    </w:p>
    <w:p w14:paraId="12AD7627">
      <w:pPr>
        <w:spacing w:line="360" w:lineRule="auto"/>
        <w:ind w:firstLine="480"/>
        <w:rPr>
          <w:rFonts w:ascii="宋体" w:hAnsi="宋体"/>
          <w:sz w:val="24"/>
        </w:rPr>
      </w:pPr>
      <w:r>
        <w:rPr>
          <w:rFonts w:hint="eastAsia" w:ascii="宋体" w:hAnsi="宋体"/>
          <w:sz w:val="24"/>
        </w:rPr>
        <w:t>13.2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p>
    <w:p w14:paraId="16676B17">
      <w:pPr>
        <w:spacing w:line="360" w:lineRule="auto"/>
        <w:ind w:firstLine="446"/>
        <w:rPr>
          <w:rFonts w:ascii="宋体" w:hAnsi="宋体"/>
          <w:b/>
          <w:sz w:val="30"/>
        </w:rPr>
      </w:pPr>
      <w:r>
        <w:rPr>
          <w:rFonts w:hint="eastAsia" w:ascii="宋体" w:hAnsi="宋体"/>
          <w:b/>
          <w:sz w:val="30"/>
        </w:rPr>
        <w:t>14.投标文件的式样和签署</w:t>
      </w:r>
    </w:p>
    <w:p w14:paraId="15EB899D">
      <w:pPr>
        <w:spacing w:line="360" w:lineRule="auto"/>
        <w:ind w:firstLine="420"/>
        <w:rPr>
          <w:rFonts w:ascii="宋体" w:hAnsi="宋体"/>
          <w:sz w:val="24"/>
        </w:rPr>
      </w:pPr>
      <w:r>
        <w:rPr>
          <w:rFonts w:hint="eastAsia" w:ascii="宋体" w:hAnsi="宋体"/>
          <w:sz w:val="24"/>
        </w:rPr>
        <w:t>14.1 投标人应通过响应文件制作软件使用数字认证证书对投标文件进行合成、电子签章及加密打包。</w:t>
      </w:r>
    </w:p>
    <w:p w14:paraId="6F6C77F9">
      <w:pPr>
        <w:pStyle w:val="5"/>
        <w:keepNext w:val="0"/>
        <w:keepLines w:val="0"/>
        <w:spacing w:before="200" w:after="200" w:line="360" w:lineRule="auto"/>
        <w:ind w:firstLine="446"/>
        <w:rPr>
          <w:rFonts w:ascii="宋体" w:hAnsi="宋体"/>
          <w:sz w:val="30"/>
        </w:rPr>
      </w:pPr>
      <w:r>
        <w:rPr>
          <w:rFonts w:hint="eastAsia" w:ascii="宋体" w:hAnsi="宋体"/>
          <w:sz w:val="30"/>
        </w:rPr>
        <w:t>15．投标文件的提交</w:t>
      </w:r>
    </w:p>
    <w:p w14:paraId="499831B8">
      <w:pPr>
        <w:spacing w:line="360" w:lineRule="auto"/>
        <w:ind w:left="1" w:firstLine="480"/>
        <w:rPr>
          <w:rFonts w:ascii="宋体" w:hAnsi="宋体"/>
          <w:sz w:val="24"/>
        </w:rPr>
      </w:pPr>
      <w:r>
        <w:rPr>
          <w:rFonts w:hint="eastAsia" w:ascii="宋体" w:hAnsi="宋体"/>
          <w:sz w:val="24"/>
        </w:rPr>
        <w:t>15.1 投标文件提交</w:t>
      </w:r>
    </w:p>
    <w:p w14:paraId="40DCAD3D">
      <w:pPr>
        <w:spacing w:line="360" w:lineRule="auto"/>
        <w:ind w:left="1" w:firstLine="480"/>
        <w:rPr>
          <w:rFonts w:ascii="宋体" w:hAnsi="宋体"/>
          <w:b/>
          <w:sz w:val="24"/>
          <w:u w:val="single"/>
        </w:rPr>
      </w:pPr>
      <w:r>
        <w:rPr>
          <w:rFonts w:hint="eastAsia" w:ascii="宋体" w:hAnsi="宋体"/>
          <w:sz w:val="24"/>
        </w:rPr>
        <w:t>15.1.1 投标人须在招标文件规定的截止时间前，通过响应文件编制软件或登录电子交易平台在规定时间内完成提交，提交成功后系统将发送投标回执。</w:t>
      </w:r>
      <w:r>
        <w:rPr>
          <w:rFonts w:hint="eastAsia" w:ascii="宋体" w:hAnsi="宋体"/>
          <w:b/>
          <w:sz w:val="24"/>
          <w:u w:val="single"/>
        </w:rPr>
        <w:t>时间以电子交易平台时间为准。</w:t>
      </w:r>
    </w:p>
    <w:p w14:paraId="10F5A5CB">
      <w:pPr>
        <w:spacing w:line="360" w:lineRule="auto"/>
        <w:ind w:left="1" w:firstLine="480"/>
        <w:rPr>
          <w:rFonts w:ascii="宋体" w:hAnsi="宋体"/>
          <w:b/>
          <w:sz w:val="24"/>
          <w:u w:val="single"/>
        </w:rPr>
      </w:pPr>
      <w:r>
        <w:rPr>
          <w:rFonts w:hint="eastAsia" w:ascii="宋体" w:hAnsi="宋体"/>
          <w:sz w:val="24"/>
        </w:rPr>
        <w:t xml:space="preserve">15.1.2 </w:t>
      </w:r>
      <w:r>
        <w:rPr>
          <w:rFonts w:hint="eastAsia" w:ascii="宋体" w:hAnsi="宋体"/>
          <w:b/>
          <w:sz w:val="24"/>
          <w:u w:val="single"/>
        </w:rPr>
        <w:t>截止时间以后提交的投标文件，电子交易平台将拒绝接收。投标人应充分考虑网络环境、网络带宽等风险因素。</w:t>
      </w:r>
    </w:p>
    <w:p w14:paraId="271D14A8">
      <w:pPr>
        <w:spacing w:line="360" w:lineRule="auto"/>
        <w:ind w:firstLine="480"/>
        <w:rPr>
          <w:rFonts w:ascii="宋体" w:hAnsi="宋体"/>
          <w:b/>
          <w:sz w:val="24"/>
          <w:szCs w:val="20"/>
          <w:u w:val="single"/>
        </w:rPr>
      </w:pPr>
      <w:r>
        <w:rPr>
          <w:rFonts w:hint="eastAsia" w:ascii="宋体" w:hAnsi="宋体"/>
          <w:sz w:val="24"/>
        </w:rPr>
        <w:t xml:space="preserve">15.1.3 </w:t>
      </w:r>
      <w:r>
        <w:rPr>
          <w:rFonts w:hint="eastAsia" w:ascii="宋体" w:hAnsi="宋体"/>
          <w:b/>
          <w:sz w:val="24"/>
          <w:szCs w:val="20"/>
          <w:u w:val="single"/>
        </w:rPr>
        <w:t>提交投标文件时，投标人须使用制作该投标文件的同一数字认证证书进行提交操作。</w:t>
      </w:r>
    </w:p>
    <w:p w14:paraId="6E32F8AC">
      <w:pPr>
        <w:spacing w:line="360" w:lineRule="auto"/>
        <w:ind w:firstLine="480"/>
        <w:rPr>
          <w:rFonts w:ascii="宋体" w:hAnsi="宋体"/>
          <w:b/>
          <w:sz w:val="24"/>
          <w:u w:val="single"/>
        </w:rPr>
      </w:pPr>
      <w:r>
        <w:rPr>
          <w:rFonts w:hint="eastAsia" w:ascii="宋体" w:hAnsi="宋体"/>
          <w:sz w:val="24"/>
        </w:rPr>
        <w:t>15.1.4</w:t>
      </w:r>
      <w:r>
        <w:rPr>
          <w:rFonts w:hint="eastAsia" w:ascii="宋体" w:hAnsi="宋体"/>
          <w:b/>
          <w:sz w:val="24"/>
          <w:u w:val="single"/>
        </w:rPr>
        <w:t>提交完成后至解密前，</w:t>
      </w:r>
      <w:r>
        <w:rPr>
          <w:rFonts w:hint="eastAsia" w:ascii="宋体" w:hAnsi="宋体"/>
          <w:b/>
          <w:sz w:val="24"/>
          <w:szCs w:val="20"/>
          <w:u w:val="single"/>
        </w:rPr>
        <w:t>投标人</w:t>
      </w:r>
      <w:r>
        <w:rPr>
          <w:rFonts w:hint="eastAsia" w:ascii="宋体" w:hAnsi="宋体"/>
          <w:b/>
          <w:sz w:val="24"/>
          <w:u w:val="single"/>
        </w:rPr>
        <w:t>不能对加密投标文件时所使用的数字认证证书进行更新、续费，否则可能引起的投标文件解密失败等相关后果由投标人自行承担。</w:t>
      </w:r>
    </w:p>
    <w:p w14:paraId="77D04122">
      <w:pPr>
        <w:spacing w:line="360" w:lineRule="auto"/>
        <w:ind w:firstLine="480"/>
        <w:rPr>
          <w:rFonts w:ascii="宋体" w:hAnsi="宋体"/>
          <w:sz w:val="24"/>
        </w:rPr>
      </w:pPr>
      <w:r>
        <w:rPr>
          <w:rFonts w:hint="eastAsia" w:ascii="宋体" w:hAnsi="宋体"/>
          <w:sz w:val="24"/>
        </w:rPr>
        <w:t>15.1.5因不可抗力事件造成的投标文件的损坏、丢失的，采购代理机构不承担责任。</w:t>
      </w:r>
    </w:p>
    <w:p w14:paraId="7A454FBB">
      <w:pPr>
        <w:spacing w:line="360" w:lineRule="auto"/>
        <w:ind w:firstLine="480"/>
        <w:rPr>
          <w:rFonts w:ascii="宋体" w:hAnsi="宋体"/>
          <w:color w:val="000000"/>
          <w:sz w:val="24"/>
        </w:rPr>
      </w:pPr>
      <w:r>
        <w:rPr>
          <w:rFonts w:hint="eastAsia" w:ascii="宋体" w:hAnsi="宋体"/>
          <w:color w:val="000000"/>
          <w:sz w:val="24"/>
        </w:rPr>
        <w:t>15.2 采购代理机构可以通过修改招标文件自行酌情延长提交截止时间，在此情况下，推迟的提交截止时间将在系统中以书面形式通知已获取招标文件的潜在投标人，并在</w:t>
      </w:r>
      <w:r>
        <w:rPr>
          <w:rFonts w:hint="eastAsia" w:ascii="宋体" w:hAnsi="宋体"/>
          <w:color w:val="0000FF"/>
          <w:sz w:val="24"/>
        </w:rPr>
        <w:t>原公告媒体</w:t>
      </w:r>
      <w:r>
        <w:rPr>
          <w:rFonts w:hint="eastAsia" w:ascii="宋体" w:hAnsi="宋体"/>
          <w:color w:val="000000"/>
          <w:sz w:val="24"/>
        </w:rPr>
        <w:t>上发布公告。投标人应及时自行登录系统查看相应内容。</w:t>
      </w:r>
    </w:p>
    <w:p w14:paraId="76224EB9">
      <w:pPr>
        <w:pStyle w:val="5"/>
        <w:keepNext w:val="0"/>
        <w:keepLines w:val="0"/>
        <w:spacing w:before="200" w:after="200" w:line="360" w:lineRule="auto"/>
        <w:ind w:firstLine="446"/>
        <w:rPr>
          <w:rFonts w:ascii="宋体" w:hAnsi="宋体"/>
          <w:sz w:val="30"/>
        </w:rPr>
      </w:pPr>
      <w:r>
        <w:rPr>
          <w:rFonts w:hint="eastAsia" w:ascii="宋体" w:hAnsi="宋体"/>
          <w:sz w:val="30"/>
        </w:rPr>
        <w:t>16．投标文件的补充、修改或者撤回</w:t>
      </w:r>
    </w:p>
    <w:p w14:paraId="75728E79">
      <w:pPr>
        <w:spacing w:line="360" w:lineRule="auto"/>
        <w:ind w:firstLine="480"/>
        <w:rPr>
          <w:rFonts w:ascii="宋体" w:hAnsi="宋体"/>
          <w:color w:val="000000"/>
          <w:sz w:val="24"/>
        </w:rPr>
      </w:pPr>
      <w:r>
        <w:rPr>
          <w:rFonts w:hint="eastAsia" w:ascii="宋体" w:hAnsi="宋体"/>
          <w:color w:val="000000"/>
          <w:sz w:val="24"/>
        </w:rPr>
        <w:t xml:space="preserve">16.1 </w:t>
      </w:r>
      <w:r>
        <w:rPr>
          <w:rFonts w:ascii="宋体" w:hAnsi="宋体"/>
          <w:color w:val="000000"/>
          <w:sz w:val="24"/>
        </w:rPr>
        <w:t>在提交截止时间前</w:t>
      </w:r>
      <w:r>
        <w:rPr>
          <w:rFonts w:hint="eastAsia" w:ascii="宋体" w:hAnsi="宋体"/>
          <w:color w:val="000000"/>
          <w:sz w:val="24"/>
        </w:rPr>
        <w:t>，</w:t>
      </w:r>
      <w:r>
        <w:rPr>
          <w:rFonts w:ascii="宋体" w:hAnsi="宋体"/>
          <w:color w:val="000000"/>
          <w:sz w:val="24"/>
        </w:rPr>
        <w:t>投标人可以对所</w:t>
      </w:r>
      <w:r>
        <w:rPr>
          <w:rFonts w:hint="eastAsia" w:ascii="宋体" w:hAnsi="宋体"/>
          <w:color w:val="000000"/>
          <w:sz w:val="24"/>
        </w:rPr>
        <w:t>提交</w:t>
      </w:r>
      <w:r>
        <w:rPr>
          <w:rFonts w:ascii="宋体" w:hAnsi="宋体"/>
          <w:color w:val="000000"/>
          <w:sz w:val="24"/>
        </w:rPr>
        <w:t>的投标文件进行</w:t>
      </w:r>
      <w:r>
        <w:rPr>
          <w:rFonts w:hint="eastAsia" w:ascii="宋体" w:hAnsi="宋体"/>
          <w:color w:val="000000"/>
          <w:sz w:val="24"/>
        </w:rPr>
        <w:t>补充、修改或者撤回</w:t>
      </w:r>
      <w:r>
        <w:rPr>
          <w:rFonts w:ascii="宋体" w:hAnsi="宋体"/>
          <w:color w:val="000000"/>
          <w:sz w:val="24"/>
        </w:rPr>
        <w:t>。</w:t>
      </w:r>
    </w:p>
    <w:p w14:paraId="10B7843A">
      <w:pPr>
        <w:spacing w:line="360" w:lineRule="auto"/>
        <w:ind w:firstLine="480"/>
        <w:rPr>
          <w:rFonts w:ascii="宋体" w:hAnsi="宋体"/>
          <w:color w:val="000000"/>
          <w:sz w:val="24"/>
        </w:rPr>
      </w:pPr>
      <w:r>
        <w:rPr>
          <w:rFonts w:hint="eastAsia" w:ascii="宋体" w:hAnsi="宋体"/>
          <w:color w:val="000000"/>
          <w:sz w:val="24"/>
        </w:rPr>
        <w:t>16.2 投标人在提交截止时间前需要对投标文件进行补充、修改的，应当使用响应文件制作软件重新制作并提交。</w:t>
      </w:r>
    </w:p>
    <w:p w14:paraId="3F06138D">
      <w:pPr>
        <w:spacing w:line="360" w:lineRule="auto"/>
        <w:ind w:firstLine="480"/>
        <w:rPr>
          <w:rFonts w:ascii="宋体" w:hAnsi="宋体"/>
          <w:color w:val="000000"/>
          <w:sz w:val="24"/>
        </w:rPr>
      </w:pPr>
      <w:r>
        <w:rPr>
          <w:rFonts w:hint="eastAsia" w:ascii="宋体" w:hAnsi="宋体"/>
          <w:color w:val="000000"/>
          <w:sz w:val="24"/>
        </w:rPr>
        <w:t>16.3 在提交截止时间之后，投标人不得对其投标文件作任何修改或撤回。</w:t>
      </w:r>
    </w:p>
    <w:p w14:paraId="67774A64">
      <w:pPr>
        <w:pStyle w:val="5"/>
        <w:keepNext w:val="0"/>
        <w:keepLines w:val="0"/>
        <w:spacing w:before="0" w:after="0" w:line="360" w:lineRule="auto"/>
        <w:ind w:firstLine="480"/>
        <w:jc w:val="left"/>
        <w:rPr>
          <w:rFonts w:ascii="宋体" w:hAnsi="宋体"/>
          <w:b w:val="0"/>
          <w:color w:val="000000"/>
          <w:sz w:val="24"/>
          <w:szCs w:val="24"/>
        </w:rPr>
      </w:pPr>
      <w:r>
        <w:rPr>
          <w:rFonts w:hint="eastAsia" w:ascii="宋体" w:hAnsi="宋体"/>
          <w:b w:val="0"/>
          <w:color w:val="000000"/>
          <w:sz w:val="24"/>
          <w:szCs w:val="24"/>
        </w:rPr>
        <w:t>16.4 在提交截止时间至招标文件中规定的投标有效期满之间，投标人不得撤回其投标。</w:t>
      </w:r>
    </w:p>
    <w:p w14:paraId="74D9990F">
      <w:pPr>
        <w:pStyle w:val="5"/>
        <w:keepNext w:val="0"/>
        <w:keepLines w:val="0"/>
        <w:spacing w:before="200" w:after="200" w:line="360" w:lineRule="auto"/>
        <w:ind w:firstLine="643"/>
        <w:jc w:val="center"/>
        <w:rPr>
          <w:rFonts w:ascii="宋体" w:hAnsi="宋体"/>
          <w:szCs w:val="32"/>
        </w:rPr>
      </w:pPr>
      <w:r>
        <w:rPr>
          <w:rFonts w:hint="eastAsia" w:ascii="宋体" w:hAnsi="宋体"/>
          <w:szCs w:val="32"/>
        </w:rPr>
        <w:t>五、开标及评标</w:t>
      </w:r>
    </w:p>
    <w:p w14:paraId="71143230">
      <w:pPr>
        <w:pStyle w:val="5"/>
        <w:keepNext w:val="0"/>
        <w:keepLines w:val="0"/>
        <w:spacing w:before="200" w:after="200" w:line="360" w:lineRule="auto"/>
        <w:ind w:firstLine="446"/>
        <w:rPr>
          <w:rFonts w:ascii="宋体" w:hAnsi="宋体"/>
          <w:sz w:val="30"/>
        </w:rPr>
      </w:pPr>
      <w:r>
        <w:rPr>
          <w:rFonts w:hint="eastAsia" w:ascii="宋体" w:hAnsi="宋体"/>
          <w:sz w:val="30"/>
        </w:rPr>
        <w:t>17．开标</w:t>
      </w:r>
    </w:p>
    <w:p w14:paraId="71CB1A79">
      <w:pPr>
        <w:spacing w:line="360" w:lineRule="auto"/>
        <w:ind w:left="1" w:firstLine="480"/>
        <w:rPr>
          <w:rFonts w:ascii="宋体" w:hAnsi="宋体"/>
          <w:color w:val="000000"/>
          <w:sz w:val="24"/>
        </w:rPr>
      </w:pPr>
      <w:r>
        <w:rPr>
          <w:rFonts w:hint="eastAsia" w:ascii="宋体" w:hAnsi="宋体"/>
          <w:color w:val="000000"/>
          <w:sz w:val="24"/>
        </w:rPr>
        <w:t>17.1 采购代理机构将按招标文件规定的时间、地点主持开标。</w:t>
      </w:r>
    </w:p>
    <w:p w14:paraId="7D8756A6">
      <w:pPr>
        <w:spacing w:line="360" w:lineRule="auto"/>
        <w:ind w:left="1" w:firstLine="480"/>
        <w:rPr>
          <w:rFonts w:ascii="宋体" w:hAnsi="宋体"/>
          <w:color w:val="000000"/>
          <w:sz w:val="24"/>
        </w:rPr>
      </w:pPr>
      <w:r>
        <w:rPr>
          <w:rFonts w:hint="eastAsia" w:ascii="宋体" w:hAnsi="宋体"/>
          <w:color w:val="000000"/>
          <w:sz w:val="24"/>
        </w:rPr>
        <w:t>17.2 投标人应当在开标前做好充分准备，使用制作该投标文件的同一数字认证证书准时参加开标。</w:t>
      </w:r>
    </w:p>
    <w:p w14:paraId="2919F990">
      <w:pPr>
        <w:spacing w:line="360" w:lineRule="auto"/>
        <w:ind w:left="1" w:firstLine="482"/>
        <w:rPr>
          <w:rFonts w:ascii="宋体" w:hAnsi="宋体"/>
          <w:b/>
          <w:color w:val="000000"/>
          <w:sz w:val="24"/>
        </w:rPr>
      </w:pPr>
      <w:r>
        <w:rPr>
          <w:rFonts w:hint="eastAsia" w:ascii="宋体" w:hAnsi="宋体"/>
          <w:b/>
          <w:color w:val="000000"/>
          <w:sz w:val="24"/>
        </w:rPr>
        <w:t>17.3 投标人不足3家，不进入解密程序。</w:t>
      </w:r>
    </w:p>
    <w:p w14:paraId="11F8A848">
      <w:pPr>
        <w:spacing w:line="360" w:lineRule="auto"/>
        <w:ind w:left="1" w:firstLine="480"/>
        <w:rPr>
          <w:rFonts w:ascii="宋体" w:hAnsi="宋体"/>
          <w:sz w:val="24"/>
        </w:rPr>
      </w:pPr>
      <w:r>
        <w:rPr>
          <w:rFonts w:hint="eastAsia" w:ascii="宋体" w:hAnsi="宋体"/>
          <w:color w:val="000000"/>
          <w:sz w:val="24"/>
        </w:rPr>
        <w:t>17.4</w:t>
      </w:r>
      <w:r>
        <w:rPr>
          <w:rFonts w:hint="eastAsia" w:ascii="宋体" w:hAnsi="宋体"/>
          <w:sz w:val="24"/>
        </w:rPr>
        <w:t xml:space="preserve"> 开标时，采购代理机构将在系统内发出解密的指令，投标人自行实施解密，限定在主持人发布解密指令后</w:t>
      </w:r>
      <w:r>
        <w:rPr>
          <w:rFonts w:hint="eastAsia" w:ascii="宋体" w:hAnsi="宋体"/>
          <w:color w:val="0000FF"/>
          <w:sz w:val="24"/>
          <w:u w:val="single"/>
        </w:rPr>
        <w:t>30</w:t>
      </w:r>
      <w:r>
        <w:rPr>
          <w:rFonts w:hint="eastAsia" w:ascii="宋体" w:hAnsi="宋体"/>
          <w:sz w:val="24"/>
        </w:rPr>
        <w:t>分钟内完成。解密时，投标人必须使用与制作投标文件时同一数字认证证书对投标文件进行解密，否则解密将会失败。</w:t>
      </w:r>
    </w:p>
    <w:p w14:paraId="5CAEF2A3">
      <w:pPr>
        <w:spacing w:line="360" w:lineRule="auto"/>
        <w:ind w:left="2" w:firstLine="480"/>
        <w:rPr>
          <w:rFonts w:ascii="宋体" w:hAnsi="宋体"/>
          <w:sz w:val="24"/>
        </w:rPr>
      </w:pPr>
      <w:r>
        <w:rPr>
          <w:rFonts w:hint="eastAsia" w:ascii="宋体" w:hAnsi="宋体"/>
          <w:color w:val="000000"/>
          <w:sz w:val="24"/>
        </w:rPr>
        <w:t>17.</w:t>
      </w:r>
      <w:r>
        <w:rPr>
          <w:rFonts w:hint="eastAsia" w:ascii="宋体" w:hAnsi="宋体"/>
          <w:sz w:val="24"/>
        </w:rPr>
        <w:t>5 因投标人原因造成投标文件规定时间未解密或解密失败或无法正常打开投标文件的，采购代理机构将拒绝其投标。部分投标人投标文件未解密或解密失败的，程序可以继续进行。</w:t>
      </w:r>
      <w:r>
        <w:rPr>
          <w:rFonts w:hint="eastAsia" w:ascii="宋体" w:hAnsi="宋体"/>
          <w:b/>
          <w:sz w:val="24"/>
        </w:rPr>
        <w:t>若解密成功的投标人不足三家，不进入后续程序。</w:t>
      </w:r>
    </w:p>
    <w:p w14:paraId="4BB4CDD1">
      <w:pPr>
        <w:spacing w:line="360" w:lineRule="auto"/>
        <w:ind w:left="1" w:firstLine="480"/>
        <w:rPr>
          <w:rFonts w:ascii="宋体" w:hAnsi="宋体"/>
          <w:sz w:val="24"/>
        </w:rPr>
      </w:pPr>
      <w:r>
        <w:rPr>
          <w:rFonts w:hint="eastAsia" w:ascii="宋体" w:hAnsi="宋体"/>
          <w:sz w:val="24"/>
        </w:rPr>
        <w:t>17.6本项目在限定的解密时间内，只要有任一家投标人解密成功，即视为电子交易平台运行无故障。</w:t>
      </w:r>
    </w:p>
    <w:p w14:paraId="4D312644">
      <w:pPr>
        <w:spacing w:line="360" w:lineRule="auto"/>
        <w:ind w:left="1" w:firstLine="480"/>
        <w:rPr>
          <w:rFonts w:ascii="宋体" w:hAnsi="宋体"/>
          <w:color w:val="4BACC6" w:themeColor="accent5"/>
          <w:sz w:val="24"/>
          <w14:textFill>
            <w14:solidFill>
              <w14:schemeClr w14:val="accent5"/>
            </w14:solidFill>
          </w14:textFill>
        </w:rPr>
      </w:pPr>
      <w:r>
        <w:rPr>
          <w:rFonts w:hint="eastAsia" w:ascii="宋体" w:hAnsi="宋体"/>
          <w:color w:val="000000"/>
          <w:sz w:val="24"/>
        </w:rPr>
        <w:t xml:space="preserve">17.7 </w:t>
      </w:r>
      <w:r>
        <w:rPr>
          <w:rFonts w:hint="eastAsia" w:ascii="宋体" w:hAnsi="宋体"/>
          <w:sz w:val="24"/>
        </w:rPr>
        <w:t>电子投标文件解密全部完成后，按</w:t>
      </w:r>
      <w:r>
        <w:rPr>
          <w:rFonts w:hint="eastAsia" w:ascii="宋体" w:hAnsi="宋体"/>
          <w:b/>
          <w:sz w:val="24"/>
        </w:rPr>
        <w:t>投标文件解密成功顺序</w:t>
      </w:r>
      <w:r>
        <w:rPr>
          <w:rFonts w:hint="eastAsia" w:ascii="宋体" w:hAnsi="宋体"/>
          <w:sz w:val="24"/>
        </w:rPr>
        <w:t>向所有投标人宣布投标人名称、投标价格以及招标文件规定的其他内容。</w:t>
      </w:r>
    </w:p>
    <w:p w14:paraId="587517A0">
      <w:pPr>
        <w:spacing w:line="360" w:lineRule="auto"/>
        <w:ind w:left="1" w:firstLine="480"/>
        <w:rPr>
          <w:rFonts w:ascii="宋体" w:hAnsi="宋体"/>
          <w:sz w:val="24"/>
        </w:rPr>
      </w:pPr>
      <w:r>
        <w:rPr>
          <w:rFonts w:hint="eastAsia" w:ascii="宋体" w:hAnsi="宋体"/>
          <w:color w:val="000000"/>
          <w:sz w:val="24"/>
        </w:rPr>
        <w:t xml:space="preserve">17.8 </w:t>
      </w:r>
      <w:r>
        <w:rPr>
          <w:rFonts w:hint="eastAsia" w:ascii="宋体" w:hAnsi="宋体"/>
          <w:sz w:val="24"/>
        </w:rPr>
        <w:t>电子交易平台自动记录开标过程，由参加开标的各投标人代表和相关工作人员确认开标结果。</w:t>
      </w:r>
    </w:p>
    <w:p w14:paraId="188DC406">
      <w:pPr>
        <w:spacing w:line="360" w:lineRule="auto"/>
        <w:ind w:left="1" w:firstLine="480"/>
        <w:rPr>
          <w:rFonts w:ascii="宋体" w:hAnsi="宋体"/>
          <w:sz w:val="24"/>
        </w:rPr>
      </w:pPr>
      <w:r>
        <w:rPr>
          <w:rFonts w:hint="eastAsia" w:ascii="宋体" w:hAnsi="宋体"/>
          <w:color w:val="000000"/>
          <w:sz w:val="24"/>
        </w:rPr>
        <w:t>17.9</w:t>
      </w:r>
      <w:r>
        <w:rPr>
          <w:rFonts w:hint="eastAsia" w:ascii="宋体" w:hAnsi="宋体"/>
          <w:sz w:val="24"/>
        </w:rPr>
        <w:t xml:space="preserve"> 投标人代表如对开标过程和开标记录有疑义，以及认为采购人、采购代理机构相关工作人员有需要回避的情形的，应在主持人发布确认指令后3分钟内线上提出询问或者回避申请。采购人、采购代理机构将及时处理投标人代表提出的询问或者回避申请。如在规定时间内未提出，视同认可开标结果。</w:t>
      </w:r>
    </w:p>
    <w:p w14:paraId="5634EA20">
      <w:pPr>
        <w:spacing w:line="360" w:lineRule="auto"/>
        <w:ind w:left="1" w:firstLine="480"/>
        <w:rPr>
          <w:rFonts w:ascii="宋体" w:hAnsi="宋体"/>
          <w:sz w:val="24"/>
        </w:rPr>
      </w:pPr>
      <w:r>
        <w:rPr>
          <w:rFonts w:hint="eastAsia" w:ascii="宋体" w:hAnsi="宋体"/>
          <w:color w:val="000000"/>
          <w:sz w:val="24"/>
        </w:rPr>
        <w:t>17.10</w:t>
      </w:r>
      <w:r>
        <w:rPr>
          <w:rFonts w:hint="eastAsia" w:ascii="宋体" w:hAnsi="宋体"/>
          <w:sz w:val="24"/>
        </w:rPr>
        <w:t xml:space="preserve"> 投标人须配合开标工作，否则一切后果由投标人自行承担。</w:t>
      </w:r>
    </w:p>
    <w:p w14:paraId="74EE6785">
      <w:pPr>
        <w:pStyle w:val="5"/>
        <w:keepNext w:val="0"/>
        <w:keepLines w:val="0"/>
        <w:spacing w:before="200" w:after="200" w:line="360" w:lineRule="auto"/>
        <w:ind w:firstLine="446"/>
        <w:rPr>
          <w:rFonts w:ascii="宋体" w:hAnsi="宋体"/>
          <w:sz w:val="30"/>
        </w:rPr>
      </w:pPr>
      <w:r>
        <w:rPr>
          <w:rFonts w:hint="eastAsia" w:ascii="宋体" w:hAnsi="宋体"/>
          <w:sz w:val="30"/>
        </w:rPr>
        <w:t>18.投标人资格审查</w:t>
      </w:r>
    </w:p>
    <w:p w14:paraId="7090CBB4">
      <w:pPr>
        <w:pStyle w:val="6"/>
        <w:spacing w:line="360" w:lineRule="auto"/>
        <w:ind w:firstLine="480"/>
        <w:rPr>
          <w:rFonts w:ascii="宋体" w:hAnsi="宋体"/>
          <w:b/>
          <w:color w:val="000000"/>
          <w:sz w:val="24"/>
        </w:rPr>
      </w:pPr>
      <w:r>
        <w:rPr>
          <w:rFonts w:hint="eastAsia" w:ascii="宋体" w:hAnsi="宋体"/>
          <w:color w:val="000000"/>
          <w:sz w:val="24"/>
        </w:rPr>
        <w:t>18.1 开标结束后，采购人或者采购代理机构将依法对投标人的资格进行审查。</w:t>
      </w:r>
      <w:r>
        <w:rPr>
          <w:rFonts w:hint="eastAsia" w:ascii="宋体" w:hAnsi="宋体"/>
          <w:b/>
          <w:color w:val="000000"/>
          <w:sz w:val="24"/>
        </w:rPr>
        <w:t>合格投标人不足3家的，不进入后续程序。</w:t>
      </w:r>
    </w:p>
    <w:p w14:paraId="4F13C51B">
      <w:pPr>
        <w:pStyle w:val="5"/>
        <w:keepNext w:val="0"/>
        <w:keepLines w:val="0"/>
        <w:spacing w:before="200" w:after="200" w:line="360" w:lineRule="auto"/>
        <w:ind w:firstLine="446"/>
        <w:rPr>
          <w:rFonts w:ascii="宋体" w:hAnsi="宋体"/>
          <w:sz w:val="30"/>
        </w:rPr>
      </w:pPr>
      <w:r>
        <w:rPr>
          <w:rFonts w:hint="eastAsia" w:ascii="宋体" w:hAnsi="宋体"/>
          <w:sz w:val="30"/>
        </w:rPr>
        <w:t>19．评标委员会组成</w:t>
      </w:r>
    </w:p>
    <w:p w14:paraId="538174AD">
      <w:pPr>
        <w:spacing w:line="360" w:lineRule="auto"/>
        <w:ind w:firstLine="480"/>
        <w:rPr>
          <w:rFonts w:ascii="宋体" w:hAnsi="宋体"/>
          <w:sz w:val="24"/>
        </w:rPr>
      </w:pPr>
      <w:r>
        <w:rPr>
          <w:rFonts w:hint="eastAsia" w:ascii="宋体" w:hAnsi="宋体"/>
          <w:sz w:val="24"/>
        </w:rPr>
        <w:t>19.1 评标委员会由采购人代表和评审专家组成，成员人数应当为5人以上单数，其中评审专家不得少于成员总数的三分之二。</w:t>
      </w:r>
    </w:p>
    <w:p w14:paraId="3C4C70D0">
      <w:pPr>
        <w:spacing w:line="360" w:lineRule="auto"/>
        <w:ind w:firstLine="480"/>
        <w:rPr>
          <w:rFonts w:ascii="宋体" w:hAnsi="宋体"/>
          <w:sz w:val="24"/>
        </w:rPr>
      </w:pPr>
      <w:r>
        <w:rPr>
          <w:rFonts w:hint="eastAsia" w:ascii="宋体" w:hAnsi="宋体"/>
          <w:sz w:val="24"/>
        </w:rPr>
        <w:t>采购项目符合下列情形之一的，评标委员会成员人数应当为7人以上单数：</w:t>
      </w:r>
    </w:p>
    <w:p w14:paraId="5989DB8B">
      <w:pPr>
        <w:spacing w:line="360" w:lineRule="auto"/>
        <w:ind w:firstLine="480"/>
        <w:rPr>
          <w:rFonts w:ascii="宋体" w:hAnsi="宋体"/>
          <w:sz w:val="24"/>
        </w:rPr>
      </w:pPr>
      <w:r>
        <w:rPr>
          <w:rFonts w:hint="eastAsia" w:ascii="宋体" w:hAnsi="宋体"/>
          <w:sz w:val="24"/>
        </w:rPr>
        <w:t>（一）采购预算金额在1000万元以上；</w:t>
      </w:r>
    </w:p>
    <w:p w14:paraId="04EC6821">
      <w:pPr>
        <w:spacing w:line="360" w:lineRule="auto"/>
        <w:ind w:firstLine="480"/>
        <w:rPr>
          <w:rFonts w:ascii="宋体" w:hAnsi="宋体"/>
          <w:sz w:val="24"/>
        </w:rPr>
      </w:pPr>
      <w:r>
        <w:rPr>
          <w:rFonts w:hint="eastAsia" w:ascii="宋体" w:hAnsi="宋体"/>
          <w:sz w:val="24"/>
        </w:rPr>
        <w:t>（二）技术复杂；</w:t>
      </w:r>
    </w:p>
    <w:p w14:paraId="247BAEC4">
      <w:pPr>
        <w:spacing w:line="360" w:lineRule="auto"/>
        <w:ind w:firstLine="480"/>
        <w:rPr>
          <w:rFonts w:ascii="宋体" w:hAnsi="宋体"/>
          <w:sz w:val="24"/>
        </w:rPr>
      </w:pPr>
      <w:r>
        <w:rPr>
          <w:rFonts w:hint="eastAsia" w:ascii="宋体" w:hAnsi="宋体"/>
          <w:sz w:val="24"/>
        </w:rPr>
        <w:t>（三）社会影响较大。</w:t>
      </w:r>
    </w:p>
    <w:p w14:paraId="3C23AFA8">
      <w:pPr>
        <w:spacing w:line="360" w:lineRule="auto"/>
        <w:ind w:firstLine="480"/>
        <w:rPr>
          <w:rFonts w:ascii="宋体" w:hAnsi="宋体"/>
          <w:sz w:val="24"/>
        </w:rPr>
      </w:pPr>
      <w:r>
        <w:rPr>
          <w:rFonts w:hint="eastAsia" w:ascii="宋体" w:hAnsi="宋体"/>
          <w:sz w:val="24"/>
        </w:rPr>
        <w:t>评审专家对本单位的采购项目只能作为采购人代表参与评标，《政府采购货物和服务招标投标管理办法》第四十八条第二款规定情形除外。采购代理机构工作人员不得参加由本机构代理的政府采购项目的评标。</w:t>
      </w:r>
    </w:p>
    <w:p w14:paraId="222D2E23">
      <w:pPr>
        <w:spacing w:line="360" w:lineRule="auto"/>
        <w:ind w:firstLine="480"/>
        <w:rPr>
          <w:rFonts w:ascii="宋体" w:hAnsi="宋体"/>
          <w:color w:val="FF0000"/>
          <w:sz w:val="24"/>
        </w:rPr>
      </w:pPr>
      <w:r>
        <w:rPr>
          <w:rFonts w:hint="eastAsia" w:ascii="宋体" w:hAnsi="宋体"/>
          <w:sz w:val="24"/>
        </w:rPr>
        <w:t>评标委员会成员名单在评标结果公告前应当保密。</w:t>
      </w:r>
    </w:p>
    <w:p w14:paraId="0F83196E">
      <w:pPr>
        <w:pStyle w:val="5"/>
        <w:keepNext w:val="0"/>
        <w:keepLines w:val="0"/>
        <w:spacing w:before="200" w:after="200" w:line="360" w:lineRule="auto"/>
        <w:ind w:firstLine="446"/>
        <w:rPr>
          <w:rFonts w:ascii="宋体" w:hAnsi="宋体"/>
          <w:sz w:val="30"/>
        </w:rPr>
      </w:pPr>
      <w:r>
        <w:rPr>
          <w:rFonts w:hint="eastAsia" w:ascii="宋体" w:hAnsi="宋体"/>
          <w:sz w:val="30"/>
        </w:rPr>
        <w:t>210.投标人符合性审查</w:t>
      </w:r>
    </w:p>
    <w:p w14:paraId="41AA2A6F">
      <w:pPr>
        <w:pStyle w:val="6"/>
        <w:spacing w:line="360" w:lineRule="auto"/>
        <w:ind w:firstLine="480"/>
        <w:rPr>
          <w:rFonts w:ascii="宋体" w:hAnsi="宋体"/>
          <w:b/>
          <w:sz w:val="24"/>
        </w:rPr>
      </w:pPr>
      <w:r>
        <w:rPr>
          <w:rFonts w:hint="eastAsia" w:ascii="宋体" w:hAnsi="宋体"/>
          <w:sz w:val="24"/>
        </w:rPr>
        <w:t>20.1 评标委员会将按照招标文件第四部分“评标办法和标准”第7项规定对通过资格审查的投标人的投标文件进行符合性审查，以确定是否满足招标文件的实质性要求。</w:t>
      </w:r>
      <w:r>
        <w:rPr>
          <w:rFonts w:hint="eastAsia" w:ascii="宋体" w:hAnsi="宋体"/>
          <w:b/>
          <w:sz w:val="24"/>
        </w:rPr>
        <w:t>符合性审查合格投标人不足3家的，不进入详细评审环节。</w:t>
      </w:r>
    </w:p>
    <w:p w14:paraId="0A277E55">
      <w:pPr>
        <w:pStyle w:val="5"/>
        <w:keepNext w:val="0"/>
        <w:keepLines w:val="0"/>
        <w:spacing w:before="0" w:after="0" w:line="360" w:lineRule="auto"/>
        <w:ind w:firstLine="480"/>
        <w:rPr>
          <w:rFonts w:ascii="宋体" w:hAnsi="宋体"/>
          <w:b w:val="0"/>
          <w:sz w:val="24"/>
          <w:szCs w:val="24"/>
        </w:rPr>
      </w:pPr>
      <w:r>
        <w:rPr>
          <w:rFonts w:hint="eastAsia" w:ascii="宋体" w:hAnsi="宋体"/>
          <w:b w:val="0"/>
          <w:sz w:val="24"/>
          <w:szCs w:val="24"/>
        </w:rPr>
        <w:t>20.2 投标文件澄清</w:t>
      </w:r>
    </w:p>
    <w:p w14:paraId="21EF515C">
      <w:pPr>
        <w:spacing w:line="360" w:lineRule="auto"/>
        <w:ind w:firstLine="480"/>
        <w:rPr>
          <w:rFonts w:ascii="宋体" w:hAnsi="宋体"/>
          <w:sz w:val="24"/>
        </w:rPr>
      </w:pPr>
      <w:r>
        <w:rPr>
          <w:rFonts w:hint="eastAsia" w:ascii="宋体" w:hAnsi="宋体"/>
          <w:sz w:val="24"/>
        </w:rPr>
        <w:t>20.2.1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p>
    <w:p w14:paraId="2EBA9FA6">
      <w:pPr>
        <w:spacing w:line="360" w:lineRule="auto"/>
        <w:ind w:firstLine="480"/>
        <w:rPr>
          <w:rFonts w:ascii="宋体" w:hAnsi="宋体"/>
          <w:sz w:val="24"/>
        </w:rPr>
      </w:pPr>
      <w:r>
        <w:rPr>
          <w:rFonts w:hint="eastAsia" w:ascii="宋体" w:hAnsi="宋体"/>
          <w:sz w:val="24"/>
        </w:rPr>
        <w:t>20.2.2投标人的澄清应登录电子交易平台进入“澄清事项”模块进行。</w:t>
      </w:r>
    </w:p>
    <w:p w14:paraId="0B2C6C81">
      <w:pPr>
        <w:spacing w:line="360" w:lineRule="auto"/>
        <w:ind w:firstLine="480"/>
        <w:rPr>
          <w:rFonts w:ascii="宋体" w:hAnsi="宋体"/>
          <w:b/>
          <w:sz w:val="24"/>
        </w:rPr>
      </w:pPr>
      <w:r>
        <w:rPr>
          <w:rFonts w:hint="eastAsia" w:ascii="宋体" w:hAnsi="宋体"/>
          <w:sz w:val="24"/>
        </w:rPr>
        <w:t>20.3 开标至评标结束期间，投标人应保持系统在线，如因</w:t>
      </w:r>
      <w:r>
        <w:rPr>
          <w:rFonts w:hint="eastAsia" w:ascii="宋体" w:hAnsi="宋体"/>
          <w:b/>
          <w:bCs/>
          <w:sz w:val="24"/>
        </w:rPr>
        <w:t>投标人自身原因</w:t>
      </w:r>
      <w:r>
        <w:rPr>
          <w:rFonts w:hint="eastAsia" w:ascii="宋体" w:hAnsi="宋体"/>
          <w:b/>
          <w:sz w:val="24"/>
        </w:rPr>
        <w:t>未在规定时间内按评标委员会要求进行澄清、说明或者补正的，一切后果由投标人自行承担。</w:t>
      </w:r>
    </w:p>
    <w:p w14:paraId="10F100C0">
      <w:pPr>
        <w:pStyle w:val="5"/>
        <w:keepNext w:val="0"/>
        <w:keepLines w:val="0"/>
        <w:spacing w:before="200" w:after="200" w:line="360" w:lineRule="auto"/>
        <w:ind w:firstLine="446"/>
        <w:rPr>
          <w:rFonts w:ascii="宋体" w:hAnsi="宋体"/>
          <w:sz w:val="30"/>
        </w:rPr>
      </w:pPr>
      <w:r>
        <w:rPr>
          <w:rFonts w:hint="eastAsia" w:ascii="宋体" w:hAnsi="宋体"/>
          <w:sz w:val="30"/>
        </w:rPr>
        <w:t>21．无效投标的情形</w:t>
      </w:r>
    </w:p>
    <w:p w14:paraId="7F8C125D">
      <w:pPr>
        <w:spacing w:line="360" w:lineRule="auto"/>
        <w:ind w:left="1" w:firstLine="480"/>
        <w:rPr>
          <w:rFonts w:ascii="宋体" w:hAnsi="宋体"/>
          <w:sz w:val="24"/>
        </w:rPr>
      </w:pPr>
      <w:r>
        <w:rPr>
          <w:rFonts w:hint="eastAsia" w:ascii="宋体" w:hAnsi="宋体"/>
          <w:sz w:val="24"/>
        </w:rPr>
        <w:t>21.1 投标人存在下列情况之一的，其投标无效：　</w:t>
      </w:r>
    </w:p>
    <w:p w14:paraId="5F6C8541">
      <w:pPr>
        <w:spacing w:line="360" w:lineRule="auto"/>
        <w:ind w:firstLine="482"/>
        <w:rPr>
          <w:rFonts w:ascii="宋体" w:hAnsi="宋体"/>
          <w:b/>
          <w:sz w:val="24"/>
          <w:u w:val="single"/>
        </w:rPr>
      </w:pPr>
      <w:r>
        <w:rPr>
          <w:rFonts w:hint="eastAsia" w:ascii="宋体" w:hAnsi="宋体"/>
          <w:b/>
          <w:sz w:val="24"/>
          <w:u w:val="single"/>
        </w:rPr>
        <w:t>（1）投标文件未按招标文件要求进行有效签章的；</w:t>
      </w:r>
    </w:p>
    <w:p w14:paraId="28C01F5E">
      <w:pPr>
        <w:spacing w:line="360" w:lineRule="auto"/>
        <w:ind w:left="1" w:firstLine="482"/>
        <w:rPr>
          <w:rFonts w:ascii="宋体" w:hAnsi="宋体"/>
          <w:b/>
          <w:sz w:val="24"/>
          <w:u w:val="single"/>
        </w:rPr>
      </w:pPr>
      <w:r>
        <w:rPr>
          <w:rFonts w:hint="eastAsia" w:ascii="宋体" w:hAnsi="宋体"/>
          <w:b/>
          <w:sz w:val="24"/>
          <w:u w:val="single"/>
        </w:rPr>
        <w:t>（2）报价超过招标文件中规定的预算金额或最高限价的；</w:t>
      </w:r>
    </w:p>
    <w:p w14:paraId="08F729D5">
      <w:pPr>
        <w:spacing w:line="360" w:lineRule="auto"/>
        <w:ind w:left="1" w:firstLine="482"/>
        <w:rPr>
          <w:rFonts w:ascii="宋体" w:hAnsi="宋体"/>
          <w:b/>
          <w:sz w:val="24"/>
          <w:u w:val="single"/>
        </w:rPr>
      </w:pPr>
      <w:r>
        <w:rPr>
          <w:rFonts w:hint="eastAsia" w:ascii="宋体" w:hAnsi="宋体"/>
          <w:b/>
          <w:sz w:val="24"/>
          <w:u w:val="single"/>
        </w:rPr>
        <w:t>（3）投标文件未通过资格性或符合性审查的；</w:t>
      </w:r>
    </w:p>
    <w:p w14:paraId="6C6B5758">
      <w:pPr>
        <w:spacing w:line="360" w:lineRule="auto"/>
        <w:ind w:left="1" w:firstLine="482"/>
        <w:rPr>
          <w:rFonts w:ascii="宋体" w:hAnsi="宋体"/>
          <w:b/>
          <w:sz w:val="24"/>
          <w:u w:val="single"/>
        </w:rPr>
      </w:pPr>
      <w:r>
        <w:rPr>
          <w:rFonts w:hint="eastAsia" w:ascii="宋体" w:hAnsi="宋体"/>
          <w:b/>
          <w:sz w:val="24"/>
          <w:u w:val="single"/>
        </w:rPr>
        <w:t>（4）采购人拟采购的产品属于政府强制采购的节能产品品目清单范围的，投标人未按招标文件要求提供国家确定的认证机构出具的、处于有效期之内的节能产品认证证书的；</w:t>
      </w:r>
    </w:p>
    <w:p w14:paraId="23A8E088">
      <w:pPr>
        <w:spacing w:line="360" w:lineRule="auto"/>
        <w:ind w:left="1" w:firstLine="482"/>
        <w:rPr>
          <w:rFonts w:ascii="宋体" w:hAnsi="宋体"/>
          <w:b/>
          <w:sz w:val="24"/>
          <w:u w:val="single"/>
        </w:rPr>
      </w:pPr>
      <w:r>
        <w:rPr>
          <w:rFonts w:hint="eastAsia" w:ascii="宋体" w:hAnsi="宋体"/>
          <w:b/>
          <w:sz w:val="24"/>
          <w:u w:val="single"/>
        </w:rPr>
        <w:t>（5）投标文件含有采购人不能接受的附加条件的;</w:t>
      </w:r>
    </w:p>
    <w:p w14:paraId="766EEDEA">
      <w:pPr>
        <w:spacing w:line="360" w:lineRule="auto"/>
        <w:ind w:left="1" w:firstLine="482"/>
        <w:rPr>
          <w:rFonts w:ascii="宋体" w:hAnsi="宋体"/>
          <w:b/>
          <w:sz w:val="24"/>
          <w:u w:val="single"/>
        </w:rPr>
      </w:pPr>
      <w:r>
        <w:rPr>
          <w:rFonts w:hint="eastAsia" w:ascii="宋体" w:hAnsi="宋体"/>
          <w:b/>
          <w:sz w:val="24"/>
          <w:u w:val="single"/>
        </w:rPr>
        <w:t>（6）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p>
    <w:p w14:paraId="45264BB9">
      <w:pPr>
        <w:spacing w:line="360" w:lineRule="auto"/>
        <w:ind w:left="1" w:firstLine="482"/>
        <w:rPr>
          <w:rFonts w:ascii="宋体" w:hAnsi="宋体"/>
          <w:b/>
          <w:sz w:val="24"/>
          <w:u w:val="single"/>
        </w:rPr>
      </w:pPr>
      <w:r>
        <w:rPr>
          <w:rFonts w:hint="eastAsia" w:ascii="宋体" w:hAnsi="宋体"/>
          <w:b/>
          <w:sz w:val="24"/>
          <w:u w:val="single"/>
        </w:rPr>
        <w:t>（7）投标人对根据修正原则修正后的报价不确认的；</w:t>
      </w:r>
    </w:p>
    <w:p w14:paraId="4848BF12">
      <w:pPr>
        <w:spacing w:line="360" w:lineRule="auto"/>
        <w:ind w:left="1" w:firstLine="482"/>
        <w:rPr>
          <w:rFonts w:ascii="宋体" w:hAnsi="宋体"/>
          <w:b/>
          <w:sz w:val="24"/>
          <w:u w:val="single"/>
        </w:rPr>
      </w:pPr>
      <w:r>
        <w:rPr>
          <w:rFonts w:hint="eastAsia" w:ascii="宋体" w:hAnsi="宋体"/>
          <w:b/>
          <w:sz w:val="24"/>
          <w:u w:val="single"/>
        </w:rPr>
        <w:t>（8）投标文件中提供了虚假或失实资料的；</w:t>
      </w:r>
    </w:p>
    <w:p w14:paraId="07630B12">
      <w:pPr>
        <w:spacing w:line="360" w:lineRule="auto"/>
        <w:ind w:left="1" w:firstLine="482"/>
        <w:rPr>
          <w:rFonts w:ascii="宋体" w:hAnsi="宋体"/>
          <w:b/>
          <w:bCs/>
          <w:sz w:val="24"/>
          <w:u w:val="single"/>
        </w:rPr>
      </w:pPr>
      <w:r>
        <w:rPr>
          <w:rFonts w:hint="eastAsia" w:ascii="宋体" w:hAnsi="宋体"/>
          <w:b/>
          <w:bCs/>
          <w:sz w:val="24"/>
          <w:u w:val="single"/>
        </w:rPr>
        <w:t>（9）不同投标人的电子投标文件出自同一台电脑；</w:t>
      </w:r>
    </w:p>
    <w:p w14:paraId="7C3BF590">
      <w:pPr>
        <w:spacing w:line="360" w:lineRule="auto"/>
        <w:ind w:left="1" w:firstLine="482"/>
        <w:rPr>
          <w:rFonts w:ascii="宋体" w:hAnsi="宋体"/>
          <w:b/>
          <w:sz w:val="24"/>
          <w:u w:val="single"/>
        </w:rPr>
      </w:pPr>
      <w:r>
        <w:rPr>
          <w:rFonts w:hint="eastAsia" w:ascii="宋体" w:hAnsi="宋体"/>
          <w:b/>
          <w:sz w:val="24"/>
          <w:u w:val="single"/>
        </w:rPr>
        <w:t>（10）投标人存在串通投标情形的；</w:t>
      </w:r>
    </w:p>
    <w:p w14:paraId="136C8D4B">
      <w:pPr>
        <w:spacing w:line="360" w:lineRule="auto"/>
        <w:ind w:left="1" w:firstLine="482"/>
        <w:rPr>
          <w:rFonts w:ascii="宋体" w:hAnsi="宋体"/>
          <w:b/>
          <w:sz w:val="24"/>
          <w:u w:val="single"/>
        </w:rPr>
      </w:pPr>
      <w:r>
        <w:rPr>
          <w:rFonts w:hint="eastAsia" w:ascii="宋体" w:hAnsi="宋体"/>
          <w:b/>
          <w:sz w:val="24"/>
          <w:u w:val="single"/>
        </w:rPr>
        <w:t>（</w:t>
      </w:r>
      <w:r>
        <w:rPr>
          <w:rFonts w:ascii="宋体" w:hAnsi="宋体"/>
          <w:b/>
          <w:sz w:val="24"/>
          <w:u w:val="single"/>
        </w:rPr>
        <w:t>1</w:t>
      </w:r>
      <w:r>
        <w:rPr>
          <w:rFonts w:hint="eastAsia" w:ascii="宋体" w:hAnsi="宋体"/>
          <w:b/>
          <w:sz w:val="24"/>
          <w:u w:val="single"/>
        </w:rPr>
        <w:t>1）为本项目提供整体设计、规范编制或者项目管理、监理、检测等服务的；</w:t>
      </w:r>
    </w:p>
    <w:p w14:paraId="21915921">
      <w:pPr>
        <w:spacing w:line="360" w:lineRule="auto"/>
        <w:ind w:left="1" w:firstLine="482"/>
        <w:rPr>
          <w:rFonts w:ascii="宋体" w:hAnsi="宋体"/>
          <w:b/>
          <w:sz w:val="24"/>
          <w:u w:val="single"/>
        </w:rPr>
      </w:pPr>
      <w:r>
        <w:rPr>
          <w:rFonts w:hint="eastAsia" w:ascii="宋体" w:hAnsi="宋体"/>
          <w:b/>
          <w:sz w:val="24"/>
          <w:u w:val="single"/>
        </w:rPr>
        <w:t>（</w:t>
      </w:r>
      <w:r>
        <w:rPr>
          <w:rFonts w:ascii="宋体" w:hAnsi="宋体"/>
          <w:b/>
          <w:sz w:val="24"/>
          <w:u w:val="single"/>
        </w:rPr>
        <w:t>1</w:t>
      </w:r>
      <w:r>
        <w:rPr>
          <w:rFonts w:hint="eastAsia" w:ascii="宋体" w:hAnsi="宋体"/>
          <w:b/>
          <w:sz w:val="24"/>
          <w:u w:val="single"/>
        </w:rPr>
        <w:t>2）不同投标人的法定代表人或单位负责人为同一个人或者存在直接控股、管理关系的；</w:t>
      </w:r>
    </w:p>
    <w:p w14:paraId="24328B48">
      <w:pPr>
        <w:spacing w:line="360" w:lineRule="auto"/>
        <w:ind w:left="1" w:firstLine="482"/>
        <w:rPr>
          <w:rFonts w:ascii="宋体" w:hAnsi="宋体"/>
          <w:b/>
          <w:color w:val="000000"/>
          <w:sz w:val="24"/>
          <w:szCs w:val="22"/>
          <w:highlight w:val="white"/>
          <w:u w:val="single"/>
        </w:rPr>
      </w:pPr>
      <w:r>
        <w:rPr>
          <w:rFonts w:hint="eastAsia" w:ascii="宋体" w:hAnsi="宋体"/>
          <w:b/>
          <w:color w:val="000000"/>
          <w:sz w:val="24"/>
          <w:szCs w:val="22"/>
          <w:highlight w:val="white"/>
          <w:u w:val="single"/>
        </w:rPr>
        <w:t xml:space="preserve">（13）投标人被“信用中国”网站（www.creditchina.gov.cn）、中国政府采购网（www.ccgp.gov.cn）列入失信被执行人、重大税收违法案件当事人名单、政府采购严重违法失信行为记录名单的； </w:t>
      </w:r>
    </w:p>
    <w:p w14:paraId="3B9548B0">
      <w:pPr>
        <w:spacing w:line="360" w:lineRule="auto"/>
        <w:ind w:left="1" w:firstLine="482"/>
        <w:rPr>
          <w:rFonts w:ascii="宋体" w:hAnsi="宋体"/>
          <w:b/>
          <w:color w:val="000000"/>
          <w:sz w:val="24"/>
          <w:szCs w:val="22"/>
          <w:highlight w:val="white"/>
          <w:u w:val="single"/>
        </w:rPr>
      </w:pPr>
      <w:r>
        <w:rPr>
          <w:rFonts w:hint="eastAsia" w:ascii="宋体" w:hAnsi="宋体"/>
          <w:b/>
          <w:color w:val="000000"/>
          <w:sz w:val="24"/>
          <w:szCs w:val="22"/>
          <w:highlight w:val="white"/>
          <w:u w:val="single"/>
        </w:rPr>
        <w:t xml:space="preserve">（14）技术部分负偏离程度过大或过多，经评委会认定影响采购人实际使用的； </w:t>
      </w:r>
    </w:p>
    <w:p w14:paraId="0E600CC1">
      <w:pPr>
        <w:spacing w:line="360" w:lineRule="auto"/>
        <w:ind w:left="1" w:firstLine="482"/>
        <w:rPr>
          <w:rFonts w:ascii="宋体" w:hAnsi="宋体"/>
          <w:b/>
          <w:color w:val="000000"/>
          <w:sz w:val="24"/>
          <w:szCs w:val="22"/>
          <w:highlight w:val="white"/>
          <w:u w:val="single"/>
        </w:rPr>
      </w:pPr>
      <w:r>
        <w:rPr>
          <w:rFonts w:hint="eastAsia" w:ascii="宋体" w:hAnsi="宋体"/>
          <w:b/>
          <w:color w:val="000000"/>
          <w:sz w:val="24"/>
          <w:szCs w:val="22"/>
          <w:highlight w:val="white"/>
          <w:u w:val="single"/>
        </w:rPr>
        <w:t xml:space="preserve">（15）投标人在报价时采用选择性报价的； </w:t>
      </w:r>
    </w:p>
    <w:p w14:paraId="06796610">
      <w:pPr>
        <w:spacing w:line="360" w:lineRule="auto"/>
        <w:ind w:left="1" w:firstLine="482"/>
        <w:rPr>
          <w:rFonts w:ascii="宋体" w:hAnsi="宋体"/>
          <w:b/>
          <w:color w:val="000000"/>
          <w:sz w:val="24"/>
          <w:szCs w:val="22"/>
          <w:highlight w:val="white"/>
          <w:u w:val="single"/>
        </w:rPr>
      </w:pPr>
      <w:r>
        <w:rPr>
          <w:rFonts w:hint="eastAsia" w:ascii="宋体" w:hAnsi="宋体"/>
          <w:b/>
          <w:color w:val="000000"/>
          <w:sz w:val="24"/>
          <w:szCs w:val="22"/>
          <w:highlight w:val="white"/>
          <w:u w:val="single"/>
        </w:rPr>
        <w:t>（16）《中小企业声明函》填写不实的。</w:t>
      </w:r>
    </w:p>
    <w:p w14:paraId="39D6E5F9">
      <w:pPr>
        <w:spacing w:line="360" w:lineRule="auto"/>
        <w:ind w:left="1" w:firstLine="482"/>
        <w:rPr>
          <w:rFonts w:ascii="宋体" w:hAnsi="宋体"/>
          <w:b/>
          <w:color w:val="000000"/>
          <w:sz w:val="24"/>
          <w:szCs w:val="22"/>
          <w:highlight w:val="white"/>
          <w:u w:val="single"/>
        </w:rPr>
      </w:pPr>
      <w:r>
        <w:rPr>
          <w:rFonts w:hint="eastAsia" w:ascii="宋体" w:hAnsi="宋体"/>
          <w:b/>
          <w:color w:val="000000"/>
          <w:sz w:val="24"/>
          <w:szCs w:val="22"/>
          <w:highlight w:val="white"/>
          <w:u w:val="single"/>
        </w:rPr>
        <w:t xml:space="preserve">（17）如有委托代理人，未提供投标人为其缴纳社保证明材料的； </w:t>
      </w:r>
    </w:p>
    <w:p w14:paraId="34D1235C">
      <w:pPr>
        <w:spacing w:line="360" w:lineRule="auto"/>
        <w:ind w:left="1" w:firstLine="482"/>
        <w:rPr>
          <w:rFonts w:ascii="宋体" w:hAnsi="宋体"/>
          <w:b/>
          <w:sz w:val="24"/>
          <w:u w:val="single"/>
        </w:rPr>
      </w:pPr>
      <w:r>
        <w:rPr>
          <w:rFonts w:hint="eastAsia" w:ascii="宋体" w:hAnsi="宋体"/>
          <w:b/>
          <w:sz w:val="24"/>
          <w:u w:val="single"/>
        </w:rPr>
        <w:t>（</w:t>
      </w:r>
      <w:r>
        <w:rPr>
          <w:rFonts w:ascii="宋体" w:hAnsi="宋体"/>
          <w:b/>
          <w:sz w:val="24"/>
          <w:u w:val="single"/>
        </w:rPr>
        <w:t>1</w:t>
      </w:r>
      <w:r>
        <w:rPr>
          <w:rFonts w:hint="eastAsia" w:ascii="宋体" w:hAnsi="宋体"/>
          <w:b/>
          <w:sz w:val="24"/>
          <w:u w:val="single"/>
        </w:rPr>
        <w:t>8）投标文件不满足招标文件实质性要求的；</w:t>
      </w:r>
    </w:p>
    <w:p w14:paraId="118B2164">
      <w:pPr>
        <w:spacing w:line="360" w:lineRule="auto"/>
        <w:ind w:left="1" w:firstLine="482"/>
        <w:rPr>
          <w:rFonts w:ascii="宋体" w:hAnsi="宋体"/>
          <w:b/>
          <w:sz w:val="24"/>
          <w:u w:val="single"/>
        </w:rPr>
      </w:pPr>
      <w:r>
        <w:rPr>
          <w:rFonts w:hint="eastAsia" w:ascii="宋体" w:hAnsi="宋体"/>
          <w:b/>
          <w:sz w:val="24"/>
          <w:u w:val="single"/>
        </w:rPr>
        <w:t>（</w:t>
      </w:r>
      <w:r>
        <w:rPr>
          <w:rFonts w:ascii="宋体" w:hAnsi="宋体"/>
          <w:b/>
          <w:sz w:val="24"/>
          <w:u w:val="single"/>
        </w:rPr>
        <w:t>1</w:t>
      </w:r>
      <w:r>
        <w:rPr>
          <w:rFonts w:hint="eastAsia" w:ascii="宋体" w:hAnsi="宋体"/>
          <w:b/>
          <w:sz w:val="24"/>
          <w:u w:val="single"/>
        </w:rPr>
        <w:t>9）法律、法规、规章（适用本市的）及省级以上规范性文件（适用本市的）规定的其他无效情形。</w:t>
      </w:r>
    </w:p>
    <w:p w14:paraId="02B1CE1E">
      <w:pPr>
        <w:pStyle w:val="5"/>
        <w:keepNext w:val="0"/>
        <w:keepLines w:val="0"/>
        <w:spacing w:before="200" w:after="200" w:line="360" w:lineRule="auto"/>
        <w:ind w:firstLine="446"/>
        <w:rPr>
          <w:rFonts w:ascii="宋体" w:hAnsi="宋体"/>
          <w:sz w:val="30"/>
        </w:rPr>
      </w:pPr>
      <w:r>
        <w:rPr>
          <w:rFonts w:hint="eastAsia" w:ascii="宋体" w:hAnsi="宋体"/>
          <w:sz w:val="30"/>
        </w:rPr>
        <w:t>22. 串通投标的情形</w:t>
      </w:r>
    </w:p>
    <w:p w14:paraId="1681CDA8">
      <w:pPr>
        <w:spacing w:line="360" w:lineRule="auto"/>
        <w:ind w:firstLine="480"/>
        <w:rPr>
          <w:rFonts w:ascii="宋体" w:hAnsi="宋体"/>
          <w:sz w:val="24"/>
        </w:rPr>
      </w:pPr>
      <w:r>
        <w:rPr>
          <w:rFonts w:hint="eastAsia" w:ascii="宋体" w:hAnsi="宋体"/>
          <w:sz w:val="24"/>
        </w:rPr>
        <w:t>22.1 有下列情形之一的，视为投标人串通投标，投标无效：</w:t>
      </w:r>
    </w:p>
    <w:p w14:paraId="38988DD6">
      <w:pPr>
        <w:spacing w:line="360" w:lineRule="auto"/>
        <w:ind w:firstLine="480"/>
        <w:rPr>
          <w:rFonts w:ascii="宋体" w:hAnsi="宋体"/>
          <w:sz w:val="24"/>
        </w:rPr>
      </w:pPr>
      <w:r>
        <w:rPr>
          <w:rFonts w:hint="eastAsia" w:ascii="宋体" w:hAnsi="宋体"/>
          <w:sz w:val="24"/>
        </w:rPr>
        <w:t>（1）不同投标人的投标文件由同一单位或者个人编制；</w:t>
      </w:r>
      <w:r>
        <w:rPr>
          <w:rFonts w:ascii="宋体" w:hAnsi="宋体"/>
          <w:sz w:val="24"/>
        </w:rPr>
        <w:t xml:space="preserve"> </w:t>
      </w:r>
    </w:p>
    <w:p w14:paraId="1628E3B1">
      <w:pPr>
        <w:spacing w:line="360" w:lineRule="auto"/>
        <w:ind w:firstLine="480"/>
        <w:rPr>
          <w:rFonts w:ascii="宋体" w:hAnsi="宋体"/>
          <w:sz w:val="24"/>
        </w:rPr>
      </w:pPr>
      <w:r>
        <w:rPr>
          <w:rFonts w:hint="eastAsia" w:ascii="宋体" w:hAnsi="宋体"/>
          <w:sz w:val="24"/>
        </w:rPr>
        <w:t>（2）不同投标人委托同一单位或者个人办理投标事宜；</w:t>
      </w:r>
    </w:p>
    <w:p w14:paraId="0B99B179">
      <w:pPr>
        <w:spacing w:line="360" w:lineRule="auto"/>
        <w:ind w:firstLine="480"/>
        <w:rPr>
          <w:rFonts w:ascii="宋体" w:hAnsi="宋体"/>
          <w:sz w:val="24"/>
        </w:rPr>
      </w:pPr>
      <w:r>
        <w:rPr>
          <w:rFonts w:hint="eastAsia" w:ascii="宋体" w:hAnsi="宋体"/>
          <w:sz w:val="24"/>
        </w:rPr>
        <w:t>（3）不同投标人的投标文件载明的项目管理成员或者联系人员为同一人；</w:t>
      </w:r>
    </w:p>
    <w:p w14:paraId="09E0A622">
      <w:pPr>
        <w:spacing w:line="360" w:lineRule="auto"/>
        <w:ind w:firstLine="480"/>
        <w:rPr>
          <w:rFonts w:ascii="宋体" w:hAnsi="宋体"/>
          <w:sz w:val="24"/>
        </w:rPr>
      </w:pPr>
      <w:r>
        <w:rPr>
          <w:rFonts w:hint="eastAsia" w:ascii="宋体" w:hAnsi="宋体"/>
          <w:sz w:val="24"/>
        </w:rPr>
        <w:t>（4）不同投标人的投标文件异常一致或者投标报价呈规律性差异；</w:t>
      </w:r>
    </w:p>
    <w:p w14:paraId="191F295B">
      <w:pPr>
        <w:spacing w:line="360" w:lineRule="auto"/>
        <w:ind w:firstLine="480"/>
        <w:rPr>
          <w:rFonts w:ascii="宋体" w:hAnsi="宋体"/>
        </w:rPr>
      </w:pPr>
      <w:r>
        <w:rPr>
          <w:rFonts w:hint="eastAsia" w:ascii="宋体" w:hAnsi="宋体"/>
          <w:sz w:val="24"/>
        </w:rPr>
        <w:t>（5）不同投标人的投标文件相互混装。</w:t>
      </w:r>
    </w:p>
    <w:p w14:paraId="678BD835">
      <w:pPr>
        <w:pStyle w:val="5"/>
        <w:keepNext w:val="0"/>
        <w:keepLines w:val="0"/>
        <w:spacing w:before="200" w:after="200" w:line="360" w:lineRule="auto"/>
        <w:ind w:firstLine="446"/>
        <w:rPr>
          <w:rFonts w:ascii="宋体" w:hAnsi="宋体"/>
          <w:sz w:val="30"/>
        </w:rPr>
      </w:pPr>
      <w:r>
        <w:rPr>
          <w:rFonts w:hint="eastAsia" w:ascii="宋体" w:hAnsi="宋体"/>
          <w:sz w:val="30"/>
        </w:rPr>
        <w:t>23.投标文件详细评审</w:t>
      </w:r>
    </w:p>
    <w:p w14:paraId="4A058A3E">
      <w:pPr>
        <w:pStyle w:val="6"/>
        <w:spacing w:line="360" w:lineRule="auto"/>
        <w:ind w:firstLine="480"/>
        <w:rPr>
          <w:rFonts w:ascii="宋体" w:hAnsi="宋体"/>
        </w:rPr>
      </w:pPr>
      <w:r>
        <w:rPr>
          <w:rFonts w:hint="eastAsia" w:ascii="宋体" w:hAnsi="宋体"/>
          <w:sz w:val="24"/>
        </w:rPr>
        <w:t>23.1 评标委员会将按照招标文件第五部分“评标办法和标准”第8项规定，对符合性审查合格的投标文件进行商务、技术和价格评估，综合比较与评价。</w:t>
      </w:r>
    </w:p>
    <w:p w14:paraId="35134C97">
      <w:pPr>
        <w:pStyle w:val="5"/>
        <w:keepNext w:val="0"/>
        <w:keepLines w:val="0"/>
        <w:spacing w:before="200" w:after="200" w:line="360" w:lineRule="auto"/>
        <w:ind w:firstLine="446"/>
        <w:rPr>
          <w:rFonts w:ascii="宋体" w:hAnsi="宋体"/>
          <w:sz w:val="30"/>
          <w:szCs w:val="30"/>
        </w:rPr>
      </w:pPr>
      <w:r>
        <w:rPr>
          <w:rFonts w:hint="eastAsia" w:ascii="宋体" w:hAnsi="宋体"/>
          <w:sz w:val="30"/>
          <w:szCs w:val="30"/>
        </w:rPr>
        <w:t>24.评标过程的保密</w:t>
      </w:r>
    </w:p>
    <w:p w14:paraId="19FA5E4F">
      <w:pPr>
        <w:spacing w:line="360" w:lineRule="auto"/>
        <w:ind w:left="1" w:firstLine="480"/>
        <w:rPr>
          <w:rFonts w:ascii="宋体" w:hAnsi="宋体"/>
          <w:sz w:val="24"/>
        </w:rPr>
      </w:pPr>
      <w:r>
        <w:rPr>
          <w:rFonts w:hint="eastAsia" w:ascii="宋体" w:hAnsi="宋体"/>
          <w:sz w:val="24"/>
        </w:rPr>
        <w:t>24.1 在评标过程中，如果投标人试图在投标文件审查、澄清、比较及授标建议等方面向采购人、采购代理机构或参加评标的人员施加任何影响，都将会导致其投标无效。</w:t>
      </w:r>
    </w:p>
    <w:p w14:paraId="3B562E5E">
      <w:pPr>
        <w:spacing w:line="360" w:lineRule="auto"/>
        <w:ind w:left="1" w:firstLine="480"/>
        <w:rPr>
          <w:rFonts w:ascii="宋体" w:hAnsi="宋体"/>
          <w:sz w:val="24"/>
          <w:u w:val="single"/>
        </w:rPr>
      </w:pPr>
      <w:r>
        <w:rPr>
          <w:rFonts w:hint="eastAsia" w:ascii="宋体" w:hAnsi="宋体"/>
          <w:sz w:val="24"/>
        </w:rPr>
        <w:t xml:space="preserve">24.2 </w:t>
      </w:r>
      <w:r>
        <w:rPr>
          <w:rFonts w:hint="eastAsia" w:ascii="宋体" w:hAnsi="宋体"/>
          <w:b/>
          <w:sz w:val="24"/>
          <w:u w:val="single"/>
        </w:rPr>
        <w:t>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p>
    <w:p w14:paraId="0B381939">
      <w:pPr>
        <w:pStyle w:val="5"/>
        <w:keepNext w:val="0"/>
        <w:keepLines w:val="0"/>
        <w:spacing w:before="200" w:after="200" w:line="360" w:lineRule="auto"/>
        <w:ind w:firstLine="446"/>
        <w:rPr>
          <w:rFonts w:ascii="宋体" w:hAnsi="宋体"/>
          <w:sz w:val="30"/>
        </w:rPr>
      </w:pPr>
      <w:r>
        <w:rPr>
          <w:rFonts w:hint="eastAsia" w:ascii="宋体" w:hAnsi="宋体"/>
          <w:sz w:val="30"/>
        </w:rPr>
        <w:t>25．废标的情形</w:t>
      </w:r>
    </w:p>
    <w:p w14:paraId="039A3175">
      <w:pPr>
        <w:spacing w:line="360" w:lineRule="auto"/>
        <w:ind w:left="1" w:firstLine="480"/>
        <w:rPr>
          <w:rFonts w:ascii="宋体" w:hAnsi="宋体"/>
          <w:color w:val="000000"/>
          <w:sz w:val="24"/>
        </w:rPr>
      </w:pPr>
      <w:r>
        <w:rPr>
          <w:rFonts w:hint="eastAsia" w:ascii="宋体" w:hAnsi="宋体"/>
          <w:color w:val="000000"/>
          <w:sz w:val="24"/>
        </w:rPr>
        <w:t>25.1 出现下列情形之一的，将予废标：</w:t>
      </w:r>
    </w:p>
    <w:p w14:paraId="17859043">
      <w:pPr>
        <w:spacing w:line="360" w:lineRule="auto"/>
        <w:ind w:left="1" w:firstLine="480"/>
        <w:rPr>
          <w:rFonts w:ascii="宋体" w:hAnsi="宋体"/>
          <w:color w:val="000000"/>
          <w:sz w:val="24"/>
        </w:rPr>
      </w:pPr>
      <w:r>
        <w:rPr>
          <w:rFonts w:hint="eastAsia" w:ascii="宋体" w:hAnsi="宋体"/>
          <w:color w:val="000000"/>
          <w:sz w:val="24"/>
        </w:rPr>
        <w:t xml:space="preserve">（1）符合专业条件的供应商或者对招标文件作实质响应的供应商不足三家的；  </w:t>
      </w:r>
    </w:p>
    <w:p w14:paraId="781076CA">
      <w:pPr>
        <w:spacing w:line="360" w:lineRule="auto"/>
        <w:ind w:left="1" w:firstLine="480"/>
        <w:rPr>
          <w:rFonts w:ascii="宋体" w:hAnsi="宋体"/>
          <w:color w:val="000000"/>
          <w:sz w:val="24"/>
        </w:rPr>
      </w:pPr>
      <w:r>
        <w:rPr>
          <w:rFonts w:hint="eastAsia" w:ascii="宋体" w:hAnsi="宋体"/>
          <w:color w:val="000000"/>
          <w:sz w:val="24"/>
        </w:rPr>
        <w:t xml:space="preserve">（2）出现影响采购公正的违法、违规行为的；  </w:t>
      </w:r>
    </w:p>
    <w:p w14:paraId="1E43FD08">
      <w:pPr>
        <w:spacing w:line="360" w:lineRule="auto"/>
        <w:ind w:left="1" w:firstLine="480"/>
        <w:rPr>
          <w:rFonts w:ascii="宋体" w:hAnsi="宋体"/>
          <w:color w:val="000000"/>
          <w:sz w:val="24"/>
        </w:rPr>
      </w:pPr>
      <w:r>
        <w:rPr>
          <w:rFonts w:hint="eastAsia" w:ascii="宋体" w:hAnsi="宋体"/>
          <w:color w:val="000000"/>
          <w:sz w:val="24"/>
        </w:rPr>
        <w:t>（3）投标人的报价均超过了采购预算，采购人不能支付的；</w:t>
      </w:r>
    </w:p>
    <w:p w14:paraId="2894AA2E">
      <w:pPr>
        <w:spacing w:line="360" w:lineRule="auto"/>
        <w:ind w:left="1" w:firstLine="480"/>
        <w:rPr>
          <w:rFonts w:ascii="宋体" w:hAnsi="宋体"/>
          <w:color w:val="000000"/>
          <w:sz w:val="24"/>
        </w:rPr>
      </w:pPr>
      <w:r>
        <w:rPr>
          <w:rFonts w:hint="eastAsia" w:ascii="宋体" w:hAnsi="宋体"/>
          <w:color w:val="000000"/>
          <w:sz w:val="24"/>
        </w:rPr>
        <w:t xml:space="preserve">（4）因重大变故，采购任务取消的； </w:t>
      </w:r>
    </w:p>
    <w:p w14:paraId="09BD203A">
      <w:pPr>
        <w:spacing w:line="360" w:lineRule="auto"/>
        <w:ind w:firstLine="480"/>
        <w:rPr>
          <w:rFonts w:ascii="宋体" w:hAnsi="宋体"/>
          <w:color w:val="000000"/>
          <w:sz w:val="24"/>
        </w:rPr>
      </w:pPr>
      <w:r>
        <w:rPr>
          <w:rFonts w:hint="eastAsia" w:ascii="宋体" w:hAnsi="宋体"/>
          <w:color w:val="000000"/>
          <w:sz w:val="24"/>
        </w:rPr>
        <w:t>废标后，采购人应当将废标理由通知所有投标人。</w:t>
      </w:r>
    </w:p>
    <w:p w14:paraId="72493CA3">
      <w:pPr>
        <w:pStyle w:val="5"/>
        <w:keepNext w:val="0"/>
        <w:keepLines w:val="0"/>
        <w:spacing w:before="200" w:after="200" w:line="360" w:lineRule="auto"/>
        <w:jc w:val="center"/>
        <w:rPr>
          <w:rFonts w:ascii="宋体" w:hAnsi="宋体"/>
        </w:rPr>
      </w:pPr>
      <w:r>
        <w:rPr>
          <w:rFonts w:hint="eastAsia" w:ascii="宋体" w:hAnsi="宋体"/>
        </w:rPr>
        <w:t>六、确定结果</w:t>
      </w:r>
    </w:p>
    <w:p w14:paraId="092BB68C">
      <w:pPr>
        <w:spacing w:line="360" w:lineRule="auto"/>
        <w:ind w:firstLine="446"/>
        <w:rPr>
          <w:rFonts w:ascii="宋体" w:hAnsi="宋体"/>
          <w:b/>
          <w:bCs/>
          <w:sz w:val="30"/>
          <w:szCs w:val="32"/>
        </w:rPr>
      </w:pPr>
      <w:r>
        <w:rPr>
          <w:rFonts w:hint="eastAsia" w:ascii="宋体" w:hAnsi="宋体"/>
          <w:b/>
          <w:bCs/>
          <w:sz w:val="30"/>
          <w:szCs w:val="32"/>
        </w:rPr>
        <w:t>26.确定中标人</w:t>
      </w:r>
    </w:p>
    <w:p w14:paraId="0EA75C38">
      <w:pPr>
        <w:spacing w:line="360" w:lineRule="auto"/>
        <w:ind w:firstLine="480"/>
        <w:rPr>
          <w:rFonts w:ascii="宋体" w:hAnsi="宋体"/>
          <w:sz w:val="24"/>
        </w:rPr>
      </w:pPr>
      <w:r>
        <w:rPr>
          <w:rFonts w:hint="eastAsia" w:ascii="宋体" w:hAnsi="宋体"/>
          <w:sz w:val="24"/>
        </w:rPr>
        <w:t>26.1采购代理机构在评标结束后2个工作日内将评标报告送采购人。</w:t>
      </w:r>
    </w:p>
    <w:p w14:paraId="523EB1C5">
      <w:pPr>
        <w:spacing w:line="360" w:lineRule="auto"/>
        <w:ind w:firstLine="480"/>
        <w:rPr>
          <w:rFonts w:ascii="宋体" w:hAnsi="宋体"/>
          <w:sz w:val="24"/>
        </w:rPr>
      </w:pPr>
      <w:bookmarkStart w:id="70" w:name="_Hlk132702541"/>
      <w:bookmarkStart w:id="71" w:name="_Hlk132702790"/>
      <w:r>
        <w:rPr>
          <w:rFonts w:hint="eastAsia" w:ascii="宋体" w:hAnsi="宋体"/>
          <w:sz w:val="24"/>
        </w:rPr>
        <w:t>26.</w:t>
      </w:r>
      <w:bookmarkEnd w:id="70"/>
      <w:r>
        <w:rPr>
          <w:rFonts w:hint="eastAsia" w:ascii="宋体" w:hAnsi="宋体"/>
          <w:sz w:val="24"/>
        </w:rPr>
        <w:t>2</w:t>
      </w:r>
      <w:bookmarkEnd w:id="71"/>
      <w:r>
        <w:rPr>
          <w:rFonts w:hint="eastAsia" w:ascii="宋体" w:hAnsi="宋体"/>
          <w:sz w:val="24"/>
        </w:rPr>
        <w:t>采购人自收到评标报告之日起5个工作日内，在评标报告确定的中标候选人名单中按顺序确定中标人。中标候选人并列的，按《政府采购货物和服务招标投标管理办法》（财政部87号令）相关规定执行。</w:t>
      </w:r>
    </w:p>
    <w:p w14:paraId="2B383FFD">
      <w:pPr>
        <w:pStyle w:val="5"/>
        <w:keepNext w:val="0"/>
        <w:keepLines w:val="0"/>
        <w:spacing w:before="200" w:after="200" w:line="360" w:lineRule="auto"/>
        <w:jc w:val="center"/>
        <w:rPr>
          <w:rFonts w:ascii="宋体" w:hAnsi="宋体"/>
          <w:szCs w:val="32"/>
        </w:rPr>
      </w:pPr>
      <w:r>
        <w:rPr>
          <w:rFonts w:hint="eastAsia" w:ascii="宋体" w:hAnsi="宋体"/>
        </w:rPr>
        <w:t>七、授予合同</w:t>
      </w:r>
    </w:p>
    <w:p w14:paraId="19E328F8">
      <w:pPr>
        <w:pStyle w:val="5"/>
        <w:keepNext w:val="0"/>
        <w:keepLines w:val="0"/>
        <w:spacing w:before="200" w:after="200" w:line="360" w:lineRule="auto"/>
        <w:ind w:firstLine="446"/>
        <w:rPr>
          <w:rFonts w:ascii="宋体" w:hAnsi="宋体"/>
          <w:sz w:val="30"/>
        </w:rPr>
      </w:pPr>
      <w:r>
        <w:rPr>
          <w:rFonts w:hint="eastAsia" w:ascii="宋体" w:hAnsi="宋体"/>
          <w:sz w:val="30"/>
        </w:rPr>
        <w:t>27．中标通知书</w:t>
      </w:r>
    </w:p>
    <w:p w14:paraId="02276889">
      <w:pPr>
        <w:pStyle w:val="5"/>
        <w:keepNext w:val="0"/>
        <w:keepLines w:val="0"/>
        <w:spacing w:before="0" w:after="0" w:line="360" w:lineRule="auto"/>
        <w:ind w:firstLine="470"/>
        <w:rPr>
          <w:rFonts w:ascii="宋体" w:hAnsi="宋体"/>
          <w:b w:val="0"/>
          <w:sz w:val="24"/>
        </w:rPr>
      </w:pPr>
      <w:r>
        <w:rPr>
          <w:rFonts w:hint="eastAsia" w:ascii="宋体" w:hAnsi="宋体"/>
          <w:b w:val="0"/>
          <w:sz w:val="24"/>
        </w:rPr>
        <w:t>27.1 自中标人确定之日起2个工作日内，采购代理机构向中标人发出中标通知书，同时编制发布采购结果公告。</w:t>
      </w:r>
    </w:p>
    <w:p w14:paraId="7F526B4E">
      <w:pPr>
        <w:pStyle w:val="5"/>
        <w:keepNext w:val="0"/>
        <w:keepLines w:val="0"/>
        <w:spacing w:before="0" w:after="0" w:line="360" w:lineRule="auto"/>
        <w:ind w:firstLine="470"/>
        <w:rPr>
          <w:rFonts w:ascii="宋体" w:hAnsi="宋体"/>
          <w:b w:val="0"/>
          <w:sz w:val="24"/>
        </w:rPr>
      </w:pPr>
      <w:r>
        <w:rPr>
          <w:rFonts w:hint="eastAsia" w:ascii="宋体" w:hAnsi="宋体"/>
          <w:b w:val="0"/>
          <w:sz w:val="24"/>
        </w:rPr>
        <w:t>27.2中标通知书发出后，采购人不得违法改变中标结果，中标人无正当理由不得放弃中标。</w:t>
      </w:r>
    </w:p>
    <w:p w14:paraId="6D07DEB3">
      <w:pPr>
        <w:pStyle w:val="5"/>
        <w:keepNext w:val="0"/>
        <w:keepLines w:val="0"/>
        <w:spacing w:before="200" w:after="200" w:line="360" w:lineRule="auto"/>
        <w:ind w:firstLine="446"/>
        <w:rPr>
          <w:rFonts w:ascii="宋体" w:hAnsi="宋体"/>
          <w:sz w:val="30"/>
          <w:szCs w:val="30"/>
        </w:rPr>
      </w:pPr>
      <w:r>
        <w:rPr>
          <w:rFonts w:hint="eastAsia" w:ascii="宋体" w:hAnsi="宋体"/>
          <w:sz w:val="30"/>
          <w:szCs w:val="30"/>
        </w:rPr>
        <w:t>28.履约保证金</w:t>
      </w:r>
    </w:p>
    <w:p w14:paraId="307E4BB3">
      <w:pPr>
        <w:spacing w:line="360" w:lineRule="auto"/>
        <w:ind w:firstLine="480"/>
        <w:rPr>
          <w:rFonts w:ascii="宋体" w:hAnsi="宋体"/>
          <w:sz w:val="24"/>
        </w:rPr>
      </w:pPr>
      <w:r>
        <w:rPr>
          <w:rFonts w:hint="eastAsia" w:ascii="宋体" w:hAnsi="宋体"/>
          <w:sz w:val="24"/>
        </w:rPr>
        <w:t>28.1本项目</w:t>
      </w:r>
      <w:r>
        <w:rPr>
          <w:rFonts w:hint="eastAsia" w:ascii="宋体" w:hAnsi="宋体"/>
          <w:b/>
          <w:sz w:val="24"/>
          <w:u w:val="single"/>
        </w:rPr>
        <w:t xml:space="preserve"> 不收取</w:t>
      </w:r>
      <w:r>
        <w:rPr>
          <w:rFonts w:hint="eastAsia" w:ascii="宋体" w:hAnsi="宋体"/>
          <w:sz w:val="24"/>
          <w:u w:val="single"/>
        </w:rPr>
        <w:t xml:space="preserve"> </w:t>
      </w:r>
      <w:r>
        <w:rPr>
          <w:rFonts w:hint="eastAsia" w:ascii="宋体" w:hAnsi="宋体"/>
          <w:sz w:val="24"/>
        </w:rPr>
        <w:t>履约保证金。</w:t>
      </w:r>
      <w:r>
        <w:rPr>
          <w:rFonts w:ascii="宋体" w:hAnsi="宋体"/>
          <w:sz w:val="24"/>
        </w:rPr>
        <w:t>本项目中标供应商应提交政府采购合同金额</w:t>
      </w:r>
      <w:r>
        <w:rPr>
          <w:rFonts w:hint="eastAsia" w:ascii="宋体" w:hAnsi="宋体"/>
          <w:sz w:val="24"/>
          <w:u w:val="single"/>
        </w:rPr>
        <w:t xml:space="preserve"> / </w:t>
      </w:r>
      <w:r>
        <w:rPr>
          <w:rFonts w:ascii="宋体" w:hAnsi="宋体"/>
          <w:sz w:val="24"/>
        </w:rPr>
        <w:t>%的履约保证金(不得超过政府采购合同金额10%)，履约保证金应以支票、汇票、本票、保函、保险保单等非现金形式缴纳或提交。根据江苏省财政厅、国家金融监督管理总局江苏监管局、江苏省地方金融监督管理局《关于在全省政府采购领域推行电子履约保函（保险）的通知》（苏财购〔</w:t>
      </w:r>
      <w:r>
        <w:rPr>
          <w:rFonts w:hint="eastAsia" w:ascii="宋体" w:hAnsi="宋体"/>
          <w:sz w:val="24"/>
        </w:rPr>
        <w:t>2023</w:t>
      </w:r>
      <w:r>
        <w:rPr>
          <w:rFonts w:ascii="宋体" w:hAnsi="宋体"/>
          <w:sz w:val="24"/>
        </w:rPr>
        <w:t>〕150号）要求，支持与鼓励参与采购活动且中标、成交的企业，可以用履约保函（保险）形式代替提供履约保证金，省财政厅已上线政府采购电子履约保函(保险)平台，平台可通过域名www.jsdzbh.com直接访问，也可通过江苏省政府采购网、“苏采云”系统链接访问。</w:t>
      </w:r>
    </w:p>
    <w:p w14:paraId="0FE668C2">
      <w:pPr>
        <w:pStyle w:val="5"/>
        <w:keepNext w:val="0"/>
        <w:keepLines w:val="0"/>
        <w:spacing w:before="200" w:after="200" w:line="360" w:lineRule="auto"/>
        <w:ind w:firstLine="446"/>
        <w:rPr>
          <w:rFonts w:ascii="宋体" w:hAnsi="宋体"/>
          <w:sz w:val="30"/>
          <w:szCs w:val="30"/>
        </w:rPr>
      </w:pPr>
      <w:r>
        <w:rPr>
          <w:rFonts w:hint="eastAsia" w:ascii="宋体" w:hAnsi="宋体"/>
          <w:sz w:val="30"/>
          <w:szCs w:val="30"/>
        </w:rPr>
        <w:t>29．签订合同</w:t>
      </w:r>
    </w:p>
    <w:p w14:paraId="399D88A0">
      <w:pPr>
        <w:spacing w:line="360" w:lineRule="auto"/>
        <w:ind w:firstLine="480"/>
        <w:rPr>
          <w:rFonts w:ascii="宋体" w:hAnsi="宋体"/>
          <w:sz w:val="24"/>
        </w:rPr>
      </w:pPr>
      <w:r>
        <w:rPr>
          <w:rFonts w:hint="eastAsia" w:ascii="宋体" w:hAnsi="宋体"/>
          <w:sz w:val="24"/>
        </w:rPr>
        <w:t>29.1 采购人应当自中标通知书发出之日起</w:t>
      </w:r>
      <w:r>
        <w:rPr>
          <w:rFonts w:hint="eastAsia" w:ascii="宋体" w:hAnsi="宋体"/>
          <w:b/>
          <w:sz w:val="24"/>
          <w:highlight w:val="yellow"/>
          <w:u w:val="single"/>
        </w:rPr>
        <w:t>15</w:t>
      </w:r>
      <w:r>
        <w:rPr>
          <w:rFonts w:hint="eastAsia" w:ascii="宋体" w:hAnsi="宋体"/>
          <w:b/>
          <w:sz w:val="24"/>
          <w:highlight w:val="yellow"/>
        </w:rPr>
        <w:t>日</w:t>
      </w:r>
      <w:r>
        <w:rPr>
          <w:rFonts w:hint="eastAsia" w:ascii="宋体" w:hAnsi="宋体"/>
          <w:sz w:val="24"/>
        </w:rPr>
        <w:t>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p>
    <w:p w14:paraId="2CA78ADC">
      <w:pPr>
        <w:spacing w:line="360" w:lineRule="auto"/>
        <w:ind w:firstLine="480"/>
        <w:rPr>
          <w:rFonts w:ascii="宋体" w:hAnsi="宋体"/>
          <w:sz w:val="24"/>
        </w:rPr>
      </w:pPr>
      <w:r>
        <w:rPr>
          <w:rFonts w:hint="eastAsia" w:ascii="宋体" w:hAnsi="宋体"/>
          <w:sz w:val="24"/>
        </w:rPr>
        <w:t>29.2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p>
    <w:p w14:paraId="1EC479A3">
      <w:pPr>
        <w:spacing w:line="360" w:lineRule="auto"/>
        <w:ind w:firstLine="480"/>
        <w:rPr>
          <w:rFonts w:ascii="宋体" w:hAnsi="宋体"/>
          <w:sz w:val="24"/>
        </w:rPr>
      </w:pPr>
      <w:r>
        <w:rPr>
          <w:rFonts w:hint="eastAsia" w:ascii="宋体" w:hAnsi="宋体"/>
          <w:sz w:val="24"/>
        </w:rPr>
        <w:t>29.3 政府采购合同应当包括采购人与中标人的名称和住所、标的、数量、质量、价款或者报酬、履行期限及地点和方式、验收要求、违约责任、解决争议的方法等内容。</w:t>
      </w:r>
    </w:p>
    <w:p w14:paraId="5E611C4F">
      <w:pPr>
        <w:spacing w:line="360" w:lineRule="auto"/>
        <w:ind w:firstLine="480"/>
        <w:rPr>
          <w:rFonts w:ascii="宋体" w:hAnsi="宋体"/>
          <w:sz w:val="24"/>
        </w:rPr>
      </w:pPr>
      <w:r>
        <w:rPr>
          <w:rFonts w:hint="eastAsia" w:ascii="宋体" w:hAnsi="宋体"/>
          <w:sz w:val="24"/>
        </w:rPr>
        <w:t>29.4采购人应当自采购合同签订之日起2个工作日内，将政府采购合同在政府采购指定媒体予以公告。</w:t>
      </w:r>
    </w:p>
    <w:p w14:paraId="6A266120">
      <w:pPr>
        <w:spacing w:line="360" w:lineRule="auto"/>
        <w:ind w:firstLine="480"/>
        <w:rPr>
          <w:rFonts w:ascii="宋体" w:hAnsi="宋体"/>
          <w:sz w:val="24"/>
        </w:rPr>
      </w:pPr>
      <w:r>
        <w:rPr>
          <w:rFonts w:hint="eastAsia" w:ascii="宋体" w:hAnsi="宋体"/>
          <w:sz w:val="24"/>
        </w:rPr>
        <w:t>29.5合同履行中，采购人需追加与合同标的相同的货物或者服务时，在不改变合同其他条款的前提下，可以与中标人协商签订补充合同，但所有补充合同的采购金额不得超过原合同采购金额的百分之十。</w:t>
      </w:r>
    </w:p>
    <w:p w14:paraId="6F5A7D1F">
      <w:pPr>
        <w:spacing w:line="360" w:lineRule="auto"/>
        <w:ind w:firstLine="480"/>
        <w:rPr>
          <w:rFonts w:ascii="宋体" w:hAnsi="宋体"/>
          <w:sz w:val="24"/>
        </w:rPr>
      </w:pPr>
      <w:r>
        <w:rPr>
          <w:rFonts w:hint="eastAsia" w:ascii="宋体" w:hAnsi="宋体"/>
          <w:sz w:val="24"/>
        </w:rPr>
        <w:t>29.6采购人与中标人应当根据合同的约定依法履行合同义务。政府采购合同的履行、违约责任和解决争议的方法等适用《中华人民共和国民法典》。</w:t>
      </w:r>
    </w:p>
    <w:p w14:paraId="36CA69F2">
      <w:pPr>
        <w:spacing w:line="360" w:lineRule="auto"/>
        <w:ind w:left="-424" w:firstLine="763"/>
        <w:jc w:val="center"/>
        <w:rPr>
          <w:rFonts w:ascii="宋体" w:hAnsi="宋体"/>
          <w:sz w:val="24"/>
        </w:rPr>
      </w:pPr>
      <w:r>
        <w:rPr>
          <w:rFonts w:hint="eastAsia" w:ascii="宋体" w:hAnsi="宋体"/>
          <w:sz w:val="24"/>
        </w:rPr>
        <w:t xml:space="preserve">  </w:t>
      </w:r>
    </w:p>
    <w:p w14:paraId="5BC6D7C4">
      <w:pPr>
        <w:spacing w:line="360" w:lineRule="auto"/>
        <w:ind w:firstLine="643"/>
        <w:jc w:val="center"/>
        <w:rPr>
          <w:rFonts w:ascii="宋体" w:hAnsi="宋体"/>
          <w:b/>
          <w:color w:val="000000"/>
          <w:sz w:val="32"/>
          <w:szCs w:val="32"/>
          <w:shd w:val="clear" w:color="auto" w:fill="FFFFFF"/>
        </w:rPr>
      </w:pPr>
      <w:r>
        <w:rPr>
          <w:rFonts w:hint="eastAsia" w:ascii="宋体" w:hAnsi="宋体"/>
          <w:b/>
          <w:color w:val="000000"/>
          <w:sz w:val="32"/>
          <w:szCs w:val="32"/>
          <w:shd w:val="clear" w:color="auto" w:fill="FFFFFF"/>
        </w:rPr>
        <w:t>八、询问、质疑、投诉</w:t>
      </w:r>
    </w:p>
    <w:p w14:paraId="4C39DC36">
      <w:pPr>
        <w:pStyle w:val="5"/>
        <w:keepNext w:val="0"/>
        <w:keepLines w:val="0"/>
        <w:spacing w:before="200" w:after="200" w:line="360" w:lineRule="auto"/>
        <w:ind w:firstLine="446"/>
        <w:rPr>
          <w:rFonts w:ascii="宋体" w:hAnsi="宋体"/>
          <w:sz w:val="30"/>
        </w:rPr>
      </w:pPr>
      <w:r>
        <w:rPr>
          <w:rFonts w:hint="eastAsia" w:ascii="宋体" w:hAnsi="宋体"/>
          <w:sz w:val="30"/>
        </w:rPr>
        <w:t>30．询问</w:t>
      </w:r>
    </w:p>
    <w:p w14:paraId="36E04757">
      <w:pPr>
        <w:spacing w:line="360" w:lineRule="auto"/>
        <w:ind w:firstLine="480"/>
        <w:rPr>
          <w:rFonts w:ascii="宋体" w:hAnsi="宋体"/>
          <w:sz w:val="24"/>
        </w:rPr>
      </w:pPr>
      <w:r>
        <w:rPr>
          <w:rFonts w:hint="eastAsia" w:ascii="宋体" w:hAnsi="宋体"/>
          <w:sz w:val="24"/>
        </w:rPr>
        <w:t>30.1供应商对招标活动事项有疑问的，可以向采购人或采购代理机构提出询问，采购人或采购代理机构将在3个工作日内对供应商依法提出的询问作出答复，但答复的内容不得涉及商业秘密。</w:t>
      </w:r>
    </w:p>
    <w:p w14:paraId="650C119D">
      <w:pPr>
        <w:pStyle w:val="5"/>
        <w:keepNext w:val="0"/>
        <w:keepLines w:val="0"/>
        <w:spacing w:before="200" w:after="200" w:line="360" w:lineRule="auto"/>
        <w:ind w:firstLine="446"/>
        <w:rPr>
          <w:rFonts w:ascii="宋体" w:hAnsi="宋体"/>
          <w:sz w:val="30"/>
        </w:rPr>
      </w:pPr>
      <w:r>
        <w:rPr>
          <w:rFonts w:hint="eastAsia" w:ascii="宋体" w:hAnsi="宋体"/>
          <w:sz w:val="30"/>
        </w:rPr>
        <w:t>31．质疑</w:t>
      </w:r>
    </w:p>
    <w:p w14:paraId="33380C39">
      <w:pPr>
        <w:spacing w:line="360" w:lineRule="auto"/>
        <w:ind w:firstLine="480"/>
        <w:rPr>
          <w:rFonts w:ascii="宋体" w:hAnsi="宋体"/>
          <w:sz w:val="24"/>
        </w:rPr>
      </w:pPr>
      <w:r>
        <w:rPr>
          <w:rFonts w:hint="eastAsia" w:ascii="宋体" w:hAnsi="宋体"/>
          <w:sz w:val="24"/>
        </w:rPr>
        <w:t>31.1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p>
    <w:p w14:paraId="2D17AB42">
      <w:pPr>
        <w:spacing w:line="360" w:lineRule="auto"/>
        <w:ind w:firstLine="480"/>
        <w:rPr>
          <w:rFonts w:ascii="宋体" w:hAnsi="宋体"/>
          <w:sz w:val="24"/>
        </w:rPr>
      </w:pPr>
      <w:r>
        <w:rPr>
          <w:rFonts w:hint="eastAsia" w:ascii="宋体" w:hAnsi="宋体"/>
          <w:sz w:val="24"/>
        </w:rPr>
        <w:t>以上规定的供应商应知其权益受到损害之日，是指：</w:t>
      </w:r>
    </w:p>
    <w:p w14:paraId="0CDCE414">
      <w:pPr>
        <w:spacing w:line="360" w:lineRule="auto"/>
        <w:ind w:firstLine="360"/>
        <w:rPr>
          <w:rFonts w:ascii="宋体" w:hAnsi="宋体"/>
          <w:sz w:val="24"/>
        </w:rPr>
      </w:pPr>
      <w:r>
        <w:rPr>
          <w:rFonts w:hint="eastAsia" w:ascii="宋体" w:hAnsi="宋体"/>
          <w:sz w:val="24"/>
        </w:rPr>
        <w:t>（1）对可以质疑的采购文件提出质疑的，为收到采购文件之日或者采购文件公告期限届满之日；</w:t>
      </w:r>
    </w:p>
    <w:p w14:paraId="248274B1">
      <w:pPr>
        <w:spacing w:line="360" w:lineRule="auto"/>
        <w:ind w:firstLine="360"/>
        <w:rPr>
          <w:rFonts w:ascii="宋体" w:hAnsi="宋体"/>
          <w:sz w:val="24"/>
        </w:rPr>
      </w:pPr>
      <w:r>
        <w:rPr>
          <w:rFonts w:hint="eastAsia" w:ascii="宋体" w:hAnsi="宋体"/>
          <w:sz w:val="24"/>
        </w:rPr>
        <w:t>（2）对采购过程提出质疑的，为各采购程序环节结束之日；</w:t>
      </w:r>
    </w:p>
    <w:p w14:paraId="7B8B9165">
      <w:pPr>
        <w:spacing w:line="360" w:lineRule="auto"/>
        <w:ind w:firstLine="360"/>
        <w:rPr>
          <w:rFonts w:ascii="宋体" w:hAnsi="宋体"/>
          <w:sz w:val="24"/>
        </w:rPr>
      </w:pPr>
      <w:r>
        <w:rPr>
          <w:rFonts w:hint="eastAsia" w:ascii="宋体" w:hAnsi="宋体"/>
          <w:sz w:val="24"/>
        </w:rPr>
        <w:t>（3）对中标结果提出质疑的，为中标结果公告期限届满之日。</w:t>
      </w:r>
    </w:p>
    <w:p w14:paraId="66DDBA4B">
      <w:pPr>
        <w:spacing w:line="360" w:lineRule="auto"/>
        <w:ind w:firstLine="480"/>
        <w:rPr>
          <w:rFonts w:ascii="宋体" w:hAnsi="宋体"/>
          <w:sz w:val="24"/>
        </w:rPr>
      </w:pPr>
      <w:r>
        <w:rPr>
          <w:rFonts w:hint="eastAsia" w:ascii="宋体" w:hAnsi="宋体"/>
          <w:sz w:val="24"/>
        </w:rPr>
        <w:t>31.2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72" w:name="_Hlk132706924"/>
      <w:r>
        <w:rPr>
          <w:rFonts w:hint="eastAsia" w:ascii="宋体" w:hAnsi="宋体"/>
          <w:sz w:val="24"/>
        </w:rPr>
        <w:t>政府采购监管部门</w:t>
      </w:r>
      <w:bookmarkEnd w:id="72"/>
      <w:r>
        <w:rPr>
          <w:rFonts w:hint="eastAsia" w:ascii="宋体" w:hAnsi="宋体"/>
          <w:sz w:val="24"/>
        </w:rPr>
        <w:t>将其列入不良行为记录名单，并依法予以处罚。</w:t>
      </w:r>
    </w:p>
    <w:p w14:paraId="76EAEDE5">
      <w:pPr>
        <w:spacing w:line="360" w:lineRule="auto"/>
        <w:ind w:firstLine="480"/>
        <w:rPr>
          <w:rFonts w:ascii="宋体" w:hAnsi="宋体"/>
          <w:b/>
          <w:color w:val="000000"/>
          <w:sz w:val="24"/>
        </w:rPr>
      </w:pPr>
      <w:r>
        <w:rPr>
          <w:rFonts w:hint="eastAsia" w:ascii="宋体" w:hAnsi="宋体"/>
          <w:sz w:val="24"/>
        </w:rPr>
        <w:t xml:space="preserve">31.3 </w:t>
      </w:r>
      <w:r>
        <w:rPr>
          <w:rFonts w:hint="eastAsia" w:ascii="宋体" w:hAnsi="宋体"/>
          <w:color w:val="000000"/>
          <w:sz w:val="24"/>
        </w:rPr>
        <w:t>供应商应当在法定质疑期内一次性提出针对同一采购程序环节的质疑。供应商如在法定期限内对同一采购程序环节提出多次质疑的，将只对供应商第一次质疑作出答复。</w:t>
      </w:r>
      <w:r>
        <w:rPr>
          <w:rFonts w:hint="eastAsia" w:ascii="宋体" w:hAnsi="宋体"/>
          <w:b/>
          <w:color w:val="000000"/>
          <w:sz w:val="24"/>
        </w:rPr>
        <w:t>供应商如对采购需求提出质疑，采购人负责处理和答复涉及采购需求的质疑内容。</w:t>
      </w:r>
    </w:p>
    <w:p w14:paraId="1B23F6FE">
      <w:pPr>
        <w:spacing w:line="360" w:lineRule="auto"/>
        <w:ind w:firstLine="480"/>
        <w:rPr>
          <w:rFonts w:ascii="宋体" w:hAnsi="宋体"/>
          <w:sz w:val="24"/>
        </w:rPr>
      </w:pPr>
      <w:r>
        <w:rPr>
          <w:rFonts w:hint="eastAsia" w:ascii="宋体" w:hAnsi="宋体"/>
          <w:sz w:val="24"/>
        </w:rPr>
        <w:t>31.4 集中采购接受质疑函联系部门、联系电话和通讯地址、质疑流程及注意事项见“镇江市公共资源交易服务平台—政府采购”网站“质疑渠道”。分散采购接受质疑函联系部门、联系电话和通讯地址</w:t>
      </w:r>
      <w:r>
        <w:rPr>
          <w:rFonts w:hint="eastAsia" w:ascii="宋体" w:hAnsi="宋体"/>
          <w:sz w:val="24"/>
          <w:u w:val="single"/>
        </w:rPr>
        <w:t xml:space="preserve"> 句容市</w:t>
      </w:r>
      <w:r>
        <w:rPr>
          <w:rFonts w:hint="eastAsia" w:ascii="宋体" w:hAnsi="宋体"/>
          <w:sz w:val="24"/>
          <w:u w:val="single"/>
          <w:lang w:val="en-US" w:eastAsia="zh-CN"/>
        </w:rPr>
        <w:t>肖杆村258号</w:t>
      </w:r>
      <w:r>
        <w:rPr>
          <w:rFonts w:hint="eastAsia" w:ascii="宋体" w:hAnsi="宋体"/>
          <w:sz w:val="24"/>
          <w:u w:val="single"/>
        </w:rPr>
        <w:t xml:space="preserve">  </w:t>
      </w:r>
      <w:r>
        <w:rPr>
          <w:rFonts w:hint="eastAsia" w:ascii="宋体" w:hAnsi="宋体"/>
          <w:sz w:val="24"/>
          <w:u w:val="single"/>
          <w:lang w:val="en-US" w:eastAsia="zh-CN"/>
        </w:rPr>
        <w:t>永道工程咨询（江苏）有限公司</w:t>
      </w:r>
      <w:r>
        <w:rPr>
          <w:rFonts w:hint="eastAsia" w:ascii="宋体" w:hAnsi="宋体"/>
          <w:sz w:val="24"/>
          <w:u w:val="single"/>
        </w:rPr>
        <w:t xml:space="preserve"> </w:t>
      </w:r>
      <w:r>
        <w:rPr>
          <w:rFonts w:hint="eastAsia" w:ascii="宋体" w:hAnsi="宋体"/>
          <w:sz w:val="24"/>
          <w:szCs w:val="28"/>
          <w:highlight w:val="none"/>
          <w:u w:val="single"/>
          <w:lang w:val="en-US" w:eastAsia="zh-CN"/>
        </w:rPr>
        <w:t>0511-87301979</w:t>
      </w:r>
      <w:r>
        <w:rPr>
          <w:rFonts w:hint="eastAsia" w:ascii="宋体" w:hAnsi="宋体"/>
          <w:sz w:val="24"/>
          <w:u w:val="single"/>
        </w:rPr>
        <w:t xml:space="preserve"> </w:t>
      </w:r>
      <w:r>
        <w:rPr>
          <w:rFonts w:hint="eastAsia" w:ascii="宋体" w:hAnsi="宋体"/>
          <w:sz w:val="24"/>
        </w:rPr>
        <w:t>。</w:t>
      </w:r>
    </w:p>
    <w:p w14:paraId="507076CE">
      <w:pPr>
        <w:spacing w:line="360" w:lineRule="auto"/>
        <w:ind w:firstLine="480"/>
        <w:rPr>
          <w:rFonts w:ascii="宋体" w:hAnsi="宋体"/>
          <w:sz w:val="24"/>
        </w:rPr>
      </w:pPr>
      <w:r>
        <w:rPr>
          <w:rFonts w:hint="eastAsia" w:ascii="宋体" w:hAnsi="宋体"/>
          <w:sz w:val="24"/>
        </w:rPr>
        <w:t>31.5采购人、采购代理机构不得拒收质疑供应商在法定质疑期内发出的质疑函，应当在收到质疑函后7个工作日内作出答复，并以书面形式通知质疑供应商和其他有关供应商。</w:t>
      </w:r>
    </w:p>
    <w:p w14:paraId="16BFCAB8">
      <w:pPr>
        <w:pStyle w:val="5"/>
        <w:keepNext w:val="0"/>
        <w:keepLines w:val="0"/>
        <w:spacing w:before="200" w:after="200" w:line="360" w:lineRule="auto"/>
        <w:ind w:firstLine="446"/>
        <w:rPr>
          <w:rFonts w:ascii="宋体" w:hAnsi="宋体"/>
          <w:sz w:val="30"/>
        </w:rPr>
      </w:pPr>
      <w:r>
        <w:rPr>
          <w:rFonts w:hint="eastAsia" w:ascii="宋体" w:hAnsi="宋体"/>
          <w:sz w:val="30"/>
        </w:rPr>
        <w:t>32．投诉</w:t>
      </w:r>
    </w:p>
    <w:p w14:paraId="716625E1">
      <w:pPr>
        <w:spacing w:line="360" w:lineRule="auto"/>
        <w:ind w:firstLine="480"/>
        <w:jc w:val="left"/>
        <w:rPr>
          <w:rFonts w:ascii="宋体" w:hAnsi="宋体"/>
          <w:sz w:val="24"/>
        </w:rPr>
      </w:pPr>
      <w:r>
        <w:rPr>
          <w:rFonts w:hint="eastAsia" w:ascii="宋体" w:hAnsi="宋体"/>
          <w:sz w:val="24"/>
        </w:rPr>
        <w:t>33.1质疑供应商对采购人、采购代理机构的答复不满意，或者采购人、采购代理机构未在规定的时间内作出答复的，可以在答复期满后十五个工作日内向采购人所属预算级次本级政府采购监管部门投诉。</w:t>
      </w:r>
    </w:p>
    <w:p w14:paraId="670B9119">
      <w:pPr>
        <w:spacing w:line="360" w:lineRule="auto"/>
        <w:ind w:firstLine="480"/>
        <w:jc w:val="left"/>
        <w:rPr>
          <w:rFonts w:ascii="宋体" w:hAnsi="宋体"/>
          <w:sz w:val="24"/>
        </w:rPr>
      </w:pPr>
      <w:r>
        <w:rPr>
          <w:rFonts w:hint="eastAsia" w:ascii="宋体" w:hAnsi="宋体"/>
          <w:sz w:val="24"/>
        </w:rPr>
        <w:t>33.2以联合体形式参加政府采购活动的，其投诉应当由组成联合体的所有供应商共同提出。</w:t>
      </w:r>
    </w:p>
    <w:p w14:paraId="0CE0BEF7">
      <w:pPr>
        <w:spacing w:line="360" w:lineRule="auto"/>
        <w:ind w:firstLine="480"/>
        <w:jc w:val="left"/>
        <w:rPr>
          <w:rFonts w:ascii="宋体" w:hAnsi="宋体"/>
          <w:sz w:val="24"/>
        </w:rPr>
      </w:pPr>
      <w:r>
        <w:rPr>
          <w:rFonts w:hint="eastAsia" w:ascii="宋体" w:hAnsi="宋体"/>
          <w:sz w:val="24"/>
        </w:rPr>
        <w:t>33.3投诉流程及注意事项见“镇江市公共资源交易服务平台—政府采购”网站“投诉指引”。</w:t>
      </w:r>
    </w:p>
    <w:p w14:paraId="2ACE0A43">
      <w:pPr>
        <w:spacing w:line="360" w:lineRule="auto"/>
        <w:jc w:val="center"/>
        <w:rPr>
          <w:rFonts w:ascii="宋体" w:hAnsi="宋体"/>
          <w:color w:val="000000"/>
          <w:sz w:val="32"/>
          <w:szCs w:val="32"/>
        </w:rPr>
      </w:pPr>
      <w:r>
        <w:rPr>
          <w:rFonts w:hint="eastAsia" w:ascii="宋体" w:hAnsi="宋体"/>
          <w:b/>
          <w:color w:val="000000"/>
          <w:sz w:val="32"/>
          <w:szCs w:val="32"/>
          <w:shd w:val="clear" w:color="auto" w:fill="FFFFFF"/>
        </w:rPr>
        <w:t>九、诚实信用和解释权</w:t>
      </w:r>
    </w:p>
    <w:p w14:paraId="38EF0D63">
      <w:pPr>
        <w:pStyle w:val="5"/>
        <w:keepNext w:val="0"/>
        <w:keepLines w:val="0"/>
        <w:spacing w:before="200" w:after="200" w:line="360" w:lineRule="auto"/>
        <w:ind w:firstLine="446"/>
        <w:rPr>
          <w:rFonts w:ascii="宋体" w:hAnsi="宋体"/>
          <w:sz w:val="30"/>
        </w:rPr>
      </w:pPr>
      <w:r>
        <w:rPr>
          <w:rFonts w:hint="eastAsia" w:ascii="宋体" w:hAnsi="宋体"/>
          <w:sz w:val="30"/>
        </w:rPr>
        <w:t>33．诚实信用</w:t>
      </w:r>
    </w:p>
    <w:p w14:paraId="55FA783C">
      <w:pPr>
        <w:spacing w:line="360" w:lineRule="auto"/>
        <w:ind w:firstLine="480"/>
        <w:rPr>
          <w:rFonts w:ascii="宋体" w:hAnsi="宋体"/>
          <w:sz w:val="24"/>
        </w:rPr>
      </w:pPr>
      <w:r>
        <w:rPr>
          <w:rFonts w:hint="eastAsia" w:ascii="宋体" w:hAnsi="宋体"/>
          <w:sz w:val="24"/>
        </w:rPr>
        <w:t>33.1投标人应当遵循公平竞争的原则，不得恶意串通，不得妨碍其他投标人的竞争行为，不得损害采购人或者其他投标人的合法权益。</w:t>
      </w:r>
    </w:p>
    <w:p w14:paraId="5DC521ED">
      <w:pPr>
        <w:spacing w:line="360" w:lineRule="auto"/>
        <w:ind w:firstLine="480"/>
        <w:rPr>
          <w:rFonts w:ascii="宋体" w:hAnsi="宋体"/>
          <w:sz w:val="24"/>
        </w:rPr>
      </w:pPr>
      <w:r>
        <w:rPr>
          <w:rFonts w:hint="eastAsia" w:ascii="宋体" w:hAnsi="宋体"/>
          <w:sz w:val="24"/>
        </w:rPr>
        <w:t>33.2 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p>
    <w:p w14:paraId="3C5B515C">
      <w:pPr>
        <w:spacing w:line="360" w:lineRule="auto"/>
        <w:ind w:firstLine="480"/>
        <w:rPr>
          <w:rFonts w:ascii="宋体" w:hAnsi="宋体"/>
          <w:sz w:val="24"/>
        </w:rPr>
      </w:pPr>
      <w:r>
        <w:rPr>
          <w:rFonts w:hint="eastAsia" w:ascii="宋体" w:hAnsi="宋体"/>
          <w:sz w:val="24"/>
        </w:rPr>
        <w:t>33.3 供应商不得虚假承诺，否则，按照提供虚假材料谋取中标处理。</w:t>
      </w:r>
    </w:p>
    <w:p w14:paraId="7C51B3EC">
      <w:pPr>
        <w:spacing w:line="360" w:lineRule="auto"/>
        <w:ind w:left="2" w:firstLine="480"/>
        <w:rPr>
          <w:rFonts w:ascii="宋体" w:hAnsi="宋体"/>
          <w:sz w:val="24"/>
        </w:rPr>
      </w:pPr>
      <w:r>
        <w:rPr>
          <w:rFonts w:hint="eastAsia" w:ascii="宋体" w:hAnsi="宋体"/>
          <w:sz w:val="24"/>
        </w:rPr>
        <w:t>33</w:t>
      </w:r>
      <w:r>
        <w:rPr>
          <w:rFonts w:ascii="宋体" w:hAnsi="宋体"/>
          <w:sz w:val="24"/>
        </w:rPr>
        <w:t>.4</w:t>
      </w:r>
      <w:r>
        <w:rPr>
          <w:rFonts w:hint="eastAsia" w:ascii="宋体" w:hAnsi="宋体"/>
          <w:sz w:val="24"/>
        </w:rPr>
        <w:t xml:space="preserve"> </w:t>
      </w:r>
      <w:r>
        <w:rPr>
          <w:rFonts w:ascii="宋体" w:hAnsi="宋体"/>
          <w:sz w:val="24"/>
        </w:rPr>
        <w:t>供应商应自觉遵守开标、评标纪律，扰乱开标评标现场秩序的，属于失信行为，根据《江苏省政府采购供应商监督管理暂行办法》，失信行为将被记入供应商诚信档案。</w:t>
      </w:r>
    </w:p>
    <w:p w14:paraId="43CFEA9C">
      <w:pPr>
        <w:spacing w:line="360" w:lineRule="auto"/>
        <w:ind w:left="2" w:firstLine="480"/>
        <w:rPr>
          <w:rFonts w:ascii="宋体" w:hAnsi="宋体"/>
          <w:sz w:val="24"/>
        </w:rPr>
      </w:pPr>
      <w:r>
        <w:rPr>
          <w:rFonts w:hint="eastAsia" w:ascii="宋体" w:hAnsi="宋体"/>
          <w:sz w:val="24"/>
        </w:rPr>
        <w:t>33</w:t>
      </w:r>
      <w:r>
        <w:rPr>
          <w:rFonts w:ascii="宋体" w:hAnsi="宋体"/>
          <w:sz w:val="24"/>
        </w:rPr>
        <w:t>.5</w:t>
      </w:r>
      <w:r>
        <w:rPr>
          <w:rFonts w:hint="eastAsia" w:ascii="宋体" w:hAnsi="宋体"/>
          <w:sz w:val="24"/>
        </w:rPr>
        <w:t xml:space="preserve"> 根据《财政部关于在政府采购活动中查询及使用信息记录有关问题的通知》（财库〔2016〕125号）、江苏省财政厅《关于做好政府采购信用信息查询使用及登记等工作的通知》（苏财购〔2016〕50号）等文件精神，</w:t>
      </w:r>
      <w:r>
        <w:rPr>
          <w:rFonts w:hint="eastAsia" w:ascii="宋体" w:hAnsi="宋体"/>
          <w:color w:val="0000FF"/>
          <w:sz w:val="24"/>
        </w:rPr>
        <w:t>采购人或采购代理机构</w:t>
      </w:r>
      <w:r>
        <w:rPr>
          <w:rFonts w:hint="eastAsia" w:ascii="宋体" w:hAnsi="宋体"/>
          <w:sz w:val="24"/>
        </w:rPr>
        <w:t>在项目资格审查时对参加本项目的各供应商进行信用记录查询，信用记录查询渠道为“信用中国”网站（www.creditchina.gov.cn ）、中国政府采购网（www.ccgp.gov.cn ）、“信用江苏”网站（http://www.jscredit.gov.cn ），</w:t>
      </w:r>
      <w:r>
        <w:rPr>
          <w:rFonts w:hint="eastAsia" w:ascii="宋体" w:hAnsi="宋体"/>
          <w:color w:val="0000FF"/>
          <w:sz w:val="24"/>
        </w:rPr>
        <w:t>信用记录查询截止时间为项目资格审查结束时</w:t>
      </w:r>
      <w:r>
        <w:rPr>
          <w:rFonts w:hint="eastAsia" w:ascii="宋体" w:hAnsi="宋体"/>
          <w:sz w:val="24"/>
        </w:rPr>
        <w:t>，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p>
    <w:p w14:paraId="1E896AAA">
      <w:pPr>
        <w:pStyle w:val="5"/>
        <w:keepNext w:val="0"/>
        <w:keepLines w:val="0"/>
        <w:spacing w:before="200" w:after="200" w:line="360" w:lineRule="auto"/>
        <w:ind w:firstLine="446"/>
        <w:rPr>
          <w:rFonts w:ascii="宋体" w:hAnsi="宋体"/>
          <w:sz w:val="30"/>
        </w:rPr>
      </w:pPr>
      <w:r>
        <w:rPr>
          <w:rFonts w:hint="eastAsia" w:ascii="宋体" w:hAnsi="宋体"/>
          <w:sz w:val="30"/>
        </w:rPr>
        <w:t>34.</w:t>
      </w:r>
      <w:r>
        <w:rPr>
          <w:rFonts w:hint="eastAsia" w:ascii="宋体" w:hAnsi="宋体"/>
          <w:color w:val="000000"/>
          <w:sz w:val="30"/>
        </w:rPr>
        <w:t>适用法律及约束力</w:t>
      </w:r>
    </w:p>
    <w:p w14:paraId="3ABA9F7A">
      <w:pPr>
        <w:spacing w:line="360" w:lineRule="auto"/>
        <w:ind w:firstLine="480"/>
        <w:rPr>
          <w:rFonts w:ascii="宋体" w:hAnsi="宋体"/>
          <w:sz w:val="24"/>
        </w:rPr>
      </w:pPr>
      <w:r>
        <w:rPr>
          <w:rFonts w:hint="eastAsia" w:ascii="宋体" w:hAnsi="宋体"/>
          <w:sz w:val="24"/>
        </w:rPr>
        <w:t xml:space="preserve">34.1 </w:t>
      </w:r>
      <w:r>
        <w:rPr>
          <w:rFonts w:hint="eastAsia" w:ascii="宋体" w:hAnsi="宋体"/>
          <w:b/>
          <w:sz w:val="24"/>
        </w:rPr>
        <w:t>投标人一旦获取了本招标文件并参加投标，即被认为接受了本招标文件的规定和约束。</w:t>
      </w:r>
    </w:p>
    <w:p w14:paraId="2B2AE8CB">
      <w:pPr>
        <w:spacing w:line="360" w:lineRule="auto"/>
        <w:ind w:firstLine="480"/>
        <w:rPr>
          <w:rFonts w:ascii="宋体" w:hAnsi="宋体"/>
          <w:sz w:val="24"/>
        </w:rPr>
      </w:pPr>
      <w:r>
        <w:rPr>
          <w:rFonts w:hint="eastAsia" w:ascii="宋体" w:hAnsi="宋体"/>
          <w:sz w:val="24"/>
        </w:rPr>
        <w:t>34.2 本次招标及由本次招标产生的合同受中华人民共和国法律制约和保护。</w:t>
      </w:r>
    </w:p>
    <w:p w14:paraId="2DB48F11">
      <w:pPr>
        <w:pStyle w:val="5"/>
        <w:keepNext w:val="0"/>
        <w:keepLines w:val="0"/>
        <w:spacing w:before="200" w:after="200" w:line="360" w:lineRule="auto"/>
        <w:ind w:firstLine="446"/>
        <w:rPr>
          <w:rFonts w:ascii="宋体" w:hAnsi="宋体"/>
          <w:color w:val="000000"/>
          <w:sz w:val="30"/>
        </w:rPr>
      </w:pPr>
      <w:r>
        <w:rPr>
          <w:rFonts w:hint="eastAsia" w:ascii="宋体" w:hAnsi="宋体"/>
          <w:color w:val="000000"/>
          <w:sz w:val="30"/>
        </w:rPr>
        <w:t>35.解释权</w:t>
      </w:r>
    </w:p>
    <w:p w14:paraId="0F4E95F5">
      <w:pPr>
        <w:rPr>
          <w:rFonts w:ascii="宋体" w:hAnsi="宋体"/>
          <w:sz w:val="24"/>
        </w:rPr>
      </w:pPr>
      <w:r>
        <w:rPr>
          <w:rFonts w:hint="eastAsia" w:ascii="宋体" w:hAnsi="宋体"/>
          <w:sz w:val="24"/>
        </w:rPr>
        <w:t>35.1 除相关法律、法规规定外，本招标文件的解释权归</w:t>
      </w:r>
      <w:r>
        <w:rPr>
          <w:rFonts w:hint="eastAsia" w:ascii="宋体" w:hAnsi="宋体"/>
          <w:sz w:val="24"/>
          <w:u w:val="single"/>
        </w:rPr>
        <w:t>采购代理机构</w:t>
      </w:r>
      <w:r>
        <w:rPr>
          <w:rFonts w:hint="eastAsia" w:ascii="宋体" w:hAnsi="宋体"/>
          <w:sz w:val="24"/>
        </w:rPr>
        <w:t>所有。</w:t>
      </w:r>
    </w:p>
    <w:p w14:paraId="0AA47375">
      <w:pPr>
        <w:widowControl/>
        <w:spacing w:line="360" w:lineRule="auto"/>
        <w:jc w:val="left"/>
        <w:rPr>
          <w:rFonts w:ascii="宋体" w:hAnsi="宋体"/>
          <w:b/>
          <w:sz w:val="30"/>
        </w:rPr>
      </w:pPr>
      <w:r>
        <w:rPr>
          <w:rFonts w:hint="eastAsia" w:ascii="宋体" w:hAnsi="宋体"/>
          <w:b/>
          <w:sz w:val="30"/>
        </w:rPr>
        <w:br w:type="page" w:clear="all"/>
      </w:r>
    </w:p>
    <w:p w14:paraId="36F462D6">
      <w:pPr>
        <w:widowControl/>
        <w:jc w:val="center"/>
        <w:rPr>
          <w:rFonts w:ascii="宋体" w:hAnsi="宋体"/>
          <w:b/>
          <w:sz w:val="30"/>
          <w:szCs w:val="24"/>
        </w:rPr>
      </w:pPr>
      <w:r>
        <w:rPr>
          <w:rFonts w:hint="eastAsia" w:ascii="宋体" w:hAnsi="宋体"/>
          <w:b/>
          <w:sz w:val="30"/>
          <w:szCs w:val="24"/>
        </w:rPr>
        <w:t>第三部分  拟签订的合同文本（货物、服务类）</w:t>
      </w:r>
    </w:p>
    <w:p w14:paraId="4E392F1C">
      <w:pPr>
        <w:rPr>
          <w:rFonts w:ascii="宋体" w:hAnsi="宋体" w:cs="宋体"/>
          <w:sz w:val="24"/>
          <w:szCs w:val="24"/>
          <w:u w:val="single"/>
        </w:rPr>
      </w:pPr>
      <w:r>
        <w:rPr>
          <w:rFonts w:hint="eastAsia" w:ascii="宋体" w:hAnsi="宋体" w:cs="宋体"/>
          <w:sz w:val="24"/>
          <w:szCs w:val="24"/>
        </w:rPr>
        <w:t>合同编号：</w:t>
      </w:r>
      <w:r>
        <w:rPr>
          <w:rFonts w:hint="eastAsia" w:ascii="宋体" w:hAnsi="宋体" w:cs="宋体"/>
          <w:sz w:val="24"/>
          <w:szCs w:val="24"/>
          <w:u w:val="single"/>
        </w:rPr>
        <w:t xml:space="preserve">           </w:t>
      </w:r>
    </w:p>
    <w:p w14:paraId="512AEC2A">
      <w:pPr>
        <w:spacing w:line="480" w:lineRule="auto"/>
        <w:jc w:val="center"/>
        <w:rPr>
          <w:rFonts w:ascii="宋体" w:hAnsi="宋体" w:cs="宋体"/>
          <w:b/>
          <w:sz w:val="28"/>
          <w:szCs w:val="28"/>
        </w:rPr>
      </w:pPr>
    </w:p>
    <w:p w14:paraId="7E611AA9">
      <w:pPr>
        <w:spacing w:line="480" w:lineRule="auto"/>
        <w:jc w:val="center"/>
        <w:rPr>
          <w:rFonts w:ascii="宋体" w:hAnsi="宋体" w:cs="宋体"/>
          <w:b/>
          <w:sz w:val="24"/>
          <w:szCs w:val="24"/>
        </w:rPr>
      </w:pPr>
    </w:p>
    <w:p w14:paraId="17E63AD2">
      <w:pPr>
        <w:spacing w:line="480" w:lineRule="auto"/>
        <w:jc w:val="center"/>
        <w:rPr>
          <w:rFonts w:ascii="宋体" w:hAnsi="宋体" w:cs="宋体"/>
          <w:b/>
          <w:sz w:val="24"/>
          <w:szCs w:val="24"/>
        </w:rPr>
      </w:pPr>
    </w:p>
    <w:p w14:paraId="76ED33AC">
      <w:pPr>
        <w:spacing w:line="480" w:lineRule="auto"/>
        <w:jc w:val="center"/>
        <w:rPr>
          <w:rFonts w:ascii="宋体" w:hAnsi="宋体" w:cs="宋体"/>
          <w:b/>
          <w:i/>
          <w:iCs/>
          <w:sz w:val="36"/>
          <w:szCs w:val="36"/>
          <w:u w:val="single"/>
        </w:rPr>
      </w:pPr>
      <w:r>
        <w:rPr>
          <w:rFonts w:hint="eastAsia" w:ascii="宋体" w:hAnsi="宋体" w:cs="宋体"/>
          <w:b/>
          <w:i/>
          <w:iCs/>
          <w:sz w:val="36"/>
          <w:szCs w:val="36"/>
          <w:u w:val="single"/>
        </w:rPr>
        <w:t>政府采购合同参考范本</w:t>
      </w:r>
    </w:p>
    <w:p w14:paraId="3C197F3F">
      <w:pPr>
        <w:spacing w:line="480" w:lineRule="auto"/>
        <w:jc w:val="center"/>
        <w:rPr>
          <w:rFonts w:ascii="宋体" w:hAnsi="宋体" w:cs="宋体"/>
          <w:b/>
          <w:sz w:val="36"/>
          <w:szCs w:val="36"/>
        </w:rPr>
      </w:pPr>
      <w:r>
        <w:rPr>
          <w:rFonts w:hint="eastAsia" w:ascii="宋体" w:hAnsi="宋体" w:cs="宋体"/>
          <w:b/>
          <w:sz w:val="36"/>
          <w:szCs w:val="36"/>
        </w:rPr>
        <w:t>（货物、服务类）</w:t>
      </w:r>
    </w:p>
    <w:p w14:paraId="59CD4D16">
      <w:pPr>
        <w:ind w:firstLine="420"/>
        <w:rPr>
          <w:rFonts w:ascii="宋体" w:hAnsi="宋体" w:cs="宋体"/>
          <w:szCs w:val="24"/>
        </w:rPr>
      </w:pPr>
    </w:p>
    <w:p w14:paraId="27374B1F">
      <w:pPr>
        <w:ind w:firstLine="420"/>
        <w:rPr>
          <w:rFonts w:ascii="宋体" w:hAnsi="宋体" w:cs="宋体"/>
          <w:szCs w:val="24"/>
        </w:rPr>
      </w:pPr>
    </w:p>
    <w:p w14:paraId="3A9BB501">
      <w:pPr>
        <w:ind w:firstLine="420"/>
        <w:jc w:val="center"/>
        <w:rPr>
          <w:rFonts w:ascii="宋体" w:hAnsi="宋体" w:cs="宋体"/>
          <w:szCs w:val="24"/>
        </w:rPr>
      </w:pPr>
    </w:p>
    <w:p w14:paraId="25A8517C">
      <w:pPr>
        <w:ind w:firstLine="2668"/>
        <w:rPr>
          <w:rFonts w:ascii="宋体" w:hAnsi="宋体" w:cs="宋体"/>
          <w:b/>
          <w:sz w:val="28"/>
          <w:szCs w:val="28"/>
        </w:rPr>
      </w:pPr>
      <w:r>
        <w:rPr>
          <w:rFonts w:hint="eastAsia" w:ascii="宋体" w:hAnsi="宋体" w:cs="宋体"/>
          <w:b/>
          <w:sz w:val="28"/>
          <w:szCs w:val="28"/>
        </w:rPr>
        <w:t>第一</w:t>
      </w:r>
      <w:bookmarkStart w:id="73" w:name="_Hlk136502621"/>
      <w:r>
        <w:rPr>
          <w:rFonts w:hint="eastAsia" w:ascii="宋体" w:hAnsi="宋体" w:cs="宋体"/>
          <w:b/>
          <w:sz w:val="28"/>
          <w:szCs w:val="28"/>
        </w:rPr>
        <w:t>部分</w:t>
      </w:r>
      <w:bookmarkEnd w:id="73"/>
      <w:r>
        <w:rPr>
          <w:rFonts w:hint="eastAsia" w:ascii="宋体" w:hAnsi="宋体" w:cs="宋体"/>
          <w:b/>
          <w:sz w:val="28"/>
          <w:szCs w:val="28"/>
        </w:rPr>
        <w:t xml:space="preserve"> 合同书</w:t>
      </w:r>
    </w:p>
    <w:p w14:paraId="5EC43C69">
      <w:pPr>
        <w:ind w:firstLine="420"/>
        <w:rPr>
          <w:rFonts w:ascii="宋体" w:hAnsi="宋体" w:cs="宋体"/>
          <w:szCs w:val="24"/>
        </w:rPr>
      </w:pPr>
    </w:p>
    <w:p w14:paraId="0DB0D6DB">
      <w:pPr>
        <w:ind w:firstLine="420"/>
        <w:rPr>
          <w:rFonts w:ascii="宋体" w:hAnsi="宋体" w:cs="宋体"/>
          <w:szCs w:val="24"/>
        </w:rPr>
      </w:pPr>
    </w:p>
    <w:p w14:paraId="2BC5F3A3">
      <w:pPr>
        <w:spacing w:before="120" w:line="22" w:lineRule="atLeast"/>
        <w:rPr>
          <w:rFonts w:ascii="宋体" w:hAnsi="宋体" w:cs="宋体"/>
          <w:sz w:val="24"/>
          <w:szCs w:val="24"/>
        </w:rPr>
      </w:pPr>
    </w:p>
    <w:p w14:paraId="25218188">
      <w:pPr>
        <w:spacing w:before="120" w:line="22" w:lineRule="atLeast"/>
        <w:ind w:left="960"/>
        <w:rPr>
          <w:rFonts w:ascii="宋体" w:hAnsi="宋体" w:cs="宋体"/>
          <w:sz w:val="24"/>
          <w:szCs w:val="24"/>
        </w:rPr>
      </w:pPr>
      <w:r>
        <w:rPr>
          <w:rFonts w:hint="eastAsia" w:ascii="宋体" w:hAnsi="宋体" w:cs="宋体"/>
          <w:sz w:val="24"/>
          <w:szCs w:val="24"/>
        </w:rPr>
        <w:t>项目名称：</w:t>
      </w:r>
      <w:r>
        <w:rPr>
          <w:rFonts w:hint="eastAsia" w:ascii="宋体" w:hAnsi="宋体" w:cs="宋体"/>
          <w:sz w:val="24"/>
          <w:szCs w:val="24"/>
          <w:u w:val="single"/>
        </w:rPr>
        <w:t xml:space="preserve">                                   </w:t>
      </w:r>
    </w:p>
    <w:p w14:paraId="2C1782DB">
      <w:pPr>
        <w:spacing w:before="120" w:line="22" w:lineRule="atLeast"/>
        <w:rPr>
          <w:rFonts w:ascii="宋体" w:hAnsi="宋体" w:cs="宋体"/>
          <w:sz w:val="24"/>
          <w:szCs w:val="24"/>
        </w:rPr>
      </w:pPr>
    </w:p>
    <w:p w14:paraId="147B9696">
      <w:pPr>
        <w:spacing w:before="120" w:line="22" w:lineRule="atLeast"/>
        <w:rPr>
          <w:rFonts w:ascii="宋体" w:hAnsi="宋体" w:cs="宋体"/>
          <w:sz w:val="24"/>
          <w:szCs w:val="24"/>
        </w:rPr>
      </w:pPr>
    </w:p>
    <w:p w14:paraId="5380F820">
      <w:pPr>
        <w:rPr>
          <w:rFonts w:ascii="宋体" w:hAnsi="宋体" w:cs="宋体"/>
          <w:sz w:val="24"/>
          <w:szCs w:val="24"/>
        </w:rPr>
      </w:pPr>
    </w:p>
    <w:p w14:paraId="3A4529DD">
      <w:pPr>
        <w:spacing w:before="120" w:line="22" w:lineRule="atLeast"/>
        <w:ind w:left="960"/>
        <w:rPr>
          <w:rFonts w:ascii="宋体" w:hAnsi="宋体" w:cs="宋体"/>
          <w:sz w:val="24"/>
          <w:szCs w:val="24"/>
          <w:u w:val="single"/>
        </w:rPr>
      </w:pPr>
      <w:r>
        <w:rPr>
          <w:rFonts w:hint="eastAsia" w:ascii="宋体" w:hAnsi="宋体" w:cs="宋体"/>
          <w:sz w:val="24"/>
          <w:szCs w:val="24"/>
        </w:rPr>
        <w:t>甲方：</w:t>
      </w:r>
      <w:r>
        <w:rPr>
          <w:rFonts w:hint="eastAsia" w:ascii="宋体" w:hAnsi="宋体" w:cs="宋体"/>
          <w:sz w:val="24"/>
          <w:szCs w:val="24"/>
          <w:u w:val="single"/>
        </w:rPr>
        <w:t xml:space="preserve">                                       </w:t>
      </w:r>
    </w:p>
    <w:p w14:paraId="6F50CB72">
      <w:pPr>
        <w:spacing w:before="120" w:line="22" w:lineRule="atLeast"/>
        <w:rPr>
          <w:rFonts w:ascii="宋体" w:hAnsi="宋体" w:cs="宋体"/>
          <w:sz w:val="24"/>
          <w:szCs w:val="24"/>
        </w:rPr>
      </w:pPr>
    </w:p>
    <w:p w14:paraId="14453607">
      <w:pPr>
        <w:spacing w:before="120" w:line="22" w:lineRule="atLeast"/>
        <w:ind w:left="960"/>
        <w:rPr>
          <w:rFonts w:ascii="宋体" w:hAnsi="宋体" w:cs="宋体"/>
          <w:sz w:val="24"/>
          <w:szCs w:val="24"/>
          <w:u w:val="single"/>
        </w:rPr>
      </w:pPr>
      <w:r>
        <w:rPr>
          <w:rFonts w:hint="eastAsia" w:ascii="宋体" w:hAnsi="宋体" w:cs="宋体"/>
          <w:sz w:val="24"/>
          <w:szCs w:val="24"/>
        </w:rPr>
        <w:t>乙方：</w:t>
      </w:r>
      <w:r>
        <w:rPr>
          <w:rFonts w:hint="eastAsia" w:ascii="宋体" w:hAnsi="宋体" w:cs="宋体"/>
          <w:sz w:val="24"/>
          <w:szCs w:val="24"/>
          <w:u w:val="single"/>
        </w:rPr>
        <w:t xml:space="preserve">                                       </w:t>
      </w:r>
    </w:p>
    <w:p w14:paraId="12C88730">
      <w:pPr>
        <w:spacing w:before="120" w:line="22" w:lineRule="atLeast"/>
        <w:rPr>
          <w:rFonts w:ascii="宋体" w:hAnsi="宋体" w:cs="宋体"/>
          <w:sz w:val="24"/>
          <w:szCs w:val="24"/>
        </w:rPr>
      </w:pPr>
    </w:p>
    <w:p w14:paraId="7B26AC60">
      <w:pPr>
        <w:spacing w:before="120" w:line="22" w:lineRule="atLeast"/>
        <w:rPr>
          <w:rFonts w:ascii="宋体" w:hAnsi="宋体" w:cs="宋体"/>
          <w:sz w:val="24"/>
          <w:szCs w:val="24"/>
        </w:rPr>
      </w:pPr>
    </w:p>
    <w:p w14:paraId="18165A27">
      <w:pPr>
        <w:spacing w:before="120" w:line="22" w:lineRule="atLeast"/>
        <w:ind w:firstLine="960"/>
        <w:rPr>
          <w:rFonts w:ascii="宋体" w:hAnsi="宋体" w:cs="宋体"/>
          <w:sz w:val="24"/>
          <w:szCs w:val="24"/>
        </w:rPr>
      </w:pPr>
    </w:p>
    <w:p w14:paraId="04B5374F">
      <w:pPr>
        <w:spacing w:before="120" w:line="22" w:lineRule="atLeast"/>
        <w:ind w:firstLine="960"/>
        <w:rPr>
          <w:rFonts w:ascii="宋体" w:hAnsi="宋体" w:cs="宋体"/>
          <w:sz w:val="24"/>
          <w:szCs w:val="24"/>
        </w:rPr>
      </w:pPr>
    </w:p>
    <w:p w14:paraId="4346BCCB">
      <w:pPr>
        <w:spacing w:before="120" w:line="22" w:lineRule="atLeast"/>
        <w:ind w:firstLine="960"/>
        <w:rPr>
          <w:rFonts w:ascii="宋体" w:hAnsi="宋体" w:cs="宋体"/>
          <w:sz w:val="24"/>
          <w:szCs w:val="24"/>
        </w:rPr>
      </w:pPr>
    </w:p>
    <w:p w14:paraId="0CCB2830">
      <w:pPr>
        <w:spacing w:before="120" w:line="22" w:lineRule="atLeast"/>
        <w:ind w:firstLine="960"/>
        <w:rPr>
          <w:rFonts w:ascii="宋体" w:hAnsi="宋体" w:cs="宋体"/>
          <w:sz w:val="24"/>
          <w:szCs w:val="24"/>
          <w:u w:val="single"/>
        </w:rPr>
      </w:pPr>
      <w:r>
        <w:rPr>
          <w:rFonts w:hint="eastAsia" w:ascii="宋体" w:hAnsi="宋体" w:cs="宋体"/>
          <w:sz w:val="24"/>
          <w:szCs w:val="24"/>
        </w:rPr>
        <w:t>签订日期：</w:t>
      </w:r>
      <w:r>
        <w:rPr>
          <w:rFonts w:hint="eastAsia" w:ascii="宋体" w:hAnsi="宋体" w:cs="宋体"/>
          <w:sz w:val="24"/>
          <w:szCs w:val="24"/>
          <w:u w:val="single"/>
        </w:rPr>
        <w:t xml:space="preserve">               </w:t>
      </w:r>
      <w:r>
        <w:rPr>
          <w:rFonts w:hint="eastAsia" w:ascii="宋体" w:hAnsi="宋体" w:cs="宋体"/>
          <w:sz w:val="24"/>
          <w:szCs w:val="24"/>
        </w:rPr>
        <w:t>年</w:t>
      </w:r>
      <w:r>
        <w:rPr>
          <w:rFonts w:hint="eastAsia" w:ascii="宋体" w:hAnsi="宋体" w:cs="宋体"/>
          <w:sz w:val="24"/>
          <w:szCs w:val="24"/>
          <w:u w:val="single"/>
        </w:rPr>
        <w:t xml:space="preserve">       </w:t>
      </w:r>
      <w:r>
        <w:rPr>
          <w:rFonts w:hint="eastAsia" w:ascii="宋体" w:hAnsi="宋体" w:cs="宋体"/>
          <w:sz w:val="24"/>
          <w:szCs w:val="24"/>
        </w:rPr>
        <w:t>月</w:t>
      </w:r>
      <w:r>
        <w:rPr>
          <w:rFonts w:hint="eastAsia" w:ascii="宋体" w:hAnsi="宋体" w:cs="宋体"/>
          <w:sz w:val="24"/>
          <w:szCs w:val="24"/>
          <w:u w:val="single"/>
        </w:rPr>
        <w:t xml:space="preserve">       </w:t>
      </w:r>
      <w:r>
        <w:rPr>
          <w:rFonts w:hint="eastAsia" w:ascii="宋体" w:hAnsi="宋体" w:cs="宋体"/>
          <w:sz w:val="24"/>
          <w:szCs w:val="24"/>
        </w:rPr>
        <w:t>日</w:t>
      </w:r>
    </w:p>
    <w:p w14:paraId="03AD12B4">
      <w:pPr>
        <w:widowControl/>
        <w:jc w:val="left"/>
        <w:rPr>
          <w:rFonts w:ascii="宋体" w:hAnsi="宋体" w:cs="宋体"/>
          <w:sz w:val="24"/>
          <w:szCs w:val="24"/>
        </w:rPr>
        <w:sectPr>
          <w:footerReference r:id="rId4" w:type="first"/>
          <w:footerReference r:id="rId3" w:type="default"/>
          <w:pgSz w:w="11907" w:h="16840"/>
          <w:pgMar w:top="1440" w:right="1270" w:bottom="1440" w:left="1270" w:header="851" w:footer="851" w:gutter="0"/>
          <w:pgNumType w:start="1"/>
          <w:cols w:space="720" w:num="1"/>
          <w:titlePg/>
          <w:docGrid w:linePitch="360" w:charSpace="0"/>
        </w:sectPr>
      </w:pPr>
    </w:p>
    <w:p w14:paraId="5AACDE4D">
      <w:pPr>
        <w:spacing w:line="560" w:lineRule="exact"/>
        <w:ind w:firstLine="480"/>
        <w:rPr>
          <w:rFonts w:ascii="宋体" w:hAnsi="宋体" w:cs="宋体"/>
          <w:sz w:val="24"/>
          <w:szCs w:val="24"/>
        </w:rPr>
      </w:pPr>
      <w:r>
        <w:rPr>
          <w:rFonts w:hint="eastAsia" w:ascii="宋体" w:hAnsi="宋体" w:cs="宋体"/>
          <w:sz w:val="24"/>
          <w:szCs w:val="24"/>
          <w:lang w:val="zh-CN"/>
        </w:rPr>
        <w:t>根据《中华人民共和国民法典》《中华人民共和国政府采购法》等相关法律法规之规定和</w:t>
      </w:r>
      <w:r>
        <w:rPr>
          <w:rFonts w:hint="eastAsia" w:ascii="宋体" w:hAnsi="宋体"/>
          <w:sz w:val="24"/>
          <w:szCs w:val="24"/>
        </w:rPr>
        <w:t>XXXXXX（项目编号）的招标结果，</w:t>
      </w:r>
      <w:r>
        <w:rPr>
          <w:rFonts w:hint="eastAsia" w:ascii="宋体" w:hAnsi="宋体" w:cs="宋体"/>
          <w:sz w:val="24"/>
          <w:szCs w:val="24"/>
          <w:lang w:val="zh-CN"/>
        </w:rPr>
        <w:t>按照平等、自愿、公平、诚实信用和绿色的原则，经甲方和乙方协商一致，约定以下合同</w:t>
      </w:r>
      <w:r>
        <w:rPr>
          <w:rFonts w:hint="eastAsia" w:ascii="宋体" w:hAnsi="宋体" w:cs="宋体"/>
          <w:sz w:val="24"/>
          <w:szCs w:val="24"/>
        </w:rPr>
        <w:t>条款，以兹共同遵守、全面履行。</w:t>
      </w:r>
    </w:p>
    <w:p w14:paraId="551476AA">
      <w:pPr>
        <w:spacing w:line="560" w:lineRule="exact"/>
        <w:ind w:firstLine="482"/>
        <w:outlineLvl w:val="0"/>
        <w:rPr>
          <w:rFonts w:ascii="宋体" w:hAnsi="宋体" w:cs="宋体"/>
          <w:b/>
          <w:sz w:val="24"/>
          <w:szCs w:val="24"/>
        </w:rPr>
      </w:pPr>
      <w:bookmarkStart w:id="74" w:name="_Hlk132882891"/>
      <w:bookmarkStart w:id="75" w:name="_Toc24059"/>
      <w:bookmarkStart w:id="76" w:name="_Toc3029"/>
      <w:bookmarkStart w:id="77" w:name="_Toc2232"/>
      <w:r>
        <w:rPr>
          <w:rFonts w:hint="eastAsia" w:ascii="宋体" w:hAnsi="宋体" w:cs="宋体"/>
          <w:b/>
          <w:sz w:val="24"/>
          <w:szCs w:val="24"/>
        </w:rPr>
        <w:t>一</w:t>
      </w:r>
      <w:bookmarkEnd w:id="74"/>
      <w:r>
        <w:rPr>
          <w:rFonts w:hint="eastAsia" w:ascii="宋体" w:hAnsi="宋体" w:cs="宋体"/>
          <w:b/>
          <w:sz w:val="24"/>
          <w:szCs w:val="24"/>
        </w:rPr>
        <w:t>.1 合同组成部分</w:t>
      </w:r>
      <w:bookmarkEnd w:id="75"/>
      <w:bookmarkEnd w:id="76"/>
      <w:bookmarkEnd w:id="77"/>
    </w:p>
    <w:p w14:paraId="40464BDF">
      <w:pPr>
        <w:spacing w:line="560" w:lineRule="exact"/>
        <w:ind w:firstLine="480"/>
        <w:rPr>
          <w:rFonts w:ascii="宋体" w:hAnsi="宋体" w:cs="宋体"/>
          <w:sz w:val="24"/>
          <w:szCs w:val="24"/>
        </w:rPr>
      </w:pPr>
      <w:r>
        <w:rPr>
          <w:rFonts w:hint="eastAsia" w:ascii="宋体" w:hAnsi="宋体" w:cs="宋体"/>
          <w:sz w:val="24"/>
          <w:szCs w:val="24"/>
        </w:rPr>
        <w:t>下列文件为本合同的组成部分，并构成一个整体，需综合解释、相互补充。如果下列文件内容出现不一致的情形，那么在保证按照采购文件确定的事项的前提下，组成本合同的多个文件的优先适用顺序如下：</w:t>
      </w:r>
    </w:p>
    <w:p w14:paraId="3DF33DC9">
      <w:pPr>
        <w:spacing w:line="560" w:lineRule="exact"/>
        <w:ind w:firstLine="482"/>
        <w:rPr>
          <w:rFonts w:ascii="宋体" w:hAnsi="宋体" w:cs="宋体"/>
          <w:sz w:val="24"/>
          <w:szCs w:val="24"/>
        </w:rPr>
      </w:pPr>
      <w:r>
        <w:rPr>
          <w:rFonts w:hint="eastAsia" w:ascii="宋体" w:hAnsi="宋体" w:cs="宋体"/>
          <w:b/>
          <w:sz w:val="24"/>
          <w:szCs w:val="24"/>
        </w:rPr>
        <w:t>1</w:t>
      </w:r>
      <w:r>
        <w:rPr>
          <w:rFonts w:hint="eastAsia" w:ascii="宋体" w:hAnsi="宋体" w:cs="宋体"/>
          <w:sz w:val="24"/>
          <w:szCs w:val="24"/>
        </w:rPr>
        <w:t>.1.1 本合同第一部分、第二部分、第三部分及其补充合同、变更协议；</w:t>
      </w:r>
    </w:p>
    <w:p w14:paraId="768DB9EF">
      <w:pPr>
        <w:spacing w:line="560" w:lineRule="exact"/>
        <w:ind w:firstLine="482"/>
        <w:rPr>
          <w:rFonts w:ascii="宋体" w:hAnsi="宋体" w:cs="宋体"/>
          <w:sz w:val="24"/>
          <w:szCs w:val="24"/>
        </w:rPr>
      </w:pPr>
      <w:r>
        <w:rPr>
          <w:rFonts w:hint="eastAsia" w:ascii="宋体" w:hAnsi="宋体" w:cs="宋体"/>
          <w:b/>
          <w:sz w:val="24"/>
          <w:szCs w:val="24"/>
        </w:rPr>
        <w:t>1</w:t>
      </w:r>
      <w:r>
        <w:rPr>
          <w:rFonts w:hint="eastAsia" w:ascii="宋体" w:hAnsi="宋体" w:cs="宋体"/>
          <w:sz w:val="24"/>
          <w:szCs w:val="24"/>
        </w:rPr>
        <w:t>.1.2 中标或者成交通知书；</w:t>
      </w:r>
    </w:p>
    <w:p w14:paraId="39E80154">
      <w:pPr>
        <w:spacing w:line="560" w:lineRule="exact"/>
        <w:ind w:firstLine="482"/>
        <w:rPr>
          <w:rFonts w:ascii="宋体" w:hAnsi="宋体" w:cs="宋体"/>
          <w:sz w:val="24"/>
          <w:szCs w:val="24"/>
        </w:rPr>
      </w:pPr>
      <w:r>
        <w:rPr>
          <w:rFonts w:hint="eastAsia" w:ascii="宋体" w:hAnsi="宋体" w:cs="宋体"/>
          <w:b/>
          <w:sz w:val="24"/>
          <w:szCs w:val="24"/>
        </w:rPr>
        <w:t>1</w:t>
      </w:r>
      <w:r>
        <w:rPr>
          <w:rFonts w:hint="eastAsia" w:ascii="宋体" w:hAnsi="宋体" w:cs="宋体"/>
          <w:sz w:val="24"/>
          <w:szCs w:val="24"/>
        </w:rPr>
        <w:t>.1.3 投标或者响应文件（含澄清或者说明文件）；</w:t>
      </w:r>
    </w:p>
    <w:p w14:paraId="4BF974AE">
      <w:pPr>
        <w:spacing w:line="560" w:lineRule="exact"/>
        <w:ind w:firstLine="482"/>
        <w:rPr>
          <w:rFonts w:ascii="宋体" w:hAnsi="宋体" w:cs="宋体"/>
          <w:sz w:val="24"/>
          <w:szCs w:val="24"/>
        </w:rPr>
      </w:pPr>
      <w:r>
        <w:rPr>
          <w:rFonts w:hint="eastAsia" w:ascii="宋体" w:hAnsi="宋体" w:cs="宋体"/>
          <w:b/>
          <w:sz w:val="24"/>
          <w:szCs w:val="24"/>
        </w:rPr>
        <w:t>1</w:t>
      </w:r>
      <w:r>
        <w:rPr>
          <w:rFonts w:hint="eastAsia" w:ascii="宋体" w:hAnsi="宋体" w:cs="宋体"/>
          <w:sz w:val="24"/>
          <w:szCs w:val="24"/>
        </w:rPr>
        <w:t>.1.4 采购文件（含澄清或者修改文件）；</w:t>
      </w:r>
    </w:p>
    <w:p w14:paraId="69149525">
      <w:pPr>
        <w:spacing w:line="560" w:lineRule="exact"/>
        <w:ind w:firstLine="482"/>
        <w:rPr>
          <w:rFonts w:ascii="宋体" w:hAnsi="宋体" w:cs="宋体"/>
          <w:sz w:val="24"/>
          <w:szCs w:val="24"/>
        </w:rPr>
      </w:pPr>
      <w:r>
        <w:rPr>
          <w:rFonts w:hint="eastAsia" w:ascii="宋体" w:hAnsi="宋体" w:cs="宋体"/>
          <w:b/>
          <w:sz w:val="24"/>
          <w:szCs w:val="24"/>
        </w:rPr>
        <w:t>1</w:t>
      </w:r>
      <w:r>
        <w:rPr>
          <w:rFonts w:hint="eastAsia" w:ascii="宋体" w:hAnsi="宋体" w:cs="宋体"/>
          <w:sz w:val="24"/>
          <w:szCs w:val="24"/>
        </w:rPr>
        <w:t>.1.5 其他相关采购文件。</w:t>
      </w:r>
    </w:p>
    <w:p w14:paraId="169B30C9">
      <w:pPr>
        <w:spacing w:line="560" w:lineRule="exact"/>
        <w:ind w:firstLine="482"/>
        <w:outlineLvl w:val="0"/>
        <w:rPr>
          <w:rFonts w:ascii="宋体" w:hAnsi="宋体" w:cs="宋体"/>
          <w:b/>
          <w:sz w:val="24"/>
          <w:szCs w:val="24"/>
        </w:rPr>
      </w:pPr>
      <w:bookmarkStart w:id="78" w:name="_Toc24300"/>
      <w:bookmarkStart w:id="79" w:name="_Toc27126"/>
      <w:bookmarkStart w:id="80" w:name="_Toc21295"/>
      <w:r>
        <w:rPr>
          <w:rFonts w:hint="eastAsia" w:ascii="宋体" w:hAnsi="宋体" w:cs="宋体"/>
          <w:b/>
          <w:sz w:val="24"/>
          <w:szCs w:val="24"/>
        </w:rPr>
        <w:t>1.2 货物</w:t>
      </w:r>
      <w:bookmarkEnd w:id="78"/>
      <w:bookmarkEnd w:id="79"/>
      <w:bookmarkEnd w:id="80"/>
      <w:r>
        <w:rPr>
          <w:rFonts w:hint="eastAsia" w:ascii="宋体" w:hAnsi="宋体" w:cs="宋体"/>
          <w:b/>
          <w:i/>
          <w:iCs/>
          <w:sz w:val="24"/>
          <w:szCs w:val="24"/>
        </w:rPr>
        <w:t>（可附货物清单）</w:t>
      </w:r>
    </w:p>
    <w:p w14:paraId="17E70EFD">
      <w:pPr>
        <w:spacing w:line="560" w:lineRule="exact"/>
        <w:ind w:firstLine="482"/>
        <w:rPr>
          <w:rFonts w:ascii="宋体" w:hAnsi="宋体" w:cs="宋体"/>
          <w:sz w:val="24"/>
          <w:szCs w:val="24"/>
          <w:u w:val="single"/>
        </w:rPr>
      </w:pPr>
      <w:r>
        <w:rPr>
          <w:rFonts w:hint="eastAsia" w:ascii="宋体" w:hAnsi="宋体" w:cs="宋体"/>
          <w:b/>
          <w:sz w:val="24"/>
          <w:szCs w:val="24"/>
        </w:rPr>
        <w:t>1</w:t>
      </w:r>
      <w:r>
        <w:rPr>
          <w:rFonts w:hint="eastAsia" w:ascii="宋体" w:hAnsi="宋体" w:cs="宋体"/>
          <w:sz w:val="24"/>
          <w:szCs w:val="24"/>
        </w:rPr>
        <w:t>.2.1 货物名称、品牌、规格型号等：</w:t>
      </w:r>
      <w:r>
        <w:rPr>
          <w:rFonts w:hint="eastAsia" w:ascii="宋体" w:hAnsi="宋体" w:cs="宋体"/>
          <w:sz w:val="24"/>
          <w:szCs w:val="24"/>
          <w:u w:val="single"/>
        </w:rPr>
        <w:t xml:space="preserve">                             </w:t>
      </w:r>
      <w:r>
        <w:rPr>
          <w:rFonts w:hint="eastAsia" w:ascii="宋体" w:hAnsi="宋体" w:cs="宋体"/>
          <w:sz w:val="24"/>
          <w:szCs w:val="24"/>
        </w:rPr>
        <w:t>；</w:t>
      </w:r>
    </w:p>
    <w:p w14:paraId="61EE5FA5">
      <w:pPr>
        <w:spacing w:line="560" w:lineRule="exact"/>
        <w:ind w:firstLine="482"/>
        <w:rPr>
          <w:rFonts w:ascii="宋体" w:hAnsi="宋体" w:cs="宋体"/>
          <w:sz w:val="24"/>
          <w:szCs w:val="24"/>
          <w:u w:val="single"/>
        </w:rPr>
      </w:pPr>
      <w:r>
        <w:rPr>
          <w:rFonts w:hint="eastAsia" w:ascii="宋体" w:hAnsi="宋体" w:cs="宋体"/>
          <w:b/>
          <w:sz w:val="24"/>
          <w:szCs w:val="24"/>
        </w:rPr>
        <w:t>1</w:t>
      </w:r>
      <w:r>
        <w:rPr>
          <w:rFonts w:hint="eastAsia" w:ascii="宋体" w:hAnsi="宋体" w:cs="宋体"/>
          <w:sz w:val="24"/>
          <w:szCs w:val="24"/>
        </w:rPr>
        <w:t>.2.2 货物数量：</w:t>
      </w:r>
      <w:r>
        <w:rPr>
          <w:rFonts w:hint="eastAsia" w:ascii="宋体" w:hAnsi="宋体" w:cs="宋体"/>
          <w:sz w:val="24"/>
          <w:szCs w:val="24"/>
          <w:u w:val="single"/>
        </w:rPr>
        <w:t xml:space="preserve">                                                </w:t>
      </w:r>
      <w:r>
        <w:rPr>
          <w:rFonts w:hint="eastAsia" w:ascii="宋体" w:hAnsi="宋体" w:cs="宋体"/>
          <w:sz w:val="24"/>
          <w:szCs w:val="24"/>
        </w:rPr>
        <w:t>；</w:t>
      </w:r>
    </w:p>
    <w:p w14:paraId="57603040">
      <w:pPr>
        <w:spacing w:line="560" w:lineRule="exact"/>
        <w:ind w:firstLine="482"/>
        <w:rPr>
          <w:rFonts w:ascii="宋体" w:hAnsi="宋体" w:cs="宋体"/>
          <w:sz w:val="24"/>
          <w:szCs w:val="24"/>
          <w:u w:val="single"/>
        </w:rPr>
      </w:pPr>
      <w:r>
        <w:rPr>
          <w:rFonts w:hint="eastAsia" w:ascii="宋体" w:hAnsi="宋体" w:cs="宋体"/>
          <w:b/>
          <w:sz w:val="24"/>
          <w:szCs w:val="24"/>
        </w:rPr>
        <w:t>1</w:t>
      </w:r>
      <w:r>
        <w:rPr>
          <w:rFonts w:hint="eastAsia" w:ascii="宋体" w:hAnsi="宋体" w:cs="宋体"/>
          <w:sz w:val="24"/>
          <w:szCs w:val="24"/>
        </w:rPr>
        <w:t>.2.3 货物质量：</w:t>
      </w:r>
      <w:r>
        <w:rPr>
          <w:rFonts w:hint="eastAsia" w:ascii="宋体" w:hAnsi="宋体" w:cs="宋体"/>
          <w:sz w:val="24"/>
          <w:szCs w:val="24"/>
          <w:u w:val="single"/>
        </w:rPr>
        <w:t>　　　　　　　　　                      　      ；</w:t>
      </w:r>
    </w:p>
    <w:p w14:paraId="5CB5FC6C">
      <w:pPr>
        <w:spacing w:line="560" w:lineRule="exact"/>
        <w:ind w:firstLine="480"/>
        <w:rPr>
          <w:rFonts w:ascii="宋体" w:hAnsi="宋体" w:cs="宋体"/>
          <w:i/>
          <w:iCs/>
          <w:sz w:val="24"/>
          <w:szCs w:val="24"/>
          <w:u w:val="single"/>
        </w:rPr>
      </w:pPr>
      <w:r>
        <w:rPr>
          <w:rFonts w:hint="eastAsia" w:ascii="宋体" w:hAnsi="宋体"/>
          <w:i/>
          <w:iCs/>
          <w:sz w:val="24"/>
          <w:szCs w:val="24"/>
        </w:rPr>
        <w:t>1.</w:t>
      </w:r>
      <w:r>
        <w:rPr>
          <w:rFonts w:ascii="宋体" w:hAnsi="宋体"/>
          <w:i/>
          <w:iCs/>
          <w:sz w:val="24"/>
          <w:szCs w:val="24"/>
        </w:rPr>
        <w:t>2.4</w:t>
      </w:r>
      <w:r>
        <w:rPr>
          <w:rFonts w:hint="eastAsia" w:ascii="宋体" w:hAnsi="宋体"/>
          <w:i/>
          <w:iCs/>
          <w:sz w:val="24"/>
          <w:szCs w:val="24"/>
        </w:rPr>
        <w:t xml:space="preserve"> 详细货物清单可在合同专用条款中列出</w:t>
      </w:r>
    </w:p>
    <w:p w14:paraId="447C66D8">
      <w:pPr>
        <w:spacing w:line="560" w:lineRule="exact"/>
        <w:ind w:firstLine="482"/>
        <w:outlineLvl w:val="0"/>
        <w:rPr>
          <w:rFonts w:ascii="宋体" w:hAnsi="宋体" w:cs="宋体"/>
          <w:b/>
          <w:sz w:val="24"/>
          <w:szCs w:val="24"/>
        </w:rPr>
      </w:pPr>
      <w:bookmarkStart w:id="81" w:name="_Toc21551"/>
      <w:bookmarkStart w:id="82" w:name="_Toc23292"/>
      <w:bookmarkStart w:id="83" w:name="_Toc21631"/>
      <w:r>
        <w:rPr>
          <w:rFonts w:hint="eastAsia" w:ascii="宋体" w:hAnsi="宋体" w:cs="宋体"/>
          <w:b/>
          <w:sz w:val="24"/>
          <w:szCs w:val="24"/>
        </w:rPr>
        <w:t>1.</w:t>
      </w:r>
      <w:r>
        <w:rPr>
          <w:rFonts w:ascii="宋体" w:hAnsi="宋体" w:cs="宋体"/>
          <w:b/>
          <w:sz w:val="24"/>
          <w:szCs w:val="24"/>
        </w:rPr>
        <w:t>3</w:t>
      </w:r>
      <w:r>
        <w:rPr>
          <w:rFonts w:hint="eastAsia" w:ascii="宋体" w:hAnsi="宋体" w:cs="宋体"/>
          <w:b/>
          <w:sz w:val="24"/>
          <w:szCs w:val="24"/>
        </w:rPr>
        <w:t xml:space="preserve"> 服务</w:t>
      </w:r>
      <w:r>
        <w:rPr>
          <w:rFonts w:hint="eastAsia" w:ascii="宋体" w:hAnsi="宋体" w:cs="宋体"/>
          <w:b/>
          <w:i/>
          <w:iCs/>
          <w:sz w:val="24"/>
          <w:szCs w:val="24"/>
        </w:rPr>
        <w:t>（可附服务清单）</w:t>
      </w:r>
    </w:p>
    <w:p w14:paraId="1504FD74">
      <w:pPr>
        <w:spacing w:line="560" w:lineRule="exact"/>
        <w:ind w:firstLine="480"/>
        <w:rPr>
          <w:rFonts w:ascii="宋体" w:hAnsi="宋体"/>
          <w:sz w:val="24"/>
          <w:szCs w:val="24"/>
          <w:u w:val="single"/>
        </w:rPr>
      </w:pPr>
      <w:r>
        <w:rPr>
          <w:rFonts w:ascii="宋体" w:hAnsi="宋体"/>
          <w:sz w:val="24"/>
          <w:szCs w:val="24"/>
        </w:rPr>
        <w:t xml:space="preserve">1.3.1 </w:t>
      </w:r>
      <w:r>
        <w:rPr>
          <w:rFonts w:hint="eastAsia" w:ascii="宋体" w:hAnsi="宋体"/>
          <w:sz w:val="24"/>
          <w:szCs w:val="24"/>
        </w:rPr>
        <w:t>服务内容</w:t>
      </w:r>
      <w:r>
        <w:rPr>
          <w:rFonts w:ascii="宋体" w:hAnsi="宋体"/>
          <w:sz w:val="24"/>
          <w:szCs w:val="24"/>
        </w:rPr>
        <w:t>：</w:t>
      </w:r>
      <w:r>
        <w:rPr>
          <w:rFonts w:ascii="宋体" w:hAnsi="宋体"/>
          <w:sz w:val="24"/>
          <w:szCs w:val="24"/>
          <w:u w:val="single"/>
        </w:rPr>
        <w:t xml:space="preserve">                                        </w:t>
      </w:r>
      <w:r>
        <w:rPr>
          <w:rFonts w:hint="eastAsia" w:ascii="宋体" w:hAnsi="宋体"/>
          <w:sz w:val="24"/>
          <w:szCs w:val="24"/>
        </w:rPr>
        <w:t>；</w:t>
      </w:r>
    </w:p>
    <w:p w14:paraId="6FAAD3CF">
      <w:pPr>
        <w:spacing w:line="560" w:lineRule="exact"/>
        <w:ind w:firstLine="480"/>
        <w:rPr>
          <w:rFonts w:ascii="宋体" w:hAnsi="宋体"/>
          <w:sz w:val="24"/>
          <w:szCs w:val="24"/>
          <w:u w:val="single"/>
        </w:rPr>
      </w:pPr>
      <w:r>
        <w:rPr>
          <w:rFonts w:ascii="宋体" w:hAnsi="宋体"/>
          <w:sz w:val="24"/>
          <w:szCs w:val="24"/>
        </w:rPr>
        <w:t xml:space="preserve">1.3.2 </w:t>
      </w:r>
      <w:r>
        <w:rPr>
          <w:rFonts w:hint="eastAsia" w:ascii="宋体" w:hAnsi="宋体"/>
          <w:sz w:val="24"/>
          <w:szCs w:val="24"/>
        </w:rPr>
        <w:t>服务标准</w:t>
      </w:r>
      <w:r>
        <w:rPr>
          <w:rFonts w:ascii="宋体" w:hAnsi="宋体"/>
          <w:sz w:val="24"/>
          <w:szCs w:val="24"/>
        </w:rPr>
        <w:t>：</w:t>
      </w:r>
      <w:r>
        <w:rPr>
          <w:rFonts w:ascii="宋体" w:hAnsi="宋体"/>
          <w:sz w:val="24"/>
          <w:szCs w:val="24"/>
          <w:u w:val="single"/>
        </w:rPr>
        <w:t xml:space="preserve">                                                </w:t>
      </w:r>
      <w:r>
        <w:rPr>
          <w:rFonts w:hint="eastAsia" w:ascii="宋体" w:hAnsi="宋体"/>
          <w:sz w:val="24"/>
          <w:szCs w:val="24"/>
        </w:rPr>
        <w:t>；</w:t>
      </w:r>
    </w:p>
    <w:p w14:paraId="1FCD86D8">
      <w:pPr>
        <w:spacing w:line="560" w:lineRule="exact"/>
        <w:ind w:firstLine="480"/>
        <w:rPr>
          <w:rFonts w:ascii="宋体" w:hAnsi="宋体"/>
          <w:sz w:val="24"/>
          <w:szCs w:val="24"/>
          <w:u w:val="single"/>
        </w:rPr>
      </w:pPr>
      <w:r>
        <w:rPr>
          <w:rFonts w:ascii="宋体" w:hAnsi="宋体"/>
          <w:sz w:val="24"/>
          <w:szCs w:val="24"/>
        </w:rPr>
        <w:t xml:space="preserve">1.3.3 </w:t>
      </w:r>
      <w:r>
        <w:rPr>
          <w:rFonts w:hint="eastAsia" w:ascii="宋体" w:hAnsi="宋体"/>
          <w:sz w:val="24"/>
          <w:szCs w:val="24"/>
        </w:rPr>
        <w:t>技术保障：</w:t>
      </w:r>
      <w:r>
        <w:rPr>
          <w:rFonts w:ascii="宋体" w:hAnsi="宋体"/>
          <w:sz w:val="24"/>
          <w:szCs w:val="24"/>
          <w:u w:val="single"/>
        </w:rPr>
        <w:t xml:space="preserve">　　　　　　　　　                      　      </w:t>
      </w:r>
      <w:r>
        <w:rPr>
          <w:rFonts w:hint="eastAsia" w:ascii="宋体" w:hAnsi="宋体"/>
          <w:sz w:val="24"/>
          <w:szCs w:val="24"/>
          <w:u w:val="single"/>
        </w:rPr>
        <w:t>；</w:t>
      </w:r>
    </w:p>
    <w:p w14:paraId="0DD14AD7">
      <w:pPr>
        <w:spacing w:line="560" w:lineRule="exact"/>
        <w:ind w:firstLine="480"/>
        <w:jc w:val="left"/>
        <w:rPr>
          <w:rFonts w:ascii="宋体" w:hAnsi="宋体"/>
          <w:sz w:val="24"/>
          <w:szCs w:val="24"/>
          <w:u w:val="single"/>
        </w:rPr>
      </w:pPr>
      <w:r>
        <w:rPr>
          <w:rFonts w:hint="eastAsia" w:ascii="宋体" w:hAnsi="宋体"/>
          <w:sz w:val="24"/>
          <w:szCs w:val="24"/>
        </w:rPr>
        <w:t>1.</w:t>
      </w:r>
      <w:r>
        <w:rPr>
          <w:rFonts w:ascii="宋体" w:hAnsi="宋体"/>
          <w:sz w:val="24"/>
          <w:szCs w:val="24"/>
        </w:rPr>
        <w:t>3</w:t>
      </w:r>
      <w:r>
        <w:rPr>
          <w:rFonts w:hint="eastAsia" w:ascii="宋体" w:hAnsi="宋体"/>
          <w:sz w:val="24"/>
          <w:szCs w:val="24"/>
        </w:rPr>
        <w:t>.4 服务人员组成：</w:t>
      </w:r>
      <w:r>
        <w:rPr>
          <w:rFonts w:ascii="宋体" w:hAnsi="宋体"/>
          <w:sz w:val="24"/>
          <w:szCs w:val="24"/>
          <w:u w:val="single"/>
        </w:rPr>
        <w:t xml:space="preserve">　　             　      </w:t>
      </w:r>
      <w:r>
        <w:rPr>
          <w:rFonts w:hint="eastAsia" w:ascii="宋体" w:hAnsi="宋体"/>
          <w:sz w:val="24"/>
          <w:szCs w:val="24"/>
        </w:rPr>
        <w:t>；</w:t>
      </w:r>
      <w:r>
        <w:rPr>
          <w:rFonts w:hint="eastAsia" w:ascii="宋体" w:hAnsi="宋体"/>
          <w:i/>
          <w:iCs/>
          <w:sz w:val="24"/>
          <w:szCs w:val="24"/>
          <w:u w:val="single"/>
        </w:rPr>
        <w:t>（投标文件中按要求提供了服务人员姓名的，需填写具体服务人员姓名作为履约验收条件）</w:t>
      </w:r>
    </w:p>
    <w:p w14:paraId="5476A818">
      <w:pPr>
        <w:spacing w:line="560" w:lineRule="exact"/>
        <w:ind w:firstLine="480"/>
        <w:jc w:val="left"/>
        <w:rPr>
          <w:rFonts w:ascii="宋体" w:hAnsi="宋体"/>
          <w:i/>
          <w:iCs/>
          <w:sz w:val="24"/>
          <w:szCs w:val="24"/>
          <w:u w:val="single"/>
        </w:rPr>
      </w:pPr>
      <w:bookmarkStart w:id="84" w:name="_Hlk134193344"/>
      <w:r>
        <w:rPr>
          <w:rFonts w:hint="eastAsia" w:ascii="宋体" w:hAnsi="宋体"/>
          <w:i/>
          <w:iCs/>
          <w:sz w:val="24"/>
          <w:szCs w:val="24"/>
          <w:u w:val="single"/>
        </w:rPr>
        <w:t>提醒：详细服务要求可在合同专用条</w:t>
      </w:r>
      <w:bookmarkEnd w:id="84"/>
      <w:r>
        <w:rPr>
          <w:rFonts w:hint="eastAsia" w:ascii="宋体" w:hAnsi="宋体"/>
          <w:i/>
          <w:iCs/>
          <w:sz w:val="24"/>
          <w:szCs w:val="24"/>
          <w:u w:val="single"/>
        </w:rPr>
        <w:t>款中列出</w:t>
      </w:r>
    </w:p>
    <w:p w14:paraId="2FD24834">
      <w:pPr>
        <w:spacing w:line="560" w:lineRule="exact"/>
        <w:ind w:firstLine="482"/>
        <w:outlineLvl w:val="0"/>
        <w:rPr>
          <w:rFonts w:ascii="宋体" w:hAnsi="宋体" w:cs="宋体"/>
          <w:b/>
          <w:sz w:val="24"/>
          <w:szCs w:val="24"/>
        </w:rPr>
      </w:pPr>
      <w:r>
        <w:rPr>
          <w:rFonts w:hint="eastAsia" w:ascii="宋体" w:hAnsi="宋体" w:cs="宋体"/>
          <w:b/>
          <w:sz w:val="24"/>
          <w:szCs w:val="24"/>
        </w:rPr>
        <w:t>1.</w:t>
      </w:r>
      <w:r>
        <w:rPr>
          <w:rFonts w:ascii="宋体" w:hAnsi="宋体" w:cs="宋体"/>
          <w:b/>
          <w:sz w:val="24"/>
          <w:szCs w:val="24"/>
        </w:rPr>
        <w:t>4</w:t>
      </w:r>
      <w:r>
        <w:rPr>
          <w:rFonts w:hint="eastAsia" w:ascii="宋体" w:hAnsi="宋体" w:cs="宋体"/>
          <w:b/>
          <w:sz w:val="24"/>
          <w:szCs w:val="24"/>
        </w:rPr>
        <w:t xml:space="preserve"> </w:t>
      </w:r>
      <w:bookmarkEnd w:id="81"/>
      <w:bookmarkEnd w:id="82"/>
      <w:bookmarkEnd w:id="83"/>
      <w:r>
        <w:rPr>
          <w:rFonts w:hint="eastAsia" w:ascii="宋体" w:hAnsi="宋体" w:cs="宋体"/>
          <w:b/>
          <w:sz w:val="24"/>
          <w:szCs w:val="24"/>
        </w:rPr>
        <w:t>合同金额</w:t>
      </w:r>
    </w:p>
    <w:p w14:paraId="76271B26">
      <w:pPr>
        <w:spacing w:line="560" w:lineRule="exact"/>
        <w:ind w:firstLine="480"/>
        <w:rPr>
          <w:rFonts w:ascii="宋体" w:hAnsi="宋体"/>
          <w:sz w:val="24"/>
          <w:szCs w:val="24"/>
        </w:rPr>
      </w:pPr>
      <w:r>
        <w:rPr>
          <w:rFonts w:hint="eastAsia" w:ascii="宋体" w:hAnsi="宋体" w:cs="宋体"/>
          <w:sz w:val="24"/>
          <w:szCs w:val="24"/>
        </w:rPr>
        <w:t>合同金额包括提供招标范围内确定的采购内容、税金及合同包含的所有风险、责任等各项应有费用。同时，除非合同条款中另有规定，合同总金额在合同履行期间不因市场变化因素而变动。本项目采用以下第</w:t>
      </w:r>
      <w:r>
        <w:rPr>
          <w:rFonts w:hint="eastAsia" w:ascii="宋体" w:hAnsi="宋体" w:cs="宋体"/>
          <w:sz w:val="24"/>
          <w:szCs w:val="24"/>
          <w:u w:val="single"/>
        </w:rPr>
        <w:t xml:space="preserve">     </w:t>
      </w:r>
      <w:r>
        <w:rPr>
          <w:rFonts w:hint="eastAsia" w:ascii="宋体" w:hAnsi="宋体" w:cs="宋体"/>
          <w:sz w:val="24"/>
          <w:szCs w:val="24"/>
        </w:rPr>
        <w:t>条款规定的计价方式计价。</w:t>
      </w:r>
    </w:p>
    <w:p w14:paraId="5EB85D21">
      <w:pPr>
        <w:spacing w:line="560" w:lineRule="exact"/>
        <w:ind w:firstLine="480"/>
        <w:rPr>
          <w:rFonts w:ascii="宋体" w:hAnsi="宋体" w:cs="宋体"/>
          <w:sz w:val="24"/>
          <w:szCs w:val="24"/>
        </w:rPr>
      </w:pPr>
      <w:r>
        <w:rPr>
          <w:rFonts w:hint="eastAsia" w:ascii="宋体" w:hAnsi="宋体"/>
          <w:sz w:val="24"/>
          <w:szCs w:val="24"/>
        </w:rPr>
        <w:t>1.</w:t>
      </w:r>
      <w:r>
        <w:rPr>
          <w:rFonts w:ascii="宋体" w:hAnsi="宋体"/>
          <w:sz w:val="24"/>
          <w:szCs w:val="24"/>
        </w:rPr>
        <w:t>4</w:t>
      </w:r>
      <w:r>
        <w:rPr>
          <w:rFonts w:hint="eastAsia" w:ascii="宋体" w:hAnsi="宋体"/>
          <w:sz w:val="24"/>
          <w:szCs w:val="24"/>
        </w:rPr>
        <w:t>.1总价合同。</w:t>
      </w:r>
      <w:r>
        <w:rPr>
          <w:rFonts w:hint="eastAsia" w:ascii="宋体" w:hAnsi="宋体" w:cs="宋体"/>
          <w:sz w:val="24"/>
          <w:szCs w:val="24"/>
        </w:rPr>
        <w:t>本合同总价（含税）为：￥</w:t>
      </w:r>
      <w:r>
        <w:rPr>
          <w:rFonts w:hint="eastAsia" w:ascii="宋体" w:hAnsi="宋体" w:cs="宋体"/>
          <w:sz w:val="24"/>
          <w:szCs w:val="24"/>
          <w:u w:val="single"/>
        </w:rPr>
        <w:t xml:space="preserve">           </w:t>
      </w:r>
      <w:r>
        <w:rPr>
          <w:rFonts w:hint="eastAsia" w:ascii="宋体" w:hAnsi="宋体" w:cs="宋体"/>
          <w:sz w:val="24"/>
          <w:szCs w:val="24"/>
        </w:rPr>
        <w:t>元（大写：</w:t>
      </w:r>
      <w:r>
        <w:rPr>
          <w:rFonts w:hint="eastAsia" w:ascii="宋体" w:hAnsi="宋体" w:cs="宋体"/>
          <w:sz w:val="24"/>
          <w:szCs w:val="24"/>
          <w:u w:val="single"/>
        </w:rPr>
        <w:t xml:space="preserve">                 </w:t>
      </w:r>
      <w:r>
        <w:rPr>
          <w:rFonts w:hint="eastAsia" w:ascii="宋体" w:hAnsi="宋体" w:cs="宋体"/>
          <w:sz w:val="24"/>
          <w:szCs w:val="24"/>
        </w:rPr>
        <w:t>元人民币）。</w:t>
      </w:r>
    </w:p>
    <w:p w14:paraId="45A78659">
      <w:pPr>
        <w:spacing w:line="560" w:lineRule="exact"/>
        <w:ind w:firstLine="480"/>
        <w:rPr>
          <w:rFonts w:ascii="宋体" w:hAnsi="宋体"/>
          <w:sz w:val="24"/>
          <w:szCs w:val="24"/>
        </w:rPr>
      </w:pPr>
      <w:bookmarkStart w:id="85" w:name="_Hlk134193576"/>
      <w:bookmarkStart w:id="86" w:name="_Toc14993"/>
      <w:bookmarkStart w:id="87" w:name="_Toc3654"/>
      <w:bookmarkStart w:id="88" w:name="_Toc30158"/>
      <w:bookmarkStart w:id="89" w:name="_Toc26916"/>
      <w:bookmarkStart w:id="90" w:name="_Toc30506"/>
      <w:bookmarkStart w:id="91" w:name="_Toc1814"/>
      <w:bookmarkStart w:id="92" w:name="_Toc22618"/>
      <w:bookmarkStart w:id="93" w:name="_Toc10340"/>
      <w:r>
        <w:rPr>
          <w:rFonts w:hint="eastAsia" w:ascii="宋体" w:hAnsi="宋体"/>
          <w:bCs/>
          <w:sz w:val="24"/>
          <w:szCs w:val="24"/>
        </w:rPr>
        <w:t>1.</w:t>
      </w:r>
      <w:r>
        <w:rPr>
          <w:rFonts w:ascii="宋体" w:hAnsi="宋体"/>
          <w:bCs/>
          <w:sz w:val="24"/>
          <w:szCs w:val="24"/>
        </w:rPr>
        <w:t>4</w:t>
      </w:r>
      <w:r>
        <w:rPr>
          <w:rFonts w:hint="eastAsia" w:ascii="宋体" w:hAnsi="宋体"/>
          <w:bCs/>
          <w:sz w:val="24"/>
          <w:szCs w:val="24"/>
        </w:rPr>
        <w:t>.2</w:t>
      </w:r>
      <w:bookmarkEnd w:id="85"/>
      <w:r>
        <w:rPr>
          <w:rFonts w:hint="eastAsia" w:ascii="宋体" w:hAnsi="宋体"/>
          <w:bCs/>
          <w:sz w:val="24"/>
          <w:szCs w:val="24"/>
        </w:rPr>
        <w:t>单价合同，本合同单价（含税）标准为：</w:t>
      </w:r>
      <w:r>
        <w:rPr>
          <w:rFonts w:hint="eastAsia" w:ascii="宋体" w:hAnsi="宋体"/>
          <w:bCs/>
          <w:sz w:val="24"/>
          <w:szCs w:val="24"/>
          <w:u w:val="single"/>
        </w:rPr>
        <w:t xml:space="preserve">                   </w:t>
      </w:r>
      <w:r>
        <w:rPr>
          <w:rFonts w:ascii="宋体" w:hAnsi="宋体"/>
          <w:sz w:val="24"/>
          <w:szCs w:val="24"/>
        </w:rPr>
        <w:t>。</w:t>
      </w:r>
      <w:r>
        <w:rPr>
          <w:rFonts w:hint="eastAsia" w:ascii="宋体" w:hAnsi="宋体"/>
          <w:sz w:val="24"/>
          <w:szCs w:val="24"/>
        </w:rPr>
        <w:t>计量方式为：</w:t>
      </w:r>
      <w:r>
        <w:rPr>
          <w:rFonts w:hint="eastAsia" w:ascii="宋体" w:hAnsi="宋体"/>
          <w:bCs/>
          <w:sz w:val="24"/>
          <w:szCs w:val="24"/>
          <w:u w:val="single"/>
        </w:rPr>
        <w:t xml:space="preserve">       </w:t>
      </w:r>
      <w:r>
        <w:rPr>
          <w:rFonts w:hint="eastAsia" w:ascii="宋体" w:hAnsi="宋体" w:cs="宋体"/>
          <w:b/>
          <w:iCs/>
          <w:sz w:val="24"/>
          <w:szCs w:val="24"/>
          <w:u w:val="single"/>
        </w:rPr>
        <w:t>合同专用条款</w:t>
      </w:r>
      <w:r>
        <w:rPr>
          <w:rFonts w:hint="eastAsia" w:ascii="宋体" w:hAnsi="宋体"/>
          <w:bCs/>
          <w:iCs/>
          <w:sz w:val="24"/>
          <w:szCs w:val="24"/>
          <w:u w:val="single"/>
        </w:rPr>
        <w:t xml:space="preserve"> 1.</w:t>
      </w:r>
      <w:r>
        <w:rPr>
          <w:rFonts w:ascii="宋体" w:hAnsi="宋体"/>
          <w:bCs/>
          <w:iCs/>
          <w:sz w:val="24"/>
          <w:szCs w:val="24"/>
          <w:u w:val="single"/>
        </w:rPr>
        <w:t>4</w:t>
      </w:r>
      <w:r>
        <w:rPr>
          <w:rFonts w:hint="eastAsia" w:ascii="宋体" w:hAnsi="宋体"/>
          <w:bCs/>
          <w:iCs/>
          <w:sz w:val="24"/>
          <w:szCs w:val="24"/>
          <w:u w:val="single"/>
        </w:rPr>
        <w:t>.2</w:t>
      </w:r>
      <w:r>
        <w:rPr>
          <w:rFonts w:hint="eastAsia" w:ascii="宋体" w:hAnsi="宋体"/>
          <w:bCs/>
          <w:sz w:val="24"/>
          <w:szCs w:val="24"/>
          <w:u w:val="single"/>
        </w:rPr>
        <w:t xml:space="preserve">    </w:t>
      </w:r>
      <w:r>
        <w:rPr>
          <w:rFonts w:ascii="宋体" w:hAnsi="宋体"/>
          <w:sz w:val="24"/>
          <w:szCs w:val="24"/>
        </w:rPr>
        <w:t>。</w:t>
      </w:r>
      <w:r>
        <w:rPr>
          <w:rFonts w:hint="eastAsia" w:ascii="宋体" w:hAnsi="宋体"/>
          <w:sz w:val="24"/>
          <w:szCs w:val="24"/>
        </w:rPr>
        <w:t>单价合同，在合同履行期间内，根据实际完成的工作量据实结算，但结算总价上限不得超过预算金额或者双方确定的金额￥</w:t>
      </w:r>
      <w:r>
        <w:rPr>
          <w:rFonts w:ascii="宋体" w:hAnsi="宋体"/>
          <w:sz w:val="24"/>
          <w:szCs w:val="24"/>
          <w:u w:val="single"/>
        </w:rPr>
        <w:t xml:space="preserve">           </w:t>
      </w:r>
      <w:r>
        <w:rPr>
          <w:rFonts w:ascii="宋体" w:hAnsi="宋体"/>
          <w:sz w:val="24"/>
          <w:szCs w:val="24"/>
        </w:rPr>
        <w:t>元</w:t>
      </w:r>
      <w:r>
        <w:rPr>
          <w:rFonts w:hint="eastAsia" w:ascii="宋体" w:hAnsi="宋体"/>
          <w:sz w:val="24"/>
          <w:szCs w:val="24"/>
        </w:rPr>
        <w:t>（大写：</w:t>
      </w:r>
      <w:r>
        <w:rPr>
          <w:rFonts w:ascii="宋体" w:hAnsi="宋体"/>
          <w:sz w:val="24"/>
          <w:szCs w:val="24"/>
          <w:u w:val="single"/>
        </w:rPr>
        <w:t xml:space="preserve">                 </w:t>
      </w:r>
      <w:r>
        <w:rPr>
          <w:rFonts w:hint="eastAsia" w:ascii="宋体" w:hAnsi="宋体"/>
          <w:sz w:val="24"/>
          <w:szCs w:val="24"/>
        </w:rPr>
        <w:t>元人民币）。</w:t>
      </w:r>
    </w:p>
    <w:p w14:paraId="55AA4AAD">
      <w:pPr>
        <w:spacing w:line="560" w:lineRule="exact"/>
        <w:ind w:firstLine="480"/>
        <w:rPr>
          <w:rFonts w:ascii="宋体" w:hAnsi="宋体"/>
          <w:sz w:val="24"/>
          <w:szCs w:val="24"/>
        </w:rPr>
      </w:pPr>
      <w:r>
        <w:rPr>
          <w:rFonts w:hint="eastAsia" w:ascii="宋体" w:hAnsi="宋体"/>
          <w:sz w:val="24"/>
          <w:szCs w:val="24"/>
        </w:rPr>
        <w:t xml:space="preserve"> </w:t>
      </w:r>
      <w:r>
        <w:rPr>
          <w:rFonts w:hint="eastAsia" w:ascii="宋体" w:hAnsi="宋体" w:cs="宋体"/>
          <w:sz w:val="24"/>
          <w:szCs w:val="24"/>
        </w:rPr>
        <w:t>1.</w:t>
      </w:r>
      <w:r>
        <w:rPr>
          <w:rFonts w:ascii="宋体" w:hAnsi="宋体" w:cs="宋体"/>
          <w:sz w:val="24"/>
          <w:szCs w:val="24"/>
        </w:rPr>
        <w:t>4</w:t>
      </w:r>
      <w:r>
        <w:rPr>
          <w:rFonts w:hint="eastAsia" w:ascii="宋体" w:hAnsi="宋体" w:cs="宋体"/>
          <w:sz w:val="24"/>
          <w:szCs w:val="24"/>
        </w:rPr>
        <w:t>.3其他计价方式：</w:t>
      </w:r>
      <w:r>
        <w:rPr>
          <w:rFonts w:hint="eastAsia" w:ascii="宋体" w:hAnsi="宋体" w:cs="宋体"/>
          <w:sz w:val="24"/>
          <w:szCs w:val="24"/>
          <w:u w:val="single"/>
        </w:rPr>
        <w:t xml:space="preserve">                   </w:t>
      </w:r>
      <w:r>
        <w:rPr>
          <w:rFonts w:hint="eastAsia" w:ascii="宋体" w:hAnsi="宋体" w:cs="宋体"/>
          <w:sz w:val="24"/>
          <w:szCs w:val="24"/>
        </w:rPr>
        <w:t>。</w:t>
      </w:r>
      <w:bookmarkEnd w:id="86"/>
      <w:bookmarkEnd w:id="87"/>
      <w:bookmarkEnd w:id="88"/>
      <w:bookmarkEnd w:id="89"/>
      <w:bookmarkEnd w:id="90"/>
    </w:p>
    <w:p w14:paraId="1343D146">
      <w:pPr>
        <w:widowControl/>
        <w:spacing w:line="360" w:lineRule="auto"/>
        <w:ind w:firstLine="480"/>
        <w:jc w:val="left"/>
        <w:rPr>
          <w:rFonts w:ascii="宋体" w:hAnsi="宋体" w:cs="宋体"/>
          <w:b/>
          <w:sz w:val="24"/>
          <w:szCs w:val="24"/>
        </w:rPr>
      </w:pPr>
      <w:r>
        <w:rPr>
          <w:rFonts w:hint="eastAsia" w:ascii="宋体" w:hAnsi="宋体" w:cs="宋体"/>
          <w:b/>
          <w:sz w:val="24"/>
          <w:szCs w:val="24"/>
        </w:rPr>
        <w:t>1.</w:t>
      </w:r>
      <w:r>
        <w:rPr>
          <w:rFonts w:ascii="宋体" w:hAnsi="宋体" w:cs="宋体"/>
          <w:b/>
          <w:sz w:val="24"/>
          <w:szCs w:val="24"/>
        </w:rPr>
        <w:t>5</w:t>
      </w:r>
      <w:r>
        <w:rPr>
          <w:rFonts w:hint="eastAsia" w:ascii="宋体" w:hAnsi="宋体" w:cs="宋体"/>
          <w:b/>
          <w:sz w:val="24"/>
          <w:szCs w:val="24"/>
        </w:rPr>
        <w:t>履约保证金</w:t>
      </w:r>
    </w:p>
    <w:p w14:paraId="02354CB0">
      <w:pPr>
        <w:widowControl/>
        <w:spacing w:line="360" w:lineRule="auto"/>
        <w:ind w:firstLine="480"/>
        <w:jc w:val="left"/>
        <w:rPr>
          <w:rFonts w:ascii="宋体" w:hAnsi="宋体" w:cs="宋体"/>
          <w:sz w:val="24"/>
          <w:szCs w:val="24"/>
        </w:rPr>
      </w:pPr>
      <w:r>
        <w:rPr>
          <w:rFonts w:hint="eastAsia" w:ascii="宋体" w:hAnsi="宋体" w:cs="宋体"/>
          <w:sz w:val="24"/>
          <w:szCs w:val="24"/>
        </w:rPr>
        <w:t>乙方</w:t>
      </w:r>
      <w:r>
        <w:rPr>
          <w:rFonts w:hint="eastAsia" w:ascii="宋体" w:hAnsi="宋体" w:cs="宋体"/>
          <w:sz w:val="24"/>
          <w:szCs w:val="24"/>
          <w:u w:val="single"/>
        </w:rPr>
        <w:t xml:space="preserve">     </w:t>
      </w:r>
      <w:r>
        <w:rPr>
          <w:rFonts w:hint="eastAsia" w:ascii="宋体" w:hAnsi="宋体" w:cs="宋体"/>
          <w:sz w:val="24"/>
          <w:szCs w:val="24"/>
        </w:rPr>
        <w:t xml:space="preserve">（是 </w:t>
      </w:r>
      <w:r>
        <w:rPr>
          <w:rFonts w:hint="eastAsia" w:ascii="仿宋" w:hAnsi="仿宋" w:eastAsia="仿宋" w:cs="仿宋"/>
          <w:sz w:val="24"/>
          <w:szCs w:val="24"/>
        </w:rPr>
        <w:t>/</w:t>
      </w:r>
      <w:r>
        <w:rPr>
          <w:rFonts w:hint="eastAsia" w:ascii="宋体" w:hAnsi="宋体" w:cs="宋体"/>
          <w:sz w:val="24"/>
          <w:szCs w:val="24"/>
        </w:rPr>
        <w:t>否）需要支付履约保证金。若需要支付履约保证金的，则：</w:t>
      </w:r>
    </w:p>
    <w:p w14:paraId="1C0BB74C">
      <w:pPr>
        <w:spacing w:line="560" w:lineRule="exact"/>
        <w:ind w:firstLine="480"/>
        <w:outlineLvl w:val="0"/>
        <w:rPr>
          <w:rFonts w:ascii="宋体" w:hAnsi="宋体" w:cs="宋体"/>
          <w:sz w:val="24"/>
          <w:szCs w:val="24"/>
        </w:rPr>
      </w:pPr>
      <w:r>
        <w:rPr>
          <w:rFonts w:hint="eastAsia" w:ascii="宋体" w:hAnsi="宋体" w:cs="宋体"/>
          <w:sz w:val="24"/>
          <w:szCs w:val="24"/>
        </w:rPr>
        <w:t>1.</w:t>
      </w:r>
      <w:r>
        <w:rPr>
          <w:rFonts w:ascii="宋体" w:hAnsi="宋体" w:cs="宋体"/>
          <w:sz w:val="24"/>
          <w:szCs w:val="24"/>
        </w:rPr>
        <w:t>5</w:t>
      </w:r>
      <w:r>
        <w:rPr>
          <w:rFonts w:hint="eastAsia" w:ascii="宋体" w:hAnsi="宋体" w:cs="宋体"/>
          <w:sz w:val="24"/>
          <w:szCs w:val="24"/>
        </w:rPr>
        <w:t>.1履约保证金的比例为合同金额的</w:t>
      </w:r>
      <w:r>
        <w:rPr>
          <w:rFonts w:hint="eastAsia" w:ascii="宋体" w:hAnsi="宋体" w:cs="宋体"/>
          <w:sz w:val="24"/>
          <w:szCs w:val="24"/>
          <w:u w:val="single"/>
        </w:rPr>
        <w:t xml:space="preserve">     </w:t>
      </w:r>
      <w:r>
        <w:rPr>
          <w:rFonts w:hint="eastAsia" w:ascii="宋体" w:hAnsi="宋体" w:cs="宋体"/>
          <w:sz w:val="24"/>
          <w:szCs w:val="24"/>
        </w:rPr>
        <w:t>%；（</w:t>
      </w:r>
      <w:r>
        <w:rPr>
          <w:rFonts w:hint="eastAsia" w:ascii="宋体" w:hAnsi="宋体" w:cs="宋体"/>
          <w:i/>
          <w:iCs/>
          <w:sz w:val="24"/>
          <w:szCs w:val="24"/>
        </w:rPr>
        <w:t>提醒：履约保证金的比例不得超过合同金额的1</w:t>
      </w:r>
      <w:r>
        <w:rPr>
          <w:rFonts w:ascii="宋体" w:hAnsi="宋体" w:cs="宋体"/>
          <w:i/>
          <w:iCs/>
          <w:sz w:val="24"/>
          <w:szCs w:val="24"/>
        </w:rPr>
        <w:t>0</w:t>
      </w:r>
      <w:r>
        <w:rPr>
          <w:rFonts w:hint="eastAsia" w:ascii="宋体" w:hAnsi="宋体" w:cs="宋体"/>
          <w:i/>
          <w:iCs/>
          <w:sz w:val="24"/>
          <w:szCs w:val="24"/>
        </w:rPr>
        <w:t>%</w:t>
      </w:r>
      <w:r>
        <w:rPr>
          <w:rFonts w:hint="eastAsia" w:ascii="宋体" w:hAnsi="宋体" w:cs="宋体"/>
          <w:sz w:val="24"/>
          <w:szCs w:val="24"/>
        </w:rPr>
        <w:t>）</w:t>
      </w:r>
    </w:p>
    <w:p w14:paraId="080A2D94">
      <w:pPr>
        <w:spacing w:line="560" w:lineRule="exact"/>
        <w:ind w:firstLine="480"/>
        <w:outlineLvl w:val="0"/>
        <w:rPr>
          <w:rFonts w:ascii="宋体" w:hAnsi="宋体" w:cs="宋体"/>
          <w:sz w:val="24"/>
          <w:szCs w:val="24"/>
        </w:rPr>
      </w:pPr>
      <w:r>
        <w:rPr>
          <w:rFonts w:hint="eastAsia" w:ascii="宋体" w:hAnsi="宋体" w:cs="宋体"/>
          <w:sz w:val="24"/>
          <w:szCs w:val="24"/>
        </w:rPr>
        <w:t>1.</w:t>
      </w:r>
      <w:r>
        <w:rPr>
          <w:rFonts w:ascii="宋体" w:hAnsi="宋体" w:cs="宋体"/>
          <w:sz w:val="24"/>
          <w:szCs w:val="24"/>
        </w:rPr>
        <w:t>5</w:t>
      </w:r>
      <w:r>
        <w:rPr>
          <w:rFonts w:hint="eastAsia" w:ascii="宋体" w:hAnsi="宋体" w:cs="宋体"/>
          <w:sz w:val="24"/>
          <w:szCs w:val="24"/>
        </w:rPr>
        <w:t>.2履约保证金支付方式详见</w:t>
      </w:r>
      <w:r>
        <w:rPr>
          <w:rFonts w:hint="eastAsia" w:ascii="宋体" w:hAnsi="宋体" w:cs="宋体"/>
          <w:sz w:val="24"/>
          <w:szCs w:val="24"/>
          <w:u w:val="single"/>
        </w:rPr>
        <w:t xml:space="preserve">    </w:t>
      </w:r>
      <w:r>
        <w:rPr>
          <w:rFonts w:hint="eastAsia" w:ascii="宋体" w:hAnsi="宋体" w:cs="宋体"/>
          <w:b/>
          <w:iCs/>
          <w:sz w:val="24"/>
          <w:szCs w:val="24"/>
          <w:u w:val="single"/>
        </w:rPr>
        <w:t>合同专用条款</w:t>
      </w:r>
      <w:r>
        <w:rPr>
          <w:rFonts w:hint="eastAsia" w:ascii="宋体" w:hAnsi="宋体" w:cs="宋体"/>
          <w:iCs/>
          <w:sz w:val="24"/>
          <w:szCs w:val="24"/>
          <w:u w:val="single"/>
        </w:rPr>
        <w:t xml:space="preserve"> </w:t>
      </w:r>
      <w:r>
        <w:rPr>
          <w:rFonts w:ascii="宋体" w:hAnsi="宋体" w:cs="宋体"/>
          <w:iCs/>
          <w:sz w:val="24"/>
          <w:szCs w:val="24"/>
          <w:u w:val="single"/>
        </w:rPr>
        <w:t>1.5.2</w:t>
      </w:r>
      <w:r>
        <w:rPr>
          <w:rFonts w:hint="eastAsia" w:ascii="宋体" w:hAnsi="宋体" w:cs="宋体"/>
          <w:iCs/>
          <w:sz w:val="24"/>
          <w:szCs w:val="24"/>
          <w:u w:val="single"/>
        </w:rPr>
        <w:t xml:space="preserve"> </w:t>
      </w:r>
      <w:r>
        <w:rPr>
          <w:rFonts w:hint="eastAsia" w:ascii="宋体" w:hAnsi="宋体" w:cs="宋体"/>
          <w:sz w:val="24"/>
          <w:szCs w:val="24"/>
          <w:u w:val="single"/>
        </w:rPr>
        <w:t xml:space="preserve">         </w:t>
      </w:r>
      <w:r>
        <w:rPr>
          <w:rFonts w:hint="eastAsia" w:ascii="宋体" w:hAnsi="宋体" w:cs="宋体"/>
          <w:sz w:val="24"/>
          <w:szCs w:val="24"/>
        </w:rPr>
        <w:t>；</w:t>
      </w:r>
    </w:p>
    <w:p w14:paraId="69CBC485">
      <w:pPr>
        <w:keepNext/>
        <w:keepLines/>
        <w:tabs>
          <w:tab w:val="left" w:pos="0"/>
        </w:tabs>
        <w:spacing w:before="260" w:after="260" w:line="560" w:lineRule="exact"/>
        <w:ind w:firstLine="480"/>
        <w:jc w:val="left"/>
        <w:outlineLvl w:val="1"/>
        <w:rPr>
          <w:rFonts w:ascii="幼圆" w:hAnsi="Arial"/>
          <w:b/>
          <w:sz w:val="44"/>
          <w:szCs w:val="20"/>
        </w:rPr>
      </w:pPr>
      <w:r>
        <w:rPr>
          <w:rFonts w:hint="eastAsia" w:ascii="宋体" w:hAnsi="宋体" w:cs="宋体"/>
          <w:sz w:val="24"/>
          <w:szCs w:val="24"/>
        </w:rPr>
        <w:t>1.</w:t>
      </w:r>
      <w:r>
        <w:rPr>
          <w:rFonts w:ascii="宋体" w:hAnsi="宋体" w:cs="宋体"/>
          <w:sz w:val="24"/>
          <w:szCs w:val="24"/>
        </w:rPr>
        <w:t>5</w:t>
      </w:r>
      <w:r>
        <w:rPr>
          <w:rFonts w:hint="eastAsia" w:ascii="宋体" w:hAnsi="宋体" w:cs="宋体"/>
          <w:sz w:val="24"/>
          <w:szCs w:val="24"/>
        </w:rPr>
        <w:t>.3 如果乙方不履行合同，履约保证金不予退还；如果乙方未能按合同约定全面履行义务，那么甲方有权从履约保证金中取得补偿或赔偿，同时不影响甲方要求乙方承担合同约定的超过履约保证金的违约责任的权利；</w:t>
      </w:r>
    </w:p>
    <w:p w14:paraId="406F34EA">
      <w:pPr>
        <w:spacing w:line="560" w:lineRule="exact"/>
        <w:ind w:firstLine="480"/>
        <w:outlineLvl w:val="0"/>
        <w:rPr>
          <w:szCs w:val="24"/>
        </w:rPr>
      </w:pPr>
      <w:r>
        <w:rPr>
          <w:rFonts w:hint="eastAsia" w:ascii="宋体" w:hAnsi="宋体" w:cs="宋体"/>
          <w:sz w:val="24"/>
          <w:szCs w:val="24"/>
        </w:rPr>
        <w:t>1.</w:t>
      </w:r>
      <w:r>
        <w:rPr>
          <w:rFonts w:ascii="宋体" w:hAnsi="宋体" w:cs="宋体"/>
          <w:sz w:val="24"/>
          <w:szCs w:val="24"/>
        </w:rPr>
        <w:t>5</w:t>
      </w:r>
      <w:r>
        <w:rPr>
          <w:rFonts w:hint="eastAsia" w:ascii="宋体" w:hAnsi="宋体" w:cs="宋体"/>
          <w:sz w:val="24"/>
          <w:szCs w:val="24"/>
        </w:rPr>
        <w:t>.4 甲方在项目验收结束后及时退还履约保证金。甲方在项目通过验收之日起</w:t>
      </w:r>
      <w:r>
        <w:rPr>
          <w:rFonts w:hint="eastAsia" w:ascii="宋体" w:hAnsi="宋体" w:cs="宋体"/>
          <w:sz w:val="24"/>
          <w:szCs w:val="24"/>
          <w:u w:val="single"/>
        </w:rPr>
        <w:t xml:space="preserve">       </w:t>
      </w:r>
      <w:r>
        <w:rPr>
          <w:rFonts w:ascii="宋体" w:hAnsi="宋体" w:cs="宋体"/>
          <w:sz w:val="24"/>
          <w:szCs w:val="24"/>
          <w:u w:val="single"/>
        </w:rPr>
        <w:t>5</w:t>
      </w:r>
      <w:r>
        <w:rPr>
          <w:rFonts w:hint="eastAsia" w:ascii="宋体" w:hAnsi="宋体" w:cs="宋体"/>
          <w:sz w:val="24"/>
          <w:szCs w:val="24"/>
        </w:rPr>
        <w:t>个工作日内将履约保证金无息退还乙方（出具保函、保险保单的费用不予退还），逾期退还的，乙方可要求甲方支付违约金，违约金按每迟延退还一日的应退还而未退还金额的</w:t>
      </w:r>
      <w:r>
        <w:rPr>
          <w:rFonts w:hint="eastAsia" w:ascii="宋体" w:hAnsi="宋体" w:cs="宋体"/>
          <w:sz w:val="24"/>
          <w:szCs w:val="24"/>
          <w:u w:val="single"/>
        </w:rPr>
        <w:t xml:space="preserve">  （</w:t>
      </w:r>
      <w:r>
        <w:rPr>
          <w:rFonts w:hint="eastAsia" w:ascii="宋体" w:hAnsi="宋体" w:cs="宋体"/>
          <w:i/>
          <w:iCs/>
          <w:sz w:val="24"/>
          <w:szCs w:val="24"/>
          <w:u w:val="single"/>
        </w:rPr>
        <w:t>按同期银行活期存款利息</w:t>
      </w:r>
      <w:r>
        <w:rPr>
          <w:rFonts w:hint="eastAsia" w:ascii="宋体" w:hAnsi="宋体" w:cs="宋体"/>
          <w:sz w:val="24"/>
          <w:szCs w:val="24"/>
          <w:u w:val="single"/>
        </w:rPr>
        <w:t xml:space="preserve">）   </w:t>
      </w:r>
      <w:r>
        <w:rPr>
          <w:rFonts w:hint="eastAsia" w:ascii="宋体" w:hAnsi="宋体" w:cs="宋体"/>
          <w:sz w:val="24"/>
          <w:szCs w:val="24"/>
        </w:rPr>
        <w:t>%计算，最高限额为本合同履约保证金的</w:t>
      </w:r>
      <w:r>
        <w:rPr>
          <w:rFonts w:hint="eastAsia" w:ascii="宋体" w:hAnsi="宋体" w:cs="宋体"/>
          <w:sz w:val="24"/>
          <w:szCs w:val="24"/>
          <w:u w:val="single"/>
        </w:rPr>
        <w:t xml:space="preserve">  </w:t>
      </w:r>
      <w:r>
        <w:rPr>
          <w:rFonts w:ascii="宋体" w:hAnsi="宋体" w:cs="宋体"/>
          <w:sz w:val="24"/>
          <w:szCs w:val="24"/>
          <w:u w:val="single"/>
        </w:rPr>
        <w:t>XX</w:t>
      </w:r>
      <w:r>
        <w:rPr>
          <w:rFonts w:hint="eastAsia" w:ascii="宋体" w:hAnsi="宋体" w:cs="宋体"/>
          <w:sz w:val="24"/>
          <w:szCs w:val="24"/>
          <w:u w:val="single"/>
        </w:rPr>
        <w:t xml:space="preserve">  </w:t>
      </w:r>
      <w:r>
        <w:rPr>
          <w:rFonts w:hint="eastAsia" w:ascii="宋体" w:hAnsi="宋体" w:cs="宋体"/>
          <w:sz w:val="24"/>
          <w:szCs w:val="24"/>
        </w:rPr>
        <w:t xml:space="preserve"> %。</w:t>
      </w:r>
    </w:p>
    <w:p w14:paraId="70A5EF1A">
      <w:pPr>
        <w:spacing w:line="560" w:lineRule="exact"/>
        <w:ind w:firstLine="482"/>
        <w:outlineLvl w:val="0"/>
        <w:rPr>
          <w:rFonts w:ascii="宋体" w:hAnsi="宋体" w:cs="宋体"/>
          <w:b/>
          <w:sz w:val="24"/>
          <w:szCs w:val="24"/>
        </w:rPr>
      </w:pPr>
      <w:r>
        <w:rPr>
          <w:rFonts w:hint="eastAsia" w:ascii="宋体" w:hAnsi="宋体" w:cs="宋体"/>
          <w:b/>
          <w:sz w:val="24"/>
          <w:szCs w:val="24"/>
        </w:rPr>
        <w:t>1.</w:t>
      </w:r>
      <w:bookmarkEnd w:id="91"/>
      <w:bookmarkEnd w:id="92"/>
      <w:bookmarkEnd w:id="93"/>
      <w:r>
        <w:rPr>
          <w:rFonts w:ascii="宋体" w:hAnsi="宋体" w:cs="宋体"/>
          <w:b/>
          <w:sz w:val="24"/>
          <w:szCs w:val="24"/>
        </w:rPr>
        <w:t>6</w:t>
      </w:r>
      <w:r>
        <w:rPr>
          <w:rFonts w:hint="eastAsia" w:ascii="宋体" w:hAnsi="宋体" w:cs="宋体"/>
          <w:b/>
          <w:sz w:val="24"/>
          <w:szCs w:val="24"/>
        </w:rPr>
        <w:t>预付款</w:t>
      </w:r>
    </w:p>
    <w:p w14:paraId="7F13FF59">
      <w:pPr>
        <w:widowControl/>
        <w:spacing w:line="360" w:lineRule="auto"/>
        <w:ind w:firstLine="480"/>
        <w:jc w:val="left"/>
        <w:rPr>
          <w:rFonts w:ascii="宋体" w:hAnsi="宋体" w:cs="宋体"/>
          <w:sz w:val="24"/>
          <w:szCs w:val="24"/>
        </w:rPr>
      </w:pPr>
      <w:r>
        <w:rPr>
          <w:rFonts w:hint="eastAsia" w:ascii="宋体" w:hAnsi="宋体" w:cs="宋体"/>
          <w:sz w:val="24"/>
          <w:szCs w:val="24"/>
        </w:rPr>
        <w:t>乙方</w:t>
      </w:r>
      <w:r>
        <w:rPr>
          <w:rFonts w:hint="eastAsia" w:ascii="宋体" w:hAnsi="宋体" w:cs="宋体"/>
          <w:sz w:val="24"/>
          <w:szCs w:val="24"/>
          <w:u w:val="single"/>
        </w:rPr>
        <w:t xml:space="preserve">     </w:t>
      </w:r>
      <w:r>
        <w:rPr>
          <w:rFonts w:hint="eastAsia" w:ascii="宋体" w:hAnsi="宋体" w:cs="宋体"/>
          <w:sz w:val="24"/>
          <w:szCs w:val="24"/>
        </w:rPr>
        <w:t>（需要</w:t>
      </w:r>
      <w:r>
        <w:rPr>
          <w:rFonts w:hint="eastAsia" w:ascii="仿宋" w:hAnsi="仿宋" w:eastAsia="仿宋" w:cs="仿宋"/>
          <w:sz w:val="24"/>
          <w:szCs w:val="24"/>
        </w:rPr>
        <w:t>/</w:t>
      </w:r>
      <w:r>
        <w:rPr>
          <w:rFonts w:hint="eastAsia" w:ascii="宋体" w:hAnsi="宋体" w:cs="宋体"/>
          <w:sz w:val="24"/>
          <w:szCs w:val="24"/>
        </w:rPr>
        <w:t>不需要）甲方支付预付款。若需要支付预付款的，则：</w:t>
      </w:r>
    </w:p>
    <w:p w14:paraId="46652BFE">
      <w:pPr>
        <w:spacing w:line="560" w:lineRule="exact"/>
        <w:ind w:firstLine="480"/>
        <w:rPr>
          <w:rFonts w:ascii="宋体" w:hAnsi="宋体" w:cs="宋体"/>
          <w:sz w:val="24"/>
          <w:szCs w:val="24"/>
        </w:rPr>
      </w:pPr>
      <w:r>
        <w:rPr>
          <w:rFonts w:hint="eastAsia" w:ascii="宋体" w:hAnsi="宋体" w:cs="宋体"/>
          <w:sz w:val="24"/>
          <w:szCs w:val="24"/>
        </w:rPr>
        <w:t>1.</w:t>
      </w:r>
      <w:r>
        <w:rPr>
          <w:rFonts w:ascii="宋体" w:hAnsi="宋体" w:cs="宋体"/>
          <w:sz w:val="24"/>
          <w:szCs w:val="24"/>
        </w:rPr>
        <w:t>6</w:t>
      </w:r>
      <w:r>
        <w:rPr>
          <w:rFonts w:hint="eastAsia" w:ascii="宋体" w:hAnsi="宋体" w:cs="宋体"/>
          <w:sz w:val="24"/>
          <w:szCs w:val="24"/>
        </w:rPr>
        <w:t>.1预付款比例、支付方式、时间详见</w:t>
      </w:r>
      <w:r>
        <w:rPr>
          <w:rFonts w:hint="eastAsia" w:ascii="宋体" w:hAnsi="宋体" w:cs="宋体"/>
          <w:sz w:val="24"/>
          <w:szCs w:val="24"/>
          <w:u w:val="single"/>
        </w:rPr>
        <w:t xml:space="preserve">    </w:t>
      </w:r>
      <w:r>
        <w:rPr>
          <w:rFonts w:hint="eastAsia" w:ascii="宋体" w:hAnsi="宋体" w:cs="宋体"/>
          <w:b/>
          <w:iCs/>
          <w:sz w:val="24"/>
          <w:szCs w:val="24"/>
          <w:u w:val="single"/>
        </w:rPr>
        <w:t>合同专用条款</w:t>
      </w:r>
      <w:r>
        <w:rPr>
          <w:rFonts w:hint="eastAsia" w:ascii="宋体" w:hAnsi="宋体" w:cs="宋体"/>
          <w:iCs/>
          <w:sz w:val="24"/>
          <w:szCs w:val="24"/>
          <w:u w:val="single"/>
        </w:rPr>
        <w:t xml:space="preserve"> </w:t>
      </w:r>
      <w:r>
        <w:rPr>
          <w:rFonts w:ascii="宋体" w:hAnsi="宋体" w:cs="宋体"/>
          <w:iCs/>
          <w:sz w:val="24"/>
          <w:szCs w:val="24"/>
          <w:u w:val="single"/>
        </w:rPr>
        <w:t>1.6.1</w:t>
      </w:r>
      <w:r>
        <w:rPr>
          <w:rFonts w:hint="eastAsia" w:ascii="宋体" w:hAnsi="宋体" w:cs="宋体"/>
          <w:iCs/>
          <w:sz w:val="24"/>
          <w:szCs w:val="24"/>
          <w:u w:val="single"/>
        </w:rPr>
        <w:t xml:space="preserve">  </w:t>
      </w:r>
      <w:r>
        <w:rPr>
          <w:rFonts w:hint="eastAsia" w:ascii="宋体" w:hAnsi="宋体" w:cs="宋体"/>
          <w:sz w:val="24"/>
          <w:szCs w:val="24"/>
          <w:u w:val="single"/>
        </w:rPr>
        <w:t xml:space="preserve">        </w:t>
      </w:r>
      <w:r>
        <w:rPr>
          <w:rFonts w:hint="eastAsia" w:ascii="宋体" w:hAnsi="宋体" w:cs="宋体"/>
          <w:sz w:val="24"/>
          <w:szCs w:val="24"/>
        </w:rPr>
        <w:t>；</w:t>
      </w:r>
    </w:p>
    <w:p w14:paraId="47BA17C6">
      <w:pPr>
        <w:widowControl/>
        <w:spacing w:line="360" w:lineRule="auto"/>
        <w:ind w:firstLine="480"/>
        <w:jc w:val="left"/>
        <w:rPr>
          <w:rFonts w:ascii="宋体" w:hAnsi="宋体" w:cs="宋体"/>
          <w:b/>
          <w:bCs/>
          <w:sz w:val="24"/>
          <w:szCs w:val="24"/>
        </w:rPr>
      </w:pPr>
      <w:r>
        <w:rPr>
          <w:rFonts w:hint="eastAsia" w:ascii="宋体" w:hAnsi="宋体" w:cs="宋体"/>
          <w:b/>
          <w:bCs/>
          <w:sz w:val="24"/>
          <w:szCs w:val="24"/>
        </w:rPr>
        <w:t>1.</w:t>
      </w:r>
      <w:r>
        <w:rPr>
          <w:rFonts w:ascii="宋体" w:hAnsi="宋体" w:cs="宋体"/>
          <w:b/>
          <w:bCs/>
          <w:sz w:val="24"/>
          <w:szCs w:val="24"/>
        </w:rPr>
        <w:t>7</w:t>
      </w:r>
      <w:r>
        <w:rPr>
          <w:rFonts w:hint="eastAsia" w:ascii="宋体" w:hAnsi="宋体" w:cs="宋体"/>
          <w:b/>
          <w:bCs/>
          <w:sz w:val="24"/>
          <w:szCs w:val="24"/>
        </w:rPr>
        <w:t>资金支付</w:t>
      </w:r>
    </w:p>
    <w:p w14:paraId="1CCE14EA">
      <w:pPr>
        <w:widowControl/>
        <w:spacing w:line="360" w:lineRule="auto"/>
        <w:ind w:firstLine="480"/>
        <w:jc w:val="left"/>
        <w:rPr>
          <w:rFonts w:ascii="宋体" w:hAnsi="宋体" w:cs="宋体"/>
          <w:sz w:val="24"/>
          <w:szCs w:val="24"/>
        </w:rPr>
      </w:pPr>
      <w:r>
        <w:rPr>
          <w:rFonts w:hint="eastAsia" w:ascii="宋体" w:hAnsi="宋体" w:cs="宋体"/>
          <w:sz w:val="24"/>
          <w:szCs w:val="24"/>
        </w:rPr>
        <w:t>1.</w:t>
      </w:r>
      <w:r>
        <w:rPr>
          <w:rFonts w:ascii="宋体" w:hAnsi="宋体" w:cs="宋体"/>
          <w:sz w:val="24"/>
          <w:szCs w:val="24"/>
        </w:rPr>
        <w:t>7</w:t>
      </w:r>
      <w:r>
        <w:rPr>
          <w:rFonts w:hint="eastAsia" w:ascii="宋体" w:hAnsi="宋体" w:cs="宋体"/>
          <w:sz w:val="24"/>
          <w:szCs w:val="24"/>
        </w:rPr>
        <w:t>.1甲方应严格履行合同，及时组织验收，验收合格后及时将合同款支付完毕。对于满足合同约定支付条件的，甲方自收到发票后15日内将资金支付到合同约定的乙方账户，有条件的甲方可以即时支付。甲方不得以机构变动、人员更替、政策调整、单位放假等为由延迟付款。</w:t>
      </w:r>
    </w:p>
    <w:p w14:paraId="4178291A">
      <w:pPr>
        <w:spacing w:line="560" w:lineRule="exact"/>
        <w:ind w:firstLine="480"/>
        <w:outlineLvl w:val="0"/>
        <w:rPr>
          <w:rFonts w:ascii="宋体" w:hAnsi="宋体" w:cs="宋体"/>
          <w:sz w:val="24"/>
          <w:szCs w:val="24"/>
        </w:rPr>
      </w:pPr>
      <w:r>
        <w:rPr>
          <w:rFonts w:hint="eastAsia" w:ascii="宋体" w:hAnsi="宋体" w:cs="宋体"/>
          <w:sz w:val="24"/>
          <w:szCs w:val="24"/>
        </w:rPr>
        <w:t>1.</w:t>
      </w:r>
      <w:r>
        <w:rPr>
          <w:rFonts w:ascii="宋体" w:hAnsi="宋体" w:cs="宋体"/>
          <w:sz w:val="24"/>
          <w:szCs w:val="24"/>
        </w:rPr>
        <w:t>7</w:t>
      </w:r>
      <w:r>
        <w:rPr>
          <w:rFonts w:hint="eastAsia" w:ascii="宋体" w:hAnsi="宋体" w:cs="宋体"/>
          <w:sz w:val="24"/>
          <w:szCs w:val="24"/>
        </w:rPr>
        <w:t>.2资金支付的方式、时间和条件详见</w:t>
      </w:r>
      <w:r>
        <w:rPr>
          <w:rFonts w:hint="eastAsia" w:ascii="宋体" w:hAnsi="宋体" w:cs="宋体"/>
          <w:b/>
          <w:iCs/>
          <w:sz w:val="24"/>
          <w:szCs w:val="24"/>
          <w:u w:val="single"/>
        </w:rPr>
        <w:t>合同专用条款1</w:t>
      </w:r>
      <w:r>
        <w:rPr>
          <w:rFonts w:ascii="宋体" w:hAnsi="宋体" w:cs="宋体"/>
          <w:b/>
          <w:iCs/>
          <w:sz w:val="24"/>
          <w:szCs w:val="24"/>
          <w:u w:val="single"/>
        </w:rPr>
        <w:t>.7.2</w:t>
      </w:r>
      <w:r>
        <w:rPr>
          <w:rFonts w:hint="eastAsia" w:ascii="宋体" w:hAnsi="宋体" w:cs="宋体"/>
          <w:iCs/>
          <w:sz w:val="24"/>
          <w:szCs w:val="24"/>
        </w:rPr>
        <w:t>。</w:t>
      </w:r>
    </w:p>
    <w:p w14:paraId="60E79321">
      <w:pPr>
        <w:spacing w:line="560" w:lineRule="exact"/>
        <w:ind w:firstLine="482"/>
        <w:outlineLvl w:val="0"/>
        <w:rPr>
          <w:rFonts w:ascii="宋体" w:hAnsi="宋体" w:cs="宋体"/>
          <w:b/>
          <w:sz w:val="24"/>
          <w:szCs w:val="24"/>
        </w:rPr>
      </w:pPr>
      <w:bookmarkStart w:id="94" w:name="_Toc19304"/>
      <w:bookmarkStart w:id="95" w:name="_Toc32071"/>
      <w:bookmarkStart w:id="96" w:name="_Toc2846"/>
      <w:r>
        <w:rPr>
          <w:rFonts w:hint="eastAsia" w:ascii="宋体" w:hAnsi="宋体" w:cs="宋体"/>
          <w:b/>
          <w:sz w:val="24"/>
          <w:szCs w:val="24"/>
        </w:rPr>
        <w:t>1.</w:t>
      </w:r>
      <w:r>
        <w:rPr>
          <w:rFonts w:ascii="宋体" w:hAnsi="宋体" w:cs="宋体"/>
          <w:b/>
          <w:sz w:val="24"/>
          <w:szCs w:val="24"/>
        </w:rPr>
        <w:t>8</w:t>
      </w:r>
      <w:r>
        <w:rPr>
          <w:rFonts w:hint="eastAsia" w:ascii="宋体" w:hAnsi="宋体" w:cs="宋体"/>
          <w:b/>
          <w:sz w:val="24"/>
          <w:szCs w:val="24"/>
        </w:rPr>
        <w:t>货物（服务）交付期限、地点和方式</w:t>
      </w:r>
      <w:bookmarkEnd w:id="94"/>
      <w:bookmarkEnd w:id="95"/>
      <w:bookmarkEnd w:id="96"/>
    </w:p>
    <w:p w14:paraId="18477767">
      <w:pPr>
        <w:spacing w:line="560" w:lineRule="exact"/>
        <w:ind w:firstLine="480"/>
        <w:rPr>
          <w:rFonts w:ascii="宋体" w:hAnsi="宋体" w:cs="宋体"/>
          <w:sz w:val="24"/>
          <w:szCs w:val="24"/>
          <w:u w:val="single"/>
        </w:rPr>
      </w:pPr>
      <w:r>
        <w:rPr>
          <w:rFonts w:hint="eastAsia" w:ascii="宋体" w:hAnsi="宋体" w:cs="宋体"/>
          <w:sz w:val="24"/>
          <w:szCs w:val="24"/>
        </w:rPr>
        <w:t>1.</w:t>
      </w:r>
      <w:r>
        <w:rPr>
          <w:rFonts w:ascii="宋体" w:hAnsi="宋体" w:cs="宋体"/>
          <w:sz w:val="24"/>
          <w:szCs w:val="24"/>
        </w:rPr>
        <w:t>8</w:t>
      </w:r>
      <w:r>
        <w:rPr>
          <w:rFonts w:hint="eastAsia" w:ascii="宋体" w:hAnsi="宋体" w:cs="宋体"/>
          <w:sz w:val="24"/>
          <w:szCs w:val="24"/>
        </w:rPr>
        <w:t>.1 交付期限：</w:t>
      </w:r>
      <w:bookmarkStart w:id="97" w:name="_Hlk134193824"/>
      <w:r>
        <w:rPr>
          <w:rFonts w:hint="eastAsia" w:ascii="宋体" w:hAnsi="宋体" w:cs="宋体"/>
          <w:sz w:val="24"/>
          <w:szCs w:val="24"/>
        </w:rPr>
        <w:t>详见</w:t>
      </w:r>
      <w:bookmarkEnd w:id="97"/>
      <w:r>
        <w:rPr>
          <w:rFonts w:hint="eastAsia" w:ascii="宋体" w:hAnsi="宋体" w:cs="宋体"/>
          <w:b/>
          <w:iCs/>
          <w:sz w:val="24"/>
          <w:szCs w:val="24"/>
          <w:u w:val="single"/>
        </w:rPr>
        <w:t>合同专用条款1</w:t>
      </w:r>
      <w:r>
        <w:rPr>
          <w:rFonts w:ascii="宋体" w:hAnsi="宋体" w:cs="宋体"/>
          <w:b/>
          <w:iCs/>
          <w:sz w:val="24"/>
          <w:szCs w:val="24"/>
          <w:u w:val="single"/>
        </w:rPr>
        <w:t>.8.1</w:t>
      </w:r>
      <w:r>
        <w:rPr>
          <w:rFonts w:hint="eastAsia" w:ascii="宋体" w:hAnsi="宋体" w:cs="宋体"/>
          <w:iCs/>
          <w:sz w:val="24"/>
          <w:szCs w:val="24"/>
        </w:rPr>
        <w:t>；</w:t>
      </w:r>
    </w:p>
    <w:p w14:paraId="1D13BE6D">
      <w:pPr>
        <w:spacing w:line="560" w:lineRule="exact"/>
        <w:ind w:firstLine="480"/>
        <w:rPr>
          <w:rFonts w:ascii="宋体" w:hAnsi="宋体" w:cs="宋体"/>
          <w:sz w:val="24"/>
          <w:szCs w:val="24"/>
        </w:rPr>
      </w:pPr>
      <w:r>
        <w:rPr>
          <w:rFonts w:hint="eastAsia" w:ascii="宋体" w:hAnsi="宋体" w:cs="宋体"/>
          <w:sz w:val="24"/>
          <w:szCs w:val="24"/>
        </w:rPr>
        <w:t>1.</w:t>
      </w:r>
      <w:r>
        <w:rPr>
          <w:rFonts w:ascii="宋体" w:hAnsi="宋体" w:cs="宋体"/>
          <w:sz w:val="24"/>
          <w:szCs w:val="24"/>
        </w:rPr>
        <w:t>8</w:t>
      </w:r>
      <w:r>
        <w:rPr>
          <w:rFonts w:hint="eastAsia" w:ascii="宋体" w:hAnsi="宋体" w:cs="宋体"/>
          <w:sz w:val="24"/>
          <w:szCs w:val="24"/>
        </w:rPr>
        <w:t>.2 交付地点：详见</w:t>
      </w:r>
      <w:r>
        <w:rPr>
          <w:rFonts w:hint="eastAsia" w:ascii="宋体" w:hAnsi="宋体" w:cs="宋体"/>
          <w:b/>
          <w:iCs/>
          <w:sz w:val="24"/>
          <w:szCs w:val="24"/>
          <w:u w:val="single"/>
        </w:rPr>
        <w:t>合同专用条款1</w:t>
      </w:r>
      <w:r>
        <w:rPr>
          <w:rFonts w:ascii="宋体" w:hAnsi="宋体" w:cs="宋体"/>
          <w:b/>
          <w:iCs/>
          <w:sz w:val="24"/>
          <w:szCs w:val="24"/>
          <w:u w:val="single"/>
        </w:rPr>
        <w:t>.8.2</w:t>
      </w:r>
      <w:r>
        <w:rPr>
          <w:rFonts w:hint="eastAsia" w:ascii="宋体" w:hAnsi="宋体" w:cs="宋体"/>
          <w:iCs/>
          <w:sz w:val="24"/>
          <w:szCs w:val="24"/>
        </w:rPr>
        <w:t>；</w:t>
      </w:r>
    </w:p>
    <w:p w14:paraId="5E921E3B">
      <w:pPr>
        <w:spacing w:line="560" w:lineRule="exact"/>
        <w:ind w:firstLine="480"/>
        <w:rPr>
          <w:rFonts w:ascii="宋体" w:hAnsi="宋体" w:cs="宋体"/>
          <w:sz w:val="24"/>
          <w:szCs w:val="24"/>
        </w:rPr>
      </w:pPr>
      <w:r>
        <w:rPr>
          <w:rFonts w:hint="eastAsia" w:ascii="宋体" w:hAnsi="宋体" w:cs="宋体"/>
          <w:sz w:val="24"/>
          <w:szCs w:val="24"/>
        </w:rPr>
        <w:t>1.</w:t>
      </w:r>
      <w:r>
        <w:rPr>
          <w:rFonts w:ascii="宋体" w:hAnsi="宋体" w:cs="宋体"/>
          <w:sz w:val="24"/>
          <w:szCs w:val="24"/>
        </w:rPr>
        <w:t>8</w:t>
      </w:r>
      <w:r>
        <w:rPr>
          <w:rFonts w:hint="eastAsia" w:ascii="宋体" w:hAnsi="宋体" w:cs="宋体"/>
          <w:sz w:val="24"/>
          <w:szCs w:val="24"/>
        </w:rPr>
        <w:t>.3 交付方式：详见</w:t>
      </w:r>
      <w:r>
        <w:rPr>
          <w:rFonts w:hint="eastAsia" w:ascii="宋体" w:hAnsi="宋体" w:cs="宋体"/>
          <w:b/>
          <w:iCs/>
          <w:sz w:val="24"/>
          <w:szCs w:val="24"/>
          <w:u w:val="single"/>
        </w:rPr>
        <w:t>合同专用条款1</w:t>
      </w:r>
      <w:r>
        <w:rPr>
          <w:rFonts w:ascii="宋体" w:hAnsi="宋体" w:cs="宋体"/>
          <w:b/>
          <w:iCs/>
          <w:sz w:val="24"/>
          <w:szCs w:val="24"/>
          <w:u w:val="single"/>
        </w:rPr>
        <w:t>.8.3</w:t>
      </w:r>
      <w:r>
        <w:rPr>
          <w:rFonts w:hint="eastAsia" w:ascii="宋体" w:hAnsi="宋体" w:cs="宋体"/>
          <w:iCs/>
          <w:sz w:val="24"/>
          <w:szCs w:val="24"/>
        </w:rPr>
        <w:t>。</w:t>
      </w:r>
    </w:p>
    <w:p w14:paraId="64D9AED7">
      <w:pPr>
        <w:spacing w:line="560" w:lineRule="exact"/>
        <w:ind w:firstLine="482"/>
        <w:outlineLvl w:val="0"/>
        <w:rPr>
          <w:rFonts w:ascii="宋体" w:hAnsi="宋体" w:cs="宋体"/>
          <w:b/>
          <w:sz w:val="24"/>
          <w:szCs w:val="24"/>
        </w:rPr>
      </w:pPr>
      <w:bookmarkStart w:id="98" w:name="_Toc19554"/>
      <w:bookmarkStart w:id="99" w:name="_Toc21423"/>
      <w:bookmarkStart w:id="100" w:name="_Toc27250"/>
      <w:r>
        <w:rPr>
          <w:rFonts w:hint="eastAsia" w:ascii="宋体" w:hAnsi="宋体" w:cs="宋体"/>
          <w:b/>
          <w:sz w:val="24"/>
          <w:szCs w:val="24"/>
        </w:rPr>
        <w:t>1.</w:t>
      </w:r>
      <w:r>
        <w:rPr>
          <w:rFonts w:ascii="宋体" w:hAnsi="宋体" w:cs="宋体"/>
          <w:b/>
          <w:sz w:val="24"/>
          <w:szCs w:val="24"/>
        </w:rPr>
        <w:t>9</w:t>
      </w:r>
      <w:r>
        <w:rPr>
          <w:rFonts w:hint="eastAsia" w:ascii="宋体" w:hAnsi="宋体" w:cs="宋体"/>
          <w:b/>
          <w:sz w:val="24"/>
          <w:szCs w:val="24"/>
        </w:rPr>
        <w:t>违约责任</w:t>
      </w:r>
      <w:bookmarkEnd w:id="98"/>
      <w:bookmarkEnd w:id="99"/>
      <w:bookmarkEnd w:id="100"/>
    </w:p>
    <w:p w14:paraId="7AE9B663">
      <w:pPr>
        <w:spacing w:line="560" w:lineRule="exact"/>
        <w:ind w:firstLine="480"/>
        <w:rPr>
          <w:rFonts w:ascii="宋体" w:hAnsi="宋体" w:cs="宋体"/>
          <w:sz w:val="24"/>
          <w:szCs w:val="24"/>
        </w:rPr>
      </w:pPr>
      <w:r>
        <w:rPr>
          <w:rFonts w:hint="eastAsia" w:ascii="宋体" w:hAnsi="宋体" w:cs="宋体"/>
          <w:sz w:val="24"/>
          <w:szCs w:val="24"/>
        </w:rPr>
        <w:t>1.</w:t>
      </w:r>
      <w:r>
        <w:rPr>
          <w:rFonts w:ascii="宋体" w:hAnsi="宋体" w:cs="宋体"/>
          <w:sz w:val="24"/>
          <w:szCs w:val="24"/>
        </w:rPr>
        <w:t>9</w:t>
      </w:r>
      <w:r>
        <w:rPr>
          <w:rFonts w:hint="eastAsia" w:ascii="宋体" w:hAnsi="宋体" w:cs="宋体"/>
          <w:sz w:val="24"/>
          <w:szCs w:val="24"/>
        </w:rPr>
        <w:t>.1 除不可抗力外，如果乙方没有按照本合同约定的期限、地点和方式交付货物或服务，那么甲方可要求乙方支付违约金，每延迟一日，违约金按合同金额的</w:t>
      </w:r>
      <w:r>
        <w:rPr>
          <w:rFonts w:hint="eastAsia" w:ascii="宋体" w:hAnsi="宋体" w:cs="宋体"/>
          <w:sz w:val="24"/>
          <w:szCs w:val="24"/>
          <w:u w:val="single"/>
        </w:rPr>
        <w:t xml:space="preserve">  </w:t>
      </w:r>
      <w:r>
        <w:rPr>
          <w:rFonts w:ascii="宋体" w:hAnsi="宋体" w:cs="宋体"/>
          <w:sz w:val="24"/>
          <w:szCs w:val="24"/>
          <w:u w:val="single"/>
        </w:rPr>
        <w:t>XX</w:t>
      </w:r>
      <w:r>
        <w:rPr>
          <w:rFonts w:hint="eastAsia" w:ascii="宋体" w:hAnsi="宋体" w:cs="宋体"/>
          <w:sz w:val="24"/>
          <w:szCs w:val="24"/>
          <w:u w:val="single"/>
        </w:rPr>
        <w:t>（</w:t>
      </w:r>
      <w:r>
        <w:rPr>
          <w:rFonts w:hint="eastAsia" w:ascii="宋体" w:hAnsi="宋体" w:cs="宋体"/>
          <w:i/>
          <w:iCs/>
          <w:sz w:val="24"/>
          <w:szCs w:val="24"/>
          <w:u w:val="single"/>
        </w:rPr>
        <w:t>可根据情况修改</w:t>
      </w:r>
      <w:r>
        <w:rPr>
          <w:rFonts w:hint="eastAsia" w:ascii="宋体" w:hAnsi="宋体" w:cs="宋体"/>
          <w:sz w:val="24"/>
          <w:szCs w:val="24"/>
          <w:u w:val="single"/>
        </w:rPr>
        <w:t xml:space="preserve">）    </w:t>
      </w:r>
      <w:r>
        <w:rPr>
          <w:rFonts w:hint="eastAsia" w:ascii="宋体" w:hAnsi="宋体" w:cs="宋体"/>
          <w:sz w:val="24"/>
          <w:szCs w:val="24"/>
        </w:rPr>
        <w:t>%</w:t>
      </w:r>
      <w:r>
        <w:rPr>
          <w:rFonts w:ascii="宋体" w:hAnsi="宋体" w:cs="宋体"/>
          <w:sz w:val="24"/>
          <w:szCs w:val="24"/>
        </w:rPr>
        <w:t>/</w:t>
      </w:r>
      <w:r>
        <w:rPr>
          <w:rFonts w:hint="eastAsia" w:ascii="宋体" w:hAnsi="宋体" w:cs="宋体"/>
          <w:sz w:val="24"/>
          <w:szCs w:val="24"/>
        </w:rPr>
        <w:t>计算，最高限额为本合同金额的</w:t>
      </w:r>
      <w:r>
        <w:rPr>
          <w:rFonts w:hint="eastAsia" w:ascii="宋体" w:hAnsi="宋体" w:cs="宋体"/>
          <w:sz w:val="24"/>
          <w:szCs w:val="24"/>
          <w:u w:val="single"/>
        </w:rPr>
        <w:t xml:space="preserve"> </w:t>
      </w:r>
      <w:r>
        <w:rPr>
          <w:rFonts w:ascii="宋体" w:hAnsi="宋体" w:cs="宋体"/>
          <w:sz w:val="24"/>
          <w:szCs w:val="24"/>
          <w:u w:val="single"/>
        </w:rPr>
        <w:t>XX</w:t>
      </w:r>
      <w:r>
        <w:rPr>
          <w:rFonts w:hint="eastAsia" w:ascii="宋体" w:hAnsi="宋体" w:cs="宋体"/>
          <w:sz w:val="24"/>
          <w:szCs w:val="24"/>
          <w:u w:val="single"/>
        </w:rPr>
        <w:t xml:space="preserve">  </w:t>
      </w:r>
      <w:r>
        <w:rPr>
          <w:rFonts w:hint="eastAsia" w:ascii="宋体" w:hAnsi="宋体" w:cs="宋体"/>
          <w:sz w:val="24"/>
          <w:szCs w:val="24"/>
        </w:rPr>
        <w:t>%；迟延交付货物或服务的违约金计算数额达到前述最高限额之日起，甲方有权在要求乙方支付违约金的同时，书面通知乙方解除本合同；</w:t>
      </w:r>
    </w:p>
    <w:p w14:paraId="4AE4EA02">
      <w:pPr>
        <w:spacing w:line="560" w:lineRule="exact"/>
        <w:ind w:firstLine="480"/>
        <w:rPr>
          <w:rFonts w:ascii="宋体" w:hAnsi="宋体" w:cs="宋体"/>
          <w:sz w:val="24"/>
          <w:szCs w:val="24"/>
        </w:rPr>
      </w:pPr>
      <w:r>
        <w:rPr>
          <w:rFonts w:hint="eastAsia" w:ascii="宋体" w:hAnsi="宋体" w:cs="宋体"/>
          <w:sz w:val="24"/>
          <w:szCs w:val="24"/>
        </w:rPr>
        <w:t>1.</w:t>
      </w:r>
      <w:r>
        <w:rPr>
          <w:rFonts w:ascii="宋体" w:hAnsi="宋体" w:cs="宋体"/>
          <w:sz w:val="24"/>
          <w:szCs w:val="24"/>
        </w:rPr>
        <w:t>9</w:t>
      </w:r>
      <w:r>
        <w:rPr>
          <w:rFonts w:hint="eastAsia" w:ascii="宋体" w:hAnsi="宋体" w:cs="宋体"/>
          <w:sz w:val="24"/>
          <w:szCs w:val="24"/>
        </w:rPr>
        <w:t>.2 除不可抗力外，如果甲方没有按照本合同约定的付款方式付款，乙方可要求甲方支付违约金，每延迟一日，违约金按应付而未付款的</w:t>
      </w:r>
      <w:r>
        <w:rPr>
          <w:rFonts w:hint="eastAsia" w:ascii="宋体" w:hAnsi="宋体" w:cs="宋体"/>
          <w:sz w:val="24"/>
          <w:szCs w:val="24"/>
          <w:u w:val="single"/>
        </w:rPr>
        <w:t xml:space="preserve"> </w:t>
      </w:r>
      <w:r>
        <w:rPr>
          <w:rFonts w:ascii="宋体" w:hAnsi="宋体" w:cs="宋体"/>
          <w:sz w:val="24"/>
          <w:szCs w:val="24"/>
          <w:u w:val="single"/>
        </w:rPr>
        <w:t>XX</w:t>
      </w:r>
      <w:r>
        <w:rPr>
          <w:rFonts w:hint="eastAsia" w:ascii="宋体" w:hAnsi="宋体" w:cs="宋体"/>
          <w:sz w:val="24"/>
          <w:szCs w:val="24"/>
          <w:u w:val="single"/>
        </w:rPr>
        <w:t>（</w:t>
      </w:r>
      <w:r>
        <w:rPr>
          <w:rFonts w:hint="eastAsia" w:ascii="宋体" w:hAnsi="宋体" w:cs="宋体"/>
          <w:i/>
          <w:iCs/>
          <w:sz w:val="24"/>
          <w:szCs w:val="24"/>
          <w:u w:val="single"/>
        </w:rPr>
        <w:t>可根据情况修改</w:t>
      </w:r>
      <w:r>
        <w:rPr>
          <w:rFonts w:hint="eastAsia" w:ascii="宋体" w:hAnsi="宋体" w:cs="宋体"/>
          <w:sz w:val="24"/>
          <w:szCs w:val="24"/>
          <w:u w:val="single"/>
        </w:rPr>
        <w:t xml:space="preserve">）      </w:t>
      </w:r>
      <w:r>
        <w:rPr>
          <w:rFonts w:hint="eastAsia" w:ascii="宋体" w:hAnsi="宋体" w:cs="宋体"/>
          <w:sz w:val="24"/>
          <w:szCs w:val="24"/>
        </w:rPr>
        <w:t>%计算，最高限额为本合同总价的</w:t>
      </w:r>
      <w:r>
        <w:rPr>
          <w:rFonts w:hint="eastAsia" w:ascii="宋体" w:hAnsi="宋体" w:cs="宋体"/>
          <w:sz w:val="24"/>
          <w:szCs w:val="24"/>
          <w:u w:val="single"/>
        </w:rPr>
        <w:t xml:space="preserve">   </w:t>
      </w:r>
      <w:r>
        <w:rPr>
          <w:rFonts w:ascii="宋体" w:hAnsi="宋体" w:cs="宋体"/>
          <w:sz w:val="24"/>
          <w:szCs w:val="24"/>
          <w:u w:val="single"/>
        </w:rPr>
        <w:t>XX</w:t>
      </w:r>
      <w:r>
        <w:rPr>
          <w:rFonts w:hint="eastAsia" w:ascii="宋体" w:hAnsi="宋体" w:cs="宋体"/>
          <w:sz w:val="24"/>
          <w:szCs w:val="24"/>
          <w:u w:val="single"/>
        </w:rPr>
        <w:t xml:space="preserve">  </w:t>
      </w:r>
      <w:r>
        <w:rPr>
          <w:rFonts w:hint="eastAsia" w:ascii="宋体" w:hAnsi="宋体" w:cs="宋体"/>
          <w:sz w:val="24"/>
          <w:szCs w:val="24"/>
        </w:rPr>
        <w:t>%；迟延付款的违约金计算数额达到前述最高限额之日起，乙方有权在要求甲方支付违约金的同时，书面通知甲方解除本合同；</w:t>
      </w:r>
    </w:p>
    <w:p w14:paraId="71E3B7CF">
      <w:pPr>
        <w:spacing w:line="560" w:lineRule="exact"/>
        <w:ind w:firstLine="480"/>
        <w:rPr>
          <w:rFonts w:ascii="宋体" w:hAnsi="宋体" w:cs="宋体"/>
          <w:sz w:val="24"/>
          <w:szCs w:val="24"/>
        </w:rPr>
      </w:pPr>
      <w:r>
        <w:rPr>
          <w:rFonts w:hint="eastAsia" w:ascii="宋体" w:hAnsi="宋体" w:cs="宋体"/>
          <w:sz w:val="24"/>
          <w:szCs w:val="24"/>
        </w:rPr>
        <w:t>1.</w:t>
      </w:r>
      <w:r>
        <w:rPr>
          <w:rFonts w:ascii="宋体" w:hAnsi="宋体" w:cs="宋体"/>
          <w:sz w:val="24"/>
          <w:szCs w:val="24"/>
        </w:rPr>
        <w:t>9</w:t>
      </w:r>
      <w:r>
        <w:rPr>
          <w:rFonts w:hint="eastAsia" w:ascii="宋体" w:hAnsi="宋体" w:cs="宋体"/>
          <w:sz w:val="24"/>
          <w:szCs w:val="24"/>
        </w:rPr>
        <w:t>.3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p>
    <w:p w14:paraId="2D4546D9">
      <w:pPr>
        <w:spacing w:line="560" w:lineRule="exact"/>
        <w:ind w:firstLine="480"/>
        <w:rPr>
          <w:rFonts w:ascii="宋体" w:hAnsi="宋体" w:cs="宋体"/>
          <w:sz w:val="24"/>
          <w:szCs w:val="24"/>
        </w:rPr>
      </w:pPr>
      <w:r>
        <w:rPr>
          <w:rFonts w:hint="eastAsia" w:ascii="宋体" w:hAnsi="宋体" w:cs="宋体"/>
          <w:sz w:val="24"/>
          <w:szCs w:val="24"/>
        </w:rPr>
        <w:t>1.</w:t>
      </w:r>
      <w:r>
        <w:rPr>
          <w:rFonts w:ascii="宋体" w:hAnsi="宋体" w:cs="宋体"/>
          <w:sz w:val="24"/>
          <w:szCs w:val="24"/>
        </w:rPr>
        <w:t>9</w:t>
      </w:r>
      <w:r>
        <w:rPr>
          <w:rFonts w:hint="eastAsia" w:ascii="宋体" w:hAnsi="宋体" w:cs="宋体"/>
          <w:sz w:val="24"/>
          <w:szCs w:val="24"/>
        </w:rPr>
        <w:t>.4 除前述约定外，任何一方未能履行本合同约定的义务，对方当事人均有权要求继续履行、采取补救措施或者赔偿损失等，且对方当事人行使的任何权利救济方式均不视为其放弃了其他法定或者约定的权利救济方式；</w:t>
      </w:r>
    </w:p>
    <w:p w14:paraId="4DE2D969">
      <w:pPr>
        <w:spacing w:line="560" w:lineRule="exact"/>
        <w:ind w:firstLine="480"/>
        <w:rPr>
          <w:rFonts w:ascii="宋体" w:hAnsi="宋体" w:cs="宋体"/>
          <w:sz w:val="24"/>
          <w:szCs w:val="24"/>
        </w:rPr>
      </w:pPr>
      <w:r>
        <w:rPr>
          <w:rFonts w:hint="eastAsia" w:ascii="宋体" w:hAnsi="宋体" w:cs="宋体"/>
          <w:sz w:val="24"/>
          <w:szCs w:val="24"/>
        </w:rPr>
        <w:t>1.</w:t>
      </w:r>
      <w:r>
        <w:rPr>
          <w:rFonts w:ascii="宋体" w:hAnsi="宋体" w:cs="宋体"/>
          <w:sz w:val="24"/>
          <w:szCs w:val="24"/>
        </w:rPr>
        <w:t>9</w:t>
      </w:r>
      <w:r>
        <w:rPr>
          <w:rFonts w:hint="eastAsia" w:ascii="宋体" w:hAnsi="宋体" w:cs="宋体"/>
          <w:sz w:val="24"/>
          <w:szCs w:val="24"/>
        </w:rPr>
        <w:t>.5如果出现政府采购监督管理部门在处理投诉事项期间，书面通知甲方暂停采购活动的情形，或者询问或质疑事项可能影响中标或者成交结果的，导致甲方中止履行合同的情形，均不视为甲方违约。</w:t>
      </w:r>
    </w:p>
    <w:p w14:paraId="0DE871B7">
      <w:pPr>
        <w:spacing w:line="560" w:lineRule="exact"/>
        <w:ind w:left="-420" w:right="-420" w:firstLine="960"/>
        <w:rPr>
          <w:rFonts w:ascii="宋体" w:hAnsi="宋体" w:cs="宋体"/>
          <w:szCs w:val="24"/>
        </w:rPr>
      </w:pPr>
      <w:r>
        <w:rPr>
          <w:rFonts w:hint="eastAsia" w:ascii="宋体" w:hAnsi="宋体" w:cs="宋体"/>
          <w:sz w:val="24"/>
          <w:szCs w:val="24"/>
        </w:rPr>
        <w:t>1.</w:t>
      </w:r>
      <w:r>
        <w:rPr>
          <w:rFonts w:ascii="宋体" w:hAnsi="宋体" w:cs="宋体"/>
          <w:sz w:val="24"/>
          <w:szCs w:val="24"/>
        </w:rPr>
        <w:t>9</w:t>
      </w:r>
      <w:r>
        <w:rPr>
          <w:rFonts w:hint="eastAsia" w:ascii="宋体" w:hAnsi="宋体" w:cs="宋体"/>
          <w:sz w:val="24"/>
          <w:szCs w:val="24"/>
        </w:rPr>
        <w:t>.6违约责任</w:t>
      </w:r>
      <w:r>
        <w:rPr>
          <w:rFonts w:hint="eastAsia" w:ascii="宋体" w:hAnsi="宋体" w:cs="宋体"/>
          <w:b/>
          <w:iCs/>
          <w:sz w:val="24"/>
          <w:szCs w:val="24"/>
          <w:u w:val="single"/>
        </w:rPr>
        <w:t>合同专用条款1</w:t>
      </w:r>
      <w:r>
        <w:rPr>
          <w:rFonts w:ascii="宋体" w:hAnsi="宋体" w:cs="宋体"/>
          <w:b/>
          <w:iCs/>
          <w:sz w:val="24"/>
          <w:szCs w:val="24"/>
          <w:u w:val="single"/>
        </w:rPr>
        <w:t>.9.6</w:t>
      </w:r>
      <w:r>
        <w:rPr>
          <w:rFonts w:hint="eastAsia" w:ascii="宋体" w:hAnsi="宋体" w:cs="宋体"/>
          <w:sz w:val="24"/>
          <w:szCs w:val="24"/>
        </w:rPr>
        <w:t>约定其他责任的，从其约定。</w:t>
      </w:r>
    </w:p>
    <w:p w14:paraId="566E8674">
      <w:pPr>
        <w:spacing w:line="560" w:lineRule="exact"/>
        <w:ind w:firstLine="482"/>
        <w:outlineLvl w:val="0"/>
        <w:rPr>
          <w:rFonts w:ascii="宋体" w:hAnsi="宋体" w:cs="宋体"/>
          <w:b/>
          <w:sz w:val="24"/>
          <w:szCs w:val="24"/>
        </w:rPr>
      </w:pPr>
      <w:bookmarkStart w:id="101" w:name="_Toc28375"/>
      <w:bookmarkStart w:id="102" w:name="_Toc16021"/>
      <w:bookmarkStart w:id="103" w:name="_Toc15583"/>
      <w:r>
        <w:rPr>
          <w:rFonts w:ascii="宋体" w:hAnsi="宋体" w:cs="宋体"/>
          <w:b/>
          <w:sz w:val="24"/>
          <w:szCs w:val="24"/>
        </w:rPr>
        <w:t>1.10</w:t>
      </w:r>
      <w:r>
        <w:rPr>
          <w:rFonts w:hint="eastAsia" w:ascii="宋体" w:hAnsi="宋体" w:cs="宋体"/>
          <w:b/>
          <w:sz w:val="24"/>
          <w:szCs w:val="24"/>
        </w:rPr>
        <w:t>合同争议的解决</w:t>
      </w:r>
      <w:bookmarkEnd w:id="101"/>
      <w:bookmarkEnd w:id="102"/>
      <w:bookmarkEnd w:id="103"/>
    </w:p>
    <w:p w14:paraId="2E9B1111">
      <w:pPr>
        <w:spacing w:line="560" w:lineRule="exact"/>
        <w:ind w:firstLine="480"/>
        <w:jc w:val="left"/>
        <w:rPr>
          <w:rFonts w:ascii="宋体" w:hAnsi="宋体" w:cs="宋体"/>
          <w:sz w:val="24"/>
          <w:szCs w:val="24"/>
        </w:rPr>
      </w:pPr>
      <w:r>
        <w:rPr>
          <w:rFonts w:hint="eastAsia" w:ascii="宋体" w:hAnsi="宋体" w:cs="宋体"/>
          <w:sz w:val="24"/>
          <w:szCs w:val="24"/>
        </w:rPr>
        <w:t>1.10.1本合同履行过程中发生的任何争议，双方当事人均可通过和解或者调解解决；不愿和解、调解或者和解、调解不成的，向</w:t>
      </w:r>
      <w:r>
        <w:rPr>
          <w:rFonts w:hint="eastAsia" w:ascii="宋体" w:hAnsi="宋体" w:cs="宋体"/>
          <w:b/>
          <w:sz w:val="24"/>
          <w:szCs w:val="24"/>
        </w:rPr>
        <w:t>甲方所在地</w:t>
      </w:r>
      <w:r>
        <w:rPr>
          <w:rFonts w:hint="eastAsia" w:ascii="宋体" w:hAnsi="宋体" w:cs="宋体"/>
          <w:sz w:val="24"/>
          <w:szCs w:val="24"/>
        </w:rPr>
        <w:t>人民法院起诉。</w:t>
      </w:r>
    </w:p>
    <w:p w14:paraId="639F59DD">
      <w:pPr>
        <w:spacing w:line="560" w:lineRule="exact"/>
        <w:ind w:firstLine="480"/>
        <w:jc w:val="left"/>
        <w:rPr>
          <w:rFonts w:ascii="宋体" w:hAnsi="宋体" w:cs="宋体"/>
          <w:sz w:val="24"/>
          <w:szCs w:val="24"/>
        </w:rPr>
      </w:pPr>
      <w:r>
        <w:rPr>
          <w:rFonts w:ascii="宋体" w:hAnsi="宋体" w:cs="宋体"/>
          <w:sz w:val="24"/>
          <w:szCs w:val="24"/>
        </w:rPr>
        <w:t>1</w:t>
      </w:r>
      <w:r>
        <w:rPr>
          <w:rFonts w:hint="eastAsia" w:ascii="宋体" w:hAnsi="宋体" w:cs="宋体"/>
          <w:sz w:val="24"/>
          <w:szCs w:val="24"/>
        </w:rPr>
        <w:t>.</w:t>
      </w:r>
      <w:r>
        <w:rPr>
          <w:rFonts w:ascii="宋体" w:hAnsi="宋体" w:cs="宋体"/>
          <w:sz w:val="24"/>
          <w:szCs w:val="24"/>
        </w:rPr>
        <w:t>10</w:t>
      </w:r>
      <w:r>
        <w:rPr>
          <w:rFonts w:hint="eastAsia" w:ascii="宋体" w:hAnsi="宋体" w:cs="宋体"/>
          <w:sz w:val="24"/>
          <w:szCs w:val="24"/>
        </w:rPr>
        <w:t>.2如对任何争议向人民法院提起诉讼，除争议事项或争议事项所涉及的条款外，双方应继续履行本合同项下的其它义务。</w:t>
      </w:r>
    </w:p>
    <w:p w14:paraId="544DFE12">
      <w:pPr>
        <w:spacing w:line="560" w:lineRule="exact"/>
        <w:ind w:firstLine="480"/>
        <w:rPr>
          <w:rFonts w:ascii="宋体" w:hAnsi="宋体" w:cs="宋体"/>
          <w:sz w:val="24"/>
          <w:szCs w:val="24"/>
        </w:rPr>
      </w:pPr>
      <w:r>
        <w:rPr>
          <w:rFonts w:ascii="宋体" w:hAnsi="宋体" w:cs="宋体"/>
          <w:sz w:val="24"/>
          <w:szCs w:val="24"/>
        </w:rPr>
        <w:t>1.11</w:t>
      </w:r>
      <w:r>
        <w:rPr>
          <w:rFonts w:hint="eastAsia" w:ascii="宋体" w:hAnsi="宋体" w:cs="宋体"/>
          <w:sz w:val="24"/>
          <w:szCs w:val="24"/>
        </w:rPr>
        <w:t>合同生效及其他</w:t>
      </w:r>
    </w:p>
    <w:p w14:paraId="25C58EDD">
      <w:pPr>
        <w:spacing w:line="560" w:lineRule="exact"/>
        <w:ind w:firstLine="480"/>
        <w:rPr>
          <w:rFonts w:ascii="宋体" w:hAnsi="宋体" w:cs="宋体"/>
          <w:sz w:val="24"/>
          <w:szCs w:val="24"/>
        </w:rPr>
      </w:pPr>
      <w:r>
        <w:rPr>
          <w:rFonts w:hint="eastAsia" w:ascii="宋体" w:hAnsi="宋体" w:cs="宋体"/>
          <w:sz w:val="24"/>
          <w:szCs w:val="24"/>
        </w:rPr>
        <w:t>1.11.1本合同自双方当事人盖章时生效。</w:t>
      </w:r>
    </w:p>
    <w:p w14:paraId="14BC514B">
      <w:pPr>
        <w:widowControl/>
        <w:spacing w:line="560" w:lineRule="exact"/>
        <w:ind w:firstLine="480"/>
        <w:jc w:val="left"/>
        <w:rPr>
          <w:szCs w:val="24"/>
        </w:rPr>
      </w:pPr>
      <w:r>
        <w:rPr>
          <w:rFonts w:hint="eastAsia" w:ascii="宋体" w:hAnsi="宋体" w:cs="宋体"/>
          <w:sz w:val="24"/>
          <w:szCs w:val="24"/>
        </w:rPr>
        <w:t xml:space="preserve">1.11.2本合同未尽事宜，遵照《中华人民共和国民法典》有关条文执行。 </w:t>
      </w:r>
    </w:p>
    <w:p w14:paraId="38CE0D0F">
      <w:pPr>
        <w:spacing w:line="560" w:lineRule="exact"/>
        <w:rPr>
          <w:rFonts w:ascii="宋体" w:hAnsi="宋体" w:cs="宋体"/>
          <w:sz w:val="24"/>
          <w:szCs w:val="24"/>
          <w:lang w:val="zh-CN"/>
        </w:rPr>
      </w:pPr>
    </w:p>
    <w:p w14:paraId="48A98596">
      <w:pPr>
        <w:spacing w:line="560" w:lineRule="exact"/>
        <w:rPr>
          <w:rFonts w:ascii="宋体" w:hAnsi="宋体" w:cs="宋体"/>
          <w:sz w:val="24"/>
          <w:szCs w:val="24"/>
          <w:lang w:val="zh-CN"/>
        </w:rPr>
      </w:pPr>
      <w:r>
        <w:rPr>
          <w:rFonts w:hint="eastAsia" w:ascii="宋体" w:hAnsi="宋体" w:cs="宋体"/>
          <w:b/>
          <w:sz w:val="24"/>
          <w:szCs w:val="24"/>
          <w:lang w:val="zh-CN"/>
        </w:rPr>
        <w:t>甲方（</w:t>
      </w:r>
      <w:r>
        <w:rPr>
          <w:rFonts w:hint="eastAsia" w:ascii="宋体" w:hAnsi="宋体" w:cs="宋体"/>
          <w:b/>
          <w:sz w:val="24"/>
          <w:szCs w:val="24"/>
        </w:rPr>
        <w:t>盖章</w:t>
      </w:r>
      <w:r>
        <w:rPr>
          <w:rFonts w:hint="eastAsia" w:ascii="宋体" w:hAnsi="宋体" w:cs="宋体"/>
          <w:b/>
          <w:sz w:val="24"/>
          <w:szCs w:val="24"/>
          <w:lang w:val="zh-CN"/>
        </w:rPr>
        <w:t>）</w:t>
      </w:r>
      <w:r>
        <w:rPr>
          <w:rFonts w:hint="eastAsia" w:ascii="宋体" w:hAnsi="宋体" w:cs="宋体"/>
          <w:sz w:val="24"/>
          <w:szCs w:val="24"/>
          <w:lang w:val="zh-CN"/>
        </w:rPr>
        <w:t xml:space="preserve">：                           </w:t>
      </w:r>
      <w:r>
        <w:rPr>
          <w:rFonts w:hint="eastAsia" w:ascii="宋体" w:hAnsi="宋体" w:cs="宋体"/>
          <w:b/>
          <w:sz w:val="24"/>
          <w:szCs w:val="24"/>
          <w:lang w:val="zh-CN"/>
        </w:rPr>
        <w:t>乙方（</w:t>
      </w:r>
      <w:r>
        <w:rPr>
          <w:rFonts w:hint="eastAsia" w:ascii="宋体" w:hAnsi="宋体" w:cs="宋体"/>
          <w:b/>
          <w:sz w:val="24"/>
          <w:szCs w:val="24"/>
        </w:rPr>
        <w:t>盖章</w:t>
      </w:r>
      <w:r>
        <w:rPr>
          <w:rFonts w:hint="eastAsia" w:ascii="宋体" w:hAnsi="宋体" w:cs="宋体"/>
          <w:b/>
          <w:sz w:val="24"/>
          <w:szCs w:val="24"/>
          <w:lang w:val="zh-CN"/>
        </w:rPr>
        <w:t>）</w:t>
      </w:r>
      <w:r>
        <w:rPr>
          <w:rFonts w:hint="eastAsia" w:ascii="宋体" w:hAnsi="宋体" w:cs="宋体"/>
          <w:sz w:val="24"/>
          <w:szCs w:val="24"/>
          <w:lang w:val="zh-CN"/>
        </w:rPr>
        <w:t>：</w:t>
      </w:r>
    </w:p>
    <w:p w14:paraId="41D4A8C7">
      <w:pPr>
        <w:spacing w:line="560" w:lineRule="exact"/>
        <w:rPr>
          <w:rFonts w:ascii="宋体" w:hAnsi="宋体" w:cs="宋体"/>
          <w:sz w:val="24"/>
          <w:szCs w:val="24"/>
          <w:lang w:val="zh-CN"/>
        </w:rPr>
      </w:pPr>
      <w:r>
        <w:rPr>
          <w:rFonts w:hint="eastAsia" w:ascii="宋体" w:hAnsi="宋体" w:cs="宋体"/>
          <w:sz w:val="24"/>
          <w:szCs w:val="24"/>
          <w:lang w:val="zh-CN"/>
        </w:rPr>
        <w:t>统一社会信用代码：                统一社会信用代码或身份证号码（乙方为自然人）：</w:t>
      </w:r>
    </w:p>
    <w:p w14:paraId="62D69BCA">
      <w:pPr>
        <w:spacing w:line="560" w:lineRule="exact"/>
        <w:rPr>
          <w:rFonts w:ascii="宋体" w:hAnsi="宋体" w:cs="宋体"/>
          <w:sz w:val="24"/>
          <w:szCs w:val="24"/>
          <w:lang w:val="zh-CN"/>
        </w:rPr>
      </w:pPr>
      <w:r>
        <w:rPr>
          <w:rFonts w:hint="eastAsia" w:ascii="宋体" w:hAnsi="宋体" w:cs="宋体"/>
          <w:sz w:val="24"/>
          <w:szCs w:val="24"/>
          <w:lang w:val="zh-CN"/>
        </w:rPr>
        <w:t>法定代表人或                             法定代表人</w:t>
      </w:r>
    </w:p>
    <w:p w14:paraId="22249A4C">
      <w:pPr>
        <w:spacing w:line="560" w:lineRule="exact"/>
        <w:rPr>
          <w:rFonts w:ascii="宋体" w:hAnsi="宋体" w:cs="宋体"/>
          <w:sz w:val="24"/>
          <w:szCs w:val="24"/>
          <w:lang w:val="zh-CN"/>
        </w:rPr>
      </w:pPr>
      <w:r>
        <w:rPr>
          <w:rFonts w:hint="eastAsia" w:ascii="宋体" w:hAnsi="宋体" w:cs="宋体"/>
          <w:sz w:val="24"/>
          <w:szCs w:val="24"/>
          <w:lang w:val="zh-CN"/>
        </w:rPr>
        <w:t xml:space="preserve">授权代表姓名：                           或授权代表姓名: </w:t>
      </w:r>
    </w:p>
    <w:p w14:paraId="5380A7F8">
      <w:pPr>
        <w:spacing w:line="560" w:lineRule="exact"/>
        <w:rPr>
          <w:rFonts w:ascii="宋体" w:hAnsi="宋体" w:cs="宋体"/>
          <w:sz w:val="24"/>
          <w:szCs w:val="24"/>
          <w:lang w:val="zh-CN"/>
        </w:rPr>
      </w:pPr>
      <w:r>
        <w:rPr>
          <w:rFonts w:hint="eastAsia" w:ascii="宋体" w:hAnsi="宋体" w:cs="宋体"/>
          <w:sz w:val="24"/>
          <w:szCs w:val="24"/>
          <w:lang w:val="zh-CN"/>
        </w:rPr>
        <w:t>约定送达地址：                           约定送达地址：</w:t>
      </w:r>
    </w:p>
    <w:p w14:paraId="7F881E24">
      <w:pPr>
        <w:rPr>
          <w:rFonts w:ascii="宋体" w:hAnsi="宋体" w:cs="宋体"/>
          <w:color w:val="FF0000"/>
          <w:sz w:val="24"/>
          <w:szCs w:val="24"/>
        </w:rPr>
      </w:pPr>
    </w:p>
    <w:p w14:paraId="565E65F1">
      <w:pPr>
        <w:jc w:val="center"/>
        <w:rPr>
          <w:rFonts w:ascii="宋体" w:hAnsi="宋体" w:cs="宋体"/>
          <w:b/>
          <w:sz w:val="28"/>
          <w:szCs w:val="28"/>
        </w:rPr>
      </w:pPr>
      <w:r>
        <w:rPr>
          <w:rFonts w:hint="eastAsia" w:ascii="宋体" w:hAnsi="宋体" w:cs="宋体"/>
          <w:b/>
          <w:sz w:val="28"/>
          <w:szCs w:val="28"/>
        </w:rPr>
        <w:br w:type="page" w:clear="all"/>
      </w:r>
      <w:r>
        <w:rPr>
          <w:rFonts w:hint="eastAsia" w:ascii="宋体" w:hAnsi="宋体" w:cs="宋体"/>
          <w:b/>
          <w:sz w:val="28"/>
          <w:szCs w:val="28"/>
        </w:rPr>
        <w:t>第二部分 合同一般条款</w:t>
      </w:r>
    </w:p>
    <w:p w14:paraId="43901D0B">
      <w:pPr>
        <w:spacing w:line="560" w:lineRule="exact"/>
        <w:ind w:firstLine="482"/>
        <w:outlineLvl w:val="0"/>
        <w:rPr>
          <w:rFonts w:ascii="宋体" w:hAnsi="宋体" w:cs="宋体"/>
          <w:b/>
          <w:sz w:val="24"/>
          <w:szCs w:val="24"/>
        </w:rPr>
      </w:pPr>
      <w:bookmarkStart w:id="104" w:name="_Toc16917"/>
      <w:bookmarkStart w:id="105" w:name="_Ref467379109"/>
      <w:bookmarkStart w:id="106" w:name="_Ref467378499"/>
      <w:bookmarkStart w:id="107" w:name="_Ref467379225"/>
      <w:bookmarkStart w:id="108" w:name="_Ref467379205"/>
      <w:bookmarkStart w:id="109" w:name="_Toc259093669"/>
      <w:bookmarkStart w:id="110" w:name="_Ref467379214"/>
      <w:bookmarkStart w:id="111" w:name="_Ref467378404"/>
      <w:bookmarkStart w:id="112" w:name="_Toc28763"/>
      <w:bookmarkStart w:id="113" w:name="_Toc19614"/>
      <w:bookmarkStart w:id="114" w:name="_Ref467378463"/>
      <w:bookmarkStart w:id="115" w:name="_Ref467379195"/>
      <w:bookmarkStart w:id="116" w:name="_Ref467379094"/>
      <w:bookmarkStart w:id="117" w:name="_Toc279701240"/>
      <w:bookmarkStart w:id="118" w:name="_Toc487900349"/>
      <w:bookmarkStart w:id="119" w:name="_Ref467379101"/>
      <w:r>
        <w:rPr>
          <w:rFonts w:hint="eastAsia" w:ascii="宋体" w:hAnsi="宋体" w:cs="宋体"/>
          <w:b/>
          <w:sz w:val="24"/>
          <w:szCs w:val="24"/>
        </w:rPr>
        <w:t>2.1 定义</w:t>
      </w:r>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p>
    <w:p w14:paraId="64287FDA">
      <w:pPr>
        <w:spacing w:line="560" w:lineRule="exact"/>
        <w:ind w:firstLine="480"/>
        <w:rPr>
          <w:rFonts w:ascii="宋体" w:hAnsi="宋体" w:cs="宋体"/>
          <w:sz w:val="24"/>
          <w:szCs w:val="24"/>
        </w:rPr>
      </w:pPr>
      <w:r>
        <w:rPr>
          <w:rFonts w:hint="eastAsia" w:ascii="宋体" w:hAnsi="宋体" w:cs="宋体"/>
          <w:sz w:val="24"/>
          <w:szCs w:val="24"/>
        </w:rPr>
        <w:t>本合同中的下列词语应按以下内容进行解释：</w:t>
      </w:r>
    </w:p>
    <w:p w14:paraId="091774EC">
      <w:pPr>
        <w:spacing w:line="560" w:lineRule="exact"/>
        <w:ind w:firstLine="480"/>
        <w:rPr>
          <w:rFonts w:ascii="宋体" w:hAnsi="宋体" w:cs="宋体"/>
          <w:sz w:val="24"/>
          <w:szCs w:val="24"/>
        </w:rPr>
      </w:pPr>
      <w:r>
        <w:rPr>
          <w:rFonts w:hint="eastAsia" w:ascii="宋体" w:hAnsi="宋体" w:cs="宋体"/>
          <w:sz w:val="24"/>
          <w:szCs w:val="24"/>
        </w:rPr>
        <w:t>2.1.1 “合同”系指采购人和中标或成交供应商签订的载明双方当事人所达成的协议，并包括所有的附件、附录和构成合同的其他文件。</w:t>
      </w:r>
    </w:p>
    <w:p w14:paraId="2707036B">
      <w:pPr>
        <w:spacing w:line="560" w:lineRule="exact"/>
        <w:ind w:firstLine="480"/>
        <w:rPr>
          <w:rFonts w:ascii="宋体" w:hAnsi="宋体" w:cs="宋体"/>
          <w:sz w:val="24"/>
          <w:szCs w:val="24"/>
        </w:rPr>
      </w:pPr>
      <w:r>
        <w:rPr>
          <w:rFonts w:hint="eastAsia" w:ascii="宋体" w:hAnsi="宋体" w:cs="宋体"/>
          <w:sz w:val="24"/>
          <w:szCs w:val="24"/>
        </w:rPr>
        <w:t>2.1.2 “合同价”系指根据合同约定，中标或成交供应商在完全履行合同义务后，采购人应支付给中标或成交供应商的价格。</w:t>
      </w:r>
    </w:p>
    <w:p w14:paraId="219D540D">
      <w:pPr>
        <w:spacing w:line="560" w:lineRule="exact"/>
        <w:ind w:firstLine="480"/>
        <w:rPr>
          <w:rFonts w:ascii="宋体" w:hAnsi="宋体" w:cs="宋体"/>
          <w:sz w:val="24"/>
          <w:szCs w:val="24"/>
        </w:rPr>
      </w:pPr>
      <w:bookmarkStart w:id="120" w:name="_Hlk132880551"/>
      <w:r>
        <w:rPr>
          <w:rFonts w:hint="eastAsia" w:ascii="宋体" w:hAnsi="宋体" w:cs="宋体"/>
          <w:sz w:val="24"/>
          <w:szCs w:val="24"/>
        </w:rPr>
        <w:t>2.1.3</w:t>
      </w:r>
      <w:bookmarkEnd w:id="120"/>
      <w:r>
        <w:rPr>
          <w:rFonts w:hint="eastAsia" w:ascii="宋体" w:hAnsi="宋体" w:cs="宋体"/>
          <w:sz w:val="24"/>
          <w:szCs w:val="24"/>
        </w:rPr>
        <w:t xml:space="preserve"> “货物”系指中标或成交供应商根据合同约定应向采购人交付的一切各种形态和种类的物品，包括原材料、燃料、设备、机械、仪表、备件、计算机软件、产品等，并包括工具、手册等其他相关资料。</w:t>
      </w:r>
    </w:p>
    <w:p w14:paraId="6A93E164">
      <w:pPr>
        <w:spacing w:line="560" w:lineRule="exact"/>
        <w:ind w:firstLine="480"/>
        <w:rPr>
          <w:rFonts w:ascii="宋体" w:hAnsi="宋体" w:cs="宋体"/>
          <w:sz w:val="24"/>
          <w:szCs w:val="24"/>
        </w:rPr>
      </w:pPr>
      <w:r>
        <w:rPr>
          <w:rFonts w:hint="eastAsia" w:ascii="宋体" w:hAnsi="宋体" w:cs="宋体"/>
          <w:sz w:val="24"/>
          <w:szCs w:val="24"/>
        </w:rPr>
        <w:t>2.1.</w:t>
      </w:r>
      <w:r>
        <w:rPr>
          <w:rFonts w:ascii="宋体" w:hAnsi="宋体" w:cs="宋体"/>
          <w:sz w:val="24"/>
          <w:szCs w:val="24"/>
        </w:rPr>
        <w:t>4</w:t>
      </w:r>
      <w:r>
        <w:rPr>
          <w:rFonts w:ascii="宋体" w:hAnsi="宋体"/>
          <w:sz w:val="24"/>
          <w:szCs w:val="24"/>
        </w:rPr>
        <w:t>“</w:t>
      </w:r>
      <w:r>
        <w:rPr>
          <w:rFonts w:hint="eastAsia" w:ascii="宋体" w:hAnsi="宋体"/>
          <w:sz w:val="24"/>
          <w:szCs w:val="24"/>
        </w:rPr>
        <w:t>服务</w:t>
      </w:r>
      <w:r>
        <w:rPr>
          <w:rFonts w:ascii="宋体" w:hAnsi="宋体"/>
          <w:sz w:val="24"/>
          <w:szCs w:val="24"/>
        </w:rPr>
        <w:t>”系指</w:t>
      </w:r>
      <w:r>
        <w:rPr>
          <w:rFonts w:hint="eastAsia" w:ascii="宋体" w:hAnsi="宋体" w:cs="宋体"/>
          <w:sz w:val="24"/>
          <w:szCs w:val="24"/>
        </w:rPr>
        <w:t>中标或成交</w:t>
      </w:r>
      <w:r>
        <w:rPr>
          <w:rFonts w:hint="eastAsia" w:ascii="宋体" w:hAnsi="宋体"/>
          <w:sz w:val="24"/>
          <w:szCs w:val="24"/>
        </w:rPr>
        <w:t>供应商</w:t>
      </w:r>
      <w:r>
        <w:rPr>
          <w:rFonts w:ascii="宋体" w:hAnsi="宋体"/>
          <w:sz w:val="24"/>
          <w:szCs w:val="24"/>
        </w:rPr>
        <w:t>根据合同约定应向采购人</w:t>
      </w:r>
      <w:r>
        <w:rPr>
          <w:rFonts w:hint="eastAsia" w:ascii="宋体" w:hAnsi="宋体"/>
          <w:sz w:val="24"/>
          <w:szCs w:val="24"/>
        </w:rPr>
        <w:t>履行</w:t>
      </w:r>
      <w:r>
        <w:rPr>
          <w:rFonts w:ascii="宋体" w:hAnsi="宋体"/>
          <w:sz w:val="24"/>
          <w:szCs w:val="24"/>
        </w:rPr>
        <w:t>的</w:t>
      </w:r>
      <w:r>
        <w:rPr>
          <w:rFonts w:hint="eastAsia" w:ascii="宋体" w:hAnsi="宋体"/>
          <w:sz w:val="24"/>
          <w:szCs w:val="24"/>
        </w:rPr>
        <w:t>除货物和工程以外的其他政府采购对象，包括采购人自身需要的服务和向社会公众提供的公共服务。</w:t>
      </w:r>
    </w:p>
    <w:p w14:paraId="27F76B19">
      <w:pPr>
        <w:spacing w:line="560" w:lineRule="exact"/>
        <w:ind w:firstLine="480"/>
        <w:rPr>
          <w:rFonts w:ascii="宋体" w:hAnsi="宋体" w:cs="宋体"/>
          <w:sz w:val="24"/>
          <w:szCs w:val="24"/>
        </w:rPr>
      </w:pPr>
      <w:bookmarkStart w:id="121" w:name="_Ref467378840"/>
      <w:r>
        <w:rPr>
          <w:rFonts w:hint="eastAsia" w:ascii="宋体" w:hAnsi="宋体" w:cs="宋体"/>
          <w:sz w:val="24"/>
          <w:szCs w:val="24"/>
        </w:rPr>
        <w:t>2.1.</w:t>
      </w:r>
      <w:r>
        <w:rPr>
          <w:rFonts w:ascii="宋体" w:hAnsi="宋体" w:cs="宋体"/>
          <w:sz w:val="24"/>
          <w:szCs w:val="24"/>
        </w:rPr>
        <w:t>5</w:t>
      </w:r>
      <w:r>
        <w:rPr>
          <w:rFonts w:hint="eastAsia" w:ascii="宋体" w:hAnsi="宋体" w:cs="宋体"/>
          <w:sz w:val="24"/>
          <w:szCs w:val="24"/>
        </w:rPr>
        <w:t xml:space="preserve"> “甲方”系指与中标或成交供应商签署合同的采购人</w:t>
      </w:r>
      <w:bookmarkEnd w:id="121"/>
      <w:r>
        <w:rPr>
          <w:rFonts w:hint="eastAsia" w:ascii="宋体" w:hAnsi="宋体" w:cs="宋体"/>
          <w:sz w:val="24"/>
          <w:szCs w:val="24"/>
        </w:rPr>
        <w:t>；采购人委托采购代理机构代表其与乙方签订合同的，采购人的授权委托书作为合同附件。</w:t>
      </w:r>
    </w:p>
    <w:p w14:paraId="3B87FBC9">
      <w:pPr>
        <w:spacing w:line="560" w:lineRule="exact"/>
        <w:ind w:firstLine="480"/>
        <w:rPr>
          <w:rFonts w:ascii="宋体" w:hAnsi="宋体" w:cs="宋体"/>
          <w:sz w:val="24"/>
          <w:szCs w:val="24"/>
        </w:rPr>
      </w:pPr>
      <w:bookmarkStart w:id="122" w:name="_Ref467379400"/>
      <w:r>
        <w:rPr>
          <w:rFonts w:hint="eastAsia" w:ascii="宋体" w:hAnsi="宋体" w:cs="宋体"/>
          <w:sz w:val="24"/>
          <w:szCs w:val="24"/>
        </w:rPr>
        <w:t>2.1.</w:t>
      </w:r>
      <w:r>
        <w:rPr>
          <w:rFonts w:ascii="宋体" w:hAnsi="宋体" w:cs="宋体"/>
          <w:sz w:val="24"/>
          <w:szCs w:val="24"/>
        </w:rPr>
        <w:t>6</w:t>
      </w:r>
      <w:r>
        <w:rPr>
          <w:rFonts w:hint="eastAsia" w:ascii="宋体" w:hAnsi="宋体" w:cs="宋体"/>
          <w:sz w:val="24"/>
          <w:szCs w:val="24"/>
        </w:rPr>
        <w:t xml:space="preserve"> “乙方”系指根据合同约定交付货物的中标或成交供应商</w:t>
      </w:r>
      <w:bookmarkEnd w:id="122"/>
      <w:r>
        <w:rPr>
          <w:rFonts w:hint="eastAsia" w:ascii="宋体" w:hAnsi="宋体" w:cs="宋体"/>
          <w:sz w:val="24"/>
          <w:szCs w:val="24"/>
        </w:rPr>
        <w:t>；两个以上的自然人、法人或者其他组织组成一个联合体，以一个供应商的身份共同参加政府采购的，联合体各方均应为乙方或者与乙方相同地位的合同当事人，并就合同约定的事项对甲方承担连带责任。</w:t>
      </w:r>
    </w:p>
    <w:p w14:paraId="3018B8DE">
      <w:pPr>
        <w:spacing w:line="560" w:lineRule="exact"/>
        <w:ind w:firstLine="480"/>
        <w:rPr>
          <w:rFonts w:ascii="宋体" w:hAnsi="宋体" w:cs="宋体"/>
          <w:sz w:val="24"/>
          <w:szCs w:val="24"/>
        </w:rPr>
      </w:pPr>
      <w:bookmarkStart w:id="123" w:name="_Ref467379436"/>
      <w:r>
        <w:rPr>
          <w:rFonts w:hint="eastAsia" w:ascii="宋体" w:hAnsi="宋体" w:cs="宋体"/>
          <w:sz w:val="24"/>
          <w:szCs w:val="24"/>
        </w:rPr>
        <w:t>2.1.</w:t>
      </w:r>
      <w:r>
        <w:rPr>
          <w:rFonts w:ascii="宋体" w:hAnsi="宋体" w:cs="宋体"/>
          <w:sz w:val="24"/>
          <w:szCs w:val="24"/>
        </w:rPr>
        <w:t>7</w:t>
      </w:r>
      <w:r>
        <w:rPr>
          <w:rFonts w:hint="eastAsia" w:ascii="宋体" w:hAnsi="宋体" w:cs="宋体"/>
          <w:sz w:val="24"/>
          <w:szCs w:val="24"/>
        </w:rPr>
        <w:t xml:space="preserve"> “现场”系指合同约定货物将要运至或者安装的地点。</w:t>
      </w:r>
      <w:bookmarkEnd w:id="123"/>
    </w:p>
    <w:p w14:paraId="3D2A7C29">
      <w:pPr>
        <w:spacing w:line="560" w:lineRule="exact"/>
        <w:ind w:firstLine="482"/>
        <w:outlineLvl w:val="0"/>
        <w:rPr>
          <w:rFonts w:ascii="宋体" w:hAnsi="宋体" w:cs="宋体"/>
          <w:b/>
          <w:sz w:val="24"/>
          <w:szCs w:val="24"/>
        </w:rPr>
      </w:pPr>
      <w:bookmarkStart w:id="124" w:name="_Toc32504"/>
      <w:bookmarkStart w:id="125" w:name="_Toc487900350"/>
      <w:bookmarkStart w:id="126" w:name="_Toc279701241"/>
      <w:bookmarkStart w:id="127" w:name="_Toc27635"/>
      <w:bookmarkStart w:id="128" w:name="_Toc13336"/>
      <w:bookmarkStart w:id="129" w:name="_Toc259093670"/>
      <w:r>
        <w:rPr>
          <w:rFonts w:hint="eastAsia" w:ascii="宋体" w:hAnsi="宋体" w:cs="宋体"/>
          <w:b/>
          <w:sz w:val="24"/>
          <w:szCs w:val="24"/>
        </w:rPr>
        <w:t>2.2 技术规范</w:t>
      </w:r>
      <w:bookmarkEnd w:id="124"/>
      <w:bookmarkEnd w:id="125"/>
      <w:bookmarkEnd w:id="126"/>
      <w:bookmarkEnd w:id="127"/>
      <w:bookmarkEnd w:id="128"/>
      <w:bookmarkEnd w:id="129"/>
    </w:p>
    <w:p w14:paraId="7EA0D0B9">
      <w:pPr>
        <w:spacing w:line="560" w:lineRule="exact"/>
        <w:ind w:firstLine="480"/>
        <w:rPr>
          <w:rFonts w:ascii="宋体" w:hAnsi="宋体" w:cs="宋体"/>
          <w:sz w:val="24"/>
          <w:szCs w:val="24"/>
        </w:rPr>
      </w:pPr>
      <w:r>
        <w:rPr>
          <w:rFonts w:hint="eastAsia" w:ascii="宋体" w:hAnsi="宋体" w:cs="宋体"/>
          <w:sz w:val="24"/>
          <w:szCs w:val="24"/>
        </w:rPr>
        <w:t>货物或服务所应遵守的技术规范应与采购文件规定的技术规范和技术规范附件(</w:t>
      </w:r>
      <w:r>
        <w:rPr>
          <w:rFonts w:hint="eastAsia" w:ascii="宋体" w:hAnsi="宋体" w:cs="宋体"/>
          <w:i/>
          <w:iCs/>
          <w:sz w:val="24"/>
          <w:szCs w:val="24"/>
        </w:rPr>
        <w:t>如果有的话</w:t>
      </w:r>
      <w:r>
        <w:rPr>
          <w:rFonts w:hint="eastAsia" w:ascii="宋体" w:hAnsi="宋体" w:cs="宋体"/>
          <w:sz w:val="24"/>
          <w:szCs w:val="24"/>
        </w:rPr>
        <w:t>)及其技术规范偏差表(</w:t>
      </w:r>
      <w:r>
        <w:rPr>
          <w:rFonts w:hint="eastAsia" w:ascii="宋体" w:hAnsi="宋体" w:cs="宋体"/>
          <w:i/>
          <w:iCs/>
          <w:sz w:val="24"/>
          <w:szCs w:val="24"/>
        </w:rPr>
        <w:t>如果被甲方接受的话)</w:t>
      </w:r>
      <w:r>
        <w:rPr>
          <w:rFonts w:hint="eastAsia" w:ascii="宋体" w:hAnsi="宋体" w:cs="宋体"/>
          <w:sz w:val="24"/>
          <w:szCs w:val="24"/>
        </w:rPr>
        <w:t>相一致；如果采购文件中没有技术规范的相应说明，那么应以国家有关部门最新颁布的相应标准和规范为准。</w:t>
      </w:r>
    </w:p>
    <w:p w14:paraId="14B3C43E">
      <w:pPr>
        <w:spacing w:line="560" w:lineRule="exact"/>
        <w:ind w:firstLine="482"/>
        <w:outlineLvl w:val="0"/>
        <w:rPr>
          <w:rFonts w:ascii="宋体" w:hAnsi="宋体" w:cs="宋体"/>
          <w:b/>
          <w:sz w:val="24"/>
          <w:szCs w:val="24"/>
        </w:rPr>
      </w:pPr>
      <w:bookmarkStart w:id="130" w:name="_Toc279701242"/>
      <w:bookmarkStart w:id="131" w:name="_Toc27853"/>
      <w:bookmarkStart w:id="132" w:name="_Toc487900351"/>
      <w:bookmarkStart w:id="133" w:name="_Toc31634"/>
      <w:bookmarkStart w:id="134" w:name="_Toc259093671"/>
      <w:bookmarkStart w:id="135" w:name="_Toc9829"/>
      <w:r>
        <w:rPr>
          <w:rFonts w:hint="eastAsia" w:ascii="宋体" w:hAnsi="宋体" w:cs="宋体"/>
          <w:b/>
          <w:sz w:val="24"/>
          <w:szCs w:val="24"/>
        </w:rPr>
        <w:t>2.3 知识产权</w:t>
      </w:r>
      <w:bookmarkEnd w:id="130"/>
      <w:bookmarkEnd w:id="131"/>
      <w:bookmarkEnd w:id="132"/>
      <w:bookmarkEnd w:id="133"/>
      <w:bookmarkEnd w:id="134"/>
      <w:bookmarkEnd w:id="135"/>
    </w:p>
    <w:p w14:paraId="4CD7BED3">
      <w:pPr>
        <w:spacing w:line="560" w:lineRule="exact"/>
        <w:ind w:firstLine="480"/>
        <w:rPr>
          <w:rFonts w:ascii="宋体" w:hAnsi="宋体" w:cs="宋体"/>
          <w:sz w:val="24"/>
          <w:szCs w:val="24"/>
        </w:rPr>
      </w:pPr>
      <w:r>
        <w:rPr>
          <w:rFonts w:hint="eastAsia" w:ascii="宋体" w:hAnsi="宋体" w:cs="宋体"/>
          <w:sz w:val="24"/>
          <w:szCs w:val="24"/>
        </w:rPr>
        <w:t>2.3.1乙方应保证甲方在使用该货物、服务或其任何一部分时不受第三方提出侵犯其著作权、专利权、商标权等知识产权方面的起诉。如果任何第三方提出侵权指控或赔偿要求，乙方必须与第三方交涉，并承担发生和可能发生的一切损失、费用和法律责任。如由于乙方不积极与第三方交涉，甲方有权应诉或进行和解，其发生的费用由乙方承担。乙方还应及时澄清相关信息，使甲方声誉免受损害，甲方保留追责的权利。</w:t>
      </w:r>
    </w:p>
    <w:p w14:paraId="07090F8A">
      <w:pPr>
        <w:spacing w:line="560" w:lineRule="exact"/>
        <w:ind w:firstLine="480"/>
        <w:rPr>
          <w:rFonts w:ascii="宋体" w:hAnsi="宋体" w:cs="宋体"/>
          <w:iCs/>
          <w:sz w:val="24"/>
          <w:szCs w:val="24"/>
        </w:rPr>
      </w:pPr>
      <w:r>
        <w:rPr>
          <w:rFonts w:hint="eastAsia" w:ascii="宋体" w:hAnsi="宋体" w:cs="宋体"/>
          <w:sz w:val="24"/>
          <w:szCs w:val="24"/>
        </w:rPr>
        <w:t>2.3.2具有知识产权的计算机软件等货物或</w:t>
      </w:r>
      <w:r>
        <w:rPr>
          <w:rFonts w:hint="eastAsia" w:ascii="宋体" w:hAnsi="宋体"/>
          <w:sz w:val="24"/>
          <w:szCs w:val="24"/>
        </w:rPr>
        <w:t>技术成果</w:t>
      </w:r>
      <w:r>
        <w:rPr>
          <w:rFonts w:hint="eastAsia" w:ascii="宋体" w:hAnsi="宋体" w:cs="宋体"/>
          <w:sz w:val="24"/>
          <w:szCs w:val="24"/>
        </w:rPr>
        <w:t>的知识产权归属，详见</w:t>
      </w:r>
      <w:r>
        <w:rPr>
          <w:rFonts w:hint="eastAsia" w:ascii="宋体" w:hAnsi="宋体" w:cs="宋体"/>
          <w:b/>
          <w:iCs/>
          <w:sz w:val="24"/>
          <w:szCs w:val="24"/>
          <w:u w:val="single"/>
        </w:rPr>
        <w:t>合同专用条款2</w:t>
      </w:r>
      <w:r>
        <w:rPr>
          <w:rFonts w:ascii="宋体" w:hAnsi="宋体" w:cs="宋体"/>
          <w:b/>
          <w:iCs/>
          <w:sz w:val="24"/>
          <w:szCs w:val="24"/>
          <w:u w:val="single"/>
        </w:rPr>
        <w:t>.3.2</w:t>
      </w:r>
      <w:r>
        <w:rPr>
          <w:rFonts w:hint="eastAsia" w:ascii="宋体" w:hAnsi="宋体" w:cs="宋体"/>
          <w:iCs/>
          <w:sz w:val="24"/>
          <w:szCs w:val="24"/>
        </w:rPr>
        <w:t>。</w:t>
      </w:r>
    </w:p>
    <w:p w14:paraId="21D6A9BE">
      <w:pPr>
        <w:spacing w:line="560" w:lineRule="exact"/>
        <w:ind w:firstLine="482"/>
        <w:outlineLvl w:val="0"/>
        <w:rPr>
          <w:rFonts w:ascii="宋体" w:hAnsi="宋体" w:cs="宋体"/>
          <w:b/>
          <w:sz w:val="24"/>
          <w:szCs w:val="24"/>
        </w:rPr>
      </w:pPr>
      <w:bookmarkStart w:id="136" w:name="_Toc29149"/>
      <w:bookmarkStart w:id="137" w:name="_Toc4194"/>
      <w:bookmarkStart w:id="138" w:name="_Toc11932"/>
      <w:r>
        <w:rPr>
          <w:rFonts w:hint="eastAsia" w:ascii="宋体" w:hAnsi="宋体" w:cs="宋体"/>
          <w:b/>
          <w:sz w:val="24"/>
          <w:szCs w:val="24"/>
        </w:rPr>
        <w:t>2.4 包装和装运</w:t>
      </w:r>
      <w:bookmarkEnd w:id="136"/>
      <w:bookmarkEnd w:id="137"/>
      <w:bookmarkEnd w:id="138"/>
    </w:p>
    <w:p w14:paraId="1556F5E4">
      <w:pPr>
        <w:spacing w:line="560" w:lineRule="exact"/>
        <w:ind w:firstLine="480"/>
        <w:rPr>
          <w:rFonts w:ascii="宋体" w:hAnsi="宋体" w:cs="宋体"/>
          <w:sz w:val="24"/>
          <w:szCs w:val="24"/>
        </w:rPr>
      </w:pPr>
      <w:r>
        <w:rPr>
          <w:rFonts w:hint="eastAsia" w:ascii="宋体" w:hAnsi="宋体" w:cs="宋体"/>
          <w:sz w:val="24"/>
          <w:szCs w:val="24"/>
        </w:rPr>
        <w:t>2.4.1除</w:t>
      </w:r>
      <w:r>
        <w:rPr>
          <w:rFonts w:hint="eastAsia" w:ascii="宋体" w:hAnsi="宋体" w:cs="宋体"/>
          <w:b/>
          <w:iCs/>
          <w:sz w:val="24"/>
          <w:szCs w:val="24"/>
          <w:u w:val="single"/>
        </w:rPr>
        <w:t>合同专用条款2</w:t>
      </w:r>
      <w:r>
        <w:rPr>
          <w:rFonts w:ascii="宋体" w:hAnsi="宋体" w:cs="宋体"/>
          <w:b/>
          <w:iCs/>
          <w:sz w:val="24"/>
          <w:szCs w:val="24"/>
          <w:u w:val="single"/>
        </w:rPr>
        <w:t>.4.1</w:t>
      </w:r>
      <w:r>
        <w:rPr>
          <w:rFonts w:hint="eastAsia" w:ascii="宋体" w:hAnsi="宋体" w:cs="宋体"/>
          <w:sz w:val="24"/>
          <w:szCs w:val="24"/>
        </w:rPr>
        <w:t>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p>
    <w:p w14:paraId="37DA6455">
      <w:pPr>
        <w:spacing w:line="560" w:lineRule="exact"/>
        <w:ind w:firstLine="480"/>
        <w:rPr>
          <w:rFonts w:ascii="宋体" w:hAnsi="宋体" w:cs="宋体"/>
          <w:sz w:val="24"/>
          <w:szCs w:val="24"/>
        </w:rPr>
      </w:pPr>
      <w:r>
        <w:rPr>
          <w:rFonts w:hint="eastAsia" w:ascii="宋体" w:hAnsi="宋体" w:cs="宋体"/>
          <w:sz w:val="24"/>
          <w:szCs w:val="24"/>
        </w:rPr>
        <w:t xml:space="preserve">2.4.2甲方对项目中要求商品包装和快递包装符合《商品包装政府采购需求标准（试行）》《快递包装政府采购需求标准（试行）》具体包装需求标准的，政府采购合同应当载明对乙方提供产品及相关快递服务的具体包装要求和履约验收相关条款，必要时甲方可以要求乙方在履约验收环节出具检测报告。 </w:t>
      </w:r>
    </w:p>
    <w:p w14:paraId="5A4A8276">
      <w:pPr>
        <w:spacing w:line="560" w:lineRule="exact"/>
        <w:ind w:firstLine="480"/>
        <w:rPr>
          <w:rFonts w:ascii="宋体" w:hAnsi="宋体" w:cs="宋体"/>
          <w:sz w:val="24"/>
          <w:szCs w:val="24"/>
        </w:rPr>
      </w:pPr>
      <w:r>
        <w:rPr>
          <w:rFonts w:hint="eastAsia" w:ascii="宋体" w:hAnsi="宋体" w:cs="宋体"/>
          <w:sz w:val="24"/>
          <w:szCs w:val="24"/>
        </w:rPr>
        <w:t>2.4.3 装运货物的要求和通知，详见</w:t>
      </w:r>
      <w:r>
        <w:rPr>
          <w:rFonts w:hint="eastAsia" w:ascii="宋体" w:hAnsi="宋体" w:cs="宋体"/>
          <w:b/>
          <w:iCs/>
          <w:sz w:val="24"/>
          <w:szCs w:val="24"/>
          <w:u w:val="single"/>
        </w:rPr>
        <w:t>合同专用条款2</w:t>
      </w:r>
      <w:r>
        <w:rPr>
          <w:rFonts w:ascii="宋体" w:hAnsi="宋体" w:cs="宋体"/>
          <w:b/>
          <w:iCs/>
          <w:sz w:val="24"/>
          <w:szCs w:val="24"/>
          <w:u w:val="single"/>
        </w:rPr>
        <w:t>.4.3</w:t>
      </w:r>
      <w:r>
        <w:rPr>
          <w:rFonts w:hint="eastAsia" w:ascii="宋体" w:hAnsi="宋体" w:cs="宋体"/>
          <w:iCs/>
          <w:sz w:val="24"/>
          <w:szCs w:val="24"/>
        </w:rPr>
        <w:t>。</w:t>
      </w:r>
    </w:p>
    <w:p w14:paraId="2C59CC45">
      <w:pPr>
        <w:spacing w:line="560" w:lineRule="exact"/>
        <w:ind w:firstLine="482"/>
        <w:outlineLvl w:val="0"/>
        <w:rPr>
          <w:rFonts w:ascii="宋体" w:hAnsi="宋体" w:cs="宋体"/>
          <w:b/>
          <w:sz w:val="24"/>
          <w:szCs w:val="24"/>
        </w:rPr>
      </w:pPr>
      <w:bookmarkStart w:id="139" w:name="_Ref467378541"/>
      <w:bookmarkStart w:id="140" w:name="_Ref467379542"/>
      <w:bookmarkStart w:id="141" w:name="_Ref467379527"/>
      <w:bookmarkStart w:id="142" w:name="_Toc259093674"/>
      <w:bookmarkStart w:id="143" w:name="_Toc279701245"/>
      <w:bookmarkStart w:id="144" w:name="_Toc487900354"/>
      <w:bookmarkStart w:id="145" w:name="_Ref467379536"/>
      <w:bookmarkStart w:id="146" w:name="_Ref467378591"/>
      <w:bookmarkStart w:id="147" w:name="_Toc19074"/>
      <w:bookmarkStart w:id="148" w:name="_Toc30272"/>
      <w:bookmarkStart w:id="149" w:name="_Toc26182"/>
      <w:r>
        <w:rPr>
          <w:rFonts w:hint="eastAsia" w:ascii="宋体" w:hAnsi="宋体" w:cs="宋体"/>
          <w:b/>
          <w:sz w:val="24"/>
          <w:szCs w:val="24"/>
        </w:rPr>
        <w:t>2.</w:t>
      </w:r>
      <w:bookmarkEnd w:id="139"/>
      <w:bookmarkEnd w:id="140"/>
      <w:bookmarkEnd w:id="141"/>
      <w:bookmarkEnd w:id="142"/>
      <w:bookmarkEnd w:id="143"/>
      <w:bookmarkEnd w:id="144"/>
      <w:bookmarkEnd w:id="145"/>
      <w:bookmarkEnd w:id="146"/>
      <w:r>
        <w:rPr>
          <w:rFonts w:hint="eastAsia" w:ascii="宋体" w:hAnsi="宋体" w:cs="宋体"/>
          <w:b/>
          <w:sz w:val="24"/>
          <w:szCs w:val="24"/>
        </w:rPr>
        <w:t>5 履约检查和问题反馈</w:t>
      </w:r>
      <w:bookmarkEnd w:id="147"/>
      <w:bookmarkEnd w:id="148"/>
      <w:bookmarkEnd w:id="149"/>
    </w:p>
    <w:p w14:paraId="4EEC1C55">
      <w:pPr>
        <w:spacing w:line="560" w:lineRule="exact"/>
        <w:ind w:firstLine="480"/>
        <w:rPr>
          <w:rFonts w:hint="eastAsia" w:ascii="宋体" w:hAnsi="宋体" w:cs="宋体"/>
          <w:sz w:val="24"/>
          <w:szCs w:val="24"/>
        </w:rPr>
      </w:pPr>
      <w:bookmarkStart w:id="150" w:name="_Ref467379657"/>
      <w:r>
        <w:rPr>
          <w:rFonts w:hint="eastAsia" w:ascii="宋体" w:hAnsi="宋体" w:cs="宋体"/>
          <w:sz w:val="24"/>
          <w:szCs w:val="24"/>
        </w:rPr>
        <w:t>2.5.1</w:t>
      </w:r>
      <w:bookmarkEnd w:id="150"/>
      <w:bookmarkStart w:id="151" w:name="_Toc186431854"/>
      <w:bookmarkStart w:id="152" w:name="_Ref467379793"/>
      <w:bookmarkStart w:id="153" w:name="_Toc259093676"/>
      <w:bookmarkStart w:id="154" w:name="_Toc279701247"/>
      <w:bookmarkStart w:id="155" w:name="_Ref467379807"/>
      <w:bookmarkStart w:id="156" w:name="_Toc487900357"/>
      <w:r>
        <w:rPr>
          <w:rFonts w:hint="eastAsia" w:ascii="宋体" w:hAnsi="宋体" w:cs="宋体"/>
          <w:sz w:val="24"/>
          <w:szCs w:val="24"/>
        </w:rPr>
        <w:t>甲方有权在其认为必要时，对乙方是否能够按照合同约定交付货物或服务进行履约检查，以确保乙方所交付的货物能够依约满足甲方之项目需求，但不得因履约检查妨碍乙方的正常工作，乙方应予积极配合；</w:t>
      </w:r>
    </w:p>
    <w:p w14:paraId="494DBDBD">
      <w:pPr>
        <w:spacing w:line="560" w:lineRule="exact"/>
        <w:ind w:firstLine="480"/>
        <w:rPr>
          <w:rFonts w:ascii="宋体" w:hAnsi="宋体" w:cs="宋体"/>
          <w:sz w:val="24"/>
          <w:szCs w:val="24"/>
        </w:rPr>
      </w:pPr>
      <w:r>
        <w:rPr>
          <w:rFonts w:hint="eastAsia" w:ascii="宋体" w:hAnsi="宋体" w:cs="宋体"/>
          <w:sz w:val="24"/>
          <w:szCs w:val="24"/>
          <w:lang w:val="en-US" w:eastAsia="zh-CN"/>
        </w:rPr>
        <w:t>2.5.2</w:t>
      </w:r>
      <w:r>
        <w:rPr>
          <w:rFonts w:hint="eastAsia" w:ascii="宋体" w:hAnsi="宋体" w:cs="宋体"/>
          <w:sz w:val="24"/>
          <w:szCs w:val="24"/>
        </w:rPr>
        <w:t>合同履行期间，甲方有权将履行过程中出现的问题反馈给乙方，双方当事人应以书面形式约定需要完善和改进的内容</w:t>
      </w:r>
      <w:bookmarkEnd w:id="151"/>
      <w:bookmarkStart w:id="157" w:name="_Toc186431855"/>
      <w:r>
        <w:rPr>
          <w:rFonts w:hint="eastAsia" w:ascii="宋体" w:hAnsi="宋体" w:cs="宋体"/>
          <w:sz w:val="24"/>
          <w:szCs w:val="24"/>
        </w:rPr>
        <w:t>。</w:t>
      </w:r>
      <w:bookmarkEnd w:id="152"/>
      <w:bookmarkEnd w:id="153"/>
      <w:bookmarkEnd w:id="154"/>
      <w:bookmarkEnd w:id="155"/>
      <w:bookmarkEnd w:id="156"/>
      <w:bookmarkEnd w:id="157"/>
    </w:p>
    <w:p w14:paraId="2411226E">
      <w:pPr>
        <w:spacing w:line="560" w:lineRule="exact"/>
        <w:ind w:firstLine="482"/>
        <w:outlineLvl w:val="0"/>
        <w:rPr>
          <w:rFonts w:ascii="宋体" w:hAnsi="宋体" w:cs="宋体"/>
          <w:b/>
          <w:sz w:val="24"/>
          <w:szCs w:val="24"/>
        </w:rPr>
      </w:pPr>
      <w:bookmarkStart w:id="158" w:name="_Toc279701248"/>
      <w:bookmarkStart w:id="159" w:name="_Ref467379852"/>
      <w:bookmarkStart w:id="160" w:name="_Ref467379923"/>
      <w:bookmarkStart w:id="161" w:name="_Ref467379863"/>
      <w:bookmarkStart w:id="162" w:name="_Toc259093677"/>
      <w:bookmarkStart w:id="163" w:name="_Toc487900358"/>
      <w:bookmarkStart w:id="164" w:name="_Toc16110"/>
      <w:bookmarkStart w:id="165" w:name="_Toc774"/>
      <w:bookmarkStart w:id="166" w:name="_Toc3225"/>
      <w:r>
        <w:rPr>
          <w:rFonts w:hint="eastAsia" w:ascii="宋体" w:hAnsi="宋体" w:cs="宋体"/>
          <w:b/>
          <w:sz w:val="24"/>
          <w:szCs w:val="24"/>
        </w:rPr>
        <w:t>2.6 技术资料</w:t>
      </w:r>
      <w:bookmarkEnd w:id="158"/>
      <w:bookmarkEnd w:id="159"/>
      <w:bookmarkEnd w:id="160"/>
      <w:bookmarkEnd w:id="161"/>
      <w:bookmarkEnd w:id="162"/>
      <w:bookmarkEnd w:id="163"/>
      <w:r>
        <w:rPr>
          <w:rFonts w:hint="eastAsia" w:ascii="宋体" w:hAnsi="宋体" w:cs="宋体"/>
          <w:b/>
          <w:sz w:val="24"/>
          <w:szCs w:val="24"/>
        </w:rPr>
        <w:t>和保密义务</w:t>
      </w:r>
      <w:bookmarkEnd w:id="164"/>
      <w:bookmarkEnd w:id="165"/>
      <w:bookmarkEnd w:id="166"/>
    </w:p>
    <w:p w14:paraId="0E24F5AE">
      <w:pPr>
        <w:spacing w:line="560" w:lineRule="exact"/>
        <w:ind w:firstLine="480"/>
        <w:rPr>
          <w:rFonts w:ascii="宋体" w:hAnsi="宋体" w:cs="宋体"/>
          <w:sz w:val="24"/>
          <w:szCs w:val="24"/>
        </w:rPr>
      </w:pPr>
      <w:r>
        <w:rPr>
          <w:rFonts w:hint="eastAsia" w:ascii="宋体" w:hAnsi="宋体" w:cs="宋体"/>
          <w:sz w:val="24"/>
          <w:szCs w:val="24"/>
        </w:rPr>
        <w:t>2.6.1 乙方有权依据合同约定和项目需要，向甲方了解有关情况，调阅有关资料等，甲方应予积极配合；</w:t>
      </w:r>
    </w:p>
    <w:p w14:paraId="0F3CCD94">
      <w:pPr>
        <w:spacing w:line="560" w:lineRule="exact"/>
        <w:ind w:firstLine="480"/>
        <w:rPr>
          <w:rFonts w:ascii="宋体" w:hAnsi="宋体" w:cs="宋体"/>
          <w:sz w:val="24"/>
          <w:szCs w:val="24"/>
        </w:rPr>
      </w:pPr>
      <w:r>
        <w:rPr>
          <w:rFonts w:hint="eastAsia" w:ascii="宋体" w:hAnsi="宋体" w:cs="宋体"/>
          <w:sz w:val="24"/>
          <w:szCs w:val="24"/>
        </w:rPr>
        <w:t>2.6.2 乙方有义务妥善保管和保护由甲方提供的前款信息和资料等；</w:t>
      </w:r>
    </w:p>
    <w:p w14:paraId="5050D581">
      <w:pPr>
        <w:spacing w:line="560" w:lineRule="exact"/>
        <w:ind w:firstLine="480"/>
        <w:rPr>
          <w:rFonts w:ascii="宋体" w:hAnsi="宋体" w:cs="宋体"/>
          <w:sz w:val="24"/>
          <w:szCs w:val="24"/>
        </w:rPr>
      </w:pPr>
      <w:r>
        <w:rPr>
          <w:rFonts w:hint="eastAsia" w:ascii="宋体" w:hAnsi="宋体" w:cs="宋体"/>
          <w:sz w:val="24"/>
          <w:szCs w:val="24"/>
        </w:rPr>
        <w:t>2.6.3 除非依照法律规定或者对方当事人的书面同意，任何一方均应保证不向任何第三方提供或披露有关合同的或者履行合同过程中知悉的对方当事人任何依法不予公开的信息和资料，包括但不限于技术情报、技术资料、商业秘密和商业信息等，并采取一切合理和必要措施和方式防止任何第三方接触到对方当事人的上述保密信息和资料。</w:t>
      </w:r>
    </w:p>
    <w:p w14:paraId="1B3E7CF5">
      <w:pPr>
        <w:spacing w:line="560" w:lineRule="exact"/>
        <w:ind w:firstLine="480"/>
        <w:rPr>
          <w:rFonts w:ascii="宋体" w:hAnsi="宋体" w:cs="宋体"/>
          <w:sz w:val="24"/>
          <w:szCs w:val="24"/>
        </w:rPr>
      </w:pPr>
      <w:r>
        <w:rPr>
          <w:rFonts w:hint="eastAsia" w:ascii="宋体" w:hAnsi="宋体" w:cs="宋体"/>
          <w:sz w:val="24"/>
          <w:szCs w:val="24"/>
        </w:rPr>
        <w:t>2.6.4 除履行本合同义务内容所需外，未经对方事先书面同意，任一方不得擅自使用、复制商标、标志、商业信息、技术及其他资料。</w:t>
      </w:r>
    </w:p>
    <w:p w14:paraId="7E9E828D">
      <w:pPr>
        <w:spacing w:line="560" w:lineRule="exact"/>
        <w:ind w:firstLine="480"/>
        <w:rPr>
          <w:rFonts w:ascii="宋体" w:hAnsi="宋体" w:cs="宋体"/>
          <w:sz w:val="24"/>
          <w:szCs w:val="24"/>
        </w:rPr>
      </w:pPr>
      <w:r>
        <w:rPr>
          <w:rFonts w:hint="eastAsia" w:ascii="宋体" w:hAnsi="宋体" w:cs="宋体"/>
          <w:sz w:val="24"/>
          <w:szCs w:val="24"/>
        </w:rPr>
        <w:t>2.6.5 本保密条款长期有效，本合同变更、终止或解除等均不影响本条款的效力。</w:t>
      </w:r>
    </w:p>
    <w:p w14:paraId="1C4AD5BC">
      <w:pPr>
        <w:spacing w:line="560" w:lineRule="exact"/>
        <w:ind w:firstLine="482"/>
        <w:outlineLvl w:val="0"/>
        <w:rPr>
          <w:rFonts w:ascii="宋体" w:hAnsi="宋体" w:cs="宋体"/>
          <w:b/>
          <w:sz w:val="24"/>
          <w:szCs w:val="24"/>
        </w:rPr>
      </w:pPr>
      <w:bookmarkStart w:id="167" w:name="_Toc7860"/>
      <w:r>
        <w:rPr>
          <w:rFonts w:hint="eastAsia" w:ascii="宋体" w:hAnsi="宋体" w:cs="宋体"/>
          <w:b/>
          <w:sz w:val="24"/>
          <w:szCs w:val="24"/>
        </w:rPr>
        <w:t>2.7 质量保证</w:t>
      </w:r>
      <w:bookmarkEnd w:id="167"/>
    </w:p>
    <w:p w14:paraId="7A0B5DCE">
      <w:pPr>
        <w:spacing w:line="560" w:lineRule="exact"/>
        <w:ind w:firstLine="480"/>
        <w:rPr>
          <w:rFonts w:ascii="宋体" w:hAnsi="宋体" w:cs="宋体"/>
          <w:sz w:val="24"/>
          <w:szCs w:val="24"/>
        </w:rPr>
      </w:pPr>
      <w:r>
        <w:rPr>
          <w:rFonts w:hint="eastAsia" w:ascii="宋体" w:hAnsi="宋体" w:cs="宋体"/>
          <w:sz w:val="24"/>
          <w:szCs w:val="24"/>
        </w:rPr>
        <w:t>2.7.1 乙方应建立和完善履行合同的内部质量保证体系，并提供相关内部规章制度给甲方，以便甲方进行监督检查；</w:t>
      </w:r>
    </w:p>
    <w:p w14:paraId="31C7FAD7">
      <w:pPr>
        <w:spacing w:line="560" w:lineRule="exact"/>
        <w:ind w:firstLine="480"/>
        <w:rPr>
          <w:rFonts w:ascii="宋体" w:hAnsi="宋体" w:cs="宋体"/>
          <w:sz w:val="24"/>
          <w:szCs w:val="24"/>
        </w:rPr>
      </w:pPr>
      <w:r>
        <w:rPr>
          <w:rFonts w:hint="eastAsia" w:ascii="宋体" w:hAnsi="宋体" w:cs="宋体"/>
          <w:sz w:val="24"/>
          <w:szCs w:val="24"/>
        </w:rPr>
        <w:t>2.7.2 乙方应保证履行合同的人员数量和素质、软件和硬件设备的配置、场地、环境和设施等满足全面履行合同的要求，并应接受甲方的监督检查。</w:t>
      </w:r>
    </w:p>
    <w:p w14:paraId="5032C56F">
      <w:pPr>
        <w:spacing w:line="560" w:lineRule="exact"/>
        <w:ind w:firstLine="482"/>
        <w:outlineLvl w:val="0"/>
        <w:rPr>
          <w:rFonts w:ascii="宋体" w:hAnsi="宋体" w:cs="宋体"/>
          <w:b/>
          <w:sz w:val="24"/>
          <w:szCs w:val="24"/>
        </w:rPr>
      </w:pPr>
      <w:bookmarkStart w:id="168" w:name="_Toc17244"/>
      <w:bookmarkStart w:id="169" w:name="_Toc259093681"/>
      <w:bookmarkStart w:id="170" w:name="_Toc279701252"/>
      <w:bookmarkStart w:id="171" w:name="_Toc487900362"/>
      <w:r>
        <w:rPr>
          <w:rFonts w:hint="eastAsia" w:ascii="宋体" w:hAnsi="宋体" w:cs="宋体"/>
          <w:b/>
          <w:sz w:val="24"/>
          <w:szCs w:val="24"/>
        </w:rPr>
        <w:t>2.8 货物的风险负担</w:t>
      </w:r>
      <w:bookmarkEnd w:id="168"/>
    </w:p>
    <w:p w14:paraId="19BE365F">
      <w:pPr>
        <w:spacing w:line="560" w:lineRule="exact"/>
        <w:ind w:firstLine="480"/>
        <w:rPr>
          <w:rFonts w:ascii="宋体" w:hAnsi="宋体" w:cs="宋体"/>
          <w:b/>
          <w:iCs/>
          <w:sz w:val="24"/>
          <w:szCs w:val="24"/>
        </w:rPr>
      </w:pPr>
      <w:r>
        <w:rPr>
          <w:rFonts w:hint="eastAsia" w:ascii="宋体" w:hAnsi="宋体" w:cs="宋体"/>
          <w:sz w:val="24"/>
          <w:szCs w:val="24"/>
        </w:rPr>
        <w:t>货物或者在途货物或者交付给第一承运人后的货物毁损、灭失的风险负担详见</w:t>
      </w:r>
      <w:r>
        <w:rPr>
          <w:rFonts w:hint="eastAsia" w:ascii="宋体" w:hAnsi="宋体" w:cs="宋体"/>
          <w:b/>
          <w:iCs/>
          <w:sz w:val="24"/>
          <w:szCs w:val="24"/>
          <w:u w:val="single"/>
        </w:rPr>
        <w:t>合同专用条款2</w:t>
      </w:r>
      <w:r>
        <w:rPr>
          <w:rFonts w:ascii="宋体" w:hAnsi="宋体" w:cs="宋体"/>
          <w:b/>
          <w:iCs/>
          <w:sz w:val="24"/>
          <w:szCs w:val="24"/>
          <w:u w:val="single"/>
        </w:rPr>
        <w:t>.8</w:t>
      </w:r>
      <w:r>
        <w:rPr>
          <w:rFonts w:hint="eastAsia" w:ascii="宋体" w:hAnsi="宋体" w:cs="宋体"/>
          <w:iCs/>
          <w:sz w:val="24"/>
          <w:szCs w:val="24"/>
        </w:rPr>
        <w:t>。</w:t>
      </w:r>
    </w:p>
    <w:p w14:paraId="77C806DF">
      <w:pPr>
        <w:spacing w:line="560" w:lineRule="exact"/>
        <w:ind w:firstLine="482"/>
        <w:outlineLvl w:val="0"/>
        <w:rPr>
          <w:rFonts w:ascii="宋体" w:hAnsi="宋体" w:cs="宋体"/>
          <w:b/>
          <w:sz w:val="24"/>
          <w:szCs w:val="24"/>
        </w:rPr>
      </w:pPr>
      <w:bookmarkStart w:id="172" w:name="_Toc14055"/>
      <w:r>
        <w:rPr>
          <w:rFonts w:hint="eastAsia" w:ascii="宋体" w:hAnsi="宋体" w:cs="宋体"/>
          <w:b/>
          <w:sz w:val="24"/>
          <w:szCs w:val="24"/>
        </w:rPr>
        <w:t>2.9 延迟</w:t>
      </w:r>
      <w:bookmarkEnd w:id="169"/>
      <w:bookmarkEnd w:id="170"/>
      <w:bookmarkEnd w:id="171"/>
      <w:bookmarkEnd w:id="172"/>
      <w:r>
        <w:rPr>
          <w:rFonts w:hint="eastAsia" w:ascii="宋体" w:hAnsi="宋体" w:cs="宋体"/>
          <w:b/>
          <w:sz w:val="24"/>
          <w:szCs w:val="24"/>
        </w:rPr>
        <w:t>交付</w:t>
      </w:r>
    </w:p>
    <w:p w14:paraId="05DBA27B">
      <w:pPr>
        <w:spacing w:line="560" w:lineRule="exact"/>
        <w:ind w:firstLine="480"/>
        <w:rPr>
          <w:rFonts w:ascii="宋体" w:hAnsi="宋体" w:cs="宋体"/>
          <w:sz w:val="24"/>
          <w:szCs w:val="24"/>
        </w:rPr>
      </w:pPr>
      <w:r>
        <w:rPr>
          <w:rFonts w:hint="eastAsia" w:ascii="宋体" w:hAnsi="宋体"/>
          <w:sz w:val="24"/>
          <w:szCs w:val="24"/>
        </w:rPr>
        <w:t>甲乙双方签订合同后，乙方应按照合同约定履行合同义务，除不可抗力外，乙方不得延迟交付。</w:t>
      </w:r>
      <w:r>
        <w:rPr>
          <w:rFonts w:hint="eastAsia" w:ascii="宋体" w:hAnsi="宋体" w:cs="宋体"/>
          <w:sz w:val="24"/>
          <w:szCs w:val="24"/>
        </w:rPr>
        <w:t>在合同履行过程中，如果因不可抗力，乙方遇到不能按时交付的情况，应及时以书面形式将不能按时交付的理由、预期延误时间通知甲方；甲方收到乙方通知后，认为其理由正当的，可以书面形式酌情同意乙方可以延长交货的具体时间。</w:t>
      </w:r>
    </w:p>
    <w:p w14:paraId="70FE0D79">
      <w:pPr>
        <w:spacing w:line="560" w:lineRule="exact"/>
        <w:ind w:firstLine="482"/>
        <w:outlineLvl w:val="0"/>
        <w:rPr>
          <w:rFonts w:ascii="宋体" w:hAnsi="宋体" w:cs="宋体"/>
          <w:b/>
          <w:sz w:val="24"/>
          <w:szCs w:val="24"/>
        </w:rPr>
      </w:pPr>
      <w:bookmarkStart w:id="173" w:name="_Toc7502"/>
      <w:bookmarkStart w:id="174" w:name="_Toc487900364"/>
      <w:bookmarkStart w:id="175" w:name="_Toc279701254"/>
      <w:bookmarkStart w:id="176" w:name="_Toc259093683"/>
      <w:bookmarkStart w:id="177" w:name="_Ref467378121"/>
      <w:r>
        <w:rPr>
          <w:rFonts w:hint="eastAsia" w:ascii="宋体" w:hAnsi="宋体" w:cs="宋体"/>
          <w:b/>
          <w:sz w:val="24"/>
          <w:szCs w:val="24"/>
        </w:rPr>
        <w:t>2.10 合同变更</w:t>
      </w:r>
      <w:bookmarkEnd w:id="173"/>
    </w:p>
    <w:p w14:paraId="790107E2">
      <w:pPr>
        <w:spacing w:line="560" w:lineRule="exact"/>
        <w:ind w:firstLine="480"/>
        <w:rPr>
          <w:rFonts w:ascii="宋体" w:hAnsi="宋体" w:cs="宋体"/>
          <w:sz w:val="24"/>
          <w:szCs w:val="24"/>
        </w:rPr>
      </w:pPr>
      <w:r>
        <w:rPr>
          <w:rFonts w:hint="eastAsia" w:ascii="宋体" w:hAnsi="宋体" w:cs="宋体"/>
          <w:sz w:val="24"/>
          <w:szCs w:val="24"/>
        </w:rPr>
        <w:t>合同继续履行将损害国家利益和社会公共利益的，双方当事人应当以书面形式变更合同。有过错的一方应当承担赔偿责任，双方当事人都有过错的，各自承担相应的责任。</w:t>
      </w:r>
      <w:bookmarkStart w:id="178" w:name="_Toc259093688"/>
      <w:bookmarkStart w:id="179" w:name="_Toc487900369"/>
      <w:bookmarkStart w:id="180" w:name="_Toc279701259"/>
    </w:p>
    <w:p w14:paraId="3B12070D">
      <w:pPr>
        <w:spacing w:line="560" w:lineRule="exact"/>
        <w:ind w:firstLine="482"/>
        <w:outlineLvl w:val="0"/>
        <w:rPr>
          <w:rFonts w:ascii="宋体" w:hAnsi="宋体" w:cs="宋体"/>
          <w:b/>
          <w:sz w:val="24"/>
          <w:szCs w:val="24"/>
        </w:rPr>
      </w:pPr>
      <w:bookmarkStart w:id="181" w:name="_Toc10366"/>
      <w:bookmarkStart w:id="182" w:name="_Toc15237"/>
      <w:bookmarkStart w:id="183" w:name="_Toc22955"/>
      <w:r>
        <w:rPr>
          <w:rFonts w:hint="eastAsia" w:ascii="宋体" w:hAnsi="宋体" w:cs="宋体"/>
          <w:b/>
          <w:sz w:val="24"/>
          <w:szCs w:val="24"/>
        </w:rPr>
        <w:t>2.11 合同转让</w:t>
      </w:r>
      <w:bookmarkEnd w:id="178"/>
      <w:bookmarkEnd w:id="179"/>
      <w:bookmarkEnd w:id="180"/>
      <w:r>
        <w:rPr>
          <w:rFonts w:hint="eastAsia" w:ascii="宋体" w:hAnsi="宋体" w:cs="宋体"/>
          <w:b/>
          <w:sz w:val="24"/>
          <w:szCs w:val="24"/>
        </w:rPr>
        <w:t>和分包</w:t>
      </w:r>
      <w:bookmarkEnd w:id="181"/>
      <w:bookmarkEnd w:id="182"/>
      <w:bookmarkEnd w:id="183"/>
    </w:p>
    <w:p w14:paraId="672127A2">
      <w:pPr>
        <w:spacing w:line="560" w:lineRule="exact"/>
        <w:ind w:firstLine="480"/>
        <w:rPr>
          <w:rFonts w:ascii="宋体" w:hAnsi="宋体" w:cs="宋体"/>
          <w:sz w:val="24"/>
          <w:szCs w:val="24"/>
        </w:rPr>
      </w:pPr>
      <w:r>
        <w:rPr>
          <w:rFonts w:hint="eastAsia" w:ascii="宋体" w:hAnsi="宋体" w:cs="宋体"/>
          <w:sz w:val="24"/>
          <w:szCs w:val="24"/>
        </w:rPr>
        <w:t>2.11.1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rPr>
          <w:rFonts w:hint="eastAsia" w:ascii="宋体" w:hAnsi="宋体"/>
          <w:sz w:val="24"/>
          <w:szCs w:val="24"/>
          <w:shd w:val="clear" w:color="auto" w:fill="FFFFFF"/>
        </w:rPr>
        <w:t>享受中小企业扶持政策获得政府采购合同的，小微企业不得将合同分包给大中型企业，中型企业不得将合同分包给大型企业。</w:t>
      </w:r>
    </w:p>
    <w:p w14:paraId="32C390B4">
      <w:pPr>
        <w:spacing w:line="560" w:lineRule="exact"/>
        <w:ind w:firstLine="480"/>
        <w:rPr>
          <w:rFonts w:ascii="宋体" w:hAnsi="宋体" w:cs="宋体"/>
          <w:sz w:val="24"/>
          <w:szCs w:val="24"/>
        </w:rPr>
      </w:pPr>
      <w:r>
        <w:rPr>
          <w:rFonts w:hint="eastAsia" w:ascii="宋体" w:hAnsi="宋体" w:cs="宋体"/>
          <w:sz w:val="24"/>
          <w:szCs w:val="24"/>
        </w:rPr>
        <w:t>2.11.2乙方采取分包方式履行合同的，甲方可直接向分包供应商支付款项。</w:t>
      </w:r>
    </w:p>
    <w:p w14:paraId="49BE4422">
      <w:pPr>
        <w:spacing w:line="560" w:lineRule="exact"/>
        <w:ind w:firstLine="482"/>
        <w:outlineLvl w:val="0"/>
        <w:rPr>
          <w:rFonts w:ascii="宋体" w:hAnsi="宋体" w:cs="宋体"/>
          <w:b/>
          <w:sz w:val="24"/>
          <w:szCs w:val="24"/>
        </w:rPr>
      </w:pPr>
      <w:bookmarkStart w:id="184" w:name="_Toc14066"/>
      <w:bookmarkStart w:id="185" w:name="_Toc13566"/>
      <w:bookmarkStart w:id="186" w:name="_Toc16508"/>
      <w:r>
        <w:rPr>
          <w:rFonts w:hint="eastAsia" w:ascii="宋体" w:hAnsi="宋体" w:cs="宋体"/>
          <w:b/>
          <w:sz w:val="24"/>
          <w:szCs w:val="24"/>
        </w:rPr>
        <w:t>2.12 不可抗力</w:t>
      </w:r>
      <w:bookmarkEnd w:id="184"/>
      <w:bookmarkEnd w:id="185"/>
      <w:bookmarkEnd w:id="186"/>
    </w:p>
    <w:p w14:paraId="2A378849">
      <w:pPr>
        <w:spacing w:line="560" w:lineRule="exact"/>
        <w:ind w:firstLine="480"/>
        <w:rPr>
          <w:rFonts w:ascii="宋体" w:hAnsi="宋体" w:cs="宋体"/>
          <w:sz w:val="24"/>
          <w:szCs w:val="24"/>
        </w:rPr>
      </w:pPr>
      <w:r>
        <w:rPr>
          <w:rFonts w:hint="eastAsia" w:ascii="宋体" w:hAnsi="宋体" w:cs="宋体"/>
          <w:sz w:val="24"/>
          <w:szCs w:val="24"/>
        </w:rPr>
        <w:t>2.12.1如果任何一方遭遇法律规定的不可抗力，致使不能履行本合同部分或全部义务的，甲方和乙方应当积极寻求以合理的方式履行本合同，在取得有关机构的不可抗力证明或双方谅解确认后，允许延期履行或修订本合同。</w:t>
      </w:r>
    </w:p>
    <w:p w14:paraId="29A75E18">
      <w:pPr>
        <w:spacing w:line="560" w:lineRule="exact"/>
        <w:ind w:firstLine="480"/>
        <w:rPr>
          <w:rFonts w:ascii="宋体" w:hAnsi="宋体" w:cs="宋体"/>
          <w:sz w:val="24"/>
          <w:szCs w:val="24"/>
        </w:rPr>
      </w:pPr>
      <w:r>
        <w:rPr>
          <w:rFonts w:hint="eastAsia" w:ascii="宋体" w:hAnsi="宋体" w:cs="宋体"/>
          <w:sz w:val="24"/>
          <w:szCs w:val="24"/>
        </w:rPr>
        <w:t>2.12.2如不可抗力无法消除，致使合同目的无法实现的，双方均有权解除合同，且均不互相索赔。</w:t>
      </w:r>
    </w:p>
    <w:p w14:paraId="78925270">
      <w:pPr>
        <w:spacing w:line="560" w:lineRule="exact"/>
        <w:ind w:firstLine="480"/>
        <w:rPr>
          <w:rFonts w:ascii="宋体" w:hAnsi="宋体" w:cs="宋体"/>
          <w:sz w:val="24"/>
          <w:szCs w:val="24"/>
        </w:rPr>
      </w:pPr>
      <w:r>
        <w:rPr>
          <w:rFonts w:hint="eastAsia" w:ascii="宋体" w:hAnsi="宋体" w:cs="宋体"/>
          <w:sz w:val="24"/>
          <w:szCs w:val="24"/>
        </w:rPr>
        <w:t>2.12.3 因不可抗力致使合同有变更必要的，双方当事人应在</w:t>
      </w:r>
      <w:r>
        <w:rPr>
          <w:rFonts w:hint="eastAsia" w:ascii="宋体" w:hAnsi="宋体" w:cs="宋体"/>
          <w:b/>
          <w:iCs/>
          <w:sz w:val="24"/>
          <w:szCs w:val="24"/>
        </w:rPr>
        <w:t>合同专用条款2</w:t>
      </w:r>
      <w:r>
        <w:rPr>
          <w:rFonts w:ascii="宋体" w:hAnsi="宋体" w:cs="宋体"/>
          <w:b/>
          <w:iCs/>
          <w:sz w:val="24"/>
          <w:szCs w:val="24"/>
        </w:rPr>
        <w:t>.12.3</w:t>
      </w:r>
      <w:r>
        <w:rPr>
          <w:rFonts w:hint="eastAsia" w:ascii="宋体" w:hAnsi="宋体" w:cs="宋体"/>
          <w:sz w:val="24"/>
          <w:szCs w:val="24"/>
        </w:rPr>
        <w:t>约定时间内以书面形式变更合同；</w:t>
      </w:r>
    </w:p>
    <w:p w14:paraId="4807843F">
      <w:pPr>
        <w:spacing w:line="560" w:lineRule="exact"/>
        <w:ind w:firstLine="480"/>
        <w:rPr>
          <w:rFonts w:ascii="宋体" w:hAnsi="宋体" w:cs="宋体"/>
          <w:sz w:val="24"/>
          <w:szCs w:val="24"/>
        </w:rPr>
      </w:pPr>
      <w:r>
        <w:rPr>
          <w:rFonts w:hint="eastAsia" w:ascii="宋体" w:hAnsi="宋体" w:cs="宋体"/>
          <w:sz w:val="24"/>
          <w:szCs w:val="24"/>
        </w:rPr>
        <w:t>2.12.4受不可抗力影响的一方在不可抗力发生后，应在</w:t>
      </w:r>
      <w:r>
        <w:rPr>
          <w:rFonts w:hint="eastAsia" w:ascii="宋体" w:hAnsi="宋体" w:cs="宋体"/>
          <w:b/>
          <w:iCs/>
          <w:sz w:val="24"/>
          <w:szCs w:val="24"/>
          <w:u w:val="single"/>
        </w:rPr>
        <w:t>合同专用条款2</w:t>
      </w:r>
      <w:r>
        <w:rPr>
          <w:rFonts w:ascii="宋体" w:hAnsi="宋体" w:cs="宋体"/>
          <w:b/>
          <w:iCs/>
          <w:sz w:val="24"/>
          <w:szCs w:val="24"/>
          <w:u w:val="single"/>
        </w:rPr>
        <w:t>.12.4</w:t>
      </w:r>
      <w:r>
        <w:rPr>
          <w:rFonts w:hint="eastAsia" w:ascii="宋体" w:hAnsi="宋体" w:cs="宋体"/>
          <w:sz w:val="24"/>
          <w:szCs w:val="24"/>
        </w:rPr>
        <w:t>约定时间内以书面形式通知对方当事人，并在</w:t>
      </w:r>
      <w:r>
        <w:rPr>
          <w:rFonts w:hint="eastAsia" w:ascii="宋体" w:hAnsi="宋体" w:cs="宋体"/>
          <w:b/>
          <w:iCs/>
          <w:sz w:val="24"/>
          <w:szCs w:val="24"/>
          <w:u w:val="single"/>
        </w:rPr>
        <w:t>合同专用条款2</w:t>
      </w:r>
      <w:r>
        <w:rPr>
          <w:rFonts w:ascii="宋体" w:hAnsi="宋体" w:cs="宋体"/>
          <w:b/>
          <w:iCs/>
          <w:sz w:val="24"/>
          <w:szCs w:val="24"/>
          <w:u w:val="single"/>
        </w:rPr>
        <w:t>.12.4</w:t>
      </w:r>
      <w:r>
        <w:rPr>
          <w:rFonts w:hint="eastAsia" w:ascii="宋体" w:hAnsi="宋体" w:cs="宋体"/>
          <w:sz w:val="24"/>
          <w:szCs w:val="24"/>
        </w:rPr>
        <w:t>约定时间内，将有关部门出具的证明文件送达对方当事人。</w:t>
      </w:r>
    </w:p>
    <w:p w14:paraId="2DE253AC">
      <w:pPr>
        <w:spacing w:line="560" w:lineRule="exact"/>
        <w:ind w:firstLine="482"/>
        <w:outlineLvl w:val="0"/>
        <w:rPr>
          <w:rFonts w:ascii="宋体" w:hAnsi="宋体" w:cs="宋体"/>
          <w:b/>
          <w:sz w:val="24"/>
          <w:szCs w:val="24"/>
        </w:rPr>
      </w:pPr>
      <w:bookmarkStart w:id="187" w:name="_Toc487900365"/>
      <w:bookmarkStart w:id="188" w:name="_Toc689"/>
      <w:bookmarkStart w:id="189" w:name="_Toc279701255"/>
      <w:bookmarkStart w:id="190" w:name="_Toc259093684"/>
      <w:bookmarkStart w:id="191" w:name="_Toc6969"/>
      <w:bookmarkStart w:id="192" w:name="_Toc30676"/>
      <w:r>
        <w:rPr>
          <w:rFonts w:hint="eastAsia" w:ascii="宋体" w:hAnsi="宋体" w:cs="宋体"/>
          <w:b/>
          <w:sz w:val="24"/>
          <w:szCs w:val="24"/>
        </w:rPr>
        <w:t>2.13 税费</w:t>
      </w:r>
      <w:bookmarkEnd w:id="187"/>
      <w:bookmarkEnd w:id="188"/>
      <w:bookmarkEnd w:id="189"/>
      <w:bookmarkEnd w:id="190"/>
      <w:bookmarkEnd w:id="191"/>
      <w:bookmarkEnd w:id="192"/>
    </w:p>
    <w:p w14:paraId="1EC2DA24">
      <w:pPr>
        <w:spacing w:line="560" w:lineRule="exact"/>
        <w:ind w:firstLine="480"/>
        <w:rPr>
          <w:rFonts w:ascii="宋体" w:hAnsi="宋体" w:cs="宋体"/>
          <w:sz w:val="24"/>
          <w:szCs w:val="24"/>
        </w:rPr>
      </w:pPr>
      <w:r>
        <w:rPr>
          <w:rFonts w:hint="eastAsia" w:ascii="宋体" w:hAnsi="宋体" w:cs="宋体"/>
          <w:sz w:val="24"/>
          <w:szCs w:val="24"/>
        </w:rPr>
        <w:t>与合同有关的一切税费，均按照中华人民共和国法律的相关规定。</w:t>
      </w:r>
    </w:p>
    <w:p w14:paraId="5B6FE802">
      <w:pPr>
        <w:spacing w:line="560" w:lineRule="exact"/>
        <w:ind w:firstLine="482"/>
        <w:outlineLvl w:val="0"/>
        <w:rPr>
          <w:rFonts w:ascii="宋体" w:hAnsi="宋体" w:cs="宋体"/>
          <w:b/>
          <w:sz w:val="24"/>
          <w:szCs w:val="24"/>
        </w:rPr>
      </w:pPr>
      <w:bookmarkStart w:id="193" w:name="_Toc279701258"/>
      <w:bookmarkStart w:id="194" w:name="_Toc487900368"/>
      <w:bookmarkStart w:id="195" w:name="_Toc8298"/>
      <w:bookmarkStart w:id="196" w:name="_Toc16959"/>
      <w:bookmarkStart w:id="197" w:name="_Toc259093687"/>
      <w:bookmarkStart w:id="198" w:name="_Toc7102"/>
      <w:r>
        <w:rPr>
          <w:rFonts w:hint="eastAsia" w:ascii="宋体" w:hAnsi="宋体" w:cs="宋体"/>
          <w:b/>
          <w:sz w:val="24"/>
          <w:szCs w:val="24"/>
        </w:rPr>
        <w:t>2.14乙方破产</w:t>
      </w:r>
      <w:bookmarkEnd w:id="193"/>
      <w:bookmarkEnd w:id="194"/>
      <w:bookmarkEnd w:id="195"/>
      <w:bookmarkEnd w:id="196"/>
      <w:bookmarkEnd w:id="197"/>
      <w:bookmarkEnd w:id="198"/>
    </w:p>
    <w:p w14:paraId="1EEF00F8">
      <w:pPr>
        <w:spacing w:line="560" w:lineRule="exact"/>
        <w:ind w:firstLine="480"/>
        <w:rPr>
          <w:rFonts w:ascii="宋体" w:hAnsi="宋体" w:cs="宋体"/>
          <w:sz w:val="24"/>
          <w:szCs w:val="24"/>
        </w:rPr>
      </w:pPr>
      <w:r>
        <w:rPr>
          <w:rFonts w:hint="eastAsia" w:ascii="宋体" w:hAnsi="宋体" w:cs="宋体"/>
          <w:sz w:val="24"/>
          <w:szCs w:val="24"/>
        </w:rPr>
        <w:t>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p>
    <w:p w14:paraId="04D5BA55">
      <w:pPr>
        <w:spacing w:line="560" w:lineRule="exact"/>
        <w:ind w:firstLine="482"/>
        <w:outlineLvl w:val="0"/>
        <w:rPr>
          <w:rFonts w:ascii="宋体" w:hAnsi="宋体" w:cs="宋体"/>
          <w:b/>
          <w:sz w:val="24"/>
          <w:szCs w:val="24"/>
        </w:rPr>
      </w:pPr>
      <w:bookmarkStart w:id="199" w:name="_Toc29333"/>
      <w:bookmarkStart w:id="200" w:name="_Toc15387"/>
      <w:bookmarkStart w:id="201" w:name="_Toc6134"/>
      <w:r>
        <w:rPr>
          <w:rFonts w:hint="eastAsia" w:ascii="宋体" w:hAnsi="宋体" w:cs="宋体"/>
          <w:b/>
          <w:sz w:val="24"/>
          <w:szCs w:val="24"/>
        </w:rPr>
        <w:t>2.15 合同中止、终止</w:t>
      </w:r>
      <w:bookmarkEnd w:id="199"/>
      <w:bookmarkEnd w:id="200"/>
      <w:bookmarkEnd w:id="201"/>
    </w:p>
    <w:p w14:paraId="254072F8">
      <w:pPr>
        <w:spacing w:line="560" w:lineRule="exact"/>
        <w:ind w:firstLine="480"/>
        <w:rPr>
          <w:rFonts w:ascii="宋体" w:hAnsi="宋体" w:cs="宋体"/>
          <w:sz w:val="24"/>
          <w:szCs w:val="24"/>
        </w:rPr>
      </w:pPr>
      <w:r>
        <w:rPr>
          <w:rFonts w:hint="eastAsia" w:ascii="宋体" w:hAnsi="宋体" w:cs="宋体"/>
          <w:sz w:val="24"/>
          <w:szCs w:val="24"/>
        </w:rPr>
        <w:t>2.15.1 双方当事人不得擅自中止或者终止合同；</w:t>
      </w:r>
    </w:p>
    <w:p w14:paraId="290D5EC2">
      <w:pPr>
        <w:spacing w:line="560" w:lineRule="exact"/>
        <w:ind w:firstLine="480"/>
        <w:rPr>
          <w:rFonts w:ascii="宋体" w:hAnsi="宋体" w:cs="宋体"/>
          <w:sz w:val="24"/>
          <w:szCs w:val="24"/>
        </w:rPr>
      </w:pPr>
      <w:r>
        <w:rPr>
          <w:rFonts w:hint="eastAsia" w:ascii="宋体" w:hAnsi="宋体" w:cs="宋体"/>
          <w:sz w:val="24"/>
          <w:szCs w:val="24"/>
        </w:rPr>
        <w:t>2.15.2合同继续履行将损害国家利益和社会公共利益的，双方当事人应当中止或者终止合同。有过错的一方应当承担赔偿责任，双方当事人都有过错的，各自承担相应的责任。</w:t>
      </w:r>
    </w:p>
    <w:p w14:paraId="3FFF0F6F">
      <w:pPr>
        <w:spacing w:line="560" w:lineRule="exact"/>
        <w:ind w:firstLine="482"/>
        <w:outlineLvl w:val="0"/>
        <w:rPr>
          <w:rFonts w:ascii="宋体" w:hAnsi="宋体" w:cs="宋体"/>
          <w:b/>
          <w:sz w:val="24"/>
          <w:szCs w:val="24"/>
        </w:rPr>
      </w:pPr>
      <w:bookmarkStart w:id="202" w:name="_Toc14563"/>
      <w:bookmarkStart w:id="203" w:name="_Toc6596"/>
      <w:bookmarkStart w:id="204" w:name="_Toc1125"/>
      <w:r>
        <w:rPr>
          <w:rFonts w:hint="eastAsia" w:ascii="宋体" w:hAnsi="宋体" w:cs="宋体"/>
          <w:b/>
          <w:sz w:val="24"/>
          <w:szCs w:val="24"/>
        </w:rPr>
        <w:t>2.16检验和验收</w:t>
      </w:r>
      <w:bookmarkEnd w:id="202"/>
      <w:bookmarkEnd w:id="203"/>
      <w:bookmarkEnd w:id="204"/>
    </w:p>
    <w:p w14:paraId="563BA8F7">
      <w:pPr>
        <w:tabs>
          <w:tab w:val="left" w:pos="360"/>
          <w:tab w:val="left" w:pos="540"/>
          <w:tab w:val="left" w:pos="1080"/>
        </w:tabs>
        <w:spacing w:line="560" w:lineRule="exact"/>
        <w:ind w:firstLine="480"/>
        <w:rPr>
          <w:rFonts w:ascii="宋体" w:hAnsi="宋体" w:cs="宋体"/>
          <w:sz w:val="24"/>
          <w:szCs w:val="24"/>
        </w:rPr>
      </w:pPr>
      <w:r>
        <w:rPr>
          <w:rFonts w:hint="eastAsia" w:ascii="宋体" w:hAnsi="宋体" w:cs="宋体"/>
          <w:sz w:val="24"/>
          <w:szCs w:val="24"/>
        </w:rPr>
        <w:t>2.16.1货物或服务交付前，乙方应对货物或服务的质量、数量等方面进行详细、全面的检验，并向甲方出具证明货物或服务符合合同约定的文件；货物或服务交付时，甲方在</w:t>
      </w:r>
      <w:r>
        <w:rPr>
          <w:rFonts w:hint="eastAsia" w:ascii="宋体" w:hAnsi="宋体" w:cs="宋体"/>
          <w:b/>
          <w:iCs/>
          <w:sz w:val="24"/>
          <w:szCs w:val="24"/>
          <w:u w:val="single"/>
        </w:rPr>
        <w:t>合同专用条款2</w:t>
      </w:r>
      <w:r>
        <w:rPr>
          <w:rFonts w:ascii="宋体" w:hAnsi="宋体" w:cs="宋体"/>
          <w:b/>
          <w:iCs/>
          <w:sz w:val="24"/>
          <w:szCs w:val="24"/>
          <w:u w:val="single"/>
        </w:rPr>
        <w:t>.16.1</w:t>
      </w:r>
      <w:r>
        <w:rPr>
          <w:rFonts w:hint="eastAsia" w:ascii="宋体" w:hAnsi="宋体" w:cs="宋体"/>
          <w:b/>
          <w:iCs/>
          <w:sz w:val="24"/>
          <w:szCs w:val="24"/>
          <w:u w:val="single"/>
        </w:rPr>
        <w:t>（</w:t>
      </w:r>
      <w:r>
        <w:rPr>
          <w:rFonts w:hint="eastAsia" w:ascii="宋体" w:hAnsi="宋体" w:cs="宋体"/>
          <w:b/>
          <w:i/>
          <w:sz w:val="24"/>
          <w:szCs w:val="24"/>
          <w:u w:val="single"/>
        </w:rPr>
        <w:t>提醒：必须填写</w:t>
      </w:r>
      <w:r>
        <w:rPr>
          <w:rFonts w:hint="eastAsia" w:ascii="宋体" w:hAnsi="宋体" w:cs="宋体"/>
          <w:b/>
          <w:iCs/>
          <w:sz w:val="24"/>
          <w:szCs w:val="24"/>
          <w:u w:val="single"/>
        </w:rPr>
        <w:t>）</w:t>
      </w:r>
      <w:r>
        <w:rPr>
          <w:rFonts w:hint="eastAsia" w:ascii="宋体" w:hAnsi="宋体" w:cs="宋体"/>
          <w:sz w:val="24"/>
          <w:szCs w:val="24"/>
        </w:rPr>
        <w:t>约定时间内组织验收，</w:t>
      </w:r>
      <w:r>
        <w:rPr>
          <w:rFonts w:hint="eastAsia" w:ascii="楷体" w:hAnsi="楷体" w:eastAsia="楷体"/>
          <w:sz w:val="24"/>
          <w:szCs w:val="24"/>
        </w:rPr>
        <w:t>甲方可以邀请参加本项目的其他投标人或者第三方机构参与验收。参与验收的投标人或者第三方机构的意见作为参考资料一并存档。政府向社会公众提供的公共服务项目，验收时还应当邀请服务对象参与并出具意见。大型或者复杂的政府采购项目，应当邀请国家认可的质量检测机构参加验收工作。如果发现与合同中要求不符，供应商须承担由此发生的一切损失和费用，并依法接受相应的处理。采购合同的履行、违约责任和解决争议的方式等适用《中华人民共和国民法典》。乙方在履约过程中有政府采购法律法规规定的违法违规情形的，甲方应当及时报告本级政府采购监管部门。</w:t>
      </w:r>
    </w:p>
    <w:p w14:paraId="256BA5ED">
      <w:pPr>
        <w:tabs>
          <w:tab w:val="left" w:pos="360"/>
          <w:tab w:val="left" w:pos="540"/>
          <w:tab w:val="left" w:pos="1080"/>
        </w:tabs>
        <w:spacing w:line="560" w:lineRule="exact"/>
        <w:ind w:firstLine="480"/>
        <w:rPr>
          <w:rFonts w:ascii="宋体" w:hAnsi="宋体" w:cs="宋体"/>
          <w:sz w:val="24"/>
          <w:szCs w:val="24"/>
        </w:rPr>
      </w:pPr>
      <w:r>
        <w:rPr>
          <w:rFonts w:hint="eastAsia" w:ascii="宋体" w:hAnsi="宋体" w:cs="宋体"/>
          <w:sz w:val="24"/>
          <w:szCs w:val="24"/>
        </w:rPr>
        <w:t>2.16.2甲方按照合同约定的技术、服务、安全标准，组织对每一项技术、服务、安全标准的履约情况组织验收后，出具验收书。</w:t>
      </w:r>
      <w:r>
        <w:rPr>
          <w:rFonts w:hint="eastAsia" w:ascii="楷体" w:hAnsi="楷体" w:eastAsia="楷体"/>
          <w:sz w:val="24"/>
          <w:szCs w:val="24"/>
        </w:rPr>
        <w:t>验收方成员应当在验收书上签字，并承担相应的法律责任。</w:t>
      </w:r>
    </w:p>
    <w:p w14:paraId="20C18150">
      <w:pPr>
        <w:tabs>
          <w:tab w:val="left" w:pos="360"/>
          <w:tab w:val="left" w:pos="540"/>
          <w:tab w:val="left" w:pos="1080"/>
        </w:tabs>
        <w:spacing w:line="560" w:lineRule="exact"/>
        <w:ind w:firstLine="480"/>
        <w:rPr>
          <w:rFonts w:ascii="宋体" w:hAnsi="宋体" w:cs="宋体"/>
          <w:iCs/>
          <w:sz w:val="24"/>
          <w:szCs w:val="24"/>
        </w:rPr>
      </w:pPr>
      <w:r>
        <w:rPr>
          <w:rFonts w:hint="eastAsia" w:ascii="宋体" w:hAnsi="宋体" w:cs="宋体"/>
          <w:sz w:val="24"/>
          <w:szCs w:val="24"/>
        </w:rPr>
        <w:t>2.16.3 检验和验收标准、程序等具体内容以及前述验收书的效力详见</w:t>
      </w:r>
      <w:r>
        <w:rPr>
          <w:rFonts w:hint="eastAsia" w:ascii="宋体" w:hAnsi="宋体" w:cs="宋体"/>
          <w:b/>
          <w:iCs/>
          <w:sz w:val="24"/>
          <w:szCs w:val="24"/>
          <w:u w:val="single"/>
        </w:rPr>
        <w:t>合同专用条款2</w:t>
      </w:r>
      <w:r>
        <w:rPr>
          <w:rFonts w:ascii="宋体" w:hAnsi="宋体" w:cs="宋体"/>
          <w:b/>
          <w:iCs/>
          <w:sz w:val="24"/>
          <w:szCs w:val="24"/>
          <w:u w:val="single"/>
        </w:rPr>
        <w:t>.16.3</w:t>
      </w:r>
      <w:r>
        <w:rPr>
          <w:rFonts w:hint="eastAsia" w:ascii="宋体" w:hAnsi="宋体" w:cs="宋体"/>
          <w:iCs/>
          <w:sz w:val="24"/>
          <w:szCs w:val="24"/>
        </w:rPr>
        <w:t>。</w:t>
      </w:r>
      <w:r>
        <w:rPr>
          <w:rFonts w:hint="eastAsia" w:ascii="宋体" w:hAnsi="宋体" w:cs="宋体"/>
          <w:i/>
          <w:sz w:val="24"/>
          <w:szCs w:val="24"/>
        </w:rPr>
        <w:t>（提醒：必须填写）</w:t>
      </w:r>
      <w:bookmarkEnd w:id="174"/>
      <w:bookmarkEnd w:id="175"/>
      <w:bookmarkEnd w:id="176"/>
      <w:bookmarkEnd w:id="177"/>
    </w:p>
    <w:p w14:paraId="35DA752A">
      <w:pPr>
        <w:spacing w:line="560" w:lineRule="exact"/>
        <w:ind w:firstLine="482"/>
        <w:outlineLvl w:val="0"/>
        <w:rPr>
          <w:rFonts w:ascii="宋体" w:hAnsi="宋体" w:cs="宋体"/>
          <w:b/>
          <w:sz w:val="24"/>
          <w:szCs w:val="24"/>
        </w:rPr>
      </w:pPr>
      <w:bookmarkStart w:id="205" w:name="_Toc487900371"/>
      <w:bookmarkStart w:id="206" w:name="_Toc279701261"/>
      <w:bookmarkStart w:id="207" w:name="_Toc259093690"/>
      <w:bookmarkStart w:id="208" w:name="_Toc11284"/>
      <w:bookmarkStart w:id="209" w:name="_Toc25182"/>
      <w:bookmarkStart w:id="210" w:name="_Toc19604"/>
      <w:r>
        <w:rPr>
          <w:rFonts w:hint="eastAsia" w:ascii="宋体" w:hAnsi="宋体" w:cs="宋体"/>
          <w:b/>
          <w:sz w:val="24"/>
          <w:szCs w:val="24"/>
        </w:rPr>
        <w:t>2.17 通知</w:t>
      </w:r>
      <w:bookmarkEnd w:id="205"/>
      <w:bookmarkEnd w:id="206"/>
      <w:bookmarkEnd w:id="207"/>
      <w:r>
        <w:rPr>
          <w:rFonts w:hint="eastAsia" w:ascii="宋体" w:hAnsi="宋体" w:cs="宋体"/>
          <w:b/>
          <w:sz w:val="24"/>
          <w:szCs w:val="24"/>
        </w:rPr>
        <w:t>和送达</w:t>
      </w:r>
      <w:bookmarkEnd w:id="208"/>
      <w:bookmarkEnd w:id="209"/>
      <w:bookmarkEnd w:id="210"/>
    </w:p>
    <w:p w14:paraId="080FD526">
      <w:pPr>
        <w:spacing w:line="560" w:lineRule="exact"/>
        <w:ind w:firstLine="480"/>
        <w:rPr>
          <w:rFonts w:ascii="宋体" w:hAnsi="宋体" w:cs="宋体"/>
          <w:sz w:val="24"/>
          <w:szCs w:val="24"/>
        </w:rPr>
      </w:pPr>
      <w:bookmarkStart w:id="211" w:name="_Toc6698"/>
      <w:bookmarkStart w:id="212" w:name="_Toc3135"/>
      <w:bookmarkStart w:id="213" w:name="_Toc259093691"/>
      <w:bookmarkStart w:id="214" w:name="_Toc487900372"/>
      <w:bookmarkStart w:id="215" w:name="_Toc279701262"/>
      <w:r>
        <w:rPr>
          <w:rFonts w:hint="eastAsia" w:ascii="宋体" w:hAnsi="宋体" w:cs="宋体"/>
          <w:sz w:val="24"/>
          <w:szCs w:val="24"/>
        </w:rPr>
        <w:t xml:space="preserve">2.17.1任何一方因履行合同而以合同第一部分尾部所列明的传真或电子邮件 </w:t>
      </w:r>
      <w:r>
        <w:rPr>
          <w:rFonts w:hint="eastAsia" w:ascii="宋体" w:hAnsi="宋体" w:cs="宋体"/>
          <w:sz w:val="24"/>
          <w:szCs w:val="24"/>
          <w:u w:val="single"/>
        </w:rPr>
        <w:t xml:space="preserve">       </w:t>
      </w:r>
      <w:r>
        <w:rPr>
          <w:rFonts w:hint="eastAsia" w:ascii="宋体" w:hAnsi="宋体" w:cs="宋体"/>
          <w:sz w:val="24"/>
          <w:szCs w:val="24"/>
        </w:rPr>
        <w:t>发出的所有通知、文件、材料，均视为已向对方当事人送达；任何一方变更上述送达方式或者地址的，应于</w:t>
      </w:r>
      <w:r>
        <w:rPr>
          <w:rFonts w:hint="eastAsia" w:ascii="宋体" w:hAnsi="宋体" w:cs="宋体"/>
          <w:sz w:val="24"/>
          <w:szCs w:val="24"/>
          <w:u w:val="single"/>
        </w:rPr>
        <w:t>3</w:t>
      </w:r>
      <w:r>
        <w:rPr>
          <w:rFonts w:hint="eastAsia" w:ascii="宋体" w:hAnsi="宋体" w:cs="宋体"/>
          <w:sz w:val="24"/>
          <w:szCs w:val="24"/>
        </w:rPr>
        <w:t>个工作日内书面通知对方当事人，在对方当事人收到有关变更通知之前，变更前的约定送达方式或者地址仍视为有效。</w:t>
      </w:r>
      <w:bookmarkEnd w:id="211"/>
      <w:bookmarkEnd w:id="212"/>
    </w:p>
    <w:p w14:paraId="20A585F8">
      <w:pPr>
        <w:spacing w:line="560" w:lineRule="exact"/>
        <w:ind w:firstLine="480"/>
        <w:rPr>
          <w:rFonts w:ascii="宋体" w:hAnsi="宋体" w:cs="宋体"/>
          <w:sz w:val="24"/>
          <w:szCs w:val="24"/>
        </w:rPr>
      </w:pPr>
      <w:bookmarkStart w:id="216" w:name="_Toc23294"/>
      <w:bookmarkStart w:id="217" w:name="_Toc23128"/>
      <w:r>
        <w:rPr>
          <w:rFonts w:hint="eastAsia" w:ascii="宋体" w:hAnsi="宋体" w:cs="宋体"/>
          <w:sz w:val="24"/>
          <w:szCs w:val="24"/>
        </w:rPr>
        <w:t>2.17.2</w:t>
      </w:r>
      <w:bookmarkEnd w:id="216"/>
      <w:bookmarkEnd w:id="217"/>
      <w:r>
        <w:rPr>
          <w:rFonts w:hint="eastAsia" w:ascii="宋体" w:hAnsi="宋体" w:cs="宋体"/>
          <w:sz w:val="24"/>
          <w:szCs w:val="24"/>
        </w:rPr>
        <w:t>以当面交付方式送达的，交付之时视为送达；以传真、电子邮件方式送达的，以传真、电子邮件到达受送达人特定系统之时视为送达；以邮寄方式送达的，以回执上注明的收件日期视为送达。</w:t>
      </w:r>
    </w:p>
    <w:p w14:paraId="6E9A9F1A">
      <w:pPr>
        <w:spacing w:line="560" w:lineRule="exact"/>
        <w:ind w:firstLine="482"/>
        <w:outlineLvl w:val="0"/>
        <w:rPr>
          <w:rFonts w:ascii="宋体" w:hAnsi="宋体" w:cs="宋体"/>
          <w:b/>
          <w:sz w:val="24"/>
          <w:szCs w:val="24"/>
        </w:rPr>
      </w:pPr>
      <w:bookmarkStart w:id="218" w:name="_Toc18540"/>
      <w:bookmarkStart w:id="219" w:name="_Toc30599"/>
      <w:bookmarkStart w:id="220" w:name="_Toc4355"/>
      <w:r>
        <w:rPr>
          <w:rFonts w:hint="eastAsia" w:ascii="宋体" w:hAnsi="宋体" w:cs="宋体"/>
          <w:b/>
          <w:sz w:val="24"/>
          <w:szCs w:val="24"/>
        </w:rPr>
        <w:t>2.18 计量单位</w:t>
      </w:r>
      <w:bookmarkEnd w:id="213"/>
      <w:bookmarkEnd w:id="214"/>
      <w:bookmarkEnd w:id="215"/>
      <w:bookmarkEnd w:id="218"/>
      <w:bookmarkEnd w:id="219"/>
      <w:bookmarkEnd w:id="220"/>
    </w:p>
    <w:p w14:paraId="2B294EAF">
      <w:pPr>
        <w:spacing w:line="560" w:lineRule="exact"/>
        <w:ind w:firstLine="480"/>
        <w:rPr>
          <w:rFonts w:ascii="宋体" w:hAnsi="宋体" w:cs="宋体"/>
          <w:sz w:val="24"/>
          <w:szCs w:val="24"/>
        </w:rPr>
      </w:pPr>
      <w:r>
        <w:rPr>
          <w:rFonts w:hint="eastAsia" w:ascii="宋体" w:hAnsi="宋体" w:cs="宋体"/>
          <w:sz w:val="24"/>
          <w:szCs w:val="24"/>
        </w:rPr>
        <w:t>除技术规范中另有规定外,合同的计量单位均使用国家法定计量单位。</w:t>
      </w:r>
    </w:p>
    <w:p w14:paraId="20D7D5C7">
      <w:pPr>
        <w:spacing w:line="560" w:lineRule="exact"/>
        <w:ind w:firstLine="482"/>
        <w:outlineLvl w:val="0"/>
        <w:rPr>
          <w:rFonts w:ascii="宋体" w:hAnsi="宋体" w:cs="宋体"/>
          <w:b/>
          <w:sz w:val="24"/>
          <w:szCs w:val="24"/>
        </w:rPr>
      </w:pPr>
      <w:bookmarkStart w:id="221" w:name="_Toc10330"/>
      <w:bookmarkStart w:id="222" w:name="_Toc487900373"/>
      <w:bookmarkStart w:id="223" w:name="_Toc259093692"/>
      <w:bookmarkStart w:id="224" w:name="_Toc18567"/>
      <w:bookmarkStart w:id="225" w:name="_Toc12773"/>
      <w:bookmarkStart w:id="226" w:name="_Toc279701263"/>
      <w:r>
        <w:rPr>
          <w:rFonts w:hint="eastAsia" w:ascii="宋体" w:hAnsi="宋体" w:cs="宋体"/>
          <w:b/>
          <w:sz w:val="24"/>
          <w:szCs w:val="24"/>
        </w:rPr>
        <w:t>2.19 合同使用的文字和适用的法律</w:t>
      </w:r>
      <w:bookmarkEnd w:id="221"/>
      <w:bookmarkEnd w:id="222"/>
      <w:bookmarkEnd w:id="223"/>
      <w:bookmarkEnd w:id="224"/>
      <w:bookmarkEnd w:id="225"/>
      <w:bookmarkEnd w:id="226"/>
    </w:p>
    <w:p w14:paraId="036FC839">
      <w:pPr>
        <w:spacing w:line="560" w:lineRule="exact"/>
        <w:ind w:firstLine="480"/>
        <w:rPr>
          <w:rFonts w:ascii="宋体" w:hAnsi="宋体" w:cs="宋体"/>
          <w:sz w:val="24"/>
          <w:szCs w:val="24"/>
        </w:rPr>
      </w:pPr>
      <w:r>
        <w:rPr>
          <w:rFonts w:hint="eastAsia" w:ascii="宋体" w:hAnsi="宋体" w:cs="宋体"/>
          <w:sz w:val="24"/>
          <w:szCs w:val="24"/>
        </w:rPr>
        <w:t>2.19.1 合同使用汉语书就、变更和解释；</w:t>
      </w:r>
    </w:p>
    <w:p w14:paraId="06697A63">
      <w:pPr>
        <w:spacing w:line="560" w:lineRule="exact"/>
        <w:ind w:firstLine="480"/>
        <w:rPr>
          <w:rFonts w:ascii="宋体" w:hAnsi="宋体" w:cs="宋体"/>
          <w:sz w:val="24"/>
          <w:szCs w:val="24"/>
        </w:rPr>
      </w:pPr>
      <w:r>
        <w:rPr>
          <w:rFonts w:hint="eastAsia" w:ascii="宋体" w:hAnsi="宋体" w:cs="宋体"/>
          <w:sz w:val="24"/>
          <w:szCs w:val="24"/>
        </w:rPr>
        <w:t>2.19.2 合同适用中华人民共和国法律。</w:t>
      </w:r>
    </w:p>
    <w:p w14:paraId="6D28AEDC">
      <w:pPr>
        <w:spacing w:line="560" w:lineRule="exact"/>
        <w:ind w:firstLine="482"/>
        <w:rPr>
          <w:rFonts w:ascii="宋体" w:hAnsi="宋体" w:cs="宋体"/>
          <w:b/>
          <w:bCs/>
          <w:sz w:val="24"/>
          <w:szCs w:val="24"/>
        </w:rPr>
      </w:pPr>
      <w:r>
        <w:rPr>
          <w:rFonts w:hint="eastAsia" w:ascii="宋体" w:hAnsi="宋体" w:cs="宋体"/>
          <w:b/>
          <w:bCs/>
          <w:sz w:val="24"/>
          <w:szCs w:val="24"/>
        </w:rPr>
        <w:t>2</w:t>
      </w:r>
      <w:r>
        <w:rPr>
          <w:rFonts w:ascii="宋体" w:hAnsi="宋体" w:cs="宋体"/>
          <w:b/>
          <w:bCs/>
          <w:sz w:val="24"/>
          <w:szCs w:val="24"/>
        </w:rPr>
        <w:t>.20</w:t>
      </w:r>
      <w:r>
        <w:rPr>
          <w:rFonts w:hint="eastAsia" w:ascii="宋体" w:hAnsi="宋体" w:cs="宋体"/>
          <w:b/>
          <w:bCs/>
          <w:sz w:val="24"/>
          <w:szCs w:val="24"/>
        </w:rPr>
        <w:t>政府采购信用融资</w:t>
      </w:r>
    </w:p>
    <w:p w14:paraId="6144A484">
      <w:pPr>
        <w:spacing w:line="560" w:lineRule="exact"/>
        <w:ind w:firstLine="480"/>
        <w:rPr>
          <w:rFonts w:ascii="宋体" w:hAnsi="宋体" w:cs="宋体"/>
          <w:sz w:val="24"/>
          <w:szCs w:val="24"/>
        </w:rPr>
      </w:pPr>
      <w:r>
        <w:rPr>
          <w:rFonts w:hint="eastAsia" w:ascii="宋体" w:hAnsi="宋体" w:cs="宋体"/>
          <w:sz w:val="24"/>
          <w:szCs w:val="24"/>
        </w:rPr>
        <w:t>乙方在签订政府采购合同时如遇到资金困难，甲方应当按照</w:t>
      </w:r>
      <w:r>
        <w:rPr>
          <w:rFonts w:hint="eastAsia" w:ascii="宋体" w:hAnsi="宋体" w:cs="楷体"/>
          <w:sz w:val="24"/>
          <w:szCs w:val="24"/>
        </w:rPr>
        <w:t>镇江市财政局和中国人民银行镇江市中心支行联合印发《关于转发〈关于深入推进政府采购线上合同信用融资工作的通知〉的通知》要求协助乙方办理信用融资工作，但甲方不保证信用融资能获得金融机构批准。</w:t>
      </w:r>
    </w:p>
    <w:p w14:paraId="1A1F18E8">
      <w:pPr>
        <w:spacing w:line="560" w:lineRule="exact"/>
        <w:ind w:firstLine="482"/>
        <w:outlineLvl w:val="0"/>
        <w:rPr>
          <w:rFonts w:ascii="宋体" w:hAnsi="宋体" w:cs="宋体"/>
          <w:b/>
          <w:sz w:val="24"/>
          <w:szCs w:val="24"/>
        </w:rPr>
      </w:pPr>
      <w:bookmarkStart w:id="227" w:name="_Toc14001"/>
      <w:bookmarkStart w:id="228" w:name="_Toc6885"/>
      <w:bookmarkStart w:id="229" w:name="_Toc19890"/>
      <w:r>
        <w:rPr>
          <w:rFonts w:hint="eastAsia" w:ascii="宋体" w:hAnsi="宋体" w:cs="宋体"/>
          <w:b/>
          <w:sz w:val="24"/>
          <w:szCs w:val="24"/>
        </w:rPr>
        <w:t>2.2</w:t>
      </w:r>
      <w:r>
        <w:rPr>
          <w:rFonts w:ascii="宋体" w:hAnsi="宋体" w:cs="宋体"/>
          <w:b/>
          <w:sz w:val="24"/>
          <w:szCs w:val="24"/>
        </w:rPr>
        <w:t>1</w:t>
      </w:r>
      <w:r>
        <w:rPr>
          <w:rFonts w:hint="eastAsia" w:ascii="宋体" w:hAnsi="宋体" w:cs="宋体"/>
          <w:b/>
          <w:sz w:val="24"/>
          <w:szCs w:val="24"/>
        </w:rPr>
        <w:t xml:space="preserve"> 合同份数</w:t>
      </w:r>
      <w:bookmarkEnd w:id="227"/>
      <w:bookmarkEnd w:id="228"/>
      <w:bookmarkEnd w:id="229"/>
    </w:p>
    <w:p w14:paraId="190C07EA">
      <w:pPr>
        <w:spacing w:line="560" w:lineRule="exact"/>
        <w:ind w:firstLine="480"/>
        <w:rPr>
          <w:rFonts w:ascii="宋体" w:hAnsi="宋体" w:cs="宋体"/>
          <w:sz w:val="24"/>
          <w:szCs w:val="24"/>
        </w:rPr>
      </w:pPr>
      <w:r>
        <w:rPr>
          <w:rFonts w:hint="eastAsia" w:ascii="宋体" w:hAnsi="宋体" w:cs="宋体"/>
          <w:sz w:val="24"/>
          <w:szCs w:val="24"/>
        </w:rPr>
        <w:t>合同份数按</w:t>
      </w:r>
      <w:r>
        <w:rPr>
          <w:rFonts w:hint="eastAsia" w:ascii="宋体" w:hAnsi="宋体" w:cs="宋体"/>
          <w:b/>
          <w:iCs/>
          <w:sz w:val="24"/>
          <w:szCs w:val="24"/>
          <w:u w:val="single"/>
        </w:rPr>
        <w:t>合同专用条款2</w:t>
      </w:r>
      <w:r>
        <w:rPr>
          <w:rFonts w:ascii="宋体" w:hAnsi="宋体" w:cs="宋体"/>
          <w:b/>
          <w:iCs/>
          <w:sz w:val="24"/>
          <w:szCs w:val="24"/>
          <w:u w:val="single"/>
        </w:rPr>
        <w:t>.2</w:t>
      </w:r>
      <w:r>
        <w:rPr>
          <w:rFonts w:hint="eastAsia" w:ascii="宋体" w:hAnsi="宋体" w:cs="宋体"/>
          <w:b/>
          <w:iCs/>
          <w:sz w:val="24"/>
          <w:szCs w:val="24"/>
          <w:u w:val="single"/>
        </w:rPr>
        <w:t>1</w:t>
      </w:r>
      <w:r>
        <w:rPr>
          <w:rFonts w:hint="eastAsia" w:ascii="宋体" w:hAnsi="宋体" w:cs="宋体"/>
          <w:sz w:val="24"/>
          <w:szCs w:val="24"/>
        </w:rPr>
        <w:t>规定，每份均具有同等法律效力。</w:t>
      </w:r>
    </w:p>
    <w:p w14:paraId="652C3DD8">
      <w:pPr>
        <w:spacing w:line="360" w:lineRule="auto"/>
        <w:ind w:firstLine="2514"/>
        <w:outlineLvl w:val="0"/>
        <w:rPr>
          <w:rFonts w:ascii="宋体" w:hAnsi="宋体" w:cs="宋体"/>
          <w:b/>
          <w:sz w:val="28"/>
          <w:szCs w:val="28"/>
        </w:rPr>
      </w:pPr>
      <w:r>
        <w:rPr>
          <w:rFonts w:hint="eastAsia" w:ascii="宋体" w:hAnsi="宋体" w:cs="宋体"/>
          <w:szCs w:val="24"/>
        </w:rPr>
        <w:br w:type="page" w:clear="all"/>
      </w:r>
      <w:r>
        <w:rPr>
          <w:rFonts w:hint="eastAsia" w:ascii="宋体" w:hAnsi="宋体" w:cs="宋体"/>
          <w:b/>
          <w:color w:val="FF0000"/>
          <w:sz w:val="32"/>
          <w:szCs w:val="20"/>
        </w:rPr>
        <w:t xml:space="preserve"> </w:t>
      </w:r>
      <w:r>
        <w:rPr>
          <w:rFonts w:hint="eastAsia" w:ascii="宋体" w:hAnsi="宋体" w:cs="宋体"/>
          <w:b/>
          <w:sz w:val="28"/>
          <w:szCs w:val="28"/>
        </w:rPr>
        <w:t>第三部分</w:t>
      </w:r>
      <w:r>
        <w:rPr>
          <w:rFonts w:hint="eastAsia" w:ascii="宋体" w:hAnsi="宋体" w:cs="宋体"/>
          <w:b/>
          <w:color w:val="FF0000"/>
          <w:sz w:val="28"/>
          <w:szCs w:val="28"/>
        </w:rPr>
        <w:t xml:space="preserve"> </w:t>
      </w:r>
      <w:r>
        <w:rPr>
          <w:rFonts w:hint="eastAsia" w:ascii="宋体" w:hAnsi="宋体" w:cs="宋体"/>
          <w:b/>
          <w:sz w:val="28"/>
          <w:szCs w:val="28"/>
        </w:rPr>
        <w:t xml:space="preserve"> 合同专用条款</w:t>
      </w:r>
    </w:p>
    <w:p w14:paraId="2A8D9B01">
      <w:pPr>
        <w:keepNext w:val="0"/>
        <w:keepLines w:val="0"/>
        <w:pageBreakBefore w:val="0"/>
        <w:widowControl w:val="0"/>
        <w:spacing w:line="400" w:lineRule="exact"/>
        <w:ind w:firstLine="482"/>
        <w:rPr>
          <w:rFonts w:ascii="宋体" w:hAnsi="宋体" w:cs="宋体"/>
          <w:sz w:val="24"/>
          <w:szCs w:val="24"/>
        </w:rPr>
      </w:pPr>
      <w:r>
        <w:rPr>
          <w:rFonts w:hint="eastAsia" w:ascii="宋体" w:hAnsi="宋体" w:cs="宋体"/>
          <w:sz w:val="24"/>
          <w:szCs w:val="24"/>
        </w:rPr>
        <w:t>本部分是对前两</w:t>
      </w:r>
      <w:bookmarkStart w:id="230" w:name="_Hlk136502841"/>
      <w:r>
        <w:rPr>
          <w:rFonts w:hint="eastAsia" w:ascii="宋体" w:hAnsi="宋体" w:cs="宋体"/>
          <w:sz w:val="24"/>
          <w:szCs w:val="24"/>
        </w:rPr>
        <w:t>部分</w:t>
      </w:r>
      <w:bookmarkEnd w:id="230"/>
      <w:r>
        <w:rPr>
          <w:rFonts w:hint="eastAsia" w:ascii="宋体" w:hAnsi="宋体" w:cs="宋体"/>
          <w:sz w:val="24"/>
          <w:szCs w:val="24"/>
        </w:rPr>
        <w:t>的补充和修改，如果前两部分和本部分的约定不一致，应以本部分的约定为准。本部分的条款号应与前两部分的条款号保持对应；与前两部分无对应关系的内容可另行编制条款号。</w:t>
      </w:r>
    </w:p>
    <w:tbl>
      <w:tblPr>
        <w:tblStyle w:val="30"/>
        <w:tblW w:w="5000"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28" w:type="dxa"/>
          <w:bottom w:w="0" w:type="dxa"/>
          <w:right w:w="28" w:type="dxa"/>
        </w:tblCellMar>
      </w:tblPr>
      <w:tblGrid>
        <w:gridCol w:w="880"/>
        <w:gridCol w:w="8589"/>
      </w:tblGrid>
      <w:tr w14:paraId="78B9B1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391" w:hRule="atLeast"/>
        </w:trPr>
        <w:tc>
          <w:tcPr>
            <w:tcW w:w="876" w:type="dxa"/>
            <w:tcBorders>
              <w:left w:val="single" w:color="000000" w:sz="4" w:space="0"/>
            </w:tcBorders>
            <w:noWrap w:val="0"/>
            <w:vAlign w:val="center"/>
          </w:tcPr>
          <w:p w14:paraId="4DA7720C">
            <w:pPr>
              <w:spacing w:line="360" w:lineRule="auto"/>
              <w:jc w:val="center"/>
              <w:rPr>
                <w:rFonts w:ascii="宋体" w:hAnsi="宋体" w:cs="宋体"/>
                <w:b/>
                <w:sz w:val="24"/>
                <w:szCs w:val="24"/>
              </w:rPr>
            </w:pPr>
            <w:r>
              <w:rPr>
                <w:rFonts w:hint="eastAsia" w:ascii="宋体" w:hAnsi="宋体" w:cs="宋体"/>
                <w:b/>
                <w:sz w:val="24"/>
                <w:szCs w:val="24"/>
              </w:rPr>
              <w:t>条款号</w:t>
            </w:r>
          </w:p>
        </w:tc>
        <w:tc>
          <w:tcPr>
            <w:tcW w:w="8546" w:type="dxa"/>
            <w:noWrap w:val="0"/>
            <w:vAlign w:val="center"/>
          </w:tcPr>
          <w:p w14:paraId="2945B887">
            <w:pPr>
              <w:spacing w:line="360" w:lineRule="auto"/>
              <w:jc w:val="center"/>
              <w:rPr>
                <w:rFonts w:ascii="宋体" w:hAnsi="宋体" w:cs="宋体"/>
                <w:b/>
                <w:sz w:val="24"/>
                <w:szCs w:val="24"/>
              </w:rPr>
            </w:pPr>
            <w:r>
              <w:rPr>
                <w:rFonts w:hint="eastAsia" w:ascii="宋体" w:hAnsi="宋体" w:cs="宋体"/>
                <w:b/>
                <w:sz w:val="24"/>
                <w:szCs w:val="24"/>
              </w:rPr>
              <w:t>约定内容</w:t>
            </w:r>
          </w:p>
        </w:tc>
      </w:tr>
      <w:tr w14:paraId="762449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88" w:hRule="atLeast"/>
        </w:trPr>
        <w:tc>
          <w:tcPr>
            <w:tcW w:w="876" w:type="dxa"/>
            <w:tcBorders>
              <w:left w:val="single" w:color="000000" w:sz="4" w:space="0"/>
            </w:tcBorders>
            <w:noWrap w:val="0"/>
            <w:vAlign w:val="center"/>
          </w:tcPr>
          <w:p w14:paraId="3F69CF58">
            <w:pPr>
              <w:spacing w:line="360" w:lineRule="auto"/>
              <w:rPr>
                <w:rFonts w:ascii="宋体" w:hAnsi="宋体" w:cs="宋体"/>
                <w:sz w:val="24"/>
                <w:szCs w:val="24"/>
              </w:rPr>
            </w:pPr>
            <w:r>
              <w:rPr>
                <w:rFonts w:hint="eastAsia" w:ascii="宋体" w:hAnsi="宋体" w:cs="宋体"/>
                <w:sz w:val="24"/>
                <w:szCs w:val="24"/>
              </w:rPr>
              <w:t>1.</w:t>
            </w:r>
            <w:r>
              <w:rPr>
                <w:rFonts w:ascii="宋体" w:hAnsi="宋体" w:cs="宋体"/>
                <w:sz w:val="24"/>
                <w:szCs w:val="24"/>
              </w:rPr>
              <w:t>4</w:t>
            </w:r>
            <w:r>
              <w:rPr>
                <w:rFonts w:hint="eastAsia" w:ascii="宋体" w:hAnsi="宋体" w:cs="宋体"/>
                <w:sz w:val="24"/>
                <w:szCs w:val="24"/>
              </w:rPr>
              <w:t>.2</w:t>
            </w:r>
          </w:p>
        </w:tc>
        <w:tc>
          <w:tcPr>
            <w:tcW w:w="8546" w:type="dxa"/>
            <w:noWrap w:val="0"/>
            <w:vAlign w:val="center"/>
          </w:tcPr>
          <w:p w14:paraId="7E381449">
            <w:pPr>
              <w:spacing w:line="360" w:lineRule="auto"/>
              <w:rPr>
                <w:rFonts w:ascii="宋体" w:hAnsi="宋体" w:cs="宋体"/>
                <w:sz w:val="24"/>
                <w:szCs w:val="24"/>
              </w:rPr>
            </w:pPr>
          </w:p>
        </w:tc>
      </w:tr>
      <w:tr w14:paraId="773C99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88" w:hRule="atLeast"/>
        </w:trPr>
        <w:tc>
          <w:tcPr>
            <w:tcW w:w="876" w:type="dxa"/>
            <w:tcBorders>
              <w:left w:val="single" w:color="000000" w:sz="4" w:space="0"/>
            </w:tcBorders>
            <w:noWrap w:val="0"/>
            <w:vAlign w:val="center"/>
          </w:tcPr>
          <w:p w14:paraId="336E6510">
            <w:pPr>
              <w:spacing w:line="360" w:lineRule="auto"/>
              <w:rPr>
                <w:rFonts w:ascii="宋体" w:hAnsi="宋体" w:cs="宋体"/>
                <w:sz w:val="24"/>
                <w:szCs w:val="24"/>
              </w:rPr>
            </w:pPr>
            <w:r>
              <w:rPr>
                <w:rFonts w:hint="eastAsia" w:ascii="宋体" w:hAnsi="宋体" w:cs="宋体"/>
                <w:sz w:val="24"/>
                <w:szCs w:val="24"/>
              </w:rPr>
              <w:t>1.</w:t>
            </w:r>
            <w:r>
              <w:rPr>
                <w:rFonts w:ascii="宋体" w:hAnsi="宋体" w:cs="宋体"/>
                <w:sz w:val="24"/>
                <w:szCs w:val="24"/>
              </w:rPr>
              <w:t>5</w:t>
            </w:r>
            <w:r>
              <w:rPr>
                <w:rFonts w:hint="eastAsia" w:ascii="宋体" w:hAnsi="宋体" w:cs="宋体"/>
                <w:sz w:val="24"/>
                <w:szCs w:val="24"/>
              </w:rPr>
              <w:t>.</w:t>
            </w:r>
            <w:r>
              <w:rPr>
                <w:rFonts w:ascii="宋体" w:hAnsi="宋体" w:cs="宋体"/>
                <w:sz w:val="24"/>
                <w:szCs w:val="24"/>
              </w:rPr>
              <w:t>2</w:t>
            </w:r>
          </w:p>
        </w:tc>
        <w:tc>
          <w:tcPr>
            <w:tcW w:w="8546" w:type="dxa"/>
            <w:noWrap w:val="0"/>
            <w:vAlign w:val="center"/>
          </w:tcPr>
          <w:p w14:paraId="3B32A7D7">
            <w:pPr>
              <w:spacing w:line="360" w:lineRule="auto"/>
              <w:rPr>
                <w:rFonts w:ascii="宋体" w:hAnsi="宋体" w:cs="宋体"/>
                <w:sz w:val="24"/>
                <w:szCs w:val="24"/>
              </w:rPr>
            </w:pPr>
          </w:p>
        </w:tc>
      </w:tr>
      <w:tr w14:paraId="20D0C6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88" w:hRule="atLeast"/>
        </w:trPr>
        <w:tc>
          <w:tcPr>
            <w:tcW w:w="876" w:type="dxa"/>
            <w:tcBorders>
              <w:left w:val="single" w:color="000000" w:sz="4" w:space="0"/>
            </w:tcBorders>
            <w:noWrap w:val="0"/>
            <w:vAlign w:val="center"/>
          </w:tcPr>
          <w:p w14:paraId="32E5D198">
            <w:pPr>
              <w:spacing w:line="360" w:lineRule="auto"/>
              <w:rPr>
                <w:rFonts w:ascii="宋体" w:hAnsi="宋体" w:cs="宋体"/>
                <w:sz w:val="24"/>
                <w:szCs w:val="24"/>
              </w:rPr>
            </w:pPr>
            <w:r>
              <w:rPr>
                <w:rFonts w:hint="eastAsia" w:ascii="宋体" w:hAnsi="宋体" w:cs="宋体"/>
                <w:sz w:val="24"/>
                <w:szCs w:val="24"/>
              </w:rPr>
              <w:t>1.</w:t>
            </w:r>
            <w:r>
              <w:rPr>
                <w:rFonts w:ascii="宋体" w:hAnsi="宋体" w:cs="宋体"/>
                <w:sz w:val="24"/>
                <w:szCs w:val="24"/>
              </w:rPr>
              <w:t>6</w:t>
            </w:r>
            <w:r>
              <w:rPr>
                <w:rFonts w:hint="eastAsia" w:ascii="宋体" w:hAnsi="宋体" w:cs="宋体"/>
                <w:sz w:val="24"/>
                <w:szCs w:val="24"/>
              </w:rPr>
              <w:t>.</w:t>
            </w:r>
            <w:r>
              <w:rPr>
                <w:rFonts w:ascii="宋体" w:hAnsi="宋体" w:cs="宋体"/>
                <w:sz w:val="24"/>
                <w:szCs w:val="24"/>
              </w:rPr>
              <w:t>1</w:t>
            </w:r>
            <w:r>
              <w:rPr>
                <w:rFonts w:hint="eastAsia" w:ascii="宋体" w:hAnsi="宋体" w:cs="宋体"/>
                <w:sz w:val="24"/>
                <w:szCs w:val="24"/>
              </w:rPr>
              <w:t xml:space="preserve"> </w:t>
            </w:r>
          </w:p>
        </w:tc>
        <w:tc>
          <w:tcPr>
            <w:tcW w:w="8546" w:type="dxa"/>
            <w:noWrap w:val="0"/>
            <w:vAlign w:val="center"/>
          </w:tcPr>
          <w:p w14:paraId="0AF71E38">
            <w:pPr>
              <w:spacing w:line="360" w:lineRule="auto"/>
              <w:rPr>
                <w:rFonts w:ascii="宋体" w:hAnsi="宋体" w:cs="宋体"/>
                <w:sz w:val="24"/>
                <w:szCs w:val="24"/>
              </w:rPr>
            </w:pPr>
            <w:r>
              <w:rPr>
                <w:rFonts w:hint="eastAsia" w:ascii="宋体" w:hAnsi="宋体" w:cs="宋体"/>
                <w:bCs/>
                <w:sz w:val="24"/>
                <w:highlight w:val="none"/>
                <w:lang w:val="en-US" w:eastAsia="zh-CN"/>
              </w:rPr>
              <w:t>验收合格，且审计后付至审计价款的97%，剩余3%作为质保金，待3年质保期满后付清</w:t>
            </w:r>
            <w:r>
              <w:rPr>
                <w:rFonts w:hint="eastAsia" w:ascii="宋体" w:hAnsi="宋体" w:cs="宋体"/>
                <w:sz w:val="24"/>
                <w:highlight w:val="none"/>
              </w:rPr>
              <w:t>。</w:t>
            </w:r>
          </w:p>
        </w:tc>
      </w:tr>
      <w:tr w14:paraId="391025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88" w:hRule="atLeast"/>
        </w:trPr>
        <w:tc>
          <w:tcPr>
            <w:tcW w:w="876" w:type="dxa"/>
            <w:tcBorders>
              <w:left w:val="single" w:color="000000" w:sz="4" w:space="0"/>
            </w:tcBorders>
            <w:noWrap w:val="0"/>
            <w:vAlign w:val="center"/>
          </w:tcPr>
          <w:p w14:paraId="1B9AA92C">
            <w:pPr>
              <w:spacing w:line="360" w:lineRule="auto"/>
              <w:rPr>
                <w:rFonts w:ascii="宋体" w:hAnsi="宋体" w:cs="宋体"/>
                <w:sz w:val="24"/>
                <w:szCs w:val="24"/>
              </w:rPr>
            </w:pPr>
            <w:r>
              <w:rPr>
                <w:rFonts w:hint="eastAsia" w:ascii="宋体" w:hAnsi="宋体" w:cs="宋体"/>
                <w:sz w:val="24"/>
                <w:szCs w:val="24"/>
              </w:rPr>
              <w:t>1.</w:t>
            </w:r>
            <w:r>
              <w:rPr>
                <w:rFonts w:ascii="宋体" w:hAnsi="宋体" w:cs="宋体"/>
                <w:sz w:val="24"/>
                <w:szCs w:val="24"/>
              </w:rPr>
              <w:t>7</w:t>
            </w:r>
            <w:r>
              <w:rPr>
                <w:rFonts w:hint="eastAsia" w:ascii="宋体" w:hAnsi="宋体" w:cs="宋体"/>
                <w:sz w:val="24"/>
                <w:szCs w:val="24"/>
              </w:rPr>
              <w:t>.</w:t>
            </w:r>
            <w:r>
              <w:rPr>
                <w:rFonts w:ascii="宋体" w:hAnsi="宋体" w:cs="宋体"/>
                <w:sz w:val="24"/>
                <w:szCs w:val="24"/>
              </w:rPr>
              <w:t>2</w:t>
            </w:r>
          </w:p>
        </w:tc>
        <w:tc>
          <w:tcPr>
            <w:tcW w:w="8546" w:type="dxa"/>
            <w:noWrap w:val="0"/>
            <w:vAlign w:val="center"/>
          </w:tcPr>
          <w:p w14:paraId="2051DDA2">
            <w:pPr>
              <w:spacing w:line="360" w:lineRule="auto"/>
              <w:rPr>
                <w:rFonts w:ascii="宋体" w:hAnsi="宋体" w:cs="宋体"/>
                <w:sz w:val="24"/>
                <w:szCs w:val="24"/>
              </w:rPr>
            </w:pPr>
          </w:p>
        </w:tc>
      </w:tr>
      <w:tr w14:paraId="0CBB81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88" w:hRule="atLeast"/>
        </w:trPr>
        <w:tc>
          <w:tcPr>
            <w:tcW w:w="876" w:type="dxa"/>
            <w:tcBorders>
              <w:left w:val="single" w:color="000000" w:sz="4" w:space="0"/>
            </w:tcBorders>
            <w:noWrap w:val="0"/>
            <w:vAlign w:val="center"/>
          </w:tcPr>
          <w:p w14:paraId="2496D4DD">
            <w:pPr>
              <w:spacing w:line="360" w:lineRule="auto"/>
              <w:rPr>
                <w:rFonts w:ascii="宋体" w:hAnsi="宋体" w:cs="宋体"/>
                <w:sz w:val="24"/>
                <w:szCs w:val="24"/>
              </w:rPr>
            </w:pPr>
            <w:r>
              <w:rPr>
                <w:rFonts w:hint="eastAsia" w:ascii="宋体" w:hAnsi="宋体" w:cs="宋体"/>
                <w:sz w:val="24"/>
                <w:szCs w:val="24"/>
              </w:rPr>
              <w:t>1.</w:t>
            </w:r>
            <w:r>
              <w:rPr>
                <w:rFonts w:ascii="宋体" w:hAnsi="宋体" w:cs="宋体"/>
                <w:sz w:val="24"/>
                <w:szCs w:val="24"/>
              </w:rPr>
              <w:t>8</w:t>
            </w:r>
            <w:r>
              <w:rPr>
                <w:rFonts w:hint="eastAsia" w:ascii="宋体" w:hAnsi="宋体" w:cs="宋体"/>
                <w:sz w:val="24"/>
                <w:szCs w:val="24"/>
              </w:rPr>
              <w:t>.1</w:t>
            </w:r>
          </w:p>
        </w:tc>
        <w:tc>
          <w:tcPr>
            <w:tcW w:w="8546" w:type="dxa"/>
            <w:noWrap w:val="0"/>
            <w:vAlign w:val="center"/>
          </w:tcPr>
          <w:p w14:paraId="7D3F6F7F">
            <w:pPr>
              <w:spacing w:line="360" w:lineRule="auto"/>
              <w:rPr>
                <w:rFonts w:ascii="宋体" w:hAnsi="宋体" w:cs="宋体"/>
                <w:sz w:val="24"/>
                <w:szCs w:val="24"/>
              </w:rPr>
            </w:pPr>
          </w:p>
        </w:tc>
      </w:tr>
      <w:tr w14:paraId="5BACF6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88" w:hRule="atLeast"/>
        </w:trPr>
        <w:tc>
          <w:tcPr>
            <w:tcW w:w="876" w:type="dxa"/>
            <w:tcBorders>
              <w:left w:val="single" w:color="000000" w:sz="4" w:space="0"/>
            </w:tcBorders>
            <w:noWrap w:val="0"/>
            <w:vAlign w:val="center"/>
          </w:tcPr>
          <w:p w14:paraId="5EC9CDC3">
            <w:pPr>
              <w:spacing w:line="360" w:lineRule="auto"/>
              <w:rPr>
                <w:rFonts w:ascii="宋体" w:hAnsi="宋体" w:cs="宋体"/>
                <w:sz w:val="24"/>
                <w:szCs w:val="24"/>
              </w:rPr>
            </w:pPr>
            <w:r>
              <w:rPr>
                <w:rFonts w:hint="eastAsia" w:ascii="宋体" w:hAnsi="宋体" w:cs="宋体"/>
                <w:sz w:val="24"/>
                <w:szCs w:val="24"/>
              </w:rPr>
              <w:t>1.</w:t>
            </w:r>
            <w:r>
              <w:rPr>
                <w:rFonts w:ascii="宋体" w:hAnsi="宋体" w:cs="宋体"/>
                <w:sz w:val="24"/>
                <w:szCs w:val="24"/>
              </w:rPr>
              <w:t>8</w:t>
            </w:r>
            <w:r>
              <w:rPr>
                <w:rFonts w:hint="eastAsia" w:ascii="宋体" w:hAnsi="宋体" w:cs="宋体"/>
                <w:sz w:val="24"/>
                <w:szCs w:val="24"/>
              </w:rPr>
              <w:t>.2</w:t>
            </w:r>
          </w:p>
        </w:tc>
        <w:tc>
          <w:tcPr>
            <w:tcW w:w="8546" w:type="dxa"/>
            <w:noWrap w:val="0"/>
            <w:vAlign w:val="center"/>
          </w:tcPr>
          <w:p w14:paraId="4472B8ED">
            <w:pPr>
              <w:spacing w:line="360" w:lineRule="auto"/>
              <w:rPr>
                <w:rFonts w:ascii="宋体" w:hAnsi="宋体" w:cs="宋体"/>
                <w:sz w:val="24"/>
                <w:szCs w:val="24"/>
              </w:rPr>
            </w:pPr>
          </w:p>
        </w:tc>
      </w:tr>
      <w:tr w14:paraId="644BFF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88" w:hRule="atLeast"/>
        </w:trPr>
        <w:tc>
          <w:tcPr>
            <w:tcW w:w="876" w:type="dxa"/>
            <w:tcBorders>
              <w:left w:val="single" w:color="000000" w:sz="4" w:space="0"/>
            </w:tcBorders>
            <w:noWrap w:val="0"/>
            <w:vAlign w:val="center"/>
          </w:tcPr>
          <w:p w14:paraId="25BD05CB">
            <w:pPr>
              <w:spacing w:line="360" w:lineRule="auto"/>
              <w:rPr>
                <w:rFonts w:ascii="宋体" w:hAnsi="宋体" w:cs="宋体"/>
                <w:sz w:val="24"/>
                <w:szCs w:val="24"/>
              </w:rPr>
            </w:pPr>
            <w:r>
              <w:rPr>
                <w:rFonts w:hint="eastAsia" w:ascii="宋体" w:hAnsi="宋体" w:cs="宋体"/>
                <w:sz w:val="24"/>
                <w:szCs w:val="24"/>
              </w:rPr>
              <w:t>1.</w:t>
            </w:r>
            <w:r>
              <w:rPr>
                <w:rFonts w:ascii="宋体" w:hAnsi="宋体" w:cs="宋体"/>
                <w:sz w:val="24"/>
                <w:szCs w:val="24"/>
              </w:rPr>
              <w:t>8</w:t>
            </w:r>
            <w:r>
              <w:rPr>
                <w:rFonts w:hint="eastAsia" w:ascii="宋体" w:hAnsi="宋体" w:cs="宋体"/>
                <w:sz w:val="24"/>
                <w:szCs w:val="24"/>
              </w:rPr>
              <w:t>.3</w:t>
            </w:r>
          </w:p>
        </w:tc>
        <w:tc>
          <w:tcPr>
            <w:tcW w:w="8546" w:type="dxa"/>
            <w:noWrap w:val="0"/>
            <w:vAlign w:val="center"/>
          </w:tcPr>
          <w:p w14:paraId="7C63AD7F">
            <w:pPr>
              <w:spacing w:line="360" w:lineRule="auto"/>
              <w:rPr>
                <w:rFonts w:ascii="宋体" w:hAnsi="宋体" w:cs="宋体"/>
                <w:sz w:val="24"/>
                <w:szCs w:val="24"/>
              </w:rPr>
            </w:pPr>
          </w:p>
        </w:tc>
      </w:tr>
      <w:tr w14:paraId="5D9535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88" w:hRule="atLeast"/>
        </w:trPr>
        <w:tc>
          <w:tcPr>
            <w:tcW w:w="876" w:type="dxa"/>
            <w:tcBorders>
              <w:left w:val="single" w:color="000000" w:sz="4" w:space="0"/>
            </w:tcBorders>
            <w:noWrap w:val="0"/>
            <w:vAlign w:val="center"/>
          </w:tcPr>
          <w:p w14:paraId="306BBB61">
            <w:pPr>
              <w:spacing w:line="360" w:lineRule="auto"/>
              <w:rPr>
                <w:rFonts w:ascii="宋体" w:hAnsi="宋体" w:cs="宋体"/>
                <w:sz w:val="24"/>
                <w:szCs w:val="24"/>
              </w:rPr>
            </w:pPr>
            <w:r>
              <w:rPr>
                <w:rFonts w:hint="eastAsia" w:ascii="宋体" w:hAnsi="宋体" w:cs="宋体"/>
                <w:sz w:val="24"/>
                <w:szCs w:val="24"/>
              </w:rPr>
              <w:t>1.</w:t>
            </w:r>
            <w:r>
              <w:rPr>
                <w:rFonts w:ascii="宋体" w:hAnsi="宋体" w:cs="宋体"/>
                <w:sz w:val="24"/>
                <w:szCs w:val="24"/>
              </w:rPr>
              <w:t>9</w:t>
            </w:r>
            <w:r>
              <w:rPr>
                <w:rFonts w:hint="eastAsia" w:ascii="宋体" w:hAnsi="宋体" w:cs="宋体"/>
                <w:sz w:val="24"/>
                <w:szCs w:val="24"/>
              </w:rPr>
              <w:t>.6</w:t>
            </w:r>
          </w:p>
        </w:tc>
        <w:tc>
          <w:tcPr>
            <w:tcW w:w="8546" w:type="dxa"/>
            <w:noWrap w:val="0"/>
            <w:vAlign w:val="center"/>
          </w:tcPr>
          <w:p w14:paraId="58D44446">
            <w:pPr>
              <w:spacing w:line="360" w:lineRule="auto"/>
              <w:rPr>
                <w:rFonts w:ascii="宋体" w:hAnsi="宋体" w:cs="宋体"/>
                <w:sz w:val="24"/>
                <w:szCs w:val="24"/>
              </w:rPr>
            </w:pPr>
          </w:p>
        </w:tc>
      </w:tr>
      <w:tr w14:paraId="5D7C54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88" w:hRule="atLeast"/>
        </w:trPr>
        <w:tc>
          <w:tcPr>
            <w:tcW w:w="876" w:type="dxa"/>
            <w:tcBorders>
              <w:left w:val="single" w:color="000000" w:sz="4" w:space="0"/>
            </w:tcBorders>
            <w:noWrap w:val="0"/>
            <w:vAlign w:val="center"/>
          </w:tcPr>
          <w:p w14:paraId="3F056967">
            <w:pPr>
              <w:spacing w:line="360" w:lineRule="auto"/>
              <w:rPr>
                <w:rFonts w:ascii="宋体" w:hAnsi="宋体" w:cs="宋体"/>
                <w:sz w:val="24"/>
                <w:szCs w:val="24"/>
              </w:rPr>
            </w:pPr>
            <w:r>
              <w:rPr>
                <w:rFonts w:hint="eastAsia" w:ascii="宋体" w:hAnsi="宋体" w:cs="宋体"/>
                <w:sz w:val="24"/>
                <w:szCs w:val="24"/>
              </w:rPr>
              <w:t>2.3.2</w:t>
            </w:r>
          </w:p>
        </w:tc>
        <w:tc>
          <w:tcPr>
            <w:tcW w:w="8546" w:type="dxa"/>
            <w:noWrap w:val="0"/>
            <w:vAlign w:val="center"/>
          </w:tcPr>
          <w:p w14:paraId="7F0EC9A5">
            <w:pPr>
              <w:spacing w:line="360" w:lineRule="auto"/>
              <w:ind w:left="-420" w:right="-420" w:firstLine="480"/>
              <w:rPr>
                <w:rFonts w:ascii="宋体" w:hAnsi="宋体" w:cs="宋体"/>
                <w:sz w:val="24"/>
                <w:szCs w:val="24"/>
              </w:rPr>
            </w:pPr>
          </w:p>
        </w:tc>
      </w:tr>
      <w:tr w14:paraId="07CC27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88" w:hRule="atLeast"/>
        </w:trPr>
        <w:tc>
          <w:tcPr>
            <w:tcW w:w="876" w:type="dxa"/>
            <w:tcBorders>
              <w:left w:val="single" w:color="000000" w:sz="4" w:space="0"/>
            </w:tcBorders>
            <w:noWrap w:val="0"/>
            <w:vAlign w:val="center"/>
          </w:tcPr>
          <w:p w14:paraId="5C417FFE">
            <w:pPr>
              <w:spacing w:line="360" w:lineRule="auto"/>
              <w:rPr>
                <w:rFonts w:ascii="宋体" w:hAnsi="宋体" w:cs="宋体"/>
                <w:sz w:val="24"/>
                <w:szCs w:val="24"/>
              </w:rPr>
            </w:pPr>
            <w:r>
              <w:rPr>
                <w:rFonts w:hint="eastAsia" w:ascii="宋体" w:hAnsi="宋体" w:cs="宋体"/>
                <w:sz w:val="24"/>
                <w:szCs w:val="24"/>
              </w:rPr>
              <w:t>2.4.1</w:t>
            </w:r>
          </w:p>
        </w:tc>
        <w:tc>
          <w:tcPr>
            <w:tcW w:w="8546" w:type="dxa"/>
            <w:noWrap w:val="0"/>
            <w:vAlign w:val="center"/>
          </w:tcPr>
          <w:p w14:paraId="045D810A">
            <w:pPr>
              <w:spacing w:line="360" w:lineRule="auto"/>
              <w:ind w:left="-420" w:right="-420" w:firstLine="480"/>
              <w:rPr>
                <w:rFonts w:ascii="宋体" w:hAnsi="宋体" w:cs="宋体"/>
                <w:sz w:val="24"/>
                <w:szCs w:val="24"/>
              </w:rPr>
            </w:pPr>
          </w:p>
        </w:tc>
      </w:tr>
      <w:tr w14:paraId="0E644D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88" w:hRule="atLeast"/>
        </w:trPr>
        <w:tc>
          <w:tcPr>
            <w:tcW w:w="876" w:type="dxa"/>
            <w:tcBorders>
              <w:left w:val="single" w:color="000000" w:sz="4" w:space="0"/>
            </w:tcBorders>
            <w:noWrap w:val="0"/>
            <w:vAlign w:val="center"/>
          </w:tcPr>
          <w:p w14:paraId="201E5260">
            <w:pPr>
              <w:spacing w:line="360" w:lineRule="auto"/>
              <w:rPr>
                <w:rFonts w:ascii="宋体" w:hAnsi="宋体" w:cs="宋体"/>
                <w:sz w:val="24"/>
                <w:szCs w:val="24"/>
              </w:rPr>
            </w:pPr>
            <w:r>
              <w:rPr>
                <w:rFonts w:hint="eastAsia" w:ascii="宋体" w:hAnsi="宋体" w:cs="宋体"/>
                <w:sz w:val="24"/>
                <w:szCs w:val="24"/>
              </w:rPr>
              <w:t>2.4.3</w:t>
            </w:r>
          </w:p>
        </w:tc>
        <w:tc>
          <w:tcPr>
            <w:tcW w:w="8546" w:type="dxa"/>
            <w:noWrap w:val="0"/>
            <w:vAlign w:val="center"/>
          </w:tcPr>
          <w:p w14:paraId="4B4F643F">
            <w:pPr>
              <w:spacing w:line="360" w:lineRule="auto"/>
              <w:rPr>
                <w:rFonts w:ascii="宋体" w:hAnsi="宋体" w:cs="宋体"/>
                <w:sz w:val="24"/>
                <w:szCs w:val="24"/>
              </w:rPr>
            </w:pPr>
          </w:p>
        </w:tc>
      </w:tr>
      <w:tr w14:paraId="5638DB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88" w:hRule="atLeast"/>
        </w:trPr>
        <w:tc>
          <w:tcPr>
            <w:tcW w:w="876" w:type="dxa"/>
            <w:tcBorders>
              <w:left w:val="single" w:color="000000" w:sz="4" w:space="0"/>
            </w:tcBorders>
            <w:noWrap w:val="0"/>
            <w:vAlign w:val="top"/>
          </w:tcPr>
          <w:p w14:paraId="148E85C7">
            <w:pPr>
              <w:spacing w:line="360" w:lineRule="auto"/>
              <w:rPr>
                <w:rFonts w:ascii="宋体" w:hAnsi="宋体" w:cs="宋体"/>
                <w:sz w:val="24"/>
                <w:szCs w:val="24"/>
              </w:rPr>
            </w:pPr>
            <w:r>
              <w:rPr>
                <w:rFonts w:hint="eastAsia" w:ascii="宋体" w:hAnsi="宋体" w:cs="宋体"/>
                <w:sz w:val="24"/>
                <w:szCs w:val="24"/>
              </w:rPr>
              <w:t xml:space="preserve">2.8 </w:t>
            </w:r>
          </w:p>
        </w:tc>
        <w:tc>
          <w:tcPr>
            <w:tcW w:w="8546" w:type="dxa"/>
            <w:noWrap w:val="0"/>
            <w:vAlign w:val="top"/>
          </w:tcPr>
          <w:p w14:paraId="486E905E">
            <w:pPr>
              <w:spacing w:line="360" w:lineRule="auto"/>
              <w:rPr>
                <w:rFonts w:ascii="宋体" w:hAnsi="宋体" w:cs="宋体"/>
                <w:sz w:val="24"/>
                <w:szCs w:val="24"/>
              </w:rPr>
            </w:pPr>
          </w:p>
        </w:tc>
      </w:tr>
      <w:tr w14:paraId="7D1C20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88" w:hRule="atLeast"/>
        </w:trPr>
        <w:tc>
          <w:tcPr>
            <w:tcW w:w="876" w:type="dxa"/>
            <w:tcBorders>
              <w:left w:val="single" w:color="000000" w:sz="4" w:space="0"/>
            </w:tcBorders>
            <w:noWrap w:val="0"/>
            <w:vAlign w:val="center"/>
          </w:tcPr>
          <w:p w14:paraId="4E2C8619">
            <w:pPr>
              <w:spacing w:line="360" w:lineRule="auto"/>
              <w:rPr>
                <w:rFonts w:ascii="宋体" w:hAnsi="宋体" w:cs="宋体"/>
                <w:sz w:val="24"/>
                <w:szCs w:val="24"/>
              </w:rPr>
            </w:pPr>
            <w:r>
              <w:rPr>
                <w:rFonts w:hint="eastAsia" w:ascii="宋体" w:hAnsi="宋体" w:cs="宋体"/>
                <w:sz w:val="24"/>
                <w:szCs w:val="24"/>
              </w:rPr>
              <w:t>2.12.3</w:t>
            </w:r>
          </w:p>
        </w:tc>
        <w:tc>
          <w:tcPr>
            <w:tcW w:w="8546" w:type="dxa"/>
            <w:noWrap w:val="0"/>
            <w:vAlign w:val="center"/>
          </w:tcPr>
          <w:p w14:paraId="46C077B8">
            <w:pPr>
              <w:spacing w:line="360" w:lineRule="auto"/>
              <w:rPr>
                <w:rFonts w:ascii="宋体" w:hAnsi="宋体" w:cs="宋体"/>
                <w:sz w:val="24"/>
                <w:szCs w:val="24"/>
              </w:rPr>
            </w:pPr>
          </w:p>
        </w:tc>
      </w:tr>
      <w:tr w14:paraId="3340C0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88" w:hRule="atLeast"/>
        </w:trPr>
        <w:tc>
          <w:tcPr>
            <w:tcW w:w="876" w:type="dxa"/>
            <w:tcBorders>
              <w:left w:val="single" w:color="000000" w:sz="4" w:space="0"/>
            </w:tcBorders>
            <w:noWrap w:val="0"/>
            <w:vAlign w:val="center"/>
          </w:tcPr>
          <w:p w14:paraId="342A0E0A">
            <w:pPr>
              <w:spacing w:line="360" w:lineRule="auto"/>
              <w:rPr>
                <w:rFonts w:ascii="宋体" w:hAnsi="宋体" w:cs="宋体"/>
                <w:sz w:val="24"/>
                <w:szCs w:val="24"/>
              </w:rPr>
            </w:pPr>
            <w:r>
              <w:rPr>
                <w:rFonts w:hint="eastAsia" w:ascii="宋体" w:hAnsi="宋体" w:cs="宋体"/>
                <w:sz w:val="24"/>
                <w:szCs w:val="24"/>
              </w:rPr>
              <w:t>2.12.4</w:t>
            </w:r>
          </w:p>
        </w:tc>
        <w:tc>
          <w:tcPr>
            <w:tcW w:w="8546" w:type="dxa"/>
            <w:noWrap w:val="0"/>
            <w:vAlign w:val="center"/>
          </w:tcPr>
          <w:p w14:paraId="6ABCA51D">
            <w:pPr>
              <w:spacing w:line="360" w:lineRule="auto"/>
              <w:rPr>
                <w:rFonts w:ascii="宋体" w:hAnsi="宋体" w:cs="宋体"/>
                <w:sz w:val="24"/>
                <w:szCs w:val="24"/>
              </w:rPr>
            </w:pPr>
          </w:p>
        </w:tc>
      </w:tr>
      <w:tr w14:paraId="740DCB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88" w:hRule="atLeast"/>
        </w:trPr>
        <w:tc>
          <w:tcPr>
            <w:tcW w:w="876" w:type="dxa"/>
            <w:tcBorders>
              <w:left w:val="single" w:color="000000" w:sz="4" w:space="0"/>
            </w:tcBorders>
            <w:noWrap w:val="0"/>
            <w:vAlign w:val="center"/>
          </w:tcPr>
          <w:p w14:paraId="3B55921D">
            <w:pPr>
              <w:spacing w:line="360" w:lineRule="auto"/>
              <w:rPr>
                <w:rFonts w:ascii="宋体" w:hAnsi="宋体" w:cs="宋体"/>
                <w:sz w:val="24"/>
                <w:szCs w:val="24"/>
              </w:rPr>
            </w:pPr>
            <w:r>
              <w:rPr>
                <w:rFonts w:hint="eastAsia" w:ascii="宋体" w:hAnsi="宋体" w:cs="宋体"/>
                <w:sz w:val="24"/>
                <w:szCs w:val="24"/>
              </w:rPr>
              <w:t>2.16.1</w:t>
            </w:r>
          </w:p>
        </w:tc>
        <w:tc>
          <w:tcPr>
            <w:tcW w:w="8546" w:type="dxa"/>
            <w:noWrap w:val="0"/>
            <w:vAlign w:val="center"/>
          </w:tcPr>
          <w:p w14:paraId="29346809">
            <w:pPr>
              <w:spacing w:line="360" w:lineRule="auto"/>
              <w:rPr>
                <w:rFonts w:ascii="宋体" w:hAnsi="宋体" w:cs="宋体"/>
                <w:sz w:val="24"/>
                <w:szCs w:val="24"/>
              </w:rPr>
            </w:pPr>
            <w:r>
              <w:rPr>
                <w:rFonts w:hint="eastAsia" w:ascii="宋体" w:hAnsi="宋体" w:cs="宋体"/>
                <w:b/>
                <w:i/>
                <w:sz w:val="24"/>
                <w:szCs w:val="24"/>
                <w:u w:val="single"/>
              </w:rPr>
              <w:t>提醒：必须填写</w:t>
            </w:r>
          </w:p>
        </w:tc>
      </w:tr>
      <w:tr w14:paraId="129571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352" w:hRule="atLeast"/>
        </w:trPr>
        <w:tc>
          <w:tcPr>
            <w:tcW w:w="876" w:type="dxa"/>
            <w:tcBorders>
              <w:left w:val="single" w:color="000000" w:sz="4" w:space="0"/>
            </w:tcBorders>
            <w:noWrap w:val="0"/>
            <w:vAlign w:val="center"/>
          </w:tcPr>
          <w:p w14:paraId="0740107C">
            <w:pPr>
              <w:spacing w:line="360" w:lineRule="auto"/>
              <w:rPr>
                <w:rFonts w:ascii="宋体" w:hAnsi="宋体" w:cs="宋体"/>
                <w:sz w:val="24"/>
                <w:szCs w:val="24"/>
              </w:rPr>
            </w:pPr>
            <w:r>
              <w:rPr>
                <w:rFonts w:hint="eastAsia" w:ascii="宋体" w:hAnsi="宋体" w:cs="宋体"/>
                <w:sz w:val="24"/>
                <w:szCs w:val="24"/>
              </w:rPr>
              <w:t>2.16.3</w:t>
            </w:r>
          </w:p>
        </w:tc>
        <w:tc>
          <w:tcPr>
            <w:tcW w:w="8546" w:type="dxa"/>
            <w:noWrap w:val="0"/>
            <w:vAlign w:val="center"/>
          </w:tcPr>
          <w:p w14:paraId="1D762BDD">
            <w:pPr>
              <w:spacing w:line="360" w:lineRule="auto"/>
              <w:rPr>
                <w:rFonts w:ascii="宋体" w:hAnsi="宋体" w:cs="宋体"/>
                <w:i/>
                <w:iCs/>
                <w:sz w:val="24"/>
                <w:szCs w:val="24"/>
              </w:rPr>
            </w:pPr>
            <w:r>
              <w:rPr>
                <w:rFonts w:hint="eastAsia" w:ascii="楷体" w:hAnsi="楷体" w:eastAsia="楷体"/>
                <w:i/>
                <w:iCs/>
                <w:sz w:val="24"/>
                <w:szCs w:val="24"/>
              </w:rPr>
              <w:t>提醒：</w:t>
            </w:r>
            <w:r>
              <w:rPr>
                <w:rFonts w:hint="eastAsia" w:ascii="宋体" w:hAnsi="宋体" w:cs="宋体"/>
                <w:b/>
                <w:i/>
                <w:sz w:val="24"/>
                <w:szCs w:val="24"/>
                <w:u w:val="single"/>
              </w:rPr>
              <w:t>必须填写。</w:t>
            </w:r>
            <w:r>
              <w:rPr>
                <w:rFonts w:hint="eastAsia" w:ascii="楷体" w:hAnsi="楷体" w:eastAsia="楷体"/>
                <w:i/>
                <w:iCs/>
                <w:sz w:val="24"/>
                <w:szCs w:val="24"/>
              </w:rPr>
              <w:t>严格按照采购合同开展履约验收。</w:t>
            </w:r>
            <w:bookmarkStart w:id="231" w:name="OLE_LINK1"/>
            <w:r>
              <w:rPr>
                <w:rFonts w:hint="eastAsia" w:ascii="楷体" w:hAnsi="楷体" w:eastAsia="楷体"/>
                <w:i/>
                <w:iCs/>
                <w:sz w:val="24"/>
                <w:szCs w:val="24"/>
              </w:rPr>
              <w:t>甲方成立验收小组，制定验收方案，按照采购合同的约定对供应商履约情况进行验收。验收时，按照采购合同的约定对每一项技术、服务、安全标准的履约情况进行确认。验收小组完成验收后，应当出具验收报告。验收报告的内容应包括：实施验收过程基本情况陈述，供应商每一项技术、服务、安全标准等履约情况，与政府采购合同约定的权利义务比较情况，验收结论性意见。验收小组成员的个人验收记录和个人验收意见应作为验收报告附件。</w:t>
            </w:r>
            <w:bookmarkEnd w:id="231"/>
          </w:p>
        </w:tc>
      </w:tr>
      <w:tr w14:paraId="4D6181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5" w:hRule="atLeast"/>
        </w:trPr>
        <w:tc>
          <w:tcPr>
            <w:tcW w:w="876" w:type="dxa"/>
            <w:tcBorders>
              <w:left w:val="single" w:color="000000" w:sz="4" w:space="0"/>
            </w:tcBorders>
            <w:noWrap w:val="0"/>
            <w:vAlign w:val="center"/>
          </w:tcPr>
          <w:p w14:paraId="710833DB">
            <w:pPr>
              <w:spacing w:line="360" w:lineRule="auto"/>
              <w:ind w:left="-420" w:right="-420" w:firstLine="480"/>
              <w:outlineLvl w:val="0"/>
              <w:rPr>
                <w:rFonts w:ascii="宋体" w:hAnsi="宋体" w:cs="宋体"/>
                <w:sz w:val="24"/>
                <w:szCs w:val="24"/>
              </w:rPr>
            </w:pPr>
            <w:r>
              <w:rPr>
                <w:rFonts w:hint="eastAsia" w:ascii="宋体" w:hAnsi="宋体" w:cs="宋体"/>
                <w:sz w:val="24"/>
                <w:szCs w:val="24"/>
              </w:rPr>
              <w:t xml:space="preserve">2.21 </w:t>
            </w:r>
          </w:p>
        </w:tc>
        <w:tc>
          <w:tcPr>
            <w:tcW w:w="8546" w:type="dxa"/>
            <w:noWrap w:val="0"/>
            <w:vAlign w:val="center"/>
          </w:tcPr>
          <w:p w14:paraId="4E7D1C39">
            <w:pPr>
              <w:spacing w:line="360" w:lineRule="auto"/>
              <w:rPr>
                <w:rFonts w:ascii="宋体" w:hAnsi="宋体" w:cs="宋体"/>
                <w:sz w:val="24"/>
                <w:szCs w:val="24"/>
              </w:rPr>
            </w:pPr>
          </w:p>
        </w:tc>
      </w:tr>
      <w:tr w14:paraId="0473CD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5" w:hRule="atLeast"/>
        </w:trPr>
        <w:tc>
          <w:tcPr>
            <w:tcW w:w="876" w:type="dxa"/>
            <w:tcBorders>
              <w:top w:val="single" w:color="000000" w:sz="6" w:space="0"/>
              <w:left w:val="single" w:color="000000" w:sz="4" w:space="0"/>
              <w:bottom w:val="single" w:color="000000" w:sz="6" w:space="0"/>
              <w:right w:val="single" w:color="000000" w:sz="6" w:space="0"/>
            </w:tcBorders>
            <w:noWrap w:val="0"/>
            <w:vAlign w:val="center"/>
          </w:tcPr>
          <w:p w14:paraId="43F3E7EE">
            <w:pPr>
              <w:spacing w:line="360" w:lineRule="auto"/>
              <w:ind w:left="-420" w:right="-420" w:firstLine="480"/>
              <w:outlineLvl w:val="0"/>
              <w:rPr>
                <w:rFonts w:ascii="宋体" w:hAnsi="宋体" w:cs="宋体"/>
                <w:sz w:val="24"/>
                <w:szCs w:val="24"/>
              </w:rPr>
            </w:pPr>
            <w:r>
              <w:rPr>
                <w:rFonts w:hint="eastAsia" w:ascii="宋体" w:hAnsi="宋体" w:cs="宋体"/>
                <w:sz w:val="24"/>
                <w:szCs w:val="24"/>
              </w:rPr>
              <w:t>3.1</w:t>
            </w:r>
          </w:p>
          <w:p w14:paraId="7DF2F86E">
            <w:pPr>
              <w:spacing w:line="360" w:lineRule="auto"/>
              <w:ind w:left="-420" w:right="-420" w:firstLine="480"/>
              <w:outlineLvl w:val="0"/>
              <w:rPr>
                <w:szCs w:val="24"/>
              </w:rPr>
            </w:pPr>
            <w:r>
              <w:rPr>
                <w:rFonts w:hint="eastAsia" w:ascii="宋体" w:hAnsi="宋体" w:cs="宋体"/>
                <w:sz w:val="24"/>
                <w:szCs w:val="24"/>
              </w:rPr>
              <w:t>……</w:t>
            </w:r>
          </w:p>
        </w:tc>
        <w:tc>
          <w:tcPr>
            <w:tcW w:w="8546" w:type="dxa"/>
            <w:tcBorders>
              <w:top w:val="single" w:color="000000" w:sz="6" w:space="0"/>
              <w:left w:val="single" w:color="000000" w:sz="6" w:space="0"/>
              <w:bottom w:val="single" w:color="000000" w:sz="6" w:space="0"/>
              <w:right w:val="single" w:color="000000" w:sz="6" w:space="0"/>
            </w:tcBorders>
            <w:noWrap w:val="0"/>
            <w:vAlign w:val="center"/>
          </w:tcPr>
          <w:p w14:paraId="10F0221F">
            <w:pPr>
              <w:spacing w:line="360" w:lineRule="auto"/>
              <w:rPr>
                <w:rFonts w:ascii="宋体" w:hAnsi="宋体" w:cs="宋体"/>
                <w:sz w:val="24"/>
                <w:szCs w:val="24"/>
              </w:rPr>
            </w:pPr>
            <w:r>
              <w:rPr>
                <w:rFonts w:hint="eastAsia" w:ascii="宋体" w:hAnsi="宋体" w:cs="宋体"/>
                <w:sz w:val="24"/>
                <w:szCs w:val="24"/>
              </w:rPr>
              <w:t>……</w:t>
            </w:r>
            <w:r>
              <w:rPr>
                <w:rFonts w:hint="eastAsia" w:ascii="楷体" w:hAnsi="楷体" w:eastAsia="楷体"/>
                <w:i/>
                <w:iCs/>
                <w:sz w:val="24"/>
                <w:szCs w:val="24"/>
              </w:rPr>
              <w:t>（可自行编辑）</w:t>
            </w:r>
          </w:p>
        </w:tc>
      </w:tr>
    </w:tbl>
    <w:p w14:paraId="218D28EE">
      <w:pPr>
        <w:keepNext w:val="0"/>
        <w:keepLines w:val="0"/>
        <w:pageBreakBefore w:val="0"/>
        <w:spacing w:line="240" w:lineRule="auto"/>
        <w:jc w:val="center"/>
        <w:rPr>
          <w:rFonts w:ascii="宋体" w:hAnsi="宋体"/>
          <w:b/>
          <w:bCs/>
          <w:sz w:val="30"/>
          <w:szCs w:val="30"/>
        </w:rPr>
      </w:pPr>
      <w:r>
        <w:rPr>
          <w:rFonts w:hint="eastAsia" w:ascii="宋体" w:hAnsi="宋体"/>
          <w:b/>
          <w:sz w:val="30"/>
          <w:szCs w:val="30"/>
        </w:rPr>
        <w:t>第四部分 采购需求</w:t>
      </w:r>
    </w:p>
    <w:p w14:paraId="51DAE983">
      <w:pPr>
        <w:keepNext w:val="0"/>
        <w:keepLines w:val="0"/>
        <w:pageBreakBefore w:val="0"/>
        <w:widowControl/>
        <w:spacing w:before="750" w:after="240" w:line="240" w:lineRule="auto"/>
        <w:jc w:val="left"/>
        <w:rPr>
          <w:rFonts w:ascii="宋体" w:hAnsi="宋体"/>
          <w:sz w:val="24"/>
        </w:rPr>
      </w:pPr>
      <w:r>
        <w:rPr>
          <w:rFonts w:ascii="宋体" w:hAnsi="宋体" w:cs="宋体"/>
          <w:b/>
          <w:bCs/>
          <w:sz w:val="24"/>
        </w:rPr>
        <w:t>一.项目概况</w:t>
      </w:r>
    </w:p>
    <w:p w14:paraId="6FF23EE6">
      <w:pPr>
        <w:keepNext w:val="0"/>
        <w:keepLines w:val="0"/>
        <w:pageBreakBefore w:val="0"/>
        <w:widowControl/>
        <w:spacing w:before="240" w:after="240" w:line="240" w:lineRule="auto"/>
        <w:ind w:left="479"/>
        <w:jc w:val="left"/>
        <w:rPr>
          <w:rFonts w:ascii="宋体" w:hAnsi="宋体" w:cs="宋体"/>
          <w:sz w:val="24"/>
        </w:rPr>
      </w:pPr>
      <w:r>
        <w:rPr>
          <w:rFonts w:ascii="宋体" w:hAnsi="宋体" w:cs="宋体"/>
          <w:sz w:val="24"/>
        </w:rPr>
        <w:t>项目名称：</w:t>
      </w:r>
      <w:r>
        <w:rPr>
          <w:rFonts w:hint="eastAsia" w:ascii="宋体" w:hAnsi="宋体" w:cs="楷体"/>
          <w:sz w:val="24"/>
          <w:lang w:eastAsia="zh-CN"/>
        </w:rPr>
        <w:t>智能化数字化葡萄生产基地提升项目硬件部分采购</w:t>
      </w:r>
    </w:p>
    <w:p w14:paraId="42AF5769">
      <w:pPr>
        <w:keepNext w:val="0"/>
        <w:keepLines w:val="0"/>
        <w:pageBreakBefore w:val="0"/>
        <w:widowControl/>
        <w:spacing w:before="240" w:after="240" w:line="240" w:lineRule="auto"/>
        <w:ind w:left="479"/>
        <w:jc w:val="left"/>
        <w:rPr>
          <w:rFonts w:hint="eastAsia" w:ascii="宋体" w:hAnsi="宋体" w:eastAsia="宋体" w:cs="宋体"/>
          <w:sz w:val="24"/>
          <w:lang w:eastAsia="zh-CN"/>
        </w:rPr>
      </w:pPr>
      <w:r>
        <w:rPr>
          <w:rFonts w:ascii="宋体" w:hAnsi="宋体" w:cs="宋体"/>
          <w:sz w:val="24"/>
        </w:rPr>
        <w:t>项目预算：</w:t>
      </w:r>
      <w:r>
        <w:rPr>
          <w:rFonts w:hint="eastAsia" w:ascii="宋体" w:hAnsi="宋体" w:cs="宋体"/>
          <w:sz w:val="24"/>
          <w:highlight w:val="none"/>
          <w:lang w:val="en-US" w:eastAsia="zh-CN"/>
        </w:rPr>
        <w:t>3786819.20</w:t>
      </w:r>
      <w:r>
        <w:rPr>
          <w:rFonts w:hint="eastAsia" w:ascii="宋体" w:hAnsi="宋体" w:cs="宋体"/>
          <w:sz w:val="24"/>
          <w:highlight w:val="none"/>
          <w:lang w:eastAsia="zh-CN"/>
        </w:rPr>
        <w:t>元</w:t>
      </w:r>
    </w:p>
    <w:p w14:paraId="25807E0F">
      <w:pPr>
        <w:keepNext w:val="0"/>
        <w:keepLines w:val="0"/>
        <w:pageBreakBefore w:val="0"/>
        <w:widowControl/>
        <w:spacing w:before="240" w:after="240" w:line="240" w:lineRule="auto"/>
        <w:ind w:left="479"/>
        <w:jc w:val="left"/>
        <w:rPr>
          <w:rFonts w:hint="default" w:ascii="宋体" w:hAnsi="宋体" w:eastAsia="宋体" w:cs="宋体"/>
          <w:sz w:val="24"/>
          <w:highlight w:val="none"/>
          <w:lang w:val="en-US" w:eastAsia="zh-CN"/>
        </w:rPr>
      </w:pPr>
      <w:r>
        <w:rPr>
          <w:rFonts w:ascii="宋体" w:hAnsi="宋体" w:cs="宋体"/>
          <w:sz w:val="24"/>
          <w:highlight w:val="none"/>
        </w:rPr>
        <w:t>项目所属行业：</w:t>
      </w:r>
      <w:r>
        <w:rPr>
          <w:rFonts w:hint="eastAsia" w:ascii="宋体" w:hAnsi="宋体" w:cs="楷体"/>
          <w:sz w:val="24"/>
          <w:highlight w:val="none"/>
          <w:lang w:val="en-US" w:eastAsia="zh-CN"/>
        </w:rPr>
        <w:t>其他未列明行业</w:t>
      </w:r>
    </w:p>
    <w:p w14:paraId="535A13EE">
      <w:pPr>
        <w:keepNext w:val="0"/>
        <w:keepLines w:val="0"/>
        <w:pageBreakBefore w:val="0"/>
        <w:widowControl/>
        <w:spacing w:before="240" w:after="240" w:line="240" w:lineRule="auto"/>
        <w:jc w:val="left"/>
        <w:rPr>
          <w:rFonts w:ascii="宋体" w:hAnsi="宋体" w:cs="宋体"/>
          <w:b/>
          <w:bCs/>
          <w:sz w:val="24"/>
        </w:rPr>
      </w:pPr>
      <w:r>
        <w:rPr>
          <w:rFonts w:ascii="宋体" w:hAnsi="宋体" w:cs="宋体"/>
          <w:b/>
          <w:bCs/>
          <w:sz w:val="24"/>
        </w:rPr>
        <w:t>二.采购标的汇总表</w:t>
      </w:r>
    </w:p>
    <w:p w14:paraId="28BEEFF4">
      <w:pPr>
        <w:keepNext w:val="0"/>
        <w:keepLines w:val="0"/>
        <w:pageBreakBefore w:val="0"/>
        <w:widowControl/>
        <w:spacing w:before="240" w:after="240" w:line="240" w:lineRule="auto"/>
        <w:jc w:val="left"/>
        <w:rPr>
          <w:rFonts w:ascii="宋体" w:hAnsi="宋体" w:cs="宋体"/>
          <w:sz w:val="24"/>
        </w:rPr>
      </w:pPr>
      <w:r>
        <w:rPr>
          <w:rFonts w:ascii="宋体" w:hAnsi="宋体" w:cs="宋体"/>
          <w:sz w:val="24"/>
        </w:rPr>
        <w:t>（一） 采购标的</w:t>
      </w:r>
    </w:p>
    <w:p w14:paraId="69D44270">
      <w:pPr>
        <w:widowControl/>
        <w:spacing w:before="240" w:after="240" w:line="360" w:lineRule="auto"/>
        <w:jc w:val="left"/>
        <w:rPr>
          <w:rFonts w:ascii="宋体" w:hAnsi="宋体" w:cs="宋体"/>
          <w:sz w:val="24"/>
        </w:rPr>
      </w:pPr>
      <w:r>
        <w:rPr>
          <w:rFonts w:ascii="宋体" w:hAnsi="宋体" w:cs="宋体"/>
          <w:sz w:val="24"/>
        </w:rPr>
        <w:t>1.货物类标的</w:t>
      </w:r>
    </w:p>
    <w:tbl>
      <w:tblPr>
        <w:tblStyle w:val="30"/>
        <w:tblW w:w="5000" w:type="pct"/>
        <w:tblInd w:w="128" w:type="dxa"/>
        <w:tblBorders>
          <w:top w:val="single" w:color="808080" w:sz="6" w:space="0"/>
          <w:left w:val="single" w:color="808080" w:sz="6" w:space="0"/>
          <w:bottom w:val="single" w:color="808080" w:sz="6" w:space="0"/>
          <w:right w:val="single" w:color="808080" w:sz="6" w:space="0"/>
          <w:insideH w:val="none" w:color="000000" w:sz="0" w:space="0"/>
          <w:insideV w:val="none" w:color="000000" w:sz="0" w:space="0"/>
        </w:tblBorders>
        <w:tblLayout w:type="autofit"/>
        <w:tblCellMar>
          <w:top w:w="15" w:type="dxa"/>
          <w:left w:w="15" w:type="dxa"/>
          <w:bottom w:w="15" w:type="dxa"/>
          <w:right w:w="15" w:type="dxa"/>
        </w:tblCellMar>
      </w:tblPr>
      <w:tblGrid>
        <w:gridCol w:w="767"/>
        <w:gridCol w:w="3748"/>
        <w:gridCol w:w="1277"/>
        <w:gridCol w:w="992"/>
        <w:gridCol w:w="1275"/>
        <w:gridCol w:w="1570"/>
      </w:tblGrid>
      <w:tr w14:paraId="366C883B">
        <w:tblPrEx>
          <w:tblBorders>
            <w:top w:val="single" w:color="808080" w:sz="6" w:space="0"/>
            <w:left w:val="single" w:color="808080" w:sz="6" w:space="0"/>
            <w:bottom w:val="single" w:color="808080" w:sz="6" w:space="0"/>
            <w:right w:val="single" w:color="808080" w:sz="6" w:space="0"/>
            <w:insideH w:val="none" w:color="000000" w:sz="0" w:space="0"/>
            <w:insideV w:val="none" w:color="000000" w:sz="0" w:space="0"/>
          </w:tblBorders>
          <w:tblCellMar>
            <w:top w:w="15" w:type="dxa"/>
            <w:left w:w="15" w:type="dxa"/>
            <w:bottom w:w="15" w:type="dxa"/>
            <w:right w:w="15" w:type="dxa"/>
          </w:tblCellMar>
        </w:tblPrEx>
        <w:tc>
          <w:tcPr>
            <w:tcW w:w="767" w:type="dxa"/>
            <w:tcBorders>
              <w:top w:val="single" w:color="000000" w:sz="8" w:space="0"/>
              <w:left w:val="single" w:color="000000" w:sz="8" w:space="0"/>
              <w:bottom w:val="single" w:color="808080" w:sz="8" w:space="0"/>
              <w:right w:val="single" w:color="000000" w:sz="8" w:space="0"/>
            </w:tcBorders>
            <w:noWrap w:val="0"/>
            <w:tcMar>
              <w:top w:w="0" w:type="dxa"/>
              <w:left w:w="108" w:type="dxa"/>
              <w:bottom w:w="0" w:type="dxa"/>
              <w:right w:w="108" w:type="dxa"/>
            </w:tcMar>
            <w:vAlign w:val="center"/>
          </w:tcPr>
          <w:p w14:paraId="731AC4A0">
            <w:pPr>
              <w:widowControl/>
              <w:spacing w:line="360" w:lineRule="auto"/>
              <w:jc w:val="center"/>
              <w:rPr>
                <w:rFonts w:ascii="宋体" w:hAnsi="宋体" w:cs="宋体"/>
                <w:sz w:val="24"/>
                <w:highlight w:val="none"/>
                <w:lang w:eastAsia="en-US"/>
              </w:rPr>
            </w:pPr>
            <w:r>
              <w:rPr>
                <w:rFonts w:ascii="宋体" w:hAnsi="宋体" w:cs="宋体"/>
                <w:sz w:val="24"/>
                <w:highlight w:val="none"/>
                <w:lang w:eastAsia="en-US"/>
              </w:rPr>
              <w:t>序号</w:t>
            </w:r>
          </w:p>
        </w:tc>
        <w:tc>
          <w:tcPr>
            <w:tcW w:w="3748" w:type="dxa"/>
            <w:tcBorders>
              <w:top w:val="single" w:color="808080" w:sz="8" w:space="0"/>
              <w:bottom w:val="single" w:color="808080" w:sz="8" w:space="0"/>
              <w:right w:val="single" w:color="808080" w:sz="8" w:space="0"/>
            </w:tcBorders>
            <w:noWrap w:val="0"/>
            <w:tcMar>
              <w:top w:w="0" w:type="dxa"/>
              <w:left w:w="108" w:type="dxa"/>
              <w:bottom w:w="0" w:type="dxa"/>
              <w:right w:w="108" w:type="dxa"/>
            </w:tcMar>
            <w:vAlign w:val="center"/>
          </w:tcPr>
          <w:p w14:paraId="64AF6B91">
            <w:pPr>
              <w:widowControl/>
              <w:spacing w:line="360" w:lineRule="auto"/>
              <w:jc w:val="center"/>
              <w:rPr>
                <w:rFonts w:ascii="宋体" w:hAnsi="宋体" w:cs="宋体"/>
                <w:sz w:val="24"/>
                <w:highlight w:val="none"/>
                <w:lang w:eastAsia="en-US"/>
              </w:rPr>
            </w:pPr>
            <w:r>
              <w:rPr>
                <w:rFonts w:ascii="宋体" w:hAnsi="宋体" w:cs="宋体"/>
                <w:sz w:val="24"/>
                <w:highlight w:val="none"/>
                <w:lang w:eastAsia="en-US"/>
              </w:rPr>
              <w:t>货物类标的名称</w:t>
            </w:r>
          </w:p>
        </w:tc>
        <w:tc>
          <w:tcPr>
            <w:tcW w:w="1277" w:type="dxa"/>
            <w:tcBorders>
              <w:top w:val="single" w:color="808080" w:sz="8" w:space="0"/>
              <w:bottom w:val="single" w:color="808080" w:sz="8" w:space="0"/>
              <w:right w:val="single" w:color="808080" w:sz="8" w:space="0"/>
            </w:tcBorders>
            <w:noWrap w:val="0"/>
            <w:tcMar>
              <w:top w:w="0" w:type="dxa"/>
              <w:left w:w="108" w:type="dxa"/>
              <w:bottom w:w="0" w:type="dxa"/>
              <w:right w:w="108" w:type="dxa"/>
            </w:tcMar>
            <w:vAlign w:val="center"/>
          </w:tcPr>
          <w:p w14:paraId="44AA3D1C">
            <w:pPr>
              <w:widowControl/>
              <w:spacing w:line="360" w:lineRule="auto"/>
              <w:jc w:val="center"/>
              <w:rPr>
                <w:rFonts w:ascii="宋体" w:hAnsi="宋体" w:cs="宋体"/>
                <w:sz w:val="24"/>
                <w:highlight w:val="none"/>
                <w:lang w:eastAsia="en-US"/>
              </w:rPr>
            </w:pPr>
            <w:r>
              <w:rPr>
                <w:rFonts w:ascii="宋体" w:hAnsi="宋体" w:cs="宋体"/>
                <w:sz w:val="24"/>
                <w:highlight w:val="none"/>
                <w:lang w:eastAsia="en-US"/>
              </w:rPr>
              <w:t>计量单位</w:t>
            </w:r>
          </w:p>
        </w:tc>
        <w:tc>
          <w:tcPr>
            <w:tcW w:w="992" w:type="dxa"/>
            <w:tcBorders>
              <w:top w:val="single" w:color="808080" w:sz="8" w:space="0"/>
              <w:bottom w:val="single" w:color="808080" w:sz="8" w:space="0"/>
              <w:right w:val="single" w:color="808080" w:sz="8" w:space="0"/>
            </w:tcBorders>
            <w:noWrap w:val="0"/>
            <w:tcMar>
              <w:top w:w="0" w:type="dxa"/>
              <w:left w:w="108" w:type="dxa"/>
              <w:bottom w:w="0" w:type="dxa"/>
              <w:right w:w="108" w:type="dxa"/>
            </w:tcMar>
            <w:vAlign w:val="center"/>
          </w:tcPr>
          <w:p w14:paraId="0EFEFFC2">
            <w:pPr>
              <w:widowControl/>
              <w:spacing w:line="360" w:lineRule="auto"/>
              <w:jc w:val="center"/>
              <w:rPr>
                <w:rFonts w:ascii="宋体" w:hAnsi="宋体" w:cs="宋体"/>
                <w:sz w:val="24"/>
                <w:highlight w:val="none"/>
                <w:lang w:eastAsia="en-US"/>
              </w:rPr>
            </w:pPr>
            <w:r>
              <w:rPr>
                <w:rFonts w:ascii="宋体" w:hAnsi="宋体" w:cs="宋体"/>
                <w:sz w:val="24"/>
                <w:highlight w:val="none"/>
                <w:lang w:eastAsia="en-US"/>
              </w:rPr>
              <w:t>数量</w:t>
            </w:r>
          </w:p>
        </w:tc>
        <w:tc>
          <w:tcPr>
            <w:tcW w:w="1275" w:type="dxa"/>
            <w:tcBorders>
              <w:top w:val="single" w:color="808080" w:sz="8" w:space="0"/>
              <w:bottom w:val="single" w:color="808080" w:sz="8" w:space="0"/>
              <w:right w:val="single" w:color="808080" w:sz="8" w:space="0"/>
            </w:tcBorders>
            <w:noWrap w:val="0"/>
            <w:tcMar>
              <w:top w:w="0" w:type="dxa"/>
              <w:left w:w="108" w:type="dxa"/>
              <w:bottom w:w="0" w:type="dxa"/>
              <w:right w:w="108" w:type="dxa"/>
            </w:tcMar>
            <w:vAlign w:val="center"/>
          </w:tcPr>
          <w:p w14:paraId="76FAB7D5">
            <w:pPr>
              <w:widowControl/>
              <w:spacing w:line="360" w:lineRule="auto"/>
              <w:jc w:val="center"/>
              <w:rPr>
                <w:rFonts w:ascii="宋体" w:hAnsi="宋体" w:cs="宋体"/>
                <w:sz w:val="24"/>
                <w:highlight w:val="none"/>
                <w:lang w:eastAsia="en-US"/>
              </w:rPr>
            </w:pPr>
            <w:r>
              <w:rPr>
                <w:rFonts w:ascii="宋体" w:hAnsi="宋体" w:cs="宋体"/>
                <w:sz w:val="24"/>
                <w:highlight w:val="none"/>
                <w:lang w:eastAsia="en-US"/>
              </w:rPr>
              <w:t>是否进口</w:t>
            </w:r>
          </w:p>
        </w:tc>
        <w:tc>
          <w:tcPr>
            <w:tcW w:w="1570" w:type="dxa"/>
            <w:tcBorders>
              <w:top w:val="single" w:color="808080" w:sz="8" w:space="0"/>
              <w:bottom w:val="single" w:color="808080" w:sz="8" w:space="0"/>
              <w:right w:val="single" w:color="808080" w:sz="8" w:space="0"/>
            </w:tcBorders>
            <w:noWrap w:val="0"/>
            <w:tcMar>
              <w:top w:w="0" w:type="dxa"/>
              <w:left w:w="108" w:type="dxa"/>
              <w:bottom w:w="0" w:type="dxa"/>
              <w:right w:w="108" w:type="dxa"/>
            </w:tcMar>
            <w:vAlign w:val="center"/>
          </w:tcPr>
          <w:p w14:paraId="2D7E7B01">
            <w:pPr>
              <w:widowControl/>
              <w:spacing w:line="360" w:lineRule="auto"/>
              <w:jc w:val="center"/>
              <w:rPr>
                <w:rFonts w:ascii="宋体" w:hAnsi="宋体" w:cs="宋体"/>
                <w:sz w:val="24"/>
                <w:highlight w:val="none"/>
                <w:lang w:eastAsia="en-US"/>
              </w:rPr>
            </w:pPr>
            <w:r>
              <w:rPr>
                <w:rFonts w:ascii="宋体" w:hAnsi="宋体" w:cs="宋体"/>
                <w:sz w:val="24"/>
                <w:highlight w:val="none"/>
                <w:lang w:eastAsia="en-US"/>
              </w:rPr>
              <w:t>备注</w:t>
            </w:r>
          </w:p>
        </w:tc>
      </w:tr>
      <w:tr w14:paraId="7CB80AD9">
        <w:tblPrEx>
          <w:tblBorders>
            <w:top w:val="single" w:color="808080" w:sz="6" w:space="0"/>
            <w:left w:val="single" w:color="808080" w:sz="6" w:space="0"/>
            <w:bottom w:val="single" w:color="808080" w:sz="6" w:space="0"/>
            <w:right w:val="single" w:color="808080" w:sz="6" w:space="0"/>
            <w:insideH w:val="none" w:color="000000" w:sz="0" w:space="0"/>
            <w:insideV w:val="none" w:color="000000" w:sz="0" w:space="0"/>
          </w:tblBorders>
          <w:tblCellMar>
            <w:top w:w="15" w:type="dxa"/>
            <w:left w:w="15" w:type="dxa"/>
            <w:bottom w:w="15" w:type="dxa"/>
            <w:right w:w="15" w:type="dxa"/>
          </w:tblCellMar>
        </w:tblPrEx>
        <w:trPr>
          <w:trHeight w:val="90" w:hRule="atLeast"/>
        </w:trPr>
        <w:tc>
          <w:tcPr>
            <w:tcW w:w="767" w:type="dxa"/>
            <w:tcBorders>
              <w:top w:val="single" w:color="808080" w:sz="8" w:space="0"/>
              <w:left w:val="single" w:color="808080" w:sz="8" w:space="0"/>
              <w:bottom w:val="single" w:color="808080" w:sz="8" w:space="0"/>
              <w:right w:val="single" w:color="808080" w:sz="8" w:space="0"/>
            </w:tcBorders>
            <w:noWrap w:val="0"/>
            <w:tcMar>
              <w:top w:w="0" w:type="dxa"/>
              <w:left w:w="108" w:type="dxa"/>
              <w:bottom w:w="0" w:type="dxa"/>
              <w:right w:w="108" w:type="dxa"/>
            </w:tcMar>
            <w:vAlign w:val="center"/>
          </w:tcPr>
          <w:p w14:paraId="5E3AF6EE">
            <w:pPr>
              <w:widowControl/>
              <w:spacing w:line="360" w:lineRule="auto"/>
              <w:jc w:val="center"/>
              <w:rPr>
                <w:rFonts w:ascii="宋体" w:hAnsi="宋体" w:cs="宋体"/>
                <w:sz w:val="24"/>
                <w:highlight w:val="none"/>
                <w:lang w:eastAsia="en-US"/>
              </w:rPr>
            </w:pPr>
            <w:r>
              <w:rPr>
                <w:rFonts w:hint="eastAsia" w:ascii="宋体" w:hAnsi="宋体" w:cs="宋体"/>
                <w:sz w:val="24"/>
                <w:highlight w:val="none"/>
                <w:lang w:eastAsia="en-US"/>
              </w:rPr>
              <w:t>1</w:t>
            </w:r>
          </w:p>
        </w:tc>
        <w:tc>
          <w:tcPr>
            <w:tcW w:w="3748" w:type="dxa"/>
            <w:tcBorders>
              <w:top w:val="single" w:color="808080" w:sz="8" w:space="0"/>
              <w:left w:val="single" w:color="808080" w:sz="8" w:space="0"/>
              <w:bottom w:val="single" w:color="808080" w:sz="8" w:space="0"/>
              <w:right w:val="single" w:color="808080" w:sz="8" w:space="0"/>
            </w:tcBorders>
            <w:noWrap w:val="0"/>
            <w:tcMar>
              <w:top w:w="0" w:type="dxa"/>
              <w:left w:w="108" w:type="dxa"/>
              <w:bottom w:w="0" w:type="dxa"/>
              <w:right w:w="108" w:type="dxa"/>
            </w:tcMar>
            <w:vAlign w:val="center"/>
          </w:tcPr>
          <w:p w14:paraId="08AB81AD">
            <w:pPr>
              <w:widowControl/>
              <w:spacing w:line="360" w:lineRule="auto"/>
              <w:jc w:val="center"/>
              <w:rPr>
                <w:rFonts w:ascii="宋体" w:hAnsi="宋体" w:cs="宋体"/>
                <w:sz w:val="24"/>
                <w:highlight w:val="none"/>
                <w:lang w:eastAsia="en-US"/>
              </w:rPr>
            </w:pPr>
            <w:r>
              <w:rPr>
                <w:rFonts w:hint="eastAsia" w:ascii="宋体" w:hAnsi="宋体" w:cs="楷体"/>
                <w:sz w:val="24"/>
                <w:lang w:eastAsia="zh-CN"/>
              </w:rPr>
              <w:t>智能化数字化葡萄生产基地提升项目硬件部分采购</w:t>
            </w:r>
          </w:p>
        </w:tc>
        <w:tc>
          <w:tcPr>
            <w:tcW w:w="1277" w:type="dxa"/>
            <w:tcBorders>
              <w:top w:val="single" w:color="808080" w:sz="8" w:space="0"/>
              <w:left w:val="single" w:color="808080" w:sz="8" w:space="0"/>
              <w:bottom w:val="single" w:color="808080" w:sz="8" w:space="0"/>
              <w:right w:val="single" w:color="808080" w:sz="8" w:space="0"/>
            </w:tcBorders>
            <w:noWrap w:val="0"/>
            <w:tcMar>
              <w:top w:w="0" w:type="dxa"/>
              <w:left w:w="108" w:type="dxa"/>
              <w:bottom w:w="0" w:type="dxa"/>
              <w:right w:w="108" w:type="dxa"/>
            </w:tcMar>
            <w:vAlign w:val="center"/>
          </w:tcPr>
          <w:p w14:paraId="2879E11E">
            <w:pPr>
              <w:widowControl/>
              <w:spacing w:line="360" w:lineRule="auto"/>
              <w:jc w:val="left"/>
              <w:rPr>
                <w:rFonts w:ascii="宋体" w:hAnsi="宋体" w:cs="宋体"/>
                <w:sz w:val="24"/>
                <w:highlight w:val="none"/>
              </w:rPr>
            </w:pPr>
            <w:r>
              <w:rPr>
                <w:rFonts w:ascii="宋体" w:hAnsi="宋体" w:cs="宋体"/>
                <w:sz w:val="24"/>
                <w:highlight w:val="none"/>
              </w:rPr>
              <w:t>套</w:t>
            </w:r>
          </w:p>
        </w:tc>
        <w:tc>
          <w:tcPr>
            <w:tcW w:w="992" w:type="dxa"/>
            <w:tcBorders>
              <w:top w:val="single" w:color="808080" w:sz="8" w:space="0"/>
              <w:left w:val="single" w:color="808080" w:sz="8" w:space="0"/>
              <w:bottom w:val="single" w:color="808080" w:sz="8" w:space="0"/>
              <w:right w:val="single" w:color="808080" w:sz="8" w:space="0"/>
            </w:tcBorders>
            <w:noWrap w:val="0"/>
            <w:tcMar>
              <w:top w:w="0" w:type="dxa"/>
              <w:left w:w="108" w:type="dxa"/>
              <w:bottom w:w="0" w:type="dxa"/>
              <w:right w:w="108" w:type="dxa"/>
            </w:tcMar>
            <w:vAlign w:val="center"/>
          </w:tcPr>
          <w:p w14:paraId="7260EFFD">
            <w:pPr>
              <w:widowControl/>
              <w:spacing w:line="360" w:lineRule="auto"/>
              <w:ind w:right="120"/>
              <w:jc w:val="center"/>
              <w:rPr>
                <w:rFonts w:ascii="宋体" w:hAnsi="宋体" w:cs="宋体"/>
                <w:sz w:val="24"/>
                <w:highlight w:val="none"/>
              </w:rPr>
            </w:pPr>
            <w:r>
              <w:rPr>
                <w:rFonts w:hint="eastAsia" w:ascii="宋体" w:hAnsi="宋体" w:cs="宋体"/>
                <w:sz w:val="24"/>
                <w:highlight w:val="none"/>
              </w:rPr>
              <w:t>1</w:t>
            </w:r>
          </w:p>
        </w:tc>
        <w:tc>
          <w:tcPr>
            <w:tcW w:w="1275" w:type="dxa"/>
            <w:tcBorders>
              <w:top w:val="single" w:color="808080" w:sz="8" w:space="0"/>
              <w:left w:val="single" w:color="808080" w:sz="8" w:space="0"/>
              <w:bottom w:val="single" w:color="808080" w:sz="8" w:space="0"/>
              <w:right w:val="single" w:color="808080" w:sz="8" w:space="0"/>
            </w:tcBorders>
            <w:noWrap w:val="0"/>
            <w:tcMar>
              <w:top w:w="0" w:type="dxa"/>
              <w:left w:w="108" w:type="dxa"/>
              <w:bottom w:w="0" w:type="dxa"/>
              <w:right w:w="108" w:type="dxa"/>
            </w:tcMar>
            <w:vAlign w:val="center"/>
          </w:tcPr>
          <w:p w14:paraId="133D5D77">
            <w:pPr>
              <w:widowControl/>
              <w:spacing w:line="360" w:lineRule="auto"/>
              <w:jc w:val="center"/>
              <w:rPr>
                <w:rFonts w:ascii="宋体" w:hAnsi="宋体" w:cs="宋体"/>
                <w:sz w:val="24"/>
                <w:highlight w:val="none"/>
              </w:rPr>
            </w:pPr>
            <w:r>
              <w:rPr>
                <w:rFonts w:hint="eastAsia" w:ascii="宋体" w:hAnsi="宋体" w:cs="宋体"/>
                <w:sz w:val="24"/>
                <w:highlight w:val="none"/>
              </w:rPr>
              <w:t>否</w:t>
            </w:r>
          </w:p>
        </w:tc>
        <w:tc>
          <w:tcPr>
            <w:tcW w:w="1570" w:type="dxa"/>
            <w:tcBorders>
              <w:top w:val="single" w:color="808080" w:sz="8" w:space="0"/>
              <w:left w:val="single" w:color="808080" w:sz="8" w:space="0"/>
              <w:bottom w:val="single" w:color="808080" w:sz="8" w:space="0"/>
              <w:right w:val="single" w:color="808080" w:sz="8" w:space="0"/>
            </w:tcBorders>
            <w:noWrap w:val="0"/>
            <w:tcMar>
              <w:top w:w="0" w:type="dxa"/>
              <w:left w:w="108" w:type="dxa"/>
              <w:bottom w:w="0" w:type="dxa"/>
              <w:right w:w="108" w:type="dxa"/>
            </w:tcMar>
            <w:vAlign w:val="center"/>
          </w:tcPr>
          <w:p w14:paraId="36171D19">
            <w:pPr>
              <w:widowControl/>
              <w:spacing w:line="360" w:lineRule="auto"/>
              <w:jc w:val="left"/>
              <w:rPr>
                <w:rFonts w:ascii="宋体" w:hAnsi="宋体" w:cs="宋体"/>
                <w:sz w:val="24"/>
                <w:highlight w:val="none"/>
              </w:rPr>
            </w:pPr>
          </w:p>
        </w:tc>
      </w:tr>
    </w:tbl>
    <w:p w14:paraId="226EE1CC">
      <w:pPr>
        <w:keepNext w:val="0"/>
        <w:keepLines w:val="0"/>
        <w:pageBreakBefore w:val="0"/>
        <w:widowControl/>
        <w:spacing w:before="240" w:after="240" w:line="240" w:lineRule="auto"/>
        <w:jc w:val="left"/>
        <w:rPr>
          <w:rFonts w:ascii="宋体" w:hAnsi="宋体" w:cs="宋体"/>
          <w:sz w:val="24"/>
        </w:rPr>
      </w:pPr>
      <w:r>
        <w:rPr>
          <w:rFonts w:ascii="宋体" w:hAnsi="宋体" w:cs="宋体"/>
          <w:sz w:val="24"/>
        </w:rPr>
        <w:t>（二）本项目核心产品为：</w:t>
      </w:r>
      <w:r>
        <w:rPr>
          <w:rFonts w:hint="eastAsia" w:ascii="宋体" w:hAnsi="宋体" w:cs="宋体"/>
          <w:sz w:val="24"/>
          <w:highlight w:val="none"/>
          <w:lang w:val="en-US" w:eastAsia="zh-CN"/>
        </w:rPr>
        <w:t>智能主控</w:t>
      </w:r>
      <w:r>
        <w:rPr>
          <w:rFonts w:ascii="宋体" w:hAnsi="宋体" w:cs="宋体"/>
          <w:sz w:val="24"/>
        </w:rPr>
        <w:t xml:space="preserve">。 </w:t>
      </w:r>
    </w:p>
    <w:p w14:paraId="3706556C">
      <w:pPr>
        <w:keepNext w:val="0"/>
        <w:keepLines w:val="0"/>
        <w:pageBreakBefore w:val="0"/>
        <w:widowControl/>
        <w:spacing w:before="240" w:after="240" w:line="240" w:lineRule="auto"/>
        <w:jc w:val="left"/>
        <w:rPr>
          <w:rFonts w:hint="eastAsia" w:ascii="宋体" w:hAnsi="宋体" w:eastAsia="宋体" w:cs="宋体"/>
          <w:b/>
          <w:bCs/>
          <w:sz w:val="24"/>
          <w:lang w:val="en-US" w:eastAsia="zh-CN"/>
        </w:rPr>
      </w:pPr>
      <w:r>
        <w:rPr>
          <w:rFonts w:ascii="宋体" w:hAnsi="宋体" w:cs="宋体"/>
          <w:b/>
          <w:bCs/>
          <w:sz w:val="24"/>
        </w:rPr>
        <w:t>三.技术要求</w:t>
      </w:r>
    </w:p>
    <w:p w14:paraId="2FFC09CD">
      <w:pPr>
        <w:keepNext w:val="0"/>
        <w:keepLines w:val="0"/>
        <w:pageBreakBefore w:val="0"/>
        <w:widowControl w:val="0"/>
        <w:spacing w:line="400" w:lineRule="exact"/>
        <w:ind w:firstLine="420"/>
      </w:pPr>
      <w:r>
        <w:rPr>
          <w:rFonts w:hint="eastAsia"/>
        </w:rPr>
        <w:t>以茅山丁庄葡萄绿色生产示范区为项目建设范围，聚焦于新品种筛选评价、品质提升优化、管理措施调节、全产业链管理等绿色高产高效技术集成模式示范与应用，建立葡萄单品全产业链管理系统，推动丁庄葡萄产业新质生产力飞跃提升，充分利用现代先进数字技术，将其作为驱动葡萄产业高质量发展的核心引擎，促进丁庄葡萄产业链条向数字化、智能化方向迈进。</w:t>
      </w:r>
    </w:p>
    <w:p w14:paraId="68C1E30A">
      <w:pPr>
        <w:keepNext w:val="0"/>
        <w:keepLines w:val="0"/>
        <w:pageBreakBefore w:val="0"/>
        <w:widowControl w:val="0"/>
        <w:spacing w:line="400" w:lineRule="exact"/>
        <w:ind w:firstLine="422"/>
        <w:rPr>
          <w:b/>
          <w:bCs/>
        </w:rPr>
      </w:pPr>
      <w:r>
        <w:rPr>
          <w:rFonts w:hint="eastAsia"/>
          <w:b/>
          <w:bCs/>
          <w:lang w:val="en-US" w:eastAsia="zh-CN"/>
        </w:rPr>
        <w:t>1.</w:t>
      </w:r>
      <w:r>
        <w:rPr>
          <w:rFonts w:hint="eastAsia"/>
          <w:b/>
          <w:bCs/>
        </w:rPr>
        <w:t>葡萄生长监测设备采购需求</w:t>
      </w:r>
    </w:p>
    <w:p w14:paraId="55E606D9">
      <w:pPr>
        <w:keepNext w:val="0"/>
        <w:keepLines w:val="0"/>
        <w:pageBreakBefore w:val="0"/>
        <w:widowControl w:val="0"/>
        <w:spacing w:line="400" w:lineRule="exact"/>
        <w:ind w:firstLine="420"/>
      </w:pPr>
      <w:r>
        <w:rPr>
          <w:rFonts w:hint="eastAsia"/>
        </w:rPr>
        <w:t>在丁庄葡萄产业园的玻璃温室和连栋大棚需安装空气温湿度传感器、土壤温湿度传感器、土壤养分传感器等，并对大棚内的风机、卷帘等进行智能化控制。需辐射周边50户农户的大棚，实现葡萄种植环境的监测。需配套葡萄表型监测设备和病虫害监测设备，监测葡萄生长各环节的光谱数据、叶绿素含量、叶面温湿度、病情、虫情等指标，打造数字种植基地，促进葡萄科学种植。</w:t>
      </w:r>
    </w:p>
    <w:p w14:paraId="13AB2F74">
      <w:pPr>
        <w:keepNext w:val="0"/>
        <w:keepLines w:val="0"/>
        <w:pageBreakBefore w:val="0"/>
        <w:widowControl w:val="0"/>
        <w:spacing w:line="400" w:lineRule="exact"/>
        <w:ind w:firstLine="422"/>
        <w:rPr>
          <w:b/>
          <w:bCs/>
        </w:rPr>
      </w:pPr>
      <w:r>
        <w:rPr>
          <w:rFonts w:hint="eastAsia"/>
          <w:b/>
          <w:bCs/>
          <w:lang w:val="en-US" w:eastAsia="zh-CN"/>
        </w:rPr>
        <w:t>2.</w:t>
      </w:r>
      <w:r>
        <w:rPr>
          <w:rFonts w:hint="eastAsia"/>
          <w:b/>
          <w:bCs/>
        </w:rPr>
        <w:t>检验及生产用设备采购需求</w:t>
      </w:r>
    </w:p>
    <w:p w14:paraId="75E29110">
      <w:pPr>
        <w:keepNext w:val="0"/>
        <w:keepLines w:val="0"/>
        <w:pageBreakBefore w:val="0"/>
        <w:widowControl w:val="0"/>
        <w:spacing w:line="400" w:lineRule="exact"/>
        <w:ind w:firstLine="420"/>
      </w:pPr>
      <w:r>
        <w:t>为实现葡萄种植的精准数据采集、智能化调控和全流程数字化管理</w:t>
      </w:r>
      <w:r>
        <w:rPr>
          <w:rFonts w:hint="eastAsia"/>
        </w:rPr>
        <w:t>，需在葡萄产业研究院配备便携式光合作用测定仪、便携式测土配方检测仪、便携式叶片检测仪、便携式糖分检测仪、无人机、大棚自动智能化补光系统、物联网多功能称重台秤、扫码枪等，</w:t>
      </w:r>
      <w:r>
        <w:t>从土壤、植物生理、环境监测、生产管理等多个方面推动葡萄品种选育、栽培技术创新及产业链升级</w:t>
      </w:r>
      <w:r>
        <w:rPr>
          <w:rFonts w:hint="eastAsia"/>
        </w:rPr>
        <w:t>。</w:t>
      </w:r>
    </w:p>
    <w:p w14:paraId="620B9B0D">
      <w:pPr>
        <w:keepNext w:val="0"/>
        <w:keepLines w:val="0"/>
        <w:pageBreakBefore w:val="0"/>
        <w:widowControl w:val="0"/>
        <w:spacing w:line="400" w:lineRule="exact"/>
        <w:ind w:firstLine="422"/>
        <w:rPr>
          <w:b/>
          <w:bCs/>
        </w:rPr>
      </w:pPr>
      <w:r>
        <w:rPr>
          <w:rFonts w:hint="eastAsia"/>
          <w:b/>
          <w:bCs/>
          <w:lang w:val="en-US" w:eastAsia="zh-CN"/>
        </w:rPr>
        <w:t>3.</w:t>
      </w:r>
      <w:r>
        <w:rPr>
          <w:rFonts w:hint="eastAsia"/>
          <w:b/>
          <w:bCs/>
        </w:rPr>
        <w:t>水肥一体化采购需求</w:t>
      </w:r>
    </w:p>
    <w:p w14:paraId="4E438185">
      <w:pPr>
        <w:keepNext w:val="0"/>
        <w:keepLines w:val="0"/>
        <w:pageBreakBefore w:val="0"/>
        <w:widowControl w:val="0"/>
        <w:spacing w:line="400" w:lineRule="exact"/>
        <w:ind w:firstLine="420"/>
      </w:pPr>
      <w:r>
        <w:rPr>
          <w:rFonts w:hint="eastAsia"/>
        </w:rPr>
        <w:t>为实现葡萄产业研究院的精准灌溉和施肥，需配备智能高压喷雾一体机、智能水肥一体机、混肥系统、过滤系统、消毒系统、电气系统、储水系统、管道系统、高压喷雾系统等，带动丁庄葡萄产业的节水、节肥、增产。</w:t>
      </w:r>
    </w:p>
    <w:p w14:paraId="23CD452F">
      <w:pPr>
        <w:keepNext w:val="0"/>
        <w:keepLines w:val="0"/>
        <w:pageBreakBefore w:val="0"/>
        <w:widowControl w:val="0"/>
        <w:spacing w:line="400" w:lineRule="exact"/>
        <w:ind w:firstLine="422"/>
        <w:rPr>
          <w:b/>
          <w:bCs/>
        </w:rPr>
      </w:pPr>
      <w:r>
        <w:rPr>
          <w:rFonts w:hint="eastAsia"/>
          <w:b/>
          <w:bCs/>
          <w:lang w:val="en-US" w:eastAsia="zh-CN"/>
        </w:rPr>
        <w:t>4.</w:t>
      </w:r>
      <w:r>
        <w:rPr>
          <w:rFonts w:hint="eastAsia"/>
          <w:b/>
          <w:bCs/>
        </w:rPr>
        <w:t>视频监控设备</w:t>
      </w:r>
    </w:p>
    <w:p w14:paraId="2FCA3130">
      <w:pPr>
        <w:keepNext w:val="0"/>
        <w:keepLines w:val="0"/>
        <w:pageBreakBefore w:val="0"/>
        <w:widowControl w:val="0"/>
        <w:spacing w:line="400" w:lineRule="exact"/>
        <w:ind w:firstLine="422"/>
        <w:rPr>
          <w:rFonts w:hint="eastAsia"/>
        </w:rPr>
      </w:pPr>
      <w:r>
        <w:rPr>
          <w:rFonts w:hint="eastAsia"/>
        </w:rPr>
        <w:t>为确保丁庄葡萄产业园的生产管理和财产安全，需在葡萄产业园的温室大棚及附近道路布设监控球机和监控枪机，保证摄像头的电源线、网线、立杆、支架等的安装调整，正常运行。</w:t>
      </w:r>
    </w:p>
    <w:p w14:paraId="5F4AFD30">
      <w:pPr>
        <w:keepNext w:val="0"/>
        <w:keepLines w:val="0"/>
        <w:pageBreakBefore w:val="0"/>
        <w:widowControl w:val="0"/>
        <w:spacing w:line="400" w:lineRule="exact"/>
        <w:ind w:firstLine="422"/>
        <w:rPr>
          <w:b/>
          <w:bCs/>
        </w:rPr>
      </w:pPr>
      <w:r>
        <w:rPr>
          <w:rFonts w:hint="eastAsia"/>
          <w:b/>
          <w:bCs/>
          <w:lang w:val="en-US" w:eastAsia="zh-CN"/>
        </w:rPr>
        <w:t>5.</w:t>
      </w:r>
      <w:r>
        <w:rPr>
          <w:rFonts w:hint="eastAsia"/>
          <w:b/>
          <w:bCs/>
        </w:rPr>
        <w:t>冷链环境监测设备</w:t>
      </w:r>
    </w:p>
    <w:p w14:paraId="63A0809A">
      <w:pPr>
        <w:keepNext w:val="0"/>
        <w:keepLines w:val="0"/>
        <w:pageBreakBefore w:val="0"/>
        <w:widowControl w:val="0"/>
        <w:spacing w:line="400" w:lineRule="exact"/>
        <w:ind w:firstLine="420"/>
      </w:pPr>
      <w:r>
        <w:rPr>
          <w:rFonts w:hint="eastAsia"/>
        </w:rPr>
        <w:t>为保证葡萄冷链运输环节的正常运行，需配置冷库环境监测设备、冷藏车厢视频监控设备、冷藏车厢环境监测设备、冷藏车车辆定位设备，监控管理冷链物流的运输工作，确保葡萄的新鲜品质，提升运输效率。</w:t>
      </w:r>
    </w:p>
    <w:p w14:paraId="415DBFF4">
      <w:pPr>
        <w:keepNext w:val="0"/>
        <w:keepLines w:val="0"/>
        <w:pageBreakBefore w:val="0"/>
        <w:widowControl w:val="0"/>
        <w:spacing w:line="400" w:lineRule="exact"/>
        <w:ind w:firstLine="422"/>
        <w:rPr>
          <w:b/>
          <w:bCs/>
        </w:rPr>
      </w:pPr>
      <w:r>
        <w:rPr>
          <w:rFonts w:hint="eastAsia"/>
          <w:b/>
          <w:bCs/>
          <w:lang w:val="en-US" w:eastAsia="zh-CN"/>
        </w:rPr>
        <w:t>6.</w:t>
      </w:r>
      <w:r>
        <w:rPr>
          <w:rFonts w:hint="eastAsia"/>
          <w:b/>
          <w:bCs/>
        </w:rPr>
        <w:t>指挥中心系统</w:t>
      </w:r>
    </w:p>
    <w:p w14:paraId="7ACBAFE3">
      <w:pPr>
        <w:ind w:firstLine="420"/>
      </w:pPr>
      <w:r>
        <w:rPr>
          <w:rFonts w:hint="eastAsia"/>
        </w:rPr>
        <w:t>为实现丁庄葡萄产业园培训室的会议、培训等功能，需配备音响系统、话筒、机柜等，保证培训室的多功能使用，发挥最大价值。</w:t>
      </w:r>
    </w:p>
    <w:p w14:paraId="1EA944C5">
      <w:pPr>
        <w:keepNext w:val="0"/>
        <w:keepLines w:val="0"/>
        <w:pageBreakBefore w:val="0"/>
        <w:widowControl/>
        <w:spacing w:before="240" w:after="240" w:line="240" w:lineRule="auto"/>
        <w:jc w:val="left"/>
        <w:rPr>
          <w:rFonts w:hint="default" w:ascii="宋体" w:hAnsi="宋体" w:eastAsia="宋体" w:cs="宋体"/>
          <w:b/>
          <w:bCs/>
          <w:sz w:val="24"/>
          <w:lang w:val="en-US" w:eastAsia="zh-CN"/>
        </w:rPr>
      </w:pPr>
      <w:r>
        <w:rPr>
          <w:rFonts w:hint="eastAsia" w:ascii="宋体" w:hAnsi="宋体" w:cs="宋体"/>
          <w:b/>
          <w:bCs/>
          <w:sz w:val="24"/>
          <w:lang w:val="en-US" w:eastAsia="zh-CN"/>
        </w:rPr>
        <w:t>四.采购清单</w:t>
      </w:r>
    </w:p>
    <w:p w14:paraId="2468A04E">
      <w:pPr>
        <w:keepNext w:val="0"/>
        <w:keepLines w:val="0"/>
        <w:pageBreakBefore w:val="0"/>
        <w:widowControl/>
        <w:spacing w:line="240" w:lineRule="auto"/>
        <w:ind w:firstLine="420"/>
        <w:jc w:val="left"/>
        <w:rPr>
          <w:rFonts w:ascii="宋体" w:hAnsi="宋体" w:cs="宋体"/>
          <w:sz w:val="24"/>
        </w:rPr>
      </w:pPr>
      <w:r>
        <w:rPr>
          <w:rFonts w:ascii="宋体" w:hAnsi="宋体" w:cs="宋体"/>
          <w:sz w:val="24"/>
          <w:highlight w:val="none"/>
        </w:rPr>
        <w:t>指标按重要性分为“★”和</w:t>
      </w:r>
      <w:r>
        <w:rPr>
          <w:rFonts w:hint="eastAsia" w:ascii="宋体" w:hAnsi="宋体" w:cs="宋体"/>
          <w:sz w:val="24"/>
          <w:highlight w:val="none"/>
        </w:rPr>
        <w:t>“▲</w:t>
      </w:r>
      <w:r>
        <w:rPr>
          <w:rFonts w:ascii="宋体" w:hAnsi="宋体" w:cs="宋体"/>
          <w:sz w:val="24"/>
          <w:highlight w:val="none"/>
        </w:rPr>
        <w:t>”。★代表实质性指标，不满足该指标项将导致投标无效。</w:t>
      </w:r>
      <w:r>
        <w:rPr>
          <w:rFonts w:hint="eastAsia" w:ascii="宋体" w:hAnsi="宋体" w:cs="宋体"/>
          <w:sz w:val="24"/>
          <w:highlight w:val="none"/>
        </w:rPr>
        <w:t>▲</w:t>
      </w:r>
      <w:r>
        <w:rPr>
          <w:rFonts w:ascii="宋体" w:hAnsi="宋体" w:cs="宋体"/>
          <w:sz w:val="24"/>
          <w:highlight w:val="none"/>
        </w:rPr>
        <w:t>代表重要指标。</w:t>
      </w:r>
    </w:p>
    <w:tbl>
      <w:tblPr>
        <w:tblStyle w:val="30"/>
        <w:tblW w:w="9413"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904"/>
        <w:gridCol w:w="915"/>
        <w:gridCol w:w="6161"/>
        <w:gridCol w:w="700"/>
        <w:gridCol w:w="733"/>
      </w:tblGrid>
      <w:tr w14:paraId="71D88F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9413" w:type="dxa"/>
            <w:gridSpan w:val="5"/>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F6AFE8E">
            <w:pPr>
              <w:keepNext w:val="0"/>
              <w:keepLines w:val="0"/>
              <w:widowControl/>
              <w:suppressLineNumbers w:val="0"/>
              <w:jc w:val="center"/>
              <w:rPr>
                <w:rFonts w:ascii="微软雅黑" w:hAnsi="微软雅黑" w:eastAsia="微软雅黑" w:cs="微软雅黑"/>
                <w:b/>
                <w:bCs/>
                <w:i w:val="0"/>
                <w:iCs w:val="0"/>
                <w:color w:val="000000"/>
                <w:sz w:val="32"/>
                <w:szCs w:val="32"/>
                <w:u w:val="none"/>
              </w:rPr>
            </w:pPr>
            <w:r>
              <w:rPr>
                <w:rFonts w:hint="eastAsia" w:ascii="微软雅黑" w:hAnsi="微软雅黑" w:eastAsia="微软雅黑" w:cs="微软雅黑"/>
                <w:b/>
                <w:bCs/>
                <w:i w:val="0"/>
                <w:iCs w:val="0"/>
                <w:color w:val="000000"/>
                <w:sz w:val="32"/>
                <w:szCs w:val="32"/>
                <w:u w:val="none"/>
                <w:lang w:val="en-US" w:eastAsia="zh-CN" w:bidi="ar"/>
              </w:rPr>
              <w:t>智能化数字化葡萄生产基地提升项目硬件部分采购清单</w:t>
            </w:r>
          </w:p>
        </w:tc>
      </w:tr>
      <w:tr w14:paraId="73D53D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9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4F7B4AE">
            <w:pPr>
              <w:keepNext w:val="0"/>
              <w:keepLines w:val="0"/>
              <w:widowControl/>
              <w:suppressLineNumbers w:val="0"/>
              <w:jc w:val="center"/>
              <w:rPr>
                <w:rFonts w:hint="eastAsia" w:ascii="微软雅黑" w:hAnsi="微软雅黑" w:eastAsia="微软雅黑" w:cs="微软雅黑"/>
                <w:b/>
                <w:bCs/>
                <w:i w:val="0"/>
                <w:iCs w:val="0"/>
                <w:color w:val="000000"/>
                <w:sz w:val="22"/>
                <w:szCs w:val="22"/>
                <w:u w:val="none"/>
              </w:rPr>
            </w:pPr>
            <w:r>
              <w:rPr>
                <w:rFonts w:hint="eastAsia" w:ascii="微软雅黑" w:hAnsi="微软雅黑" w:eastAsia="微软雅黑" w:cs="微软雅黑"/>
                <w:b/>
                <w:bCs/>
                <w:i w:val="0"/>
                <w:iCs w:val="0"/>
                <w:color w:val="000000"/>
                <w:sz w:val="22"/>
                <w:szCs w:val="22"/>
                <w:u w:val="none"/>
                <w:lang w:val="en-US" w:eastAsia="zh-CN" w:bidi="ar"/>
              </w:rPr>
              <w:t>模块</w:t>
            </w: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3583895">
            <w:pPr>
              <w:keepNext w:val="0"/>
              <w:keepLines w:val="0"/>
              <w:widowControl/>
              <w:suppressLineNumbers w:val="0"/>
              <w:jc w:val="center"/>
              <w:rPr>
                <w:rFonts w:hint="eastAsia" w:ascii="微软雅黑" w:hAnsi="微软雅黑" w:eastAsia="微软雅黑" w:cs="微软雅黑"/>
                <w:b/>
                <w:bCs/>
                <w:i w:val="0"/>
                <w:iCs w:val="0"/>
                <w:color w:val="000000"/>
                <w:sz w:val="22"/>
                <w:szCs w:val="22"/>
                <w:u w:val="none"/>
              </w:rPr>
            </w:pPr>
            <w:r>
              <w:rPr>
                <w:rFonts w:hint="eastAsia" w:ascii="微软雅黑" w:hAnsi="微软雅黑" w:eastAsia="微软雅黑" w:cs="微软雅黑"/>
                <w:b/>
                <w:bCs/>
                <w:i w:val="0"/>
                <w:iCs w:val="0"/>
                <w:color w:val="000000"/>
                <w:sz w:val="22"/>
                <w:szCs w:val="22"/>
                <w:u w:val="none"/>
                <w:lang w:val="en-US" w:eastAsia="zh-CN" w:bidi="ar"/>
              </w:rPr>
              <w:t>内容</w:t>
            </w:r>
          </w:p>
        </w:tc>
        <w:tc>
          <w:tcPr>
            <w:tcW w:w="61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1BD71FC">
            <w:pPr>
              <w:keepNext w:val="0"/>
              <w:keepLines w:val="0"/>
              <w:widowControl/>
              <w:suppressLineNumbers w:val="0"/>
              <w:jc w:val="center"/>
              <w:rPr>
                <w:rFonts w:hint="eastAsia" w:ascii="微软雅黑" w:hAnsi="微软雅黑" w:eastAsia="微软雅黑" w:cs="微软雅黑"/>
                <w:b/>
                <w:bCs/>
                <w:i w:val="0"/>
                <w:iCs w:val="0"/>
                <w:color w:val="000000"/>
                <w:sz w:val="22"/>
                <w:szCs w:val="22"/>
                <w:u w:val="none"/>
              </w:rPr>
            </w:pPr>
            <w:r>
              <w:rPr>
                <w:rFonts w:hint="eastAsia" w:ascii="微软雅黑" w:hAnsi="微软雅黑" w:eastAsia="微软雅黑" w:cs="微软雅黑"/>
                <w:b/>
                <w:bCs/>
                <w:i w:val="0"/>
                <w:iCs w:val="0"/>
                <w:color w:val="000000"/>
                <w:sz w:val="22"/>
                <w:szCs w:val="22"/>
                <w:u w:val="none"/>
                <w:lang w:val="en-US" w:eastAsia="zh-CN" w:bidi="ar"/>
              </w:rPr>
              <w:t>参数</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AD83FAE">
            <w:pPr>
              <w:keepNext w:val="0"/>
              <w:keepLines w:val="0"/>
              <w:widowControl/>
              <w:suppressLineNumbers w:val="0"/>
              <w:jc w:val="center"/>
              <w:rPr>
                <w:rFonts w:hint="eastAsia" w:ascii="微软雅黑" w:hAnsi="微软雅黑" w:eastAsia="微软雅黑" w:cs="微软雅黑"/>
                <w:b/>
                <w:bCs/>
                <w:i w:val="0"/>
                <w:iCs w:val="0"/>
                <w:color w:val="000000"/>
                <w:sz w:val="22"/>
                <w:szCs w:val="22"/>
                <w:u w:val="none"/>
              </w:rPr>
            </w:pPr>
            <w:r>
              <w:rPr>
                <w:rFonts w:hint="eastAsia" w:ascii="微软雅黑" w:hAnsi="微软雅黑" w:eastAsia="微软雅黑" w:cs="微软雅黑"/>
                <w:b/>
                <w:bCs/>
                <w:i w:val="0"/>
                <w:iCs w:val="0"/>
                <w:color w:val="000000"/>
                <w:sz w:val="22"/>
                <w:szCs w:val="22"/>
                <w:u w:val="none"/>
                <w:lang w:val="en-US" w:eastAsia="zh-CN" w:bidi="ar"/>
              </w:rPr>
              <w:t>单位</w:t>
            </w: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1EC7B30">
            <w:pPr>
              <w:keepNext w:val="0"/>
              <w:keepLines w:val="0"/>
              <w:widowControl/>
              <w:suppressLineNumbers w:val="0"/>
              <w:jc w:val="center"/>
              <w:rPr>
                <w:rFonts w:hint="eastAsia" w:ascii="微软雅黑" w:hAnsi="微软雅黑" w:eastAsia="微软雅黑" w:cs="微软雅黑"/>
                <w:b/>
                <w:bCs/>
                <w:i w:val="0"/>
                <w:iCs w:val="0"/>
                <w:color w:val="000000"/>
                <w:sz w:val="22"/>
                <w:szCs w:val="22"/>
                <w:u w:val="none"/>
              </w:rPr>
            </w:pPr>
            <w:r>
              <w:rPr>
                <w:rFonts w:hint="eastAsia" w:ascii="微软雅黑" w:hAnsi="微软雅黑" w:eastAsia="微软雅黑" w:cs="微软雅黑"/>
                <w:b/>
                <w:bCs/>
                <w:i w:val="0"/>
                <w:iCs w:val="0"/>
                <w:color w:val="000000"/>
                <w:sz w:val="22"/>
                <w:szCs w:val="22"/>
                <w:u w:val="none"/>
                <w:lang w:val="en-US" w:eastAsia="zh-CN" w:bidi="ar"/>
              </w:rPr>
              <w:t>数量</w:t>
            </w:r>
          </w:p>
        </w:tc>
      </w:tr>
      <w:tr w14:paraId="2C96C0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9413" w:type="dxa"/>
            <w:gridSpan w:val="5"/>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80AABEE">
            <w:pPr>
              <w:keepNext w:val="0"/>
              <w:keepLines w:val="0"/>
              <w:widowControl/>
              <w:suppressLineNumbers w:val="0"/>
              <w:jc w:val="center"/>
              <w:rPr>
                <w:rFonts w:hint="eastAsia" w:ascii="微软雅黑" w:hAnsi="微软雅黑" w:eastAsia="微软雅黑" w:cs="微软雅黑"/>
                <w:b/>
                <w:bCs/>
                <w:i w:val="0"/>
                <w:iCs w:val="0"/>
                <w:color w:val="000000"/>
                <w:sz w:val="22"/>
                <w:szCs w:val="22"/>
                <w:u w:val="none"/>
              </w:rPr>
            </w:pPr>
            <w:r>
              <w:rPr>
                <w:rFonts w:hint="eastAsia" w:ascii="微软雅黑" w:hAnsi="微软雅黑" w:eastAsia="微软雅黑" w:cs="微软雅黑"/>
                <w:b/>
                <w:bCs/>
                <w:i w:val="0"/>
                <w:iCs w:val="0"/>
                <w:color w:val="000000"/>
                <w:sz w:val="22"/>
                <w:szCs w:val="22"/>
                <w:u w:val="none"/>
                <w:lang w:val="en-US" w:eastAsia="zh-CN" w:bidi="ar"/>
              </w:rPr>
              <w:t>一、葡萄生长监测设备</w:t>
            </w:r>
          </w:p>
        </w:tc>
      </w:tr>
      <w:tr w14:paraId="4A4E5E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904" w:type="dxa"/>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A9A8282">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玻璃温室（1个玻璃温室，面积3072=128*24）</w:t>
            </w: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1C65F22">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光照/温湿度/二氧化碳传感器</w:t>
            </w:r>
          </w:p>
        </w:tc>
        <w:tc>
          <w:tcPr>
            <w:tcW w:w="61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F336846">
            <w:pPr>
              <w:keepNext w:val="0"/>
              <w:keepLines w:val="0"/>
              <w:widowControl/>
              <w:suppressLineNumbers w:val="0"/>
              <w:jc w:val="left"/>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量程：</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光照强度0-65535Lux，</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空气温湿度-40℃~+80℃、0%RH~100%RH，</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二氧化碳0~5000ppm</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精度：</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湿度±3%RH(60%RH,25℃)</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温度 ±0.5℃（25℃）</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光照强度 ±7%(25℃)</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CO2 ±(50ppm+ 3%F•S) (25℃)@400-5000ppm</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最大功耗 0.8W（24V DC）</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 xml:space="preserve">响应时间： </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温度 ≤18s(1m/s风速)</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湿度 ≤6s(1m/s风速)</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光照强度≤ 0.1s</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CO2 ≤90s</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输出信号 RS485(ModBus协议)</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数据更新间隔≤2s</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数据上传时间  ≤10s/次，</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D29722D">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台</w:t>
            </w: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3E3767F">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2</w:t>
            </w:r>
          </w:p>
        </w:tc>
      </w:tr>
      <w:tr w14:paraId="02502F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0" w:hRule="atLeast"/>
        </w:trPr>
        <w:tc>
          <w:tcPr>
            <w:tcW w:w="904"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DDF3EF8">
            <w:pPr>
              <w:jc w:val="center"/>
              <w:rPr>
                <w:rFonts w:hint="eastAsia" w:ascii="微软雅黑" w:hAnsi="微软雅黑" w:eastAsia="微软雅黑" w:cs="微软雅黑"/>
                <w:i w:val="0"/>
                <w:iCs w:val="0"/>
                <w:color w:val="000000"/>
                <w:sz w:val="20"/>
                <w:szCs w:val="20"/>
                <w:u w:val="none"/>
              </w:rPr>
            </w:pP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2909602">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无线采集器（LORA）</w:t>
            </w:r>
          </w:p>
        </w:tc>
        <w:tc>
          <w:tcPr>
            <w:tcW w:w="61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EB4DD29">
            <w:pPr>
              <w:keepNext w:val="0"/>
              <w:keepLines w:val="0"/>
              <w:widowControl/>
              <w:suppressLineNumbers w:val="0"/>
              <w:jc w:val="left"/>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采集、发送一体，工业级</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传输方式：LoRa</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支持上线发送自定义注册包、心跳包、注销包功能</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支持远程指令查询工作状态、触发上线、修改数据中心参数等操控功能</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数据输入接口：RS232/485</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输入电压：DC5~36V</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工作电流：35mA/12v</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8683DFB">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台</w:t>
            </w: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1F12D74">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2</w:t>
            </w:r>
          </w:p>
        </w:tc>
      </w:tr>
      <w:tr w14:paraId="1DF49A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904"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C2F69B9">
            <w:pPr>
              <w:jc w:val="center"/>
              <w:rPr>
                <w:rFonts w:hint="eastAsia" w:ascii="微软雅黑" w:hAnsi="微软雅黑" w:eastAsia="微软雅黑" w:cs="微软雅黑"/>
                <w:i w:val="0"/>
                <w:iCs w:val="0"/>
                <w:color w:val="000000"/>
                <w:sz w:val="20"/>
                <w:szCs w:val="20"/>
                <w:u w:val="none"/>
              </w:rPr>
            </w:pP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E468F52">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★智能主控</w:t>
            </w:r>
          </w:p>
        </w:tc>
        <w:tc>
          <w:tcPr>
            <w:tcW w:w="61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6835536">
            <w:pPr>
              <w:keepNext w:val="0"/>
              <w:keepLines w:val="0"/>
              <w:widowControl/>
              <w:suppressLineNumbers w:val="0"/>
              <w:jc w:val="left"/>
              <w:rPr>
                <w:rFonts w:hint="eastAsia" w:ascii="微软雅黑" w:hAnsi="微软雅黑" w:eastAsia="微软雅黑" w:cs="微软雅黑"/>
                <w:i w:val="0"/>
                <w:iCs w:val="0"/>
                <w:color w:val="000000"/>
                <w:sz w:val="20"/>
                <w:szCs w:val="20"/>
                <w:u w:val="none"/>
                <w:lang w:val="en-US" w:eastAsia="zh-CN" w:bidi="ar"/>
              </w:rPr>
            </w:pPr>
            <w:r>
              <w:rPr>
                <w:rFonts w:hint="eastAsia" w:ascii="微软雅黑" w:hAnsi="微软雅黑" w:eastAsia="微软雅黑" w:cs="微软雅黑"/>
                <w:i w:val="0"/>
                <w:iCs w:val="0"/>
                <w:color w:val="000000"/>
                <w:sz w:val="20"/>
                <w:szCs w:val="20"/>
                <w:u w:val="none"/>
                <w:lang w:val="en-US" w:eastAsia="zh-CN" w:bidi="ar"/>
              </w:rPr>
              <w:t>网关型智能采集控制器：用于存储控制策略方案，处理采集板数据信号，响应平台和触摸屏的控制指令和数据上传。响应主控板控制信号，继电器控制信号输出，用于被控物体通断控制。</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触摸屏：具有智慧触摸屏，用于现场的控制策略设置，手动控制和采集数据显示等，存储控制策略独立工作，支持手动、自动控制，不受网络影响。</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控制箱箱体：采用高工艺折柜，镀锌冷轧钢板，确保使用质量，保证使用年限长久。</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远传通讯方式：4G/5G；</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▲控制方式：支持手动/自动切换，实现三位立体控制(现场手动控制、自身策略自动控制、远程电脑或移动终端控制)；</w:t>
            </w:r>
          </w:p>
          <w:p w14:paraId="5B3BCA53">
            <w:pPr>
              <w:keepNext w:val="0"/>
              <w:keepLines w:val="0"/>
              <w:widowControl/>
              <w:suppressLineNumbers w:val="0"/>
              <w:jc w:val="left"/>
              <w:rPr>
                <w:rFonts w:hint="eastAsia" w:ascii="微软雅黑" w:hAnsi="微软雅黑" w:eastAsia="微软雅黑" w:cs="微软雅黑"/>
                <w:i w:val="0"/>
                <w:iCs w:val="0"/>
                <w:color w:val="000000"/>
                <w:sz w:val="20"/>
                <w:szCs w:val="20"/>
                <w:u w:val="none"/>
                <w:lang w:val="en-US" w:eastAsia="zh-CN" w:bidi="ar"/>
              </w:rPr>
            </w:pPr>
            <w:r>
              <w:rPr>
                <w:rFonts w:hint="eastAsia" w:ascii="微软雅黑" w:hAnsi="微软雅黑" w:eastAsia="微软雅黑" w:cs="微软雅黑"/>
                <w:i w:val="0"/>
                <w:iCs w:val="0"/>
                <w:color w:val="000000"/>
                <w:sz w:val="20"/>
                <w:szCs w:val="20"/>
                <w:u w:val="none"/>
                <w:lang w:val="en-US" w:eastAsia="zh-CN" w:bidi="ar"/>
              </w:rPr>
              <w:t>控制回路：级联扩展；</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控制功能：可与485控制模块配套使用实现远距离控制，也可通过自身继电器与配套配电柜配合使用；</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采用标准配电设计，箱内元器件采用主流产品；</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采取急停紧急制动措施，配电箱内弱电、强电均带自锁；</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▲报警方式：上限超出报警、下限超出报警、上下限超出报警；</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▲云配置功能：模拟量传感器采集支持量程自定义云设置，控制阈值和报警阈值支持自定义云设置，点动控制时间支持自定义云设置，输出互锁通道支持自定义云设置；</w:t>
            </w:r>
          </w:p>
          <w:p w14:paraId="4FDE2E02">
            <w:pPr>
              <w:keepNext w:val="0"/>
              <w:keepLines w:val="0"/>
              <w:widowControl/>
              <w:suppressLineNumbers w:val="0"/>
              <w:jc w:val="left"/>
              <w:rPr>
                <w:rFonts w:hint="eastAsia" w:ascii="微软雅黑" w:hAnsi="微软雅黑" w:eastAsia="微软雅黑" w:cs="微软雅黑"/>
                <w:i w:val="0"/>
                <w:iCs w:val="0"/>
                <w:color w:val="000000"/>
                <w:sz w:val="20"/>
                <w:szCs w:val="20"/>
                <w:u w:val="none"/>
                <w:lang w:val="en-US" w:eastAsia="zh-CN" w:bidi="ar"/>
              </w:rPr>
            </w:pPr>
            <w:r>
              <w:rPr>
                <w:rFonts w:hint="eastAsia" w:ascii="微软雅黑" w:hAnsi="微软雅黑" w:eastAsia="微软雅黑" w:cs="微软雅黑"/>
                <w:i w:val="0"/>
                <w:iCs w:val="0"/>
                <w:color w:val="000000"/>
                <w:sz w:val="20"/>
                <w:szCs w:val="20"/>
                <w:u w:val="none"/>
                <w:lang w:val="en-US" w:eastAsia="zh-CN" w:bidi="ar"/>
              </w:rPr>
              <w:t>▲防护措施：防反接保护；</w:t>
            </w:r>
          </w:p>
          <w:p w14:paraId="3E70FB9A">
            <w:pPr>
              <w:keepNext w:val="0"/>
              <w:keepLines w:val="0"/>
              <w:widowControl/>
              <w:suppressLineNumbers w:val="0"/>
              <w:jc w:val="left"/>
              <w:rPr>
                <w:rFonts w:hint="eastAsia" w:ascii="微软雅黑" w:hAnsi="微软雅黑" w:eastAsia="微软雅黑" w:cs="微软雅黑"/>
                <w:i w:val="0"/>
                <w:iCs w:val="0"/>
                <w:color w:val="000000"/>
                <w:sz w:val="20"/>
                <w:szCs w:val="20"/>
                <w:u w:val="none"/>
                <w:lang w:val="en-US" w:eastAsia="zh-CN" w:bidi="ar"/>
              </w:rPr>
            </w:pPr>
            <w:r>
              <w:rPr>
                <w:rFonts w:hint="eastAsia" w:ascii="微软雅黑" w:hAnsi="微软雅黑" w:eastAsia="微软雅黑" w:cs="微软雅黑"/>
                <w:i w:val="0"/>
                <w:iCs w:val="0"/>
                <w:color w:val="000000"/>
                <w:sz w:val="20"/>
                <w:szCs w:val="20"/>
                <w:u w:val="none"/>
                <w:lang w:val="en-US" w:eastAsia="zh-CN" w:bidi="ar"/>
              </w:rPr>
              <w:t>通过智能主控结合配电柜可以实现对风机、湿帘、卷膜、补光灯、内外遮阳等设备的控制，通过与环境采集传感器联动，也可进行策略控制，实现智能化管理。</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设计需求，220V交流电，设计功率≥1000W, 内置漏电，短路，过载，等安全保护。手动模式采用物理按键确保紧急状态下对补光设备可靠控制，自动模式下利用时间控制（多时段)和高精度光传感器（开关量型)，做到对补光设备启停条件互补，达到对生产工艺规定的时间内补光设备智能运行和节能效果</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一次回路物理控制采用固态无触点继电器，有效避免设备频繁启停对电压产生的电弧延长设备使用时间。</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光照仪表带光照探头（开关量，光照强度值，一路报警点)</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单相固态接触器（直流控交流，10A，输入电压3-32VDC；输出电压24-480VAC,  )</w:t>
            </w:r>
          </w:p>
          <w:p w14:paraId="0B66D461">
            <w:pPr>
              <w:keepNext w:val="0"/>
              <w:keepLines w:val="0"/>
              <w:widowControl/>
              <w:suppressLineNumbers w:val="0"/>
              <w:jc w:val="left"/>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（▲提供省级或以上检测机构出具首页有CMA、CNAS标识的有效产品检验报告原件扫描件予以佐证。）</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DAB962F">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台</w:t>
            </w: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0313365">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1</w:t>
            </w:r>
          </w:p>
        </w:tc>
      </w:tr>
      <w:tr w14:paraId="58EA06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904"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5A07B70">
            <w:pPr>
              <w:jc w:val="center"/>
              <w:rPr>
                <w:rFonts w:hint="eastAsia" w:ascii="微软雅黑" w:hAnsi="微软雅黑" w:eastAsia="微软雅黑" w:cs="微软雅黑"/>
                <w:i w:val="0"/>
                <w:iCs w:val="0"/>
                <w:color w:val="000000"/>
                <w:sz w:val="20"/>
                <w:szCs w:val="20"/>
                <w:u w:val="none"/>
              </w:rPr>
            </w:pP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168E8B6">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土壤温湿度传感器</w:t>
            </w:r>
          </w:p>
        </w:tc>
        <w:tc>
          <w:tcPr>
            <w:tcW w:w="61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2DBFD6C">
            <w:pPr>
              <w:keepNext w:val="0"/>
              <w:keepLines w:val="0"/>
              <w:widowControl/>
              <w:suppressLineNumbers w:val="0"/>
              <w:jc w:val="left"/>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测量原理 FDR , 变频交流法</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信号方式 RS485</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通讯协议 MODBUS-RTU</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测量范围 （0-100）% （水分），0-50000US/CM（电导率） , 0-55度（温度）</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测量精度 1%FS</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响应时间≤ 1s</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传感器漂移 ≤0.1%FS/24h</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温度补偿 自动 ( 温度 0 ~55 ℃ )</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 xml:space="preserve">供电参数 电压：7—30VDC   功率：&lt; 0.2 w </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防水等级 IP68</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DB2DBE8">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台</w:t>
            </w: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1208992">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120</w:t>
            </w:r>
          </w:p>
        </w:tc>
      </w:tr>
      <w:tr w14:paraId="1712A2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904"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3638DA8">
            <w:pPr>
              <w:jc w:val="center"/>
              <w:rPr>
                <w:rFonts w:hint="eastAsia" w:ascii="微软雅黑" w:hAnsi="微软雅黑" w:eastAsia="微软雅黑" w:cs="微软雅黑"/>
                <w:i w:val="0"/>
                <w:iCs w:val="0"/>
                <w:color w:val="000000"/>
                <w:sz w:val="20"/>
                <w:szCs w:val="20"/>
                <w:u w:val="none"/>
              </w:rPr>
            </w:pP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F13D453">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土壤PH/EC/氮磷钾传感器</w:t>
            </w:r>
          </w:p>
        </w:tc>
        <w:tc>
          <w:tcPr>
            <w:tcW w:w="61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6309992">
            <w:pPr>
              <w:keepNext w:val="0"/>
              <w:keepLines w:val="0"/>
              <w:widowControl/>
              <w:suppressLineNumbers w:val="0"/>
              <w:jc w:val="left"/>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土壤PH参数：</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量程3~9PH  分辨率不低于0.1</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电导率参数：</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量程 0-20000us/cm 分辨率不低于 1us/cm；</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典型精度：</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0-10000us/cm 范围内为±3%FS；10000-20000us/cm范围内为±5%FS；（棕壤，60%,25℃）</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氮磷钾参数：</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量程 0-2999 mg/kg(mg/L)，分辨率不低于 1 mg/kg(mg/L)  典型精度 ≤5%（以实际测定仪器为准）</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电导率温度补偿 内置温度补偿传感器，补偿范围0-50℃</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最大功耗 0.5W（24V DC供电）</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工作温度 -20℃~+60℃内核芯片耐温 85℃稳定时间 ≤5min</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250B8E8">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台</w:t>
            </w: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5389EA8">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120</w:t>
            </w:r>
          </w:p>
        </w:tc>
      </w:tr>
      <w:tr w14:paraId="59EE33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0" w:hRule="atLeast"/>
        </w:trPr>
        <w:tc>
          <w:tcPr>
            <w:tcW w:w="904"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307C69F">
            <w:pPr>
              <w:jc w:val="center"/>
              <w:rPr>
                <w:rFonts w:hint="eastAsia" w:ascii="微软雅黑" w:hAnsi="微软雅黑" w:eastAsia="微软雅黑" w:cs="微软雅黑"/>
                <w:i w:val="0"/>
                <w:iCs w:val="0"/>
                <w:color w:val="000000"/>
                <w:sz w:val="20"/>
                <w:szCs w:val="20"/>
                <w:u w:val="none"/>
              </w:rPr>
            </w:pP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1E83717">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无线采集器（LORA）</w:t>
            </w:r>
          </w:p>
        </w:tc>
        <w:tc>
          <w:tcPr>
            <w:tcW w:w="61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DCC02A9">
            <w:pPr>
              <w:keepNext w:val="0"/>
              <w:keepLines w:val="0"/>
              <w:widowControl/>
              <w:suppressLineNumbers w:val="0"/>
              <w:jc w:val="left"/>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采集、发送一体，工业级</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传输方式：LoRa</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支持上线发送自定义注册包、心跳包、注销包功能</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支持远程指令查询工作状态、触发上线、修改数据中心参数等操控功能</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数据输入接口：RS232/485</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输入电压：DC5~36V</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工作电流：35mA/12v</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DD37AB9">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台</w:t>
            </w: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B1A4924">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120</w:t>
            </w:r>
          </w:p>
        </w:tc>
      </w:tr>
      <w:tr w14:paraId="454EEB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98" w:hRule="atLeast"/>
        </w:trPr>
        <w:tc>
          <w:tcPr>
            <w:tcW w:w="904"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AE6D772">
            <w:pPr>
              <w:jc w:val="center"/>
              <w:rPr>
                <w:rFonts w:hint="eastAsia" w:ascii="微软雅黑" w:hAnsi="微软雅黑" w:eastAsia="微软雅黑" w:cs="微软雅黑"/>
                <w:i w:val="0"/>
                <w:iCs w:val="0"/>
                <w:color w:val="000000"/>
                <w:sz w:val="20"/>
                <w:szCs w:val="20"/>
                <w:u w:val="none"/>
              </w:rPr>
            </w:pPr>
          </w:p>
        </w:tc>
        <w:tc>
          <w:tcPr>
            <w:tcW w:w="915" w:type="dxa"/>
            <w:tcBorders>
              <w:top w:val="single" w:color="000000" w:sz="4" w:space="0"/>
              <w:left w:val="single" w:color="000000" w:sz="4" w:space="0"/>
              <w:right w:val="single" w:color="000000" w:sz="4" w:space="0"/>
            </w:tcBorders>
            <w:shd w:val="clear" w:color="auto" w:fill="auto"/>
            <w:noWrap w:val="0"/>
            <w:vAlign w:val="center"/>
          </w:tcPr>
          <w:p w14:paraId="2AB8B845">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采集网关</w:t>
            </w:r>
          </w:p>
        </w:tc>
        <w:tc>
          <w:tcPr>
            <w:tcW w:w="6161" w:type="dxa"/>
            <w:tcBorders>
              <w:top w:val="single" w:color="000000" w:sz="4" w:space="0"/>
              <w:left w:val="single" w:color="000000" w:sz="4" w:space="0"/>
              <w:right w:val="single" w:color="000000" w:sz="4" w:space="0"/>
            </w:tcBorders>
            <w:shd w:val="clear" w:color="auto" w:fill="auto"/>
            <w:noWrap w:val="0"/>
            <w:vAlign w:val="center"/>
          </w:tcPr>
          <w:p w14:paraId="027BDAF7">
            <w:pPr>
              <w:keepNext w:val="0"/>
              <w:keepLines w:val="0"/>
              <w:widowControl/>
              <w:suppressLineNumbers w:val="0"/>
              <w:jc w:val="left"/>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用于智能采集控制器和平台的数据通信</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工作温度：在-24~85℃，5~95%RH（无凝露）范围内能正常工作；</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速率：最高传输速率为10MB/S</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数据接口：RS232/485</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天线接口：SMA射频座</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支持数据传输，含100M/月 3年流量</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采集数据：≥84个</w:t>
            </w:r>
          </w:p>
        </w:tc>
        <w:tc>
          <w:tcPr>
            <w:tcW w:w="700" w:type="dxa"/>
            <w:tcBorders>
              <w:top w:val="single" w:color="000000" w:sz="4" w:space="0"/>
              <w:left w:val="single" w:color="000000" w:sz="4" w:space="0"/>
              <w:right w:val="single" w:color="000000" w:sz="4" w:space="0"/>
            </w:tcBorders>
            <w:shd w:val="clear" w:color="auto" w:fill="auto"/>
            <w:noWrap w:val="0"/>
            <w:vAlign w:val="center"/>
          </w:tcPr>
          <w:p w14:paraId="62DE2B43">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台</w:t>
            </w: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2BEC4F0">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10</w:t>
            </w:r>
          </w:p>
        </w:tc>
      </w:tr>
      <w:tr w14:paraId="53277F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904" w:type="dxa"/>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DE9080D">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温室大棚（4个，面积7168平）</w:t>
            </w: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F355CAD">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光照/温湿度/二氧化碳传感器</w:t>
            </w:r>
          </w:p>
        </w:tc>
        <w:tc>
          <w:tcPr>
            <w:tcW w:w="61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274B982">
            <w:pPr>
              <w:keepNext w:val="0"/>
              <w:keepLines w:val="0"/>
              <w:widowControl/>
              <w:suppressLineNumbers w:val="0"/>
              <w:jc w:val="left"/>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量程：</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光照强度0-65535Lux，</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空气温湿度-40℃~+80℃、0%RH~100%RH，</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二氧化碳0~5000ppm</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精度：</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湿度±3%RH(60%RH,25℃)</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温度 ±0.5℃（25℃）</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光照强度 ±7%(25℃)</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CO2 ±(50ppm+ 3%F•S) (25℃)@400-5000ppm</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最大功耗 0.8W（24V DC）</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 xml:space="preserve">响应时间： </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温度 ≤18s(1m/s风速)</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湿度 ≤6s(1m/s风速)</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光照强度≤ 0.1s</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CO2 ≤90s</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输出信号 RS485(ModBus协议)</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数据更新间隔≤2s</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数据上传时间  ≤10s/次，</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E00C28F">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台</w:t>
            </w: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6441C34">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4</w:t>
            </w:r>
          </w:p>
        </w:tc>
      </w:tr>
      <w:tr w14:paraId="6567C4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904"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0369C5A">
            <w:pPr>
              <w:jc w:val="center"/>
              <w:rPr>
                <w:rFonts w:hint="eastAsia" w:ascii="微软雅黑" w:hAnsi="微软雅黑" w:eastAsia="微软雅黑" w:cs="微软雅黑"/>
                <w:i w:val="0"/>
                <w:iCs w:val="0"/>
                <w:color w:val="000000"/>
                <w:sz w:val="20"/>
                <w:szCs w:val="20"/>
                <w:u w:val="none"/>
              </w:rPr>
            </w:pP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B669C5D">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无线采集器（LORA）</w:t>
            </w:r>
          </w:p>
        </w:tc>
        <w:tc>
          <w:tcPr>
            <w:tcW w:w="61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EDDA5F7">
            <w:pPr>
              <w:keepNext w:val="0"/>
              <w:keepLines w:val="0"/>
              <w:widowControl/>
              <w:suppressLineNumbers w:val="0"/>
              <w:jc w:val="left"/>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采集、发送一体，工业级</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传输方式：LoRa</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支持上线发送自定义注册包、心跳包、注销包功能</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支持远程指令查询工作状态、触发上线、修改数据中心参数等操控功能</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数据输入接口：RS232/485</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输入电压：DC5~36V</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工作电流：35mA/12v</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C22637C">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台</w:t>
            </w: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71D94DB">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4</w:t>
            </w:r>
          </w:p>
        </w:tc>
      </w:tr>
      <w:tr w14:paraId="000A31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285" w:hRule="atLeast"/>
        </w:trPr>
        <w:tc>
          <w:tcPr>
            <w:tcW w:w="904"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962720C">
            <w:pPr>
              <w:jc w:val="center"/>
              <w:rPr>
                <w:rFonts w:hint="eastAsia" w:ascii="微软雅黑" w:hAnsi="微软雅黑" w:eastAsia="微软雅黑" w:cs="微软雅黑"/>
                <w:i w:val="0"/>
                <w:iCs w:val="0"/>
                <w:color w:val="000000"/>
                <w:sz w:val="20"/>
                <w:szCs w:val="20"/>
                <w:u w:val="none"/>
              </w:rPr>
            </w:pP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1568AF0">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★智能主控</w:t>
            </w:r>
          </w:p>
        </w:tc>
        <w:tc>
          <w:tcPr>
            <w:tcW w:w="61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96DE107">
            <w:pPr>
              <w:keepNext w:val="0"/>
              <w:keepLines w:val="0"/>
              <w:widowControl/>
              <w:suppressLineNumbers w:val="0"/>
              <w:jc w:val="left"/>
              <w:rPr>
                <w:rFonts w:hint="eastAsia" w:ascii="微软雅黑" w:hAnsi="微软雅黑" w:eastAsia="微软雅黑" w:cs="微软雅黑"/>
                <w:i w:val="0"/>
                <w:iCs w:val="0"/>
                <w:color w:val="000000"/>
                <w:sz w:val="20"/>
                <w:szCs w:val="20"/>
                <w:u w:val="none"/>
                <w:lang w:val="en-US" w:eastAsia="zh-CN" w:bidi="ar"/>
              </w:rPr>
            </w:pPr>
            <w:r>
              <w:rPr>
                <w:rFonts w:hint="eastAsia" w:ascii="微软雅黑" w:hAnsi="微软雅黑" w:eastAsia="微软雅黑" w:cs="微软雅黑"/>
                <w:i w:val="0"/>
                <w:iCs w:val="0"/>
                <w:color w:val="000000"/>
                <w:sz w:val="20"/>
                <w:szCs w:val="20"/>
                <w:u w:val="none"/>
                <w:lang w:val="en-US" w:eastAsia="zh-CN" w:bidi="ar"/>
              </w:rPr>
              <w:t>网关型智能采集控制器：用于存储控制策略方案，处理采集板数据信号，响应平台和触摸屏的控制指令和数据上传。响应主控板控制信号，继电器控制信号输出，用于被控物体通断控制。</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触摸屏：具有智慧触摸屏，用于现场的控制策略设置，手动控制和采集数据显示等，存储控制策略独立工作，支持手动、自动控制，不受网络影响。</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控制箱箱体：采用高工艺折柜，镀锌冷轧钢板，确保使用质量，保证使用年限长久。</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远传通讯方式：4G/5G；</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▲控制方式：支持手动/自动切换，实现三位立体控制(现场手动控制、自身策略自动控制、远程电脑或移动终端控制)；</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控制回路：级联扩展；</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控制功能：可与485控制模块配套使用实现远距离控制，也可通过自身继电器与配套配电柜配合使用；</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采用标准配电设计，箱内元器件采用主流产品；</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采取急停紧急制动措施，配电箱内弱电、强电均带自锁；</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▲报警方式：上限超出报警、下限超出报警、上下限超出报警；</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▲云配置功能：模拟量传感器采集支持量程自定义云设置，控制阈值和报警阈值支持自定义云设置，点动控制时间支持自定义云设置，输出互锁通道支持自定义云设置；</w:t>
            </w:r>
          </w:p>
          <w:p w14:paraId="50AA22DE">
            <w:pPr>
              <w:keepNext w:val="0"/>
              <w:keepLines w:val="0"/>
              <w:widowControl/>
              <w:suppressLineNumbers w:val="0"/>
              <w:jc w:val="left"/>
              <w:rPr>
                <w:rFonts w:hint="eastAsia" w:ascii="微软雅黑" w:hAnsi="微软雅黑" w:eastAsia="微软雅黑" w:cs="微软雅黑"/>
                <w:i w:val="0"/>
                <w:iCs w:val="0"/>
                <w:color w:val="000000"/>
                <w:sz w:val="20"/>
                <w:szCs w:val="20"/>
                <w:u w:val="none"/>
                <w:lang w:val="en-US" w:eastAsia="zh-CN" w:bidi="ar"/>
              </w:rPr>
            </w:pPr>
            <w:r>
              <w:rPr>
                <w:rFonts w:hint="eastAsia" w:ascii="微软雅黑" w:hAnsi="微软雅黑" w:eastAsia="微软雅黑" w:cs="微软雅黑"/>
                <w:i w:val="0"/>
                <w:iCs w:val="0"/>
                <w:color w:val="000000"/>
                <w:sz w:val="20"/>
                <w:szCs w:val="20"/>
                <w:u w:val="none"/>
                <w:lang w:val="en-US" w:eastAsia="zh-CN" w:bidi="ar"/>
              </w:rPr>
              <w:t>▲防护措施：内置过流、防雷击、防浪涌、防反接保护。</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通过智能主控结合配电柜可以实现对风机、湿帘、卷膜、补光灯、内外遮阳等设备的控制，通过与环境采集传感器联动，也可进行策略控制，实现智能化管理。</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设计需求，220V交流电，设计功率≥1000W, 内置漏电，短路，过载，等安全保护。手动模式采用物理按键确保紧急状态下对补光设备可靠控制，自动模式下利用时间控制（多时段)和高精度光传感器（开关量型)，做到对补光设备启停条件互补，达到对生产工艺规定的时间内补光设备智能运行和节能效果</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一次回路物理控制采用固态无触点继电器，有效避免设备频繁启停对电压产生的电弧延长设备使用时间。</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光照仪表带光照探头（开关量，光照强度值，一路报警点)</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单相固态接触器（直流控交流，10A，输入电压3-32VDC；输出电压24-480VAC,  )</w:t>
            </w:r>
          </w:p>
          <w:p w14:paraId="68AB493D">
            <w:pPr>
              <w:pStyle w:val="2"/>
              <w:ind w:left="0" w:firstLine="0"/>
              <w:rPr>
                <w:rFonts w:hint="eastAsia"/>
              </w:rPr>
            </w:pPr>
            <w:r>
              <w:rPr>
                <w:rFonts w:hint="eastAsia" w:ascii="微软雅黑" w:hAnsi="微软雅黑" w:eastAsia="微软雅黑" w:cs="微软雅黑"/>
                <w:i w:val="0"/>
                <w:iCs w:val="0"/>
                <w:color w:val="000000"/>
                <w:sz w:val="20"/>
                <w:szCs w:val="20"/>
                <w:u w:val="none"/>
                <w:lang w:val="en-US" w:eastAsia="zh-CN" w:bidi="ar"/>
              </w:rPr>
              <w:t>（▲提供省级或以上检测机构出具首页有CMA、CNAS标识的有效产品检验报告原件扫描件予以佐证。）</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191903D">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台</w:t>
            </w: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A4D7642">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4</w:t>
            </w:r>
          </w:p>
        </w:tc>
      </w:tr>
      <w:tr w14:paraId="5A1FEE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904"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FEFFC73">
            <w:pPr>
              <w:jc w:val="center"/>
              <w:rPr>
                <w:rFonts w:hint="eastAsia" w:ascii="微软雅黑" w:hAnsi="微软雅黑" w:eastAsia="微软雅黑" w:cs="微软雅黑"/>
                <w:i w:val="0"/>
                <w:iCs w:val="0"/>
                <w:color w:val="000000"/>
                <w:sz w:val="20"/>
                <w:szCs w:val="20"/>
                <w:u w:val="none"/>
              </w:rPr>
            </w:pP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BDE3C27">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土壤温湿度传感器</w:t>
            </w:r>
          </w:p>
        </w:tc>
        <w:tc>
          <w:tcPr>
            <w:tcW w:w="61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4A01A15">
            <w:pPr>
              <w:keepNext w:val="0"/>
              <w:keepLines w:val="0"/>
              <w:widowControl/>
              <w:suppressLineNumbers w:val="0"/>
              <w:jc w:val="left"/>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测量原理 FDR , 变频交流法</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信号方式 RS485</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通讯协议 MODBUS-RTU</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测量范围 （0-100）% （水分），0-50000US/CM（电导率） , 0-55度（温度）</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测量精度 1%FS</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响应时间≤ 1s</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传感器漂移 ≤0.1%FS/24h</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温度补偿 自动 ( 温度 0 ~55 ℃ )</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 xml:space="preserve">供电参数 电压：7—30VDC   功率：&lt; 0.2 w </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防水等级 IP68</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AC71944">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台</w:t>
            </w: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389F397">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50</w:t>
            </w:r>
          </w:p>
        </w:tc>
      </w:tr>
      <w:tr w14:paraId="23F0DB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904"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1E96C2B">
            <w:pPr>
              <w:jc w:val="center"/>
              <w:rPr>
                <w:rFonts w:hint="eastAsia" w:ascii="微软雅黑" w:hAnsi="微软雅黑" w:eastAsia="微软雅黑" w:cs="微软雅黑"/>
                <w:i w:val="0"/>
                <w:iCs w:val="0"/>
                <w:color w:val="000000"/>
                <w:sz w:val="20"/>
                <w:szCs w:val="20"/>
                <w:u w:val="none"/>
              </w:rPr>
            </w:pP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BD1FBCF">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土壤PH/EC/氮磷钾传感器</w:t>
            </w:r>
          </w:p>
        </w:tc>
        <w:tc>
          <w:tcPr>
            <w:tcW w:w="61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04E1FCC">
            <w:pPr>
              <w:keepNext w:val="0"/>
              <w:keepLines w:val="0"/>
              <w:widowControl/>
              <w:suppressLineNumbers w:val="0"/>
              <w:jc w:val="left"/>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土壤PH参数：</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量程3~9PH  分辨率不低于0.1</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电导率参数：</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量程 0-20000us/cm 分辨率不低于 1us/cm；</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典型精度：</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0-10000us/cm 范围内为±3%FS；10000-20000us/cm范围内为±5%FS；（棕壤，60%,25℃）</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氮磷钾参数：</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量程 0-2999 mg/kg(mg/L)，分辨率不低于 1 mg/kg(mg/L)  典型精度 ≤5%（以实际测定仪器为准）</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电导率温度补偿 内置温度补偿传感器，补偿范围0-50℃</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最大功耗 0.5W（24V DC供电）</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工作温度 -20℃~+60℃内核芯片耐温 85℃稳定时间 ≤5min</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681A40D">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台</w:t>
            </w: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E6E7092">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50</w:t>
            </w:r>
          </w:p>
        </w:tc>
      </w:tr>
      <w:tr w14:paraId="4BDE89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904"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1D92DF2">
            <w:pPr>
              <w:jc w:val="center"/>
              <w:rPr>
                <w:rFonts w:hint="eastAsia" w:ascii="微软雅黑" w:hAnsi="微软雅黑" w:eastAsia="微软雅黑" w:cs="微软雅黑"/>
                <w:i w:val="0"/>
                <w:iCs w:val="0"/>
                <w:color w:val="000000"/>
                <w:sz w:val="20"/>
                <w:szCs w:val="20"/>
                <w:u w:val="none"/>
              </w:rPr>
            </w:pP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DD5741A">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无线采集器（LORA）</w:t>
            </w:r>
          </w:p>
        </w:tc>
        <w:tc>
          <w:tcPr>
            <w:tcW w:w="61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3DC060D">
            <w:pPr>
              <w:keepNext w:val="0"/>
              <w:keepLines w:val="0"/>
              <w:widowControl/>
              <w:suppressLineNumbers w:val="0"/>
              <w:jc w:val="left"/>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采集、发送一体，工业级</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传输方式：LoRa</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支持上线发送自定义注册包、心跳包、注销包功能</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支持远程指令查询工作状态、触发上线、修改数据中心参数等操控功能</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数据输入接口：RS232/485</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输入电压：DC5~36V</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工作电流：35mA/12v</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B5AA330">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台</w:t>
            </w: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E9B1A6F">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50</w:t>
            </w:r>
          </w:p>
        </w:tc>
      </w:tr>
      <w:tr w14:paraId="488EF7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34" w:hRule="atLeast"/>
        </w:trPr>
        <w:tc>
          <w:tcPr>
            <w:tcW w:w="904"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02A871A">
            <w:pPr>
              <w:jc w:val="center"/>
              <w:rPr>
                <w:rFonts w:hint="eastAsia" w:ascii="微软雅黑" w:hAnsi="微软雅黑" w:eastAsia="微软雅黑" w:cs="微软雅黑"/>
                <w:i w:val="0"/>
                <w:iCs w:val="0"/>
                <w:color w:val="000000"/>
                <w:sz w:val="20"/>
                <w:szCs w:val="20"/>
                <w:u w:val="none"/>
              </w:rPr>
            </w:pPr>
          </w:p>
        </w:tc>
        <w:tc>
          <w:tcPr>
            <w:tcW w:w="915" w:type="dxa"/>
            <w:tcBorders>
              <w:top w:val="single" w:color="000000" w:sz="4" w:space="0"/>
              <w:left w:val="single" w:color="000000" w:sz="4" w:space="0"/>
              <w:right w:val="single" w:color="000000" w:sz="4" w:space="0"/>
            </w:tcBorders>
            <w:shd w:val="clear" w:color="auto" w:fill="auto"/>
            <w:noWrap w:val="0"/>
            <w:vAlign w:val="center"/>
          </w:tcPr>
          <w:p w14:paraId="65416B69">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采集网关</w:t>
            </w:r>
          </w:p>
        </w:tc>
        <w:tc>
          <w:tcPr>
            <w:tcW w:w="6161" w:type="dxa"/>
            <w:tcBorders>
              <w:top w:val="single" w:color="000000" w:sz="4" w:space="0"/>
              <w:left w:val="single" w:color="000000" w:sz="4" w:space="0"/>
              <w:right w:val="single" w:color="000000" w:sz="4" w:space="0"/>
            </w:tcBorders>
            <w:shd w:val="clear" w:color="auto" w:fill="auto"/>
            <w:noWrap w:val="0"/>
            <w:vAlign w:val="center"/>
          </w:tcPr>
          <w:p w14:paraId="14B0369A">
            <w:pPr>
              <w:keepNext w:val="0"/>
              <w:keepLines w:val="0"/>
              <w:widowControl/>
              <w:suppressLineNumbers w:val="0"/>
              <w:jc w:val="left"/>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用于智能采集控制器和平台的数据通信</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工作温度：在-24~85℃，5~95%RH（无凝露）范围内能正常工作；</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速率：最高传输速率为10MB/S</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数据接口：RS232/485</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天线接口：SMA射频座</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支持数据传输，含100M/月 3年流量</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采集数据：≥84个</w:t>
            </w:r>
          </w:p>
        </w:tc>
        <w:tc>
          <w:tcPr>
            <w:tcW w:w="700" w:type="dxa"/>
            <w:tcBorders>
              <w:top w:val="single" w:color="000000" w:sz="4" w:space="0"/>
              <w:left w:val="single" w:color="000000" w:sz="4" w:space="0"/>
              <w:right w:val="single" w:color="000000" w:sz="4" w:space="0"/>
            </w:tcBorders>
            <w:shd w:val="clear" w:color="auto" w:fill="auto"/>
            <w:noWrap w:val="0"/>
            <w:vAlign w:val="center"/>
          </w:tcPr>
          <w:p w14:paraId="1B46A756">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台</w:t>
            </w: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9636991">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5</w:t>
            </w:r>
          </w:p>
        </w:tc>
      </w:tr>
      <w:tr w14:paraId="35EFB6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904" w:type="dxa"/>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A62ACCB">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核心区外围其他区域（约50家农户大棚）</w:t>
            </w: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3D22CB4">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光照/温湿度/二氧化碳传感器</w:t>
            </w:r>
          </w:p>
        </w:tc>
        <w:tc>
          <w:tcPr>
            <w:tcW w:w="61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2867AEF">
            <w:pPr>
              <w:keepNext w:val="0"/>
              <w:keepLines w:val="0"/>
              <w:widowControl/>
              <w:suppressLineNumbers w:val="0"/>
              <w:jc w:val="left"/>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量程：</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光照强度0-65535Lux，</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空气温湿度-40℃~+80℃、0%RH~100%RH，</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二氧化碳0~5000ppm</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精度：</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湿度±3%RH(60%RH,25℃)</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温度 ±0.5℃（25℃）</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光照强度 ±7%(25℃)</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CO2 ±(50ppm+ 3%F•S) (25℃)@400-5000ppm</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最大功耗 0.8W（24V DC）</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 xml:space="preserve">响应时间： </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温度 ≤18s(1m/s风速)</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湿度 ≤6s(1m/s风速)</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光照强度≤ 0.1s</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CO2 ≤90s</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输出信号 RS485(ModBus协议)</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数据更新间隔≤2s</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数据上传时间  ≤10s/次，</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1E68F6A">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台</w:t>
            </w: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178C16C">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50</w:t>
            </w:r>
          </w:p>
        </w:tc>
      </w:tr>
      <w:tr w14:paraId="0168DD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904"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84AAFBF">
            <w:pPr>
              <w:jc w:val="center"/>
              <w:rPr>
                <w:rFonts w:hint="eastAsia" w:ascii="微软雅黑" w:hAnsi="微软雅黑" w:eastAsia="微软雅黑" w:cs="微软雅黑"/>
                <w:i w:val="0"/>
                <w:iCs w:val="0"/>
                <w:color w:val="000000"/>
                <w:sz w:val="20"/>
                <w:szCs w:val="20"/>
                <w:u w:val="none"/>
              </w:rPr>
            </w:pP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15B956E">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土壤温湿度/PH/EC/氮磷钾传感器</w:t>
            </w:r>
          </w:p>
        </w:tc>
        <w:tc>
          <w:tcPr>
            <w:tcW w:w="61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028F8FA">
            <w:pPr>
              <w:keepNext w:val="0"/>
              <w:keepLines w:val="0"/>
              <w:widowControl/>
              <w:suppressLineNumbers w:val="0"/>
              <w:jc w:val="left"/>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土壤PH参数：</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量程3~9PH  分辨率不低于0.1</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电导率参数：</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量程 0-20000us/cm 分辨率不低于 1us/cm；</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典型精度：</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0-10000us/cm 范围内为±3%FS；10000-20000us/cm范围内为±5%FS；（棕壤，60%,25℃）</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氮磷钾参数：</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量程 0-2999 mg/kg(mg/L)，分辨率不低于 1 mg/kg(mg/L)  典型精度 ≤5%（以实际测定仪器为准）</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电导率温度补偿 内置温度补偿传感器，补偿范围0-50℃</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最大功耗 0.5W（24V DC供电）</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工作温度 -20℃~+60℃内核芯片耐温 85℃稳定时间 ≤5min</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16D80D6">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台</w:t>
            </w: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D997967">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50</w:t>
            </w:r>
          </w:p>
        </w:tc>
      </w:tr>
      <w:tr w14:paraId="303616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904"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F183C54">
            <w:pPr>
              <w:jc w:val="center"/>
              <w:rPr>
                <w:rFonts w:hint="eastAsia" w:ascii="微软雅黑" w:hAnsi="微软雅黑" w:eastAsia="微软雅黑" w:cs="微软雅黑"/>
                <w:i w:val="0"/>
                <w:iCs w:val="0"/>
                <w:color w:val="000000"/>
                <w:sz w:val="20"/>
                <w:szCs w:val="20"/>
                <w:u w:val="none"/>
              </w:rPr>
            </w:pP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354D3D9">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无线采集器（4G）</w:t>
            </w:r>
          </w:p>
        </w:tc>
        <w:tc>
          <w:tcPr>
            <w:tcW w:w="61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1DE4EF2">
            <w:pPr>
              <w:keepNext w:val="0"/>
              <w:keepLines w:val="0"/>
              <w:widowControl/>
              <w:suppressLineNumbers w:val="0"/>
              <w:jc w:val="left"/>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采集、发送一体，工业级</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传输方式：4G</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支持上线发送自定义注册包、心跳包、注销包功能</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支持远程指令查询工作状态、触发上线、修改数据中心参数等操控功能</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数据输入接口：RS232/485</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输入电压：DC5~36V</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工作电流：35mA/12v</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支持数据传输，含100M/月 3年流量</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D3AEF16">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台</w:t>
            </w: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1B67FFA">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50</w:t>
            </w:r>
          </w:p>
        </w:tc>
      </w:tr>
      <w:tr w14:paraId="3FE75D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904" w:type="dxa"/>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EF4E842">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葡萄表型监测</w:t>
            </w: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3F08990">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土壤紧实度分析测定仪</w:t>
            </w:r>
          </w:p>
        </w:tc>
        <w:tc>
          <w:tcPr>
            <w:tcW w:w="61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F68BE0A">
            <w:pPr>
              <w:keepNext w:val="0"/>
              <w:keepLines w:val="0"/>
              <w:widowControl/>
              <w:suppressLineNumbers w:val="0"/>
              <w:jc w:val="left"/>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土壤紧实度分析测定仪可直接测量土壤紧实度，又可随时将测量时每次采样的数据存储到主机上，仪器支持自动上传测量数据，平台内数据可下载，分析，打印。内置GPS定位系统，可时显示测量点的位置信息，（经纬度），并可利用此定位数据在计算机中绘制土壤紧实度分布图。</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1、具有无线通讯功能：支持自动上传测量数据，设备通过4G网络方式与服务器通讯，实时发送至服务器，可实时查看数据和下载数据；</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2、数据对接至手机端，实时上传数据、查看数据、下载数据。</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3、具有系统监控和保护措施。</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4、具有中文液晶显示，支持显示当前日期时间，各传感器测量数据，存储容量，已存储数据条数等信息。</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5、主机数据存储≥3万条数据。</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6、内置锂电池供电，具有充电保护、电压过低提示功能。</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7、采集设置：可在无人管理的情况下设置定时采集，也可手动采集。</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8、语音设置：可根据需要设置语音播报功能开/关/超限开。</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9、语音报警功能：主机语音设置为超限开后，即可语音播报超限信息。</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10、土壤紧实度测定仪主机支持通过集线器接入不同类型的传感器，互不影响精度。</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11、支持自带GPS定位功能，数据采集时可自动显示采集点地理坐标。</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12、支持扩展传感器类型及数量≥32个。</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13、支持对接到云平台，平台支持设备数据存储，为设备数据提供曲线与表格等报表形式，且数据可导出与导入；支持结合数据进行报表制作，报表打印，报表导出功能;</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14、配备手持机：设备内部Flash可存≥3万条数据，采集时间间隔:5分~99小时，测量范围:0~7922KPa;0~89kg/cm’，0~890N/cm2；测量深度:0~375mm(标杆长度为400mm)，测量精度:±5%</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23A35FD">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台</w:t>
            </w: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C231FF1">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1</w:t>
            </w:r>
          </w:p>
        </w:tc>
      </w:tr>
      <w:tr w14:paraId="79C097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904"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8B280BC">
            <w:pPr>
              <w:jc w:val="center"/>
              <w:rPr>
                <w:rFonts w:hint="eastAsia" w:ascii="微软雅黑" w:hAnsi="微软雅黑" w:eastAsia="微软雅黑" w:cs="微软雅黑"/>
                <w:i w:val="0"/>
                <w:iCs w:val="0"/>
                <w:color w:val="000000"/>
                <w:sz w:val="20"/>
                <w:szCs w:val="20"/>
                <w:u w:val="none"/>
              </w:rPr>
            </w:pP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E9D79C3">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多光谱植被监测仪</w:t>
            </w:r>
          </w:p>
        </w:tc>
        <w:tc>
          <w:tcPr>
            <w:tcW w:w="61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A58F128">
            <w:pPr>
              <w:keepNext w:val="0"/>
              <w:keepLines w:val="0"/>
              <w:widowControl/>
              <w:suppressLineNumbers w:val="0"/>
              <w:jc w:val="left"/>
              <w:rPr>
                <w:rFonts w:hint="eastAsia" w:ascii="微软雅黑" w:hAnsi="微软雅黑" w:eastAsia="微软雅黑" w:cs="微软雅黑"/>
                <w:i w:val="0"/>
                <w:iCs w:val="0"/>
                <w:color w:val="000000"/>
                <w:sz w:val="20"/>
                <w:szCs w:val="20"/>
                <w:u w:val="none"/>
                <w:lang w:val="en-US" w:eastAsia="zh-CN" w:bidi="ar"/>
              </w:rPr>
            </w:pPr>
            <w:r>
              <w:rPr>
                <w:rFonts w:hint="eastAsia" w:ascii="微软雅黑" w:hAnsi="微软雅黑" w:eastAsia="微软雅黑" w:cs="微软雅黑"/>
                <w:i w:val="0"/>
                <w:iCs w:val="0"/>
                <w:color w:val="000000"/>
                <w:sz w:val="20"/>
                <w:szCs w:val="20"/>
                <w:u w:val="none"/>
                <w:lang w:val="en-US" w:eastAsia="zh-CN" w:bidi="ar"/>
              </w:rPr>
              <w:t>主要用于实时监测和评估植被的生长状况，融合可见光相机与多光谱成像相机，能够实时采集高精度的植被光谱数据。可以快速生成多种植被指数数据，用户可以在后台远程查看植被生长数据和现场视频图像，多方式高效了解植被生长状态。当监测到植被生长指数低于阈值时，管理平台会第一时间发布预警信息，提醒管理人员及时采取处置措施。</w:t>
            </w:r>
          </w:p>
          <w:p w14:paraId="2392F517">
            <w:pPr>
              <w:keepNext w:val="0"/>
              <w:keepLines w:val="0"/>
              <w:widowControl/>
              <w:suppressLineNumbers w:val="0"/>
              <w:jc w:val="left"/>
              <w:rPr>
                <w:rFonts w:hint="eastAsia" w:ascii="微软雅黑" w:hAnsi="微软雅黑" w:eastAsia="微软雅黑" w:cs="微软雅黑"/>
                <w:i w:val="0"/>
                <w:iCs w:val="0"/>
                <w:color w:val="000000"/>
                <w:sz w:val="20"/>
                <w:szCs w:val="20"/>
                <w:u w:val="none"/>
                <w:lang w:val="en-US" w:eastAsia="zh-CN" w:bidi="ar"/>
              </w:rPr>
            </w:pPr>
            <w:r>
              <w:rPr>
                <w:rFonts w:hint="eastAsia" w:ascii="微软雅黑" w:hAnsi="微软雅黑" w:eastAsia="微软雅黑" w:cs="微软雅黑"/>
                <w:i w:val="0"/>
                <w:iCs w:val="0"/>
                <w:color w:val="000000"/>
                <w:sz w:val="20"/>
                <w:szCs w:val="20"/>
                <w:u w:val="none"/>
                <w:lang w:val="en-US" w:eastAsia="zh-CN" w:bidi="ar"/>
              </w:rPr>
              <w:t>含多光谱检测仪主体和环境光传感器</w:t>
            </w:r>
          </w:p>
          <w:p w14:paraId="2C086475">
            <w:pPr>
              <w:keepNext w:val="0"/>
              <w:keepLines w:val="0"/>
              <w:widowControl/>
              <w:suppressLineNumbers w:val="0"/>
              <w:jc w:val="left"/>
              <w:rPr>
                <w:rFonts w:hint="eastAsia" w:ascii="微软雅黑" w:hAnsi="微软雅黑" w:eastAsia="微软雅黑" w:cs="微软雅黑"/>
                <w:i w:val="0"/>
                <w:iCs w:val="0"/>
                <w:color w:val="000000"/>
                <w:sz w:val="20"/>
                <w:szCs w:val="20"/>
                <w:u w:val="none"/>
                <w:lang w:val="en-US" w:eastAsia="zh-CN" w:bidi="ar"/>
              </w:rPr>
            </w:pPr>
            <w:r>
              <w:rPr>
                <w:rFonts w:hint="eastAsia" w:ascii="微软雅黑" w:hAnsi="微软雅黑" w:eastAsia="微软雅黑" w:cs="微软雅黑"/>
                <w:i w:val="0"/>
                <w:iCs w:val="0"/>
                <w:color w:val="000000"/>
                <w:sz w:val="20"/>
                <w:szCs w:val="20"/>
                <w:u w:val="none"/>
                <w:lang w:val="en-US" w:eastAsia="zh-CN" w:bidi="ar"/>
              </w:rPr>
              <w:t>分辨率不低于 2cm/pixel @ 1km</w:t>
            </w:r>
          </w:p>
          <w:p w14:paraId="1439D6E2">
            <w:pPr>
              <w:keepNext w:val="0"/>
              <w:keepLines w:val="0"/>
              <w:widowControl/>
              <w:suppressLineNumbers w:val="0"/>
              <w:jc w:val="left"/>
              <w:rPr>
                <w:rFonts w:hint="eastAsia" w:ascii="微软雅黑" w:hAnsi="微软雅黑" w:eastAsia="微软雅黑" w:cs="微软雅黑"/>
                <w:i w:val="0"/>
                <w:iCs w:val="0"/>
                <w:color w:val="000000"/>
                <w:sz w:val="20"/>
                <w:szCs w:val="20"/>
                <w:u w:val="none"/>
                <w:lang w:val="en-US" w:eastAsia="zh-CN" w:bidi="ar"/>
              </w:rPr>
            </w:pPr>
            <w:r>
              <w:rPr>
                <w:rFonts w:hint="eastAsia" w:ascii="微软雅黑" w:hAnsi="微软雅黑" w:eastAsia="微软雅黑" w:cs="微软雅黑"/>
                <w:i w:val="0"/>
                <w:iCs w:val="0"/>
                <w:color w:val="000000"/>
                <w:sz w:val="20"/>
                <w:szCs w:val="20"/>
                <w:u w:val="none"/>
                <w:lang w:val="en-US" w:eastAsia="zh-CN" w:bidi="ar"/>
              </w:rPr>
              <w:t>变焦不少于 32倍光学变倍</w:t>
            </w:r>
          </w:p>
          <w:p w14:paraId="056C770A">
            <w:pPr>
              <w:keepNext w:val="0"/>
              <w:keepLines w:val="0"/>
              <w:widowControl/>
              <w:suppressLineNumbers w:val="0"/>
              <w:jc w:val="left"/>
              <w:rPr>
                <w:rFonts w:hint="eastAsia" w:ascii="微软雅黑" w:hAnsi="微软雅黑" w:eastAsia="微软雅黑" w:cs="微软雅黑"/>
                <w:i w:val="0"/>
                <w:iCs w:val="0"/>
                <w:color w:val="000000"/>
                <w:sz w:val="20"/>
                <w:szCs w:val="20"/>
                <w:u w:val="none"/>
                <w:lang w:val="en-US" w:eastAsia="zh-CN" w:bidi="ar"/>
              </w:rPr>
            </w:pPr>
            <w:r>
              <w:rPr>
                <w:rFonts w:hint="eastAsia" w:ascii="微软雅黑" w:hAnsi="微软雅黑" w:eastAsia="微软雅黑" w:cs="微软雅黑"/>
                <w:i w:val="0"/>
                <w:iCs w:val="0"/>
                <w:color w:val="000000"/>
                <w:sz w:val="20"/>
                <w:szCs w:val="20"/>
                <w:u w:val="none"/>
                <w:lang w:val="en-US" w:eastAsia="zh-CN" w:bidi="ar"/>
              </w:rPr>
              <w:t>监测半径 2km@50m高度</w:t>
            </w:r>
          </w:p>
          <w:p w14:paraId="2ABA9DDB">
            <w:pPr>
              <w:keepNext w:val="0"/>
              <w:keepLines w:val="0"/>
              <w:widowControl/>
              <w:suppressLineNumbers w:val="0"/>
              <w:jc w:val="left"/>
              <w:rPr>
                <w:rFonts w:hint="eastAsia" w:ascii="微软雅黑" w:hAnsi="微软雅黑" w:eastAsia="微软雅黑" w:cs="微软雅黑"/>
                <w:i w:val="0"/>
                <w:iCs w:val="0"/>
                <w:color w:val="000000"/>
                <w:sz w:val="20"/>
                <w:szCs w:val="20"/>
                <w:u w:val="none"/>
                <w:lang w:val="en-US" w:eastAsia="zh-CN" w:bidi="ar"/>
              </w:rPr>
            </w:pPr>
            <w:r>
              <w:rPr>
                <w:rFonts w:hint="eastAsia" w:ascii="微软雅黑" w:hAnsi="微软雅黑" w:eastAsia="微软雅黑" w:cs="微软雅黑"/>
                <w:i w:val="0"/>
                <w:iCs w:val="0"/>
                <w:color w:val="000000"/>
                <w:sz w:val="20"/>
                <w:szCs w:val="20"/>
                <w:u w:val="none"/>
                <w:lang w:val="en-US" w:eastAsia="zh-CN" w:bidi="ar"/>
              </w:rPr>
              <w:t>▲多光谱波段：</w:t>
            </w:r>
          </w:p>
          <w:p w14:paraId="28C3FB4C">
            <w:pPr>
              <w:keepNext w:val="0"/>
              <w:keepLines w:val="0"/>
              <w:widowControl/>
              <w:suppressLineNumbers w:val="0"/>
              <w:jc w:val="left"/>
              <w:rPr>
                <w:rFonts w:hint="eastAsia" w:ascii="微软雅黑" w:hAnsi="微软雅黑" w:eastAsia="微软雅黑" w:cs="微软雅黑"/>
                <w:i w:val="0"/>
                <w:iCs w:val="0"/>
                <w:color w:val="000000"/>
                <w:sz w:val="20"/>
                <w:szCs w:val="20"/>
                <w:u w:val="none"/>
                <w:lang w:val="en-US" w:eastAsia="zh-CN" w:bidi="ar"/>
              </w:rPr>
            </w:pPr>
            <w:r>
              <w:rPr>
                <w:rFonts w:hint="eastAsia" w:ascii="微软雅黑" w:hAnsi="微软雅黑" w:eastAsia="微软雅黑" w:cs="微软雅黑"/>
                <w:i w:val="0"/>
                <w:iCs w:val="0"/>
                <w:color w:val="000000"/>
                <w:sz w:val="20"/>
                <w:szCs w:val="20"/>
                <w:u w:val="none"/>
                <w:lang w:val="en-US" w:eastAsia="zh-CN" w:bidi="ar"/>
              </w:rPr>
              <w:t>蓝：450nm±10nm</w:t>
            </w:r>
          </w:p>
          <w:p w14:paraId="14C77F97">
            <w:pPr>
              <w:keepNext w:val="0"/>
              <w:keepLines w:val="0"/>
              <w:widowControl/>
              <w:suppressLineNumbers w:val="0"/>
              <w:jc w:val="left"/>
              <w:rPr>
                <w:rFonts w:hint="eastAsia" w:ascii="微软雅黑" w:hAnsi="微软雅黑" w:eastAsia="微软雅黑" w:cs="微软雅黑"/>
                <w:i w:val="0"/>
                <w:iCs w:val="0"/>
                <w:color w:val="000000"/>
                <w:sz w:val="20"/>
                <w:szCs w:val="20"/>
                <w:u w:val="none"/>
                <w:lang w:val="en-US" w:eastAsia="zh-CN" w:bidi="ar"/>
              </w:rPr>
            </w:pPr>
            <w:r>
              <w:rPr>
                <w:rFonts w:hint="eastAsia" w:ascii="微软雅黑" w:hAnsi="微软雅黑" w:eastAsia="微软雅黑" w:cs="微软雅黑"/>
                <w:i w:val="0"/>
                <w:iCs w:val="0"/>
                <w:color w:val="000000"/>
                <w:sz w:val="20"/>
                <w:szCs w:val="20"/>
                <w:u w:val="none"/>
                <w:lang w:val="en-US" w:eastAsia="zh-CN" w:bidi="ar"/>
              </w:rPr>
              <w:t>绿：555nm±10nm</w:t>
            </w:r>
          </w:p>
          <w:p w14:paraId="56996F17">
            <w:pPr>
              <w:keepNext w:val="0"/>
              <w:keepLines w:val="0"/>
              <w:widowControl/>
              <w:suppressLineNumbers w:val="0"/>
              <w:jc w:val="left"/>
              <w:rPr>
                <w:rFonts w:hint="eastAsia" w:ascii="微软雅黑" w:hAnsi="微软雅黑" w:eastAsia="微软雅黑" w:cs="微软雅黑"/>
                <w:i w:val="0"/>
                <w:iCs w:val="0"/>
                <w:color w:val="000000"/>
                <w:sz w:val="20"/>
                <w:szCs w:val="20"/>
                <w:u w:val="none"/>
                <w:lang w:val="en-US" w:eastAsia="zh-CN" w:bidi="ar"/>
              </w:rPr>
            </w:pPr>
            <w:r>
              <w:rPr>
                <w:rFonts w:hint="eastAsia" w:ascii="微软雅黑" w:hAnsi="微软雅黑" w:eastAsia="微软雅黑" w:cs="微软雅黑"/>
                <w:i w:val="0"/>
                <w:iCs w:val="0"/>
                <w:color w:val="000000"/>
                <w:sz w:val="20"/>
                <w:szCs w:val="20"/>
                <w:u w:val="none"/>
                <w:lang w:val="en-US" w:eastAsia="zh-CN" w:bidi="ar"/>
              </w:rPr>
              <w:t>红：660nm±10nm</w:t>
            </w:r>
          </w:p>
          <w:p w14:paraId="27C0947A">
            <w:pPr>
              <w:keepNext w:val="0"/>
              <w:keepLines w:val="0"/>
              <w:widowControl/>
              <w:suppressLineNumbers w:val="0"/>
              <w:jc w:val="left"/>
              <w:rPr>
                <w:rFonts w:hint="eastAsia" w:ascii="微软雅黑" w:hAnsi="微软雅黑" w:eastAsia="微软雅黑" w:cs="微软雅黑"/>
                <w:i w:val="0"/>
                <w:iCs w:val="0"/>
                <w:color w:val="000000"/>
                <w:sz w:val="20"/>
                <w:szCs w:val="20"/>
                <w:u w:val="none"/>
                <w:lang w:val="en-US" w:eastAsia="zh-CN" w:bidi="ar"/>
              </w:rPr>
            </w:pPr>
            <w:r>
              <w:rPr>
                <w:rFonts w:hint="eastAsia" w:ascii="微软雅黑" w:hAnsi="微软雅黑" w:eastAsia="微软雅黑" w:cs="微软雅黑"/>
                <w:i w:val="0"/>
                <w:iCs w:val="0"/>
                <w:color w:val="000000"/>
                <w:sz w:val="20"/>
                <w:szCs w:val="20"/>
                <w:u w:val="none"/>
                <w:lang w:val="en-US" w:eastAsia="zh-CN" w:bidi="ar"/>
              </w:rPr>
              <w:t>红边1:720nm±5nm</w:t>
            </w:r>
          </w:p>
          <w:p w14:paraId="4DC848EE">
            <w:pPr>
              <w:keepNext w:val="0"/>
              <w:keepLines w:val="0"/>
              <w:widowControl/>
              <w:suppressLineNumbers w:val="0"/>
              <w:jc w:val="left"/>
              <w:rPr>
                <w:rFonts w:hint="eastAsia" w:ascii="微软雅黑" w:hAnsi="微软雅黑" w:eastAsia="微软雅黑" w:cs="微软雅黑"/>
                <w:i w:val="0"/>
                <w:iCs w:val="0"/>
                <w:color w:val="000000"/>
                <w:sz w:val="20"/>
                <w:szCs w:val="20"/>
                <w:u w:val="none"/>
                <w:lang w:val="en-US" w:eastAsia="zh-CN" w:bidi="ar"/>
              </w:rPr>
            </w:pPr>
            <w:r>
              <w:rPr>
                <w:rFonts w:hint="eastAsia" w:ascii="微软雅黑" w:hAnsi="微软雅黑" w:eastAsia="微软雅黑" w:cs="微软雅黑"/>
                <w:i w:val="0"/>
                <w:iCs w:val="0"/>
                <w:color w:val="000000"/>
                <w:sz w:val="20"/>
                <w:szCs w:val="20"/>
                <w:u w:val="none"/>
                <w:lang w:val="en-US" w:eastAsia="zh-CN" w:bidi="ar"/>
              </w:rPr>
              <w:t>红边2:750nm±5nm</w:t>
            </w:r>
          </w:p>
          <w:p w14:paraId="0000FA8D">
            <w:pPr>
              <w:keepNext w:val="0"/>
              <w:keepLines w:val="0"/>
              <w:widowControl/>
              <w:suppressLineNumbers w:val="0"/>
              <w:jc w:val="left"/>
              <w:rPr>
                <w:rFonts w:hint="eastAsia" w:ascii="微软雅黑" w:hAnsi="微软雅黑" w:eastAsia="微软雅黑" w:cs="微软雅黑"/>
                <w:i w:val="0"/>
                <w:iCs w:val="0"/>
                <w:color w:val="000000"/>
                <w:sz w:val="20"/>
                <w:szCs w:val="20"/>
                <w:u w:val="none"/>
                <w:lang w:val="en-US" w:eastAsia="zh-CN" w:bidi="ar"/>
              </w:rPr>
            </w:pPr>
            <w:r>
              <w:rPr>
                <w:rFonts w:hint="eastAsia" w:ascii="微软雅黑" w:hAnsi="微软雅黑" w:eastAsia="微软雅黑" w:cs="微软雅黑"/>
                <w:i w:val="0"/>
                <w:iCs w:val="0"/>
                <w:color w:val="000000"/>
                <w:sz w:val="20"/>
                <w:szCs w:val="20"/>
                <w:u w:val="none"/>
                <w:lang w:val="en-US" w:eastAsia="zh-CN" w:bidi="ar"/>
              </w:rPr>
              <w:t>近红外：840nm±15nm</w:t>
            </w:r>
          </w:p>
          <w:p w14:paraId="1B35ED65">
            <w:pPr>
              <w:keepNext w:val="0"/>
              <w:keepLines w:val="0"/>
              <w:widowControl/>
              <w:suppressLineNumbers w:val="0"/>
              <w:jc w:val="left"/>
              <w:rPr>
                <w:rFonts w:hint="eastAsia" w:ascii="微软雅黑" w:hAnsi="微软雅黑" w:eastAsia="微软雅黑" w:cs="微软雅黑"/>
                <w:i w:val="0"/>
                <w:iCs w:val="0"/>
                <w:color w:val="000000"/>
                <w:sz w:val="20"/>
                <w:szCs w:val="20"/>
                <w:u w:val="none"/>
                <w:lang w:val="en-US" w:eastAsia="zh-CN" w:bidi="ar"/>
              </w:rPr>
            </w:pPr>
            <w:r>
              <w:rPr>
                <w:rFonts w:hint="eastAsia" w:ascii="微软雅黑" w:hAnsi="微软雅黑" w:eastAsia="微软雅黑" w:cs="微软雅黑"/>
                <w:i w:val="0"/>
                <w:iCs w:val="0"/>
                <w:color w:val="000000"/>
                <w:sz w:val="20"/>
                <w:szCs w:val="20"/>
                <w:u w:val="none"/>
                <w:lang w:val="en-US" w:eastAsia="zh-CN" w:bidi="ar"/>
              </w:rPr>
              <w:t>（提供关于设备具有以上6个光谱检测通道的技术能力的经国家安全防范报警系统产品质量监督检验中心或公安部安全与警用电子产品质量检测中心等具备资质的机构检测获取的有效检测报告。）</w:t>
            </w:r>
          </w:p>
          <w:p w14:paraId="39F60D63">
            <w:pPr>
              <w:keepNext w:val="0"/>
              <w:keepLines w:val="0"/>
              <w:widowControl/>
              <w:suppressLineNumbers w:val="0"/>
              <w:jc w:val="left"/>
              <w:rPr>
                <w:rFonts w:hint="eastAsia" w:ascii="微软雅黑" w:hAnsi="微软雅黑" w:eastAsia="微软雅黑" w:cs="微软雅黑"/>
                <w:i w:val="0"/>
                <w:iCs w:val="0"/>
                <w:color w:val="000000"/>
                <w:sz w:val="20"/>
                <w:szCs w:val="20"/>
                <w:u w:val="none"/>
                <w:lang w:val="en-US" w:eastAsia="zh-CN" w:bidi="ar"/>
              </w:rPr>
            </w:pPr>
            <w:r>
              <w:rPr>
                <w:rFonts w:hint="eastAsia" w:ascii="微软雅黑" w:hAnsi="微软雅黑" w:eastAsia="微软雅黑" w:cs="微软雅黑"/>
                <w:i w:val="0"/>
                <w:iCs w:val="0"/>
                <w:color w:val="000000"/>
                <w:sz w:val="20"/>
                <w:szCs w:val="20"/>
                <w:u w:val="none"/>
                <w:lang w:val="en-US" w:eastAsia="zh-CN" w:bidi="ar"/>
              </w:rPr>
              <w:t>照片格式 JPEG或BMP</w:t>
            </w:r>
          </w:p>
          <w:p w14:paraId="676A3268">
            <w:pPr>
              <w:keepNext w:val="0"/>
              <w:keepLines w:val="0"/>
              <w:widowControl/>
              <w:suppressLineNumbers w:val="0"/>
              <w:jc w:val="left"/>
              <w:rPr>
                <w:rFonts w:hint="eastAsia" w:ascii="微软雅黑" w:hAnsi="微软雅黑" w:eastAsia="微软雅黑" w:cs="微软雅黑"/>
                <w:i w:val="0"/>
                <w:iCs w:val="0"/>
                <w:color w:val="000000"/>
                <w:sz w:val="20"/>
                <w:szCs w:val="20"/>
                <w:u w:val="none"/>
                <w:lang w:val="en-US" w:eastAsia="zh-CN" w:bidi="ar"/>
              </w:rPr>
            </w:pPr>
            <w:r>
              <w:rPr>
                <w:rFonts w:hint="eastAsia" w:ascii="微软雅黑" w:hAnsi="微软雅黑" w:eastAsia="微软雅黑" w:cs="微软雅黑"/>
                <w:i w:val="0"/>
                <w:iCs w:val="0"/>
                <w:color w:val="000000"/>
                <w:sz w:val="20"/>
                <w:szCs w:val="20"/>
                <w:u w:val="none"/>
                <w:lang w:val="en-US" w:eastAsia="zh-CN" w:bidi="ar"/>
              </w:rPr>
              <w:t>输出数据 可见光、NDVI\GNDVI\NDRE\OSAVI\LCI</w:t>
            </w:r>
          </w:p>
          <w:p w14:paraId="5D8F8CEA">
            <w:pPr>
              <w:keepNext w:val="0"/>
              <w:keepLines w:val="0"/>
              <w:widowControl/>
              <w:suppressLineNumbers w:val="0"/>
              <w:jc w:val="left"/>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植被指数、原始反射率数据</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01F5FD6">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台</w:t>
            </w: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283AD18">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5</w:t>
            </w:r>
          </w:p>
        </w:tc>
      </w:tr>
      <w:tr w14:paraId="574EB4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904"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C79D3BB">
            <w:pPr>
              <w:jc w:val="center"/>
              <w:rPr>
                <w:rFonts w:hint="eastAsia" w:ascii="微软雅黑" w:hAnsi="微软雅黑" w:eastAsia="微软雅黑" w:cs="微软雅黑"/>
                <w:i w:val="0"/>
                <w:iCs w:val="0"/>
                <w:color w:val="000000"/>
                <w:sz w:val="20"/>
                <w:szCs w:val="20"/>
                <w:u w:val="none"/>
              </w:rPr>
            </w:pP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789E61D">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多光谱植被监测仪支架</w:t>
            </w:r>
          </w:p>
        </w:tc>
        <w:tc>
          <w:tcPr>
            <w:tcW w:w="61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4F94DC3">
            <w:pPr>
              <w:keepNext w:val="0"/>
              <w:keepLines w:val="0"/>
              <w:widowControl/>
              <w:suppressLineNumbers w:val="0"/>
              <w:jc w:val="left"/>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多光谱植被监测仪专用固定支架</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33B5C08">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个</w:t>
            </w: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FC613AD">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5</w:t>
            </w:r>
          </w:p>
        </w:tc>
      </w:tr>
      <w:tr w14:paraId="30482E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904"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DC3C8CE">
            <w:pPr>
              <w:jc w:val="center"/>
              <w:rPr>
                <w:rFonts w:hint="eastAsia" w:ascii="微软雅黑" w:hAnsi="微软雅黑" w:eastAsia="微软雅黑" w:cs="微软雅黑"/>
                <w:i w:val="0"/>
                <w:iCs w:val="0"/>
                <w:color w:val="000000"/>
                <w:sz w:val="20"/>
                <w:szCs w:val="20"/>
                <w:u w:val="none"/>
              </w:rPr>
            </w:pP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4BB5495">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硬盘录像机</w:t>
            </w:r>
          </w:p>
        </w:tc>
        <w:tc>
          <w:tcPr>
            <w:tcW w:w="61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5B8C04F">
            <w:pPr>
              <w:keepNext w:val="0"/>
              <w:keepLines w:val="0"/>
              <w:widowControl/>
              <w:suppressLineNumbers w:val="0"/>
              <w:jc w:val="left"/>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1盘位录像机，4路1080P解码、智能编码14G入网</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录像方式 手动录像，定时录像，移动侦测录像，报警录像，动测或报警录像，动测和报警录像</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录像回放 即时回放，常规回放，事件回放，标签回放，外部文件回放视频输入</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F9734E1">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台</w:t>
            </w: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809DAD8">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5</w:t>
            </w:r>
          </w:p>
        </w:tc>
      </w:tr>
      <w:tr w14:paraId="2FDC06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904"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4EDDDD5">
            <w:pPr>
              <w:jc w:val="center"/>
              <w:rPr>
                <w:rFonts w:hint="eastAsia" w:ascii="微软雅黑" w:hAnsi="微软雅黑" w:eastAsia="微软雅黑" w:cs="微软雅黑"/>
                <w:i w:val="0"/>
                <w:iCs w:val="0"/>
                <w:color w:val="000000"/>
                <w:sz w:val="20"/>
                <w:szCs w:val="20"/>
                <w:u w:val="none"/>
              </w:rPr>
            </w:pP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4FE640A">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8T存储硬盘</w:t>
            </w:r>
          </w:p>
        </w:tc>
        <w:tc>
          <w:tcPr>
            <w:tcW w:w="61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6703980">
            <w:pPr>
              <w:keepNext w:val="0"/>
              <w:keepLines w:val="0"/>
              <w:widowControl/>
              <w:suppressLineNumbers w:val="0"/>
              <w:jc w:val="left"/>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监控专用8T存储硬盘；</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C6748C8">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个</w:t>
            </w: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E3DC34D">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5</w:t>
            </w:r>
          </w:p>
        </w:tc>
      </w:tr>
      <w:tr w14:paraId="1008F8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904"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8576F0C">
            <w:pPr>
              <w:jc w:val="center"/>
              <w:rPr>
                <w:rFonts w:hint="eastAsia" w:ascii="微软雅黑" w:hAnsi="微软雅黑" w:eastAsia="微软雅黑" w:cs="微软雅黑"/>
                <w:i w:val="0"/>
                <w:iCs w:val="0"/>
                <w:color w:val="000000"/>
                <w:sz w:val="20"/>
                <w:szCs w:val="20"/>
                <w:u w:val="none"/>
              </w:rPr>
            </w:pP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1EF2A24">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路由器</w:t>
            </w:r>
          </w:p>
        </w:tc>
        <w:tc>
          <w:tcPr>
            <w:tcW w:w="61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2899726">
            <w:pPr>
              <w:keepNext w:val="0"/>
              <w:keepLines w:val="0"/>
              <w:widowControl/>
              <w:suppressLineNumbers w:val="0"/>
              <w:jc w:val="left"/>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5口路由器</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支持无线</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无线传输速度≥ 150Mbps</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支持WDS</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 xml:space="preserve"> 不可拆</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有线传输率 百兆端口</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11C42D1">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台</w:t>
            </w: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21EF25A">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1</w:t>
            </w:r>
          </w:p>
        </w:tc>
      </w:tr>
      <w:tr w14:paraId="5BB9D6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904"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47D8CE9">
            <w:pPr>
              <w:jc w:val="center"/>
              <w:rPr>
                <w:rFonts w:hint="eastAsia" w:ascii="微软雅黑" w:hAnsi="微软雅黑" w:eastAsia="微软雅黑" w:cs="微软雅黑"/>
                <w:i w:val="0"/>
                <w:iCs w:val="0"/>
                <w:color w:val="000000"/>
                <w:sz w:val="20"/>
                <w:szCs w:val="20"/>
                <w:u w:val="none"/>
              </w:rPr>
            </w:pP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4A234A1">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滑轨及轨道连接件</w:t>
            </w:r>
          </w:p>
        </w:tc>
        <w:tc>
          <w:tcPr>
            <w:tcW w:w="61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D4D246A">
            <w:pPr>
              <w:keepNext w:val="0"/>
              <w:keepLines w:val="0"/>
              <w:widowControl/>
              <w:suppressLineNumbers w:val="0"/>
              <w:jc w:val="left"/>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设计多光谱检测仪专用滑轨，支持监测仪在滑轨上进行定点拍照采集数据。</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厚度≥2.0</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承重≥ 850kg</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高≥43mm 宽≥50mm</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轨道连接件逐节对接，轨道处钢结构加固等</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F06B89C">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米</w:t>
            </w: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6AB1CF3">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128</w:t>
            </w:r>
          </w:p>
        </w:tc>
      </w:tr>
      <w:tr w14:paraId="606CC3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904"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B3C4DAE">
            <w:pPr>
              <w:jc w:val="center"/>
              <w:rPr>
                <w:rFonts w:hint="eastAsia" w:ascii="微软雅黑" w:hAnsi="微软雅黑" w:eastAsia="微软雅黑" w:cs="微软雅黑"/>
                <w:i w:val="0"/>
                <w:iCs w:val="0"/>
                <w:color w:val="000000"/>
                <w:sz w:val="20"/>
                <w:szCs w:val="20"/>
                <w:u w:val="none"/>
              </w:rPr>
            </w:pP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AFC96E7">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轨道车</w:t>
            </w:r>
          </w:p>
        </w:tc>
        <w:tc>
          <w:tcPr>
            <w:tcW w:w="61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589E79B">
            <w:pPr>
              <w:keepNext w:val="0"/>
              <w:keepLines w:val="0"/>
              <w:widowControl/>
              <w:suppressLineNumbers w:val="0"/>
              <w:jc w:val="left"/>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主机尺寸不低于30厘米*20厘米*28厘米</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主机承重≥18公斤</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主机自重≥16公斤</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主机材质：高强度铝合金</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主机供电模式：锂电池供电</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支持电压：DC24V</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5轴运动控制</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通讯波特率：1200-1900</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BFEF46D">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个</w:t>
            </w: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08AABF9">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1</w:t>
            </w:r>
          </w:p>
        </w:tc>
      </w:tr>
      <w:tr w14:paraId="7EB35B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904"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C04692C">
            <w:pPr>
              <w:jc w:val="center"/>
              <w:rPr>
                <w:rFonts w:hint="eastAsia" w:ascii="微软雅黑" w:hAnsi="微软雅黑" w:eastAsia="微软雅黑" w:cs="微软雅黑"/>
                <w:i w:val="0"/>
                <w:iCs w:val="0"/>
                <w:color w:val="000000"/>
                <w:sz w:val="20"/>
                <w:szCs w:val="20"/>
                <w:u w:val="none"/>
              </w:rPr>
            </w:pP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C97BB28">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叶绿素含量检测仪</w:t>
            </w:r>
          </w:p>
        </w:tc>
        <w:tc>
          <w:tcPr>
            <w:tcW w:w="61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C073AC5">
            <w:pPr>
              <w:keepNext w:val="0"/>
              <w:keepLines w:val="0"/>
              <w:widowControl/>
              <w:suppressLineNumbers w:val="0"/>
              <w:jc w:val="left"/>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仪器可测定叶绿素含量自动求取检测指标的平均值，一次操作可同时测定所有参数，实时显示，不影响植物成长。</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1、手持式叶绿素测定仪支持快速无损植物活体检测，不影响植物成长。</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2、一次操作可同时测定所有参数，实时显示。</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3、叶绿素，叶温两种参数同一屏幕同时中文显示，且可同时储存，自动求取四种指标的平均值</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4、中文界面具有“系统设置”“查看数据”“节能设置”“时钟设置”“删除数据”等功能。</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5、历史数据查看，既可顺序查看，也可跳转查看。</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6、可输入植物名称，标准氮含量及利用率可以直接计算出标准施肥量。</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7、意外断电后已保存在主机里的数据不丢失。</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8、对于历史数据既可逐条删除，也可以一键式全部删除。</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9、手持式叶绿素仪自带USB接口，可连接计算机将测量数据导出，便于植物养分的管理和分析。</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10、内置锂电池供电，可直接充电无需换电池，仪器自带背光功能。</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89311DF">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台</w:t>
            </w: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B3FC48F">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1</w:t>
            </w:r>
          </w:p>
        </w:tc>
      </w:tr>
      <w:tr w14:paraId="5EA2FC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904"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02B90D6">
            <w:pPr>
              <w:jc w:val="center"/>
              <w:rPr>
                <w:rFonts w:hint="eastAsia" w:ascii="微软雅黑" w:hAnsi="微软雅黑" w:eastAsia="微软雅黑" w:cs="微软雅黑"/>
                <w:i w:val="0"/>
                <w:iCs w:val="0"/>
                <w:color w:val="000000"/>
                <w:sz w:val="20"/>
                <w:szCs w:val="20"/>
                <w:u w:val="none"/>
              </w:rPr>
            </w:pP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FCEAB7E">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叶面温湿度采集器</w:t>
            </w:r>
          </w:p>
        </w:tc>
        <w:tc>
          <w:tcPr>
            <w:tcW w:w="61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9473C05">
            <w:pPr>
              <w:keepNext w:val="0"/>
              <w:keepLines w:val="0"/>
              <w:widowControl/>
              <w:suppressLineNumbers w:val="0"/>
              <w:jc w:val="left"/>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叶面温湿度采集器采用防水设计，功耗低，可长时间连续监测。</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直流供电（默认） DC 5-30V</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最大功耗 ≤0.75W（12V DC 供电）</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湿度参数:</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量程 0-100%RH</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分辨率不低于 0.1%RH</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精度 ±3%（@0-50%，25℃）</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温度参数:</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量程 -40~80℃</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分辨率不低于 分辨率不低于不低于:0.1℃</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精度 ±0.5℃（@25℃）</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防护等级 IP67</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密封材料 黑色阻燃环氧树脂</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外形尺寸不超过 65*15*138.5mm</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输出信号 RS485(ModBus 协议)</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88D4CCD">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台</w:t>
            </w: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5D296F1">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60</w:t>
            </w:r>
          </w:p>
        </w:tc>
      </w:tr>
      <w:tr w14:paraId="59D707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904"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942E748">
            <w:pPr>
              <w:jc w:val="center"/>
              <w:rPr>
                <w:rFonts w:hint="eastAsia" w:ascii="微软雅黑" w:hAnsi="微软雅黑" w:eastAsia="微软雅黑" w:cs="微软雅黑"/>
                <w:i w:val="0"/>
                <w:iCs w:val="0"/>
                <w:color w:val="000000"/>
                <w:sz w:val="20"/>
                <w:szCs w:val="20"/>
                <w:u w:val="none"/>
              </w:rPr>
            </w:pP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D5A6748">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智能叶面积检测仪</w:t>
            </w:r>
          </w:p>
        </w:tc>
        <w:tc>
          <w:tcPr>
            <w:tcW w:w="61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DE55732">
            <w:pPr>
              <w:keepNext w:val="0"/>
              <w:keepLines w:val="0"/>
              <w:widowControl/>
              <w:suppressLineNumbers w:val="0"/>
              <w:jc w:val="left"/>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可实现活体叶片、采摘的植物叶片及其它片状物体进行叶片的叶面积、平均面积、周长、最大叶长、最大叶宽、长宽比、矩形度、凹凸比、球状性、形状系数、虫洞数量、虫洞面积等参数的测量。设备在联网的情况下支持存储数据上传，可监测并存储设备端上传的测量数据，可实现多人协同操作。</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1、提供专用终端设备，支持安卓系统简洁操作，应用人性化、智能化和可升级化等特点。</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2、提供全彩色触摸屏，像素不低于1300万像素，拍照后软件自动计算叶面积，周长，叶长，叶宽，虫洞个数并同屏显示结果。</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3、智能叶面积测量仪配备两个拍摄背景板：大背光板配合压板使用，分析更精准；小板子易手握，更适合户外活体测量使用。</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4、配备128G内存卡，可存储大量图片和数据。</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5、支持分析单片叶片，也支持多片叶片同时分析</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6、数据可储存、可查看报表，也可导出 Excel 表格到计算机或WiFi 上传到服务器。数据统计，分析智能化。</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7、支持手动修正， 可进行剪切、修补、自动切叶柄、选取颜色分析面积等功能，确保测量结果的高精度。</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8、支持选择多种算法：通用、深色、浅色三种算法，根据叶片颜色选择合适的算法，保证精度。</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E98685D">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台</w:t>
            </w: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40D6EDF">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1</w:t>
            </w:r>
          </w:p>
        </w:tc>
      </w:tr>
      <w:tr w14:paraId="2E2115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904"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F340943">
            <w:pPr>
              <w:jc w:val="center"/>
              <w:rPr>
                <w:rFonts w:hint="eastAsia" w:ascii="微软雅黑" w:hAnsi="微软雅黑" w:eastAsia="微软雅黑" w:cs="微软雅黑"/>
                <w:i w:val="0"/>
                <w:iCs w:val="0"/>
                <w:color w:val="000000"/>
                <w:sz w:val="20"/>
                <w:szCs w:val="20"/>
                <w:u w:val="none"/>
              </w:rPr>
            </w:pP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2F42816">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果实膨大/茎秆变化测量仪</w:t>
            </w:r>
          </w:p>
        </w:tc>
        <w:tc>
          <w:tcPr>
            <w:tcW w:w="61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916A7B3">
            <w:pPr>
              <w:keepNext w:val="0"/>
              <w:keepLines w:val="0"/>
              <w:widowControl/>
              <w:suppressLineNumbers w:val="0"/>
              <w:jc w:val="left"/>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利用高精度的位移传感器移动的距离来测量植物果实或植物茎秆的生长变化长度。</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提供配套专用手持终端设备，用于进行科研数据填报和实时查看。</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直流供电（默认） DC 5-30V</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最大功耗 0.1W（12V DC 供电）</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量程 0-150mm</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分辨率不低于 0.01mm</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精度 0.05mm</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默认线缆长度 2m，线缆长度可按要求定制</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外形尺寸不超过 210mm*580mm</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输出信号 RS485(ModBus 协议)</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4F7287B">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台</w:t>
            </w: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69BA54D">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10</w:t>
            </w:r>
          </w:p>
        </w:tc>
      </w:tr>
      <w:tr w14:paraId="39F5BC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904" w:type="dxa"/>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E7FD7F5">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葡萄病虫情监测</w:t>
            </w: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A54CD44">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虫情测报灯</w:t>
            </w:r>
          </w:p>
        </w:tc>
        <w:tc>
          <w:tcPr>
            <w:tcW w:w="61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10BC3E3">
            <w:pPr>
              <w:keepNext w:val="0"/>
              <w:keepLines w:val="0"/>
              <w:widowControl/>
              <w:numPr>
                <w:ilvl w:val="0"/>
                <w:numId w:val="2"/>
              </w:numPr>
              <w:suppressLineNumbers w:val="0"/>
              <w:jc w:val="left"/>
              <w:rPr>
                <w:rFonts w:hint="eastAsia" w:ascii="微软雅黑" w:hAnsi="微软雅黑" w:eastAsia="微软雅黑" w:cs="微软雅黑"/>
                <w:i w:val="0"/>
                <w:iCs w:val="0"/>
                <w:color w:val="000000"/>
                <w:sz w:val="20"/>
                <w:szCs w:val="20"/>
                <w:u w:val="none"/>
                <w:lang w:val="en-US" w:eastAsia="zh-CN" w:bidi="ar"/>
              </w:rPr>
            </w:pPr>
            <w:r>
              <w:rPr>
                <w:rFonts w:hint="eastAsia" w:ascii="微软雅黑" w:hAnsi="微软雅黑" w:eastAsia="微软雅黑" w:cs="微软雅黑"/>
                <w:i w:val="0"/>
                <w:iCs w:val="0"/>
                <w:color w:val="000000"/>
                <w:sz w:val="20"/>
                <w:szCs w:val="20"/>
                <w:u w:val="none"/>
                <w:lang w:val="en-US" w:eastAsia="zh-CN" w:bidi="ar"/>
              </w:rPr>
              <w:t>符合GB/T 24689.1-2009植物保护机械 虫情测报灯。</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2、诱集光源：主波长365nm 20W黑光灯管。</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3、供电：220V。</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4、功率：≤450W  待机≤5W。</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5、绝缘电阻：≥2.5MΩ（有漏电保护装置）。</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6、灯体尺寸：1000mm×1000mm×2100mm。</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7、整体结构采用不锈钢镀锌喷塑。</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8、远红外虫体处理仓温度控制：工作15分钟后达到85±5℃（75-125℃可调），处理时间可调（1-20分钟可调）。</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9、远红外虫体处理致死率不小于98%，虫体完整率不小于95%。</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10、集虫器:接虫盘采用120*180mm方盘,具有震动缓冲装置和自动清扫功能，保证昆虫不堆积。</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11、光控：晚上自动开灯，白天自动关灯（待机）。在夜间工作状态下，不受瞬间强光照射改变工作状态。</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12、雨控装置：按外界雨量变化自动控制整灯工作。</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13、排水装置：能有效将雨、虫分离。</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▲14、虫体堆叠预警：搭建虫体堆叠模型，通过拍摄的图片自动识别虫体堆叠，根据堆叠程度自动调整收集时间来减少每个循环的进虫量，从而解决虫体堆叠问题。</w:t>
            </w:r>
          </w:p>
          <w:p w14:paraId="265E0DC4">
            <w:pPr>
              <w:keepNext w:val="0"/>
              <w:keepLines w:val="0"/>
              <w:widowControl/>
              <w:numPr>
                <w:ilvl w:val="0"/>
                <w:numId w:val="0"/>
              </w:numPr>
              <w:suppressLineNumbers w:val="0"/>
              <w:jc w:val="left"/>
              <w:rPr>
                <w:rFonts w:hint="eastAsia" w:ascii="微软雅黑" w:hAnsi="微软雅黑" w:eastAsia="微软雅黑" w:cs="微软雅黑"/>
                <w:i w:val="0"/>
                <w:iCs w:val="0"/>
                <w:color w:val="000000"/>
                <w:sz w:val="20"/>
                <w:szCs w:val="20"/>
                <w:u w:val="none"/>
                <w:lang w:val="en-US" w:eastAsia="zh-CN" w:bidi="ar"/>
              </w:rPr>
            </w:pPr>
            <w:r>
              <w:rPr>
                <w:rFonts w:hint="eastAsia" w:ascii="微软雅黑" w:hAnsi="微软雅黑" w:eastAsia="微软雅黑" w:cs="微软雅黑"/>
                <w:i w:val="0"/>
                <w:iCs w:val="0"/>
                <w:color w:val="000000"/>
                <w:sz w:val="20"/>
                <w:szCs w:val="20"/>
                <w:u w:val="none"/>
                <w:lang w:val="en-US" w:eastAsia="zh-CN" w:bidi="ar"/>
              </w:rPr>
              <w:t>▲15、防堵虫功能：加热仓内部增加特殊涂层，保证即使虫量爆发也不会出现虫体粘附加热仓内壁的情况；结合虫体堆叠预警，有效防止堵虫的发生。</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▲16、拍照底板脏污预警：搭建虫体脏污模型，通过拍摄的图片自动识别拍照底板脏污情况，从而发出预警，提醒及时清理拍照底板 。</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17、防掉落装置：拍照底板四周增加联动防掉落装置，保证拍摄到的虫害数量和收集到的虫害数量一致。</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18、语音播报：实时播报设备的工作状态进程。</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19、全中文液晶显示，不小于7寸电容触摸屏。可编程控制系统，可分多时段设置工作时间，远程自动拍照，GPRS制式录入。</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20、拍照装置：配置不低于2000万像素高清相机，自动拍摄的图片以无线发送至农业物联网监测平台，平台自动记录每个时间段采集的图片数据，保证每个时间段拍摄的虫体不混淆。</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21、数据传输：内置有线和无线网络传输模块，支持有线和2/3/4G全网通无线接入互联网，能够将监测数据传输至软件平台或数据中心。</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22、数据连续性：增加本地存储，如因传输网络故障等原因未能将数据定时远传，则待传输网络恢复正常后能利用存储的数据重新上传。</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▲23、断电及故障预警：内置备用电源，设备断电后向平台端自动发送设备异常数据，实现断电及故障自动预警。</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24、接虫箱：不锈钢喷塑材质,可抽拉。</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25、备件：增加备用灯管、湿巾、一次性手套、口罩，增加客户现场操作的便捷性。</w:t>
            </w:r>
          </w:p>
          <w:p w14:paraId="6EDCDF6A">
            <w:pPr>
              <w:keepNext w:val="0"/>
              <w:keepLines w:val="0"/>
              <w:widowControl/>
              <w:numPr>
                <w:ilvl w:val="0"/>
                <w:numId w:val="0"/>
              </w:numPr>
              <w:suppressLineNumbers w:val="0"/>
              <w:jc w:val="left"/>
              <w:rPr>
                <w:rFonts w:hint="eastAsia"/>
              </w:rPr>
            </w:pPr>
            <w:r>
              <w:rPr>
                <w:rFonts w:hint="eastAsia" w:ascii="微软雅黑" w:hAnsi="微软雅黑" w:eastAsia="微软雅黑" w:cs="微软雅黑"/>
                <w:i w:val="0"/>
                <w:iCs w:val="0"/>
                <w:color w:val="000000"/>
                <w:sz w:val="20"/>
                <w:szCs w:val="20"/>
                <w:u w:val="none"/>
                <w:lang w:val="en-US" w:eastAsia="zh-CN" w:bidi="ar"/>
              </w:rPr>
              <w:t>（▲提供省级或以上检测机构出具首页有CMA、CNAS标识的有效产品检验报告原件扫描件予以佐证。）</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37CAAA2">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台</w:t>
            </w: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BECDFEA">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1</w:t>
            </w:r>
          </w:p>
        </w:tc>
      </w:tr>
      <w:tr w14:paraId="1A8FF6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904"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4B2B6D9">
            <w:pPr>
              <w:jc w:val="center"/>
              <w:rPr>
                <w:rFonts w:hint="eastAsia" w:ascii="微软雅黑" w:hAnsi="微软雅黑" w:eastAsia="微软雅黑" w:cs="微软雅黑"/>
                <w:i w:val="0"/>
                <w:iCs w:val="0"/>
                <w:color w:val="000000"/>
                <w:sz w:val="20"/>
                <w:szCs w:val="20"/>
                <w:u w:val="none"/>
              </w:rPr>
            </w:pP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4C822C0">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孢子捕捉仪</w:t>
            </w:r>
          </w:p>
        </w:tc>
        <w:tc>
          <w:tcPr>
            <w:tcW w:w="61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06BFD95">
            <w:pPr>
              <w:keepNext w:val="0"/>
              <w:keepLines w:val="0"/>
              <w:widowControl/>
              <w:suppressLineNumbers w:val="0"/>
              <w:jc w:val="left"/>
              <w:rPr>
                <w:rFonts w:hint="eastAsia" w:ascii="微软雅黑" w:hAnsi="微软雅黑" w:eastAsia="微软雅黑" w:cs="微软雅黑"/>
                <w:i w:val="0"/>
                <w:iCs w:val="0"/>
                <w:color w:val="000000"/>
                <w:sz w:val="20"/>
                <w:szCs w:val="20"/>
                <w:u w:val="none"/>
                <w:lang w:val="en-US" w:eastAsia="zh-CN" w:bidi="ar"/>
              </w:rPr>
            </w:pPr>
            <w:r>
              <w:rPr>
                <w:rFonts w:hint="eastAsia" w:ascii="微软雅黑" w:hAnsi="微软雅黑" w:eastAsia="微软雅黑" w:cs="微软雅黑"/>
                <w:i w:val="0"/>
                <w:iCs w:val="0"/>
                <w:color w:val="000000"/>
                <w:sz w:val="20"/>
                <w:szCs w:val="20"/>
                <w:u w:val="none"/>
                <w:lang w:val="en-US" w:eastAsia="zh-CN" w:bidi="ar"/>
              </w:rPr>
              <w:t>植物病菌孢子捕捉分析系统</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1、满足GB/T 24689.1-2009（植物保护机械 孢子捕捉仪（器））。</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2、具有500万像素的显微成像系统，能够自动对所捕获病菌孢子进行高清显微拍摄，所拍摄图像清晰度能够达到人工识别病菌孢子种类的要求。</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 xml:space="preserve">3、传动装置：载波物质自动加载、自动更换，限位传感装置根据每一步工作进程自动定位。 </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4、气体采样：采集流量0.3m/s-0.5m/s，采集时间1--24小时，设置范围：定时启动，24时制，可以任意设置24小时开启时间，抽气时间：1--24小时（后台可根据实际情况设置采集时间范围）。</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▲5、成像系统：采用光学显微成像系统，自动对焦，自动拍照，自动计算并选取最清晰的图片上传至云服务器。</w:t>
            </w:r>
          </w:p>
          <w:p w14:paraId="03C4E3A0">
            <w:pPr>
              <w:keepNext w:val="0"/>
              <w:keepLines w:val="0"/>
              <w:widowControl/>
              <w:suppressLineNumbers w:val="0"/>
              <w:jc w:val="left"/>
              <w:rPr>
                <w:rFonts w:hint="eastAsia" w:ascii="微软雅黑" w:hAnsi="微软雅黑" w:eastAsia="微软雅黑" w:cs="微软雅黑"/>
                <w:i w:val="0"/>
                <w:iCs w:val="0"/>
                <w:color w:val="000000"/>
                <w:sz w:val="20"/>
                <w:szCs w:val="20"/>
                <w:u w:val="none"/>
                <w:lang w:val="en-US" w:eastAsia="zh-CN" w:bidi="ar"/>
              </w:rPr>
            </w:pPr>
            <w:r>
              <w:rPr>
                <w:rFonts w:hint="eastAsia" w:ascii="微软雅黑" w:hAnsi="微软雅黑" w:eastAsia="微软雅黑" w:cs="微软雅黑"/>
                <w:i w:val="0"/>
                <w:iCs w:val="0"/>
                <w:color w:val="000000"/>
                <w:sz w:val="20"/>
                <w:szCs w:val="20"/>
                <w:u w:val="none"/>
                <w:lang w:val="en-US" w:eastAsia="zh-CN" w:bidi="ar"/>
              </w:rPr>
              <w:t>6、收集：采用风扇采集空气中随风传播的孢子，集中拍照。</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7、设备具有高低温保护功能，低于5℃，高于70℃机器处于保护状态；</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8、GPS定位：自动定位设备经纬度信息。</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▲9、断电及故障预警：内置备用电源，设备断电后向平台端自动发送设备异常数据，实现断电及故障自动预警。</w:t>
            </w:r>
          </w:p>
          <w:p w14:paraId="039A9498">
            <w:pPr>
              <w:keepNext w:val="0"/>
              <w:keepLines w:val="0"/>
              <w:widowControl/>
              <w:suppressLineNumbers w:val="0"/>
              <w:jc w:val="left"/>
              <w:rPr>
                <w:rFonts w:hint="eastAsia" w:ascii="微软雅黑" w:hAnsi="微软雅黑" w:eastAsia="微软雅黑" w:cs="微软雅黑"/>
                <w:i w:val="0"/>
                <w:iCs w:val="0"/>
                <w:color w:val="000000"/>
                <w:sz w:val="20"/>
                <w:szCs w:val="20"/>
                <w:u w:val="none"/>
                <w:lang w:val="en-US" w:eastAsia="zh-CN" w:bidi="ar"/>
              </w:rPr>
            </w:pPr>
            <w:r>
              <w:rPr>
                <w:rFonts w:hint="eastAsia" w:ascii="微软雅黑" w:hAnsi="微软雅黑" w:eastAsia="微软雅黑" w:cs="微软雅黑"/>
                <w:i w:val="0"/>
                <w:iCs w:val="0"/>
                <w:color w:val="000000"/>
                <w:sz w:val="20"/>
                <w:szCs w:val="20"/>
                <w:u w:val="none"/>
                <w:lang w:val="en-US" w:eastAsia="zh-CN" w:bidi="ar"/>
              </w:rPr>
              <w:t>10、设备自带不小于7寸液晶显示屏，具有语音播报功能：具有语音播报功能，可以实时播报每一步的进程</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▲11、远程控制：远程控制培养液滴加时间、孢子培养时间、保温仓温度设定、数据上传频率、采集时间段和关闭时间设置。</w:t>
            </w:r>
          </w:p>
          <w:p w14:paraId="4336A63A">
            <w:pPr>
              <w:keepNext w:val="0"/>
              <w:keepLines w:val="0"/>
              <w:widowControl/>
              <w:suppressLineNumbers w:val="0"/>
              <w:jc w:val="left"/>
              <w:rPr>
                <w:rFonts w:hint="eastAsia" w:ascii="微软雅黑" w:hAnsi="微软雅黑" w:eastAsia="微软雅黑" w:cs="微软雅黑"/>
                <w:i w:val="0"/>
                <w:iCs w:val="0"/>
                <w:color w:val="000000"/>
                <w:sz w:val="20"/>
                <w:szCs w:val="20"/>
                <w:u w:val="none"/>
                <w:lang w:val="en-US" w:eastAsia="zh-CN" w:bidi="ar"/>
              </w:rPr>
            </w:pPr>
            <w:r>
              <w:rPr>
                <w:rFonts w:hint="eastAsia" w:ascii="微软雅黑" w:hAnsi="微软雅黑" w:eastAsia="微软雅黑" w:cs="微软雅黑"/>
                <w:i w:val="0"/>
                <w:iCs w:val="0"/>
                <w:color w:val="000000"/>
                <w:sz w:val="20"/>
                <w:szCs w:val="20"/>
                <w:u w:val="none"/>
                <w:lang w:val="en-US" w:eastAsia="zh-CN" w:bidi="ar"/>
              </w:rPr>
              <w:t>12、联网方式：具有4G、5G、WIFI、以太网等多种联网方式，可采用 FTP/TCP/IP 网络通讯模式。</w:t>
            </w:r>
          </w:p>
          <w:p w14:paraId="7DB975C0">
            <w:pPr>
              <w:keepNext w:val="0"/>
              <w:keepLines w:val="0"/>
              <w:widowControl/>
              <w:suppressLineNumbers w:val="0"/>
              <w:jc w:val="left"/>
              <w:rPr>
                <w:rFonts w:hint="eastAsia"/>
              </w:rPr>
            </w:pPr>
            <w:r>
              <w:rPr>
                <w:rFonts w:hint="eastAsia" w:ascii="微软雅黑" w:hAnsi="微软雅黑" w:eastAsia="微软雅黑" w:cs="微软雅黑"/>
                <w:i w:val="0"/>
                <w:iCs w:val="0"/>
                <w:color w:val="000000"/>
                <w:sz w:val="20"/>
                <w:szCs w:val="20"/>
                <w:u w:val="none"/>
                <w:lang w:val="en-US" w:eastAsia="zh-CN" w:bidi="ar"/>
              </w:rPr>
              <w:t>（▲提供省级或以上检测机构出具首页有CMA、CNAS标识的有效产品检验报告原件扫描件予以佐证</w:t>
            </w:r>
            <w:bookmarkStart w:id="248" w:name="_GoBack"/>
            <w:bookmarkEnd w:id="248"/>
            <w:r>
              <w:rPr>
                <w:rFonts w:hint="eastAsia" w:ascii="微软雅黑" w:hAnsi="微软雅黑" w:eastAsia="微软雅黑" w:cs="微软雅黑"/>
                <w:i w:val="0"/>
                <w:iCs w:val="0"/>
                <w:color w:val="000000"/>
                <w:sz w:val="20"/>
                <w:szCs w:val="20"/>
                <w:u w:val="none"/>
                <w:lang w:val="en-US" w:eastAsia="zh-CN" w:bidi="ar"/>
              </w:rPr>
              <w:t>。）</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EE77F4E">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台</w:t>
            </w: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B77552A">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1</w:t>
            </w:r>
          </w:p>
        </w:tc>
      </w:tr>
      <w:tr w14:paraId="604615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9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107A3E8">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设备箱</w:t>
            </w: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3568866">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设备箱</w:t>
            </w:r>
          </w:p>
        </w:tc>
        <w:tc>
          <w:tcPr>
            <w:tcW w:w="61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768CBD9">
            <w:pPr>
              <w:keepNext w:val="0"/>
              <w:keepLines w:val="0"/>
              <w:widowControl/>
              <w:suppressLineNumbers w:val="0"/>
              <w:jc w:val="left"/>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材质镀锌钢板，含空开、拖线板等</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25A7C34">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个</w:t>
            </w: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9D22142">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50</w:t>
            </w:r>
          </w:p>
        </w:tc>
      </w:tr>
      <w:tr w14:paraId="6C0126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9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9CD99B7">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电源线</w:t>
            </w: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989A9AC">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电源线</w:t>
            </w:r>
          </w:p>
        </w:tc>
        <w:tc>
          <w:tcPr>
            <w:tcW w:w="61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271BBB6">
            <w:pPr>
              <w:keepNext w:val="0"/>
              <w:keepLines w:val="0"/>
              <w:widowControl/>
              <w:suppressLineNumbers w:val="0"/>
              <w:jc w:val="left"/>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rvv2*1；核心区5个大棚电源线2348米，核心区外围50家农户大棚电源线500米</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40191DA">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米</w:t>
            </w: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87FBD7F">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2848</w:t>
            </w:r>
          </w:p>
        </w:tc>
      </w:tr>
      <w:tr w14:paraId="7D1771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9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2E7B3AF">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信号线</w:t>
            </w: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2CCAC01">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信号线</w:t>
            </w:r>
          </w:p>
        </w:tc>
        <w:tc>
          <w:tcPr>
            <w:tcW w:w="61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733763E">
            <w:pPr>
              <w:keepNext w:val="0"/>
              <w:keepLines w:val="0"/>
              <w:widowControl/>
              <w:suppressLineNumbers w:val="0"/>
              <w:jc w:val="left"/>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超五类 核心区5个大棚网线1458米，核心区外围50家农户大棚网线2000米</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287C734">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米</w:t>
            </w: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0058D6B">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3458</w:t>
            </w:r>
          </w:p>
        </w:tc>
      </w:tr>
      <w:tr w14:paraId="118BCA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9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CB65AE1">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穿线管</w:t>
            </w: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248981E">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穿线管</w:t>
            </w:r>
          </w:p>
        </w:tc>
        <w:tc>
          <w:tcPr>
            <w:tcW w:w="61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61D8558">
            <w:pPr>
              <w:keepNext w:val="0"/>
              <w:keepLines w:val="0"/>
              <w:widowControl/>
              <w:suppressLineNumbers w:val="0"/>
              <w:jc w:val="left"/>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PVC管 DN20 核心区5个大棚穿线管2348米，核心区外围50家农户大棚穿线管2500米</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E5F49B1">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米</w:t>
            </w: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89A7BE6">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4848</w:t>
            </w:r>
          </w:p>
        </w:tc>
      </w:tr>
      <w:tr w14:paraId="2776B0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9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66BB89C">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辅材费用</w:t>
            </w: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8460D3B">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辅材费用</w:t>
            </w:r>
          </w:p>
        </w:tc>
        <w:tc>
          <w:tcPr>
            <w:tcW w:w="61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9249B60">
            <w:pPr>
              <w:keepNext w:val="0"/>
              <w:keepLines w:val="0"/>
              <w:widowControl/>
              <w:suppressLineNumbers w:val="0"/>
              <w:jc w:val="left"/>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配电扎带、螺丝、抱箍等</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23224E7">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批</w:t>
            </w: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15A55BB">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55</w:t>
            </w:r>
          </w:p>
        </w:tc>
      </w:tr>
      <w:tr w14:paraId="77702A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9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01ED3C5">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布线穿管</w:t>
            </w: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B2DE22C">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布线穿管</w:t>
            </w:r>
          </w:p>
        </w:tc>
        <w:tc>
          <w:tcPr>
            <w:tcW w:w="61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87436D3">
            <w:pPr>
              <w:keepNext w:val="0"/>
              <w:keepLines w:val="0"/>
              <w:widowControl/>
              <w:suppressLineNumbers w:val="0"/>
              <w:jc w:val="left"/>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含核心区5个大棚穿线管2348米，核心区外围50家农户大棚穿线管2500米的架空走线，穿管，固定等</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7B11FB8">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米</w:t>
            </w: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B56D2D2">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4848</w:t>
            </w:r>
          </w:p>
        </w:tc>
      </w:tr>
      <w:tr w14:paraId="6D33EC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9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004029E">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柜体砖混基础</w:t>
            </w: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61FA5D1">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柜体砖混基础</w:t>
            </w:r>
          </w:p>
        </w:tc>
        <w:tc>
          <w:tcPr>
            <w:tcW w:w="61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3AE9E1B">
            <w:pPr>
              <w:keepNext w:val="0"/>
              <w:keepLines w:val="0"/>
              <w:widowControl/>
              <w:suppressLineNumbers w:val="0"/>
              <w:jc w:val="left"/>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500*800*200mm</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302FDC1">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个</w:t>
            </w: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C8F8099">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5</w:t>
            </w:r>
          </w:p>
        </w:tc>
      </w:tr>
      <w:tr w14:paraId="4DE30D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9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9CFFDD0">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二维码插地牌</w:t>
            </w: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D292A7F">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二维码插地牌</w:t>
            </w:r>
          </w:p>
        </w:tc>
        <w:tc>
          <w:tcPr>
            <w:tcW w:w="61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1F744D4">
            <w:pPr>
              <w:keepNext w:val="0"/>
              <w:keepLines w:val="0"/>
              <w:widowControl/>
              <w:suppressLineNumbers w:val="0"/>
              <w:jc w:val="left"/>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0.5m立杆，100mm*100mm指示牌</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0E80B7F">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个</w:t>
            </w: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8B666BE">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120</w:t>
            </w:r>
          </w:p>
        </w:tc>
      </w:tr>
      <w:tr w14:paraId="1ECC9B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904" w:type="dxa"/>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32C4A1C">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施工费用</w:t>
            </w: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8CF0DA6">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智能主控安装调试</w:t>
            </w:r>
          </w:p>
        </w:tc>
        <w:tc>
          <w:tcPr>
            <w:tcW w:w="61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FA2380A">
            <w:pPr>
              <w:keepNext w:val="0"/>
              <w:keepLines w:val="0"/>
              <w:widowControl/>
              <w:suppressLineNumbers w:val="0"/>
              <w:jc w:val="left"/>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5个主控箱箱体安装，箱内布线走线，空开、电源安装调试等</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C450360">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人天</w:t>
            </w: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AB495F2">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12</w:t>
            </w:r>
          </w:p>
        </w:tc>
      </w:tr>
      <w:tr w14:paraId="366744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904"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43CF54A">
            <w:pPr>
              <w:jc w:val="center"/>
              <w:rPr>
                <w:rFonts w:hint="eastAsia" w:ascii="微软雅黑" w:hAnsi="微软雅黑" w:eastAsia="微软雅黑" w:cs="微软雅黑"/>
                <w:i w:val="0"/>
                <w:iCs w:val="0"/>
                <w:color w:val="000000"/>
                <w:sz w:val="20"/>
                <w:szCs w:val="20"/>
                <w:u w:val="none"/>
              </w:rPr>
            </w:pP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1962152">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传感器安装调试</w:t>
            </w:r>
          </w:p>
        </w:tc>
        <w:tc>
          <w:tcPr>
            <w:tcW w:w="61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899F2F3">
            <w:pPr>
              <w:keepNext w:val="0"/>
              <w:keepLines w:val="0"/>
              <w:widowControl/>
              <w:suppressLineNumbers w:val="0"/>
              <w:jc w:val="left"/>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玻璃温室2套光照/温湿度/二氧化碳传感器的固定安装接线配置调试需0.5人天，120套土壤传感器固定安装接线配置调试需21人天；</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连栋温室4套光照/温湿度/二氧化碳传感器的固定安装接线配置调试需0.5人天，50套土壤传感器固定安装接线配置调试需6.5人天；</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其他50家农户大棚50套光照/温湿度/二氧化碳/土壤传感器的固定安装接线配置调试需25人天</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606494B">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人天</w:t>
            </w: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90BDD6C">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53.5</w:t>
            </w:r>
          </w:p>
        </w:tc>
      </w:tr>
      <w:tr w14:paraId="3CA748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904"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C399415">
            <w:pPr>
              <w:jc w:val="center"/>
              <w:rPr>
                <w:rFonts w:hint="eastAsia" w:ascii="微软雅黑" w:hAnsi="微软雅黑" w:eastAsia="微软雅黑" w:cs="微软雅黑"/>
                <w:i w:val="0"/>
                <w:iCs w:val="0"/>
                <w:color w:val="000000"/>
                <w:sz w:val="20"/>
                <w:szCs w:val="20"/>
                <w:u w:val="none"/>
              </w:rPr>
            </w:pP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8620A94">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无线采集器安装调试</w:t>
            </w:r>
          </w:p>
        </w:tc>
        <w:tc>
          <w:tcPr>
            <w:tcW w:w="61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BB981E8">
            <w:pPr>
              <w:keepNext w:val="0"/>
              <w:keepLines w:val="0"/>
              <w:widowControl/>
              <w:suppressLineNumbers w:val="0"/>
              <w:jc w:val="left"/>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玻璃温室2套无线采集器的固定安装接线配置调试需0.5人天，122套无线采集器固定安装接线配置调试需4人天；</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连栋温室4套无线采集器的固定安装接线配置调试需0.5人天，50套无线采集器固定安装接线配置调试需1.5人天；</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其他50家农户大棚50无线采集器的固定安装接线配置调试需12.5人天</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F6697E6">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人天</w:t>
            </w: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8B48A9E">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19</w:t>
            </w:r>
          </w:p>
        </w:tc>
      </w:tr>
      <w:tr w14:paraId="206AB7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60" w:hRule="atLeast"/>
        </w:trPr>
        <w:tc>
          <w:tcPr>
            <w:tcW w:w="904"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F0553E4">
            <w:pPr>
              <w:jc w:val="center"/>
              <w:rPr>
                <w:rFonts w:hint="eastAsia" w:ascii="微软雅黑" w:hAnsi="微软雅黑" w:eastAsia="微软雅黑" w:cs="微软雅黑"/>
                <w:i w:val="0"/>
                <w:iCs w:val="0"/>
                <w:color w:val="000000"/>
                <w:sz w:val="20"/>
                <w:szCs w:val="20"/>
                <w:u w:val="none"/>
              </w:rPr>
            </w:pPr>
          </w:p>
        </w:tc>
        <w:tc>
          <w:tcPr>
            <w:tcW w:w="915" w:type="dxa"/>
            <w:tcBorders>
              <w:top w:val="single" w:color="000000" w:sz="4" w:space="0"/>
              <w:left w:val="single" w:color="000000" w:sz="4" w:space="0"/>
              <w:right w:val="single" w:color="000000" w:sz="4" w:space="0"/>
            </w:tcBorders>
            <w:shd w:val="clear" w:color="auto" w:fill="auto"/>
            <w:noWrap w:val="0"/>
            <w:vAlign w:val="center"/>
          </w:tcPr>
          <w:p w14:paraId="47ACA82A">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采集网关安装调试</w:t>
            </w:r>
          </w:p>
        </w:tc>
        <w:tc>
          <w:tcPr>
            <w:tcW w:w="6161" w:type="dxa"/>
            <w:tcBorders>
              <w:top w:val="single" w:color="000000" w:sz="4" w:space="0"/>
              <w:left w:val="single" w:color="000000" w:sz="4" w:space="0"/>
              <w:right w:val="single" w:color="000000" w:sz="4" w:space="0"/>
            </w:tcBorders>
            <w:shd w:val="clear" w:color="auto" w:fill="auto"/>
            <w:noWrap w:val="0"/>
            <w:vAlign w:val="center"/>
          </w:tcPr>
          <w:p w14:paraId="638CBA02">
            <w:pPr>
              <w:keepNext w:val="0"/>
              <w:keepLines w:val="0"/>
              <w:widowControl/>
              <w:suppressLineNumbers w:val="0"/>
              <w:jc w:val="left"/>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核心区5个棚内15台采集网关及5套设备箱的组装固定安装调试</w:t>
            </w:r>
          </w:p>
        </w:tc>
        <w:tc>
          <w:tcPr>
            <w:tcW w:w="700" w:type="dxa"/>
            <w:tcBorders>
              <w:top w:val="single" w:color="000000" w:sz="4" w:space="0"/>
              <w:left w:val="single" w:color="000000" w:sz="4" w:space="0"/>
              <w:right w:val="single" w:color="000000" w:sz="4" w:space="0"/>
            </w:tcBorders>
            <w:shd w:val="clear" w:color="auto" w:fill="auto"/>
            <w:noWrap w:val="0"/>
            <w:vAlign w:val="center"/>
          </w:tcPr>
          <w:p w14:paraId="58CEF61B">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人天</w:t>
            </w: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1BFF5EF">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9.5</w:t>
            </w:r>
          </w:p>
        </w:tc>
      </w:tr>
      <w:tr w14:paraId="480E1D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904"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496D164">
            <w:pPr>
              <w:jc w:val="center"/>
              <w:rPr>
                <w:rFonts w:hint="eastAsia" w:ascii="微软雅黑" w:hAnsi="微软雅黑" w:eastAsia="微软雅黑" w:cs="微软雅黑"/>
                <w:i w:val="0"/>
                <w:iCs w:val="0"/>
                <w:color w:val="000000"/>
                <w:sz w:val="20"/>
                <w:szCs w:val="20"/>
                <w:u w:val="none"/>
              </w:rPr>
            </w:pP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93FA3F1">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多光谱检测仪安装调试</w:t>
            </w:r>
          </w:p>
        </w:tc>
        <w:tc>
          <w:tcPr>
            <w:tcW w:w="61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C4EB486">
            <w:pPr>
              <w:keepNext w:val="0"/>
              <w:keepLines w:val="0"/>
              <w:widowControl/>
              <w:suppressLineNumbers w:val="0"/>
              <w:jc w:val="left"/>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包含在核心区4个连栋大棚内安装葡萄多光谱检测仪的施工费用，</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包括配套录像机，轨道及滑行系统的安装、调试</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F3E7BC3">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人天</w:t>
            </w: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C808BD5">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4</w:t>
            </w:r>
          </w:p>
        </w:tc>
      </w:tr>
      <w:tr w14:paraId="296713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904"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B3EC260">
            <w:pPr>
              <w:jc w:val="center"/>
              <w:rPr>
                <w:rFonts w:hint="eastAsia" w:ascii="微软雅黑" w:hAnsi="微软雅黑" w:eastAsia="微软雅黑" w:cs="微软雅黑"/>
                <w:i w:val="0"/>
                <w:iCs w:val="0"/>
                <w:color w:val="000000"/>
                <w:sz w:val="20"/>
                <w:szCs w:val="20"/>
                <w:u w:val="none"/>
              </w:rPr>
            </w:pP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567D29F">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轨道、主机及多光谱设备安装调试</w:t>
            </w:r>
          </w:p>
        </w:tc>
        <w:tc>
          <w:tcPr>
            <w:tcW w:w="61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CBA8974">
            <w:pPr>
              <w:keepNext w:val="0"/>
              <w:keepLines w:val="0"/>
              <w:widowControl/>
              <w:suppressLineNumbers w:val="0"/>
              <w:jc w:val="left"/>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1、现场勘测（前期）</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2、轨道所经过过的区域钢结构的加固</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3、128米直轨的加工、配套安装附件的加工</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4、滑行主机及相应附件的加工</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5、轨道及滑行系统的安装、调试、培训及交付使用</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6、提供并对接控制软件</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7、摄像机进行安装对接匹配，提供控制指令，用户可自行编写软件控制主机。</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8、可控制滑行主机的前后滑行、停止、预置点的设定、调用预置点。</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9、滑行主机可给摄像机供电、滑行主机上有网口用于连接摄像机。</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10、含3年维保。</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D56A3E3">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项</w:t>
            </w: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D93DDA">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1</w:t>
            </w:r>
          </w:p>
        </w:tc>
      </w:tr>
      <w:tr w14:paraId="5EFA79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9413" w:type="dxa"/>
            <w:gridSpan w:val="5"/>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7508B8A">
            <w:pPr>
              <w:keepNext w:val="0"/>
              <w:keepLines w:val="0"/>
              <w:widowControl/>
              <w:suppressLineNumbers w:val="0"/>
              <w:jc w:val="center"/>
              <w:rPr>
                <w:rFonts w:hint="eastAsia" w:ascii="微软雅黑" w:hAnsi="微软雅黑" w:eastAsia="微软雅黑" w:cs="微软雅黑"/>
                <w:b/>
                <w:bCs/>
                <w:i w:val="0"/>
                <w:iCs w:val="0"/>
                <w:color w:val="000000"/>
                <w:sz w:val="22"/>
                <w:szCs w:val="22"/>
                <w:u w:val="none"/>
              </w:rPr>
            </w:pPr>
            <w:r>
              <w:rPr>
                <w:rFonts w:hint="eastAsia" w:ascii="微软雅黑" w:hAnsi="微软雅黑" w:eastAsia="微软雅黑" w:cs="微软雅黑"/>
                <w:b/>
                <w:bCs/>
                <w:i w:val="0"/>
                <w:iCs w:val="0"/>
                <w:color w:val="000000"/>
                <w:sz w:val="22"/>
                <w:szCs w:val="22"/>
                <w:u w:val="none"/>
                <w:lang w:val="en-US" w:eastAsia="zh-CN" w:bidi="ar"/>
              </w:rPr>
              <w:t>二、检验及生产用设备</w:t>
            </w:r>
          </w:p>
        </w:tc>
      </w:tr>
      <w:tr w14:paraId="25A085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9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CF21ED2">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便携式光合作用测定仪</w:t>
            </w: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819B425">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便携式光合仪</w:t>
            </w:r>
          </w:p>
        </w:tc>
        <w:tc>
          <w:tcPr>
            <w:tcW w:w="61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8BACFD6">
            <w:pPr>
              <w:keepNext w:val="0"/>
              <w:keepLines w:val="0"/>
              <w:widowControl/>
              <w:numPr>
                <w:ilvl w:val="0"/>
                <w:numId w:val="3"/>
              </w:numPr>
              <w:suppressLineNumbers w:val="0"/>
              <w:jc w:val="left"/>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活体叶片模块</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空气CO2浓度：非扩散式红外CO2分析   测量范围0-2000μmol/mol(ppm)  分辨率0.0005 误差≤3%FS</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环境温度：测量范围0-50℃    分辨率0.001  误差≤±0.2℃</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环境湿度：测量范围0-100%RH  分辨率0.001  误差≤±1%RH</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叶室温度：测量范围0-50℃    分辨率0.001  误差≤±0.2℃</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叶室湿度：测量范围0-100%RH  分辨率0.001  误差≤±1%RH</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叶面温度：测量范围0-50℃    分辨率0.001  误差≤±0.2℃</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大气压力：测量范围30-110kPa  分辨率：0.01 误差≤±0.06kPa</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光合有效辐射(PAR)：测量范围0-3000μmol/(m2·s)  分辨率0.001  误差≤±5μmol/(m2·s)</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光合速率(Pn)：单位μmol/(m2·s)         分辨率0.001</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气孔导度(Gs)：单位：mmolH2O/(m2*s)     分辨率：0.001</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蒸腾速率(Tr)：单位：mmolH2O/(m2*s)      分辨率：0.001</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胞间CO2浓度(Ci)：单位μmol/mol           分辨率0.001</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水分利用率(WUE)：单位：μmolCO2/molH2O  分辨率：0.001</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呼吸速率(Rd)：单位：μmol/(m2*s)              分辨率：0.001</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蒸腾比(TR)：单位：μmolH2O/ mmolCO2      分辨率：0.001</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叶室尺寸：标准3.3*3.3cm</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主控芯片：ARM Cortex-A7，RK3288/4核，主频1.88Ghz</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硬件内存：RAM ≥1G，ROM ≥16G</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数据接口：USB接口</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电源适配器：100-240V，国内外通用。</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锂电池容量≥8000mAh</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充电指示：充电红灯，充满电绿灯</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二、土壤呼吸模块</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CO2: 测量范围0-5000ppm   精度1% VOL    分辨率1ppm    检测下限≤1%VOL</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H2O：测量范围0-100%RH   精度≤±2%RH    分辨率0.001     检测下限≤1%RH</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N2O: 测量范围0-500ppm    精度≤+2%F.S.   分辨率1ppm    检测下限≤1%</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CH4: 测量范围0-100ppm    精度±2ppm      分辨率0.5ppm 检测下限≤1%</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大气压力：测量范围300-1100 hPa   分辨率1hPa  误差10 hPa</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呼吸室温度：测量范围0-50℃        分辨率0.001 误差s±0.2℃</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呼吸室湿度：测量范围0-100%RH    分辨率0.001 误差S±1%RH</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呼吸强度/碳通量：单位μmol/m²·s，依CO</w:t>
            </w:r>
            <w:r>
              <w:rPr>
                <w:rFonts w:hint="default" w:ascii="Times New Roman" w:hAnsi="Times New Roman" w:eastAsia="微软雅黑" w:cs="Times New Roman"/>
                <w:i w:val="0"/>
                <w:iCs w:val="0"/>
                <w:color w:val="000000"/>
                <w:sz w:val="20"/>
                <w:szCs w:val="20"/>
                <w:u w:val="none"/>
                <w:lang w:val="en-US" w:eastAsia="zh-CN" w:bidi="ar"/>
              </w:rPr>
              <w:t>₂</w:t>
            </w:r>
            <w:r>
              <w:rPr>
                <w:rFonts w:hint="eastAsia" w:ascii="微软雅黑" w:hAnsi="微软雅黑" w:eastAsia="微软雅黑" w:cs="微软雅黑"/>
                <w:i w:val="0"/>
                <w:iCs w:val="0"/>
                <w:color w:val="000000"/>
                <w:sz w:val="20"/>
                <w:szCs w:val="20"/>
                <w:u w:val="none"/>
                <w:lang w:val="en-US" w:eastAsia="zh-CN" w:bidi="ar"/>
              </w:rPr>
              <w:t>测量数据仪器自动换算得出气体    流速：标准800ml/min可调</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呼吸室容积≥1413 cm3</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供电电源：12V DC锂电池，满电续航8小时</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三、设备组成</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含光合仪主机、手柄、充电器、数据线（气管）、缓冲瓶、硅胶软管、铝箱、背带、主机支架及叶室手柄支架。</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BC6D10B">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台</w:t>
            </w: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410C0C0">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1</w:t>
            </w:r>
          </w:p>
        </w:tc>
      </w:tr>
      <w:tr w14:paraId="6513D9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9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1214CB5">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便携式测土配方检测仪</w:t>
            </w: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AA05103">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便携式测土配方检测仪</w:t>
            </w:r>
          </w:p>
        </w:tc>
        <w:tc>
          <w:tcPr>
            <w:tcW w:w="61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42ABB57">
            <w:pPr>
              <w:keepNext w:val="0"/>
              <w:keepLines w:val="0"/>
              <w:widowControl/>
              <w:suppressLineNumbers w:val="0"/>
              <w:jc w:val="left"/>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土壤氮磷钾误差≤1%，有机质误差≤2%，微量元素相对误差≤5%；肥料单项误差≤0.5%，氮磷钾三项误差≤1%；重金属相对误差小于等于5%。</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12个旋转检测通道，一次性快速检测不少于12个样品。</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具备真彩触摸屏，采用更加高效和人性化操作，高清晰高交互。</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1.电源：交流 220±22V   直流 12V+5V（仪器内置锂电池也可用车载电源）</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 xml:space="preserve">2.功率： ≤5W     </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3.量程及分辨率：0.001-9999</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 xml:space="preserve">4.重复性误差： ≤0.02%（0.0002，重铬酸钾溶液） </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5.仪器稳定性：一个小时内显示数字无漂移（透光度测量）；两个小时内数字漂移不超过0.3%（0.003，透光度测量）、0.001（吸光度测量）。</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6.线性误差： ≤0.1%（0.001，硫酸铜检测）</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7.灵敏度：红光≥4.5 ×10-5  蓝光≥3.17×10-3  绿光≥2.35×10-3  橙光≥2.13×10-3</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8.波长范围 ：红光：680±2nm; 蓝光：420±2nm; 绿光：510±2nm；橙光：590±4nm</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9.PH值（酸碱度）： (1)测试范围：1～14  （2）精度：0.01  (3)误差：±0.1</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10.含盐量：(1)测试范围：0.01%～1.00%  (2)相对误差：±5%</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11.土壤水分技术参数水分单位：%（g／100g）；含水率测试范围：0-100%；误差小于0.5%</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12.土壤温度：范围：-40-120℃；测量精度：±0.2℃；分辨率：±0.1℃</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13.土壤电导：范围：0-20ms；测量精度：±2％；分辨率：±0..1ms</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14.温度量程：-40℃~+125℃   ；精度：±0.3℃</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15.湿度量程：0%HR-100%HR    ；精度：±3%HR</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16.露点量程：-20~+50℃      ；精度：±0.5℃</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17.气压量程：300~110kPa（海拔9000米~-500米）；精度：0.06hPa（0.5米）</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18.光照量程：0-200000Lux    ；精度:0.054Lux</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19.CO2量程：0-5000PPM      ；精度：50PPM</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20.抗震等级：IP65</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01A7570">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台</w:t>
            </w: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83C832B">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1</w:t>
            </w:r>
          </w:p>
        </w:tc>
      </w:tr>
      <w:tr w14:paraId="77C102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9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D3C58D9">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便携式叶片检测仪</w:t>
            </w: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4A5B9A3">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便携式叶片检测仪</w:t>
            </w:r>
          </w:p>
        </w:tc>
        <w:tc>
          <w:tcPr>
            <w:tcW w:w="61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BD8CA62">
            <w:pPr>
              <w:keepNext w:val="0"/>
              <w:keepLines w:val="0"/>
              <w:widowControl/>
              <w:suppressLineNumbers w:val="0"/>
              <w:jc w:val="left"/>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测量项目：钾离子</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所需样品体积：0.3-2.0mL</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测量范围：4-9900ppm</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校准：150ppm、2000ppm</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重复性：±10%或±10ppm</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测量项目：硝酸盐</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测量原理：离子电极法</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所需样品体积：0.3-2.0mL</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测量范围：6-9900ppm</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校准：34ppm、450ppm</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重复性：±10%或±10ppm</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测量项目：钙离子</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测量原理：离子电极法</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所需样品体积：0.3-2.0mL</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测量范围：4-9900ppm</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校准：150ppm、2000ppm</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重复性：±20%或±20ppm</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06F069F">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台</w:t>
            </w: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23D55A2">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1</w:t>
            </w:r>
          </w:p>
        </w:tc>
      </w:tr>
      <w:tr w14:paraId="23E40C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9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9BDB892">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便携式糖分检测仪</w:t>
            </w: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C5C9BCA">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便携式糖分检测仪</w:t>
            </w:r>
          </w:p>
        </w:tc>
        <w:tc>
          <w:tcPr>
            <w:tcW w:w="61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237C730">
            <w:pPr>
              <w:keepNext w:val="0"/>
              <w:keepLines w:val="0"/>
              <w:widowControl/>
              <w:suppressLineNumbers w:val="0"/>
              <w:jc w:val="left"/>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能够快速测定葡萄的糖度，为果农提供实时的糖度数据。</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测量范围:Brix0.0~53.0%</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测量精度:Brix±0.2%</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分辨率:0.1%</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NFC近场通讯技术</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背光LCD显示</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纯水调零功能</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E08CDC2">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台</w:t>
            </w: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3541693">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5</w:t>
            </w:r>
          </w:p>
        </w:tc>
      </w:tr>
      <w:tr w14:paraId="4030A3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904" w:type="dxa"/>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E17A42E">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无人机</w:t>
            </w: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76B5125">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无人机</w:t>
            </w:r>
          </w:p>
        </w:tc>
        <w:tc>
          <w:tcPr>
            <w:tcW w:w="61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BD19FFB">
            <w:pPr>
              <w:keepNext w:val="0"/>
              <w:keepLines w:val="0"/>
              <w:widowControl/>
              <w:suppressLineNumbers w:val="0"/>
              <w:jc w:val="left"/>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无人机可以快速、准确地巡查葡萄园，通过高清摄像头拍摄照片和视频，实时监测园区葡萄的生长概况、基地情况等，提高巡查效率。可用于科研数据获取、更新，辅助科研实验分析。</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起飞重量不超过 720 克;</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尺寸:</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折叠（不带桨）不超过：长 207 mm，宽 100.5 mm，高 91.1 mm;</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展开（不带桨）不超过：长 258.8 mm，宽 326 mm，高 105.8 mm最大上升速度 10 米/秒;</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最大下降速度不低于 10 米/秒;</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最大水平飞行速度（海平面附近无风）不低于21 米/秒;</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最大起飞海拔高度不低于 6000 米;</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最长飞行时间 不少于46 分钟;</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最长悬停时间不短于 42 分钟;</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最大续航里程不少于 32 公里;</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最大抗风速度不低于 12 米/秒;</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最大可倾斜角度不小于 35°;</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工作环境温度 -10℃ 至 40℃;</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712014D">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台</w:t>
            </w: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13A6B7E">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1</w:t>
            </w:r>
          </w:p>
        </w:tc>
      </w:tr>
      <w:tr w14:paraId="7C6C9F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904"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86FDDB3">
            <w:pPr>
              <w:jc w:val="center"/>
              <w:rPr>
                <w:rFonts w:hint="eastAsia" w:ascii="微软雅黑" w:hAnsi="微软雅黑" w:eastAsia="微软雅黑" w:cs="微软雅黑"/>
                <w:i w:val="0"/>
                <w:iCs w:val="0"/>
                <w:color w:val="000000"/>
                <w:sz w:val="20"/>
                <w:szCs w:val="20"/>
                <w:u w:val="none"/>
              </w:rPr>
            </w:pP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8D50274">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无人机考证培训</w:t>
            </w:r>
          </w:p>
        </w:tc>
        <w:tc>
          <w:tcPr>
            <w:tcW w:w="61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05D848A">
            <w:pPr>
              <w:keepNext w:val="0"/>
              <w:keepLines w:val="0"/>
              <w:widowControl/>
              <w:suppressLineNumbers w:val="0"/>
              <w:jc w:val="left"/>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主要涵盖无人机基础知识、飞行原理、法律法规、安全规范等内容。培养学员的实际操作能力，包括起飞、飞行控制、降落、故障处理等技能。含1人次无人机驾照培训。</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6FC764C">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项</w:t>
            </w: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86C80C9">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2</w:t>
            </w:r>
          </w:p>
        </w:tc>
      </w:tr>
      <w:tr w14:paraId="17DE72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904"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9256D0B">
            <w:pPr>
              <w:jc w:val="center"/>
              <w:rPr>
                <w:rFonts w:hint="eastAsia" w:ascii="微软雅黑" w:hAnsi="微软雅黑" w:eastAsia="微软雅黑" w:cs="微软雅黑"/>
                <w:i w:val="0"/>
                <w:iCs w:val="0"/>
                <w:color w:val="000000"/>
                <w:sz w:val="20"/>
                <w:szCs w:val="20"/>
                <w:u w:val="none"/>
              </w:rPr>
            </w:pP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286DF9B">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意外险</w:t>
            </w:r>
          </w:p>
        </w:tc>
        <w:tc>
          <w:tcPr>
            <w:tcW w:w="61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8AA7B32">
            <w:pPr>
              <w:keepNext w:val="0"/>
              <w:keepLines w:val="0"/>
              <w:widowControl/>
              <w:suppressLineNumbers w:val="0"/>
              <w:jc w:val="left"/>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含无人机3年质保，以及第三方意外险。为用户提供了全面的意外保障。用户在购买时可以根据自己的需求和预算选择合适的服务，以确保在无人机发生意外时能够得到及时、有效的保障。同时，用户在使用无人机时应遵守相关法律法规和飞行安全规定，以确保飞行安全。</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38583DE">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年</w:t>
            </w: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F78A39A">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3</w:t>
            </w:r>
          </w:p>
        </w:tc>
      </w:tr>
      <w:tr w14:paraId="6B8F6A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9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00709C6">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大棚自动智能化补光系统</w:t>
            </w: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6131924">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葡萄专用补光灯</w:t>
            </w:r>
          </w:p>
        </w:tc>
        <w:tc>
          <w:tcPr>
            <w:tcW w:w="61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B019534">
            <w:pPr>
              <w:keepNext w:val="0"/>
              <w:keepLines w:val="0"/>
              <w:widowControl/>
              <w:suppressLineNumbers w:val="0"/>
              <w:jc w:val="left"/>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最大瓦数不少于：36W</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光源类型：LED光源</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光通量不低于：2750（lm）</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LED灯珠颗数不少于100</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固定方式：吊挂</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最大照射面积：≤25㎡</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E7F8718">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个</w:t>
            </w: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2B7ED7E">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379</w:t>
            </w:r>
          </w:p>
        </w:tc>
      </w:tr>
      <w:tr w14:paraId="61F0A7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9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E74A3D4">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防水灯座</w:t>
            </w: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0F9B95A">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补光灯专用防水灯座</w:t>
            </w:r>
          </w:p>
        </w:tc>
        <w:tc>
          <w:tcPr>
            <w:tcW w:w="61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C4E796B">
            <w:pPr>
              <w:keepNext w:val="0"/>
              <w:keepLines w:val="0"/>
              <w:widowControl/>
              <w:suppressLineNumbers w:val="0"/>
              <w:jc w:val="left"/>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补光灯专用防水灯座</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F46E17F">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个</w:t>
            </w: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C53F4CC">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379</w:t>
            </w:r>
          </w:p>
        </w:tc>
      </w:tr>
      <w:tr w14:paraId="58F120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9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4627253">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物联网多功能称重台秤</w:t>
            </w: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9494D1A">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物联网多功能称重台秤</w:t>
            </w:r>
          </w:p>
        </w:tc>
        <w:tc>
          <w:tcPr>
            <w:tcW w:w="61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AE0C58B">
            <w:pPr>
              <w:keepNext w:val="0"/>
              <w:keepLines w:val="0"/>
              <w:widowControl/>
              <w:suppressLineNumbers w:val="0"/>
              <w:jc w:val="left"/>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该设备可根据称重设备类型，配套感应装置集成到称重设备中，确保在称重过程中能够自动读取农户的标识信息（如RFID标签或条形码）。配套管理软件，用于接收、处理、存储和上传称重数据及农户信息。软件应能够与称重设备和感应装置进行通信，实现数据的实时读取和传输。</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定制开发，针对6台多功能称重台秤提供1套配套专用手持终端设备，用于进行科研数据填报和实时查看。</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 xml:space="preserve"> TFT显示屏</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秤盘尺寸不超过 400mm*500mm</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最大秤量 300kg</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准确度不低于 10g</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支持外接扫码枪</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支持4G传输，含三年流量</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称重时可直接把数据关联至农户并上传至系统</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A8AED54">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台</w:t>
            </w: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3817A8B">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6</w:t>
            </w:r>
          </w:p>
        </w:tc>
      </w:tr>
      <w:tr w14:paraId="38A2A0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9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81B6D6A">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扫码枪</w:t>
            </w: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97B9CC4">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扫码枪</w:t>
            </w:r>
          </w:p>
        </w:tc>
        <w:tc>
          <w:tcPr>
            <w:tcW w:w="61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F3B75ED">
            <w:pPr>
              <w:keepNext w:val="0"/>
              <w:keepLines w:val="0"/>
              <w:widowControl/>
              <w:suppressLineNumbers w:val="0"/>
              <w:jc w:val="left"/>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2.4G无线传输，支持连续快扫，广角识别</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 xml:space="preserve">电池容量≤2000mah </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ABS材质</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按键寿命：≥500万次</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B7543AA">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个</w:t>
            </w: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D092AC9">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12</w:t>
            </w:r>
          </w:p>
        </w:tc>
      </w:tr>
      <w:tr w14:paraId="3D6E23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9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330C21E">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铁丝绳</w:t>
            </w: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6C52B24">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铁丝绳</w:t>
            </w:r>
          </w:p>
        </w:tc>
        <w:tc>
          <w:tcPr>
            <w:tcW w:w="61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F997D4C">
            <w:pPr>
              <w:keepNext w:val="0"/>
              <w:keepLines w:val="0"/>
              <w:widowControl/>
              <w:suppressLineNumbers w:val="0"/>
              <w:jc w:val="left"/>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4mm</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C7BF390">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米</w:t>
            </w: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7B3413C">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2800</w:t>
            </w:r>
          </w:p>
        </w:tc>
      </w:tr>
      <w:tr w14:paraId="72A181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9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5BBEABD">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胀紧器</w:t>
            </w: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E4819DA">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胀紧器</w:t>
            </w:r>
          </w:p>
        </w:tc>
        <w:tc>
          <w:tcPr>
            <w:tcW w:w="61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274B6FE">
            <w:pPr>
              <w:keepNext w:val="0"/>
              <w:keepLines w:val="0"/>
              <w:widowControl/>
              <w:suppressLineNumbers w:val="0"/>
              <w:jc w:val="left"/>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材质  弹簧钢</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EBCE68C">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个</w:t>
            </w: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44BB788">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30</w:t>
            </w:r>
          </w:p>
        </w:tc>
      </w:tr>
      <w:tr w14:paraId="320602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9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181850A">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电缆</w:t>
            </w: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57623C9">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电缆</w:t>
            </w:r>
          </w:p>
        </w:tc>
        <w:tc>
          <w:tcPr>
            <w:tcW w:w="61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68A15B7">
            <w:pPr>
              <w:keepNext w:val="0"/>
              <w:keepLines w:val="0"/>
              <w:widowControl/>
              <w:suppressLineNumbers w:val="0"/>
              <w:jc w:val="left"/>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bvr2*2.5</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39D1D2C">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米</w:t>
            </w: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040E5FD">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3100</w:t>
            </w:r>
          </w:p>
        </w:tc>
      </w:tr>
      <w:tr w14:paraId="3245EF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9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AACF1D8">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穿线管</w:t>
            </w: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CE751EA">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穿线管</w:t>
            </w:r>
          </w:p>
        </w:tc>
        <w:tc>
          <w:tcPr>
            <w:tcW w:w="61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CE7C32E">
            <w:pPr>
              <w:keepNext w:val="0"/>
              <w:keepLines w:val="0"/>
              <w:widowControl/>
              <w:suppressLineNumbers w:val="0"/>
              <w:jc w:val="left"/>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 xml:space="preserve">PVC管 DN20 </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B24F657">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米</w:t>
            </w: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73C71AE">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3100</w:t>
            </w:r>
          </w:p>
        </w:tc>
      </w:tr>
      <w:tr w14:paraId="3468DA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904" w:type="dxa"/>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DF73DA0">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施工费用</w:t>
            </w: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1AF4086">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拉钢丝绳、电缆穿管布线</w:t>
            </w:r>
          </w:p>
        </w:tc>
        <w:tc>
          <w:tcPr>
            <w:tcW w:w="61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6F67B33">
            <w:pPr>
              <w:keepNext w:val="0"/>
              <w:keepLines w:val="0"/>
              <w:widowControl/>
              <w:suppressLineNumbers w:val="0"/>
              <w:jc w:val="left"/>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将铁丝绳、穿线管及电缆光缆按照规划好的顺序铺设在大棚内。注意线缆的走向和弯曲半径，避免过度弯曲或拉伸导致线缆损坏</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56BFE4D">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米</w:t>
            </w: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C7D2052">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3100</w:t>
            </w:r>
          </w:p>
        </w:tc>
      </w:tr>
      <w:tr w14:paraId="0AFAD8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904"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35ADBEC">
            <w:pPr>
              <w:jc w:val="center"/>
              <w:rPr>
                <w:rFonts w:hint="eastAsia" w:ascii="微软雅黑" w:hAnsi="微软雅黑" w:eastAsia="微软雅黑" w:cs="微软雅黑"/>
                <w:i w:val="0"/>
                <w:iCs w:val="0"/>
                <w:color w:val="000000"/>
                <w:sz w:val="20"/>
                <w:szCs w:val="20"/>
                <w:u w:val="none"/>
              </w:rPr>
            </w:pP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8156686">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补光灯安装维护</w:t>
            </w:r>
          </w:p>
        </w:tc>
        <w:tc>
          <w:tcPr>
            <w:tcW w:w="61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ABF30D9">
            <w:pPr>
              <w:keepNext w:val="0"/>
              <w:keepLines w:val="0"/>
              <w:widowControl/>
              <w:suppressLineNumbers w:val="0"/>
              <w:jc w:val="left"/>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包括将补光灯按照规划安装到大棚内，含调试、测试等</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E690E64">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项</w:t>
            </w: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A0CD107">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1</w:t>
            </w:r>
          </w:p>
        </w:tc>
      </w:tr>
      <w:tr w14:paraId="32AEE0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9413" w:type="dxa"/>
            <w:gridSpan w:val="5"/>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FF5DC3E">
            <w:pPr>
              <w:keepNext w:val="0"/>
              <w:keepLines w:val="0"/>
              <w:widowControl/>
              <w:suppressLineNumbers w:val="0"/>
              <w:jc w:val="center"/>
              <w:rPr>
                <w:rFonts w:hint="eastAsia" w:ascii="微软雅黑" w:hAnsi="微软雅黑" w:eastAsia="微软雅黑" w:cs="微软雅黑"/>
                <w:b/>
                <w:bCs/>
                <w:i w:val="0"/>
                <w:iCs w:val="0"/>
                <w:color w:val="000000"/>
                <w:sz w:val="22"/>
                <w:szCs w:val="22"/>
                <w:u w:val="none"/>
              </w:rPr>
            </w:pPr>
            <w:r>
              <w:rPr>
                <w:rFonts w:hint="eastAsia" w:ascii="微软雅黑" w:hAnsi="微软雅黑" w:eastAsia="微软雅黑" w:cs="微软雅黑"/>
                <w:b/>
                <w:bCs/>
                <w:i w:val="0"/>
                <w:iCs w:val="0"/>
                <w:color w:val="000000"/>
                <w:sz w:val="22"/>
                <w:szCs w:val="22"/>
                <w:u w:val="none"/>
                <w:lang w:val="en-US" w:eastAsia="zh-CN" w:bidi="ar"/>
              </w:rPr>
              <w:t>三、水肥一体化</w:t>
            </w:r>
          </w:p>
        </w:tc>
      </w:tr>
      <w:tr w14:paraId="7E1F46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904" w:type="dxa"/>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4AFB8F4">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喷头</w:t>
            </w: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3BF3E29">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高压雾化喷头</w:t>
            </w:r>
          </w:p>
        </w:tc>
        <w:tc>
          <w:tcPr>
            <w:tcW w:w="61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64905D6">
            <w:pPr>
              <w:keepNext w:val="0"/>
              <w:keepLines w:val="0"/>
              <w:widowControl/>
              <w:suppressLineNumbers w:val="0"/>
              <w:jc w:val="left"/>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2#喷头，三段式喷头，自带独立过滤防堵漏功能，通体材料304不锈钢，高压喷雾定制；喷头形状：扇形；压力范围：60—120kg；雾化半径：1-1.5米；喷雾流量不少于0.08L/分钟；（每个棚在上部和底部安装2层喷雾，上层8米一跨，一跨安装2道喷雾，3米一组双喷；底部8米一跨，一跨安装2道喷雾，3米一组双喷；共安装140道喷头，1708组双喷，3416枚喷头）</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2E8F631">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套</w:t>
            </w: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E2316F2">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3416</w:t>
            </w:r>
          </w:p>
        </w:tc>
      </w:tr>
      <w:tr w14:paraId="0A9322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904"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6825CB5">
            <w:pPr>
              <w:jc w:val="center"/>
              <w:rPr>
                <w:rFonts w:hint="eastAsia" w:ascii="微软雅黑" w:hAnsi="微软雅黑" w:eastAsia="微软雅黑" w:cs="微软雅黑"/>
                <w:i w:val="0"/>
                <w:iCs w:val="0"/>
                <w:color w:val="000000"/>
                <w:sz w:val="20"/>
                <w:szCs w:val="20"/>
                <w:u w:val="none"/>
              </w:rPr>
            </w:pP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8217B4F">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加强型倒挂式旋转微喷</w:t>
            </w:r>
          </w:p>
        </w:tc>
        <w:tc>
          <w:tcPr>
            <w:tcW w:w="61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DC11E22">
            <w:pPr>
              <w:keepNext w:val="0"/>
              <w:keepLines w:val="0"/>
              <w:widowControl/>
              <w:suppressLineNumbers w:val="0"/>
              <w:jc w:val="left"/>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毛管+双倒钩+重锤+防滴阀+旋转微喷头（工作压力：200-300Kpa，射程：1m，流量不少于60L/H)；（每株葡萄树配置1套）</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8ECD8AC">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套</w:t>
            </w: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70F5875">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350</w:t>
            </w:r>
          </w:p>
        </w:tc>
      </w:tr>
      <w:tr w14:paraId="544304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904" w:type="dxa"/>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5BE9ADD">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管道</w:t>
            </w: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093E2B9">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供水主管道</w:t>
            </w:r>
          </w:p>
        </w:tc>
        <w:tc>
          <w:tcPr>
            <w:tcW w:w="61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7179A7E">
            <w:pPr>
              <w:keepNext w:val="0"/>
              <w:keepLines w:val="0"/>
              <w:widowControl/>
              <w:suppressLineNumbers w:val="0"/>
              <w:jc w:val="left"/>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PE-D110，壁厚8.1mm，国标管P=1.25MPa。</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1067C22">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米</w:t>
            </w: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1691B68">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260</w:t>
            </w:r>
          </w:p>
        </w:tc>
      </w:tr>
      <w:tr w14:paraId="675F5A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904"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E132828">
            <w:pPr>
              <w:jc w:val="center"/>
              <w:rPr>
                <w:rFonts w:hint="eastAsia" w:ascii="微软雅黑" w:hAnsi="微软雅黑" w:eastAsia="微软雅黑" w:cs="微软雅黑"/>
                <w:i w:val="0"/>
                <w:iCs w:val="0"/>
                <w:color w:val="000000"/>
                <w:sz w:val="20"/>
                <w:szCs w:val="20"/>
                <w:u w:val="none"/>
              </w:rPr>
            </w:pP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D272F68">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供水支管道（喷滴灌）</w:t>
            </w:r>
          </w:p>
        </w:tc>
        <w:tc>
          <w:tcPr>
            <w:tcW w:w="61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DA5ACBC">
            <w:pPr>
              <w:keepNext w:val="0"/>
              <w:keepLines w:val="0"/>
              <w:widowControl/>
              <w:suppressLineNumbers w:val="0"/>
              <w:jc w:val="left"/>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PE-D90，壁厚6.7mm，国标管P=1.25MPa。</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0C2FB36">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米</w:t>
            </w: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1BEA463">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600</w:t>
            </w:r>
          </w:p>
        </w:tc>
      </w:tr>
      <w:tr w14:paraId="5461A2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904"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F2697B0">
            <w:pPr>
              <w:jc w:val="center"/>
              <w:rPr>
                <w:rFonts w:hint="eastAsia" w:ascii="微软雅黑" w:hAnsi="微软雅黑" w:eastAsia="微软雅黑" w:cs="微软雅黑"/>
                <w:i w:val="0"/>
                <w:iCs w:val="0"/>
                <w:color w:val="000000"/>
                <w:sz w:val="20"/>
                <w:szCs w:val="20"/>
                <w:u w:val="none"/>
              </w:rPr>
            </w:pP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557728D">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雾化主管</w:t>
            </w:r>
          </w:p>
        </w:tc>
        <w:tc>
          <w:tcPr>
            <w:tcW w:w="61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9918DE3">
            <w:pPr>
              <w:keepNext w:val="0"/>
              <w:keepLines w:val="0"/>
              <w:widowControl/>
              <w:suppressLineNumbers w:val="0"/>
              <w:jc w:val="left"/>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DN12高压盘管（含支管焊合接头），壁厚1.0mm，P=8.0MPa，材质304不锈钢。</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0E3EFB7">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米</w:t>
            </w: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14287EA">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1000</w:t>
            </w:r>
          </w:p>
        </w:tc>
      </w:tr>
      <w:tr w14:paraId="7C63AD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904"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8011449">
            <w:pPr>
              <w:jc w:val="center"/>
              <w:rPr>
                <w:rFonts w:hint="eastAsia" w:ascii="微软雅黑" w:hAnsi="微软雅黑" w:eastAsia="微软雅黑" w:cs="微软雅黑"/>
                <w:i w:val="0"/>
                <w:iCs w:val="0"/>
                <w:color w:val="000000"/>
                <w:sz w:val="20"/>
                <w:szCs w:val="20"/>
                <w:u w:val="none"/>
              </w:rPr>
            </w:pP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CB9580F">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雾化支管</w:t>
            </w:r>
          </w:p>
        </w:tc>
        <w:tc>
          <w:tcPr>
            <w:tcW w:w="61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6950731">
            <w:pPr>
              <w:keepNext w:val="0"/>
              <w:keepLines w:val="0"/>
              <w:widowControl/>
              <w:suppressLineNumbers w:val="0"/>
              <w:jc w:val="left"/>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φ9.52高压管，壁厚2.6mm，P=8.0MPa，防爆型；</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（每个棚在上部和底部安装2层喷雾，上层8米一跨，一跨安装2道喷雾；底部8米一跨，一跨安装2道喷雾；共安装140道）。</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50E0BA2">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米</w:t>
            </w: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F3C7A18">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5700</w:t>
            </w:r>
          </w:p>
        </w:tc>
      </w:tr>
      <w:tr w14:paraId="1341F1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904"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CA4EF46">
            <w:pPr>
              <w:jc w:val="center"/>
              <w:rPr>
                <w:rFonts w:hint="eastAsia" w:ascii="微软雅黑" w:hAnsi="微软雅黑" w:eastAsia="微软雅黑" w:cs="微软雅黑"/>
                <w:i w:val="0"/>
                <w:iCs w:val="0"/>
                <w:color w:val="000000"/>
                <w:sz w:val="20"/>
                <w:szCs w:val="20"/>
                <w:u w:val="none"/>
              </w:rPr>
            </w:pP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A23C014">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喷灌管道</w:t>
            </w:r>
          </w:p>
        </w:tc>
        <w:tc>
          <w:tcPr>
            <w:tcW w:w="61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66BB7FC">
            <w:pPr>
              <w:keepNext w:val="0"/>
              <w:keepLines w:val="0"/>
              <w:widowControl/>
              <w:suppressLineNumbers w:val="0"/>
              <w:jc w:val="left"/>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PE-D32，国标管P=0.6MPa。</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（每垄葡萄铺设1条）</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FA61FB9">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米</w:t>
            </w: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B3AEE15">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1500</w:t>
            </w:r>
          </w:p>
        </w:tc>
      </w:tr>
      <w:tr w14:paraId="195C6F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904"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DB9B610">
            <w:pPr>
              <w:jc w:val="center"/>
              <w:rPr>
                <w:rFonts w:hint="eastAsia" w:ascii="微软雅黑" w:hAnsi="微软雅黑" w:eastAsia="微软雅黑" w:cs="微软雅黑"/>
                <w:i w:val="0"/>
                <w:iCs w:val="0"/>
                <w:color w:val="000000"/>
                <w:sz w:val="20"/>
                <w:szCs w:val="20"/>
                <w:u w:val="none"/>
              </w:rPr>
            </w:pP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6B97031">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滴灌带</w:t>
            </w:r>
          </w:p>
        </w:tc>
        <w:tc>
          <w:tcPr>
            <w:tcW w:w="61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A3022F3">
            <w:pPr>
              <w:keepNext w:val="0"/>
              <w:keepLines w:val="0"/>
              <w:widowControl/>
              <w:suppressLineNumbers w:val="0"/>
              <w:jc w:val="left"/>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贴片式，Dn16*0.3*100，2.0L/H。</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（每垄葡萄铺设2条）</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C5105E5">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米</w:t>
            </w: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A420E72">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4000</w:t>
            </w:r>
          </w:p>
        </w:tc>
      </w:tr>
      <w:tr w14:paraId="457294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904"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7B4FF31">
            <w:pPr>
              <w:jc w:val="center"/>
              <w:rPr>
                <w:rFonts w:hint="eastAsia" w:ascii="微软雅黑" w:hAnsi="微软雅黑" w:eastAsia="微软雅黑" w:cs="微软雅黑"/>
                <w:i w:val="0"/>
                <w:iCs w:val="0"/>
                <w:color w:val="000000"/>
                <w:sz w:val="20"/>
                <w:szCs w:val="20"/>
                <w:u w:val="none"/>
              </w:rPr>
            </w:pPr>
          </w:p>
        </w:tc>
        <w:tc>
          <w:tcPr>
            <w:tcW w:w="915" w:type="dxa"/>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F85B6C2">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弯头</w:t>
            </w:r>
          </w:p>
        </w:tc>
        <w:tc>
          <w:tcPr>
            <w:tcW w:w="61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77342FC">
            <w:pPr>
              <w:keepNext w:val="0"/>
              <w:keepLines w:val="0"/>
              <w:widowControl/>
              <w:suppressLineNumbers w:val="0"/>
              <w:jc w:val="left"/>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PE-D110，对焊，国标管P=1.25MPa。</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A512531">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个</w:t>
            </w: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9C8EEAD">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6</w:t>
            </w:r>
          </w:p>
        </w:tc>
      </w:tr>
      <w:tr w14:paraId="643E0E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904"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4FC5030">
            <w:pPr>
              <w:jc w:val="center"/>
              <w:rPr>
                <w:rFonts w:hint="eastAsia" w:ascii="微软雅黑" w:hAnsi="微软雅黑" w:eastAsia="微软雅黑" w:cs="微软雅黑"/>
                <w:i w:val="0"/>
                <w:iCs w:val="0"/>
                <w:color w:val="000000"/>
                <w:sz w:val="20"/>
                <w:szCs w:val="20"/>
                <w:u w:val="none"/>
              </w:rPr>
            </w:pPr>
          </w:p>
        </w:tc>
        <w:tc>
          <w:tcPr>
            <w:tcW w:w="915"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5043302">
            <w:pPr>
              <w:jc w:val="center"/>
              <w:rPr>
                <w:rFonts w:hint="eastAsia" w:ascii="微软雅黑" w:hAnsi="微软雅黑" w:eastAsia="微软雅黑" w:cs="微软雅黑"/>
                <w:i w:val="0"/>
                <w:iCs w:val="0"/>
                <w:color w:val="000000"/>
                <w:sz w:val="20"/>
                <w:szCs w:val="20"/>
                <w:u w:val="none"/>
              </w:rPr>
            </w:pPr>
          </w:p>
        </w:tc>
        <w:tc>
          <w:tcPr>
            <w:tcW w:w="61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E1F897D">
            <w:pPr>
              <w:keepNext w:val="0"/>
              <w:keepLines w:val="0"/>
              <w:widowControl/>
              <w:suppressLineNumbers w:val="0"/>
              <w:jc w:val="left"/>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PE-D90，对焊，国标管P=1.25MPa。</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5F4FADB">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个</w:t>
            </w: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0F18293">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10</w:t>
            </w:r>
          </w:p>
        </w:tc>
      </w:tr>
      <w:tr w14:paraId="4C3ADD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904"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A67F2A0">
            <w:pPr>
              <w:jc w:val="center"/>
              <w:rPr>
                <w:rFonts w:hint="eastAsia" w:ascii="微软雅黑" w:hAnsi="微软雅黑" w:eastAsia="微软雅黑" w:cs="微软雅黑"/>
                <w:i w:val="0"/>
                <w:iCs w:val="0"/>
                <w:color w:val="000000"/>
                <w:sz w:val="20"/>
                <w:szCs w:val="20"/>
                <w:u w:val="none"/>
              </w:rPr>
            </w:pPr>
          </w:p>
        </w:tc>
        <w:tc>
          <w:tcPr>
            <w:tcW w:w="915" w:type="dxa"/>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CC7E302">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三通</w:t>
            </w:r>
          </w:p>
        </w:tc>
        <w:tc>
          <w:tcPr>
            <w:tcW w:w="61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28E186D">
            <w:pPr>
              <w:keepNext w:val="0"/>
              <w:keepLines w:val="0"/>
              <w:widowControl/>
              <w:suppressLineNumbers w:val="0"/>
              <w:jc w:val="left"/>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PE-D110，对焊，国标管P=1.25MPa。</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5750FEE">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个</w:t>
            </w: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839F2AA">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5</w:t>
            </w:r>
          </w:p>
        </w:tc>
      </w:tr>
      <w:tr w14:paraId="12414E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904"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66A7031">
            <w:pPr>
              <w:jc w:val="center"/>
              <w:rPr>
                <w:rFonts w:hint="eastAsia" w:ascii="微软雅黑" w:hAnsi="微软雅黑" w:eastAsia="微软雅黑" w:cs="微软雅黑"/>
                <w:i w:val="0"/>
                <w:iCs w:val="0"/>
                <w:color w:val="000000"/>
                <w:sz w:val="20"/>
                <w:szCs w:val="20"/>
                <w:u w:val="none"/>
              </w:rPr>
            </w:pPr>
          </w:p>
        </w:tc>
        <w:tc>
          <w:tcPr>
            <w:tcW w:w="915"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807EBE6">
            <w:pPr>
              <w:jc w:val="center"/>
              <w:rPr>
                <w:rFonts w:hint="eastAsia" w:ascii="微软雅黑" w:hAnsi="微软雅黑" w:eastAsia="微软雅黑" w:cs="微软雅黑"/>
                <w:i w:val="0"/>
                <w:iCs w:val="0"/>
                <w:color w:val="000000"/>
                <w:sz w:val="20"/>
                <w:szCs w:val="20"/>
                <w:u w:val="none"/>
              </w:rPr>
            </w:pPr>
          </w:p>
        </w:tc>
        <w:tc>
          <w:tcPr>
            <w:tcW w:w="61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AFEDA31">
            <w:pPr>
              <w:keepNext w:val="0"/>
              <w:keepLines w:val="0"/>
              <w:widowControl/>
              <w:suppressLineNumbers w:val="0"/>
              <w:jc w:val="left"/>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PE-D90，对焊，国标管P=1.25MPa。</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715A8D9">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个</w:t>
            </w: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E02C2E4">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2</w:t>
            </w:r>
          </w:p>
        </w:tc>
      </w:tr>
      <w:tr w14:paraId="73EED5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904"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74F07C6">
            <w:pPr>
              <w:jc w:val="center"/>
              <w:rPr>
                <w:rFonts w:hint="eastAsia" w:ascii="微软雅黑" w:hAnsi="微软雅黑" w:eastAsia="微软雅黑" w:cs="微软雅黑"/>
                <w:i w:val="0"/>
                <w:iCs w:val="0"/>
                <w:color w:val="000000"/>
                <w:sz w:val="20"/>
                <w:szCs w:val="20"/>
                <w:u w:val="none"/>
              </w:rPr>
            </w:pP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A9652B0">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变径三通</w:t>
            </w:r>
          </w:p>
        </w:tc>
        <w:tc>
          <w:tcPr>
            <w:tcW w:w="61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5CCBC76">
            <w:pPr>
              <w:keepNext w:val="0"/>
              <w:keepLines w:val="0"/>
              <w:widowControl/>
              <w:suppressLineNumbers w:val="0"/>
              <w:jc w:val="left"/>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PE-D110-D90，对焊，国标管P=1.25MPa。</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8F7A2DF">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个</w:t>
            </w: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8A1B354">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2</w:t>
            </w:r>
          </w:p>
        </w:tc>
      </w:tr>
      <w:tr w14:paraId="2C5BC6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904"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1FC26D4">
            <w:pPr>
              <w:jc w:val="center"/>
              <w:rPr>
                <w:rFonts w:hint="eastAsia" w:ascii="微软雅黑" w:hAnsi="微软雅黑" w:eastAsia="微软雅黑" w:cs="微软雅黑"/>
                <w:i w:val="0"/>
                <w:iCs w:val="0"/>
                <w:color w:val="000000"/>
                <w:sz w:val="20"/>
                <w:szCs w:val="20"/>
                <w:u w:val="none"/>
              </w:rPr>
            </w:pP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8714B5A">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变径直接</w:t>
            </w:r>
          </w:p>
        </w:tc>
        <w:tc>
          <w:tcPr>
            <w:tcW w:w="61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1F70971">
            <w:pPr>
              <w:keepNext w:val="0"/>
              <w:keepLines w:val="0"/>
              <w:widowControl/>
              <w:suppressLineNumbers w:val="0"/>
              <w:jc w:val="left"/>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PE-D110-D90，对焊，国标管P=1.25MPa。</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99AE737">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个</w:t>
            </w: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4B01B62">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4</w:t>
            </w:r>
          </w:p>
        </w:tc>
      </w:tr>
      <w:tr w14:paraId="5A8986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904"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74C779E">
            <w:pPr>
              <w:jc w:val="center"/>
              <w:rPr>
                <w:rFonts w:hint="eastAsia" w:ascii="微软雅黑" w:hAnsi="微软雅黑" w:eastAsia="微软雅黑" w:cs="微软雅黑"/>
                <w:i w:val="0"/>
                <w:iCs w:val="0"/>
                <w:color w:val="000000"/>
                <w:sz w:val="20"/>
                <w:szCs w:val="20"/>
                <w:u w:val="none"/>
              </w:rPr>
            </w:pPr>
          </w:p>
        </w:tc>
        <w:tc>
          <w:tcPr>
            <w:tcW w:w="915" w:type="dxa"/>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8715873">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对接法兰</w:t>
            </w:r>
          </w:p>
        </w:tc>
        <w:tc>
          <w:tcPr>
            <w:tcW w:w="61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BD5B669">
            <w:pPr>
              <w:keepNext w:val="0"/>
              <w:keepLines w:val="0"/>
              <w:widowControl/>
              <w:suppressLineNumbers w:val="0"/>
              <w:jc w:val="left"/>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PE-D110，对焊，国标管P=1.25MPa；配套8.8级M14*80螺栓。</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4834FAF">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个</w:t>
            </w: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CA212C4">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12</w:t>
            </w:r>
          </w:p>
        </w:tc>
      </w:tr>
      <w:tr w14:paraId="0B311D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904"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50D86C2">
            <w:pPr>
              <w:jc w:val="center"/>
              <w:rPr>
                <w:rFonts w:hint="eastAsia" w:ascii="微软雅黑" w:hAnsi="微软雅黑" w:eastAsia="微软雅黑" w:cs="微软雅黑"/>
                <w:i w:val="0"/>
                <w:iCs w:val="0"/>
                <w:color w:val="000000"/>
                <w:sz w:val="20"/>
                <w:szCs w:val="20"/>
                <w:u w:val="none"/>
              </w:rPr>
            </w:pPr>
          </w:p>
        </w:tc>
        <w:tc>
          <w:tcPr>
            <w:tcW w:w="915"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DA8E1C5">
            <w:pPr>
              <w:jc w:val="center"/>
              <w:rPr>
                <w:rFonts w:hint="eastAsia" w:ascii="微软雅黑" w:hAnsi="微软雅黑" w:eastAsia="微软雅黑" w:cs="微软雅黑"/>
                <w:i w:val="0"/>
                <w:iCs w:val="0"/>
                <w:color w:val="000000"/>
                <w:sz w:val="20"/>
                <w:szCs w:val="20"/>
                <w:u w:val="none"/>
              </w:rPr>
            </w:pPr>
          </w:p>
        </w:tc>
        <w:tc>
          <w:tcPr>
            <w:tcW w:w="61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03EF46B">
            <w:pPr>
              <w:keepNext w:val="0"/>
              <w:keepLines w:val="0"/>
              <w:widowControl/>
              <w:suppressLineNumbers w:val="0"/>
              <w:jc w:val="left"/>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PE-D90，对焊，国标管P=1.25MPa；配套8.8级M14*80螺栓。</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A042173">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个</w:t>
            </w: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A818273">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4</w:t>
            </w:r>
          </w:p>
        </w:tc>
      </w:tr>
      <w:tr w14:paraId="1D3049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904" w:type="dxa"/>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0EF9625">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阀门</w:t>
            </w: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FC4868F">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铸钢阀门</w:t>
            </w:r>
          </w:p>
        </w:tc>
        <w:tc>
          <w:tcPr>
            <w:tcW w:w="61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3947B5B">
            <w:pPr>
              <w:keepNext w:val="0"/>
              <w:keepLines w:val="0"/>
              <w:widowControl/>
              <w:suppressLineNumbers w:val="0"/>
              <w:jc w:val="left"/>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D110，法兰连接。</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3C72067">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只</w:t>
            </w: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6B9B875">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2</w:t>
            </w:r>
          </w:p>
        </w:tc>
      </w:tr>
      <w:tr w14:paraId="7A578C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904"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B317977">
            <w:pPr>
              <w:jc w:val="center"/>
              <w:rPr>
                <w:rFonts w:hint="eastAsia" w:ascii="微软雅黑" w:hAnsi="微软雅黑" w:eastAsia="微软雅黑" w:cs="微软雅黑"/>
                <w:i w:val="0"/>
                <w:iCs w:val="0"/>
                <w:color w:val="000000"/>
                <w:sz w:val="20"/>
                <w:szCs w:val="20"/>
                <w:u w:val="none"/>
              </w:rPr>
            </w:pP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E139493">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电磁阀</w:t>
            </w:r>
          </w:p>
        </w:tc>
        <w:tc>
          <w:tcPr>
            <w:tcW w:w="61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C579CB3">
            <w:pPr>
              <w:keepNext w:val="0"/>
              <w:keepLines w:val="0"/>
              <w:widowControl/>
              <w:suppressLineNumbers w:val="0"/>
              <w:jc w:val="left"/>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D90，DC24V，法兰连接，IP65防水。</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2A10807">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只</w:t>
            </w: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19E7E2F">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15</w:t>
            </w:r>
          </w:p>
        </w:tc>
      </w:tr>
      <w:tr w14:paraId="06809C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904"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9EFC6E4">
            <w:pPr>
              <w:jc w:val="center"/>
              <w:rPr>
                <w:rFonts w:hint="eastAsia" w:ascii="微软雅黑" w:hAnsi="微软雅黑" w:eastAsia="微软雅黑" w:cs="微软雅黑"/>
                <w:i w:val="0"/>
                <w:iCs w:val="0"/>
                <w:color w:val="000000"/>
                <w:sz w:val="20"/>
                <w:szCs w:val="20"/>
                <w:u w:val="none"/>
              </w:rPr>
            </w:pP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1EA8CBF">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高压电磁阀</w:t>
            </w:r>
          </w:p>
        </w:tc>
        <w:tc>
          <w:tcPr>
            <w:tcW w:w="61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3448180">
            <w:pPr>
              <w:keepNext w:val="0"/>
              <w:keepLines w:val="0"/>
              <w:widowControl/>
              <w:suppressLineNumbers w:val="0"/>
              <w:jc w:val="left"/>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DC24V，尺寸DN12，工作压力0~8MPa，优质阀芯，耐腐蚀，使用寿命长。</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7540CF9">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只</w:t>
            </w: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2326F3F">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16</w:t>
            </w:r>
          </w:p>
        </w:tc>
      </w:tr>
      <w:tr w14:paraId="57F98E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904" w:type="dxa"/>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1914668">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高压喷雾配件</w:t>
            </w: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013320E">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φ12直接接头</w:t>
            </w:r>
          </w:p>
        </w:tc>
        <w:tc>
          <w:tcPr>
            <w:tcW w:w="61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E153159">
            <w:pPr>
              <w:keepNext w:val="0"/>
              <w:keepLines w:val="0"/>
              <w:widowControl/>
              <w:suppressLineNumbers w:val="0"/>
              <w:jc w:val="left"/>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材质304不锈钢，高压喷雾定制，防腐防堵漏。</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FE48FC2">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个</w:t>
            </w: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94E4595">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20</w:t>
            </w:r>
          </w:p>
        </w:tc>
      </w:tr>
      <w:tr w14:paraId="2DAA5C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904"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5507969">
            <w:pPr>
              <w:jc w:val="center"/>
              <w:rPr>
                <w:rFonts w:hint="eastAsia" w:ascii="微软雅黑" w:hAnsi="微软雅黑" w:eastAsia="微软雅黑" w:cs="微软雅黑"/>
                <w:i w:val="0"/>
                <w:iCs w:val="0"/>
                <w:color w:val="000000"/>
                <w:sz w:val="20"/>
                <w:szCs w:val="20"/>
                <w:u w:val="none"/>
              </w:rPr>
            </w:pP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6255516">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φ12弯通接头</w:t>
            </w:r>
          </w:p>
        </w:tc>
        <w:tc>
          <w:tcPr>
            <w:tcW w:w="61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4B1F374">
            <w:pPr>
              <w:keepNext w:val="0"/>
              <w:keepLines w:val="0"/>
              <w:widowControl/>
              <w:suppressLineNumbers w:val="0"/>
              <w:jc w:val="left"/>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材质304不锈钢，高压喷雾定制，防腐防堵漏。</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2EEBC4C">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个</w:t>
            </w: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92A44AB">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20</w:t>
            </w:r>
          </w:p>
        </w:tc>
      </w:tr>
      <w:tr w14:paraId="7646B5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904"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76B4CEC">
            <w:pPr>
              <w:jc w:val="center"/>
              <w:rPr>
                <w:rFonts w:hint="eastAsia" w:ascii="微软雅黑" w:hAnsi="微软雅黑" w:eastAsia="微软雅黑" w:cs="微软雅黑"/>
                <w:i w:val="0"/>
                <w:iCs w:val="0"/>
                <w:color w:val="000000"/>
                <w:sz w:val="20"/>
                <w:szCs w:val="20"/>
                <w:u w:val="none"/>
              </w:rPr>
            </w:pP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5C1E5D4">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φ12三通接头</w:t>
            </w:r>
          </w:p>
        </w:tc>
        <w:tc>
          <w:tcPr>
            <w:tcW w:w="61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4E21131">
            <w:pPr>
              <w:keepNext w:val="0"/>
              <w:keepLines w:val="0"/>
              <w:widowControl/>
              <w:suppressLineNumbers w:val="0"/>
              <w:jc w:val="left"/>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材质304不锈钢，高压喷雾定制，防腐防堵漏。</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5C0B233">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个</w:t>
            </w: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843F152">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10</w:t>
            </w:r>
          </w:p>
        </w:tc>
      </w:tr>
      <w:tr w14:paraId="5DDBAA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904"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557E1AA">
            <w:pPr>
              <w:jc w:val="center"/>
              <w:rPr>
                <w:rFonts w:hint="eastAsia" w:ascii="微软雅黑" w:hAnsi="微软雅黑" w:eastAsia="微软雅黑" w:cs="微软雅黑"/>
                <w:i w:val="0"/>
                <w:iCs w:val="0"/>
                <w:color w:val="000000"/>
                <w:sz w:val="20"/>
                <w:szCs w:val="20"/>
                <w:u w:val="none"/>
              </w:rPr>
            </w:pP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303BDD6">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φ12阀接</w:t>
            </w:r>
          </w:p>
        </w:tc>
        <w:tc>
          <w:tcPr>
            <w:tcW w:w="61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596A69E">
            <w:pPr>
              <w:keepNext w:val="0"/>
              <w:keepLines w:val="0"/>
              <w:widowControl/>
              <w:suppressLineNumbers w:val="0"/>
              <w:jc w:val="left"/>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材质304不锈钢，高压喷雾定制，耐腐蚀。</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347F23E">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个</w:t>
            </w: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45E963A">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32</w:t>
            </w:r>
          </w:p>
        </w:tc>
      </w:tr>
      <w:tr w14:paraId="1AAE2B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904"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DFCEE6C">
            <w:pPr>
              <w:jc w:val="center"/>
              <w:rPr>
                <w:rFonts w:hint="eastAsia" w:ascii="微软雅黑" w:hAnsi="微软雅黑" w:eastAsia="微软雅黑" w:cs="微软雅黑"/>
                <w:i w:val="0"/>
                <w:iCs w:val="0"/>
                <w:color w:val="000000"/>
                <w:sz w:val="20"/>
                <w:szCs w:val="20"/>
                <w:u w:val="none"/>
              </w:rPr>
            </w:pP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F67C1D9">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φ12球阀</w:t>
            </w:r>
          </w:p>
        </w:tc>
        <w:tc>
          <w:tcPr>
            <w:tcW w:w="61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0919C72">
            <w:pPr>
              <w:keepNext w:val="0"/>
              <w:keepLines w:val="0"/>
              <w:widowControl/>
              <w:suppressLineNumbers w:val="0"/>
              <w:jc w:val="left"/>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材质304不锈钢，高压喷雾定制，耐腐蚀。</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A519638">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个</w:t>
            </w: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0BC55DF">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16</w:t>
            </w:r>
          </w:p>
        </w:tc>
      </w:tr>
      <w:tr w14:paraId="6134B1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904"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6FDF73E">
            <w:pPr>
              <w:jc w:val="center"/>
              <w:rPr>
                <w:rFonts w:hint="eastAsia" w:ascii="微软雅黑" w:hAnsi="微软雅黑" w:eastAsia="微软雅黑" w:cs="微软雅黑"/>
                <w:i w:val="0"/>
                <w:iCs w:val="0"/>
                <w:color w:val="000000"/>
                <w:sz w:val="20"/>
                <w:szCs w:val="20"/>
                <w:u w:val="none"/>
              </w:rPr>
            </w:pP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EFA3064">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φ12变φ9.52三通接头</w:t>
            </w:r>
          </w:p>
        </w:tc>
        <w:tc>
          <w:tcPr>
            <w:tcW w:w="61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B2F18F1">
            <w:pPr>
              <w:keepNext w:val="0"/>
              <w:keepLines w:val="0"/>
              <w:widowControl/>
              <w:suppressLineNumbers w:val="0"/>
              <w:jc w:val="left"/>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材质304不锈钢，高压喷雾定制，防腐防堵漏。</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7BF1517">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个</w:t>
            </w: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8E0E545">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140</w:t>
            </w:r>
          </w:p>
        </w:tc>
      </w:tr>
      <w:tr w14:paraId="4D6084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904"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2401D7F">
            <w:pPr>
              <w:jc w:val="center"/>
              <w:rPr>
                <w:rFonts w:hint="eastAsia" w:ascii="微软雅黑" w:hAnsi="微软雅黑" w:eastAsia="微软雅黑" w:cs="微软雅黑"/>
                <w:i w:val="0"/>
                <w:iCs w:val="0"/>
                <w:color w:val="000000"/>
                <w:sz w:val="20"/>
                <w:szCs w:val="20"/>
                <w:u w:val="none"/>
              </w:rPr>
            </w:pP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1F64AA6">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φ12变φ9.52直接接头</w:t>
            </w:r>
          </w:p>
        </w:tc>
        <w:tc>
          <w:tcPr>
            <w:tcW w:w="61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96F3A21">
            <w:pPr>
              <w:keepNext w:val="0"/>
              <w:keepLines w:val="0"/>
              <w:widowControl/>
              <w:suppressLineNumbers w:val="0"/>
              <w:jc w:val="left"/>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材质304不锈钢，高压喷雾定制，防腐防堵漏。</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AC5C401">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个</w:t>
            </w: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711857F">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20</w:t>
            </w:r>
          </w:p>
        </w:tc>
      </w:tr>
      <w:tr w14:paraId="1544BE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904"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714DFEC">
            <w:pPr>
              <w:jc w:val="center"/>
              <w:rPr>
                <w:rFonts w:hint="eastAsia" w:ascii="微软雅黑" w:hAnsi="微软雅黑" w:eastAsia="微软雅黑" w:cs="微软雅黑"/>
                <w:i w:val="0"/>
                <w:iCs w:val="0"/>
                <w:color w:val="000000"/>
                <w:sz w:val="20"/>
                <w:szCs w:val="20"/>
                <w:u w:val="none"/>
              </w:rPr>
            </w:pP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0556CE7">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φ9.52三通接头</w:t>
            </w:r>
          </w:p>
        </w:tc>
        <w:tc>
          <w:tcPr>
            <w:tcW w:w="61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C8E8EBB">
            <w:pPr>
              <w:keepNext w:val="0"/>
              <w:keepLines w:val="0"/>
              <w:widowControl/>
              <w:suppressLineNumbers w:val="0"/>
              <w:jc w:val="left"/>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3/16丝，材质304不锈钢，高压喷雾定制，防腐防堵漏。</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00D4549">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个</w:t>
            </w: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64ACB9E">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20</w:t>
            </w:r>
          </w:p>
        </w:tc>
      </w:tr>
      <w:tr w14:paraId="0FCF6A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904"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38C228F">
            <w:pPr>
              <w:jc w:val="center"/>
              <w:rPr>
                <w:rFonts w:hint="eastAsia" w:ascii="微软雅黑" w:hAnsi="微软雅黑" w:eastAsia="微软雅黑" w:cs="微软雅黑"/>
                <w:i w:val="0"/>
                <w:iCs w:val="0"/>
                <w:color w:val="000000"/>
                <w:sz w:val="20"/>
                <w:szCs w:val="20"/>
                <w:u w:val="none"/>
              </w:rPr>
            </w:pP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E4F1D1D">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Φ9.52直通双喷</w:t>
            </w:r>
          </w:p>
        </w:tc>
        <w:tc>
          <w:tcPr>
            <w:tcW w:w="61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49AE01B">
            <w:pPr>
              <w:keepNext w:val="0"/>
              <w:keepLines w:val="0"/>
              <w:widowControl/>
              <w:suppressLineNumbers w:val="0"/>
              <w:jc w:val="left"/>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3/16丝，材质120° 黄铜，高压喷雾定制，防腐防堵漏。</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76A7316">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个</w:t>
            </w: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91F8995">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1570</w:t>
            </w:r>
          </w:p>
        </w:tc>
      </w:tr>
      <w:tr w14:paraId="078FCA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904"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2BA77A2">
            <w:pPr>
              <w:jc w:val="center"/>
              <w:rPr>
                <w:rFonts w:hint="eastAsia" w:ascii="微软雅黑" w:hAnsi="微软雅黑" w:eastAsia="微软雅黑" w:cs="微软雅黑"/>
                <w:i w:val="0"/>
                <w:iCs w:val="0"/>
                <w:color w:val="000000"/>
                <w:sz w:val="20"/>
                <w:szCs w:val="20"/>
                <w:u w:val="none"/>
              </w:rPr>
            </w:pP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37C858C">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Φ9.52堵头双喷</w:t>
            </w:r>
          </w:p>
        </w:tc>
        <w:tc>
          <w:tcPr>
            <w:tcW w:w="61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B133F9D">
            <w:pPr>
              <w:keepNext w:val="0"/>
              <w:keepLines w:val="0"/>
              <w:widowControl/>
              <w:suppressLineNumbers w:val="0"/>
              <w:jc w:val="left"/>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3/16丝，材质120° 黄铜，高压喷雾定制，防腐防堵漏。</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2E1DE24">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个</w:t>
            </w: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0156A24">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140</w:t>
            </w:r>
          </w:p>
        </w:tc>
      </w:tr>
      <w:tr w14:paraId="2C1611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904"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54BD036">
            <w:pPr>
              <w:jc w:val="center"/>
              <w:rPr>
                <w:rFonts w:hint="eastAsia" w:ascii="微软雅黑" w:hAnsi="微软雅黑" w:eastAsia="微软雅黑" w:cs="微软雅黑"/>
                <w:i w:val="0"/>
                <w:iCs w:val="0"/>
                <w:color w:val="000000"/>
                <w:sz w:val="20"/>
                <w:szCs w:val="20"/>
                <w:u w:val="none"/>
              </w:rPr>
            </w:pP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9099B55">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Φ9.52卡环</w:t>
            </w:r>
          </w:p>
        </w:tc>
        <w:tc>
          <w:tcPr>
            <w:tcW w:w="61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37666B7">
            <w:pPr>
              <w:keepNext w:val="0"/>
              <w:keepLines w:val="0"/>
              <w:widowControl/>
              <w:suppressLineNumbers w:val="0"/>
              <w:jc w:val="left"/>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黄铜双卡、优质，专业定制。</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B42D9EA">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套</w:t>
            </w: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419F89A">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100</w:t>
            </w:r>
          </w:p>
        </w:tc>
      </w:tr>
      <w:tr w14:paraId="33212C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904"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0580BA1">
            <w:pPr>
              <w:jc w:val="center"/>
              <w:rPr>
                <w:rFonts w:hint="eastAsia" w:ascii="微软雅黑" w:hAnsi="微软雅黑" w:eastAsia="微软雅黑" w:cs="微软雅黑"/>
                <w:i w:val="0"/>
                <w:iCs w:val="0"/>
                <w:color w:val="000000"/>
                <w:sz w:val="20"/>
                <w:szCs w:val="20"/>
                <w:u w:val="none"/>
              </w:rPr>
            </w:pP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D734ADB">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小闷头</w:t>
            </w:r>
          </w:p>
        </w:tc>
        <w:tc>
          <w:tcPr>
            <w:tcW w:w="61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D2609C0">
            <w:pPr>
              <w:keepNext w:val="0"/>
              <w:keepLines w:val="0"/>
              <w:widowControl/>
              <w:suppressLineNumbers w:val="0"/>
              <w:jc w:val="left"/>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3/16丝；，专业定制。</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4A15AAC">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个</w:t>
            </w: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3AB20E8">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100</w:t>
            </w:r>
          </w:p>
        </w:tc>
      </w:tr>
      <w:tr w14:paraId="219E46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904"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1679009">
            <w:pPr>
              <w:jc w:val="center"/>
              <w:rPr>
                <w:rFonts w:hint="eastAsia" w:ascii="微软雅黑" w:hAnsi="微软雅黑" w:eastAsia="微软雅黑" w:cs="微软雅黑"/>
                <w:i w:val="0"/>
                <w:iCs w:val="0"/>
                <w:color w:val="000000"/>
                <w:sz w:val="20"/>
                <w:szCs w:val="20"/>
                <w:u w:val="none"/>
              </w:rPr>
            </w:pP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89D973B">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钢丝绳</w:t>
            </w:r>
          </w:p>
        </w:tc>
        <w:tc>
          <w:tcPr>
            <w:tcW w:w="61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30DF5DB">
            <w:pPr>
              <w:keepNext w:val="0"/>
              <w:keepLines w:val="0"/>
              <w:widowControl/>
              <w:suppressLineNumbers w:val="0"/>
              <w:jc w:val="left"/>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φ4mm。</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2028D9C">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米</w:t>
            </w: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2DC7BC1">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6500</w:t>
            </w:r>
          </w:p>
        </w:tc>
      </w:tr>
      <w:tr w14:paraId="2B593C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904"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4DB32FC">
            <w:pPr>
              <w:jc w:val="center"/>
              <w:rPr>
                <w:rFonts w:hint="eastAsia" w:ascii="微软雅黑" w:hAnsi="微软雅黑" w:eastAsia="微软雅黑" w:cs="微软雅黑"/>
                <w:i w:val="0"/>
                <w:iCs w:val="0"/>
                <w:color w:val="000000"/>
                <w:sz w:val="20"/>
                <w:szCs w:val="20"/>
                <w:u w:val="none"/>
              </w:rPr>
            </w:pP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2DD9458">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绳卡</w:t>
            </w:r>
          </w:p>
        </w:tc>
        <w:tc>
          <w:tcPr>
            <w:tcW w:w="61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996902F">
            <w:pPr>
              <w:keepNext w:val="0"/>
              <w:keepLines w:val="0"/>
              <w:widowControl/>
              <w:suppressLineNumbers w:val="0"/>
              <w:jc w:val="left"/>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8mm，材料铝合金。</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29E6C45">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个</w:t>
            </w: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3A23922">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600</w:t>
            </w:r>
          </w:p>
        </w:tc>
      </w:tr>
      <w:tr w14:paraId="54FAE2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904"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0E821B1">
            <w:pPr>
              <w:jc w:val="center"/>
              <w:rPr>
                <w:rFonts w:hint="eastAsia" w:ascii="微软雅黑" w:hAnsi="微软雅黑" w:eastAsia="微软雅黑" w:cs="微软雅黑"/>
                <w:i w:val="0"/>
                <w:iCs w:val="0"/>
                <w:color w:val="000000"/>
                <w:sz w:val="20"/>
                <w:szCs w:val="20"/>
                <w:u w:val="none"/>
              </w:rPr>
            </w:pP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A470A76">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花篮螺栓</w:t>
            </w:r>
          </w:p>
        </w:tc>
        <w:tc>
          <w:tcPr>
            <w:tcW w:w="61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5D739F2">
            <w:pPr>
              <w:keepNext w:val="0"/>
              <w:keepLines w:val="0"/>
              <w:widowControl/>
              <w:suppressLineNumbers w:val="0"/>
              <w:jc w:val="left"/>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M16热镀锌。</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76A1AAB">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个</w:t>
            </w: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7CA2E48">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300</w:t>
            </w:r>
          </w:p>
        </w:tc>
      </w:tr>
      <w:tr w14:paraId="536D24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904" w:type="dxa"/>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D8A54C7">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首部系统</w:t>
            </w: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02FE8F7">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管道离心泵</w:t>
            </w:r>
          </w:p>
        </w:tc>
        <w:tc>
          <w:tcPr>
            <w:tcW w:w="61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9ADB38F">
            <w:pPr>
              <w:keepNext w:val="0"/>
              <w:keepLines w:val="0"/>
              <w:widowControl/>
              <w:suppressLineNumbers w:val="0"/>
              <w:jc w:val="left"/>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功率不少于15KW，扬程不少于38米，流量不少于87m³/h，含法兰、接头，接口4寸，泵体为不锈钢材质。（一备一用）</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CF83897">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台</w:t>
            </w: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2BA92A8">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2</w:t>
            </w:r>
          </w:p>
        </w:tc>
      </w:tr>
      <w:tr w14:paraId="20372C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904"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FD873DE">
            <w:pPr>
              <w:jc w:val="center"/>
              <w:rPr>
                <w:rFonts w:hint="eastAsia" w:ascii="微软雅黑" w:hAnsi="微软雅黑" w:eastAsia="微软雅黑" w:cs="微软雅黑"/>
                <w:i w:val="0"/>
                <w:iCs w:val="0"/>
                <w:color w:val="000000"/>
                <w:sz w:val="20"/>
                <w:szCs w:val="20"/>
                <w:u w:val="none"/>
              </w:rPr>
            </w:pP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D0420B1">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污水泵</w:t>
            </w:r>
          </w:p>
        </w:tc>
        <w:tc>
          <w:tcPr>
            <w:tcW w:w="61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9EF06CD">
            <w:pPr>
              <w:keepNext w:val="0"/>
              <w:keepLines w:val="0"/>
              <w:widowControl/>
              <w:suppressLineNumbers w:val="0"/>
              <w:jc w:val="left"/>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功率不少于7.5KW,380V，扬程不少于25m，流量不少于45m³/h，接口不少于3寸，配套泵固定支架及过滤栏。</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DD6776F">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台</w:t>
            </w: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7E0E3D6">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1</w:t>
            </w:r>
          </w:p>
        </w:tc>
      </w:tr>
      <w:tr w14:paraId="1F23D6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904"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F45FE4D">
            <w:pPr>
              <w:jc w:val="center"/>
              <w:rPr>
                <w:rFonts w:hint="eastAsia" w:ascii="微软雅黑" w:hAnsi="微软雅黑" w:eastAsia="微软雅黑" w:cs="微软雅黑"/>
                <w:i w:val="0"/>
                <w:iCs w:val="0"/>
                <w:color w:val="000000"/>
                <w:sz w:val="20"/>
                <w:szCs w:val="20"/>
                <w:u w:val="none"/>
              </w:rPr>
            </w:pP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728F5B1">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智能高压喷雾一体机</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该主机为高压喷雾、打药、植保一体机（包含混液系统）</w:t>
            </w:r>
          </w:p>
        </w:tc>
        <w:tc>
          <w:tcPr>
            <w:tcW w:w="61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5BF90A0">
            <w:pPr>
              <w:keepNext w:val="0"/>
              <w:keepLines w:val="0"/>
              <w:widowControl/>
              <w:suppressLineNumbers w:val="0"/>
              <w:jc w:val="left"/>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1.功率不少于15KW；</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2.规格型号：WS/100-4-DY-LCD；</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3.电源：380VAC/3N+2/50HZ；</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4.流量L/min不少于100；</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5.时间段控制：支持6组定时开关；</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6.时间隔离：0S-99S；</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7.水泵类：高压柱塞泵；</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8.压力控制：变频恒压控制；</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9.设定压力范围：6～；7Mpa；</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10.频率范围：8-40HZ；</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11.机身尺寸：不少于（长X宽X高）1150*690*1270mm；</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12.抗震减噪机箱 防护等级IP34热熔胶减震系统吸音机舱防水进排风设计</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13.不滴水功能 开关机瞬间压力不足，迅速将管道余水回收到水箱，防止管道残余水分从喷头流出，避免造成连续性滴水对植物的损坏，造成生产环境及安全隐患；</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14.设备维保预警系统 保护功能全面升级，缺水保护、电机高温保护、漏电保护、过载保护、缺项保护、超压报警等26项故障保护系统；支持掉电保持、断电反馈功能，为安全生产保驾护航；</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15.设备故障报警系统 水质检测、爆管报警、喷头堵塞报警、0度提醒、滤芯更换提醒、泵油更换提醒等功能；</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16.支持对接智慧化控制系统：具有远程操控功能，异常报警停机设置等无人或夜间远程操作，除日常操作必备功能外，另新设滤芯更换提醒、泵油更换提醒等维护提醒，远离工作环境也可全盘操控。</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C39719C">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套</w:t>
            </w: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7F0C6CF">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1</w:t>
            </w:r>
          </w:p>
        </w:tc>
      </w:tr>
      <w:tr w14:paraId="1E76E6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904"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E87A89C">
            <w:pPr>
              <w:jc w:val="center"/>
              <w:rPr>
                <w:rFonts w:hint="eastAsia" w:ascii="微软雅黑" w:hAnsi="微软雅黑" w:eastAsia="微软雅黑" w:cs="微软雅黑"/>
                <w:i w:val="0"/>
                <w:iCs w:val="0"/>
                <w:color w:val="000000"/>
                <w:sz w:val="20"/>
                <w:szCs w:val="20"/>
                <w:u w:val="none"/>
              </w:rPr>
            </w:pP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DDF8C14">
            <w:pPr>
              <w:keepNext w:val="0"/>
              <w:keepLines w:val="0"/>
              <w:widowControl/>
              <w:suppressLineNumbers w:val="0"/>
              <w:jc w:val="center"/>
              <w:rPr>
                <w:rFonts w:hint="eastAsia" w:ascii="微软雅黑" w:hAnsi="微软雅黑" w:eastAsia="微软雅黑" w:cs="微软雅黑"/>
                <w:i w:val="0"/>
                <w:iCs w:val="0"/>
                <w:color w:val="000000"/>
                <w:sz w:val="20"/>
                <w:szCs w:val="20"/>
                <w:highlight w:val="none"/>
                <w:u w:val="none"/>
              </w:rPr>
            </w:pPr>
            <w:r>
              <w:rPr>
                <w:rFonts w:hint="eastAsia" w:ascii="微软雅黑" w:hAnsi="微软雅黑" w:eastAsia="微软雅黑" w:cs="微软雅黑"/>
                <w:i w:val="0"/>
                <w:iCs w:val="0"/>
                <w:color w:val="000000"/>
                <w:sz w:val="20"/>
                <w:szCs w:val="20"/>
                <w:highlight w:val="none"/>
                <w:u w:val="none"/>
                <w:lang w:val="en-US" w:eastAsia="zh-CN" w:bidi="ar"/>
              </w:rPr>
              <w:t>▲智能水肥一体机</w:t>
            </w:r>
          </w:p>
        </w:tc>
        <w:tc>
          <w:tcPr>
            <w:tcW w:w="61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DA6D632">
            <w:pPr>
              <w:keepNext w:val="0"/>
              <w:keepLines w:val="0"/>
              <w:widowControl/>
              <w:numPr>
                <w:ilvl w:val="0"/>
                <w:numId w:val="4"/>
              </w:numPr>
              <w:suppressLineNumbers w:val="0"/>
              <w:jc w:val="left"/>
              <w:rPr>
                <w:rFonts w:hint="eastAsia" w:ascii="微软雅黑" w:hAnsi="微软雅黑" w:eastAsia="微软雅黑" w:cs="微软雅黑"/>
                <w:i w:val="0"/>
                <w:iCs w:val="0"/>
                <w:color w:val="000000"/>
                <w:sz w:val="20"/>
                <w:szCs w:val="20"/>
                <w:highlight w:val="none"/>
                <w:u w:val="none"/>
                <w:lang w:val="en-US" w:eastAsia="zh-CN" w:bidi="ar"/>
              </w:rPr>
            </w:pPr>
            <w:r>
              <w:rPr>
                <w:rFonts w:hint="eastAsia" w:ascii="微软雅黑" w:hAnsi="微软雅黑" w:eastAsia="微软雅黑" w:cs="微软雅黑"/>
                <w:i w:val="0"/>
                <w:iCs w:val="0"/>
                <w:color w:val="000000"/>
                <w:sz w:val="20"/>
                <w:szCs w:val="20"/>
                <w:highlight w:val="none"/>
                <w:u w:val="none"/>
                <w:lang w:val="en-US" w:eastAsia="zh-CN" w:bidi="ar"/>
              </w:rPr>
              <w:t>通讯方式：同时支持4G/RS485//INTERNET；</w:t>
            </w:r>
            <w:r>
              <w:rPr>
                <w:rFonts w:hint="eastAsia" w:ascii="微软雅黑" w:hAnsi="微软雅黑" w:eastAsia="微软雅黑" w:cs="微软雅黑"/>
                <w:i w:val="0"/>
                <w:iCs w:val="0"/>
                <w:color w:val="000000"/>
                <w:sz w:val="20"/>
                <w:szCs w:val="20"/>
                <w:highlight w:val="none"/>
                <w:u w:val="none"/>
                <w:lang w:val="en-US" w:eastAsia="zh-CN" w:bidi="ar"/>
              </w:rPr>
              <w:br w:type="textWrapping"/>
            </w:r>
            <w:r>
              <w:rPr>
                <w:rFonts w:hint="eastAsia" w:ascii="微软雅黑" w:hAnsi="微软雅黑" w:eastAsia="微软雅黑" w:cs="微软雅黑"/>
                <w:i w:val="0"/>
                <w:iCs w:val="0"/>
                <w:color w:val="000000"/>
                <w:sz w:val="20"/>
                <w:szCs w:val="20"/>
                <w:highlight w:val="none"/>
                <w:u w:val="none"/>
                <w:lang w:val="en-US" w:eastAsia="zh-CN" w:bidi="ar"/>
              </w:rPr>
              <w:t>(2) 电磁阀可控数量：0~64；</w:t>
            </w:r>
            <w:r>
              <w:rPr>
                <w:rFonts w:hint="eastAsia" w:ascii="微软雅黑" w:hAnsi="微软雅黑" w:eastAsia="微软雅黑" w:cs="微软雅黑"/>
                <w:i w:val="0"/>
                <w:iCs w:val="0"/>
                <w:color w:val="000000"/>
                <w:sz w:val="20"/>
                <w:szCs w:val="20"/>
                <w:highlight w:val="none"/>
                <w:u w:val="none"/>
                <w:lang w:val="en-US" w:eastAsia="zh-CN" w:bidi="ar"/>
              </w:rPr>
              <w:br w:type="textWrapping"/>
            </w:r>
            <w:r>
              <w:rPr>
                <w:rFonts w:hint="eastAsia" w:ascii="微软雅黑" w:hAnsi="微软雅黑" w:eastAsia="微软雅黑" w:cs="微软雅黑"/>
                <w:i w:val="0"/>
                <w:iCs w:val="0"/>
                <w:color w:val="000000"/>
                <w:sz w:val="20"/>
                <w:szCs w:val="20"/>
                <w:highlight w:val="none"/>
                <w:u w:val="none"/>
                <w:lang w:val="en-US" w:eastAsia="zh-CN" w:bidi="ar"/>
              </w:rPr>
              <w:t>(3) 工业级别IP65防潮防水，10寸以上全封闭A规屏；</w:t>
            </w:r>
            <w:r>
              <w:rPr>
                <w:rFonts w:hint="eastAsia" w:ascii="微软雅黑" w:hAnsi="微软雅黑" w:eastAsia="微软雅黑" w:cs="微软雅黑"/>
                <w:i w:val="0"/>
                <w:iCs w:val="0"/>
                <w:color w:val="000000"/>
                <w:sz w:val="20"/>
                <w:szCs w:val="20"/>
                <w:highlight w:val="none"/>
                <w:u w:val="none"/>
                <w:lang w:val="en-US" w:eastAsia="zh-CN" w:bidi="ar"/>
              </w:rPr>
              <w:br w:type="textWrapping"/>
            </w:r>
            <w:r>
              <w:rPr>
                <w:rFonts w:hint="eastAsia" w:ascii="微软雅黑" w:hAnsi="微软雅黑" w:eastAsia="微软雅黑" w:cs="微软雅黑"/>
                <w:i w:val="0"/>
                <w:iCs w:val="0"/>
                <w:color w:val="000000"/>
                <w:sz w:val="20"/>
                <w:szCs w:val="20"/>
                <w:highlight w:val="none"/>
                <w:u w:val="none"/>
                <w:lang w:val="en-US" w:eastAsia="zh-CN" w:bidi="ar"/>
              </w:rPr>
              <w:t>(4) 能对混肥系统，变频泵及控制柜，电磁阀进行控制，对传感器的数据进行上报；</w:t>
            </w:r>
            <w:r>
              <w:rPr>
                <w:rFonts w:hint="eastAsia" w:ascii="微软雅黑" w:hAnsi="微软雅黑" w:eastAsia="微软雅黑" w:cs="微软雅黑"/>
                <w:i w:val="0"/>
                <w:iCs w:val="0"/>
                <w:color w:val="000000"/>
                <w:sz w:val="20"/>
                <w:szCs w:val="20"/>
                <w:highlight w:val="none"/>
                <w:u w:val="none"/>
                <w:lang w:val="en-US" w:eastAsia="zh-CN" w:bidi="ar"/>
              </w:rPr>
              <w:br w:type="textWrapping"/>
            </w:r>
            <w:r>
              <w:rPr>
                <w:rFonts w:hint="eastAsia" w:ascii="微软雅黑" w:hAnsi="微软雅黑" w:eastAsia="微软雅黑" w:cs="微软雅黑"/>
                <w:i w:val="0"/>
                <w:iCs w:val="0"/>
                <w:color w:val="000000"/>
                <w:sz w:val="20"/>
                <w:szCs w:val="20"/>
                <w:highlight w:val="none"/>
                <w:u w:val="none"/>
                <w:lang w:val="en-US" w:eastAsia="zh-CN" w:bidi="ar"/>
              </w:rPr>
              <w:t>(5) 灌溉模式：分区循环、定时控制、定量控制、联动控制，可根据不同时段自动调整灌溉时间。控制软件可以根据用户要求编写；</w:t>
            </w:r>
            <w:r>
              <w:rPr>
                <w:rFonts w:hint="eastAsia" w:ascii="微软雅黑" w:hAnsi="微软雅黑" w:eastAsia="微软雅黑" w:cs="微软雅黑"/>
                <w:i w:val="0"/>
                <w:iCs w:val="0"/>
                <w:color w:val="000000"/>
                <w:sz w:val="20"/>
                <w:szCs w:val="20"/>
                <w:highlight w:val="none"/>
                <w:u w:val="none"/>
                <w:lang w:val="en-US" w:eastAsia="zh-CN" w:bidi="ar"/>
              </w:rPr>
              <w:br w:type="textWrapping"/>
            </w:r>
            <w:r>
              <w:rPr>
                <w:rFonts w:hint="eastAsia" w:ascii="微软雅黑" w:hAnsi="微软雅黑" w:eastAsia="微软雅黑" w:cs="微软雅黑"/>
                <w:i w:val="0"/>
                <w:iCs w:val="0"/>
                <w:color w:val="000000"/>
                <w:sz w:val="20"/>
                <w:szCs w:val="20"/>
                <w:highlight w:val="none"/>
                <w:u w:val="none"/>
                <w:lang w:val="en-US" w:eastAsia="zh-CN" w:bidi="ar"/>
              </w:rPr>
              <w:t>(6) 可以实时监测注肥总量和瞬时注肥量,各类故障实时监测和报警，采用计量精准取肥。</w:t>
            </w:r>
          </w:p>
          <w:p w14:paraId="0ED3DFC9">
            <w:pPr>
              <w:pStyle w:val="2"/>
              <w:numPr>
                <w:ilvl w:val="0"/>
                <w:numId w:val="0"/>
              </w:numPr>
              <w:rPr>
                <w:rFonts w:hint="eastAsia"/>
                <w:highlight w:val="none"/>
              </w:rPr>
            </w:pPr>
            <w:r>
              <w:rPr>
                <w:rFonts w:hint="eastAsia" w:ascii="微软雅黑" w:hAnsi="微软雅黑" w:eastAsia="微软雅黑" w:cs="微软雅黑"/>
                <w:i w:val="0"/>
                <w:iCs w:val="0"/>
                <w:color w:val="000000"/>
                <w:sz w:val="20"/>
                <w:szCs w:val="20"/>
                <w:highlight w:val="none"/>
                <w:u w:val="none"/>
                <w:lang w:val="en-US" w:eastAsia="zh-CN" w:bidi="ar"/>
              </w:rPr>
              <w:t>（▲提供关于施肥装置相关的发明专利证书的原件扫描件。）</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E3D2B56">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套</w:t>
            </w: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DA82696">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1</w:t>
            </w:r>
          </w:p>
        </w:tc>
      </w:tr>
      <w:tr w14:paraId="303901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904"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7D366C3">
            <w:pPr>
              <w:jc w:val="center"/>
              <w:rPr>
                <w:rFonts w:hint="eastAsia" w:ascii="微软雅黑" w:hAnsi="微软雅黑" w:eastAsia="微软雅黑" w:cs="微软雅黑"/>
                <w:i w:val="0"/>
                <w:iCs w:val="0"/>
                <w:color w:val="000000"/>
                <w:sz w:val="20"/>
                <w:szCs w:val="20"/>
                <w:u w:val="none"/>
              </w:rPr>
            </w:pP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84D9453">
            <w:pPr>
              <w:keepNext w:val="0"/>
              <w:keepLines w:val="0"/>
              <w:widowControl/>
              <w:suppressLineNumbers w:val="0"/>
              <w:jc w:val="center"/>
              <w:rPr>
                <w:rFonts w:hint="eastAsia" w:ascii="微软雅黑" w:hAnsi="微软雅黑" w:eastAsia="微软雅黑" w:cs="微软雅黑"/>
                <w:i w:val="0"/>
                <w:iCs w:val="0"/>
                <w:color w:val="000000"/>
                <w:sz w:val="20"/>
                <w:szCs w:val="20"/>
                <w:highlight w:val="none"/>
                <w:u w:val="none"/>
              </w:rPr>
            </w:pPr>
            <w:r>
              <w:rPr>
                <w:rFonts w:hint="eastAsia" w:ascii="微软雅黑" w:hAnsi="微软雅黑" w:eastAsia="微软雅黑" w:cs="微软雅黑"/>
                <w:i w:val="0"/>
                <w:iCs w:val="0"/>
                <w:color w:val="000000"/>
                <w:sz w:val="20"/>
                <w:szCs w:val="20"/>
                <w:highlight w:val="none"/>
                <w:u w:val="none"/>
                <w:lang w:val="en-US" w:eastAsia="zh-CN" w:bidi="ar"/>
              </w:rPr>
              <w:t>▲混肥系统</w:t>
            </w:r>
          </w:p>
        </w:tc>
        <w:tc>
          <w:tcPr>
            <w:tcW w:w="61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042270B">
            <w:pPr>
              <w:keepNext w:val="0"/>
              <w:keepLines w:val="0"/>
              <w:widowControl/>
              <w:numPr>
                <w:ilvl w:val="0"/>
                <w:numId w:val="5"/>
              </w:numPr>
              <w:suppressLineNumbers w:val="0"/>
              <w:jc w:val="left"/>
              <w:rPr>
                <w:rFonts w:hint="eastAsia" w:ascii="微软雅黑" w:hAnsi="微软雅黑" w:eastAsia="微软雅黑" w:cs="微软雅黑"/>
                <w:i w:val="0"/>
                <w:iCs w:val="0"/>
                <w:color w:val="000000"/>
                <w:sz w:val="20"/>
                <w:szCs w:val="20"/>
                <w:highlight w:val="none"/>
                <w:u w:val="none"/>
                <w:lang w:val="en-US" w:eastAsia="zh-CN" w:bidi="ar"/>
              </w:rPr>
            </w:pPr>
            <w:r>
              <w:rPr>
                <w:rFonts w:hint="eastAsia" w:ascii="微软雅黑" w:hAnsi="微软雅黑" w:eastAsia="微软雅黑" w:cs="微软雅黑"/>
                <w:i w:val="0"/>
                <w:iCs w:val="0"/>
                <w:color w:val="000000"/>
                <w:sz w:val="20"/>
                <w:szCs w:val="20"/>
                <w:highlight w:val="none"/>
                <w:u w:val="none"/>
                <w:lang w:val="en-US" w:eastAsia="zh-CN" w:bidi="ar"/>
              </w:rPr>
              <w:t>吸肥量&gt;3*500L/H；三通道,冗余一个备用通道；</w:t>
            </w:r>
            <w:r>
              <w:rPr>
                <w:rFonts w:hint="eastAsia" w:ascii="微软雅黑" w:hAnsi="微软雅黑" w:eastAsia="微软雅黑" w:cs="微软雅黑"/>
                <w:i w:val="0"/>
                <w:iCs w:val="0"/>
                <w:color w:val="000000"/>
                <w:sz w:val="20"/>
                <w:szCs w:val="20"/>
                <w:highlight w:val="none"/>
                <w:u w:val="none"/>
                <w:lang w:val="en-US" w:eastAsia="zh-CN" w:bidi="ar"/>
              </w:rPr>
              <w:br w:type="textWrapping"/>
            </w:r>
            <w:r>
              <w:rPr>
                <w:rFonts w:hint="eastAsia" w:ascii="微软雅黑" w:hAnsi="微软雅黑" w:eastAsia="微软雅黑" w:cs="微软雅黑"/>
                <w:i w:val="0"/>
                <w:iCs w:val="0"/>
                <w:color w:val="000000"/>
                <w:sz w:val="20"/>
                <w:szCs w:val="20"/>
                <w:highlight w:val="none"/>
                <w:u w:val="none"/>
                <w:lang w:val="en-US" w:eastAsia="zh-CN" w:bidi="ar"/>
              </w:rPr>
              <w:t>(2) 总设备功率&gt;2.0KW；</w:t>
            </w:r>
            <w:r>
              <w:rPr>
                <w:rFonts w:hint="eastAsia" w:ascii="微软雅黑" w:hAnsi="微软雅黑" w:eastAsia="微软雅黑" w:cs="微软雅黑"/>
                <w:i w:val="0"/>
                <w:iCs w:val="0"/>
                <w:color w:val="000000"/>
                <w:sz w:val="20"/>
                <w:szCs w:val="20"/>
                <w:highlight w:val="none"/>
                <w:u w:val="none"/>
                <w:lang w:val="en-US" w:eastAsia="zh-CN" w:bidi="ar"/>
              </w:rPr>
              <w:br w:type="textWrapping"/>
            </w:r>
            <w:r>
              <w:rPr>
                <w:rFonts w:hint="eastAsia" w:ascii="微软雅黑" w:hAnsi="微软雅黑" w:eastAsia="微软雅黑" w:cs="微软雅黑"/>
                <w:i w:val="0"/>
                <w:iCs w:val="0"/>
                <w:color w:val="000000"/>
                <w:sz w:val="20"/>
                <w:szCs w:val="20"/>
                <w:highlight w:val="none"/>
                <w:u w:val="none"/>
                <w:lang w:val="en-US" w:eastAsia="zh-CN" w:bidi="ar"/>
              </w:rPr>
              <w:t>(3) 组件压力：0.1~0.6MPa；</w:t>
            </w:r>
            <w:r>
              <w:rPr>
                <w:rFonts w:hint="eastAsia" w:ascii="微软雅黑" w:hAnsi="微软雅黑" w:eastAsia="微软雅黑" w:cs="微软雅黑"/>
                <w:i w:val="0"/>
                <w:iCs w:val="0"/>
                <w:color w:val="000000"/>
                <w:sz w:val="20"/>
                <w:szCs w:val="20"/>
                <w:highlight w:val="none"/>
                <w:u w:val="none"/>
                <w:lang w:val="en-US" w:eastAsia="zh-CN" w:bidi="ar"/>
              </w:rPr>
              <w:br w:type="textWrapping"/>
            </w:r>
            <w:r>
              <w:rPr>
                <w:rFonts w:hint="eastAsia" w:ascii="微软雅黑" w:hAnsi="微软雅黑" w:eastAsia="微软雅黑" w:cs="微软雅黑"/>
                <w:i w:val="0"/>
                <w:iCs w:val="0"/>
                <w:color w:val="000000"/>
                <w:sz w:val="20"/>
                <w:szCs w:val="20"/>
                <w:highlight w:val="none"/>
                <w:u w:val="none"/>
                <w:lang w:val="en-US" w:eastAsia="zh-CN" w:bidi="ar"/>
              </w:rPr>
              <w:t>(4) 支持EC、PH在线监测；肥料桶容积不少于500L，材料为线性低密度聚乙烯LLDPE，具有智能搅拌功能；管材为UPVC材质，耐腐蚀；</w:t>
            </w:r>
            <w:r>
              <w:rPr>
                <w:rFonts w:hint="eastAsia" w:ascii="微软雅黑" w:hAnsi="微软雅黑" w:eastAsia="微软雅黑" w:cs="微软雅黑"/>
                <w:i w:val="0"/>
                <w:iCs w:val="0"/>
                <w:color w:val="000000"/>
                <w:sz w:val="20"/>
                <w:szCs w:val="20"/>
                <w:highlight w:val="none"/>
                <w:u w:val="none"/>
                <w:lang w:val="en-US" w:eastAsia="zh-CN" w:bidi="ar"/>
              </w:rPr>
              <w:br w:type="textWrapping"/>
            </w:r>
            <w:r>
              <w:rPr>
                <w:rFonts w:hint="eastAsia" w:ascii="微软雅黑" w:hAnsi="微软雅黑" w:eastAsia="微软雅黑" w:cs="微软雅黑"/>
                <w:i w:val="0"/>
                <w:iCs w:val="0"/>
                <w:color w:val="000000"/>
                <w:sz w:val="20"/>
                <w:szCs w:val="20"/>
                <w:highlight w:val="none"/>
                <w:u w:val="none"/>
                <w:lang w:val="en-US" w:eastAsia="zh-CN" w:bidi="ar"/>
              </w:rPr>
              <w:t>(5) 运行模式：可在水肥一体机离线的情况下手动设置各项参数并可手动运行，也可与水肥一体机建立通讯后联动控制。</w:t>
            </w:r>
          </w:p>
          <w:p w14:paraId="0A1E7B4A">
            <w:pPr>
              <w:pStyle w:val="2"/>
              <w:numPr>
                <w:ilvl w:val="0"/>
                <w:numId w:val="0"/>
              </w:numPr>
              <w:rPr>
                <w:rFonts w:hint="eastAsia"/>
                <w:highlight w:val="none"/>
              </w:rPr>
            </w:pPr>
            <w:r>
              <w:rPr>
                <w:rFonts w:hint="eastAsia" w:ascii="微软雅黑" w:hAnsi="微软雅黑" w:eastAsia="微软雅黑" w:cs="微软雅黑"/>
                <w:i w:val="0"/>
                <w:iCs w:val="0"/>
                <w:color w:val="000000"/>
                <w:sz w:val="20"/>
                <w:szCs w:val="20"/>
                <w:highlight w:val="none"/>
                <w:u w:val="none"/>
                <w:lang w:val="en-US" w:eastAsia="zh-CN" w:bidi="ar"/>
              </w:rPr>
              <w:t>（▲提供关于固、液混合喷洒相关的发明专利证书的原件扫描件。）</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8281528">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套</w:t>
            </w: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E0A2BFF">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1</w:t>
            </w:r>
          </w:p>
        </w:tc>
      </w:tr>
      <w:tr w14:paraId="1547A3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904"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CDB8B78">
            <w:pPr>
              <w:jc w:val="center"/>
              <w:rPr>
                <w:rFonts w:hint="eastAsia" w:ascii="微软雅黑" w:hAnsi="微软雅黑" w:eastAsia="微软雅黑" w:cs="微软雅黑"/>
                <w:i w:val="0"/>
                <w:iCs w:val="0"/>
                <w:color w:val="000000"/>
                <w:sz w:val="20"/>
                <w:szCs w:val="20"/>
                <w:u w:val="none"/>
              </w:rPr>
            </w:pP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E9A279A">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离心砂石过滤器</w:t>
            </w:r>
          </w:p>
        </w:tc>
        <w:tc>
          <w:tcPr>
            <w:tcW w:w="61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AAC3A3C">
            <w:pPr>
              <w:keepNext w:val="0"/>
              <w:keepLines w:val="0"/>
              <w:widowControl/>
              <w:suppressLineNumbers w:val="0"/>
              <w:jc w:val="left"/>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接口4寸，流量不少于100m³/h，含法兰、接头；</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B33F1EB">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台</w:t>
            </w: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7C7AEC6">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1</w:t>
            </w:r>
          </w:p>
        </w:tc>
      </w:tr>
      <w:tr w14:paraId="6B2673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904"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A30E90C">
            <w:pPr>
              <w:jc w:val="center"/>
              <w:rPr>
                <w:rFonts w:hint="eastAsia" w:ascii="微软雅黑" w:hAnsi="微软雅黑" w:eastAsia="微软雅黑" w:cs="微软雅黑"/>
                <w:i w:val="0"/>
                <w:iCs w:val="0"/>
                <w:color w:val="000000"/>
                <w:sz w:val="20"/>
                <w:szCs w:val="20"/>
                <w:u w:val="none"/>
              </w:rPr>
            </w:pP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CA8E18A">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自动砂石反冲洗过滤器</w:t>
            </w:r>
          </w:p>
        </w:tc>
        <w:tc>
          <w:tcPr>
            <w:tcW w:w="61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C6D1356">
            <w:pPr>
              <w:keepNext w:val="0"/>
              <w:keepLines w:val="0"/>
              <w:widowControl/>
              <w:suppressLineNumbers w:val="0"/>
              <w:jc w:val="left"/>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（1）进出水管：4寸；</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（2）流量不少于100m³/h，过滤精度200目；</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（3）双罐体，罐体φ900mm；</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（4）具有自动排气，压力传感等功能；</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（5）含法兰、接头。</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8F47127">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台</w:t>
            </w: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4B58DDB">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1</w:t>
            </w:r>
          </w:p>
        </w:tc>
      </w:tr>
      <w:tr w14:paraId="6EDC6E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904"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81E1FD5">
            <w:pPr>
              <w:jc w:val="center"/>
              <w:rPr>
                <w:rFonts w:hint="eastAsia" w:ascii="微软雅黑" w:hAnsi="微软雅黑" w:eastAsia="微软雅黑" w:cs="微软雅黑"/>
                <w:i w:val="0"/>
                <w:iCs w:val="0"/>
                <w:color w:val="000000"/>
                <w:sz w:val="20"/>
                <w:szCs w:val="20"/>
                <w:u w:val="none"/>
              </w:rPr>
            </w:pP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3AA3891">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自动碟片反冲洗过滤器</w:t>
            </w:r>
          </w:p>
        </w:tc>
        <w:tc>
          <w:tcPr>
            <w:tcW w:w="61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61A6EFE">
            <w:pPr>
              <w:keepNext w:val="0"/>
              <w:keepLines w:val="0"/>
              <w:widowControl/>
              <w:suppressLineNumbers w:val="0"/>
              <w:jc w:val="left"/>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（1）进出水管：4寸；</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（2）流量不少于96m³/h，过滤精度120目；</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（3）3单元并联；</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（4）具有自动排气，压力传感等功能；</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（5）含法兰、接头。</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5BFB9BE">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台</w:t>
            </w: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4432C4D">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1</w:t>
            </w:r>
          </w:p>
        </w:tc>
      </w:tr>
      <w:tr w14:paraId="5DD680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904"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BE98726">
            <w:pPr>
              <w:jc w:val="center"/>
              <w:rPr>
                <w:rFonts w:hint="eastAsia" w:ascii="微软雅黑" w:hAnsi="微软雅黑" w:eastAsia="微软雅黑" w:cs="微软雅黑"/>
                <w:i w:val="0"/>
                <w:iCs w:val="0"/>
                <w:color w:val="000000"/>
                <w:sz w:val="20"/>
                <w:szCs w:val="20"/>
                <w:u w:val="none"/>
              </w:rPr>
            </w:pP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44AD99C">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紫外线消毒系统</w:t>
            </w:r>
          </w:p>
        </w:tc>
        <w:tc>
          <w:tcPr>
            <w:tcW w:w="61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3280836">
            <w:pPr>
              <w:keepNext w:val="0"/>
              <w:keepLines w:val="0"/>
              <w:widowControl/>
              <w:suppressLineNumbers w:val="0"/>
              <w:jc w:val="left"/>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1.功率1080w，电压220V；</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2.处理水量不少于100m³/h；</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3.进出水直径：DN100。</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CF3C8AF">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台</w:t>
            </w: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6D08918">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1</w:t>
            </w:r>
          </w:p>
        </w:tc>
      </w:tr>
      <w:tr w14:paraId="767A83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904"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411F8B7">
            <w:pPr>
              <w:jc w:val="center"/>
              <w:rPr>
                <w:rFonts w:hint="eastAsia" w:ascii="微软雅黑" w:hAnsi="微软雅黑" w:eastAsia="微软雅黑" w:cs="微软雅黑"/>
                <w:i w:val="0"/>
                <w:iCs w:val="0"/>
                <w:color w:val="000000"/>
                <w:sz w:val="20"/>
                <w:szCs w:val="20"/>
                <w:u w:val="none"/>
              </w:rPr>
            </w:pP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48F4E1E">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智能数显压力变送器</w:t>
            </w:r>
          </w:p>
        </w:tc>
        <w:tc>
          <w:tcPr>
            <w:tcW w:w="61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0E905DA">
            <w:pPr>
              <w:keepNext w:val="0"/>
              <w:keepLines w:val="0"/>
              <w:widowControl/>
              <w:suppressLineNumbers w:val="0"/>
              <w:jc w:val="left"/>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1.产品名称:国产智能数显压力变送器；</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2.供电电源:4-20mA(10-32宽电压)；</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3.输出信号:4-20mA、1-5V、0-10V、RS485；</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4.量程范围:-0.1~1.6Mpa；</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5.补偿温度:-10~70℃；</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6.介质温度:-20~85℃；</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7.存储温度:-20~85℃；</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8.外壳防护:IP65；</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9.测量介质:水气体液体；</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10.压力类型:表压绝压密封压；</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11.综合精度:0.5级；</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12.零点温度漂移:±0.03%FS/℃；</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13.灵敏度温度漂移:±0.03%FS/C；</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14.过载压力:150%FS(0.035-10pa)；</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15.响应时间:电流输出信号≤10ms；</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16.长期稳定性:≤0.2%FS/年。</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71CD3CB">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只</w:t>
            </w: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E4C5C55">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1</w:t>
            </w:r>
          </w:p>
        </w:tc>
      </w:tr>
      <w:tr w14:paraId="19660F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904"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5A1AC1C">
            <w:pPr>
              <w:jc w:val="center"/>
              <w:rPr>
                <w:rFonts w:hint="eastAsia" w:ascii="微软雅黑" w:hAnsi="微软雅黑" w:eastAsia="微软雅黑" w:cs="微软雅黑"/>
                <w:i w:val="0"/>
                <w:iCs w:val="0"/>
                <w:color w:val="000000"/>
                <w:sz w:val="20"/>
                <w:szCs w:val="20"/>
                <w:u w:val="none"/>
              </w:rPr>
            </w:pP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5C27F9D">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智能数显电磁流量计</w:t>
            </w:r>
          </w:p>
        </w:tc>
        <w:tc>
          <w:tcPr>
            <w:tcW w:w="61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BD0353B">
            <w:pPr>
              <w:keepNext w:val="0"/>
              <w:keepLines w:val="0"/>
              <w:widowControl/>
              <w:suppressLineNumbers w:val="0"/>
              <w:jc w:val="left"/>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1.产品名称：国产智能电磁流量计；</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2.执行标准：JB/T9248-1999；</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3.公称压力：耐压1.6MPA；</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4.测量精度：0.50%；</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5.量程比：10比1；</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6.防护等级：IP65；</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7.输出信号：4-20MA.脉冲输出；</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8.串口通讯：RS485标准Modbus；</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9.供电方式：220V/24V双供电；</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10.衬里材质：四氟衬里；</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11.工作环境：传感器:-25-180℃，显示器-10-60°C；</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12.测量范围：10-100m3/h；</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13.适用介质：各类导电液体，如:生活污水、化工废水、自来水、农田灌溉、一定浓度的酸碱盐溶液。</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8335C33">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只</w:t>
            </w: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8AC27FB">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1</w:t>
            </w:r>
          </w:p>
        </w:tc>
      </w:tr>
      <w:tr w14:paraId="7C6F73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904"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D55C4DE">
            <w:pPr>
              <w:jc w:val="center"/>
              <w:rPr>
                <w:rFonts w:hint="eastAsia" w:ascii="微软雅黑" w:hAnsi="微软雅黑" w:eastAsia="微软雅黑" w:cs="微软雅黑"/>
                <w:i w:val="0"/>
                <w:iCs w:val="0"/>
                <w:color w:val="000000"/>
                <w:sz w:val="20"/>
                <w:szCs w:val="20"/>
                <w:u w:val="none"/>
              </w:rPr>
            </w:pP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3000DF7">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纯水箱</w:t>
            </w:r>
          </w:p>
        </w:tc>
        <w:tc>
          <w:tcPr>
            <w:tcW w:w="61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AFEC6F8">
            <w:pPr>
              <w:keepNext w:val="0"/>
              <w:keepLines w:val="0"/>
              <w:widowControl/>
              <w:suppressLineNumbers w:val="0"/>
              <w:jc w:val="left"/>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PE材质，容量不少于8m³，含液位监测系统、辅材。</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11CC411">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只</w:t>
            </w: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A3303D3">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1</w:t>
            </w:r>
          </w:p>
        </w:tc>
      </w:tr>
      <w:tr w14:paraId="52913D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904"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AE0E362">
            <w:pPr>
              <w:jc w:val="center"/>
              <w:rPr>
                <w:rFonts w:hint="eastAsia" w:ascii="微软雅黑" w:hAnsi="微软雅黑" w:eastAsia="微软雅黑" w:cs="微软雅黑"/>
                <w:i w:val="0"/>
                <w:iCs w:val="0"/>
                <w:color w:val="000000"/>
                <w:sz w:val="20"/>
                <w:szCs w:val="20"/>
                <w:u w:val="none"/>
              </w:rPr>
            </w:pP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85DA370">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RO水处理系统</w:t>
            </w:r>
          </w:p>
        </w:tc>
        <w:tc>
          <w:tcPr>
            <w:tcW w:w="61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37E2ECF">
            <w:pPr>
              <w:keepNext w:val="0"/>
              <w:keepLines w:val="0"/>
              <w:widowControl/>
              <w:suppressLineNumbers w:val="0"/>
              <w:jc w:val="left"/>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系统总进水量：≥3m3/hr，系统产水量：2m3/hr@25℃，反渗透产水水质：脱盐率≥98%，终端产水水质：原水电导率≤1500us/cm，产水电导率≤300us/cm。运行方式：PLC微电脑集中控制，系统相关设备受液位联锁控制全自动运行（并具备手动功能）；具有进水低压保护、泵过载保护、背压保护等功能，确保净水设备的正常运行；执行机构的设计采用标准化、通用化、系统化零部件，便于拆装、更换、清洗零件；系统结构布置紧凑，占地面积小，有效节约空间；预处理冲洗全自动，无需人员管理；电源：380V 50Hz 3相；进水压力0.1-0.4MPa，环境温度4-40℃，禁止超范围使用；进出水口：进DN32，出DN25，排水口DN25；设备特征：纯水液位保护功能、原水液位保护功能、断水保护功能、高低压保护功能、电机综合保护器、设备自动冲洗功能。</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AADA7B9">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台</w:t>
            </w: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73E320A">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1</w:t>
            </w:r>
          </w:p>
        </w:tc>
      </w:tr>
      <w:tr w14:paraId="75C2F5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904" w:type="dxa"/>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E683D80">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电气控制</w:t>
            </w: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CAF532C">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控制柜（一拖二）</w:t>
            </w:r>
          </w:p>
        </w:tc>
        <w:tc>
          <w:tcPr>
            <w:tcW w:w="61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809BE02">
            <w:pPr>
              <w:keepNext w:val="0"/>
              <w:keepLines w:val="0"/>
              <w:widowControl/>
              <w:suppressLineNumbers w:val="0"/>
              <w:jc w:val="left"/>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a.水箱补水与液位控制；</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b.灌溉水泵控制：大功率水泵启停保护、根据设定压力自动调节水泵频率，保证工作压力的同时保护灌溉管理；</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c.可在水肥一体机离线的情况下手动设置各项参数并可手动运行，也可与水肥一体机建立通讯后联动控制；</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(1)变频器功率：15KW，输入电压380V，频率50/60HZ，电压允许变动范围340V~460V。输出电压0~460V，频率0~300HZ；</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(2)过载能力为额定电流120%1分钟；显示参数：不少于7寸彩色四线电容式 LCD触摸屏，26万色以上真彩显示；</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 xml:space="preserve">(3)通讯模块：2路以上RS232/422/485通信、1路以上RJ45网口； </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(4)具有压力传感系统，进行压力闭环控制，可控压力范围：0-5MPa；</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(5)运行模式：变频控制柜可在水肥一体机离线的情况下手动设置各项参数并可手动运行，也可与水肥一体机建立通讯后联动控制；</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(6)柜体尺寸：不少于600*1500*370mm；</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(7)水箱控制：液位检测器一套。</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4E5730E">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套</w:t>
            </w: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150EEF0">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1</w:t>
            </w:r>
          </w:p>
        </w:tc>
      </w:tr>
      <w:tr w14:paraId="0D0D2D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904"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C57B615">
            <w:pPr>
              <w:jc w:val="center"/>
              <w:rPr>
                <w:rFonts w:hint="eastAsia" w:ascii="微软雅黑" w:hAnsi="微软雅黑" w:eastAsia="微软雅黑" w:cs="微软雅黑"/>
                <w:i w:val="0"/>
                <w:iCs w:val="0"/>
                <w:color w:val="000000"/>
                <w:sz w:val="20"/>
                <w:szCs w:val="20"/>
                <w:u w:val="none"/>
              </w:rPr>
            </w:pP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7AB207D">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电磁阀的网关，解码器</w:t>
            </w:r>
          </w:p>
        </w:tc>
        <w:tc>
          <w:tcPr>
            <w:tcW w:w="61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3BB4F89">
            <w:pPr>
              <w:keepNext w:val="0"/>
              <w:keepLines w:val="0"/>
              <w:widowControl/>
              <w:suppressLineNumbers w:val="0"/>
              <w:jc w:val="left"/>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(1)通讯方式：采用4G或lora通讯，载波通讯均可。</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(2)能够与主机实时通讯，上报当前状态。</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(3)能够实时接收水肥机（高压雾化主机）的指令打开和关闭电磁阀。</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(4)电磁阀具备即插即用。</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(5)电磁阀类别：灌溉电磁阀15只和高压雾化电磁阀16只。</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(6)含供电线路。</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254BFF7">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套</w:t>
            </w: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D4F1D80">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31</w:t>
            </w:r>
          </w:p>
        </w:tc>
      </w:tr>
      <w:tr w14:paraId="51F59D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904"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9AC10B7">
            <w:pPr>
              <w:jc w:val="center"/>
              <w:rPr>
                <w:rFonts w:hint="eastAsia" w:ascii="微软雅黑" w:hAnsi="微软雅黑" w:eastAsia="微软雅黑" w:cs="微软雅黑"/>
                <w:i w:val="0"/>
                <w:iCs w:val="0"/>
                <w:color w:val="000000"/>
                <w:sz w:val="20"/>
                <w:szCs w:val="20"/>
                <w:u w:val="none"/>
              </w:rPr>
            </w:pP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AC6A80F">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控制软件</w:t>
            </w:r>
          </w:p>
        </w:tc>
        <w:tc>
          <w:tcPr>
            <w:tcW w:w="61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6CC5E3B">
            <w:pPr>
              <w:keepNext w:val="0"/>
              <w:keepLines w:val="0"/>
              <w:widowControl/>
              <w:suppressLineNumbers w:val="0"/>
              <w:jc w:val="left"/>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(1) 软件具备主动发送设备状态数据和传感器采集数据到指定数据中心，主动访问数据中心判断动作指令，执行动作后反馈给数据中心；</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(2) 灌溉控制中心可视化管理平台，实现对灌溉控制中心的虚拟仿真，让管理人员可以清晰直观地掌握的有效信息，实现透明化与信息化应用，进而有效提升工程管理与监控数据的效率，构建立体式、可视化、信息化的新一代数据中心运行管理。实时查看全系统的运行状态，展示端需图形化动态实时展示；</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(3) 对支持远程自动控制的设备进行开关、调节参数等控制，支持 MODBUS 协议、TCP 协议等多种方式，用户可以手动下发控制指令；</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(4) 支持联动控制，可配置多种自动控制规则，根据物联设备采集数据，实现实时监测数据满足条件时触发自动控制指令下发；</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(5) 对支持远程自动控制的设备进行开关、调节参数等控制，支持 MODBUS 协议、TCP 协议等多种方式，用户可以手动下发控制指令；</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(6) 支持联动控制，可配置多种自动控制规则，根据物联设备采集数据，实现实时监测数据满足条件时触发自动控制指令下发。</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3A3C0DF">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套</w:t>
            </w: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E77BCAB">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1</w:t>
            </w:r>
          </w:p>
        </w:tc>
      </w:tr>
      <w:tr w14:paraId="69EBDC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904"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810D136">
            <w:pPr>
              <w:jc w:val="center"/>
              <w:rPr>
                <w:rFonts w:hint="eastAsia" w:ascii="微软雅黑" w:hAnsi="微软雅黑" w:eastAsia="微软雅黑" w:cs="微软雅黑"/>
                <w:i w:val="0"/>
                <w:iCs w:val="0"/>
                <w:color w:val="000000"/>
                <w:sz w:val="20"/>
                <w:szCs w:val="20"/>
                <w:u w:val="none"/>
              </w:rPr>
            </w:pP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7255F98">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电缆线规格1</w:t>
            </w:r>
          </w:p>
        </w:tc>
        <w:tc>
          <w:tcPr>
            <w:tcW w:w="61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ABF61FD">
            <w:pPr>
              <w:keepNext w:val="0"/>
              <w:keepLines w:val="0"/>
              <w:widowControl/>
              <w:suppressLineNumbers w:val="0"/>
              <w:jc w:val="left"/>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YJV3×4mm²，包含线管、固定材料。</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DDD554D">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m</w:t>
            </w: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5DA5E76">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46</w:t>
            </w:r>
          </w:p>
        </w:tc>
      </w:tr>
      <w:tr w14:paraId="7069A6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904"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80ECD56">
            <w:pPr>
              <w:jc w:val="center"/>
              <w:rPr>
                <w:rFonts w:hint="eastAsia" w:ascii="微软雅黑" w:hAnsi="微软雅黑" w:eastAsia="微软雅黑" w:cs="微软雅黑"/>
                <w:i w:val="0"/>
                <w:iCs w:val="0"/>
                <w:color w:val="000000"/>
                <w:sz w:val="20"/>
                <w:szCs w:val="20"/>
                <w:u w:val="none"/>
              </w:rPr>
            </w:pP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E3D53CD">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电缆线规格2</w:t>
            </w:r>
          </w:p>
        </w:tc>
        <w:tc>
          <w:tcPr>
            <w:tcW w:w="61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D306D87">
            <w:pPr>
              <w:keepNext w:val="0"/>
              <w:keepLines w:val="0"/>
              <w:widowControl/>
              <w:suppressLineNumbers w:val="0"/>
              <w:jc w:val="left"/>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YJV3×10mm²，包含线管、固定材料。</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8391FA2">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m</w:t>
            </w: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04F34BF">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15</w:t>
            </w:r>
          </w:p>
        </w:tc>
      </w:tr>
      <w:tr w14:paraId="12FA2A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9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D99AF9A">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储水罐</w:t>
            </w: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1C8BB35">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储水罐</w:t>
            </w:r>
          </w:p>
        </w:tc>
        <w:tc>
          <w:tcPr>
            <w:tcW w:w="61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7BEB59C">
            <w:pPr>
              <w:keepNext w:val="0"/>
              <w:keepLines w:val="0"/>
              <w:widowControl/>
              <w:suppressLineNumbers w:val="0"/>
              <w:jc w:val="left"/>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1.圆形，储水量不少于80m³，含液位监测系统；</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2.采用镀锌波浪钢板现场组装，内衬 PVC 水衬的储水罐镀锌波浪钢板罐体，板厚不少于 2mm，双面镀锌镀锌层厚度执行国家标准《GB510018-2002 热镀锌钢板》，储水内衬，PVC复合材料，厚度不少于 1.2mm；</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3.罐体、内衬现场螺丝螺帽拼接，螺丝螺帽均采用高强度8.8级热浸镀锌产品；</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4.混凝土地坪：基地找平、夯实，铺设碎石垫层不少于5cm，绑扎钢筋网片（单层双向φ14@250），支模板（直径6.5m），浇筑C25混凝土（厚度10cm），抹平、养护。</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083FD4A">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套</w:t>
            </w: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169A3BF">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1</w:t>
            </w:r>
          </w:p>
        </w:tc>
      </w:tr>
      <w:tr w14:paraId="3A8EED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904" w:type="dxa"/>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F5347C1">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施工安装调试费</w:t>
            </w: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C0361B4">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高压雾化管路及喷头</w:t>
            </w:r>
          </w:p>
        </w:tc>
        <w:tc>
          <w:tcPr>
            <w:tcW w:w="61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2645E37">
            <w:pPr>
              <w:keepNext w:val="0"/>
              <w:keepLines w:val="0"/>
              <w:widowControl/>
              <w:suppressLineNumbers w:val="0"/>
              <w:jc w:val="left"/>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安装作业高度3.0~5.0m（上下两层），高空作业需做安全防护；调试时需在喷雾状态下作业；</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（1）钢丝绳安装，用于吊挂安装高压雾化管路，葡萄网架上下各一层；</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（2）高压雾化主管铺设，使用定制接头分接支管路；</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（3）雾化喷头安装，调整喷头角度，保证雾化均匀；</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（4）雾化喷头喷雾作业调试，需在喷雾状态下高空作业。</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B5577CB">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项</w:t>
            </w: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584BD03">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1</w:t>
            </w:r>
          </w:p>
        </w:tc>
      </w:tr>
      <w:tr w14:paraId="661CCC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904"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05CAC81">
            <w:pPr>
              <w:jc w:val="center"/>
              <w:rPr>
                <w:rFonts w:hint="eastAsia" w:ascii="微软雅黑" w:hAnsi="微软雅黑" w:eastAsia="微软雅黑" w:cs="微软雅黑"/>
                <w:i w:val="0"/>
                <w:iCs w:val="0"/>
                <w:color w:val="000000"/>
                <w:sz w:val="20"/>
                <w:szCs w:val="20"/>
                <w:u w:val="none"/>
              </w:rPr>
            </w:pP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FE50972">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管路开挖回填</w:t>
            </w:r>
          </w:p>
        </w:tc>
        <w:tc>
          <w:tcPr>
            <w:tcW w:w="61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153B92A">
            <w:pPr>
              <w:keepNext w:val="0"/>
              <w:keepLines w:val="0"/>
              <w:widowControl/>
              <w:suppressLineNumbers w:val="0"/>
              <w:jc w:val="left"/>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（1）人工开挖，开挖深度1m，宽度0.5m（支管PE-D90一条沟铺设2根）；</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（2）试压检测完成，人工回填压实。</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126DDE5">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m</w:t>
            </w: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5BCFA6B">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560</w:t>
            </w:r>
          </w:p>
        </w:tc>
      </w:tr>
      <w:tr w14:paraId="04D496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904"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B87A9B0">
            <w:pPr>
              <w:jc w:val="center"/>
              <w:rPr>
                <w:rFonts w:hint="eastAsia" w:ascii="微软雅黑" w:hAnsi="微软雅黑" w:eastAsia="微软雅黑" w:cs="微软雅黑"/>
                <w:i w:val="0"/>
                <w:iCs w:val="0"/>
                <w:color w:val="000000"/>
                <w:sz w:val="20"/>
                <w:szCs w:val="20"/>
                <w:u w:val="none"/>
              </w:rPr>
            </w:pP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A5A0005">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管路安装调试</w:t>
            </w:r>
          </w:p>
        </w:tc>
        <w:tc>
          <w:tcPr>
            <w:tcW w:w="61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01733B1">
            <w:pPr>
              <w:keepNext w:val="0"/>
              <w:keepLines w:val="0"/>
              <w:widowControl/>
              <w:suppressLineNumbers w:val="0"/>
              <w:jc w:val="left"/>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（1）管路焊接，包含PE-D110管，PE-D90管，接头、连接件；</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（2）管路找平铺设，管道二次搬运；</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（3）管路铺设完成后，进行管路试压检测；</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（4）试压检测完成，方可人工回填压实。</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459EE5D">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m</w:t>
            </w: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4AE195E">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890</w:t>
            </w:r>
          </w:p>
        </w:tc>
      </w:tr>
      <w:tr w14:paraId="617856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904"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574961E">
            <w:pPr>
              <w:jc w:val="center"/>
              <w:rPr>
                <w:rFonts w:hint="eastAsia" w:ascii="微软雅黑" w:hAnsi="微软雅黑" w:eastAsia="微软雅黑" w:cs="微软雅黑"/>
                <w:i w:val="0"/>
                <w:iCs w:val="0"/>
                <w:color w:val="000000"/>
                <w:sz w:val="20"/>
                <w:szCs w:val="20"/>
                <w:u w:val="none"/>
              </w:rPr>
            </w:pP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FE886AC">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过路涵管铺设</w:t>
            </w:r>
          </w:p>
        </w:tc>
        <w:tc>
          <w:tcPr>
            <w:tcW w:w="61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96707BB">
            <w:pPr>
              <w:keepNext w:val="0"/>
              <w:keepLines w:val="0"/>
              <w:widowControl/>
              <w:suppressLineNumbers w:val="0"/>
              <w:jc w:val="left"/>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（1）路面切割3条，每条4m，切割深度800mm；</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（2）涵管规格300mm；</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（3）路两侧水沟破除；</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（4）路面、水沟恢复。</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562C7A4">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m</w:t>
            </w: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2C6682F">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12</w:t>
            </w:r>
          </w:p>
        </w:tc>
      </w:tr>
      <w:tr w14:paraId="4AFB32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904"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160E98C">
            <w:pPr>
              <w:jc w:val="center"/>
              <w:rPr>
                <w:rFonts w:hint="eastAsia" w:ascii="微软雅黑" w:hAnsi="微软雅黑" w:eastAsia="微软雅黑" w:cs="微软雅黑"/>
                <w:i w:val="0"/>
                <w:iCs w:val="0"/>
                <w:color w:val="000000"/>
                <w:sz w:val="20"/>
                <w:szCs w:val="20"/>
                <w:u w:val="none"/>
              </w:rPr>
            </w:pP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F845432">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首部系统</w:t>
            </w:r>
          </w:p>
        </w:tc>
        <w:tc>
          <w:tcPr>
            <w:tcW w:w="61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4988C21">
            <w:pPr>
              <w:keepNext w:val="0"/>
              <w:keepLines w:val="0"/>
              <w:widowControl/>
              <w:suppressLineNumbers w:val="0"/>
              <w:jc w:val="left"/>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所有设备二次搬运（场地限制，需人工），各个设备相互联接、安装，整体调试运行。</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22C296D">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项</w:t>
            </w: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5C5AC6F">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1</w:t>
            </w:r>
          </w:p>
        </w:tc>
      </w:tr>
      <w:tr w14:paraId="0DDA3E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904"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8AA76D4">
            <w:pPr>
              <w:jc w:val="center"/>
              <w:rPr>
                <w:rFonts w:hint="eastAsia" w:ascii="微软雅黑" w:hAnsi="微软雅黑" w:eastAsia="微软雅黑" w:cs="微软雅黑"/>
                <w:i w:val="0"/>
                <w:iCs w:val="0"/>
                <w:color w:val="000000"/>
                <w:sz w:val="20"/>
                <w:szCs w:val="20"/>
                <w:u w:val="none"/>
              </w:rPr>
            </w:pP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5516138">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电气控制系统</w:t>
            </w:r>
          </w:p>
        </w:tc>
        <w:tc>
          <w:tcPr>
            <w:tcW w:w="61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35BAC43">
            <w:pPr>
              <w:keepNext w:val="0"/>
              <w:keepLines w:val="0"/>
              <w:widowControl/>
              <w:suppressLineNumbers w:val="0"/>
              <w:jc w:val="left"/>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管线布置、各设备接线（首部系统、电磁阀网关）、控制软件编制、安装、调试。</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7B112A9">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项</w:t>
            </w: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205B7DB">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1</w:t>
            </w:r>
          </w:p>
        </w:tc>
      </w:tr>
      <w:tr w14:paraId="381AAA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904"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E719154">
            <w:pPr>
              <w:jc w:val="center"/>
              <w:rPr>
                <w:rFonts w:hint="eastAsia" w:ascii="微软雅黑" w:hAnsi="微软雅黑" w:eastAsia="微软雅黑" w:cs="微软雅黑"/>
                <w:i w:val="0"/>
                <w:iCs w:val="0"/>
                <w:color w:val="000000"/>
                <w:sz w:val="20"/>
                <w:szCs w:val="20"/>
                <w:u w:val="none"/>
              </w:rPr>
            </w:pP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A37B8A0">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其他</w:t>
            </w:r>
          </w:p>
        </w:tc>
        <w:tc>
          <w:tcPr>
            <w:tcW w:w="61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E6DBCA8">
            <w:pPr>
              <w:keepNext w:val="0"/>
              <w:keepLines w:val="0"/>
              <w:widowControl/>
              <w:suppressLineNumbers w:val="0"/>
              <w:jc w:val="left"/>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必要配件安装、调试，保证整套系统稳定运行。</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F643F1F">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项</w:t>
            </w: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212BE2C">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1</w:t>
            </w:r>
          </w:p>
        </w:tc>
      </w:tr>
      <w:tr w14:paraId="6063E5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9413" w:type="dxa"/>
            <w:gridSpan w:val="5"/>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429A9E4">
            <w:pPr>
              <w:keepNext w:val="0"/>
              <w:keepLines w:val="0"/>
              <w:widowControl/>
              <w:suppressLineNumbers w:val="0"/>
              <w:jc w:val="center"/>
              <w:rPr>
                <w:rFonts w:hint="eastAsia" w:ascii="微软雅黑" w:hAnsi="微软雅黑" w:eastAsia="微软雅黑" w:cs="微软雅黑"/>
                <w:b/>
                <w:bCs/>
                <w:i w:val="0"/>
                <w:iCs w:val="0"/>
                <w:color w:val="000000"/>
                <w:sz w:val="22"/>
                <w:szCs w:val="22"/>
                <w:u w:val="none"/>
              </w:rPr>
            </w:pPr>
            <w:r>
              <w:rPr>
                <w:rFonts w:hint="eastAsia" w:ascii="微软雅黑" w:hAnsi="微软雅黑" w:eastAsia="微软雅黑" w:cs="微软雅黑"/>
                <w:b/>
                <w:bCs/>
                <w:i w:val="0"/>
                <w:iCs w:val="0"/>
                <w:color w:val="000000"/>
                <w:sz w:val="22"/>
                <w:szCs w:val="22"/>
                <w:u w:val="none"/>
                <w:lang w:val="en-US" w:eastAsia="zh-CN" w:bidi="ar"/>
              </w:rPr>
              <w:t>四、视频监控设备</w:t>
            </w:r>
          </w:p>
        </w:tc>
      </w:tr>
      <w:tr w14:paraId="19AB66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9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237B01B">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监控球机</w:t>
            </w: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AEB44F9">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监控球机</w:t>
            </w:r>
          </w:p>
        </w:tc>
        <w:tc>
          <w:tcPr>
            <w:tcW w:w="61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7943307">
            <w:pPr>
              <w:keepNext w:val="0"/>
              <w:keepLines w:val="0"/>
              <w:widowControl/>
              <w:suppressLineNumbers w:val="0"/>
              <w:jc w:val="left"/>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用于监测葡萄生长状况。可以实现作物生长状态的实时监测、环境变化的实时监测、以及农业数字化转型等功能，为葡萄园区的现代化管理和安全生产提供重要的技术支持。</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400万像素 IP66，抗干扰能力强，适用于严酷的电磁环境，符合GB/T17626.2/3/4/5/6四级标准</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最大支持256GB microSD卡存储</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支持定时任务，一键守望，一键巡航功能</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支持定时抓图与事件抓图功能</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支持3D数字降噪，支持120dB宽动态</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支持三码流技术，每路码流可独立配置分辨率及帧率</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支持23倍光学变倍，16倍数字变倍</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支持超低照度，0.005Lux@F1.6(彩色)，0.001Lux@F1.6(黑白)，0 Lux with IR</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内置加热玻璃，有效除雾</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采用高效补光阵列，低功耗，红外补光100m</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支持区域入侵侦测，越界侦测，进入区域侦测和离开区域侦等智能侦测</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948574B">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个</w:t>
            </w: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8B78534">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11</w:t>
            </w:r>
          </w:p>
        </w:tc>
      </w:tr>
      <w:tr w14:paraId="3E4C43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9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FBDBDC9">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监控枪机</w:t>
            </w: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C9E05BA">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监控枪机</w:t>
            </w:r>
          </w:p>
        </w:tc>
        <w:tc>
          <w:tcPr>
            <w:tcW w:w="61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4021FEA">
            <w:pPr>
              <w:keepNext w:val="0"/>
              <w:keepLines w:val="0"/>
              <w:widowControl/>
              <w:suppressLineNumbers w:val="0"/>
              <w:jc w:val="left"/>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高清网络筒形摄像机 传感器类型</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1/2.7" Progressive Scan CMOS</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最低照度彩色：0.01 Lux @（F1.2，AGC ON），0 Lux with IR</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最大图像尺1920 × 1080快门1/3 s~1/100,000 s</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宽动态数字宽动态日夜切换模式ICR红外滤片式 报警触发</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移动侦测（支持人形检测），异常   网络协议</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TCP/IP，ICMP，HTTP，DHCP，DNS，RTP，RTSP，RTCP，NTP，IGMP，QoS，UDP  网络</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1个RJ45 10 M/100 M自适应以太网口</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 xml:space="preserve">音频1个内置麦克风  接口协议（API）开放型网络视频接口，ISAPI，SDK，GB28181  </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通用功能心跳，密码保护，水印技术</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恢复出厂设置支持客户端或浏览器恢复</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电流及功耗非PoE型号： DC：12 V，0.42 A，最大功耗：5 W PoE型号： DC：12 V，0.42 A，最大功耗：5 W PoE：IEEE 802.3af ，CLASS 3，最大功耗：6.5 W   供电方式</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非PoE型号： DC：12 V ± 25%，支持防反接保护 PoE型号： DC：12 V ± 25%，支持防反接保护 PoE：IEEE 802.3af，CLASS 3  焦距&amp;视场角</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4 mm，水平视场角：81.3°，垂直视场角：43.6°，对角视场角：96.9° 6 mm，水平视场角：50.9°，垂直视场角：29.3°，对角视场角：58.1° 8 mm，水平视场角：39.4°，垂直视场角：21.7°，对角视场角：45.6° 12 mm，水平视场角：24.6°，垂直视场角：13.9°，对角视场角：28.1°镜头接口尺寸M12最大光圈数F2.0  smartIR</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支持</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图像设置镜像，饱和度，亮度，对比度，锐度，AGC，白平衡通过客户端或者浏览器可调</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日夜转换模式白天，夜晚，自动，定时切换</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图像增强背光补偿，强光抑制，3D数字降噪 防护IP67</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5AD3CC0">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个</w:t>
            </w: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49FEE30">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173</w:t>
            </w:r>
          </w:p>
        </w:tc>
      </w:tr>
      <w:tr w14:paraId="1FBB57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9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0D31F88">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监控专用支架</w:t>
            </w: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CAFBBB2">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监控专用支架</w:t>
            </w:r>
          </w:p>
        </w:tc>
        <w:tc>
          <w:tcPr>
            <w:tcW w:w="61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1C1AF17">
            <w:pPr>
              <w:keepNext w:val="0"/>
              <w:keepLines w:val="0"/>
              <w:widowControl/>
              <w:suppressLineNumbers w:val="0"/>
              <w:jc w:val="left"/>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含监控专用支架</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D3A8C34">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个</w:t>
            </w: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56CF2FC">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184</w:t>
            </w:r>
          </w:p>
        </w:tc>
      </w:tr>
      <w:tr w14:paraId="68B76D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904" w:type="dxa"/>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C26D1C7">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监控立杆</w:t>
            </w:r>
          </w:p>
        </w:tc>
        <w:tc>
          <w:tcPr>
            <w:tcW w:w="915" w:type="dxa"/>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E1AAB6B">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监控立杆</w:t>
            </w:r>
          </w:p>
        </w:tc>
        <w:tc>
          <w:tcPr>
            <w:tcW w:w="61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FDAAEBD">
            <w:pPr>
              <w:keepNext w:val="0"/>
              <w:keepLines w:val="0"/>
              <w:widowControl/>
              <w:suppressLineNumbers w:val="0"/>
              <w:jc w:val="left"/>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4米立杆</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采用地锚混凝土式基础。地脚螺栓上端为螺纹，下端为夹角小于60°的折弯或其它类似防拔结构，地角螺栓加工为地笼样式，增强水泥基础强度。预埋穿线管内径大于Φ20mm，弯曲角度大于120°；</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E4606BC">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根</w:t>
            </w: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F7FC959">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81</w:t>
            </w:r>
          </w:p>
        </w:tc>
      </w:tr>
      <w:tr w14:paraId="02DF4E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904"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A47AA67">
            <w:pPr>
              <w:jc w:val="center"/>
              <w:rPr>
                <w:rFonts w:hint="eastAsia" w:ascii="微软雅黑" w:hAnsi="微软雅黑" w:eastAsia="微软雅黑" w:cs="微软雅黑"/>
                <w:i w:val="0"/>
                <w:iCs w:val="0"/>
                <w:color w:val="000000"/>
                <w:sz w:val="20"/>
                <w:szCs w:val="20"/>
                <w:u w:val="none"/>
              </w:rPr>
            </w:pPr>
          </w:p>
        </w:tc>
        <w:tc>
          <w:tcPr>
            <w:tcW w:w="915"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9A504F9">
            <w:pPr>
              <w:jc w:val="center"/>
              <w:rPr>
                <w:rFonts w:hint="eastAsia" w:ascii="微软雅黑" w:hAnsi="微软雅黑" w:eastAsia="微软雅黑" w:cs="微软雅黑"/>
                <w:i w:val="0"/>
                <w:iCs w:val="0"/>
                <w:color w:val="000000"/>
                <w:sz w:val="20"/>
                <w:szCs w:val="20"/>
                <w:u w:val="none"/>
              </w:rPr>
            </w:pPr>
          </w:p>
        </w:tc>
        <w:tc>
          <w:tcPr>
            <w:tcW w:w="61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3BF4CEA">
            <w:pPr>
              <w:keepNext w:val="0"/>
              <w:keepLines w:val="0"/>
              <w:widowControl/>
              <w:suppressLineNumbers w:val="0"/>
              <w:jc w:val="left"/>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6米立杆</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1BFE62F">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根</w:t>
            </w: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1826A80">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15</w:t>
            </w:r>
          </w:p>
        </w:tc>
      </w:tr>
      <w:tr w14:paraId="6A9107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9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3308F5E">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电表开户</w:t>
            </w: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16805A2">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电表开户</w:t>
            </w:r>
          </w:p>
        </w:tc>
        <w:tc>
          <w:tcPr>
            <w:tcW w:w="61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D7BC4E6">
            <w:pPr>
              <w:keepNext w:val="0"/>
              <w:keepLines w:val="0"/>
              <w:widowControl/>
              <w:suppressLineNumbers w:val="0"/>
              <w:jc w:val="left"/>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监控用电开户</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78492BE">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个</w:t>
            </w: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A7A88BD">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15</w:t>
            </w:r>
          </w:p>
        </w:tc>
      </w:tr>
      <w:tr w14:paraId="7CE095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9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18496C5">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水泥预制</w:t>
            </w: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9A56FCB">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水泥预制</w:t>
            </w:r>
          </w:p>
        </w:tc>
        <w:tc>
          <w:tcPr>
            <w:tcW w:w="61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8422BF9">
            <w:pPr>
              <w:keepNext w:val="0"/>
              <w:keepLines w:val="0"/>
              <w:widowControl/>
              <w:suppressLineNumbers w:val="0"/>
              <w:jc w:val="left"/>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水泥预制（含水泥、砂石、地笼等）</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0A5ECBE">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套</w:t>
            </w: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2840139">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96</w:t>
            </w:r>
          </w:p>
        </w:tc>
      </w:tr>
      <w:tr w14:paraId="7FC6AB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9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139225B">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监控箱</w:t>
            </w: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6EE8427">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监控箱</w:t>
            </w:r>
          </w:p>
        </w:tc>
        <w:tc>
          <w:tcPr>
            <w:tcW w:w="61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8145304">
            <w:pPr>
              <w:keepNext w:val="0"/>
              <w:keepLines w:val="0"/>
              <w:widowControl/>
              <w:suppressLineNumbers w:val="0"/>
              <w:jc w:val="left"/>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材质镀锌钢板，不少于300*400*200mm，含空开、拖线板等</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C904F56">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台</w:t>
            </w: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6EA9D6B">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96</w:t>
            </w:r>
          </w:p>
        </w:tc>
      </w:tr>
      <w:tr w14:paraId="18CDF3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9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6E17DA0">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光缆</w:t>
            </w: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AE4CE3E">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24芯光缆</w:t>
            </w:r>
          </w:p>
        </w:tc>
        <w:tc>
          <w:tcPr>
            <w:tcW w:w="61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B054C5F">
            <w:pPr>
              <w:keepNext w:val="0"/>
              <w:keepLines w:val="0"/>
              <w:widowControl/>
              <w:suppressLineNumbers w:val="0"/>
              <w:jc w:val="left"/>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24芯单模光缆</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E0D0F45">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米</w:t>
            </w: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B5B7814">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20600</w:t>
            </w:r>
          </w:p>
        </w:tc>
      </w:tr>
      <w:tr w14:paraId="0A145F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904" w:type="dxa"/>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2927494">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电源线</w:t>
            </w: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226B7BB">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电源线</w:t>
            </w:r>
          </w:p>
        </w:tc>
        <w:tc>
          <w:tcPr>
            <w:tcW w:w="61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3D5C7BF">
            <w:pPr>
              <w:keepNext w:val="0"/>
              <w:keepLines w:val="0"/>
              <w:widowControl/>
              <w:suppressLineNumbers w:val="0"/>
              <w:jc w:val="left"/>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rvv 3*1.5</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8ABDB22">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米</w:t>
            </w: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C952978">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1730</w:t>
            </w:r>
          </w:p>
        </w:tc>
      </w:tr>
      <w:tr w14:paraId="21CEAE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904"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6683EB3">
            <w:pPr>
              <w:jc w:val="center"/>
              <w:rPr>
                <w:rFonts w:hint="eastAsia" w:ascii="微软雅黑" w:hAnsi="微软雅黑" w:eastAsia="微软雅黑" w:cs="微软雅黑"/>
                <w:i w:val="0"/>
                <w:iCs w:val="0"/>
                <w:color w:val="000000"/>
                <w:sz w:val="20"/>
                <w:szCs w:val="20"/>
                <w:u w:val="none"/>
              </w:rPr>
            </w:pP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AEF42F4">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电源线</w:t>
            </w:r>
          </w:p>
        </w:tc>
        <w:tc>
          <w:tcPr>
            <w:tcW w:w="61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31BE222">
            <w:pPr>
              <w:keepNext w:val="0"/>
              <w:keepLines w:val="0"/>
              <w:widowControl/>
              <w:suppressLineNumbers w:val="0"/>
              <w:jc w:val="left"/>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rvv 3*2.5</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35C902F">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米</w:t>
            </w: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716BF2D">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20600</w:t>
            </w:r>
          </w:p>
        </w:tc>
      </w:tr>
      <w:tr w14:paraId="3E088B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904" w:type="dxa"/>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56473F8">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穿线管</w:t>
            </w: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4B56DA7">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PVC管</w:t>
            </w:r>
          </w:p>
        </w:tc>
        <w:tc>
          <w:tcPr>
            <w:tcW w:w="61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C828285">
            <w:pPr>
              <w:keepNext w:val="0"/>
              <w:keepLines w:val="0"/>
              <w:widowControl/>
              <w:suppressLineNumbers w:val="0"/>
              <w:jc w:val="left"/>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DN25</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F6DED1A">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米</w:t>
            </w: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BC3070D">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3700</w:t>
            </w:r>
          </w:p>
        </w:tc>
      </w:tr>
      <w:tr w14:paraId="77BE5E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904"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E53A0CC">
            <w:pPr>
              <w:jc w:val="center"/>
              <w:rPr>
                <w:rFonts w:hint="eastAsia" w:ascii="微软雅黑" w:hAnsi="微软雅黑" w:eastAsia="微软雅黑" w:cs="微软雅黑"/>
                <w:i w:val="0"/>
                <w:iCs w:val="0"/>
                <w:color w:val="000000"/>
                <w:sz w:val="20"/>
                <w:szCs w:val="20"/>
                <w:u w:val="none"/>
              </w:rPr>
            </w:pP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BF69C04">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PVC管</w:t>
            </w:r>
          </w:p>
        </w:tc>
        <w:tc>
          <w:tcPr>
            <w:tcW w:w="61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470C808">
            <w:pPr>
              <w:keepNext w:val="0"/>
              <w:keepLines w:val="0"/>
              <w:widowControl/>
              <w:suppressLineNumbers w:val="0"/>
              <w:jc w:val="left"/>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DN100</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DF8AE91">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米</w:t>
            </w: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B7DD4C7">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200</w:t>
            </w:r>
          </w:p>
        </w:tc>
      </w:tr>
      <w:tr w14:paraId="2B59F4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9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1D891DB">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网线</w:t>
            </w: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AA531AA">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网线</w:t>
            </w:r>
          </w:p>
        </w:tc>
        <w:tc>
          <w:tcPr>
            <w:tcW w:w="61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3D55C3C">
            <w:pPr>
              <w:keepNext w:val="0"/>
              <w:keepLines w:val="0"/>
              <w:widowControl/>
              <w:suppressLineNumbers w:val="0"/>
              <w:jc w:val="left"/>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产品参照YD/T1019 、GB/T 50312、ISO/IEC11801 Class E级和ANSI/TIA-568.2-D Cat6标准，通过布线标准4连接点测试，并具有充裕的NEXT余量</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提供至少不低于250MHz带宽，满足1GBase-T千兆以太网应用，最高支持5GBase-T</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符合CE和ROHS标准要求</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绝缘材质HDPE</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导体直径：0.57±0.02mm</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护套：PVC</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896CCB4">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箱</w:t>
            </w: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0A15C4A">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9</w:t>
            </w:r>
          </w:p>
        </w:tc>
      </w:tr>
      <w:tr w14:paraId="400007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9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9D9E678">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终端盒</w:t>
            </w: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CF51F3F">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终端盒</w:t>
            </w:r>
          </w:p>
        </w:tc>
        <w:tc>
          <w:tcPr>
            <w:tcW w:w="61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37BEB63">
            <w:pPr>
              <w:keepNext w:val="0"/>
              <w:keepLines w:val="0"/>
              <w:widowControl/>
              <w:suppressLineNumbers w:val="0"/>
              <w:jc w:val="left"/>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终端盒</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985E3E5">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台</w:t>
            </w: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07910D5">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101</w:t>
            </w:r>
          </w:p>
        </w:tc>
      </w:tr>
      <w:tr w14:paraId="368D8D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9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93662B1">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接头盒</w:t>
            </w: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8024B38">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接头盒</w:t>
            </w:r>
          </w:p>
        </w:tc>
        <w:tc>
          <w:tcPr>
            <w:tcW w:w="61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758DEE2">
            <w:pPr>
              <w:keepNext w:val="0"/>
              <w:keepLines w:val="0"/>
              <w:widowControl/>
              <w:suppressLineNumbers w:val="0"/>
              <w:jc w:val="left"/>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含熔纤盘，2进2出，加厚型</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414CA5D">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套</w:t>
            </w: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7F432A2">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101</w:t>
            </w:r>
          </w:p>
        </w:tc>
      </w:tr>
      <w:tr w14:paraId="602143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9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65B9AD0">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辅材费用</w:t>
            </w: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DB1DD3F">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辅材</w:t>
            </w:r>
          </w:p>
        </w:tc>
        <w:tc>
          <w:tcPr>
            <w:tcW w:w="61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671151B">
            <w:pPr>
              <w:keepNext w:val="0"/>
              <w:keepLines w:val="0"/>
              <w:widowControl/>
              <w:suppressLineNumbers w:val="0"/>
              <w:jc w:val="left"/>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包含水晶头，扎丝，扎带、胶带、标签、PVC接头等其他辅材;</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C9736F2">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批</w:t>
            </w: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89A5E44">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1</w:t>
            </w:r>
          </w:p>
        </w:tc>
      </w:tr>
      <w:tr w14:paraId="1B14FD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9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112ED8B">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穿管布线</w:t>
            </w: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46B6D21">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穿管、布线</w:t>
            </w:r>
          </w:p>
        </w:tc>
        <w:tc>
          <w:tcPr>
            <w:tcW w:w="61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50C4F0E">
            <w:pPr>
              <w:keepNext w:val="0"/>
              <w:keepLines w:val="0"/>
              <w:widowControl/>
              <w:suppressLineNumbers w:val="0"/>
              <w:jc w:val="left"/>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光缆和电缆穿管后走现有市政管网或架空</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6F1DCF5">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米</w:t>
            </w: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90C9724">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21000</w:t>
            </w:r>
          </w:p>
        </w:tc>
      </w:tr>
      <w:tr w14:paraId="080197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9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8F47DCF">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光缆熔接</w:t>
            </w: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F6F0EC6">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光缆熔接</w:t>
            </w:r>
          </w:p>
        </w:tc>
        <w:tc>
          <w:tcPr>
            <w:tcW w:w="61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A864184">
            <w:pPr>
              <w:keepNext w:val="0"/>
              <w:keepLines w:val="0"/>
              <w:widowControl/>
              <w:suppressLineNumbers w:val="0"/>
              <w:jc w:val="left"/>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光缆熔接</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AB8110E">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芯</w:t>
            </w: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BBF553C">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3400</w:t>
            </w:r>
          </w:p>
        </w:tc>
      </w:tr>
      <w:tr w14:paraId="04C19B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9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652B507">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立杆基坑及水泥浇筑</w:t>
            </w: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DFB9836">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立杆基坑及水泥浇筑</w:t>
            </w:r>
          </w:p>
        </w:tc>
        <w:tc>
          <w:tcPr>
            <w:tcW w:w="61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A19328A">
            <w:pPr>
              <w:keepNext w:val="0"/>
              <w:keepLines w:val="0"/>
              <w:widowControl/>
              <w:suppressLineNumbers w:val="0"/>
              <w:jc w:val="left"/>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96个立杆的基坑开挖及回填，</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640E6A7">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项</w:t>
            </w: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5055385">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1</w:t>
            </w:r>
          </w:p>
        </w:tc>
      </w:tr>
      <w:tr w14:paraId="5CFF12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904"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DBA4C0">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施工</w:t>
            </w: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BCFD501">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监控枪机安装调试</w:t>
            </w:r>
          </w:p>
        </w:tc>
        <w:tc>
          <w:tcPr>
            <w:tcW w:w="61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10B31DB">
            <w:pPr>
              <w:keepNext w:val="0"/>
              <w:keepLines w:val="0"/>
              <w:widowControl/>
              <w:suppressLineNumbers w:val="0"/>
              <w:jc w:val="left"/>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含接线，固定，安装调试</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4169338">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个</w:t>
            </w: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7FF66D1">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173</w:t>
            </w:r>
          </w:p>
        </w:tc>
      </w:tr>
      <w:tr w14:paraId="6EB12F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90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214624">
            <w:pPr>
              <w:jc w:val="center"/>
              <w:rPr>
                <w:rFonts w:hint="eastAsia" w:ascii="微软雅黑" w:hAnsi="微软雅黑" w:eastAsia="微软雅黑" w:cs="微软雅黑"/>
                <w:i w:val="0"/>
                <w:iCs w:val="0"/>
                <w:color w:val="000000"/>
                <w:sz w:val="20"/>
                <w:szCs w:val="20"/>
                <w:u w:val="none"/>
              </w:rPr>
            </w:pP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4679619">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监控球机安装调试</w:t>
            </w:r>
          </w:p>
        </w:tc>
        <w:tc>
          <w:tcPr>
            <w:tcW w:w="61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9866065">
            <w:pPr>
              <w:keepNext w:val="0"/>
              <w:keepLines w:val="0"/>
              <w:widowControl/>
              <w:suppressLineNumbers w:val="0"/>
              <w:jc w:val="left"/>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含接线，固定，安装调试</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A61FF5A">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个</w:t>
            </w: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828E4DC">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11</w:t>
            </w:r>
          </w:p>
        </w:tc>
      </w:tr>
      <w:tr w14:paraId="245CA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9413" w:type="dxa"/>
            <w:gridSpan w:val="5"/>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220A89B">
            <w:pPr>
              <w:keepNext w:val="0"/>
              <w:keepLines w:val="0"/>
              <w:widowControl/>
              <w:suppressLineNumbers w:val="0"/>
              <w:jc w:val="center"/>
              <w:rPr>
                <w:rFonts w:hint="eastAsia" w:ascii="微软雅黑" w:hAnsi="微软雅黑" w:eastAsia="微软雅黑" w:cs="微软雅黑"/>
                <w:b/>
                <w:bCs/>
                <w:i w:val="0"/>
                <w:iCs w:val="0"/>
                <w:color w:val="000000"/>
                <w:sz w:val="22"/>
                <w:szCs w:val="22"/>
                <w:u w:val="none"/>
              </w:rPr>
            </w:pPr>
            <w:r>
              <w:rPr>
                <w:rFonts w:hint="eastAsia" w:ascii="微软雅黑" w:hAnsi="微软雅黑" w:eastAsia="微软雅黑" w:cs="微软雅黑"/>
                <w:b/>
                <w:bCs/>
                <w:i w:val="0"/>
                <w:iCs w:val="0"/>
                <w:color w:val="000000"/>
                <w:sz w:val="22"/>
                <w:szCs w:val="22"/>
                <w:u w:val="none"/>
                <w:lang w:val="en-US" w:eastAsia="zh-CN" w:bidi="ar"/>
              </w:rPr>
              <w:t>五、冷链环境监测设备</w:t>
            </w:r>
          </w:p>
        </w:tc>
      </w:tr>
      <w:tr w14:paraId="25592D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904" w:type="dxa"/>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62719FD">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冷库环境监测</w:t>
            </w: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45C3721">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温湿度传感器</w:t>
            </w:r>
          </w:p>
        </w:tc>
        <w:tc>
          <w:tcPr>
            <w:tcW w:w="61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E996D78">
            <w:pPr>
              <w:keepNext w:val="0"/>
              <w:keepLines w:val="0"/>
              <w:widowControl/>
              <w:suppressLineNumbers w:val="0"/>
              <w:jc w:val="left"/>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该设备集环境的温湿度于一体，实现对现有冷库仓储环境情况的实时监测，支持在系统中进行线上远程监控与指挥决策。</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通讯方式：4G/5G</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空气湿度：范围 0～100%  精度 ±3%    分辨率不低于 0.1%</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空气温度：范围-30～70℃ 精度 ±0.2℃ 分辨率不低于 0.1℃</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工作电压：12～24V(典型值12V)</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响应时间：&lt;1S</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测量稳定时间：1S</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F86D995">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个</w:t>
            </w: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A6B14FA">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2</w:t>
            </w:r>
          </w:p>
        </w:tc>
      </w:tr>
      <w:tr w14:paraId="138CC0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904"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E466BA0">
            <w:pPr>
              <w:jc w:val="center"/>
              <w:rPr>
                <w:rFonts w:hint="eastAsia" w:ascii="微软雅黑" w:hAnsi="微软雅黑" w:eastAsia="微软雅黑" w:cs="微软雅黑"/>
                <w:i w:val="0"/>
                <w:iCs w:val="0"/>
                <w:color w:val="000000"/>
                <w:sz w:val="20"/>
                <w:szCs w:val="20"/>
                <w:u w:val="none"/>
              </w:rPr>
            </w:pP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263197F">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无线采集器（4G）</w:t>
            </w:r>
          </w:p>
        </w:tc>
        <w:tc>
          <w:tcPr>
            <w:tcW w:w="61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5654C1E">
            <w:pPr>
              <w:keepNext w:val="0"/>
              <w:keepLines w:val="0"/>
              <w:widowControl/>
              <w:suppressLineNumbers w:val="0"/>
              <w:jc w:val="left"/>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采集、发送一体，工业级</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传输方式：4G</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支持上线发送自定义注册包、心跳包、注销包功能</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支持远程指令查询工作状态、触发上线、修改数据中心参数等操控功能</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数据输入接口：RS232/485</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输入电压：DC5~36V</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工作电流：35mA/12v</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工作温度：-24~85℃，5~95%RH（无凝露）</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支持数据传输，含100M/月 3年流量</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EB90585">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台</w:t>
            </w: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2570F55">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2</w:t>
            </w:r>
          </w:p>
        </w:tc>
      </w:tr>
      <w:tr w14:paraId="4D2BE7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904" w:type="dxa"/>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44E284D">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冷藏车厢视频监控</w:t>
            </w: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3A3DDA7">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4G车载摄像头</w:t>
            </w:r>
          </w:p>
        </w:tc>
        <w:tc>
          <w:tcPr>
            <w:tcW w:w="61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A028926">
            <w:pPr>
              <w:keepNext w:val="0"/>
              <w:keepLines w:val="0"/>
              <w:widowControl/>
              <w:suppressLineNumbers w:val="0"/>
              <w:jc w:val="left"/>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对车辆冷藏情况，实现对冷藏车辆运行状态的实时监控。</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3寸金属红外半球车载摄像头</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红外灯不低于：24颗￠5红外灯，红外距离不少于20米</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3564C6B">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台</w:t>
            </w: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BCE9FEF">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3</w:t>
            </w:r>
          </w:p>
        </w:tc>
      </w:tr>
      <w:tr w14:paraId="33B274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904"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F1150C8">
            <w:pPr>
              <w:jc w:val="center"/>
              <w:rPr>
                <w:rFonts w:hint="eastAsia" w:ascii="微软雅黑" w:hAnsi="微软雅黑" w:eastAsia="微软雅黑" w:cs="微软雅黑"/>
                <w:i w:val="0"/>
                <w:iCs w:val="0"/>
                <w:color w:val="000000"/>
                <w:sz w:val="20"/>
                <w:szCs w:val="20"/>
                <w:u w:val="none"/>
              </w:rPr>
            </w:pP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E06006D">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7寸台式车载监视器</w:t>
            </w:r>
          </w:p>
        </w:tc>
        <w:tc>
          <w:tcPr>
            <w:tcW w:w="61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52F426F">
            <w:pPr>
              <w:keepNext w:val="0"/>
              <w:keepLines w:val="0"/>
              <w:widowControl/>
              <w:suppressLineNumbers w:val="0"/>
              <w:jc w:val="left"/>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7英寸宽视角16:9显示模式；</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1024*600高清高亮度IPS屏；</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配宝马头GVA+AV接口；</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带遮阳罩；</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配卡片式红外遥控器，配蝴蝶支架；</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DC12V-35V宽电压供电。</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36F727C">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台</w:t>
            </w: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C612492">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3</w:t>
            </w:r>
          </w:p>
        </w:tc>
      </w:tr>
      <w:tr w14:paraId="29457D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904"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2319559">
            <w:pPr>
              <w:jc w:val="center"/>
              <w:rPr>
                <w:rFonts w:hint="eastAsia" w:ascii="微软雅黑" w:hAnsi="微软雅黑" w:eastAsia="微软雅黑" w:cs="微软雅黑"/>
                <w:i w:val="0"/>
                <w:iCs w:val="0"/>
                <w:color w:val="000000"/>
                <w:sz w:val="20"/>
                <w:szCs w:val="20"/>
                <w:u w:val="none"/>
              </w:rPr>
            </w:pP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329E104">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4G车载摄像头硬盘录像机（含3年流量卡及2TB硬盘）</w:t>
            </w:r>
          </w:p>
        </w:tc>
        <w:tc>
          <w:tcPr>
            <w:tcW w:w="61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DA40B36">
            <w:pPr>
              <w:keepNext w:val="0"/>
              <w:keepLines w:val="0"/>
              <w:widowControl/>
              <w:suppressLineNumbers w:val="0"/>
              <w:jc w:val="left"/>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1. 内置高性能图像处理芯片，H.264编码，高压缩比，图像清晰;</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2. 支持4路AHD百万高清/模拟标清视音频输入，1路视音频同步输出,1路VGA输出;</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3. 支持4路720P高清实时本地录像;</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4. 专业车载电源设计10—36V直流宽电压输入设计;</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5. 欠压、短路、反接等多种保护电路，适用于各种车型;</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6. 支持智能电源管理识别，低电自动关机，熄火低功耗;</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7. 采用特殊文件管理机制，对数据进行加密，有效保护数据安全;</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8. 专有磁盘坏道检测技术，既保证录像连续性，又延长磁盘寿命;</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9. 内置超级电容，避免异常断电数据丢失和磁盘损坏;</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10. 支持2.5寸硬盘，可最大支持2TB;</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11. 支持SD存储，最大支持256G;</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12. 支持GPS/BD定位，灵敏度高，定位快速;</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13. 支持WIFI无线下载，支持802.11b/g/n，频率2.4GHz;</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14. 内置4G模块，支持LTE/HSUPA/HSDPA/WCDMA/EVDO;</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15.流量10G/月</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944CD5A">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台</w:t>
            </w: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BBF8A95">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3</w:t>
            </w:r>
          </w:p>
        </w:tc>
      </w:tr>
      <w:tr w14:paraId="01EE5F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9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9D0E247">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冷藏车厢环境监测</w:t>
            </w: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92B4765">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车辆温湿度监控系统</w:t>
            </w:r>
          </w:p>
        </w:tc>
        <w:tc>
          <w:tcPr>
            <w:tcW w:w="61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6B5BEB4">
            <w:pPr>
              <w:keepNext w:val="0"/>
              <w:keepLines w:val="0"/>
              <w:widowControl/>
              <w:suppressLineNumbers w:val="0"/>
              <w:jc w:val="left"/>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4G空气温湿度监测，含开关电源;</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通讯方式：4G/5G</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空气湿度：范围 0～100%  精度 ±3%    分辨率不低于 0.1%</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空气温度：范围-30～70℃ 精度 ±0.2℃ 分辨率不低于 0.1℃</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工作温度范围：-35℃～75℃</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含3年流量，100M/月</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B5D25A8">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个</w:t>
            </w: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FE95D71">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3</w:t>
            </w:r>
          </w:p>
        </w:tc>
      </w:tr>
      <w:tr w14:paraId="1E2682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9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7F5FD0E">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冷藏车车辆定位</w:t>
            </w: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E8A3F18">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车载GPS</w:t>
            </w:r>
          </w:p>
        </w:tc>
        <w:tc>
          <w:tcPr>
            <w:tcW w:w="61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08CC646">
            <w:pPr>
              <w:keepNext w:val="0"/>
              <w:keepLines w:val="0"/>
              <w:widowControl/>
              <w:suppressLineNumbers w:val="0"/>
              <w:jc w:val="left"/>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定位精度≤10米，轨迹回放时间≥90天;含3年流量，100M/月</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3D2BDD6">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台</w:t>
            </w: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413E2CD">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3</w:t>
            </w:r>
          </w:p>
        </w:tc>
      </w:tr>
      <w:tr w14:paraId="63195C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9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FB904A2">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辅材费用</w:t>
            </w: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29743CB">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配套辅材</w:t>
            </w:r>
          </w:p>
        </w:tc>
        <w:tc>
          <w:tcPr>
            <w:tcW w:w="61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24D5F25">
            <w:pPr>
              <w:keepNext w:val="0"/>
              <w:keepLines w:val="0"/>
              <w:widowControl/>
              <w:suppressLineNumbers w:val="0"/>
              <w:jc w:val="left"/>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包含电源线、支架、电箱、监测探头等辅材;</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D84C5AC">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批</w:t>
            </w: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EEA4215">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1</w:t>
            </w:r>
          </w:p>
        </w:tc>
      </w:tr>
      <w:tr w14:paraId="1B845C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9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0AC7B8A">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施工费用</w:t>
            </w: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BD6E496">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安装施工</w:t>
            </w:r>
          </w:p>
        </w:tc>
        <w:tc>
          <w:tcPr>
            <w:tcW w:w="61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617340F">
            <w:pPr>
              <w:keepNext w:val="0"/>
              <w:keepLines w:val="0"/>
              <w:widowControl/>
              <w:suppressLineNumbers w:val="0"/>
              <w:jc w:val="left"/>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包含冷库及冷藏车内的采集、监控设备的安装施工费用，三年维保</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3F0FD71">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项</w:t>
            </w: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4111E84">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1</w:t>
            </w:r>
          </w:p>
        </w:tc>
      </w:tr>
      <w:tr w14:paraId="1121B1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9413" w:type="dxa"/>
            <w:gridSpan w:val="5"/>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A8723B4">
            <w:pPr>
              <w:keepNext w:val="0"/>
              <w:keepLines w:val="0"/>
              <w:widowControl/>
              <w:suppressLineNumbers w:val="0"/>
              <w:jc w:val="center"/>
              <w:rPr>
                <w:rFonts w:hint="eastAsia" w:ascii="微软雅黑" w:hAnsi="微软雅黑" w:eastAsia="微软雅黑" w:cs="微软雅黑"/>
                <w:b/>
                <w:bCs/>
                <w:i w:val="0"/>
                <w:iCs w:val="0"/>
                <w:color w:val="000000"/>
                <w:sz w:val="22"/>
                <w:szCs w:val="22"/>
                <w:u w:val="none"/>
              </w:rPr>
            </w:pPr>
            <w:r>
              <w:rPr>
                <w:rFonts w:hint="eastAsia" w:ascii="微软雅黑" w:hAnsi="微软雅黑" w:eastAsia="微软雅黑" w:cs="微软雅黑"/>
                <w:b/>
                <w:bCs/>
                <w:i w:val="0"/>
                <w:iCs w:val="0"/>
                <w:color w:val="000000"/>
                <w:sz w:val="22"/>
                <w:szCs w:val="22"/>
                <w:u w:val="none"/>
                <w:lang w:val="en-US" w:eastAsia="zh-CN" w:bidi="ar"/>
              </w:rPr>
              <w:t>六、指挥中心系统</w:t>
            </w:r>
          </w:p>
        </w:tc>
      </w:tr>
      <w:tr w14:paraId="7749EB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3" w:hRule="atLeast"/>
        </w:trPr>
        <w:tc>
          <w:tcPr>
            <w:tcW w:w="904" w:type="dxa"/>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017F11C">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指挥中心</w:t>
            </w: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3E4023C">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调音台</w:t>
            </w:r>
          </w:p>
        </w:tc>
        <w:tc>
          <w:tcPr>
            <w:tcW w:w="6161" w:type="dxa"/>
            <w:tcBorders>
              <w:top w:val="single" w:color="000000" w:sz="4" w:space="0"/>
              <w:left w:val="single" w:color="000000" w:sz="4" w:space="0"/>
              <w:right w:val="single" w:color="000000" w:sz="4" w:space="0"/>
            </w:tcBorders>
            <w:shd w:val="clear" w:color="auto" w:fill="auto"/>
            <w:noWrap w:val="0"/>
            <w:vAlign w:val="center"/>
          </w:tcPr>
          <w:p w14:paraId="2E0FA041">
            <w:pPr>
              <w:keepNext w:val="0"/>
              <w:keepLines w:val="0"/>
              <w:widowControl/>
              <w:suppressLineNumbers w:val="0"/>
              <w:jc w:val="left"/>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1.频率响应：20Hz－20KHz；±0.5dB；</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2.总谐波失真和噪声：－30dBuinputtomix,micgain30dB，&lt;0.007%；</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3.话筒输入等效输入噪声：MICEIN@Maxgain,150ohmssourceimpedance-128dBu；</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4.母线噪声：Noise(20Hz－20KHzmeasurementbandwidth)；</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5.混音：mix@max,fadersdown&lt;－85dBu；</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6.通道之间串音：</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通道哑音：&gt;96dB；</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推子位置：&gt;96dB；</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辅助发送端口：&gt;86dB。</w:t>
            </w:r>
          </w:p>
        </w:tc>
        <w:tc>
          <w:tcPr>
            <w:tcW w:w="700" w:type="dxa"/>
            <w:tcBorders>
              <w:top w:val="single" w:color="000000" w:sz="4" w:space="0"/>
              <w:left w:val="single" w:color="000000" w:sz="4" w:space="0"/>
              <w:right w:val="single" w:color="000000" w:sz="4" w:space="0"/>
            </w:tcBorders>
            <w:shd w:val="clear" w:color="auto" w:fill="auto"/>
            <w:noWrap w:val="0"/>
            <w:vAlign w:val="center"/>
          </w:tcPr>
          <w:p w14:paraId="66B7AA1A">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台</w:t>
            </w:r>
          </w:p>
        </w:tc>
        <w:tc>
          <w:tcPr>
            <w:tcW w:w="733" w:type="dxa"/>
            <w:tcBorders>
              <w:top w:val="single" w:color="000000" w:sz="4" w:space="0"/>
              <w:left w:val="single" w:color="000000" w:sz="4" w:space="0"/>
              <w:right w:val="single" w:color="000000" w:sz="4" w:space="0"/>
            </w:tcBorders>
            <w:shd w:val="clear" w:color="auto" w:fill="auto"/>
            <w:noWrap w:val="0"/>
            <w:vAlign w:val="center"/>
          </w:tcPr>
          <w:p w14:paraId="6117F841">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1</w:t>
            </w:r>
          </w:p>
        </w:tc>
      </w:tr>
      <w:tr w14:paraId="5CE62C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904"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F82169B">
            <w:pPr>
              <w:jc w:val="center"/>
              <w:rPr>
                <w:rFonts w:hint="eastAsia" w:ascii="微软雅黑" w:hAnsi="微软雅黑" w:eastAsia="微软雅黑" w:cs="微软雅黑"/>
                <w:i w:val="0"/>
                <w:iCs w:val="0"/>
                <w:color w:val="000000"/>
                <w:sz w:val="20"/>
                <w:szCs w:val="20"/>
                <w:u w:val="none"/>
              </w:rPr>
            </w:pP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4CB0021">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音频处理器</w:t>
            </w:r>
          </w:p>
        </w:tc>
        <w:tc>
          <w:tcPr>
            <w:tcW w:w="61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6DA030C">
            <w:pPr>
              <w:keepNext w:val="0"/>
              <w:keepLines w:val="0"/>
              <w:widowControl/>
              <w:suppressLineNumbers w:val="0"/>
              <w:jc w:val="left"/>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1.采样频率≥48kHz;</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2.动态范围≥106dB;</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3.幻像供电: DC 48V ;</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4.输入共模抑制 :大于75dBu @ +20dBu , 60Hz;</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5.通道隔离度 :106dB;</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6.频率响应: 20～20kHz (±0.5dB);</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7.总谐波失真(THD+N): ≤0.002% @1kHz，+8dBu;</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8.最大输入增益 : 42dB;</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9.输入阻抗: 10KΩbalance;</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10.输出阻抗: 100 ohm;</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11.最大输出电平: 20dBu;</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7B18471">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台</w:t>
            </w: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EA32438">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1</w:t>
            </w:r>
          </w:p>
        </w:tc>
      </w:tr>
      <w:tr w14:paraId="768AFC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904"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86CF9AE">
            <w:pPr>
              <w:jc w:val="center"/>
              <w:rPr>
                <w:rFonts w:hint="eastAsia" w:ascii="微软雅黑" w:hAnsi="微软雅黑" w:eastAsia="微软雅黑" w:cs="微软雅黑"/>
                <w:i w:val="0"/>
                <w:iCs w:val="0"/>
                <w:color w:val="000000"/>
                <w:sz w:val="20"/>
                <w:szCs w:val="20"/>
                <w:u w:val="none"/>
              </w:rPr>
            </w:pP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1EB9299">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音箱</w:t>
            </w:r>
          </w:p>
        </w:tc>
        <w:tc>
          <w:tcPr>
            <w:tcW w:w="61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C820C19">
            <w:pPr>
              <w:keepNext w:val="0"/>
              <w:keepLines w:val="0"/>
              <w:widowControl/>
              <w:suppressLineNumbers w:val="0"/>
              <w:jc w:val="left"/>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阻抗≥8Ω；</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频率响应：80Hz- 20kHz（-10dB）；</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灵敏度≤90dB；</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最大声压级：RMS110dB，Peak116dB；</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指向角度：H90°×V60°；</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输入接口：2× Neutrik NL-4；</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吊挂系统：10×M8个吊挂点</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含支架</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D4886FE">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只</w:t>
            </w: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BEF570E">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2</w:t>
            </w:r>
          </w:p>
        </w:tc>
      </w:tr>
      <w:tr w14:paraId="697DFD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904"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224149A">
            <w:pPr>
              <w:jc w:val="center"/>
              <w:rPr>
                <w:rFonts w:hint="eastAsia" w:ascii="微软雅黑" w:hAnsi="微软雅黑" w:eastAsia="微软雅黑" w:cs="微软雅黑"/>
                <w:i w:val="0"/>
                <w:iCs w:val="0"/>
                <w:color w:val="000000"/>
                <w:sz w:val="20"/>
                <w:szCs w:val="20"/>
                <w:u w:val="none"/>
              </w:rPr>
            </w:pP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255EDF2">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功放</w:t>
            </w:r>
          </w:p>
        </w:tc>
        <w:tc>
          <w:tcPr>
            <w:tcW w:w="61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6B7602E">
            <w:pPr>
              <w:keepNext w:val="0"/>
              <w:keepLines w:val="0"/>
              <w:widowControl/>
              <w:suppressLineNumbers w:val="0"/>
              <w:jc w:val="left"/>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1、输出功率立体声8Ω2X800W，4Ω2X1200W，</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2、频响：20Hz～20KHz，</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3、灵敏度：0.775V/1.4V，</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4、输入阻抗：≥20KΩ，</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 xml:space="preserve">5、信噪比＞95dB, </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6、转换速率≥80V/μs,</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7、谱波失真:≤0.05%(¼W/8Ω),</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8、互调失真:≤0.01%,</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9、阻尼系数:≥250,</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10、分离度≥80dB，</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11、使用电准：AC 180V～260V(50Hz)</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70E9326">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台</w:t>
            </w: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241920F">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1</w:t>
            </w:r>
          </w:p>
        </w:tc>
      </w:tr>
      <w:tr w14:paraId="6EEE19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904"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BBDDF54">
            <w:pPr>
              <w:jc w:val="center"/>
              <w:rPr>
                <w:rFonts w:hint="eastAsia" w:ascii="微软雅黑" w:hAnsi="微软雅黑" w:eastAsia="微软雅黑" w:cs="微软雅黑"/>
                <w:i w:val="0"/>
                <w:iCs w:val="0"/>
                <w:color w:val="000000"/>
                <w:sz w:val="20"/>
                <w:szCs w:val="20"/>
                <w:u w:val="none"/>
              </w:rPr>
            </w:pP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E2FD0A3">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无线话筒（一拖四）</w:t>
            </w:r>
          </w:p>
        </w:tc>
        <w:tc>
          <w:tcPr>
            <w:tcW w:w="61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C729333">
            <w:pPr>
              <w:keepNext w:val="0"/>
              <w:keepLines w:val="0"/>
              <w:widowControl/>
              <w:suppressLineNumbers w:val="0"/>
              <w:jc w:val="left"/>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四通道无线接收机参数：</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1.频率范围： UHF 624.2MHz-673.95MHz  CH1、CH3：624.2---648.95MHz，CH2、CH4：649.2—673.95MHz；</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2.频率稳定性： ± 0.005%；</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3.调制方式： FM；</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4.信噪比： &gt;105dB；</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5.灵敏度Sensitivity： 5dBμV；</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6.失真度： ＜0.5% @ 1KHz；</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7.接收灵敏度：-108dB；</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8.频率响应： 65Hz～18KHz ± 3dB；</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9.电源供应：DC 12V/2A；</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无线会议话筒参数：</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1.电源供应: DC 4.5V(1.5V AA*3)；</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2.话筒耗电量:160mA；</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3.谐波辐射：＜-63dBm；</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4.最大偏移度： ±45KHz；</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5.发射功率：8mW(LO)/13mW(HI)；</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8DA54FA">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套</w:t>
            </w: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5F6F6B9">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1</w:t>
            </w:r>
          </w:p>
        </w:tc>
      </w:tr>
      <w:tr w14:paraId="056763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904"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82C13BB">
            <w:pPr>
              <w:jc w:val="center"/>
              <w:rPr>
                <w:rFonts w:hint="eastAsia" w:ascii="微软雅黑" w:hAnsi="微软雅黑" w:eastAsia="微软雅黑" w:cs="微软雅黑"/>
                <w:i w:val="0"/>
                <w:iCs w:val="0"/>
                <w:color w:val="000000"/>
                <w:sz w:val="20"/>
                <w:szCs w:val="20"/>
                <w:u w:val="none"/>
              </w:rPr>
            </w:pP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2FB6EEC">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无线手持话筒</w:t>
            </w:r>
          </w:p>
        </w:tc>
        <w:tc>
          <w:tcPr>
            <w:tcW w:w="61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E0DDF2C">
            <w:pPr>
              <w:keepNext w:val="0"/>
              <w:keepLines w:val="0"/>
              <w:widowControl/>
              <w:suppressLineNumbers w:val="0"/>
              <w:jc w:val="left"/>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频率稳定度：≦±0.005%(-10~60℃)</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稳定度：±10KHz</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频率偏移：±48KHz</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假象干扰比：&lt;-50dBC</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灵敏度: 12dBμV（80dBS/N)</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灵敏度调节范围: 12-32dB/μV</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离散抑制: ≥75dB</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信噪比: &gt;102dB</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失真率: &lt;0.5%@1KHz</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天线接口: BNC/50Ω</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控制方式：电源开关、声频、频率（上/下）、功能锁定模式、频率配对</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电源：DC 12V 2000mA</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A0FD1FB">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套</w:t>
            </w: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AF47A3C">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1</w:t>
            </w:r>
          </w:p>
        </w:tc>
      </w:tr>
      <w:tr w14:paraId="47A51B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904"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E15F240">
            <w:pPr>
              <w:jc w:val="center"/>
              <w:rPr>
                <w:rFonts w:hint="eastAsia" w:ascii="微软雅黑" w:hAnsi="微软雅黑" w:eastAsia="微软雅黑" w:cs="微软雅黑"/>
                <w:i w:val="0"/>
                <w:iCs w:val="0"/>
                <w:color w:val="000000"/>
                <w:sz w:val="20"/>
                <w:szCs w:val="20"/>
                <w:u w:val="none"/>
              </w:rPr>
            </w:pP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E385EB6">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电源时序器</w:t>
            </w:r>
          </w:p>
        </w:tc>
        <w:tc>
          <w:tcPr>
            <w:tcW w:w="61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9FBA532">
            <w:pPr>
              <w:keepNext w:val="0"/>
              <w:keepLines w:val="0"/>
              <w:widowControl/>
              <w:suppressLineNumbers w:val="0"/>
              <w:jc w:val="left"/>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1.输入电流≤60A；</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 xml:space="preserve">2.单路输出电流≤30A；    </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 xml:space="preserve">3.工作电压 ：220V/50-60Hz；    </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 xml:space="preserve">4.每一路功率：≤可达2000W；       </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5.输入与输出电压：AC输入电压=AC输出电压（可选配电压：110V输入=110V输出，220V输入=220V输出，配单需注明）；</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 xml:space="preserve">6.输出电源插座：万用插座，符合欧美标准，前面板带一路直通式万用插座，后面板有8个受控万用插座；    </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 xml:space="preserve">7.插座材质：每个插座材质磷铜，均通过检验才安装；     </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 xml:space="preserve">8.每一路开关间隔时间：1秒，每一路带指示灯；        </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 xml:space="preserve">9.电路板线路：采用60%高纯度锡，高端分流技术，经强化加粗处理，防涌浪保护；   </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 xml:space="preserve">10.变压器：A&amp;C原厂正品；        </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11.具有电压显示。</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BD04E40">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台</w:t>
            </w: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5970F17">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1</w:t>
            </w:r>
          </w:p>
        </w:tc>
      </w:tr>
      <w:tr w14:paraId="1B2893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904"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CEF59C7">
            <w:pPr>
              <w:jc w:val="center"/>
              <w:rPr>
                <w:rFonts w:hint="eastAsia" w:ascii="微软雅黑" w:hAnsi="微软雅黑" w:eastAsia="微软雅黑" w:cs="微软雅黑"/>
                <w:i w:val="0"/>
                <w:iCs w:val="0"/>
                <w:color w:val="000000"/>
                <w:sz w:val="20"/>
                <w:szCs w:val="20"/>
                <w:u w:val="none"/>
              </w:rPr>
            </w:pP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7AC41FE">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弧形导轨</w:t>
            </w:r>
          </w:p>
        </w:tc>
        <w:tc>
          <w:tcPr>
            <w:tcW w:w="61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A074485">
            <w:pPr>
              <w:keepNext w:val="0"/>
              <w:keepLines w:val="0"/>
              <w:widowControl/>
              <w:suppressLineNumbers w:val="0"/>
              <w:jc w:val="left"/>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原导轨拆除；</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线路改造，排线预留；</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现场测量轨道尺寸，定制弧形导轨；</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DE6AA71">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米</w:t>
            </w: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981FF85">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120</w:t>
            </w:r>
          </w:p>
        </w:tc>
      </w:tr>
      <w:tr w14:paraId="1440D3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904"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7ACA9F0">
            <w:pPr>
              <w:jc w:val="center"/>
              <w:rPr>
                <w:rFonts w:hint="eastAsia" w:ascii="微软雅黑" w:hAnsi="微软雅黑" w:eastAsia="微软雅黑" w:cs="微软雅黑"/>
                <w:i w:val="0"/>
                <w:iCs w:val="0"/>
                <w:color w:val="000000"/>
                <w:sz w:val="20"/>
                <w:szCs w:val="20"/>
                <w:u w:val="none"/>
              </w:rPr>
            </w:pP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B70C275">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射灯</w:t>
            </w:r>
          </w:p>
        </w:tc>
        <w:tc>
          <w:tcPr>
            <w:tcW w:w="61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8FE822A">
            <w:pPr>
              <w:keepNext w:val="0"/>
              <w:keepLines w:val="0"/>
              <w:widowControl/>
              <w:suppressLineNumbers w:val="0"/>
              <w:jc w:val="left"/>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射灯拆除；</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射灯线路改造；</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包括新购射灯135个，30W、4000K；</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含射灯更换；</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FA63437">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个</w:t>
            </w: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9A49891">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135</w:t>
            </w:r>
          </w:p>
        </w:tc>
      </w:tr>
      <w:tr w14:paraId="6BE545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904"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E27BB17">
            <w:pPr>
              <w:jc w:val="center"/>
              <w:rPr>
                <w:rFonts w:hint="eastAsia" w:ascii="微软雅黑" w:hAnsi="微软雅黑" w:eastAsia="微软雅黑" w:cs="微软雅黑"/>
                <w:i w:val="0"/>
                <w:iCs w:val="0"/>
                <w:color w:val="000000"/>
                <w:sz w:val="20"/>
                <w:szCs w:val="20"/>
                <w:u w:val="none"/>
              </w:rPr>
            </w:pP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D119330">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42u机柜</w:t>
            </w:r>
          </w:p>
        </w:tc>
        <w:tc>
          <w:tcPr>
            <w:tcW w:w="61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2F4C75A">
            <w:pPr>
              <w:keepNext w:val="0"/>
              <w:keepLines w:val="0"/>
              <w:widowControl/>
              <w:suppressLineNumbers w:val="0"/>
              <w:jc w:val="left"/>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42u标准机柜；配置2台PDU</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2599935">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台</w:t>
            </w: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EA467C3">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2</w:t>
            </w:r>
          </w:p>
        </w:tc>
      </w:tr>
      <w:tr w14:paraId="52D520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904"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58EF2B7">
            <w:pPr>
              <w:jc w:val="center"/>
              <w:rPr>
                <w:rFonts w:hint="eastAsia" w:ascii="微软雅黑" w:hAnsi="微软雅黑" w:eastAsia="微软雅黑" w:cs="微软雅黑"/>
                <w:i w:val="0"/>
                <w:iCs w:val="0"/>
                <w:color w:val="000000"/>
                <w:sz w:val="20"/>
                <w:szCs w:val="20"/>
                <w:u w:val="none"/>
              </w:rPr>
            </w:pP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9B12BFD">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64路硬盘录像机</w:t>
            </w:r>
          </w:p>
        </w:tc>
        <w:tc>
          <w:tcPr>
            <w:tcW w:w="61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0D46FA6">
            <w:pPr>
              <w:keepNext w:val="0"/>
              <w:keepLines w:val="0"/>
              <w:widowControl/>
              <w:suppressLineNumbers w:val="0"/>
              <w:jc w:val="left"/>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64路8盘位硬盘录像机NVR网络监控主机</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9375BA9">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台</w:t>
            </w: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F83948E">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4</w:t>
            </w:r>
          </w:p>
        </w:tc>
      </w:tr>
      <w:tr w14:paraId="319B33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904"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5EF3CA1">
            <w:pPr>
              <w:jc w:val="center"/>
              <w:rPr>
                <w:rFonts w:hint="eastAsia" w:ascii="微软雅黑" w:hAnsi="微软雅黑" w:eastAsia="微软雅黑" w:cs="微软雅黑"/>
                <w:i w:val="0"/>
                <w:iCs w:val="0"/>
                <w:color w:val="000000"/>
                <w:sz w:val="20"/>
                <w:szCs w:val="20"/>
                <w:u w:val="none"/>
              </w:rPr>
            </w:pP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8295B18">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8T存储硬盘</w:t>
            </w:r>
          </w:p>
        </w:tc>
        <w:tc>
          <w:tcPr>
            <w:tcW w:w="61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9A691A0">
            <w:pPr>
              <w:keepNext w:val="0"/>
              <w:keepLines w:val="0"/>
              <w:widowControl/>
              <w:suppressLineNumbers w:val="0"/>
              <w:jc w:val="left"/>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监控专用8T存储硬盘；</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2585116">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个</w:t>
            </w: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F81C2BE">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28</w:t>
            </w:r>
          </w:p>
        </w:tc>
      </w:tr>
      <w:tr w14:paraId="63E103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904"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8C05A56">
            <w:pPr>
              <w:jc w:val="center"/>
              <w:rPr>
                <w:rFonts w:hint="eastAsia" w:ascii="微软雅黑" w:hAnsi="微软雅黑" w:eastAsia="微软雅黑" w:cs="微软雅黑"/>
                <w:i w:val="0"/>
                <w:iCs w:val="0"/>
                <w:color w:val="000000"/>
                <w:sz w:val="20"/>
                <w:szCs w:val="20"/>
                <w:u w:val="none"/>
              </w:rPr>
            </w:pP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0DD7A5D">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核心交换机</w:t>
            </w:r>
          </w:p>
        </w:tc>
        <w:tc>
          <w:tcPr>
            <w:tcW w:w="61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F082E73">
            <w:pPr>
              <w:keepNext w:val="0"/>
              <w:keepLines w:val="0"/>
              <w:widowControl/>
              <w:suppressLineNumbers w:val="0"/>
              <w:jc w:val="left"/>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1、设备交换容量≥35Tbps，转发性能≥7200Mpps（以官网最小值为准）；设备支持灵活插卡，模块化设计，提供独立业务插槽≥5个；模块化电源插槽≥2个；</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2、要求设备集交换功能、无线控制器功能、路由功能、基础防护功能于一体；</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3、支持多种IPv6路由技术，支持静态路由、等价路由、策略路由；支持OSPF、RIPv1/v2、BGPv4、BGP4+、IS-IS等路由协议</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4、支持出入栈策略、一般性防攻击、AAA、RADIUS、ARP安全等；</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5、支持ARP 防攻击、防内网攻击/外网攻击、支持安全地址绑定、防端口扫描攻击、防止分片报文攻击、防止ICMP flood攻击、防止Teardrop攻击、防止ICMP 重定向攻击、防止ICMP 不可达攻击</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6、支持MAC流、IP流、应用流等多层流分类和流控制能力，实现精细的流带宽控制、转发优先级等多种流策略</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7、支持日志审计、应用识别功能，配置硬盘容量≥1T</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8、提供流量限速、会话限制、URL过滤、报文过滤等多种安全特性</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9、支持自动对局域网内的交换机、无线AP等自发现、自组网、自配置，并通过云端快速完成整网设备的开通上线与配置、远程管理与运维。</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10、设备支持创建业务模板，支持图形化界面提前规划各端口业务；</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11、设备支持快速部署，实现对网络的业务规划，实现接入交换机即插即用、零配置上线。配合云管理平台支持对设备进行云端管理，远程运维。</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12、支持快速检测链路的通断和端口的环路检测功能，当设备端口检测到环路时，执行关联策略并向平台发送端口告警并记录，提供第三方权威机构检验报告复印件（具有CMA或CAL或CNAS认证章）证明。</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13、支持SNMP V1/V2/V3、Telnet、SSHv2.0；支持通过命令行或中文图形化配置软件等方式进行配置和管理</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14、配置要求：硬盘容量≥1T，电源模块≥2个，千兆光口≥8个，千兆电口≥8个，千兆POE电口≥8个，万兆光口≥4个，配置风扇≥3块，无线管理授权≥3个。</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B4309B6">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台</w:t>
            </w: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8634337">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1</w:t>
            </w:r>
          </w:p>
        </w:tc>
      </w:tr>
      <w:tr w14:paraId="084B6C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904"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9337FC0">
            <w:pPr>
              <w:jc w:val="center"/>
              <w:rPr>
                <w:rFonts w:hint="eastAsia" w:ascii="微软雅黑" w:hAnsi="微软雅黑" w:eastAsia="微软雅黑" w:cs="微软雅黑"/>
                <w:i w:val="0"/>
                <w:iCs w:val="0"/>
                <w:color w:val="000000"/>
                <w:sz w:val="20"/>
                <w:szCs w:val="20"/>
                <w:u w:val="none"/>
              </w:rPr>
            </w:pP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F554FE5">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汇聚交换机</w:t>
            </w:r>
          </w:p>
        </w:tc>
        <w:tc>
          <w:tcPr>
            <w:tcW w:w="61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ABCC8E4">
            <w:pPr>
              <w:keepNext w:val="0"/>
              <w:keepLines w:val="0"/>
              <w:widowControl/>
              <w:suppressLineNumbers w:val="0"/>
              <w:jc w:val="left"/>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1、设备交换容量≥35Tbps，转发性能≥7200Mpps（以官网最小值为准）；设备支持灵活插卡，模块化设计，提供独立业务插槽≥3个；模块化电源插槽≥2个；</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2、支持自动对局域网内的交换机、无线AP等自发现、自组网、自配置，并通过云端快速完成整网设备的开通上线与配置、远程管理与运维。</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3、设备支持创建业务模板，支持图形化界面提前规划各端口业务；</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4、设备支持快速部署，实现对网络的业务规划，实现接入交换机即插即用、零配置上线。配合云管理平台支持对设备进行云端管理，远程运维。</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5、支持快速检测链路的通断和端口的环路检测功能，当设备端口检测到环路时，执行关联策略并向平台发送端口告警并记录，；</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6、支持SNMP V1/V2/V3、Telnet、SSHv2.0；支持通过命令行或中文图形化配置软件等方式进行配置和管理</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7、配置要求：电源模块≥2个，千兆电口≥48个，万兆光口≥4个，配置风扇≥3块</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F2040BB">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台</w:t>
            </w: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9F6C19A">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2</w:t>
            </w:r>
          </w:p>
        </w:tc>
      </w:tr>
      <w:tr w14:paraId="7CBABF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904"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C17972A">
            <w:pPr>
              <w:jc w:val="center"/>
              <w:rPr>
                <w:rFonts w:hint="eastAsia" w:ascii="微软雅黑" w:hAnsi="微软雅黑" w:eastAsia="微软雅黑" w:cs="微软雅黑"/>
                <w:i w:val="0"/>
                <w:iCs w:val="0"/>
                <w:color w:val="000000"/>
                <w:sz w:val="20"/>
                <w:szCs w:val="20"/>
                <w:u w:val="none"/>
              </w:rPr>
            </w:pP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D94EBA5">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接入交换机</w:t>
            </w:r>
          </w:p>
        </w:tc>
        <w:tc>
          <w:tcPr>
            <w:tcW w:w="61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9A7EBCB">
            <w:pPr>
              <w:keepNext w:val="0"/>
              <w:keepLines w:val="0"/>
              <w:widowControl/>
              <w:suppressLineNumbers w:val="0"/>
              <w:jc w:val="left"/>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1、交换容量≥330Gbps；包转发率≥120Mpps（以官网最小值为准）；支持10/100/1000M自适应电口≥24个，1G SFP光口≥4个；固化≥1个RJ45 Console接口；</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2、支持IPv4/IPv6静态路由；</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3、支持IEEE 802.3az标准的EEE（Energy Efficient Ethernet，节能以太网）技术；</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4、支持VSU虚拟化技术；</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5、支持基础网络保护策略技术，能够限制用户向网络中发送数据包的数率，对有攻击行为的用户进行隔离，保证设备和整网的安全稳定运行；</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6、支持主动防御网络中的各种DDoS攻击</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7、支持通过命令行进行配置和管理</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8、零配置上线：交换机支持零配置上线。设备上电后可通过业务模板自动从软件获取相应配置；</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CE425D3">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台</w:t>
            </w: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F9EC009">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2</w:t>
            </w:r>
          </w:p>
        </w:tc>
      </w:tr>
      <w:tr w14:paraId="7A1F99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904"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26A50A4">
            <w:pPr>
              <w:jc w:val="center"/>
              <w:rPr>
                <w:rFonts w:hint="eastAsia" w:ascii="微软雅黑" w:hAnsi="微软雅黑" w:eastAsia="微软雅黑" w:cs="微软雅黑"/>
                <w:i w:val="0"/>
                <w:iCs w:val="0"/>
                <w:color w:val="000000"/>
                <w:sz w:val="20"/>
                <w:szCs w:val="20"/>
                <w:u w:val="none"/>
              </w:rPr>
            </w:pP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DDBC54B">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光纤配线架</w:t>
            </w:r>
          </w:p>
        </w:tc>
        <w:tc>
          <w:tcPr>
            <w:tcW w:w="61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5867955">
            <w:pPr>
              <w:keepNext w:val="0"/>
              <w:keepLines w:val="0"/>
              <w:widowControl/>
              <w:suppressLineNumbers w:val="0"/>
              <w:jc w:val="left"/>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产品名称:抽拉式光纤配线架满配</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材质厚度:1.2mm</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产品尺寸不少于490*310*44mm</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抗电强度:&lt;15kv</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接口样式:24芯</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环境温度:-25℃℃~+40°C</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相对湿度:≤85%(+30°C)</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绝缘电阻:&gt;2*104MQ</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产品功能:光缆、尾纤接续和尾纤、跳线收容</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54E6AB5">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台</w:t>
            </w: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C68B166">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9</w:t>
            </w:r>
          </w:p>
        </w:tc>
      </w:tr>
      <w:tr w14:paraId="417AC0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904"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A8FDFD9">
            <w:pPr>
              <w:jc w:val="center"/>
              <w:rPr>
                <w:rFonts w:hint="eastAsia" w:ascii="微软雅黑" w:hAnsi="微软雅黑" w:eastAsia="微软雅黑" w:cs="微软雅黑"/>
                <w:i w:val="0"/>
                <w:iCs w:val="0"/>
                <w:color w:val="000000"/>
                <w:sz w:val="20"/>
                <w:szCs w:val="20"/>
                <w:u w:val="none"/>
              </w:rPr>
            </w:pP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D8F9F16">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跳纤</w:t>
            </w:r>
          </w:p>
        </w:tc>
        <w:tc>
          <w:tcPr>
            <w:tcW w:w="61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9AF134F">
            <w:pPr>
              <w:keepNext w:val="0"/>
              <w:keepLines w:val="0"/>
              <w:widowControl/>
              <w:suppressLineNumbers w:val="0"/>
              <w:jc w:val="left"/>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3米</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FFEAB27">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根</w:t>
            </w: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F45EE5C">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101</w:t>
            </w:r>
          </w:p>
        </w:tc>
      </w:tr>
      <w:tr w14:paraId="48154E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904"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E927948">
            <w:pPr>
              <w:jc w:val="center"/>
              <w:rPr>
                <w:rFonts w:hint="eastAsia" w:ascii="微软雅黑" w:hAnsi="微软雅黑" w:eastAsia="微软雅黑" w:cs="微软雅黑"/>
                <w:i w:val="0"/>
                <w:iCs w:val="0"/>
                <w:color w:val="000000"/>
                <w:sz w:val="20"/>
                <w:szCs w:val="20"/>
                <w:u w:val="none"/>
              </w:rPr>
            </w:pP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BE32211">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光纤收发器供电箱</w:t>
            </w:r>
          </w:p>
        </w:tc>
        <w:tc>
          <w:tcPr>
            <w:tcW w:w="61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CFF4B15">
            <w:pPr>
              <w:keepNext w:val="0"/>
              <w:keepLines w:val="0"/>
              <w:widowControl/>
              <w:suppressLineNumbers w:val="0"/>
              <w:jc w:val="left"/>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结构:2U机架式</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电源输入:AC110V-265V</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储存温度:-40~70℃</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插槽数不少于16个(卡式收发器)</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电源配置:双电源热备份</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电源输出:DC5V12A</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工作湿度:5%90%</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储存湿度:5%~90%无凝结</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8DE3B5F">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台</w:t>
            </w: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FF055F1">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7</w:t>
            </w:r>
          </w:p>
        </w:tc>
      </w:tr>
      <w:tr w14:paraId="142ACC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904"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0BD060E">
            <w:pPr>
              <w:jc w:val="center"/>
              <w:rPr>
                <w:rFonts w:hint="eastAsia" w:ascii="微软雅黑" w:hAnsi="微软雅黑" w:eastAsia="微软雅黑" w:cs="微软雅黑"/>
                <w:i w:val="0"/>
                <w:iCs w:val="0"/>
                <w:color w:val="000000"/>
                <w:sz w:val="20"/>
                <w:szCs w:val="20"/>
                <w:u w:val="none"/>
              </w:rPr>
            </w:pP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399F29B">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监控平台</w:t>
            </w:r>
          </w:p>
        </w:tc>
        <w:tc>
          <w:tcPr>
            <w:tcW w:w="61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2BCE6F7">
            <w:pPr>
              <w:keepNext w:val="0"/>
              <w:keepLines w:val="0"/>
              <w:widowControl/>
              <w:suppressLineNumbers w:val="0"/>
              <w:jc w:val="left"/>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监控专用视频服务器:内存16根内存插槽:最大可扩展至 2TB</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内存支持单条容量16GB/32GB/64GB/(128GB LRDIMM)</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内存频率支持 2666/2400/2133MHz(工作频率依 CPU 和内存配置不同而不同)</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接口集成双口 RJ45 千兆网卡:</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可选配万兆双口 RJ45、万兆双口光纤、千兆四口 RJ45 等多种网络接口进行扩展</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1个RJ-45 管理接口，位于机箱后部</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4个USB 3.0接口，2个位于机箱后部、2个位于机箱前部:内置1个 USB2.0</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1个 VGA接口，位于机箱后部，可选配支持前置 VGA</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可选1个串口，位于机箱后部:</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1个 SD 卡插槽，位于机箱内部</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存储最高支持 12块 3.5寸(兼容 2.5 寸)热插拔 SAS/SATA 硬盘，均支持 SAS/SATA 硬盘混插</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支持可选2个后置热插拔 2.5 寸硬盘</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CPU 支持 Intel Xeon Skylake-Sp 系列多核处理器，高速 UPI 互连总线(10.4/9.6 GT/s，依 CPU 型号不同而不同)，大容量三级缓存(15/20/25/30/35 MB，依 CPU 型号不同而不同):TDP 最大支持 125W;</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电源标配 550W1+1 高效铂金 CRPS 冗余电源，可选 1200W</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43E2B57">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台</w:t>
            </w: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72D7D32">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1</w:t>
            </w:r>
          </w:p>
        </w:tc>
      </w:tr>
      <w:tr w14:paraId="2C2F87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904"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FCEF6F2">
            <w:pPr>
              <w:jc w:val="center"/>
              <w:rPr>
                <w:rFonts w:hint="eastAsia" w:ascii="微软雅黑" w:hAnsi="微软雅黑" w:eastAsia="微软雅黑" w:cs="微软雅黑"/>
                <w:i w:val="0"/>
                <w:iCs w:val="0"/>
                <w:color w:val="000000"/>
                <w:sz w:val="20"/>
                <w:szCs w:val="20"/>
                <w:u w:val="none"/>
              </w:rPr>
            </w:pP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A0D58E4">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监视器</w:t>
            </w:r>
          </w:p>
        </w:tc>
        <w:tc>
          <w:tcPr>
            <w:tcW w:w="61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2A1559A">
            <w:pPr>
              <w:keepNext w:val="0"/>
              <w:keepLines w:val="0"/>
              <w:widowControl/>
              <w:suppressLineNumbers w:val="0"/>
              <w:jc w:val="left"/>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65寸，含高清线5米、配套支架</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7D7688B">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台</w:t>
            </w: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356D711">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1</w:t>
            </w:r>
          </w:p>
        </w:tc>
      </w:tr>
      <w:tr w14:paraId="12772E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904"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D495803">
            <w:pPr>
              <w:jc w:val="center"/>
              <w:rPr>
                <w:rFonts w:hint="eastAsia" w:ascii="微软雅黑" w:hAnsi="微软雅黑" w:eastAsia="微软雅黑" w:cs="微软雅黑"/>
                <w:i w:val="0"/>
                <w:iCs w:val="0"/>
                <w:color w:val="000000"/>
                <w:sz w:val="20"/>
                <w:szCs w:val="20"/>
                <w:u w:val="none"/>
              </w:rPr>
            </w:pP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5CD6EED">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高密AP</w:t>
            </w:r>
          </w:p>
        </w:tc>
        <w:tc>
          <w:tcPr>
            <w:tcW w:w="61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350560C">
            <w:pPr>
              <w:keepNext w:val="0"/>
              <w:keepLines w:val="0"/>
              <w:widowControl/>
              <w:suppressLineNumbers w:val="0"/>
              <w:jc w:val="left"/>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1、支持802.11ax标准，整机空间流≥6条，采用三射频技术，一个2.4GHz射频卡，两个5GHz射频卡</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2、整机最大接入速率≥3.2Gbps。</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3、支持≥1个10/100/1000M/2.5GE电口。</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4、支持≥1个10/100/1000M以太网端口对外供电，可扩展物联网模块。</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5、支持802.3at/本地DC48V电源供电模式</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6、支持内置蓝牙</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2CFBB57">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台</w:t>
            </w: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B142F0B">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3</w:t>
            </w:r>
          </w:p>
        </w:tc>
      </w:tr>
      <w:tr w14:paraId="794A0E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3" w:hRule="atLeast"/>
        </w:trPr>
        <w:tc>
          <w:tcPr>
            <w:tcW w:w="904"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5BF9E0A">
            <w:pPr>
              <w:jc w:val="center"/>
              <w:rPr>
                <w:rFonts w:hint="eastAsia" w:ascii="微软雅黑" w:hAnsi="微软雅黑" w:eastAsia="微软雅黑" w:cs="微软雅黑"/>
                <w:i w:val="0"/>
                <w:iCs w:val="0"/>
                <w:color w:val="000000"/>
                <w:sz w:val="20"/>
                <w:szCs w:val="20"/>
                <w:u w:val="none"/>
              </w:rPr>
            </w:pP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A42AB35">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静电地板</w:t>
            </w:r>
          </w:p>
        </w:tc>
        <w:tc>
          <w:tcPr>
            <w:tcW w:w="61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FD59DD0">
            <w:pPr>
              <w:keepNext w:val="0"/>
              <w:keepLines w:val="0"/>
              <w:widowControl/>
              <w:suppressLineNumbers w:val="0"/>
              <w:jc w:val="left"/>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10平方，600*600mm</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67ED74B">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w:t>
            </w: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8C15710">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10</w:t>
            </w:r>
          </w:p>
        </w:tc>
      </w:tr>
      <w:tr w14:paraId="5CE303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904"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EA4FF78">
            <w:pPr>
              <w:jc w:val="center"/>
              <w:rPr>
                <w:rFonts w:hint="eastAsia" w:ascii="微软雅黑" w:hAnsi="微软雅黑" w:eastAsia="微软雅黑" w:cs="微软雅黑"/>
                <w:i w:val="0"/>
                <w:iCs w:val="0"/>
                <w:color w:val="000000"/>
                <w:sz w:val="20"/>
                <w:szCs w:val="20"/>
                <w:u w:val="none"/>
              </w:rPr>
            </w:pP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2826F40">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光口交换机</w:t>
            </w:r>
          </w:p>
        </w:tc>
        <w:tc>
          <w:tcPr>
            <w:tcW w:w="61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2093B2C">
            <w:pPr>
              <w:keepNext w:val="0"/>
              <w:keepLines w:val="0"/>
              <w:widowControl/>
              <w:suppressLineNumbers w:val="0"/>
              <w:jc w:val="left"/>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1光4电光纤收发器，含对端</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F5159FE">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台</w:t>
            </w: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E99A07B">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85</w:t>
            </w:r>
          </w:p>
        </w:tc>
      </w:tr>
      <w:tr w14:paraId="2C3A2C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4" w:hRule="atLeast"/>
        </w:trPr>
        <w:tc>
          <w:tcPr>
            <w:tcW w:w="904"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68829DC">
            <w:pPr>
              <w:jc w:val="center"/>
              <w:rPr>
                <w:rFonts w:hint="eastAsia" w:ascii="微软雅黑" w:hAnsi="微软雅黑" w:eastAsia="微软雅黑" w:cs="微软雅黑"/>
                <w:i w:val="0"/>
                <w:iCs w:val="0"/>
                <w:color w:val="000000"/>
                <w:sz w:val="20"/>
                <w:szCs w:val="20"/>
                <w:u w:val="none"/>
              </w:rPr>
            </w:pP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F2B1EA4">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光口交换机</w:t>
            </w:r>
          </w:p>
        </w:tc>
        <w:tc>
          <w:tcPr>
            <w:tcW w:w="61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0765366">
            <w:pPr>
              <w:keepNext w:val="0"/>
              <w:keepLines w:val="0"/>
              <w:widowControl/>
              <w:suppressLineNumbers w:val="0"/>
              <w:jc w:val="left"/>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1光8电光纤收发器，含对端</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42DEF97">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台</w:t>
            </w: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27ABA34">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15</w:t>
            </w:r>
          </w:p>
        </w:tc>
      </w:tr>
      <w:tr w14:paraId="661CD3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3" w:hRule="atLeast"/>
        </w:trPr>
        <w:tc>
          <w:tcPr>
            <w:tcW w:w="904"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8CAA7C8">
            <w:pPr>
              <w:jc w:val="center"/>
              <w:rPr>
                <w:rFonts w:hint="eastAsia" w:ascii="微软雅黑" w:hAnsi="微软雅黑" w:eastAsia="微软雅黑" w:cs="微软雅黑"/>
                <w:i w:val="0"/>
                <w:iCs w:val="0"/>
                <w:color w:val="000000"/>
                <w:sz w:val="20"/>
                <w:szCs w:val="20"/>
                <w:u w:val="none"/>
              </w:rPr>
            </w:pP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8C098DC">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尾纤</w:t>
            </w:r>
          </w:p>
        </w:tc>
        <w:tc>
          <w:tcPr>
            <w:tcW w:w="61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F216C13">
            <w:pPr>
              <w:keepNext w:val="0"/>
              <w:keepLines w:val="0"/>
              <w:widowControl/>
              <w:suppressLineNumbers w:val="0"/>
              <w:jc w:val="left"/>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2米</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7C56B74">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根</w:t>
            </w: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20927A5">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418</w:t>
            </w:r>
          </w:p>
        </w:tc>
      </w:tr>
      <w:tr w14:paraId="12822A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9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8826D5B">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互联网出口</w:t>
            </w: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F29C047">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互联网</w:t>
            </w:r>
          </w:p>
        </w:tc>
        <w:tc>
          <w:tcPr>
            <w:tcW w:w="61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FB3B42F">
            <w:pPr>
              <w:keepNext w:val="0"/>
              <w:keepLines w:val="0"/>
              <w:widowControl/>
              <w:suppressLineNumbers w:val="0"/>
              <w:jc w:val="left"/>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1条100M互联网专线，上下行对等</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331600D">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月</w:t>
            </w: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A756316">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36</w:t>
            </w:r>
          </w:p>
        </w:tc>
      </w:tr>
      <w:tr w14:paraId="460033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9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36180D2">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安装调试</w:t>
            </w: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D39622B">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安装调试</w:t>
            </w:r>
          </w:p>
        </w:tc>
        <w:tc>
          <w:tcPr>
            <w:tcW w:w="61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5698E72">
            <w:pPr>
              <w:keepNext w:val="0"/>
              <w:keepLines w:val="0"/>
              <w:widowControl/>
              <w:suppressLineNumbers w:val="0"/>
              <w:jc w:val="left"/>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机房设备的安装调试、系统的配置调试</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3C4EBD5">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项</w:t>
            </w: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B92B904">
            <w:pPr>
              <w:keepNext w:val="0"/>
              <w:keepLines w:val="0"/>
              <w:widowControl/>
              <w:suppressLineNumbers w:val="0"/>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bidi="ar"/>
              </w:rPr>
              <w:t>1</w:t>
            </w:r>
          </w:p>
        </w:tc>
      </w:tr>
    </w:tbl>
    <w:p w14:paraId="6B96CDAF">
      <w:pPr>
        <w:keepNext w:val="0"/>
        <w:keepLines w:val="0"/>
        <w:pageBreakBefore w:val="0"/>
        <w:widowControl/>
        <w:spacing w:before="240" w:after="240" w:line="240" w:lineRule="auto"/>
        <w:jc w:val="left"/>
        <w:rPr>
          <w:rFonts w:ascii="宋体" w:hAnsi="宋体" w:cs="宋体"/>
          <w:b/>
          <w:bCs/>
          <w:sz w:val="24"/>
        </w:rPr>
      </w:pPr>
      <w:r>
        <w:rPr>
          <w:rFonts w:hint="eastAsia" w:ascii="宋体" w:hAnsi="宋体" w:cs="宋体"/>
          <w:b/>
          <w:bCs/>
          <w:sz w:val="24"/>
          <w:lang w:val="en-US" w:eastAsia="zh-CN"/>
        </w:rPr>
        <w:t>五</w:t>
      </w:r>
      <w:r>
        <w:rPr>
          <w:rFonts w:hint="eastAsia" w:ascii="宋体" w:hAnsi="宋体" w:cs="宋体"/>
          <w:b/>
          <w:bCs/>
          <w:sz w:val="24"/>
        </w:rPr>
        <w:t>．履约能力要求</w:t>
      </w:r>
    </w:p>
    <w:p w14:paraId="61A603A3">
      <w:pPr>
        <w:keepNext w:val="0"/>
        <w:keepLines w:val="0"/>
        <w:pageBreakBefore w:val="0"/>
        <w:spacing w:line="240" w:lineRule="auto"/>
        <w:ind w:firstLine="48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中标人在公示后需提供产品实物和检测报告原件，若存在虚假承诺或与招标要求不符情况，采购人有权取消其中标资格。</w:t>
      </w:r>
    </w:p>
    <w:p w14:paraId="33305065">
      <w:pPr>
        <w:keepNext w:val="0"/>
        <w:keepLines w:val="0"/>
        <w:pageBreakBefore w:val="0"/>
        <w:widowControl/>
        <w:spacing w:before="240" w:after="240" w:line="240" w:lineRule="auto"/>
        <w:jc w:val="left"/>
        <w:rPr>
          <w:rFonts w:ascii="宋体" w:hAnsi="宋体"/>
          <w:sz w:val="24"/>
        </w:rPr>
      </w:pPr>
      <w:r>
        <w:rPr>
          <w:rFonts w:hint="eastAsia" w:ascii="宋体" w:hAnsi="宋体" w:cs="宋体"/>
          <w:b/>
          <w:bCs/>
          <w:sz w:val="24"/>
          <w:lang w:val="en-US" w:eastAsia="zh-CN"/>
        </w:rPr>
        <w:t>六</w:t>
      </w:r>
      <w:r>
        <w:rPr>
          <w:rFonts w:ascii="宋体" w:hAnsi="宋体" w:cs="宋体"/>
          <w:b/>
          <w:bCs/>
          <w:sz w:val="24"/>
        </w:rPr>
        <w:t>.交付（实施）的时间（期限）和地点（范围）</w:t>
      </w:r>
    </w:p>
    <w:p w14:paraId="6142EC55">
      <w:pPr>
        <w:keepNext w:val="0"/>
        <w:keepLines w:val="0"/>
        <w:pageBreakBefore w:val="0"/>
        <w:spacing w:line="240" w:lineRule="auto"/>
        <w:ind w:firstLine="48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时间：合同签订后4个月内完成。</w:t>
      </w:r>
    </w:p>
    <w:p w14:paraId="4847EC98">
      <w:pPr>
        <w:keepNext w:val="0"/>
        <w:keepLines w:val="0"/>
        <w:pageBreakBefore w:val="0"/>
        <w:spacing w:line="240" w:lineRule="auto"/>
        <w:ind w:firstLine="480"/>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地点：采购人指定地点。</w:t>
      </w:r>
    </w:p>
    <w:p w14:paraId="6CE4F93B">
      <w:pPr>
        <w:keepNext w:val="0"/>
        <w:keepLines w:val="0"/>
        <w:pageBreakBefore w:val="0"/>
        <w:widowControl/>
        <w:spacing w:before="240" w:after="240" w:line="240" w:lineRule="auto"/>
        <w:jc w:val="left"/>
        <w:rPr>
          <w:rFonts w:ascii="宋体" w:hAnsi="宋体" w:cs="宋体"/>
          <w:b/>
          <w:bCs/>
          <w:sz w:val="24"/>
        </w:rPr>
      </w:pPr>
      <w:r>
        <w:rPr>
          <w:rFonts w:hint="eastAsia" w:ascii="宋体" w:hAnsi="宋体" w:cs="宋体"/>
          <w:b/>
          <w:bCs/>
          <w:sz w:val="24"/>
          <w:lang w:val="en-US" w:eastAsia="zh-CN"/>
        </w:rPr>
        <w:t>七</w:t>
      </w:r>
      <w:r>
        <w:rPr>
          <w:rFonts w:hint="eastAsia" w:ascii="宋体" w:hAnsi="宋体" w:cs="宋体"/>
          <w:b/>
          <w:bCs/>
          <w:sz w:val="24"/>
        </w:rPr>
        <w:t>.</w:t>
      </w:r>
      <w:r>
        <w:rPr>
          <w:rFonts w:hint="eastAsia" w:ascii="宋体" w:hAnsi="宋体" w:cs="宋体"/>
          <w:b/>
          <w:bCs/>
          <w:sz w:val="24"/>
          <w:lang w:val="en-US" w:eastAsia="zh-CN"/>
        </w:rPr>
        <w:t>质量</w:t>
      </w:r>
      <w:r>
        <w:rPr>
          <w:rFonts w:hint="eastAsia" w:ascii="宋体" w:hAnsi="宋体" w:cs="宋体"/>
          <w:b/>
          <w:bCs/>
          <w:sz w:val="24"/>
        </w:rPr>
        <w:t>要求</w:t>
      </w:r>
    </w:p>
    <w:p w14:paraId="01F04F1E">
      <w:pPr>
        <w:keepNext w:val="0"/>
        <w:keepLines w:val="0"/>
        <w:pageBreakBefore w:val="0"/>
        <w:widowControl/>
        <w:spacing w:before="240" w:after="240" w:line="240" w:lineRule="auto"/>
        <w:ind w:firstLine="480"/>
        <w:jc w:val="left"/>
        <w:rPr>
          <w:rFonts w:hint="eastAsia" w:ascii="宋体" w:hAnsi="宋体" w:eastAsia="宋体" w:cs="宋体"/>
          <w:sz w:val="24"/>
          <w:highlight w:val="yellow"/>
          <w:lang w:eastAsia="zh-CN"/>
        </w:rPr>
      </w:pPr>
      <w:r>
        <w:rPr>
          <w:rFonts w:hint="eastAsia" w:ascii="宋体" w:hAnsi="宋体" w:cs="宋体"/>
          <w:sz w:val="24"/>
          <w:highlight w:val="none"/>
          <w:lang w:val="en-US" w:eastAsia="zh-CN"/>
        </w:rPr>
        <w:t>符合</w:t>
      </w:r>
      <w:r>
        <w:rPr>
          <w:rFonts w:hint="eastAsia" w:ascii="宋体" w:hAnsi="宋体" w:cs="宋体"/>
          <w:sz w:val="24"/>
          <w:highlight w:val="none"/>
        </w:rPr>
        <w:t>国家相关标准，技术标准，地方标准或者其他标准、规范</w:t>
      </w:r>
      <w:r>
        <w:rPr>
          <w:rFonts w:hint="eastAsia" w:ascii="宋体" w:hAnsi="宋体" w:cs="宋体"/>
          <w:sz w:val="24"/>
          <w:highlight w:val="none"/>
          <w:lang w:eastAsia="zh-CN"/>
        </w:rPr>
        <w:t>。</w:t>
      </w:r>
    </w:p>
    <w:p w14:paraId="1BC93A15">
      <w:pPr>
        <w:keepNext w:val="0"/>
        <w:keepLines w:val="0"/>
        <w:pageBreakBefore w:val="0"/>
        <w:widowControl/>
        <w:numPr>
          <w:ilvl w:val="0"/>
          <w:numId w:val="0"/>
        </w:numPr>
        <w:spacing w:before="240" w:after="240" w:line="240" w:lineRule="auto"/>
        <w:jc w:val="left"/>
        <w:rPr>
          <w:rFonts w:hint="eastAsia" w:ascii="宋体" w:hAnsi="宋体" w:cs="宋体"/>
          <w:b/>
          <w:bCs/>
          <w:sz w:val="24"/>
          <w:lang w:val="en-US" w:eastAsia="zh-CN"/>
        </w:rPr>
      </w:pPr>
      <w:r>
        <w:rPr>
          <w:rFonts w:hint="eastAsia" w:ascii="宋体" w:hAnsi="宋体" w:cs="宋体"/>
          <w:b/>
          <w:bCs/>
          <w:sz w:val="24"/>
          <w:lang w:val="en-US" w:eastAsia="zh-CN"/>
        </w:rPr>
        <w:t>八.验收标准</w:t>
      </w:r>
    </w:p>
    <w:p w14:paraId="623D0109">
      <w:pPr>
        <w:keepNext w:val="0"/>
        <w:keepLines w:val="0"/>
        <w:pageBreakBefore w:val="0"/>
        <w:widowControl/>
        <w:numPr>
          <w:ilvl w:val="0"/>
          <w:numId w:val="0"/>
        </w:numPr>
        <w:spacing w:before="240" w:after="240" w:line="240" w:lineRule="auto"/>
        <w:ind w:firstLine="480"/>
        <w:jc w:val="left"/>
        <w:rPr>
          <w:rFonts w:hint="default" w:ascii="宋体" w:hAnsi="宋体" w:cs="宋体"/>
          <w:sz w:val="24"/>
          <w:highlight w:val="yellow"/>
          <w:lang w:val="en-US" w:eastAsia="zh-CN"/>
        </w:rPr>
      </w:pPr>
      <w:r>
        <w:rPr>
          <w:rFonts w:hint="eastAsia" w:ascii="宋体" w:hAnsi="宋体" w:cs="宋体"/>
          <w:sz w:val="24"/>
          <w:highlight w:val="none"/>
        </w:rPr>
        <w:t>按照采购标的需执行的国家相关标准，技术标准，地方标准或者其他标准、规范予以验收。</w:t>
      </w:r>
    </w:p>
    <w:p w14:paraId="7B3E517F">
      <w:pPr>
        <w:keepNext w:val="0"/>
        <w:keepLines w:val="0"/>
        <w:pageBreakBefore w:val="0"/>
        <w:widowControl/>
        <w:spacing w:before="240" w:after="240" w:line="240" w:lineRule="auto"/>
        <w:jc w:val="left"/>
        <w:rPr>
          <w:rFonts w:hint="eastAsia" w:ascii="宋体" w:hAnsi="宋体" w:cs="宋体"/>
          <w:b/>
          <w:bCs/>
          <w:sz w:val="24"/>
        </w:rPr>
      </w:pPr>
      <w:r>
        <w:rPr>
          <w:rFonts w:hint="eastAsia" w:ascii="宋体" w:hAnsi="宋体" w:cs="宋体"/>
          <w:b/>
          <w:bCs/>
          <w:sz w:val="24"/>
          <w:lang w:val="en-US" w:eastAsia="zh-CN"/>
        </w:rPr>
        <w:t>九</w:t>
      </w:r>
      <w:r>
        <w:rPr>
          <w:rFonts w:hint="eastAsia" w:ascii="宋体" w:hAnsi="宋体" w:cs="宋体"/>
          <w:b/>
          <w:bCs/>
          <w:sz w:val="24"/>
        </w:rPr>
        <w:t>.付款方式</w:t>
      </w:r>
    </w:p>
    <w:p w14:paraId="6F0A5CB8">
      <w:pPr>
        <w:keepNext w:val="0"/>
        <w:keepLines w:val="0"/>
        <w:pageBreakBefore w:val="0"/>
        <w:widowControl/>
        <w:spacing w:before="240" w:after="240" w:line="240" w:lineRule="auto"/>
        <w:ind w:firstLine="480"/>
        <w:jc w:val="left"/>
        <w:rPr>
          <w:rFonts w:hint="eastAsia" w:ascii="宋体" w:hAnsi="宋体" w:cs="宋体"/>
          <w:sz w:val="24"/>
          <w:highlight w:val="none"/>
        </w:rPr>
      </w:pPr>
      <w:r>
        <w:rPr>
          <w:rFonts w:hint="eastAsia" w:ascii="宋体" w:hAnsi="宋体" w:cs="宋体"/>
          <w:bCs/>
          <w:sz w:val="24"/>
          <w:highlight w:val="none"/>
          <w:lang w:val="en-US" w:eastAsia="zh-CN"/>
        </w:rPr>
        <w:t>验收合格，且审计后付至审计价款的97%，剩余3%作为质保金，待3年质保期满后付清</w:t>
      </w:r>
      <w:r>
        <w:rPr>
          <w:rFonts w:hint="eastAsia" w:ascii="宋体" w:hAnsi="宋体" w:cs="宋体"/>
          <w:sz w:val="24"/>
          <w:highlight w:val="none"/>
        </w:rPr>
        <w:t>。</w:t>
      </w:r>
    </w:p>
    <w:p w14:paraId="3823D266">
      <w:pPr>
        <w:spacing w:line="360" w:lineRule="auto"/>
        <w:jc w:val="both"/>
        <w:rPr>
          <w:rFonts w:hint="eastAsia" w:ascii="宋体" w:hAnsi="宋体"/>
          <w:b/>
          <w:sz w:val="30"/>
        </w:rPr>
      </w:pPr>
    </w:p>
    <w:p w14:paraId="2374D9FA">
      <w:pPr>
        <w:spacing w:line="360" w:lineRule="auto"/>
        <w:jc w:val="center"/>
        <w:rPr>
          <w:rFonts w:ascii="宋体" w:hAnsi="宋体"/>
          <w:b/>
          <w:bCs/>
          <w:sz w:val="30"/>
          <w:szCs w:val="30"/>
        </w:rPr>
      </w:pPr>
      <w:r>
        <w:rPr>
          <w:rFonts w:hint="eastAsia" w:ascii="宋体" w:hAnsi="宋体"/>
          <w:b/>
          <w:sz w:val="30"/>
        </w:rPr>
        <w:t xml:space="preserve">第五部分    </w:t>
      </w:r>
      <w:bookmarkStart w:id="232" w:name="_Toc100386076"/>
      <w:bookmarkStart w:id="233" w:name="_Toc20821546"/>
      <w:bookmarkStart w:id="234" w:name="_Toc98669372"/>
      <w:bookmarkStart w:id="235" w:name="_Toc76955302"/>
      <w:bookmarkStart w:id="236" w:name="_Toc98669730"/>
      <w:r>
        <w:rPr>
          <w:rFonts w:hint="eastAsia" w:ascii="宋体" w:hAnsi="宋体"/>
          <w:b/>
          <w:sz w:val="30"/>
        </w:rPr>
        <w:t>评标办法和标准</w:t>
      </w:r>
    </w:p>
    <w:p w14:paraId="67343DB5">
      <w:pPr>
        <w:pStyle w:val="5"/>
        <w:keepNext w:val="0"/>
        <w:keepLines w:val="0"/>
        <w:spacing w:before="200" w:after="200" w:line="360" w:lineRule="auto"/>
        <w:ind w:firstLine="446"/>
        <w:rPr>
          <w:rFonts w:ascii="宋体" w:hAnsi="宋体"/>
          <w:sz w:val="30"/>
          <w:lang w:eastAsia="zh-CN"/>
        </w:rPr>
      </w:pPr>
      <w:r>
        <w:rPr>
          <w:rFonts w:hint="eastAsia" w:ascii="宋体" w:hAnsi="宋体"/>
          <w:sz w:val="30"/>
          <w:lang w:eastAsia="zh-CN"/>
        </w:rPr>
        <w:t>1.采购代理机构职责</w:t>
      </w:r>
    </w:p>
    <w:p w14:paraId="072FF266">
      <w:pPr>
        <w:pStyle w:val="9"/>
        <w:spacing w:line="360" w:lineRule="auto"/>
        <w:ind w:firstLine="480"/>
        <w:rPr>
          <w:rFonts w:ascii="宋体" w:hAnsi="宋体"/>
          <w:sz w:val="24"/>
          <w:lang w:eastAsia="zh-CN"/>
        </w:rPr>
      </w:pPr>
      <w:r>
        <w:rPr>
          <w:rFonts w:hint="eastAsia" w:ascii="宋体" w:hAnsi="宋体"/>
          <w:sz w:val="24"/>
          <w:lang w:eastAsia="zh-CN"/>
        </w:rPr>
        <w:t>1.1 采购代理机构负责组织评标工作，并履行下列职责：</w:t>
      </w:r>
    </w:p>
    <w:p w14:paraId="194305C4">
      <w:pPr>
        <w:pStyle w:val="9"/>
        <w:spacing w:line="360" w:lineRule="auto"/>
        <w:ind w:firstLine="360"/>
        <w:rPr>
          <w:rFonts w:ascii="宋体" w:hAnsi="宋体"/>
          <w:sz w:val="24"/>
          <w:lang w:eastAsia="zh-CN"/>
        </w:rPr>
      </w:pPr>
      <w:r>
        <w:rPr>
          <w:rFonts w:hint="eastAsia" w:ascii="宋体" w:hAnsi="宋体"/>
          <w:sz w:val="24"/>
          <w:lang w:eastAsia="zh-CN"/>
        </w:rPr>
        <w:t>（1）核对评审专家身份和采购人代表授权函，对评审专家在政府采购活动中的职责履行情况予以记录，并及时将有关违法违规行为向政府采购监管部门报告；</w:t>
      </w:r>
    </w:p>
    <w:p w14:paraId="4F57540D">
      <w:pPr>
        <w:pStyle w:val="9"/>
        <w:spacing w:line="360" w:lineRule="auto"/>
        <w:ind w:firstLine="360"/>
        <w:rPr>
          <w:rFonts w:ascii="宋体" w:hAnsi="宋体"/>
          <w:sz w:val="24"/>
          <w:lang w:eastAsia="zh-CN"/>
        </w:rPr>
      </w:pPr>
      <w:r>
        <w:rPr>
          <w:rFonts w:hint="eastAsia" w:ascii="宋体" w:hAnsi="宋体"/>
          <w:sz w:val="24"/>
          <w:lang w:eastAsia="zh-CN"/>
        </w:rPr>
        <w:t>（2）宣布评标纪律；</w:t>
      </w:r>
    </w:p>
    <w:p w14:paraId="4C373A23">
      <w:pPr>
        <w:pStyle w:val="9"/>
        <w:spacing w:line="360" w:lineRule="auto"/>
        <w:ind w:firstLine="360"/>
        <w:rPr>
          <w:rFonts w:ascii="宋体" w:hAnsi="宋体"/>
          <w:sz w:val="24"/>
          <w:lang w:eastAsia="zh-CN"/>
        </w:rPr>
      </w:pPr>
      <w:r>
        <w:rPr>
          <w:rFonts w:hint="eastAsia" w:ascii="宋体" w:hAnsi="宋体"/>
          <w:sz w:val="24"/>
          <w:lang w:eastAsia="zh-CN"/>
        </w:rPr>
        <w:t>（3）公布投标人名单，告知评审专家应当回避的情形；</w:t>
      </w:r>
    </w:p>
    <w:p w14:paraId="0ACD35EB">
      <w:pPr>
        <w:pStyle w:val="9"/>
        <w:spacing w:line="360" w:lineRule="auto"/>
        <w:ind w:firstLine="360"/>
        <w:rPr>
          <w:rFonts w:ascii="宋体" w:hAnsi="宋体"/>
          <w:sz w:val="24"/>
          <w:lang w:eastAsia="zh-CN"/>
        </w:rPr>
      </w:pPr>
      <w:r>
        <w:rPr>
          <w:rFonts w:hint="eastAsia" w:ascii="宋体" w:hAnsi="宋体"/>
          <w:sz w:val="24"/>
          <w:lang w:eastAsia="zh-CN"/>
        </w:rPr>
        <w:t>（4）组织评标委员会推选评标组长，采购人代表不得担任组长；</w:t>
      </w:r>
    </w:p>
    <w:p w14:paraId="61442CF3">
      <w:pPr>
        <w:pStyle w:val="9"/>
        <w:spacing w:line="360" w:lineRule="auto"/>
        <w:ind w:firstLine="360"/>
        <w:rPr>
          <w:rFonts w:ascii="宋体" w:hAnsi="宋体"/>
          <w:sz w:val="24"/>
          <w:lang w:eastAsia="zh-CN"/>
        </w:rPr>
      </w:pPr>
      <w:r>
        <w:rPr>
          <w:rFonts w:hint="eastAsia" w:ascii="宋体" w:hAnsi="宋体"/>
          <w:sz w:val="24"/>
          <w:lang w:eastAsia="zh-CN"/>
        </w:rPr>
        <w:t>（5）在评标期间采取必要的通讯管理措施，保证评标活动不受外界干扰；</w:t>
      </w:r>
    </w:p>
    <w:p w14:paraId="678FAC73">
      <w:pPr>
        <w:pStyle w:val="9"/>
        <w:spacing w:line="360" w:lineRule="auto"/>
        <w:ind w:firstLine="360"/>
        <w:rPr>
          <w:rFonts w:ascii="宋体" w:hAnsi="宋体"/>
          <w:sz w:val="24"/>
          <w:lang w:eastAsia="zh-CN"/>
        </w:rPr>
      </w:pPr>
      <w:r>
        <w:rPr>
          <w:rFonts w:hint="eastAsia" w:ascii="宋体" w:hAnsi="宋体"/>
          <w:sz w:val="24"/>
          <w:lang w:eastAsia="zh-CN"/>
        </w:rPr>
        <w:t>（6）根据评标委员会的要求介绍政府采购相关政策法规、招标文件；</w:t>
      </w:r>
    </w:p>
    <w:p w14:paraId="577AE3F6">
      <w:pPr>
        <w:pStyle w:val="9"/>
        <w:spacing w:line="360" w:lineRule="auto"/>
        <w:ind w:firstLine="360"/>
        <w:rPr>
          <w:rFonts w:ascii="宋体" w:hAnsi="宋体"/>
          <w:sz w:val="24"/>
          <w:lang w:eastAsia="zh-CN"/>
        </w:rPr>
      </w:pPr>
      <w:r>
        <w:rPr>
          <w:rFonts w:hint="eastAsia" w:ascii="宋体" w:hAnsi="宋体"/>
          <w:sz w:val="24"/>
          <w:lang w:eastAsia="zh-CN"/>
        </w:rPr>
        <w:t>（7）维护评标秩序，监督评标委员会依照招标文件规定的评标程序、方法和标准进行独立评审，及时制止和纠正采购人代表、评审专家的倾向性言论或者违法违规行为；</w:t>
      </w:r>
    </w:p>
    <w:p w14:paraId="4BA6C0FC">
      <w:pPr>
        <w:pStyle w:val="9"/>
        <w:spacing w:line="360" w:lineRule="auto"/>
        <w:ind w:firstLine="360"/>
        <w:rPr>
          <w:rFonts w:ascii="宋体" w:hAnsi="宋体"/>
          <w:sz w:val="24"/>
          <w:lang w:eastAsia="zh-CN"/>
        </w:rPr>
      </w:pPr>
      <w:r>
        <w:rPr>
          <w:rFonts w:hint="eastAsia" w:ascii="宋体" w:hAnsi="宋体"/>
          <w:sz w:val="24"/>
          <w:lang w:eastAsia="zh-CN"/>
        </w:rPr>
        <w:t>（8）核对评标结果，有《政府采购货物和服务招标投标管理办法》（财政部87号令）第六十四条规定情形的，要求评标委员会复核或者书面说明理由，评标委员会拒绝的，应予记录并向本级政府采购监管部门报告；</w:t>
      </w:r>
    </w:p>
    <w:p w14:paraId="0B918E2E">
      <w:pPr>
        <w:pStyle w:val="9"/>
        <w:spacing w:line="360" w:lineRule="auto"/>
        <w:ind w:firstLine="360"/>
        <w:rPr>
          <w:rFonts w:ascii="宋体" w:hAnsi="宋体"/>
          <w:sz w:val="24"/>
          <w:lang w:eastAsia="zh-CN"/>
        </w:rPr>
      </w:pPr>
      <w:r>
        <w:rPr>
          <w:rFonts w:hint="eastAsia" w:ascii="宋体" w:hAnsi="宋体"/>
          <w:sz w:val="24"/>
          <w:lang w:eastAsia="zh-CN"/>
        </w:rPr>
        <w:t>（9）评审工作完成后，按照规定向评审专家支付劳务报酬和异地评审差旅费，不得向评审专家以外的其他人员支付评审劳务报酬；</w:t>
      </w:r>
    </w:p>
    <w:p w14:paraId="545C89B1">
      <w:pPr>
        <w:pStyle w:val="9"/>
        <w:spacing w:line="360" w:lineRule="auto"/>
        <w:ind w:firstLine="360"/>
        <w:rPr>
          <w:rFonts w:ascii="宋体" w:hAnsi="宋体"/>
          <w:sz w:val="24"/>
          <w:lang w:eastAsia="zh-CN"/>
        </w:rPr>
      </w:pPr>
      <w:r>
        <w:rPr>
          <w:rFonts w:hint="eastAsia" w:ascii="宋体" w:hAnsi="宋体"/>
          <w:sz w:val="24"/>
          <w:lang w:eastAsia="zh-CN"/>
        </w:rPr>
        <w:t>（10）处理与评标有关的其他事项。</w:t>
      </w:r>
    </w:p>
    <w:p w14:paraId="03892F40">
      <w:pPr>
        <w:pStyle w:val="5"/>
        <w:keepNext w:val="0"/>
        <w:keepLines w:val="0"/>
        <w:spacing w:before="200" w:after="200" w:line="360" w:lineRule="auto"/>
        <w:ind w:firstLine="446"/>
        <w:rPr>
          <w:rFonts w:ascii="宋体" w:hAnsi="宋体"/>
          <w:sz w:val="30"/>
          <w:szCs w:val="30"/>
          <w:lang w:eastAsia="zh-CN"/>
        </w:rPr>
      </w:pPr>
      <w:r>
        <w:rPr>
          <w:rFonts w:hint="eastAsia" w:ascii="宋体" w:hAnsi="宋体"/>
          <w:sz w:val="30"/>
          <w:szCs w:val="30"/>
          <w:lang w:eastAsia="zh-CN"/>
        </w:rPr>
        <w:t>2.评标委员会职责</w:t>
      </w:r>
    </w:p>
    <w:p w14:paraId="03CC6A0A">
      <w:pPr>
        <w:pStyle w:val="5"/>
        <w:keepNext w:val="0"/>
        <w:keepLines w:val="0"/>
        <w:spacing w:before="0" w:after="0" w:line="360" w:lineRule="auto"/>
        <w:ind w:firstLine="480"/>
        <w:rPr>
          <w:rFonts w:ascii="宋体" w:hAnsi="宋体"/>
          <w:sz w:val="24"/>
          <w:szCs w:val="24"/>
          <w:lang w:eastAsia="zh-CN"/>
        </w:rPr>
      </w:pPr>
      <w:r>
        <w:rPr>
          <w:rFonts w:hint="eastAsia" w:ascii="宋体" w:hAnsi="宋体"/>
          <w:b w:val="0"/>
          <w:sz w:val="24"/>
          <w:szCs w:val="24"/>
          <w:lang w:eastAsia="zh-CN"/>
        </w:rPr>
        <w:t xml:space="preserve">2.1 评标委员会负责具体评标事务，并独立履行下列职责： </w:t>
      </w:r>
    </w:p>
    <w:p w14:paraId="32497CF7">
      <w:pPr>
        <w:spacing w:line="360" w:lineRule="auto"/>
        <w:ind w:firstLine="420"/>
        <w:rPr>
          <w:rFonts w:ascii="宋体" w:hAnsi="宋体"/>
          <w:sz w:val="24"/>
        </w:rPr>
      </w:pPr>
      <w:r>
        <w:rPr>
          <w:rFonts w:hint="eastAsia" w:ascii="宋体" w:hAnsi="宋体"/>
          <w:sz w:val="24"/>
        </w:rPr>
        <w:t xml:space="preserve">（1）审查、评价投标文件是否符合招标文件的商务、技术等实质性要求；  </w:t>
      </w:r>
    </w:p>
    <w:p w14:paraId="090583B4">
      <w:pPr>
        <w:spacing w:line="360" w:lineRule="auto"/>
        <w:ind w:firstLine="420"/>
        <w:rPr>
          <w:rFonts w:ascii="宋体" w:hAnsi="宋体"/>
          <w:sz w:val="24"/>
        </w:rPr>
      </w:pPr>
      <w:r>
        <w:rPr>
          <w:rFonts w:hint="eastAsia" w:ascii="宋体" w:hAnsi="宋体"/>
          <w:sz w:val="24"/>
        </w:rPr>
        <w:t xml:space="preserve">（2）要求投标人对投标文件有关事项作出澄清或者说明；  </w:t>
      </w:r>
    </w:p>
    <w:p w14:paraId="2A86DE6C">
      <w:pPr>
        <w:spacing w:line="360" w:lineRule="auto"/>
        <w:ind w:firstLine="420"/>
        <w:rPr>
          <w:rFonts w:ascii="宋体" w:hAnsi="宋体"/>
          <w:sz w:val="24"/>
        </w:rPr>
      </w:pPr>
      <w:r>
        <w:rPr>
          <w:rFonts w:hint="eastAsia" w:ascii="宋体" w:hAnsi="宋体"/>
          <w:sz w:val="24"/>
        </w:rPr>
        <w:t xml:space="preserve">（3）对投标文件进行比较和评价；  </w:t>
      </w:r>
    </w:p>
    <w:p w14:paraId="14973AAC">
      <w:pPr>
        <w:spacing w:line="360" w:lineRule="auto"/>
        <w:ind w:firstLine="420"/>
        <w:rPr>
          <w:rFonts w:ascii="宋体" w:hAnsi="宋体"/>
          <w:sz w:val="24"/>
        </w:rPr>
      </w:pPr>
      <w:r>
        <w:rPr>
          <w:rFonts w:hint="eastAsia" w:ascii="宋体" w:hAnsi="宋体"/>
          <w:sz w:val="24"/>
        </w:rPr>
        <w:t xml:space="preserve">（4）确定中标候选人名单，以及根据采购人委托直接确定中标人；  </w:t>
      </w:r>
    </w:p>
    <w:p w14:paraId="653CD655">
      <w:pPr>
        <w:spacing w:line="360" w:lineRule="auto"/>
        <w:ind w:firstLine="420"/>
        <w:rPr>
          <w:rFonts w:ascii="宋体" w:hAnsi="宋体"/>
          <w:sz w:val="24"/>
        </w:rPr>
      </w:pPr>
      <w:r>
        <w:rPr>
          <w:rFonts w:hint="eastAsia" w:ascii="宋体" w:hAnsi="宋体"/>
          <w:sz w:val="24"/>
        </w:rPr>
        <w:t>（5）向采购人、采购代理机构或者有关部门报告评标中发现的违法行为。</w:t>
      </w:r>
    </w:p>
    <w:p w14:paraId="4DD8C128">
      <w:pPr>
        <w:pStyle w:val="5"/>
        <w:keepNext w:val="0"/>
        <w:keepLines w:val="0"/>
        <w:spacing w:before="200" w:after="200" w:line="360" w:lineRule="auto"/>
        <w:ind w:firstLine="446"/>
        <w:rPr>
          <w:rFonts w:ascii="宋体" w:hAnsi="宋体"/>
          <w:sz w:val="30"/>
          <w:szCs w:val="30"/>
          <w:lang w:eastAsia="zh-CN"/>
        </w:rPr>
      </w:pPr>
      <w:r>
        <w:rPr>
          <w:rFonts w:hint="eastAsia" w:ascii="宋体" w:hAnsi="宋体"/>
          <w:sz w:val="30"/>
          <w:szCs w:val="30"/>
          <w:lang w:eastAsia="zh-CN"/>
        </w:rPr>
        <w:t>3.评标注意事项</w:t>
      </w:r>
    </w:p>
    <w:p w14:paraId="319B7E78">
      <w:pPr>
        <w:spacing w:line="360" w:lineRule="auto"/>
        <w:ind w:firstLine="480"/>
        <w:rPr>
          <w:rFonts w:ascii="宋体" w:hAnsi="宋体"/>
          <w:sz w:val="24"/>
        </w:rPr>
      </w:pPr>
      <w:r>
        <w:rPr>
          <w:rFonts w:hint="eastAsia" w:ascii="宋体" w:hAnsi="宋体"/>
          <w:sz w:val="24"/>
        </w:rPr>
        <w:t>3.1评标时，评标委员会各成员应当独立对每个投标人的投标文件进行评价，并汇总每个投标人的得分。</w:t>
      </w:r>
    </w:p>
    <w:p w14:paraId="46DE4DBF">
      <w:pPr>
        <w:spacing w:line="360" w:lineRule="auto"/>
        <w:ind w:left="1" w:firstLine="480"/>
        <w:rPr>
          <w:rFonts w:ascii="宋体" w:hAnsi="宋体"/>
          <w:b/>
          <w:sz w:val="24"/>
          <w:u w:val="single"/>
        </w:rPr>
      </w:pPr>
      <w:r>
        <w:rPr>
          <w:rFonts w:hint="eastAsia" w:ascii="宋体" w:hAnsi="宋体"/>
          <w:sz w:val="24"/>
        </w:rPr>
        <w:t>3.2</w:t>
      </w:r>
      <w:r>
        <w:rPr>
          <w:rFonts w:hint="eastAsia" w:ascii="宋体" w:hAnsi="宋体"/>
          <w:b/>
          <w:sz w:val="24"/>
          <w:u w:val="single"/>
        </w:rPr>
        <w:t>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p>
    <w:p w14:paraId="6E3335A5">
      <w:pPr>
        <w:spacing w:line="360" w:lineRule="auto"/>
        <w:ind w:left="1" w:firstLine="480"/>
        <w:rPr>
          <w:rFonts w:ascii="宋体" w:hAnsi="宋体"/>
          <w:sz w:val="24"/>
        </w:rPr>
      </w:pPr>
      <w:r>
        <w:rPr>
          <w:rFonts w:hint="eastAsia" w:ascii="宋体" w:hAnsi="宋体"/>
          <w:sz w:val="24"/>
        </w:rPr>
        <w:t>3.3对于投标文件中含义不明确、同类问题表述不一致或者有明显文字和计算错误的内容，评标委员会应当以书面形式要求投标人作出必要的澄清、说明或者补正。</w:t>
      </w:r>
    </w:p>
    <w:p w14:paraId="0A7E8F5B">
      <w:pPr>
        <w:spacing w:line="360" w:lineRule="auto"/>
        <w:ind w:left="1" w:firstLine="480"/>
        <w:rPr>
          <w:rFonts w:ascii="宋体" w:hAnsi="宋体"/>
          <w:sz w:val="24"/>
        </w:rPr>
      </w:pPr>
      <w:r>
        <w:rPr>
          <w:rFonts w:hint="eastAsia" w:ascii="宋体" w:hAnsi="宋体"/>
          <w:sz w:val="24"/>
        </w:rPr>
        <w:t>3.4评标委员会成员对需要共同认定的事项存在争议的，应当按照少数服从多数的原则作出结论。持不同意见的评标委员会成员应当在评标报告上签署不同意见及理由，否则视为同意评标报告。</w:t>
      </w:r>
    </w:p>
    <w:p w14:paraId="5E0FDF4A">
      <w:pPr>
        <w:spacing w:line="360" w:lineRule="auto"/>
        <w:ind w:firstLine="480"/>
        <w:rPr>
          <w:rFonts w:ascii="宋体" w:hAnsi="宋体"/>
          <w:sz w:val="24"/>
        </w:rPr>
      </w:pPr>
      <w:r>
        <w:rPr>
          <w:rFonts w:hint="eastAsia" w:ascii="宋体" w:hAnsi="宋体"/>
          <w:sz w:val="24"/>
        </w:rPr>
        <w:t>3.5评标委员会及其成员不得有下列行为：</w:t>
      </w:r>
    </w:p>
    <w:p w14:paraId="64557030">
      <w:pPr>
        <w:spacing w:line="360" w:lineRule="auto"/>
        <w:ind w:left="1" w:firstLine="480"/>
        <w:rPr>
          <w:rFonts w:ascii="宋体" w:hAnsi="宋体"/>
          <w:sz w:val="24"/>
        </w:rPr>
      </w:pPr>
      <w:r>
        <w:rPr>
          <w:rFonts w:hint="eastAsia" w:ascii="宋体" w:hAnsi="宋体"/>
          <w:sz w:val="24"/>
        </w:rPr>
        <w:t>（1）确定参与评标至评标结束前私自接触投标人；</w:t>
      </w:r>
    </w:p>
    <w:p w14:paraId="13951D41">
      <w:pPr>
        <w:spacing w:line="360" w:lineRule="auto"/>
        <w:ind w:left="1" w:firstLine="480"/>
        <w:rPr>
          <w:rFonts w:ascii="宋体" w:hAnsi="宋体"/>
          <w:sz w:val="24"/>
        </w:rPr>
      </w:pPr>
      <w:r>
        <w:rPr>
          <w:rFonts w:hint="eastAsia" w:ascii="宋体" w:hAnsi="宋体"/>
          <w:sz w:val="24"/>
        </w:rPr>
        <w:t>（2）接受投标人提出的与投标文件不一致的澄清或者说明，《政府采购货物和服务招标投标管理办法》（财政部87号令）第五十一条规定的情形除外；</w:t>
      </w:r>
    </w:p>
    <w:p w14:paraId="2D6552D9">
      <w:pPr>
        <w:spacing w:line="360" w:lineRule="auto"/>
        <w:ind w:left="1" w:firstLine="480"/>
        <w:rPr>
          <w:rFonts w:ascii="宋体" w:hAnsi="宋体"/>
          <w:sz w:val="24"/>
        </w:rPr>
      </w:pPr>
      <w:r>
        <w:rPr>
          <w:rFonts w:hint="eastAsia" w:ascii="宋体" w:hAnsi="宋体"/>
          <w:sz w:val="24"/>
        </w:rPr>
        <w:t>（3）违反评标纪律发表倾向性意见或者征询采购人的倾向性意见；</w:t>
      </w:r>
    </w:p>
    <w:p w14:paraId="43412BD9">
      <w:pPr>
        <w:spacing w:line="360" w:lineRule="auto"/>
        <w:ind w:left="1" w:firstLine="480"/>
        <w:rPr>
          <w:rFonts w:ascii="宋体" w:hAnsi="宋体"/>
          <w:sz w:val="24"/>
        </w:rPr>
      </w:pPr>
      <w:r>
        <w:rPr>
          <w:rFonts w:hint="eastAsia" w:ascii="宋体" w:hAnsi="宋体"/>
          <w:sz w:val="24"/>
        </w:rPr>
        <w:t>（4）对需要专业判断的主观评审因素协商评分；</w:t>
      </w:r>
    </w:p>
    <w:p w14:paraId="3631FF67">
      <w:pPr>
        <w:spacing w:line="360" w:lineRule="auto"/>
        <w:ind w:left="1" w:firstLine="480"/>
        <w:rPr>
          <w:rFonts w:ascii="宋体" w:hAnsi="宋体"/>
          <w:sz w:val="24"/>
        </w:rPr>
      </w:pPr>
      <w:r>
        <w:rPr>
          <w:rFonts w:hint="eastAsia" w:ascii="宋体" w:hAnsi="宋体"/>
          <w:sz w:val="24"/>
        </w:rPr>
        <w:t>（5）在评标过程中擅离职守，影响评标程序正常进行；</w:t>
      </w:r>
    </w:p>
    <w:p w14:paraId="27696221">
      <w:pPr>
        <w:spacing w:line="360" w:lineRule="auto"/>
        <w:ind w:left="1" w:firstLine="480"/>
        <w:rPr>
          <w:rFonts w:ascii="宋体" w:hAnsi="宋体"/>
          <w:sz w:val="24"/>
        </w:rPr>
      </w:pPr>
      <w:r>
        <w:rPr>
          <w:rFonts w:hint="eastAsia" w:ascii="宋体" w:hAnsi="宋体"/>
          <w:sz w:val="24"/>
        </w:rPr>
        <w:t>（6）记录、复制或者带走任何评标资料；</w:t>
      </w:r>
    </w:p>
    <w:p w14:paraId="6F70C5E0">
      <w:pPr>
        <w:spacing w:line="360" w:lineRule="auto"/>
        <w:ind w:left="1" w:firstLine="480"/>
        <w:rPr>
          <w:rFonts w:ascii="宋体" w:hAnsi="宋体"/>
          <w:sz w:val="24"/>
        </w:rPr>
      </w:pPr>
      <w:r>
        <w:rPr>
          <w:rFonts w:hint="eastAsia" w:ascii="宋体" w:hAnsi="宋体"/>
          <w:sz w:val="24"/>
        </w:rPr>
        <w:t>（7）其他不遵守评标纪律的行为。</w:t>
      </w:r>
    </w:p>
    <w:p w14:paraId="11F2A92A">
      <w:pPr>
        <w:spacing w:line="360" w:lineRule="auto"/>
        <w:ind w:left="1" w:firstLine="480"/>
        <w:rPr>
          <w:rFonts w:ascii="宋体" w:hAnsi="宋体"/>
          <w:sz w:val="24"/>
        </w:rPr>
      </w:pPr>
      <w:r>
        <w:rPr>
          <w:rFonts w:hint="eastAsia" w:ascii="宋体" w:hAnsi="宋体"/>
          <w:sz w:val="24"/>
        </w:rPr>
        <w:t>评标委员会成员有上述第一至五项行为之一的，其评审意见无效，并不得获取评审劳务报酬和报销异地评审差旅费。</w:t>
      </w:r>
    </w:p>
    <w:p w14:paraId="0F5D6531">
      <w:pPr>
        <w:spacing w:line="360" w:lineRule="auto"/>
        <w:ind w:left="1" w:firstLine="480"/>
        <w:rPr>
          <w:rFonts w:ascii="宋体" w:hAnsi="宋体"/>
          <w:sz w:val="24"/>
        </w:rPr>
      </w:pPr>
      <w:r>
        <w:rPr>
          <w:rFonts w:hint="eastAsia" w:ascii="宋体" w:hAnsi="宋体"/>
          <w:sz w:val="24"/>
        </w:rPr>
        <w:t>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p>
    <w:p w14:paraId="1371F92F">
      <w:pPr>
        <w:spacing w:line="360" w:lineRule="auto"/>
        <w:ind w:firstLine="480"/>
        <w:rPr>
          <w:rFonts w:ascii="宋体" w:hAnsi="宋体"/>
          <w:sz w:val="24"/>
        </w:rPr>
      </w:pPr>
      <w:r>
        <w:rPr>
          <w:rFonts w:hint="eastAsia" w:ascii="宋体" w:hAnsi="宋体"/>
          <w:sz w:val="24"/>
        </w:rPr>
        <w:t>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p>
    <w:p w14:paraId="44E30492">
      <w:pPr>
        <w:pStyle w:val="5"/>
        <w:keepNext w:val="0"/>
        <w:keepLines w:val="0"/>
        <w:spacing w:before="200" w:after="200" w:line="360" w:lineRule="auto"/>
        <w:ind w:firstLine="446"/>
        <w:rPr>
          <w:rFonts w:ascii="宋体" w:hAnsi="宋体"/>
          <w:sz w:val="30"/>
          <w:szCs w:val="30"/>
          <w:lang w:eastAsia="zh-CN"/>
        </w:rPr>
      </w:pPr>
      <w:r>
        <w:rPr>
          <w:rFonts w:hint="eastAsia" w:ascii="宋体" w:hAnsi="宋体"/>
          <w:sz w:val="30"/>
          <w:szCs w:val="30"/>
          <w:lang w:eastAsia="zh-CN"/>
        </w:rPr>
        <w:t>4.评标过程的保密</w:t>
      </w:r>
    </w:p>
    <w:p w14:paraId="3F05B1B0">
      <w:pPr>
        <w:spacing w:line="360" w:lineRule="auto"/>
        <w:ind w:left="1" w:firstLine="480"/>
        <w:rPr>
          <w:rFonts w:ascii="宋体" w:hAnsi="宋体"/>
          <w:sz w:val="24"/>
        </w:rPr>
      </w:pPr>
      <w:r>
        <w:rPr>
          <w:rFonts w:hint="eastAsia" w:ascii="宋体" w:hAnsi="宋体"/>
          <w:sz w:val="24"/>
        </w:rPr>
        <w:t>4.1 评标开始后，至向中标的投标人授予合同时止，与审查、澄清、评价和比较投标的有关资料以及授标建议等，均不得向投标人以及与评标无关的其他人员透露。</w:t>
      </w:r>
    </w:p>
    <w:p w14:paraId="230F7EDC">
      <w:pPr>
        <w:spacing w:line="360" w:lineRule="auto"/>
        <w:ind w:left="1" w:firstLine="480"/>
        <w:rPr>
          <w:rFonts w:ascii="宋体" w:hAnsi="宋体"/>
          <w:sz w:val="24"/>
        </w:rPr>
      </w:pPr>
      <w:r>
        <w:rPr>
          <w:rFonts w:hint="eastAsia" w:ascii="宋体" w:hAnsi="宋体"/>
          <w:sz w:val="24"/>
        </w:rPr>
        <w:t>4.2 在评标过程中，如果投标人试图在投标文件审查、澄清、比较及授标建议等方面向采购人、采购代理机构或参加评标的人员施加任何影响，都将会导致其投标无效。</w:t>
      </w:r>
    </w:p>
    <w:p w14:paraId="78BBFC62">
      <w:pPr>
        <w:spacing w:line="360" w:lineRule="auto"/>
        <w:ind w:left="1" w:firstLine="480"/>
        <w:rPr>
          <w:rFonts w:ascii="宋体" w:hAnsi="宋体"/>
          <w:sz w:val="24"/>
          <w:u w:val="single"/>
        </w:rPr>
      </w:pPr>
      <w:r>
        <w:rPr>
          <w:rFonts w:hint="eastAsia" w:ascii="宋体" w:hAnsi="宋体"/>
          <w:sz w:val="24"/>
        </w:rPr>
        <w:t>4.3</w:t>
      </w:r>
      <w:r>
        <w:rPr>
          <w:rFonts w:hint="eastAsia" w:ascii="宋体" w:hAnsi="宋体"/>
          <w:b/>
          <w:sz w:val="24"/>
          <w:u w:val="single"/>
        </w:rPr>
        <w:t>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p>
    <w:p w14:paraId="1F5AAC41">
      <w:pPr>
        <w:pStyle w:val="5"/>
        <w:keepNext w:val="0"/>
        <w:keepLines w:val="0"/>
        <w:spacing w:before="200" w:after="200" w:line="360" w:lineRule="auto"/>
        <w:ind w:firstLine="446"/>
        <w:rPr>
          <w:rFonts w:ascii="宋体" w:hAnsi="宋体"/>
          <w:sz w:val="30"/>
          <w:szCs w:val="30"/>
          <w:lang w:eastAsia="zh-CN"/>
        </w:rPr>
      </w:pPr>
      <w:r>
        <w:rPr>
          <w:rFonts w:hint="eastAsia" w:ascii="宋体" w:hAnsi="宋体"/>
          <w:sz w:val="30"/>
          <w:szCs w:val="30"/>
          <w:lang w:eastAsia="zh-CN"/>
        </w:rPr>
        <w:t>5.报价前后不一致的处理原则</w:t>
      </w:r>
    </w:p>
    <w:p w14:paraId="493C21CB">
      <w:pPr>
        <w:spacing w:line="360" w:lineRule="auto"/>
        <w:ind w:firstLine="480"/>
        <w:rPr>
          <w:rFonts w:ascii="宋体" w:hAnsi="宋体"/>
          <w:sz w:val="24"/>
        </w:rPr>
      </w:pPr>
      <w:r>
        <w:rPr>
          <w:rFonts w:hint="eastAsia" w:ascii="宋体" w:hAnsi="宋体"/>
          <w:sz w:val="24"/>
        </w:rPr>
        <w:t>5.1投标文件报价出现前后不一致的，按照下列规定修正：</w:t>
      </w:r>
    </w:p>
    <w:p w14:paraId="5B521486">
      <w:pPr>
        <w:spacing w:line="360" w:lineRule="auto"/>
        <w:ind w:left="1" w:firstLine="480"/>
        <w:rPr>
          <w:rFonts w:ascii="宋体" w:hAnsi="宋体"/>
          <w:sz w:val="24"/>
        </w:rPr>
      </w:pPr>
      <w:r>
        <w:rPr>
          <w:rFonts w:hint="eastAsia" w:ascii="宋体" w:hAnsi="宋体"/>
          <w:sz w:val="24"/>
        </w:rPr>
        <w:t>（1）投标文件中开标一览表内容与投标文件中相应内容不一致的，以开标一览表为准；</w:t>
      </w:r>
    </w:p>
    <w:p w14:paraId="6C8AF2BB">
      <w:pPr>
        <w:spacing w:line="360" w:lineRule="auto"/>
        <w:ind w:left="1" w:firstLine="480"/>
        <w:rPr>
          <w:rFonts w:ascii="宋体" w:hAnsi="宋体"/>
          <w:sz w:val="24"/>
        </w:rPr>
      </w:pPr>
      <w:r>
        <w:rPr>
          <w:rFonts w:hint="eastAsia" w:ascii="宋体" w:hAnsi="宋体"/>
          <w:sz w:val="24"/>
        </w:rPr>
        <w:t>（2）大写金额和小写金额不一致的，以大写金额为准；</w:t>
      </w:r>
    </w:p>
    <w:p w14:paraId="62066F3A">
      <w:pPr>
        <w:spacing w:line="360" w:lineRule="auto"/>
        <w:ind w:left="1" w:firstLine="480"/>
        <w:rPr>
          <w:rFonts w:ascii="宋体" w:hAnsi="宋体"/>
          <w:sz w:val="24"/>
        </w:rPr>
      </w:pPr>
      <w:r>
        <w:rPr>
          <w:rFonts w:hint="eastAsia" w:ascii="宋体" w:hAnsi="宋体"/>
          <w:sz w:val="24"/>
        </w:rPr>
        <w:t>（3）单价金额小数点或者百分比有明显错位的，以开标一览表的总价为准，并修改单价；</w:t>
      </w:r>
    </w:p>
    <w:p w14:paraId="37FE758E">
      <w:pPr>
        <w:spacing w:line="360" w:lineRule="auto"/>
        <w:ind w:left="1" w:firstLine="480"/>
        <w:rPr>
          <w:rFonts w:ascii="宋体" w:hAnsi="宋体"/>
          <w:sz w:val="24"/>
        </w:rPr>
      </w:pPr>
      <w:r>
        <w:rPr>
          <w:rFonts w:hint="eastAsia" w:ascii="宋体" w:hAnsi="宋体"/>
          <w:sz w:val="24"/>
        </w:rPr>
        <w:t>（4）总价金额与按单价汇总金额不一致的，以单价金额计算结果为准。</w:t>
      </w:r>
    </w:p>
    <w:p w14:paraId="3E64F6C4">
      <w:pPr>
        <w:spacing w:line="360" w:lineRule="auto"/>
        <w:ind w:left="1" w:firstLine="482"/>
        <w:rPr>
          <w:rFonts w:ascii="宋体" w:hAnsi="宋体"/>
          <w:sz w:val="24"/>
        </w:rPr>
      </w:pPr>
      <w:r>
        <w:rPr>
          <w:rFonts w:hint="eastAsia" w:ascii="宋体" w:hAnsi="宋体"/>
          <w:b/>
          <w:sz w:val="24"/>
        </w:rPr>
        <w:t>同时出现两种以上不一致的，按上述规定排序在先的原则进行修正</w:t>
      </w:r>
      <w:r>
        <w:rPr>
          <w:rFonts w:hint="eastAsia" w:ascii="宋体" w:hAnsi="宋体"/>
          <w:sz w:val="24"/>
        </w:rPr>
        <w:t>，修正后的报价须经投标人确认后产生约束力，投标人确认应当以书面形式，并加盖公章，或者由法定代表人或其授权代表签字。投标人不确认的，其投标无效。</w:t>
      </w:r>
    </w:p>
    <w:p w14:paraId="19F41345">
      <w:pPr>
        <w:widowControl/>
        <w:spacing w:before="200" w:after="200" w:line="360" w:lineRule="auto"/>
        <w:ind w:firstLine="446"/>
        <w:jc w:val="left"/>
        <w:rPr>
          <w:rFonts w:ascii="宋体" w:hAnsi="宋体"/>
          <w:b/>
          <w:sz w:val="30"/>
          <w:szCs w:val="30"/>
        </w:rPr>
      </w:pPr>
      <w:r>
        <w:rPr>
          <w:rFonts w:hint="eastAsia" w:ascii="宋体" w:hAnsi="宋体"/>
          <w:b/>
          <w:sz w:val="30"/>
          <w:szCs w:val="30"/>
        </w:rPr>
        <w:t>6.投标人资格审查</w:t>
      </w:r>
    </w:p>
    <w:p w14:paraId="2DE9DAE7">
      <w:pPr>
        <w:widowControl/>
        <w:spacing w:line="360" w:lineRule="auto"/>
        <w:ind w:firstLine="480"/>
        <w:jc w:val="left"/>
        <w:rPr>
          <w:rFonts w:ascii="宋体" w:hAnsi="宋体"/>
          <w:sz w:val="24"/>
        </w:rPr>
      </w:pPr>
      <w:r>
        <w:rPr>
          <w:rFonts w:ascii="Wingdings" w:hAnsi="Wingdings" w:eastAsia="Wingdings" w:cs="Wingdings"/>
          <w:sz w:val="24"/>
        </w:rPr>
        <w:t></w:t>
      </w:r>
      <w:r>
        <w:rPr>
          <w:rFonts w:hint="eastAsia" w:ascii="宋体" w:hAnsi="宋体"/>
          <w:sz w:val="24"/>
        </w:rPr>
        <w:t>6.1 采用资格后审方式</w:t>
      </w:r>
    </w:p>
    <w:p w14:paraId="2D3A451E">
      <w:pPr>
        <w:widowControl/>
        <w:spacing w:line="360" w:lineRule="auto"/>
        <w:ind w:firstLine="480"/>
        <w:jc w:val="left"/>
        <w:rPr>
          <w:rFonts w:ascii="宋体" w:hAnsi="宋体"/>
          <w:b/>
          <w:sz w:val="24"/>
        </w:rPr>
      </w:pPr>
      <w:r>
        <w:rPr>
          <w:rFonts w:hint="eastAsia" w:ascii="宋体" w:hAnsi="宋体"/>
          <w:sz w:val="24"/>
        </w:rPr>
        <w:t>开标结束后，采购人或代理机构将依法对投标人的资格进行审查。资格审查的内容如下：</w:t>
      </w:r>
    </w:p>
    <w:tbl>
      <w:tblPr>
        <w:tblStyle w:val="30"/>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54"/>
        <w:gridCol w:w="4059"/>
        <w:gridCol w:w="5016"/>
      </w:tblGrid>
      <w:tr w14:paraId="089C68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54" w:type="dxa"/>
            <w:noWrap w:val="0"/>
          </w:tcPr>
          <w:p w14:paraId="265A76B7">
            <w:pPr>
              <w:spacing w:line="360" w:lineRule="auto"/>
              <w:jc w:val="center"/>
              <w:rPr>
                <w:rFonts w:ascii="宋体" w:hAnsi="宋体"/>
                <w:b/>
                <w:sz w:val="24"/>
                <w:lang w:eastAsia="en-US"/>
              </w:rPr>
            </w:pPr>
            <w:r>
              <w:rPr>
                <w:rFonts w:hint="eastAsia" w:ascii="宋体" w:hAnsi="宋体"/>
                <w:b/>
                <w:sz w:val="24"/>
                <w:lang w:eastAsia="en-US"/>
              </w:rPr>
              <w:t>序号</w:t>
            </w:r>
          </w:p>
        </w:tc>
        <w:tc>
          <w:tcPr>
            <w:tcW w:w="4059" w:type="dxa"/>
            <w:noWrap w:val="0"/>
            <w:vAlign w:val="center"/>
          </w:tcPr>
          <w:p w14:paraId="7449AA57">
            <w:pPr>
              <w:spacing w:line="360" w:lineRule="auto"/>
              <w:jc w:val="center"/>
              <w:rPr>
                <w:rFonts w:ascii="宋体" w:hAnsi="宋体"/>
                <w:b/>
                <w:sz w:val="24"/>
                <w:lang w:eastAsia="en-US"/>
              </w:rPr>
            </w:pPr>
            <w:r>
              <w:rPr>
                <w:rFonts w:hint="eastAsia" w:ascii="宋体" w:hAnsi="宋体"/>
                <w:b/>
                <w:sz w:val="24"/>
                <w:lang w:eastAsia="en-US"/>
              </w:rPr>
              <w:t>审查要素</w:t>
            </w:r>
          </w:p>
        </w:tc>
        <w:tc>
          <w:tcPr>
            <w:tcW w:w="5016" w:type="dxa"/>
            <w:noWrap w:val="0"/>
            <w:vAlign w:val="center"/>
          </w:tcPr>
          <w:p w14:paraId="749AAC7E">
            <w:pPr>
              <w:spacing w:line="360" w:lineRule="auto"/>
              <w:jc w:val="center"/>
              <w:rPr>
                <w:rFonts w:ascii="宋体" w:hAnsi="宋体"/>
                <w:b/>
                <w:sz w:val="24"/>
                <w:lang w:eastAsia="en-US"/>
              </w:rPr>
            </w:pPr>
            <w:r>
              <w:rPr>
                <w:rFonts w:hint="eastAsia" w:ascii="宋体" w:hAnsi="宋体"/>
                <w:b/>
                <w:sz w:val="24"/>
                <w:lang w:eastAsia="en-US"/>
              </w:rPr>
              <w:t>审查内容</w:t>
            </w:r>
          </w:p>
        </w:tc>
      </w:tr>
      <w:tr w14:paraId="344E83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54" w:type="dxa"/>
            <w:noWrap w:val="0"/>
            <w:vAlign w:val="center"/>
          </w:tcPr>
          <w:p w14:paraId="7BEC4FD2">
            <w:pPr>
              <w:spacing w:line="360" w:lineRule="auto"/>
              <w:jc w:val="center"/>
              <w:rPr>
                <w:rFonts w:ascii="宋体" w:hAnsi="宋体"/>
                <w:sz w:val="24"/>
                <w:lang w:eastAsia="en-US"/>
              </w:rPr>
            </w:pPr>
            <w:r>
              <w:rPr>
                <w:rFonts w:hint="eastAsia" w:ascii="宋体" w:hAnsi="宋体"/>
                <w:sz w:val="24"/>
                <w:lang w:eastAsia="en-US"/>
              </w:rPr>
              <w:t>1</w:t>
            </w:r>
          </w:p>
        </w:tc>
        <w:tc>
          <w:tcPr>
            <w:tcW w:w="4059" w:type="dxa"/>
            <w:noWrap w:val="0"/>
            <w:vAlign w:val="center"/>
          </w:tcPr>
          <w:p w14:paraId="76F0D92A">
            <w:pPr>
              <w:spacing w:line="360" w:lineRule="auto"/>
              <w:rPr>
                <w:rFonts w:ascii="宋体" w:hAnsi="宋体"/>
                <w:sz w:val="24"/>
              </w:rPr>
            </w:pPr>
            <w:r>
              <w:rPr>
                <w:rFonts w:hint="eastAsia" w:ascii="宋体" w:hAnsi="宋体"/>
                <w:sz w:val="24"/>
              </w:rPr>
              <w:t>具有独立承担民事责任的能力</w:t>
            </w:r>
          </w:p>
        </w:tc>
        <w:tc>
          <w:tcPr>
            <w:tcW w:w="5016" w:type="dxa"/>
            <w:noWrap w:val="0"/>
          </w:tcPr>
          <w:p w14:paraId="528CB41D">
            <w:pPr>
              <w:spacing w:line="360" w:lineRule="auto"/>
              <w:rPr>
                <w:rFonts w:ascii="宋体" w:hAnsi="宋体"/>
                <w:sz w:val="24"/>
              </w:rPr>
            </w:pPr>
            <w:r>
              <w:rPr>
                <w:rFonts w:hint="eastAsia" w:ascii="宋体" w:hAnsi="宋体"/>
                <w:sz w:val="24"/>
                <w:szCs w:val="28"/>
              </w:rPr>
              <w:t>法人或者其他组织的营业执照等证明文件；自然人的身份证。</w:t>
            </w:r>
          </w:p>
        </w:tc>
      </w:tr>
      <w:tr w14:paraId="5EC989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54" w:type="dxa"/>
            <w:noWrap w:val="0"/>
            <w:vAlign w:val="center"/>
          </w:tcPr>
          <w:p w14:paraId="53D32C4E">
            <w:pPr>
              <w:spacing w:line="360" w:lineRule="auto"/>
              <w:jc w:val="center"/>
              <w:rPr>
                <w:rFonts w:ascii="宋体" w:hAnsi="宋体"/>
                <w:sz w:val="24"/>
                <w:lang w:eastAsia="en-US"/>
              </w:rPr>
            </w:pPr>
            <w:r>
              <w:rPr>
                <w:rFonts w:hint="eastAsia" w:ascii="宋体" w:hAnsi="宋体"/>
                <w:sz w:val="24"/>
                <w:lang w:eastAsia="en-US"/>
              </w:rPr>
              <w:t>2</w:t>
            </w:r>
          </w:p>
        </w:tc>
        <w:tc>
          <w:tcPr>
            <w:tcW w:w="4059" w:type="dxa"/>
            <w:noWrap w:val="0"/>
            <w:vAlign w:val="center"/>
          </w:tcPr>
          <w:p w14:paraId="77F2BB03">
            <w:pPr>
              <w:spacing w:line="360" w:lineRule="auto"/>
              <w:rPr>
                <w:rFonts w:ascii="宋体" w:hAnsi="宋体"/>
                <w:sz w:val="24"/>
              </w:rPr>
            </w:pPr>
            <w:r>
              <w:rPr>
                <w:rFonts w:hint="eastAsia" w:ascii="宋体" w:hAnsi="宋体"/>
                <w:sz w:val="24"/>
              </w:rPr>
              <w:t>具有良好的商业信誉和健全的财务会计制度</w:t>
            </w:r>
          </w:p>
        </w:tc>
        <w:tc>
          <w:tcPr>
            <w:tcW w:w="5016" w:type="dxa"/>
            <w:noWrap w:val="0"/>
            <w:vAlign w:val="center"/>
          </w:tcPr>
          <w:p w14:paraId="06F39254">
            <w:pPr>
              <w:spacing w:line="360" w:lineRule="auto"/>
              <w:rPr>
                <w:rFonts w:ascii="宋体" w:hAnsi="宋体"/>
                <w:b/>
                <w:sz w:val="24"/>
              </w:rPr>
            </w:pPr>
            <w:r>
              <w:rPr>
                <w:rFonts w:hint="eastAsia" w:ascii="宋体" w:hAnsi="宋体"/>
                <w:sz w:val="24"/>
              </w:rPr>
              <w:t>202</w:t>
            </w:r>
            <w:r>
              <w:rPr>
                <w:rFonts w:hint="eastAsia" w:ascii="宋体" w:hAnsi="宋体"/>
                <w:sz w:val="24"/>
                <w:lang w:val="en-US" w:eastAsia="zh-CN"/>
              </w:rPr>
              <w:t>4</w:t>
            </w:r>
            <w:r>
              <w:rPr>
                <w:rFonts w:hint="eastAsia" w:ascii="宋体" w:hAnsi="宋体"/>
                <w:sz w:val="24"/>
              </w:rPr>
              <w:t>年度财务报告（成立不满一年的提供至少一个月），或银行出具的资信证明，或财政部门认可的政府采购专业担保机构出具的投标担保函等或资格承诺函。</w:t>
            </w:r>
          </w:p>
        </w:tc>
      </w:tr>
      <w:tr w14:paraId="1888D6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54" w:type="dxa"/>
            <w:noWrap w:val="0"/>
            <w:vAlign w:val="center"/>
          </w:tcPr>
          <w:p w14:paraId="475A5C03">
            <w:pPr>
              <w:spacing w:line="360" w:lineRule="auto"/>
              <w:jc w:val="center"/>
              <w:rPr>
                <w:rFonts w:ascii="宋体" w:hAnsi="宋体"/>
                <w:sz w:val="24"/>
                <w:lang w:eastAsia="en-US"/>
              </w:rPr>
            </w:pPr>
            <w:r>
              <w:rPr>
                <w:rFonts w:hint="eastAsia" w:ascii="宋体" w:hAnsi="宋体"/>
                <w:sz w:val="24"/>
                <w:lang w:eastAsia="en-US"/>
              </w:rPr>
              <w:t>3</w:t>
            </w:r>
          </w:p>
        </w:tc>
        <w:tc>
          <w:tcPr>
            <w:tcW w:w="4059" w:type="dxa"/>
            <w:noWrap w:val="0"/>
            <w:vAlign w:val="center"/>
          </w:tcPr>
          <w:p w14:paraId="0C17B091">
            <w:pPr>
              <w:spacing w:line="360" w:lineRule="auto"/>
              <w:rPr>
                <w:rFonts w:ascii="宋体" w:hAnsi="宋体"/>
                <w:sz w:val="24"/>
              </w:rPr>
            </w:pPr>
            <w:r>
              <w:rPr>
                <w:rFonts w:hint="eastAsia" w:ascii="宋体" w:hAnsi="宋体"/>
                <w:sz w:val="24"/>
              </w:rPr>
              <w:t>具有履行合同所必需的设备和专业技术能力</w:t>
            </w:r>
          </w:p>
        </w:tc>
        <w:tc>
          <w:tcPr>
            <w:tcW w:w="5016" w:type="dxa"/>
            <w:noWrap w:val="0"/>
            <w:vAlign w:val="center"/>
          </w:tcPr>
          <w:p w14:paraId="2336ED30">
            <w:pPr>
              <w:spacing w:line="360" w:lineRule="auto"/>
              <w:rPr>
                <w:rFonts w:ascii="宋体" w:hAnsi="宋体"/>
                <w:sz w:val="24"/>
              </w:rPr>
            </w:pPr>
            <w:r>
              <w:rPr>
                <w:rFonts w:hint="eastAsia" w:ascii="宋体" w:hAnsi="宋体"/>
                <w:sz w:val="24"/>
              </w:rPr>
              <w:t>投标人相关信息一览表或资格承诺函。</w:t>
            </w:r>
          </w:p>
        </w:tc>
      </w:tr>
      <w:tr w14:paraId="48152A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54" w:type="dxa"/>
            <w:noWrap w:val="0"/>
            <w:vAlign w:val="center"/>
          </w:tcPr>
          <w:p w14:paraId="09411CD1">
            <w:pPr>
              <w:spacing w:line="360" w:lineRule="auto"/>
              <w:jc w:val="center"/>
              <w:rPr>
                <w:rFonts w:ascii="宋体" w:hAnsi="宋体"/>
                <w:sz w:val="24"/>
                <w:lang w:eastAsia="en-US"/>
              </w:rPr>
            </w:pPr>
            <w:r>
              <w:rPr>
                <w:rFonts w:hint="eastAsia" w:ascii="宋体" w:hAnsi="宋体"/>
                <w:sz w:val="24"/>
                <w:lang w:eastAsia="en-US"/>
              </w:rPr>
              <w:t>4</w:t>
            </w:r>
          </w:p>
        </w:tc>
        <w:tc>
          <w:tcPr>
            <w:tcW w:w="4059" w:type="dxa"/>
            <w:noWrap w:val="0"/>
            <w:vAlign w:val="center"/>
          </w:tcPr>
          <w:p w14:paraId="7916E1E4">
            <w:pPr>
              <w:spacing w:line="360" w:lineRule="auto"/>
              <w:rPr>
                <w:rFonts w:ascii="宋体" w:hAnsi="宋体"/>
                <w:sz w:val="24"/>
              </w:rPr>
            </w:pPr>
            <w:r>
              <w:rPr>
                <w:rFonts w:hint="eastAsia" w:ascii="宋体" w:hAnsi="宋体"/>
                <w:sz w:val="24"/>
              </w:rPr>
              <w:t>有依法缴纳税收和社会保障资金的良好记录</w:t>
            </w:r>
          </w:p>
        </w:tc>
        <w:tc>
          <w:tcPr>
            <w:tcW w:w="5016" w:type="dxa"/>
            <w:noWrap w:val="0"/>
            <w:vAlign w:val="center"/>
          </w:tcPr>
          <w:p w14:paraId="47365039">
            <w:pPr>
              <w:spacing w:line="360" w:lineRule="auto"/>
              <w:rPr>
                <w:rFonts w:ascii="宋体" w:hAnsi="宋体"/>
                <w:sz w:val="24"/>
              </w:rPr>
            </w:pPr>
            <w:r>
              <w:rPr>
                <w:rFonts w:hint="eastAsia" w:ascii="宋体" w:hAnsi="宋体"/>
                <w:sz w:val="24"/>
              </w:rPr>
              <w:t>参加本次政府采购活动前半年内（至少一个月）依法缴纳税收和社会保险资金的相关材料或资格承诺函。</w:t>
            </w:r>
          </w:p>
        </w:tc>
      </w:tr>
      <w:tr w14:paraId="17ECA2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54" w:type="dxa"/>
            <w:noWrap w:val="0"/>
            <w:vAlign w:val="center"/>
          </w:tcPr>
          <w:p w14:paraId="37192811">
            <w:pPr>
              <w:spacing w:line="360" w:lineRule="auto"/>
              <w:jc w:val="center"/>
              <w:rPr>
                <w:rFonts w:ascii="宋体" w:hAnsi="宋体"/>
                <w:sz w:val="24"/>
                <w:lang w:eastAsia="en-US"/>
              </w:rPr>
            </w:pPr>
            <w:r>
              <w:rPr>
                <w:rFonts w:hint="eastAsia" w:ascii="宋体" w:hAnsi="宋体"/>
                <w:sz w:val="24"/>
                <w:lang w:eastAsia="en-US"/>
              </w:rPr>
              <w:t>5</w:t>
            </w:r>
          </w:p>
        </w:tc>
        <w:tc>
          <w:tcPr>
            <w:tcW w:w="4059" w:type="dxa"/>
            <w:noWrap w:val="0"/>
            <w:vAlign w:val="center"/>
          </w:tcPr>
          <w:p w14:paraId="41111D99">
            <w:pPr>
              <w:spacing w:line="360" w:lineRule="auto"/>
              <w:rPr>
                <w:rFonts w:ascii="宋体" w:hAnsi="宋体"/>
                <w:sz w:val="24"/>
              </w:rPr>
            </w:pPr>
            <w:r>
              <w:rPr>
                <w:rFonts w:hint="eastAsia" w:ascii="宋体" w:hAnsi="宋体"/>
                <w:sz w:val="24"/>
              </w:rPr>
              <w:t>参加政府采购活动前三年内，在经营活动中没有重大违法记录</w:t>
            </w:r>
          </w:p>
        </w:tc>
        <w:tc>
          <w:tcPr>
            <w:tcW w:w="5016" w:type="dxa"/>
            <w:noWrap w:val="0"/>
            <w:vAlign w:val="center"/>
          </w:tcPr>
          <w:p w14:paraId="5A4A3393">
            <w:pPr>
              <w:spacing w:line="360" w:lineRule="auto"/>
              <w:rPr>
                <w:rFonts w:ascii="宋体" w:hAnsi="宋体"/>
                <w:sz w:val="24"/>
                <w:szCs w:val="28"/>
              </w:rPr>
            </w:pPr>
            <w:r>
              <w:rPr>
                <w:rFonts w:hint="eastAsia" w:ascii="宋体" w:hAnsi="宋体"/>
                <w:sz w:val="24"/>
              </w:rPr>
              <w:t>（1）投标函或资格承诺函。</w:t>
            </w:r>
          </w:p>
          <w:p w14:paraId="02DC85E3">
            <w:pPr>
              <w:spacing w:line="360" w:lineRule="auto"/>
              <w:rPr>
                <w:rFonts w:ascii="宋体" w:hAnsi="宋体"/>
                <w:sz w:val="24"/>
                <w:lang w:eastAsia="en-US"/>
              </w:rPr>
            </w:pPr>
            <w:r>
              <w:rPr>
                <w:rFonts w:hint="eastAsia" w:ascii="宋体" w:hAnsi="宋体"/>
                <w:sz w:val="24"/>
                <w:lang w:eastAsia="en-US"/>
              </w:rPr>
              <w:t>（2）“信用中国”网站（www.creditchina.gov.cn）、中国政府采购网（www.ccgp.gov.cn）、“信用江苏”网站（http://http://credit.jiangsu.gov.cn/）的查询结果未列入失信被执行人名单、重大税收违法案件当事人名单、政府采购严重违法失信行为名单，以现场查询为准。</w:t>
            </w:r>
          </w:p>
        </w:tc>
      </w:tr>
    </w:tbl>
    <w:p w14:paraId="0E21A2BE">
      <w:pPr>
        <w:widowControl/>
        <w:spacing w:before="200" w:after="200" w:line="360" w:lineRule="auto"/>
        <w:ind w:firstLine="446"/>
        <w:jc w:val="left"/>
        <w:rPr>
          <w:rFonts w:ascii="宋体" w:hAnsi="宋体"/>
          <w:b/>
          <w:sz w:val="30"/>
          <w:szCs w:val="30"/>
        </w:rPr>
      </w:pPr>
      <w:r>
        <w:rPr>
          <w:rFonts w:hint="eastAsia" w:ascii="宋体" w:hAnsi="宋体"/>
          <w:b/>
          <w:sz w:val="30"/>
          <w:szCs w:val="30"/>
        </w:rPr>
        <w:t>7.投标人符合性审查</w:t>
      </w:r>
    </w:p>
    <w:p w14:paraId="2DEACE80">
      <w:pPr>
        <w:spacing w:line="360" w:lineRule="auto"/>
        <w:rPr>
          <w:rFonts w:ascii="宋体" w:hAnsi="宋体"/>
          <w:sz w:val="24"/>
        </w:rPr>
      </w:pPr>
      <w:r>
        <w:rPr>
          <w:rFonts w:hint="eastAsia" w:ascii="宋体" w:hAnsi="宋体"/>
          <w:sz w:val="24"/>
        </w:rPr>
        <w:t xml:space="preserve">    7.1 评标委员会将对符合资格的投标人的投标文件进行符合性审查，审查内容主要是投标文件的有效性和对招标文件的响应程度，以确定是否满足招标文件的实质性要求。</w:t>
      </w:r>
      <w:bookmarkEnd w:id="232"/>
      <w:bookmarkEnd w:id="233"/>
      <w:bookmarkEnd w:id="234"/>
      <w:bookmarkEnd w:id="235"/>
      <w:bookmarkEnd w:id="236"/>
    </w:p>
    <w:tbl>
      <w:tblPr>
        <w:tblStyle w:val="30"/>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47"/>
        <w:gridCol w:w="4065"/>
        <w:gridCol w:w="5017"/>
      </w:tblGrid>
      <w:tr w14:paraId="64770D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84" w:type="pct"/>
            <w:noWrap/>
          </w:tcPr>
          <w:p w14:paraId="170A8852">
            <w:pPr>
              <w:spacing w:line="360" w:lineRule="auto"/>
              <w:jc w:val="center"/>
              <w:rPr>
                <w:rFonts w:ascii="宋体" w:hAnsi="宋体"/>
                <w:b/>
                <w:sz w:val="24"/>
              </w:rPr>
            </w:pPr>
            <w:r>
              <w:rPr>
                <w:rFonts w:hint="eastAsia" w:ascii="宋体" w:hAnsi="宋体"/>
                <w:b/>
                <w:sz w:val="24"/>
              </w:rPr>
              <w:t>序号</w:t>
            </w:r>
          </w:p>
        </w:tc>
        <w:tc>
          <w:tcPr>
            <w:tcW w:w="2110" w:type="pct"/>
            <w:noWrap/>
          </w:tcPr>
          <w:p w14:paraId="5A535962">
            <w:pPr>
              <w:spacing w:line="360" w:lineRule="auto"/>
              <w:jc w:val="center"/>
              <w:rPr>
                <w:rFonts w:ascii="宋体" w:hAnsi="宋体"/>
                <w:b/>
                <w:sz w:val="24"/>
              </w:rPr>
            </w:pPr>
            <w:r>
              <w:rPr>
                <w:rFonts w:hint="eastAsia" w:ascii="宋体" w:hAnsi="宋体"/>
                <w:b/>
                <w:sz w:val="24"/>
              </w:rPr>
              <w:t>审查要素</w:t>
            </w:r>
          </w:p>
        </w:tc>
        <w:tc>
          <w:tcPr>
            <w:tcW w:w="2605" w:type="pct"/>
            <w:noWrap/>
          </w:tcPr>
          <w:p w14:paraId="134ECDE5">
            <w:pPr>
              <w:spacing w:line="360" w:lineRule="auto"/>
              <w:jc w:val="center"/>
              <w:rPr>
                <w:rFonts w:ascii="宋体" w:hAnsi="宋体"/>
                <w:b/>
                <w:sz w:val="24"/>
              </w:rPr>
            </w:pPr>
            <w:r>
              <w:rPr>
                <w:rFonts w:hint="eastAsia" w:ascii="宋体" w:hAnsi="宋体"/>
                <w:b/>
                <w:sz w:val="24"/>
              </w:rPr>
              <w:t>审查内容</w:t>
            </w:r>
          </w:p>
        </w:tc>
      </w:tr>
      <w:tr w14:paraId="795375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84" w:type="pct"/>
            <w:vMerge w:val="restart"/>
            <w:noWrap/>
            <w:vAlign w:val="center"/>
          </w:tcPr>
          <w:p w14:paraId="2C2FDBD4">
            <w:pPr>
              <w:spacing w:line="360" w:lineRule="auto"/>
              <w:jc w:val="center"/>
              <w:rPr>
                <w:rFonts w:ascii="宋体" w:hAnsi="宋体"/>
                <w:sz w:val="24"/>
              </w:rPr>
            </w:pPr>
            <w:r>
              <w:rPr>
                <w:rFonts w:hint="eastAsia" w:ascii="宋体" w:hAnsi="宋体"/>
                <w:sz w:val="24"/>
              </w:rPr>
              <w:t>1</w:t>
            </w:r>
          </w:p>
          <w:p w14:paraId="1A0D6F8D">
            <w:pPr>
              <w:spacing w:line="360" w:lineRule="auto"/>
              <w:jc w:val="center"/>
              <w:rPr>
                <w:rFonts w:ascii="宋体" w:hAnsi="宋体"/>
                <w:sz w:val="24"/>
              </w:rPr>
            </w:pPr>
          </w:p>
        </w:tc>
        <w:tc>
          <w:tcPr>
            <w:tcW w:w="2110" w:type="pct"/>
            <w:vMerge w:val="restart"/>
            <w:tcBorders>
              <w:right w:val="single" w:color="auto" w:sz="4" w:space="0"/>
            </w:tcBorders>
            <w:noWrap/>
            <w:vAlign w:val="center"/>
          </w:tcPr>
          <w:p w14:paraId="0C698576">
            <w:pPr>
              <w:spacing w:line="360" w:lineRule="auto"/>
              <w:rPr>
                <w:rFonts w:ascii="宋体" w:hAnsi="宋体"/>
                <w:sz w:val="24"/>
              </w:rPr>
            </w:pPr>
            <w:r>
              <w:rPr>
                <w:rFonts w:hint="eastAsia" w:ascii="宋体" w:hAnsi="宋体"/>
                <w:sz w:val="24"/>
              </w:rPr>
              <w:t>投标文件</w:t>
            </w:r>
            <w:r>
              <w:rPr>
                <w:rFonts w:ascii="宋体" w:hAnsi="宋体"/>
                <w:sz w:val="24"/>
              </w:rPr>
              <w:t>有效性</w:t>
            </w:r>
          </w:p>
          <w:p w14:paraId="529B4F15">
            <w:pPr>
              <w:spacing w:line="360" w:lineRule="auto"/>
              <w:rPr>
                <w:rFonts w:ascii="宋体" w:hAnsi="宋体"/>
                <w:sz w:val="24"/>
              </w:rPr>
            </w:pPr>
          </w:p>
        </w:tc>
        <w:tc>
          <w:tcPr>
            <w:tcW w:w="2605" w:type="pct"/>
            <w:tcBorders>
              <w:left w:val="single" w:color="auto" w:sz="4" w:space="0"/>
              <w:bottom w:val="single" w:color="auto" w:sz="4" w:space="0"/>
            </w:tcBorders>
            <w:noWrap/>
            <w:vAlign w:val="center"/>
          </w:tcPr>
          <w:p w14:paraId="664F048D">
            <w:pPr>
              <w:spacing w:line="360" w:lineRule="auto"/>
              <w:rPr>
                <w:rFonts w:ascii="宋体" w:hAnsi="宋体"/>
                <w:sz w:val="24"/>
              </w:rPr>
            </w:pPr>
            <w:r>
              <w:rPr>
                <w:rFonts w:hint="eastAsia" w:ascii="宋体" w:hAnsi="宋体"/>
                <w:sz w:val="24"/>
              </w:rPr>
              <w:t>投标文件的有效电子签章。</w:t>
            </w:r>
          </w:p>
        </w:tc>
      </w:tr>
      <w:tr w14:paraId="5518C3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9" w:hRule="atLeast"/>
        </w:trPr>
        <w:tc>
          <w:tcPr>
            <w:tcW w:w="284" w:type="pct"/>
            <w:vMerge w:val="continue"/>
            <w:noWrap/>
            <w:vAlign w:val="center"/>
          </w:tcPr>
          <w:p w14:paraId="48A3F960">
            <w:pPr>
              <w:spacing w:line="360" w:lineRule="auto"/>
              <w:jc w:val="center"/>
              <w:rPr>
                <w:rFonts w:ascii="宋体" w:hAnsi="宋体"/>
                <w:sz w:val="24"/>
              </w:rPr>
            </w:pPr>
          </w:p>
        </w:tc>
        <w:tc>
          <w:tcPr>
            <w:tcW w:w="2110" w:type="pct"/>
            <w:vMerge w:val="continue"/>
            <w:tcBorders>
              <w:right w:val="single" w:color="auto" w:sz="4" w:space="0"/>
            </w:tcBorders>
            <w:noWrap/>
            <w:vAlign w:val="center"/>
          </w:tcPr>
          <w:p w14:paraId="7544C45B">
            <w:pPr>
              <w:spacing w:line="360" w:lineRule="auto"/>
              <w:rPr>
                <w:rFonts w:ascii="宋体" w:hAnsi="宋体"/>
                <w:sz w:val="24"/>
              </w:rPr>
            </w:pPr>
          </w:p>
        </w:tc>
        <w:tc>
          <w:tcPr>
            <w:tcW w:w="2605" w:type="pct"/>
            <w:tcBorders>
              <w:top w:val="single" w:color="auto" w:sz="4" w:space="0"/>
              <w:left w:val="single" w:color="auto" w:sz="4" w:space="0"/>
            </w:tcBorders>
            <w:noWrap/>
            <w:vAlign w:val="center"/>
          </w:tcPr>
          <w:p w14:paraId="6A080930">
            <w:pPr>
              <w:spacing w:line="360" w:lineRule="auto"/>
              <w:rPr>
                <w:rFonts w:ascii="宋体" w:hAnsi="宋体"/>
                <w:sz w:val="24"/>
              </w:rPr>
            </w:pPr>
            <w:r>
              <w:rPr>
                <w:rFonts w:hint="eastAsia" w:ascii="宋体" w:hAnsi="宋体"/>
                <w:sz w:val="24"/>
              </w:rPr>
              <w:t>投标报价。</w:t>
            </w:r>
          </w:p>
        </w:tc>
      </w:tr>
      <w:tr w14:paraId="02D42C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2" w:hRule="atLeast"/>
        </w:trPr>
        <w:tc>
          <w:tcPr>
            <w:tcW w:w="284" w:type="pct"/>
            <w:vMerge w:val="continue"/>
            <w:noWrap/>
            <w:vAlign w:val="center"/>
          </w:tcPr>
          <w:p w14:paraId="55F90FDB">
            <w:pPr>
              <w:spacing w:line="360" w:lineRule="auto"/>
              <w:jc w:val="center"/>
              <w:rPr>
                <w:rFonts w:ascii="宋体" w:hAnsi="宋体"/>
                <w:sz w:val="24"/>
              </w:rPr>
            </w:pPr>
          </w:p>
        </w:tc>
        <w:tc>
          <w:tcPr>
            <w:tcW w:w="2110" w:type="pct"/>
            <w:vMerge w:val="continue"/>
            <w:tcBorders>
              <w:right w:val="single" w:color="auto" w:sz="4" w:space="0"/>
            </w:tcBorders>
            <w:noWrap/>
            <w:vAlign w:val="center"/>
          </w:tcPr>
          <w:p w14:paraId="1FA18915">
            <w:pPr>
              <w:spacing w:line="360" w:lineRule="auto"/>
              <w:rPr>
                <w:rFonts w:ascii="宋体" w:hAnsi="宋体"/>
                <w:sz w:val="24"/>
              </w:rPr>
            </w:pPr>
          </w:p>
        </w:tc>
        <w:tc>
          <w:tcPr>
            <w:tcW w:w="2605" w:type="pct"/>
            <w:tcBorders>
              <w:top w:val="single" w:color="auto" w:sz="4" w:space="0"/>
              <w:left w:val="single" w:color="auto" w:sz="4" w:space="0"/>
            </w:tcBorders>
            <w:noWrap/>
            <w:vAlign w:val="center"/>
          </w:tcPr>
          <w:p w14:paraId="1E4197E8">
            <w:pPr>
              <w:spacing w:line="360" w:lineRule="auto"/>
              <w:rPr>
                <w:rFonts w:ascii="宋体" w:hAnsi="宋体"/>
                <w:sz w:val="24"/>
              </w:rPr>
            </w:pPr>
            <w:r>
              <w:rPr>
                <w:rFonts w:ascii="宋体" w:hAnsi="宋体"/>
                <w:sz w:val="24"/>
              </w:rPr>
              <w:t>未发现属无效投标的情形</w:t>
            </w:r>
            <w:r>
              <w:rPr>
                <w:rFonts w:hint="eastAsia" w:ascii="宋体" w:hAnsi="宋体"/>
                <w:sz w:val="24"/>
              </w:rPr>
              <w:t>。</w:t>
            </w:r>
          </w:p>
        </w:tc>
      </w:tr>
      <w:tr w14:paraId="39A32A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2" w:hRule="atLeast"/>
        </w:trPr>
        <w:tc>
          <w:tcPr>
            <w:tcW w:w="284" w:type="pct"/>
            <w:vMerge w:val="continue"/>
            <w:noWrap/>
            <w:vAlign w:val="center"/>
          </w:tcPr>
          <w:p w14:paraId="01E23CA1"/>
        </w:tc>
        <w:tc>
          <w:tcPr>
            <w:tcW w:w="2110" w:type="pct"/>
            <w:vMerge w:val="continue"/>
            <w:tcBorders>
              <w:right w:val="single" w:color="000000" w:sz="4" w:space="0"/>
            </w:tcBorders>
            <w:noWrap/>
            <w:vAlign w:val="center"/>
          </w:tcPr>
          <w:p w14:paraId="03D9C5BF"/>
        </w:tc>
        <w:tc>
          <w:tcPr>
            <w:tcW w:w="2605" w:type="pct"/>
            <w:tcBorders>
              <w:top w:val="single" w:color="000000" w:sz="4" w:space="0"/>
              <w:left w:val="single" w:color="000000" w:sz="4" w:space="0"/>
            </w:tcBorders>
            <w:noWrap/>
            <w:vAlign w:val="center"/>
          </w:tcPr>
          <w:p w14:paraId="424CFA23">
            <w:pPr>
              <w:spacing w:line="360" w:lineRule="auto"/>
              <w:rPr>
                <w:rFonts w:ascii="宋体" w:hAnsi="宋体"/>
                <w:sz w:val="24"/>
              </w:rPr>
            </w:pPr>
            <w:r>
              <w:rPr>
                <w:rFonts w:ascii="宋体" w:hAnsi="宋体"/>
                <w:sz w:val="24"/>
              </w:rPr>
              <w:t>供应商为委托人缴纳的社保证明材料。</w:t>
            </w:r>
          </w:p>
        </w:tc>
      </w:tr>
      <w:tr w14:paraId="5EC358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24" w:hRule="atLeast"/>
        </w:trPr>
        <w:tc>
          <w:tcPr>
            <w:tcW w:w="284" w:type="pct"/>
            <w:noWrap/>
            <w:vAlign w:val="center"/>
          </w:tcPr>
          <w:p w14:paraId="3C5A8BA2">
            <w:pPr>
              <w:spacing w:line="360" w:lineRule="auto"/>
              <w:jc w:val="center"/>
              <w:rPr>
                <w:rFonts w:ascii="宋体" w:hAnsi="宋体"/>
                <w:sz w:val="24"/>
              </w:rPr>
            </w:pPr>
            <w:r>
              <w:rPr>
                <w:rFonts w:hint="eastAsia" w:ascii="宋体" w:hAnsi="宋体"/>
                <w:sz w:val="24"/>
              </w:rPr>
              <w:t>2</w:t>
            </w:r>
          </w:p>
        </w:tc>
        <w:tc>
          <w:tcPr>
            <w:tcW w:w="2110" w:type="pct"/>
            <w:noWrap/>
            <w:vAlign w:val="center"/>
          </w:tcPr>
          <w:p w14:paraId="44F1DC1E">
            <w:pPr>
              <w:spacing w:line="360" w:lineRule="auto"/>
              <w:rPr>
                <w:rFonts w:ascii="宋体" w:hAnsi="宋体"/>
                <w:sz w:val="24"/>
              </w:rPr>
            </w:pPr>
            <w:r>
              <w:rPr>
                <w:rFonts w:hint="eastAsia" w:ascii="宋体" w:hAnsi="宋体"/>
                <w:sz w:val="24"/>
              </w:rPr>
              <w:t>对招标文件响应程度</w:t>
            </w:r>
          </w:p>
        </w:tc>
        <w:tc>
          <w:tcPr>
            <w:tcW w:w="2605" w:type="pct"/>
            <w:noWrap/>
          </w:tcPr>
          <w:p w14:paraId="0C7196E0">
            <w:pPr>
              <w:spacing w:line="360" w:lineRule="auto"/>
              <w:rPr>
                <w:rFonts w:ascii="宋体" w:hAnsi="宋体"/>
                <w:sz w:val="24"/>
              </w:rPr>
            </w:pPr>
            <w:r>
              <w:rPr>
                <w:rFonts w:hint="eastAsia" w:ascii="宋体" w:hAnsi="宋体"/>
                <w:sz w:val="24"/>
              </w:rPr>
              <w:t>审查投标文件，以确定其是否满足招标文件的实质性要求。不满足招标文件的实质性要求的，投标无效。</w:t>
            </w:r>
          </w:p>
        </w:tc>
      </w:tr>
    </w:tbl>
    <w:p w14:paraId="40CE825B">
      <w:pPr>
        <w:widowControl/>
        <w:spacing w:before="200" w:after="200" w:line="360" w:lineRule="auto"/>
        <w:ind w:firstLine="446"/>
        <w:jc w:val="left"/>
        <w:rPr>
          <w:rFonts w:ascii="宋体" w:hAnsi="宋体"/>
          <w:b/>
          <w:sz w:val="30"/>
          <w:szCs w:val="30"/>
        </w:rPr>
      </w:pPr>
      <w:r>
        <w:rPr>
          <w:rFonts w:hint="eastAsia" w:ascii="宋体" w:hAnsi="宋体"/>
          <w:b/>
          <w:sz w:val="30"/>
          <w:szCs w:val="30"/>
        </w:rPr>
        <w:t>8.商务和技术评估</w:t>
      </w:r>
    </w:p>
    <w:p w14:paraId="4E2C91AD">
      <w:pPr>
        <w:widowControl/>
        <w:spacing w:line="360" w:lineRule="auto"/>
        <w:ind w:firstLine="420"/>
        <w:jc w:val="left"/>
        <w:rPr>
          <w:rFonts w:ascii="宋体" w:hAnsi="宋体"/>
          <w:sz w:val="24"/>
        </w:rPr>
      </w:pPr>
      <w:r>
        <w:rPr>
          <w:rFonts w:ascii="Segoe UI Symbol" w:hAnsi="Segoe UI Symbol" w:cs="Segoe UI Symbol"/>
          <w:sz w:val="24"/>
        </w:rPr>
        <w:t>☑</w:t>
      </w:r>
      <w:r>
        <w:rPr>
          <w:rFonts w:hint="eastAsia" w:ascii="宋体" w:hAnsi="宋体"/>
          <w:sz w:val="24"/>
        </w:rPr>
        <w:t xml:space="preserve">8.1 </w:t>
      </w:r>
      <w:r>
        <w:rPr>
          <w:rFonts w:hint="eastAsia" w:ascii="宋体" w:hAnsi="宋体"/>
          <w:b/>
          <w:sz w:val="24"/>
        </w:rPr>
        <w:t>本项目采用综合评分法。</w:t>
      </w:r>
    </w:p>
    <w:tbl>
      <w:tblPr>
        <w:tblStyle w:val="30"/>
        <w:tblW w:w="5000" w:type="pct"/>
        <w:tblInd w:w="0"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top w:w="0" w:type="dxa"/>
          <w:left w:w="0" w:type="dxa"/>
          <w:bottom w:w="0" w:type="dxa"/>
          <w:right w:w="0" w:type="dxa"/>
        </w:tblCellMar>
      </w:tblPr>
      <w:tblGrid>
        <w:gridCol w:w="2342"/>
        <w:gridCol w:w="2297"/>
        <w:gridCol w:w="2237"/>
        <w:gridCol w:w="2553"/>
      </w:tblGrid>
      <w:tr w14:paraId="4972EB8D">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2342" w:type="dxa"/>
            <w:tcBorders>
              <w:top w:val="single" w:color="000000" w:sz="6" w:space="0"/>
              <w:left w:val="single" w:color="000000" w:sz="6" w:space="0"/>
              <w:bottom w:val="single" w:color="000000" w:sz="6" w:space="0"/>
              <w:right w:val="single" w:color="000000" w:sz="6" w:space="0"/>
            </w:tcBorders>
            <w:noWrap w:val="0"/>
            <w:vAlign w:val="center"/>
          </w:tcPr>
          <w:p w14:paraId="134EE3F0">
            <w:pPr>
              <w:spacing w:line="360" w:lineRule="auto"/>
              <w:jc w:val="center"/>
              <w:rPr>
                <w:rFonts w:ascii="宋体" w:hAnsi="宋体"/>
                <w:b/>
                <w:sz w:val="24"/>
                <w:highlight w:val="none"/>
                <w:lang w:eastAsia="en-US"/>
              </w:rPr>
            </w:pPr>
            <w:r>
              <w:rPr>
                <w:rFonts w:ascii="宋体" w:hAnsi="宋体"/>
                <w:b/>
                <w:sz w:val="24"/>
                <w:highlight w:val="none"/>
                <w:lang w:eastAsia="en-US"/>
              </w:rPr>
              <w:t>评分项目</w:t>
            </w:r>
          </w:p>
        </w:tc>
        <w:tc>
          <w:tcPr>
            <w:tcW w:w="2297" w:type="dxa"/>
            <w:tcBorders>
              <w:top w:val="single" w:color="000000" w:sz="6" w:space="0"/>
              <w:left w:val="single" w:color="000000" w:sz="6" w:space="0"/>
              <w:bottom w:val="single" w:color="000000" w:sz="6" w:space="0"/>
              <w:right w:val="single" w:color="000000" w:sz="6" w:space="0"/>
            </w:tcBorders>
            <w:noWrap w:val="0"/>
            <w:vAlign w:val="center"/>
          </w:tcPr>
          <w:p w14:paraId="1365173C">
            <w:pPr>
              <w:spacing w:line="360" w:lineRule="auto"/>
              <w:jc w:val="center"/>
              <w:rPr>
                <w:rFonts w:ascii="宋体" w:hAnsi="宋体"/>
                <w:b/>
                <w:sz w:val="24"/>
                <w:highlight w:val="none"/>
                <w:lang w:eastAsia="en-US"/>
              </w:rPr>
            </w:pPr>
            <w:r>
              <w:rPr>
                <w:rFonts w:hint="eastAsia" w:ascii="宋体" w:hAnsi="宋体"/>
                <w:b/>
                <w:sz w:val="24"/>
                <w:highlight w:val="none"/>
                <w:lang w:eastAsia="en-US"/>
              </w:rPr>
              <w:t>技术评估</w:t>
            </w:r>
          </w:p>
        </w:tc>
        <w:tc>
          <w:tcPr>
            <w:tcW w:w="2237" w:type="dxa"/>
            <w:tcBorders>
              <w:top w:val="single" w:color="000000" w:sz="6" w:space="0"/>
              <w:left w:val="single" w:color="000000" w:sz="6" w:space="0"/>
              <w:bottom w:val="single" w:color="000000" w:sz="6" w:space="0"/>
              <w:right w:val="single" w:color="000000" w:sz="6" w:space="0"/>
            </w:tcBorders>
            <w:noWrap w:val="0"/>
            <w:vAlign w:val="center"/>
          </w:tcPr>
          <w:p w14:paraId="58B2D8D3">
            <w:pPr>
              <w:spacing w:line="360" w:lineRule="auto"/>
              <w:jc w:val="center"/>
              <w:rPr>
                <w:rFonts w:ascii="宋体" w:hAnsi="宋体"/>
                <w:b/>
                <w:sz w:val="24"/>
                <w:highlight w:val="none"/>
                <w:lang w:eastAsia="en-US"/>
              </w:rPr>
            </w:pPr>
            <w:r>
              <w:rPr>
                <w:rFonts w:hint="eastAsia" w:ascii="宋体" w:hAnsi="宋体"/>
                <w:b/>
                <w:sz w:val="24"/>
                <w:highlight w:val="none"/>
                <w:lang w:eastAsia="en-US"/>
              </w:rPr>
              <w:t>商务评估</w:t>
            </w:r>
          </w:p>
        </w:tc>
        <w:tc>
          <w:tcPr>
            <w:tcW w:w="2553" w:type="dxa"/>
            <w:tcBorders>
              <w:top w:val="single" w:color="000000" w:sz="6" w:space="0"/>
              <w:left w:val="single" w:color="000000" w:sz="6" w:space="0"/>
              <w:bottom w:val="single" w:color="000000" w:sz="6" w:space="0"/>
              <w:right w:val="single" w:color="000000" w:sz="6" w:space="0"/>
            </w:tcBorders>
            <w:noWrap w:val="0"/>
            <w:vAlign w:val="center"/>
          </w:tcPr>
          <w:p w14:paraId="0CD757D7">
            <w:pPr>
              <w:spacing w:line="360" w:lineRule="auto"/>
              <w:jc w:val="center"/>
              <w:rPr>
                <w:rFonts w:ascii="宋体" w:hAnsi="宋体"/>
                <w:b/>
                <w:sz w:val="24"/>
                <w:highlight w:val="none"/>
                <w:lang w:eastAsia="en-US"/>
              </w:rPr>
            </w:pPr>
            <w:r>
              <w:rPr>
                <w:rFonts w:ascii="宋体" w:hAnsi="宋体"/>
                <w:b/>
                <w:sz w:val="24"/>
                <w:highlight w:val="none"/>
                <w:lang w:eastAsia="en-US"/>
              </w:rPr>
              <w:t>价格</w:t>
            </w:r>
            <w:r>
              <w:rPr>
                <w:rFonts w:hint="eastAsia" w:ascii="宋体" w:hAnsi="宋体"/>
                <w:b/>
                <w:sz w:val="24"/>
                <w:highlight w:val="none"/>
                <w:lang w:eastAsia="en-US"/>
              </w:rPr>
              <w:t>评估</w:t>
            </w:r>
          </w:p>
        </w:tc>
      </w:tr>
      <w:tr w14:paraId="23715D91">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2342" w:type="dxa"/>
            <w:tcBorders>
              <w:top w:val="single" w:color="000000" w:sz="6" w:space="0"/>
              <w:left w:val="single" w:color="000000" w:sz="6" w:space="0"/>
              <w:bottom w:val="single" w:color="000000" w:sz="6" w:space="0"/>
              <w:right w:val="single" w:color="000000" w:sz="6" w:space="0"/>
            </w:tcBorders>
            <w:noWrap w:val="0"/>
            <w:vAlign w:val="center"/>
          </w:tcPr>
          <w:p w14:paraId="5D40A913">
            <w:pPr>
              <w:spacing w:line="360" w:lineRule="auto"/>
              <w:jc w:val="center"/>
              <w:rPr>
                <w:rFonts w:ascii="宋体" w:hAnsi="宋体"/>
                <w:b/>
                <w:sz w:val="24"/>
                <w:highlight w:val="none"/>
                <w:lang w:eastAsia="en-US"/>
              </w:rPr>
            </w:pPr>
            <w:r>
              <w:rPr>
                <w:rFonts w:ascii="宋体" w:hAnsi="宋体"/>
                <w:b/>
                <w:sz w:val="24"/>
                <w:highlight w:val="none"/>
                <w:lang w:eastAsia="en-US"/>
              </w:rPr>
              <w:t>分值</w:t>
            </w:r>
          </w:p>
        </w:tc>
        <w:tc>
          <w:tcPr>
            <w:tcW w:w="2297" w:type="dxa"/>
            <w:tcBorders>
              <w:top w:val="single" w:color="000000" w:sz="6" w:space="0"/>
              <w:left w:val="single" w:color="000000" w:sz="6" w:space="0"/>
              <w:bottom w:val="single" w:color="000000" w:sz="6" w:space="0"/>
              <w:right w:val="single" w:color="000000" w:sz="6" w:space="0"/>
            </w:tcBorders>
            <w:noWrap w:val="0"/>
            <w:vAlign w:val="center"/>
          </w:tcPr>
          <w:p w14:paraId="299C1F3A">
            <w:pPr>
              <w:spacing w:line="360" w:lineRule="auto"/>
              <w:jc w:val="center"/>
              <w:rPr>
                <w:rFonts w:ascii="宋体" w:hAnsi="宋体"/>
                <w:b/>
                <w:sz w:val="24"/>
                <w:highlight w:val="none"/>
                <w:lang w:eastAsia="en-US"/>
              </w:rPr>
            </w:pPr>
            <w:r>
              <w:rPr>
                <w:rFonts w:hint="eastAsia" w:ascii="宋体" w:hAnsi="宋体"/>
                <w:b/>
                <w:sz w:val="24"/>
                <w:highlight w:val="none"/>
                <w:lang w:val="en-US" w:eastAsia="zh-CN"/>
              </w:rPr>
              <w:t>40</w:t>
            </w:r>
            <w:r>
              <w:rPr>
                <w:rFonts w:ascii="宋体" w:hAnsi="宋体"/>
                <w:b/>
                <w:sz w:val="24"/>
                <w:highlight w:val="none"/>
                <w:lang w:eastAsia="en-US"/>
              </w:rPr>
              <w:t>分</w:t>
            </w:r>
          </w:p>
        </w:tc>
        <w:tc>
          <w:tcPr>
            <w:tcW w:w="2237" w:type="dxa"/>
            <w:tcBorders>
              <w:top w:val="single" w:color="000000" w:sz="6" w:space="0"/>
              <w:left w:val="single" w:color="000000" w:sz="6" w:space="0"/>
              <w:bottom w:val="single" w:color="000000" w:sz="6" w:space="0"/>
              <w:right w:val="single" w:color="000000" w:sz="6" w:space="0"/>
            </w:tcBorders>
            <w:noWrap w:val="0"/>
            <w:vAlign w:val="center"/>
          </w:tcPr>
          <w:p w14:paraId="1EB6DD72">
            <w:pPr>
              <w:spacing w:line="360" w:lineRule="auto"/>
              <w:jc w:val="center"/>
              <w:rPr>
                <w:rFonts w:ascii="宋体" w:hAnsi="宋体"/>
                <w:b/>
                <w:sz w:val="24"/>
                <w:highlight w:val="none"/>
              </w:rPr>
            </w:pPr>
            <w:r>
              <w:rPr>
                <w:rFonts w:hint="eastAsia" w:ascii="宋体" w:hAnsi="宋体"/>
                <w:b/>
                <w:sz w:val="24"/>
                <w:highlight w:val="none"/>
                <w:lang w:val="en-US" w:eastAsia="zh-CN"/>
              </w:rPr>
              <w:t>10</w:t>
            </w:r>
            <w:r>
              <w:rPr>
                <w:rFonts w:hint="eastAsia" w:ascii="宋体" w:hAnsi="宋体"/>
                <w:b/>
                <w:sz w:val="24"/>
                <w:highlight w:val="none"/>
              </w:rPr>
              <w:t>分</w:t>
            </w:r>
          </w:p>
        </w:tc>
        <w:tc>
          <w:tcPr>
            <w:tcW w:w="2553" w:type="dxa"/>
            <w:tcBorders>
              <w:top w:val="single" w:color="000000" w:sz="6" w:space="0"/>
              <w:left w:val="single" w:color="000000" w:sz="6" w:space="0"/>
              <w:bottom w:val="single" w:color="000000" w:sz="6" w:space="0"/>
              <w:right w:val="single" w:color="000000" w:sz="6" w:space="0"/>
            </w:tcBorders>
            <w:noWrap w:val="0"/>
            <w:vAlign w:val="center"/>
          </w:tcPr>
          <w:p w14:paraId="581CF8C0">
            <w:pPr>
              <w:spacing w:line="360" w:lineRule="auto"/>
              <w:jc w:val="center"/>
              <w:rPr>
                <w:rFonts w:ascii="宋体" w:hAnsi="宋体"/>
                <w:b/>
                <w:sz w:val="24"/>
                <w:highlight w:val="none"/>
              </w:rPr>
            </w:pPr>
            <w:r>
              <w:rPr>
                <w:rFonts w:hint="eastAsia" w:ascii="宋体" w:hAnsi="宋体"/>
                <w:b/>
                <w:sz w:val="24"/>
                <w:highlight w:val="none"/>
                <w:lang w:val="en-US" w:eastAsia="zh-CN"/>
              </w:rPr>
              <w:t>50</w:t>
            </w:r>
            <w:r>
              <w:rPr>
                <w:rFonts w:hint="eastAsia" w:ascii="宋体" w:hAnsi="宋体"/>
                <w:b/>
                <w:sz w:val="24"/>
                <w:highlight w:val="none"/>
              </w:rPr>
              <w:t>分</w:t>
            </w:r>
          </w:p>
        </w:tc>
      </w:tr>
    </w:tbl>
    <w:p w14:paraId="10AF7B0A">
      <w:pPr>
        <w:widowControl/>
        <w:spacing w:line="360" w:lineRule="auto"/>
        <w:jc w:val="left"/>
        <w:rPr>
          <w:rFonts w:ascii="宋体" w:hAnsi="宋体"/>
          <w:b/>
          <w:sz w:val="24"/>
        </w:rPr>
      </w:pPr>
      <w:r>
        <w:rPr>
          <w:rFonts w:hint="eastAsia" w:ascii="宋体" w:hAnsi="宋体"/>
          <w:b/>
          <w:sz w:val="24"/>
        </w:rPr>
        <w:t>（一）技术评估</w:t>
      </w:r>
    </w:p>
    <w:tbl>
      <w:tblPr>
        <w:tblStyle w:val="30"/>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64"/>
        <w:gridCol w:w="1215"/>
        <w:gridCol w:w="6795"/>
        <w:gridCol w:w="855"/>
      </w:tblGrid>
      <w:tr w14:paraId="393272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7" w:hRule="atLeast"/>
        </w:trPr>
        <w:tc>
          <w:tcPr>
            <w:tcW w:w="764" w:type="dxa"/>
            <w:tcBorders>
              <w:top w:val="single" w:color="000000" w:sz="4" w:space="0"/>
              <w:left w:val="single" w:color="000000" w:sz="4" w:space="0"/>
              <w:bottom w:val="single" w:color="000000" w:sz="4" w:space="0"/>
              <w:right w:val="single" w:color="000000" w:sz="4" w:space="0"/>
            </w:tcBorders>
            <w:noWrap w:val="0"/>
          </w:tcPr>
          <w:p w14:paraId="26B09DF4">
            <w:pPr>
              <w:spacing w:line="360" w:lineRule="auto"/>
              <w:rPr>
                <w:rFonts w:ascii="宋体" w:hAnsi="宋体"/>
                <w:b/>
                <w:sz w:val="24"/>
                <w:highlight w:val="none"/>
                <w:lang w:eastAsia="en-US"/>
              </w:rPr>
            </w:pPr>
            <w:r>
              <w:rPr>
                <w:rFonts w:hint="eastAsia" w:ascii="宋体" w:hAnsi="宋体"/>
                <w:b/>
                <w:sz w:val="24"/>
                <w:highlight w:val="none"/>
                <w:lang w:eastAsia="en-US"/>
              </w:rPr>
              <w:t>序号</w:t>
            </w:r>
          </w:p>
        </w:tc>
        <w:tc>
          <w:tcPr>
            <w:tcW w:w="1215" w:type="dxa"/>
            <w:tcBorders>
              <w:top w:val="single" w:color="000000" w:sz="4" w:space="0"/>
              <w:left w:val="single" w:color="000000" w:sz="4" w:space="0"/>
              <w:bottom w:val="single" w:color="000000" w:sz="4" w:space="0"/>
              <w:right w:val="single" w:color="000000" w:sz="4" w:space="0"/>
            </w:tcBorders>
            <w:noWrap w:val="0"/>
          </w:tcPr>
          <w:p w14:paraId="37AF2B4B">
            <w:pPr>
              <w:spacing w:line="360" w:lineRule="auto"/>
              <w:jc w:val="left"/>
              <w:rPr>
                <w:rFonts w:ascii="宋体" w:hAnsi="宋体"/>
                <w:b/>
                <w:sz w:val="24"/>
                <w:highlight w:val="none"/>
                <w:lang w:eastAsia="en-US"/>
              </w:rPr>
            </w:pPr>
            <w:r>
              <w:rPr>
                <w:rFonts w:hint="eastAsia" w:ascii="宋体" w:hAnsi="宋体"/>
                <w:b/>
                <w:sz w:val="24"/>
                <w:highlight w:val="none"/>
                <w:lang w:eastAsia="en-US"/>
              </w:rPr>
              <w:t>评审因素</w:t>
            </w:r>
          </w:p>
        </w:tc>
        <w:tc>
          <w:tcPr>
            <w:tcW w:w="6795" w:type="dxa"/>
            <w:tcBorders>
              <w:top w:val="single" w:color="000000" w:sz="4" w:space="0"/>
              <w:left w:val="single" w:color="000000" w:sz="4" w:space="0"/>
              <w:bottom w:val="single" w:color="000000" w:sz="4" w:space="0"/>
              <w:right w:val="single" w:color="000000" w:sz="4" w:space="0"/>
            </w:tcBorders>
            <w:noWrap w:val="0"/>
          </w:tcPr>
          <w:p w14:paraId="5AEFCFF3">
            <w:pPr>
              <w:spacing w:line="360" w:lineRule="auto"/>
              <w:jc w:val="center"/>
              <w:rPr>
                <w:rFonts w:ascii="宋体" w:hAnsi="宋体"/>
                <w:b/>
                <w:sz w:val="24"/>
                <w:highlight w:val="none"/>
                <w:lang w:eastAsia="en-US"/>
              </w:rPr>
            </w:pPr>
            <w:r>
              <w:rPr>
                <w:rFonts w:hint="eastAsia" w:ascii="宋体" w:hAnsi="宋体"/>
                <w:b/>
                <w:sz w:val="24"/>
                <w:highlight w:val="none"/>
                <w:lang w:eastAsia="en-US"/>
              </w:rPr>
              <w:t>评审细则</w:t>
            </w:r>
          </w:p>
        </w:tc>
        <w:tc>
          <w:tcPr>
            <w:tcW w:w="855" w:type="dxa"/>
            <w:tcBorders>
              <w:top w:val="single" w:color="000000" w:sz="4" w:space="0"/>
              <w:left w:val="single" w:color="000000" w:sz="4" w:space="0"/>
              <w:bottom w:val="single" w:color="000000" w:sz="4" w:space="0"/>
              <w:right w:val="single" w:color="000000" w:sz="4" w:space="0"/>
            </w:tcBorders>
            <w:noWrap w:val="0"/>
          </w:tcPr>
          <w:p w14:paraId="4AC691B3">
            <w:pPr>
              <w:spacing w:line="360" w:lineRule="auto"/>
              <w:rPr>
                <w:rFonts w:ascii="宋体" w:hAnsi="宋体"/>
                <w:b/>
                <w:sz w:val="24"/>
                <w:highlight w:val="none"/>
                <w:lang w:eastAsia="en-US"/>
              </w:rPr>
            </w:pPr>
            <w:r>
              <w:rPr>
                <w:rFonts w:hint="eastAsia" w:ascii="宋体" w:hAnsi="宋体"/>
                <w:b/>
                <w:sz w:val="24"/>
                <w:highlight w:val="none"/>
                <w:lang w:eastAsia="en-US"/>
              </w:rPr>
              <w:t>分值</w:t>
            </w:r>
          </w:p>
        </w:tc>
      </w:tr>
      <w:tr w14:paraId="548A9F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8774" w:type="dxa"/>
            <w:gridSpan w:val="3"/>
            <w:tcBorders>
              <w:top w:val="single" w:color="000000" w:sz="4" w:space="0"/>
              <w:left w:val="single" w:color="000000" w:sz="4" w:space="0"/>
              <w:bottom w:val="single" w:color="000000" w:sz="4" w:space="0"/>
              <w:right w:val="single" w:color="000000" w:sz="4" w:space="0"/>
            </w:tcBorders>
            <w:noWrap w:val="0"/>
          </w:tcPr>
          <w:p w14:paraId="545FA27C">
            <w:pPr>
              <w:spacing w:line="360" w:lineRule="auto"/>
              <w:jc w:val="center"/>
              <w:rPr>
                <w:rFonts w:ascii="宋体" w:hAnsi="宋体"/>
                <w:sz w:val="24"/>
                <w:highlight w:val="none"/>
                <w:lang w:eastAsia="en-US"/>
              </w:rPr>
            </w:pPr>
            <w:r>
              <w:rPr>
                <w:rFonts w:hint="eastAsia" w:ascii="宋体" w:hAnsi="宋体"/>
                <w:sz w:val="24"/>
                <w:highlight w:val="none"/>
                <w:lang w:eastAsia="en-US"/>
              </w:rPr>
              <w:t>一、技术参数响应</w:t>
            </w:r>
          </w:p>
        </w:tc>
        <w:tc>
          <w:tcPr>
            <w:tcW w:w="855" w:type="dxa"/>
            <w:tcBorders>
              <w:top w:val="single" w:color="000000" w:sz="4" w:space="0"/>
              <w:left w:val="single" w:color="000000" w:sz="4" w:space="0"/>
              <w:bottom w:val="single" w:color="000000" w:sz="4" w:space="0"/>
              <w:right w:val="single" w:color="000000" w:sz="4" w:space="0"/>
            </w:tcBorders>
            <w:noWrap w:val="0"/>
          </w:tcPr>
          <w:p w14:paraId="0DDC5D6B">
            <w:pPr>
              <w:spacing w:line="360" w:lineRule="auto"/>
              <w:rPr>
                <w:rFonts w:ascii="宋体" w:hAnsi="宋体"/>
                <w:sz w:val="24"/>
                <w:highlight w:val="none"/>
                <w:lang w:eastAsia="en-US"/>
              </w:rPr>
            </w:pPr>
            <w:r>
              <w:rPr>
                <w:rFonts w:hint="eastAsia" w:ascii="宋体" w:hAnsi="宋体"/>
                <w:sz w:val="24"/>
                <w:highlight w:val="none"/>
                <w:lang w:val="en-US" w:eastAsia="zh-CN"/>
              </w:rPr>
              <w:t>14</w:t>
            </w:r>
            <w:r>
              <w:rPr>
                <w:rFonts w:hint="eastAsia" w:ascii="宋体" w:hAnsi="宋体"/>
                <w:sz w:val="24"/>
                <w:highlight w:val="none"/>
                <w:lang w:eastAsia="en-US"/>
              </w:rPr>
              <w:t>分</w:t>
            </w:r>
          </w:p>
        </w:tc>
      </w:tr>
      <w:tr w14:paraId="108497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764" w:type="dxa"/>
            <w:tcBorders>
              <w:top w:val="single" w:color="000000" w:sz="4" w:space="0"/>
              <w:left w:val="single" w:color="000000" w:sz="4" w:space="0"/>
              <w:bottom w:val="single" w:color="000000" w:sz="4" w:space="0"/>
              <w:right w:val="single" w:color="000000" w:sz="4" w:space="0"/>
            </w:tcBorders>
            <w:noWrap w:val="0"/>
            <w:vAlign w:val="center"/>
          </w:tcPr>
          <w:p w14:paraId="35F44215">
            <w:pPr>
              <w:spacing w:line="360" w:lineRule="auto"/>
              <w:jc w:val="center"/>
              <w:rPr>
                <w:rFonts w:ascii="宋体" w:hAnsi="宋体"/>
                <w:sz w:val="24"/>
                <w:highlight w:val="none"/>
                <w:lang w:eastAsia="en-US"/>
              </w:rPr>
            </w:pPr>
            <w:r>
              <w:rPr>
                <w:rFonts w:hint="eastAsia" w:ascii="宋体" w:hAnsi="宋体"/>
                <w:sz w:val="24"/>
                <w:highlight w:val="none"/>
                <w:lang w:eastAsia="en-US"/>
              </w:rPr>
              <w:t>1.1</w:t>
            </w:r>
          </w:p>
        </w:tc>
        <w:tc>
          <w:tcPr>
            <w:tcW w:w="1215" w:type="dxa"/>
            <w:tcBorders>
              <w:top w:val="single" w:color="000000" w:sz="4" w:space="0"/>
              <w:left w:val="single" w:color="000000" w:sz="4" w:space="0"/>
              <w:bottom w:val="single" w:color="000000" w:sz="4" w:space="0"/>
              <w:right w:val="single" w:color="000000" w:sz="4" w:space="0"/>
            </w:tcBorders>
            <w:noWrap w:val="0"/>
            <w:vAlign w:val="center"/>
          </w:tcPr>
          <w:p w14:paraId="39C8353E">
            <w:pPr>
              <w:keepNext w:val="0"/>
              <w:keepLines w:val="0"/>
              <w:widowControl/>
              <w:suppressLineNumbers w:val="0"/>
              <w:jc w:val="center"/>
              <w:rPr>
                <w:rFonts w:ascii="宋体" w:hAnsi="宋体"/>
                <w:sz w:val="24"/>
                <w:highlight w:val="none"/>
                <w:lang w:eastAsia="en-US"/>
              </w:rPr>
            </w:pPr>
            <w:r>
              <w:rPr>
                <w:rFonts w:hint="eastAsia" w:ascii="微软雅黑" w:hAnsi="微软雅黑" w:eastAsia="微软雅黑" w:cs="微软雅黑"/>
                <w:i w:val="0"/>
                <w:iCs w:val="0"/>
                <w:color w:val="000000"/>
                <w:sz w:val="20"/>
                <w:szCs w:val="20"/>
                <w:u w:val="none"/>
                <w:lang w:val="en-US" w:eastAsia="zh-CN" w:bidi="ar"/>
              </w:rPr>
              <w:t>技术响应</w:t>
            </w:r>
          </w:p>
        </w:tc>
        <w:tc>
          <w:tcPr>
            <w:tcW w:w="6795" w:type="dxa"/>
            <w:tcBorders>
              <w:top w:val="single" w:color="000000" w:sz="4" w:space="0"/>
              <w:left w:val="single" w:color="000000" w:sz="4" w:space="0"/>
              <w:bottom w:val="single" w:color="000000" w:sz="4" w:space="0"/>
              <w:right w:val="single" w:color="000000" w:sz="4" w:space="0"/>
            </w:tcBorders>
            <w:noWrap w:val="0"/>
            <w:vAlign w:val="center"/>
          </w:tcPr>
          <w:p w14:paraId="0D0DABF8">
            <w:pPr>
              <w:keepNext w:val="0"/>
              <w:keepLines w:val="0"/>
              <w:widowControl/>
              <w:suppressLineNumbers w:val="0"/>
              <w:jc w:val="left"/>
              <w:rPr>
                <w:rFonts w:ascii="宋体" w:hAnsi="宋体"/>
                <w:sz w:val="24"/>
                <w:highlight w:val="none"/>
              </w:rPr>
            </w:pPr>
            <w:r>
              <w:rPr>
                <w:rFonts w:hint="eastAsia" w:ascii="微软雅黑" w:hAnsi="微软雅黑" w:eastAsia="微软雅黑" w:cs="微软雅黑"/>
                <w:i w:val="0"/>
                <w:iCs w:val="0"/>
                <w:color w:val="000000"/>
                <w:sz w:val="20"/>
                <w:szCs w:val="20"/>
                <w:u w:val="none"/>
                <w:lang w:val="en-US" w:eastAsia="zh-CN" w:bidi="ar"/>
              </w:rPr>
              <w:t>所投产品技术参数及要求完全响应招标文件“采购清单”技术参数及要求的，得14分。其中标▲号的为核心技术参数及要求，如有负偏离的，每项扣1分；未有标▲号的技术参数及要求，如有负偏离的，每项扣0.5分，扣完为止。</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注：投标人针对本项评审内容在投标文件《技术规格偏离表》中逐条列出响应及偏离情况；标▲号的，需按技术参数及要求中规定的要求提供证明材料，否则视为负偏离；</w:t>
            </w:r>
          </w:p>
        </w:tc>
        <w:tc>
          <w:tcPr>
            <w:tcW w:w="855" w:type="dxa"/>
            <w:tcBorders>
              <w:top w:val="single" w:color="000000" w:sz="4" w:space="0"/>
              <w:left w:val="single" w:color="000000" w:sz="4" w:space="0"/>
              <w:bottom w:val="single" w:color="000000" w:sz="4" w:space="0"/>
              <w:right w:val="single" w:color="000000" w:sz="4" w:space="0"/>
            </w:tcBorders>
            <w:noWrap w:val="0"/>
            <w:vAlign w:val="center"/>
          </w:tcPr>
          <w:p w14:paraId="01B15C4D">
            <w:pPr>
              <w:keepNext w:val="0"/>
              <w:keepLines w:val="0"/>
              <w:widowControl/>
              <w:suppressLineNumbers w:val="0"/>
              <w:jc w:val="center"/>
              <w:rPr>
                <w:rFonts w:hint="default" w:ascii="宋体" w:hAnsi="宋体"/>
                <w:sz w:val="24"/>
                <w:highlight w:val="none"/>
                <w:lang w:val="en-US" w:eastAsia="en-US"/>
              </w:rPr>
            </w:pPr>
            <w:r>
              <w:rPr>
                <w:rFonts w:hint="eastAsia" w:ascii="微软雅黑" w:hAnsi="微软雅黑" w:eastAsia="微软雅黑" w:cs="微软雅黑"/>
                <w:i w:val="0"/>
                <w:iCs w:val="0"/>
                <w:color w:val="000000"/>
                <w:sz w:val="20"/>
                <w:szCs w:val="20"/>
                <w:u w:val="none"/>
                <w:lang w:val="en-US" w:eastAsia="zh-CN" w:bidi="ar"/>
              </w:rPr>
              <w:t>14</w:t>
            </w:r>
          </w:p>
        </w:tc>
      </w:tr>
      <w:tr w14:paraId="14256F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8774" w:type="dxa"/>
            <w:gridSpan w:val="3"/>
            <w:tcBorders>
              <w:top w:val="single" w:color="000000" w:sz="4" w:space="0"/>
              <w:left w:val="single" w:color="000000" w:sz="4" w:space="0"/>
              <w:bottom w:val="single" w:color="000000" w:sz="4" w:space="0"/>
              <w:right w:val="single" w:color="000000" w:sz="4" w:space="0"/>
            </w:tcBorders>
            <w:noWrap w:val="0"/>
            <w:vAlign w:val="center"/>
          </w:tcPr>
          <w:p w14:paraId="1862F781">
            <w:pPr>
              <w:spacing w:line="360" w:lineRule="auto"/>
              <w:ind w:firstLine="360"/>
              <w:jc w:val="center"/>
              <w:rPr>
                <w:rFonts w:ascii="宋体" w:hAnsi="宋体"/>
                <w:sz w:val="24"/>
                <w:highlight w:val="none"/>
                <w:lang w:eastAsia="en-US"/>
              </w:rPr>
            </w:pPr>
            <w:r>
              <w:rPr>
                <w:rFonts w:ascii="宋体" w:hAnsi="宋体"/>
                <w:sz w:val="24"/>
                <w:highlight w:val="none"/>
                <w:lang w:eastAsia="en-US"/>
              </w:rPr>
              <w:t>二、服务方案</w:t>
            </w:r>
          </w:p>
        </w:tc>
        <w:tc>
          <w:tcPr>
            <w:tcW w:w="855" w:type="dxa"/>
            <w:tcBorders>
              <w:top w:val="single" w:color="000000" w:sz="4" w:space="0"/>
              <w:left w:val="single" w:color="000000" w:sz="4" w:space="0"/>
              <w:bottom w:val="single" w:color="000000" w:sz="4" w:space="0"/>
              <w:right w:val="single" w:color="000000" w:sz="4" w:space="0"/>
            </w:tcBorders>
            <w:noWrap w:val="0"/>
            <w:vAlign w:val="center"/>
          </w:tcPr>
          <w:p w14:paraId="383581BA">
            <w:pPr>
              <w:spacing w:line="360" w:lineRule="auto"/>
              <w:jc w:val="center"/>
              <w:rPr>
                <w:rFonts w:ascii="宋体" w:hAnsi="宋体"/>
                <w:sz w:val="24"/>
                <w:highlight w:val="none"/>
                <w:lang w:eastAsia="en-US"/>
              </w:rPr>
            </w:pPr>
            <w:r>
              <w:rPr>
                <w:rFonts w:hint="eastAsia" w:ascii="宋体" w:hAnsi="宋体"/>
                <w:sz w:val="24"/>
                <w:highlight w:val="none"/>
                <w:lang w:val="en-US" w:eastAsia="zh-CN"/>
              </w:rPr>
              <w:t>26</w:t>
            </w:r>
            <w:r>
              <w:rPr>
                <w:rFonts w:hint="eastAsia" w:ascii="宋体" w:hAnsi="宋体"/>
                <w:sz w:val="24"/>
                <w:highlight w:val="none"/>
                <w:lang w:eastAsia="en-US"/>
              </w:rPr>
              <w:t>分</w:t>
            </w:r>
          </w:p>
        </w:tc>
      </w:tr>
      <w:tr w14:paraId="22EFBD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764" w:type="dxa"/>
            <w:tcBorders>
              <w:top w:val="single" w:color="000000" w:sz="4" w:space="0"/>
              <w:left w:val="single" w:color="000000" w:sz="4" w:space="0"/>
              <w:bottom w:val="single" w:color="000000" w:sz="4" w:space="0"/>
              <w:right w:val="single" w:color="000000" w:sz="4" w:space="0"/>
            </w:tcBorders>
            <w:noWrap w:val="0"/>
            <w:vAlign w:val="center"/>
          </w:tcPr>
          <w:p w14:paraId="1BD119B9">
            <w:pPr>
              <w:spacing w:line="360" w:lineRule="auto"/>
              <w:jc w:val="center"/>
              <w:rPr>
                <w:rFonts w:hint="default" w:ascii="宋体" w:hAnsi="宋体" w:eastAsia="宋体"/>
                <w:sz w:val="24"/>
                <w:highlight w:val="none"/>
                <w:lang w:val="en-US" w:eastAsia="zh-CN"/>
              </w:rPr>
            </w:pPr>
            <w:r>
              <w:rPr>
                <w:rFonts w:hint="eastAsia" w:ascii="宋体" w:hAnsi="宋体"/>
                <w:sz w:val="24"/>
                <w:highlight w:val="none"/>
                <w:lang w:val="en-US" w:eastAsia="zh-CN"/>
              </w:rPr>
              <w:t>1.2</w:t>
            </w:r>
          </w:p>
        </w:tc>
        <w:tc>
          <w:tcPr>
            <w:tcW w:w="1215" w:type="dxa"/>
            <w:tcBorders>
              <w:top w:val="single" w:color="000000" w:sz="4" w:space="0"/>
              <w:left w:val="single" w:color="000000" w:sz="4" w:space="0"/>
              <w:bottom w:val="single" w:color="000000" w:sz="4" w:space="0"/>
              <w:right w:val="single" w:color="000000" w:sz="4" w:space="0"/>
            </w:tcBorders>
            <w:noWrap w:val="0"/>
            <w:vAlign w:val="center"/>
          </w:tcPr>
          <w:p w14:paraId="025C0508">
            <w:pPr>
              <w:keepNext w:val="0"/>
              <w:keepLines w:val="0"/>
              <w:widowControl/>
              <w:suppressLineNumbers w:val="0"/>
              <w:jc w:val="center"/>
              <w:rPr>
                <w:rFonts w:ascii="宋体" w:hAnsi="宋体"/>
                <w:sz w:val="24"/>
                <w:highlight w:val="none"/>
              </w:rPr>
            </w:pPr>
            <w:r>
              <w:rPr>
                <w:rFonts w:hint="eastAsia" w:ascii="微软雅黑" w:hAnsi="微软雅黑" w:eastAsia="微软雅黑" w:cs="微软雅黑"/>
                <w:i w:val="0"/>
                <w:iCs w:val="0"/>
                <w:color w:val="000000"/>
                <w:sz w:val="20"/>
                <w:szCs w:val="20"/>
                <w:u w:val="none"/>
                <w:lang w:val="en-US" w:eastAsia="zh-CN" w:bidi="ar"/>
              </w:rPr>
              <w:t>项目需求理解</w:t>
            </w:r>
          </w:p>
        </w:tc>
        <w:tc>
          <w:tcPr>
            <w:tcW w:w="6795" w:type="dxa"/>
            <w:tcBorders>
              <w:top w:val="single" w:color="000000" w:sz="4" w:space="0"/>
              <w:left w:val="single" w:color="000000" w:sz="4" w:space="0"/>
              <w:bottom w:val="single" w:color="000000" w:sz="4" w:space="0"/>
              <w:right w:val="single" w:color="000000" w:sz="4" w:space="0"/>
            </w:tcBorders>
            <w:noWrap w:val="0"/>
            <w:vAlign w:val="center"/>
          </w:tcPr>
          <w:p w14:paraId="3D4C75BE">
            <w:pPr>
              <w:keepNext w:val="0"/>
              <w:keepLines w:val="0"/>
              <w:widowControl/>
              <w:suppressLineNumbers w:val="0"/>
              <w:jc w:val="left"/>
              <w:rPr>
                <w:rFonts w:ascii="宋体" w:hAnsi="宋体"/>
                <w:sz w:val="24"/>
                <w:highlight w:val="none"/>
              </w:rPr>
            </w:pPr>
            <w:r>
              <w:rPr>
                <w:rFonts w:hint="eastAsia" w:ascii="微软雅黑" w:hAnsi="微软雅黑" w:eastAsia="微软雅黑" w:cs="微软雅黑"/>
                <w:i w:val="0"/>
                <w:iCs w:val="0"/>
                <w:color w:val="000000"/>
                <w:sz w:val="20"/>
                <w:szCs w:val="20"/>
                <w:u w:val="none"/>
                <w:lang w:val="en-US" w:eastAsia="zh-CN" w:bidi="ar"/>
              </w:rPr>
              <w:t>投标人需认真仔细阅读采购需求，结合项目的建设背景、建设目标和预期建设成效，对用户的建设现状、业务需求、用户需求、功能需求、数据需求等展开具体的需求分析。</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（1）投标人对项目背景、建设目标、需求分析有充分认识和理解，分析科学深入得10分；</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（2）投标人对项目背景、建设目标、需求分析有较好认识和理解，分析科学合理得6分；</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（3）投标人对项目背景、建设目标、需求分析认识和理解基本正确，得3分。</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（4）投标人对项目背景、建设目标、需求分析认识和理解偏差较大，得1分。</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（5）未提供方案的不得分。</w:t>
            </w:r>
          </w:p>
        </w:tc>
        <w:tc>
          <w:tcPr>
            <w:tcW w:w="855" w:type="dxa"/>
            <w:tcBorders>
              <w:top w:val="single" w:color="000000" w:sz="4" w:space="0"/>
              <w:left w:val="single" w:color="000000" w:sz="4" w:space="0"/>
              <w:bottom w:val="single" w:color="000000" w:sz="4" w:space="0"/>
              <w:right w:val="single" w:color="000000" w:sz="4" w:space="0"/>
            </w:tcBorders>
            <w:noWrap w:val="0"/>
            <w:vAlign w:val="center"/>
          </w:tcPr>
          <w:p w14:paraId="098B09F5">
            <w:pPr>
              <w:keepNext w:val="0"/>
              <w:keepLines w:val="0"/>
              <w:widowControl/>
              <w:suppressLineNumbers w:val="0"/>
              <w:jc w:val="center"/>
              <w:rPr>
                <w:rFonts w:hint="default" w:ascii="宋体" w:hAnsi="宋体"/>
                <w:sz w:val="24"/>
                <w:highlight w:val="none"/>
                <w:lang w:val="en-US" w:eastAsia="en-US"/>
              </w:rPr>
            </w:pPr>
            <w:r>
              <w:rPr>
                <w:rFonts w:hint="eastAsia" w:ascii="微软雅黑" w:hAnsi="微软雅黑" w:eastAsia="微软雅黑" w:cs="微软雅黑"/>
                <w:i w:val="0"/>
                <w:iCs w:val="0"/>
                <w:color w:val="000000"/>
                <w:sz w:val="20"/>
                <w:szCs w:val="20"/>
                <w:u w:val="none"/>
                <w:lang w:val="en-US" w:eastAsia="zh-CN" w:bidi="ar"/>
              </w:rPr>
              <w:t>10分</w:t>
            </w:r>
          </w:p>
        </w:tc>
      </w:tr>
      <w:tr w14:paraId="54E943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764" w:type="dxa"/>
            <w:tcBorders>
              <w:top w:val="single" w:color="000000" w:sz="4" w:space="0"/>
              <w:left w:val="single" w:color="000000" w:sz="4" w:space="0"/>
              <w:bottom w:val="single" w:color="000000" w:sz="4" w:space="0"/>
              <w:right w:val="single" w:color="000000" w:sz="4" w:space="0"/>
            </w:tcBorders>
            <w:noWrap w:val="0"/>
            <w:vAlign w:val="center"/>
          </w:tcPr>
          <w:p w14:paraId="62727AC9">
            <w:pPr>
              <w:spacing w:line="360" w:lineRule="auto"/>
              <w:jc w:val="center"/>
              <w:rPr>
                <w:rFonts w:hint="default" w:ascii="宋体" w:hAnsi="宋体" w:eastAsia="宋体"/>
                <w:sz w:val="24"/>
                <w:highlight w:val="none"/>
                <w:lang w:val="en-US" w:eastAsia="zh-CN"/>
              </w:rPr>
            </w:pPr>
            <w:r>
              <w:rPr>
                <w:rFonts w:hint="eastAsia" w:ascii="宋体" w:hAnsi="宋体"/>
                <w:sz w:val="24"/>
                <w:highlight w:val="none"/>
                <w:lang w:val="en-US" w:eastAsia="zh-CN"/>
              </w:rPr>
              <w:t>1.3</w:t>
            </w:r>
          </w:p>
        </w:tc>
        <w:tc>
          <w:tcPr>
            <w:tcW w:w="1215" w:type="dxa"/>
            <w:tcBorders>
              <w:top w:val="single" w:color="000000" w:sz="4" w:space="0"/>
              <w:left w:val="single" w:color="000000" w:sz="4" w:space="0"/>
              <w:bottom w:val="single" w:color="000000" w:sz="4" w:space="0"/>
              <w:right w:val="single" w:color="000000" w:sz="4" w:space="0"/>
            </w:tcBorders>
            <w:noWrap w:val="0"/>
            <w:vAlign w:val="center"/>
          </w:tcPr>
          <w:p w14:paraId="27FB770F">
            <w:pPr>
              <w:keepNext w:val="0"/>
              <w:keepLines w:val="0"/>
              <w:widowControl/>
              <w:suppressLineNumbers w:val="0"/>
              <w:jc w:val="center"/>
              <w:rPr>
                <w:rFonts w:ascii="宋体" w:hAnsi="宋体"/>
                <w:sz w:val="24"/>
                <w:highlight w:val="none"/>
              </w:rPr>
            </w:pPr>
            <w:r>
              <w:rPr>
                <w:rFonts w:hint="eastAsia" w:ascii="微软雅黑" w:hAnsi="微软雅黑" w:eastAsia="微软雅黑" w:cs="微软雅黑"/>
                <w:i w:val="0"/>
                <w:iCs w:val="0"/>
                <w:color w:val="000000"/>
                <w:sz w:val="20"/>
                <w:szCs w:val="20"/>
                <w:u w:val="none"/>
                <w:lang w:val="en-US" w:eastAsia="zh-CN" w:bidi="ar"/>
              </w:rPr>
              <w:t>项目实施方案</w:t>
            </w:r>
          </w:p>
        </w:tc>
        <w:tc>
          <w:tcPr>
            <w:tcW w:w="6795" w:type="dxa"/>
            <w:tcBorders>
              <w:top w:val="single" w:color="000000" w:sz="4" w:space="0"/>
              <w:left w:val="single" w:color="000000" w:sz="4" w:space="0"/>
              <w:bottom w:val="single" w:color="000000" w:sz="4" w:space="0"/>
              <w:right w:val="single" w:color="000000" w:sz="4" w:space="0"/>
            </w:tcBorders>
            <w:noWrap w:val="0"/>
            <w:vAlign w:val="center"/>
          </w:tcPr>
          <w:p w14:paraId="18390D0F">
            <w:pPr>
              <w:keepNext w:val="0"/>
              <w:keepLines w:val="0"/>
              <w:widowControl/>
              <w:suppressLineNumbers w:val="0"/>
              <w:jc w:val="both"/>
              <w:rPr>
                <w:rFonts w:ascii="宋体" w:hAnsi="宋体"/>
                <w:sz w:val="24"/>
                <w:highlight w:val="none"/>
              </w:rPr>
            </w:pPr>
            <w:r>
              <w:rPr>
                <w:rFonts w:hint="eastAsia" w:ascii="微软雅黑" w:hAnsi="微软雅黑" w:eastAsia="微软雅黑" w:cs="微软雅黑"/>
                <w:i w:val="0"/>
                <w:iCs w:val="0"/>
                <w:color w:val="000000"/>
                <w:sz w:val="20"/>
                <w:szCs w:val="20"/>
                <w:u w:val="none"/>
                <w:lang w:val="en-US" w:eastAsia="zh-CN" w:bidi="ar"/>
              </w:rPr>
              <w:t>对投标人提交的项目整体实施方案进行打分，包括但不限于建设工期、实施组织、进度安排、安装调试、应急措施、项目验收等。</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（1）方案描述严谨合理、针对性强、可行性强的得8分；</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（2）方案描述比较严谨合理、针对性较强、可行性较强的得4分；</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（3）方案描述不严谨、针对性一般，可行性一般的得2分；</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（4）未提供方案不得分。</w:t>
            </w:r>
          </w:p>
        </w:tc>
        <w:tc>
          <w:tcPr>
            <w:tcW w:w="855" w:type="dxa"/>
            <w:tcBorders>
              <w:top w:val="single" w:color="000000" w:sz="4" w:space="0"/>
              <w:left w:val="single" w:color="000000" w:sz="4" w:space="0"/>
              <w:bottom w:val="single" w:color="000000" w:sz="4" w:space="0"/>
              <w:right w:val="single" w:color="000000" w:sz="4" w:space="0"/>
            </w:tcBorders>
            <w:noWrap w:val="0"/>
            <w:vAlign w:val="center"/>
          </w:tcPr>
          <w:p w14:paraId="1462D5D5">
            <w:pPr>
              <w:keepNext w:val="0"/>
              <w:keepLines w:val="0"/>
              <w:widowControl/>
              <w:suppressLineNumbers w:val="0"/>
              <w:jc w:val="center"/>
              <w:rPr>
                <w:rFonts w:ascii="宋体" w:hAnsi="宋体"/>
                <w:sz w:val="24"/>
                <w:highlight w:val="none"/>
              </w:rPr>
            </w:pPr>
            <w:r>
              <w:rPr>
                <w:rFonts w:hint="eastAsia" w:ascii="微软雅黑" w:hAnsi="微软雅黑" w:eastAsia="微软雅黑" w:cs="微软雅黑"/>
                <w:i w:val="0"/>
                <w:iCs w:val="0"/>
                <w:color w:val="000000"/>
                <w:sz w:val="20"/>
                <w:szCs w:val="20"/>
                <w:u w:val="none"/>
                <w:lang w:val="en-US" w:eastAsia="zh-CN" w:bidi="ar"/>
              </w:rPr>
              <w:t>8分</w:t>
            </w:r>
          </w:p>
        </w:tc>
      </w:tr>
      <w:tr w14:paraId="0DA57F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764" w:type="dxa"/>
            <w:tcBorders>
              <w:top w:val="single" w:color="000000" w:sz="4" w:space="0"/>
              <w:left w:val="single" w:color="000000" w:sz="4" w:space="0"/>
              <w:bottom w:val="single" w:color="000000" w:sz="4" w:space="0"/>
              <w:right w:val="single" w:color="000000" w:sz="4" w:space="0"/>
            </w:tcBorders>
            <w:noWrap w:val="0"/>
            <w:vAlign w:val="center"/>
          </w:tcPr>
          <w:p w14:paraId="573BA819">
            <w:pPr>
              <w:spacing w:line="360" w:lineRule="auto"/>
              <w:jc w:val="center"/>
              <w:rPr>
                <w:rFonts w:ascii="宋体" w:hAnsi="宋体"/>
                <w:sz w:val="24"/>
                <w:highlight w:val="none"/>
              </w:rPr>
            </w:pPr>
            <w:r>
              <w:rPr>
                <w:rFonts w:hint="eastAsia" w:ascii="宋体" w:hAnsi="宋体"/>
                <w:sz w:val="24"/>
                <w:highlight w:val="none"/>
                <w:lang w:val="en-US" w:eastAsia="zh-CN"/>
              </w:rPr>
              <w:t>1.4</w:t>
            </w:r>
            <w:r>
              <w:rPr>
                <w:rFonts w:hint="eastAsia" w:ascii="宋体" w:hAnsi="宋体"/>
                <w:sz w:val="24"/>
                <w:highlight w:val="none"/>
              </w:rPr>
              <w:t xml:space="preserve"> </w:t>
            </w:r>
          </w:p>
        </w:tc>
        <w:tc>
          <w:tcPr>
            <w:tcW w:w="1215" w:type="dxa"/>
            <w:tcBorders>
              <w:top w:val="single" w:color="000000" w:sz="4" w:space="0"/>
              <w:left w:val="single" w:color="000000" w:sz="4" w:space="0"/>
              <w:bottom w:val="single" w:color="000000" w:sz="4" w:space="0"/>
              <w:right w:val="single" w:color="000000" w:sz="4" w:space="0"/>
            </w:tcBorders>
            <w:noWrap w:val="0"/>
            <w:vAlign w:val="center"/>
          </w:tcPr>
          <w:p w14:paraId="223A0A16">
            <w:pPr>
              <w:keepNext w:val="0"/>
              <w:keepLines w:val="0"/>
              <w:widowControl/>
              <w:suppressLineNumbers w:val="0"/>
              <w:jc w:val="center"/>
              <w:rPr>
                <w:rFonts w:ascii="宋体" w:hAnsi="宋体"/>
                <w:sz w:val="24"/>
                <w:highlight w:val="none"/>
              </w:rPr>
            </w:pPr>
            <w:r>
              <w:rPr>
                <w:rFonts w:hint="eastAsia" w:ascii="微软雅黑" w:hAnsi="微软雅黑" w:eastAsia="微软雅黑" w:cs="微软雅黑"/>
                <w:i w:val="0"/>
                <w:iCs w:val="0"/>
                <w:color w:val="000000"/>
                <w:sz w:val="20"/>
                <w:szCs w:val="20"/>
                <w:u w:val="none"/>
                <w:lang w:val="en-US" w:eastAsia="zh-CN" w:bidi="ar"/>
              </w:rPr>
              <w:t>项目培训方案</w:t>
            </w:r>
          </w:p>
        </w:tc>
        <w:tc>
          <w:tcPr>
            <w:tcW w:w="6795" w:type="dxa"/>
            <w:tcBorders>
              <w:top w:val="single" w:color="000000" w:sz="4" w:space="0"/>
              <w:left w:val="single" w:color="000000" w:sz="4" w:space="0"/>
              <w:bottom w:val="single" w:color="000000" w:sz="4" w:space="0"/>
              <w:right w:val="single" w:color="000000" w:sz="4" w:space="0"/>
            </w:tcBorders>
            <w:noWrap w:val="0"/>
            <w:vAlign w:val="center"/>
          </w:tcPr>
          <w:p w14:paraId="2F5219DD">
            <w:pPr>
              <w:keepNext w:val="0"/>
              <w:keepLines w:val="0"/>
              <w:widowControl/>
              <w:suppressLineNumbers w:val="0"/>
              <w:jc w:val="left"/>
              <w:rPr>
                <w:rFonts w:ascii="宋体" w:hAnsi="宋体"/>
                <w:sz w:val="24"/>
                <w:highlight w:val="none"/>
              </w:rPr>
            </w:pPr>
            <w:r>
              <w:rPr>
                <w:rFonts w:hint="eastAsia" w:ascii="微软雅黑" w:hAnsi="微软雅黑" w:eastAsia="微软雅黑" w:cs="微软雅黑"/>
                <w:i w:val="0"/>
                <w:iCs w:val="0"/>
                <w:color w:val="000000"/>
                <w:sz w:val="20"/>
                <w:szCs w:val="20"/>
                <w:u w:val="none"/>
                <w:lang w:val="en-US" w:eastAsia="zh-CN" w:bidi="ar"/>
              </w:rPr>
              <w:t>根据投标人针对本项目情况制定详细的培训指导方案进行打分，包括但不限于培训计划、培训方式、培训内容、培训对象、后期维护等。</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（1）方案描述清晰全面，方案可行的得4分；</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（2）方案描述比较清晰全面，方案可行的得2分；</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（3）方案描述基本清晰全面，方案部分可行的得1分；</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（4）未提供方案的不得分。</w:t>
            </w:r>
          </w:p>
        </w:tc>
        <w:tc>
          <w:tcPr>
            <w:tcW w:w="855" w:type="dxa"/>
            <w:tcBorders>
              <w:top w:val="single" w:color="000000" w:sz="4" w:space="0"/>
              <w:left w:val="single" w:color="000000" w:sz="4" w:space="0"/>
              <w:bottom w:val="single" w:color="000000" w:sz="4" w:space="0"/>
              <w:right w:val="single" w:color="000000" w:sz="4" w:space="0"/>
            </w:tcBorders>
            <w:noWrap w:val="0"/>
            <w:vAlign w:val="center"/>
          </w:tcPr>
          <w:p w14:paraId="72B650DF">
            <w:pPr>
              <w:keepNext w:val="0"/>
              <w:keepLines w:val="0"/>
              <w:widowControl/>
              <w:suppressLineNumbers w:val="0"/>
              <w:jc w:val="center"/>
              <w:rPr>
                <w:rFonts w:ascii="宋体" w:hAnsi="宋体"/>
                <w:sz w:val="24"/>
                <w:highlight w:val="none"/>
              </w:rPr>
            </w:pPr>
            <w:r>
              <w:rPr>
                <w:rFonts w:hint="eastAsia" w:ascii="微软雅黑" w:hAnsi="微软雅黑" w:eastAsia="微软雅黑" w:cs="微软雅黑"/>
                <w:i w:val="0"/>
                <w:iCs w:val="0"/>
                <w:color w:val="000000"/>
                <w:sz w:val="20"/>
                <w:szCs w:val="20"/>
                <w:u w:val="none"/>
                <w:lang w:val="en-US" w:eastAsia="zh-CN" w:bidi="ar"/>
              </w:rPr>
              <w:t>4分</w:t>
            </w:r>
          </w:p>
        </w:tc>
      </w:tr>
      <w:tr w14:paraId="51AE0E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764" w:type="dxa"/>
            <w:tcBorders>
              <w:top w:val="single" w:color="000000" w:sz="4" w:space="0"/>
              <w:left w:val="single" w:color="000000" w:sz="4" w:space="0"/>
              <w:bottom w:val="single" w:color="000000" w:sz="4" w:space="0"/>
              <w:right w:val="single" w:color="000000" w:sz="4" w:space="0"/>
            </w:tcBorders>
            <w:noWrap w:val="0"/>
            <w:vAlign w:val="center"/>
          </w:tcPr>
          <w:p w14:paraId="25F1B4E2">
            <w:pPr>
              <w:spacing w:line="360" w:lineRule="auto"/>
              <w:jc w:val="center"/>
              <w:rPr>
                <w:rFonts w:hint="default" w:ascii="宋体" w:hAnsi="宋体" w:eastAsia="宋体"/>
                <w:sz w:val="24"/>
                <w:highlight w:val="none"/>
                <w:lang w:val="en-US" w:eastAsia="zh-CN"/>
              </w:rPr>
            </w:pPr>
            <w:r>
              <w:rPr>
                <w:rFonts w:hint="eastAsia" w:ascii="宋体" w:hAnsi="宋体"/>
                <w:sz w:val="24"/>
                <w:highlight w:val="none"/>
                <w:lang w:val="en-US" w:eastAsia="zh-CN"/>
              </w:rPr>
              <w:t>1.5</w:t>
            </w:r>
          </w:p>
        </w:tc>
        <w:tc>
          <w:tcPr>
            <w:tcW w:w="1215" w:type="dxa"/>
            <w:tcBorders>
              <w:top w:val="single" w:color="000000" w:sz="4" w:space="0"/>
              <w:left w:val="single" w:color="000000" w:sz="4" w:space="0"/>
              <w:bottom w:val="single" w:color="000000" w:sz="4" w:space="0"/>
              <w:right w:val="single" w:color="000000" w:sz="4" w:space="0"/>
            </w:tcBorders>
            <w:noWrap w:val="0"/>
            <w:vAlign w:val="center"/>
          </w:tcPr>
          <w:p w14:paraId="691A0826">
            <w:pPr>
              <w:keepNext w:val="0"/>
              <w:keepLines w:val="0"/>
              <w:widowControl/>
              <w:suppressLineNumbers w:val="0"/>
              <w:jc w:val="center"/>
              <w:rPr>
                <w:rFonts w:hint="eastAsia" w:ascii="宋体" w:hAnsi="宋体"/>
                <w:sz w:val="24"/>
                <w:highlight w:val="none"/>
              </w:rPr>
            </w:pPr>
            <w:r>
              <w:rPr>
                <w:rFonts w:hint="eastAsia" w:ascii="微软雅黑" w:hAnsi="微软雅黑" w:eastAsia="微软雅黑" w:cs="微软雅黑"/>
                <w:i w:val="0"/>
                <w:iCs w:val="0"/>
                <w:color w:val="000000"/>
                <w:sz w:val="20"/>
                <w:szCs w:val="20"/>
                <w:u w:val="none"/>
                <w:lang w:val="en-US" w:eastAsia="zh-CN" w:bidi="ar"/>
              </w:rPr>
              <w:t>售后服务方案</w:t>
            </w:r>
          </w:p>
        </w:tc>
        <w:tc>
          <w:tcPr>
            <w:tcW w:w="6795" w:type="dxa"/>
            <w:tcBorders>
              <w:top w:val="single" w:color="000000" w:sz="4" w:space="0"/>
              <w:left w:val="single" w:color="000000" w:sz="4" w:space="0"/>
              <w:bottom w:val="single" w:color="000000" w:sz="4" w:space="0"/>
              <w:right w:val="single" w:color="000000" w:sz="4" w:space="0"/>
            </w:tcBorders>
            <w:noWrap w:val="0"/>
            <w:vAlign w:val="center"/>
          </w:tcPr>
          <w:p w14:paraId="26E0603D">
            <w:pPr>
              <w:keepNext w:val="0"/>
              <w:keepLines w:val="0"/>
              <w:widowControl/>
              <w:suppressLineNumbers w:val="0"/>
              <w:jc w:val="left"/>
              <w:rPr>
                <w:rFonts w:hint="eastAsia" w:ascii="宋体" w:hAnsi="宋体" w:cs="宋体"/>
                <w:szCs w:val="21"/>
                <w:highlight w:val="none"/>
              </w:rPr>
            </w:pPr>
            <w:r>
              <w:rPr>
                <w:rFonts w:hint="eastAsia" w:ascii="微软雅黑" w:hAnsi="微软雅黑" w:eastAsia="微软雅黑" w:cs="微软雅黑"/>
                <w:i w:val="0"/>
                <w:iCs w:val="0"/>
                <w:color w:val="000000"/>
                <w:sz w:val="20"/>
                <w:szCs w:val="20"/>
                <w:u w:val="none"/>
                <w:lang w:val="en-US" w:eastAsia="zh-CN" w:bidi="ar"/>
              </w:rPr>
              <w:t>对投标人的售后服务方案进行综合评审，售后服务方案至少包含服务保障体系、服务响应时间、故障应急响应等。</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（1）方案描述清晰全面，方案可行的得4分；</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（2）方案描述比较清晰全面，方案可行的得2分；</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（3）方案描述基本清晰全面，方案部分可行的得1分。</w:t>
            </w:r>
            <w:r>
              <w:rPr>
                <w:rFonts w:hint="eastAsia" w:ascii="微软雅黑" w:hAnsi="微软雅黑" w:eastAsia="微软雅黑" w:cs="微软雅黑"/>
                <w:i w:val="0"/>
                <w:iCs w:val="0"/>
                <w:color w:val="000000"/>
                <w:sz w:val="20"/>
                <w:szCs w:val="20"/>
                <w:u w:val="none"/>
                <w:lang w:val="en-US" w:eastAsia="zh-CN" w:bidi="ar"/>
              </w:rPr>
              <w:br w:type="textWrapping"/>
            </w:r>
            <w:r>
              <w:rPr>
                <w:rFonts w:hint="eastAsia" w:ascii="微软雅黑" w:hAnsi="微软雅黑" w:eastAsia="微软雅黑" w:cs="微软雅黑"/>
                <w:i w:val="0"/>
                <w:iCs w:val="0"/>
                <w:color w:val="000000"/>
                <w:sz w:val="20"/>
                <w:szCs w:val="20"/>
                <w:u w:val="none"/>
                <w:lang w:val="en-US" w:eastAsia="zh-CN" w:bidi="ar"/>
              </w:rPr>
              <w:t>（4）未提供方案的不得分。</w:t>
            </w:r>
          </w:p>
        </w:tc>
        <w:tc>
          <w:tcPr>
            <w:tcW w:w="855" w:type="dxa"/>
            <w:tcBorders>
              <w:top w:val="single" w:color="000000" w:sz="4" w:space="0"/>
              <w:left w:val="single" w:color="000000" w:sz="4" w:space="0"/>
              <w:bottom w:val="single" w:color="000000" w:sz="4" w:space="0"/>
              <w:right w:val="single" w:color="000000" w:sz="4" w:space="0"/>
            </w:tcBorders>
            <w:noWrap w:val="0"/>
            <w:vAlign w:val="center"/>
          </w:tcPr>
          <w:p w14:paraId="61403833">
            <w:pPr>
              <w:keepNext w:val="0"/>
              <w:keepLines w:val="0"/>
              <w:widowControl/>
              <w:suppressLineNumbers w:val="0"/>
              <w:jc w:val="center"/>
              <w:rPr>
                <w:rFonts w:hint="default" w:ascii="宋体" w:hAnsi="宋体"/>
                <w:sz w:val="24"/>
                <w:highlight w:val="none"/>
                <w:lang w:val="en-US" w:eastAsia="zh-CN"/>
              </w:rPr>
            </w:pPr>
            <w:r>
              <w:rPr>
                <w:rFonts w:hint="eastAsia" w:ascii="微软雅黑" w:hAnsi="微软雅黑" w:eastAsia="微软雅黑" w:cs="微软雅黑"/>
                <w:i w:val="0"/>
                <w:iCs w:val="0"/>
                <w:color w:val="000000"/>
                <w:sz w:val="20"/>
                <w:szCs w:val="20"/>
                <w:u w:val="none"/>
                <w:lang w:val="en-US" w:eastAsia="zh-CN" w:bidi="ar"/>
              </w:rPr>
              <w:t>4分</w:t>
            </w:r>
          </w:p>
        </w:tc>
      </w:tr>
    </w:tbl>
    <w:p w14:paraId="0EFE4265">
      <w:pPr>
        <w:widowControl/>
        <w:spacing w:line="360" w:lineRule="auto"/>
        <w:jc w:val="left"/>
        <w:rPr>
          <w:rFonts w:hint="eastAsia" w:ascii="宋体" w:hAnsi="宋体"/>
          <w:b/>
          <w:bCs/>
          <w:sz w:val="24"/>
        </w:rPr>
      </w:pPr>
    </w:p>
    <w:p w14:paraId="21AC4CEB">
      <w:pPr>
        <w:widowControl/>
        <w:spacing w:line="360" w:lineRule="auto"/>
        <w:jc w:val="left"/>
        <w:rPr>
          <w:rFonts w:ascii="宋体" w:hAnsi="宋体"/>
          <w:b/>
          <w:bCs/>
          <w:sz w:val="24"/>
        </w:rPr>
      </w:pPr>
      <w:r>
        <w:rPr>
          <w:rFonts w:hint="eastAsia" w:ascii="宋体" w:hAnsi="宋体"/>
          <w:b/>
          <w:bCs/>
          <w:sz w:val="24"/>
        </w:rPr>
        <w:t>（二）商务评估</w:t>
      </w:r>
    </w:p>
    <w:tbl>
      <w:tblPr>
        <w:tblStyle w:val="30"/>
        <w:tblW w:w="5005"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1"/>
        <w:gridCol w:w="1212"/>
        <w:gridCol w:w="6752"/>
        <w:gridCol w:w="904"/>
      </w:tblGrid>
      <w:tr w14:paraId="2DA7B2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771" w:type="dxa"/>
            <w:tcBorders>
              <w:top w:val="single" w:color="000000" w:sz="4" w:space="0"/>
              <w:left w:val="single" w:color="000000" w:sz="4" w:space="0"/>
              <w:bottom w:val="single" w:color="000000" w:sz="4" w:space="0"/>
              <w:right w:val="single" w:color="000000" w:sz="4" w:space="0"/>
            </w:tcBorders>
            <w:noWrap w:val="0"/>
            <w:vAlign w:val="center"/>
          </w:tcPr>
          <w:p w14:paraId="30054E78">
            <w:pPr>
              <w:spacing w:line="360" w:lineRule="auto"/>
              <w:jc w:val="center"/>
              <w:rPr>
                <w:rFonts w:ascii="宋体" w:hAnsi="宋体"/>
                <w:b/>
                <w:bCs/>
                <w:sz w:val="24"/>
                <w:highlight w:val="none"/>
                <w:lang w:eastAsia="en-US"/>
              </w:rPr>
            </w:pPr>
            <w:r>
              <w:rPr>
                <w:rFonts w:ascii="宋体" w:hAnsi="宋体"/>
                <w:b/>
                <w:bCs/>
                <w:sz w:val="24"/>
                <w:highlight w:val="none"/>
                <w:lang w:eastAsia="en-US"/>
              </w:rPr>
              <w:t>序号</w:t>
            </w:r>
          </w:p>
        </w:tc>
        <w:tc>
          <w:tcPr>
            <w:tcW w:w="1212" w:type="dxa"/>
            <w:tcBorders>
              <w:top w:val="single" w:color="000000" w:sz="4" w:space="0"/>
              <w:left w:val="single" w:color="000000" w:sz="4" w:space="0"/>
              <w:bottom w:val="single" w:color="000000" w:sz="4" w:space="0"/>
              <w:right w:val="single" w:color="000000" w:sz="4" w:space="0"/>
            </w:tcBorders>
            <w:noWrap w:val="0"/>
          </w:tcPr>
          <w:p w14:paraId="181BD0E4">
            <w:pPr>
              <w:spacing w:line="360" w:lineRule="auto"/>
              <w:jc w:val="center"/>
              <w:rPr>
                <w:rFonts w:ascii="宋体" w:hAnsi="宋体"/>
                <w:b/>
                <w:bCs/>
                <w:sz w:val="24"/>
                <w:highlight w:val="none"/>
                <w:lang w:eastAsia="en-US"/>
              </w:rPr>
            </w:pPr>
            <w:r>
              <w:rPr>
                <w:rFonts w:hint="eastAsia" w:ascii="宋体" w:hAnsi="宋体"/>
                <w:b/>
                <w:bCs/>
                <w:sz w:val="24"/>
                <w:highlight w:val="none"/>
                <w:lang w:eastAsia="en-US"/>
              </w:rPr>
              <w:t>评审因素</w:t>
            </w:r>
          </w:p>
        </w:tc>
        <w:tc>
          <w:tcPr>
            <w:tcW w:w="6752" w:type="dxa"/>
            <w:tcBorders>
              <w:top w:val="single" w:color="000000" w:sz="4" w:space="0"/>
              <w:left w:val="single" w:color="000000" w:sz="4" w:space="0"/>
              <w:bottom w:val="single" w:color="000000" w:sz="4" w:space="0"/>
              <w:right w:val="single" w:color="000000" w:sz="4" w:space="0"/>
            </w:tcBorders>
            <w:noWrap w:val="0"/>
          </w:tcPr>
          <w:p w14:paraId="756C8229">
            <w:pPr>
              <w:spacing w:line="360" w:lineRule="auto"/>
              <w:jc w:val="center"/>
              <w:rPr>
                <w:rFonts w:ascii="宋体" w:hAnsi="宋体"/>
                <w:b/>
                <w:bCs/>
                <w:sz w:val="24"/>
                <w:highlight w:val="none"/>
                <w:lang w:eastAsia="en-US"/>
              </w:rPr>
            </w:pPr>
            <w:r>
              <w:rPr>
                <w:rFonts w:hint="eastAsia" w:ascii="宋体" w:hAnsi="宋体"/>
                <w:b/>
                <w:bCs/>
                <w:sz w:val="24"/>
                <w:highlight w:val="none"/>
                <w:lang w:eastAsia="en-US"/>
              </w:rPr>
              <w:t>评审细则</w:t>
            </w:r>
          </w:p>
        </w:tc>
        <w:tc>
          <w:tcPr>
            <w:tcW w:w="904" w:type="dxa"/>
            <w:tcBorders>
              <w:top w:val="single" w:color="000000" w:sz="4" w:space="0"/>
              <w:left w:val="single" w:color="000000" w:sz="4" w:space="0"/>
              <w:bottom w:val="single" w:color="000000" w:sz="4" w:space="0"/>
              <w:right w:val="single" w:color="000000" w:sz="4" w:space="0"/>
            </w:tcBorders>
            <w:noWrap w:val="0"/>
          </w:tcPr>
          <w:p w14:paraId="39AA1D5E">
            <w:pPr>
              <w:spacing w:line="360" w:lineRule="auto"/>
              <w:jc w:val="center"/>
              <w:rPr>
                <w:rFonts w:ascii="宋体" w:hAnsi="宋体"/>
                <w:b/>
                <w:bCs/>
                <w:sz w:val="24"/>
                <w:highlight w:val="none"/>
                <w:lang w:eastAsia="en-US"/>
              </w:rPr>
            </w:pPr>
            <w:r>
              <w:rPr>
                <w:rFonts w:hint="eastAsia" w:ascii="宋体" w:hAnsi="宋体"/>
                <w:b/>
                <w:bCs/>
                <w:sz w:val="24"/>
                <w:highlight w:val="none"/>
                <w:lang w:eastAsia="en-US"/>
              </w:rPr>
              <w:t>分值</w:t>
            </w:r>
          </w:p>
        </w:tc>
      </w:tr>
      <w:tr w14:paraId="37550E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8735" w:type="dxa"/>
            <w:gridSpan w:val="3"/>
            <w:tcBorders>
              <w:top w:val="single" w:color="000000" w:sz="4" w:space="0"/>
              <w:left w:val="single" w:color="000000" w:sz="4" w:space="0"/>
              <w:bottom w:val="single" w:color="000000" w:sz="4" w:space="0"/>
              <w:right w:val="single" w:color="000000" w:sz="4" w:space="0"/>
            </w:tcBorders>
            <w:noWrap w:val="0"/>
            <w:vAlign w:val="center"/>
          </w:tcPr>
          <w:p w14:paraId="5968A17C">
            <w:pPr>
              <w:spacing w:line="360" w:lineRule="auto"/>
              <w:jc w:val="center"/>
              <w:rPr>
                <w:rFonts w:ascii="宋体" w:hAnsi="宋体"/>
                <w:sz w:val="24"/>
                <w:highlight w:val="none"/>
              </w:rPr>
            </w:pPr>
            <w:r>
              <w:rPr>
                <w:rFonts w:hint="eastAsia" w:ascii="宋体" w:hAnsi="宋体"/>
                <w:sz w:val="24"/>
                <w:highlight w:val="none"/>
                <w:lang w:eastAsia="en-US"/>
              </w:rPr>
              <w:t>一、</w:t>
            </w:r>
            <w:r>
              <w:rPr>
                <w:rFonts w:hint="eastAsia" w:ascii="宋体" w:hAnsi="宋体"/>
                <w:sz w:val="24"/>
                <w:highlight w:val="none"/>
              </w:rPr>
              <w:t>综合实力</w:t>
            </w:r>
          </w:p>
        </w:tc>
        <w:tc>
          <w:tcPr>
            <w:tcW w:w="904" w:type="dxa"/>
            <w:tcBorders>
              <w:top w:val="single" w:color="000000" w:sz="4" w:space="0"/>
              <w:left w:val="single" w:color="000000" w:sz="4" w:space="0"/>
              <w:bottom w:val="single" w:color="000000" w:sz="4" w:space="0"/>
              <w:right w:val="single" w:color="000000" w:sz="4" w:space="0"/>
            </w:tcBorders>
            <w:noWrap w:val="0"/>
            <w:vAlign w:val="center"/>
          </w:tcPr>
          <w:p w14:paraId="73DCEA81">
            <w:pPr>
              <w:spacing w:line="360" w:lineRule="auto"/>
              <w:jc w:val="center"/>
              <w:rPr>
                <w:rFonts w:ascii="宋体" w:hAnsi="宋体"/>
                <w:sz w:val="24"/>
                <w:highlight w:val="none"/>
                <w:lang w:eastAsia="en-US"/>
              </w:rPr>
            </w:pPr>
            <w:r>
              <w:rPr>
                <w:rFonts w:hint="eastAsia" w:ascii="宋体" w:hAnsi="宋体"/>
                <w:sz w:val="24"/>
                <w:highlight w:val="none"/>
              </w:rPr>
              <w:t>1</w:t>
            </w:r>
            <w:r>
              <w:rPr>
                <w:rFonts w:hint="eastAsia" w:ascii="宋体" w:hAnsi="宋体"/>
                <w:sz w:val="24"/>
                <w:highlight w:val="none"/>
                <w:lang w:val="en-US" w:eastAsia="zh-CN"/>
              </w:rPr>
              <w:t>0</w:t>
            </w:r>
            <w:r>
              <w:rPr>
                <w:rFonts w:hint="eastAsia" w:ascii="宋体" w:hAnsi="宋体"/>
                <w:sz w:val="24"/>
                <w:highlight w:val="none"/>
                <w:lang w:eastAsia="en-US"/>
              </w:rPr>
              <w:t>分</w:t>
            </w:r>
          </w:p>
        </w:tc>
      </w:tr>
      <w:tr w14:paraId="4EA223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771" w:type="dxa"/>
            <w:tcBorders>
              <w:top w:val="single" w:color="000000" w:sz="4" w:space="0"/>
              <w:left w:val="single" w:color="000000" w:sz="4" w:space="0"/>
              <w:bottom w:val="single" w:color="000000" w:sz="4" w:space="0"/>
              <w:right w:val="single" w:color="000000" w:sz="4" w:space="0"/>
            </w:tcBorders>
            <w:noWrap w:val="0"/>
            <w:vAlign w:val="center"/>
          </w:tcPr>
          <w:p w14:paraId="6BB4A9A4">
            <w:pPr>
              <w:spacing w:line="360" w:lineRule="auto"/>
              <w:jc w:val="center"/>
              <w:rPr>
                <w:rFonts w:hint="default" w:ascii="宋体" w:hAnsi="宋体" w:eastAsia="宋体"/>
                <w:sz w:val="24"/>
                <w:highlight w:val="none"/>
                <w:lang w:val="en-US" w:eastAsia="zh-CN"/>
              </w:rPr>
            </w:pPr>
            <w:r>
              <w:rPr>
                <w:rFonts w:hint="eastAsia" w:ascii="宋体" w:hAnsi="宋体"/>
                <w:sz w:val="24"/>
                <w:highlight w:val="none"/>
                <w:lang w:val="en-US" w:eastAsia="zh-CN"/>
              </w:rPr>
              <w:t>2.1</w:t>
            </w:r>
          </w:p>
        </w:tc>
        <w:tc>
          <w:tcPr>
            <w:tcW w:w="1212" w:type="dxa"/>
            <w:tcBorders>
              <w:top w:val="single" w:color="000000" w:sz="4" w:space="0"/>
              <w:left w:val="single" w:color="000000" w:sz="4" w:space="0"/>
              <w:right w:val="single" w:color="000000" w:sz="4" w:space="0"/>
            </w:tcBorders>
            <w:noWrap w:val="0"/>
            <w:vAlign w:val="center"/>
          </w:tcPr>
          <w:p w14:paraId="5FE9FE9D">
            <w:pPr>
              <w:keepNext w:val="0"/>
              <w:keepLines w:val="0"/>
              <w:widowControl/>
              <w:suppressLineNumbers w:val="0"/>
              <w:jc w:val="center"/>
              <w:rPr>
                <w:rFonts w:hint="default" w:ascii="宋体" w:hAnsi="宋体" w:eastAsia="宋体"/>
                <w:sz w:val="24"/>
                <w:highlight w:val="none"/>
                <w:lang w:val="en-US" w:eastAsia="zh-CN"/>
              </w:rPr>
            </w:pPr>
            <w:r>
              <w:rPr>
                <w:rFonts w:hint="eastAsia" w:ascii="微软雅黑" w:hAnsi="微软雅黑" w:eastAsia="微软雅黑" w:cs="微软雅黑"/>
                <w:i w:val="0"/>
                <w:iCs w:val="0"/>
                <w:color w:val="000000"/>
                <w:sz w:val="20"/>
                <w:szCs w:val="20"/>
                <w:highlight w:val="none"/>
                <w:u w:val="none"/>
                <w:lang w:val="en-US" w:eastAsia="zh-CN" w:bidi="ar"/>
              </w:rPr>
              <w:t>研发实力</w:t>
            </w:r>
          </w:p>
        </w:tc>
        <w:tc>
          <w:tcPr>
            <w:tcW w:w="6752" w:type="dxa"/>
            <w:tcBorders>
              <w:top w:val="single" w:color="000000" w:sz="4" w:space="0"/>
              <w:left w:val="single" w:color="000000" w:sz="4" w:space="0"/>
              <w:bottom w:val="single" w:color="000000" w:sz="4" w:space="0"/>
              <w:right w:val="single" w:color="000000" w:sz="4" w:space="0"/>
            </w:tcBorders>
            <w:noWrap w:val="0"/>
            <w:vAlign w:val="center"/>
          </w:tcPr>
          <w:p w14:paraId="46C523C0">
            <w:pPr>
              <w:keepNext w:val="0"/>
              <w:keepLines w:val="0"/>
              <w:widowControl/>
              <w:suppressLineNumbers w:val="0"/>
              <w:jc w:val="left"/>
              <w:rPr>
                <w:rFonts w:hint="eastAsia" w:ascii="微软雅黑" w:hAnsi="微软雅黑" w:eastAsia="微软雅黑" w:cs="微软雅黑"/>
                <w:i w:val="0"/>
                <w:iCs w:val="0"/>
                <w:color w:val="000000"/>
                <w:sz w:val="20"/>
                <w:szCs w:val="20"/>
                <w:highlight w:val="none"/>
                <w:u w:val="none"/>
                <w:lang w:val="en-US" w:eastAsia="zh-CN" w:bidi="ar"/>
              </w:rPr>
            </w:pPr>
            <w:r>
              <w:rPr>
                <w:rFonts w:hint="eastAsia" w:ascii="微软雅黑" w:hAnsi="微软雅黑" w:eastAsia="微软雅黑" w:cs="微软雅黑"/>
                <w:i w:val="0"/>
                <w:iCs w:val="0"/>
                <w:color w:val="000000"/>
                <w:sz w:val="20"/>
                <w:szCs w:val="20"/>
                <w:highlight w:val="none"/>
                <w:u w:val="none"/>
                <w:lang w:val="en-US" w:eastAsia="zh-CN" w:bidi="ar"/>
              </w:rPr>
              <w:t>投标人或所投核心产品制造商具有与葡萄种植相关的发明专利，每提供一个得2分，本项最高得8分。</w:t>
            </w:r>
          </w:p>
          <w:p w14:paraId="2C9B7E2F">
            <w:pPr>
              <w:keepNext w:val="0"/>
              <w:keepLines w:val="0"/>
              <w:widowControl/>
              <w:suppressLineNumbers w:val="0"/>
              <w:jc w:val="left"/>
              <w:rPr>
                <w:rFonts w:ascii="宋体" w:hAnsi="宋体"/>
                <w:sz w:val="24"/>
                <w:highlight w:val="none"/>
              </w:rPr>
            </w:pPr>
            <w:r>
              <w:rPr>
                <w:rFonts w:hint="eastAsia" w:ascii="微软雅黑" w:hAnsi="微软雅黑" w:eastAsia="微软雅黑" w:cs="微软雅黑"/>
                <w:i w:val="0"/>
                <w:iCs w:val="0"/>
                <w:color w:val="000000"/>
                <w:sz w:val="20"/>
                <w:szCs w:val="20"/>
                <w:highlight w:val="none"/>
                <w:u w:val="none"/>
                <w:lang w:val="en-US" w:eastAsia="zh-CN" w:bidi="ar"/>
              </w:rPr>
              <w:t>注：提供证书原件扫描件，不提供不得分。</w:t>
            </w:r>
          </w:p>
        </w:tc>
        <w:tc>
          <w:tcPr>
            <w:tcW w:w="904" w:type="dxa"/>
            <w:tcBorders>
              <w:top w:val="single" w:color="000000" w:sz="4" w:space="0"/>
              <w:left w:val="single" w:color="000000" w:sz="4" w:space="0"/>
              <w:bottom w:val="single" w:color="000000" w:sz="4" w:space="0"/>
              <w:right w:val="single" w:color="000000" w:sz="4" w:space="0"/>
            </w:tcBorders>
            <w:noWrap w:val="0"/>
            <w:vAlign w:val="center"/>
          </w:tcPr>
          <w:p w14:paraId="00FA1A59">
            <w:pPr>
              <w:keepNext w:val="0"/>
              <w:keepLines w:val="0"/>
              <w:widowControl/>
              <w:suppressLineNumbers w:val="0"/>
              <w:jc w:val="center"/>
              <w:rPr>
                <w:rFonts w:ascii="宋体" w:hAnsi="宋体"/>
                <w:sz w:val="24"/>
                <w:highlight w:val="none"/>
                <w:lang w:eastAsia="en-US"/>
              </w:rPr>
            </w:pPr>
            <w:r>
              <w:rPr>
                <w:rFonts w:hint="eastAsia" w:ascii="微软雅黑" w:hAnsi="微软雅黑" w:eastAsia="微软雅黑" w:cs="微软雅黑"/>
                <w:i w:val="0"/>
                <w:iCs w:val="0"/>
                <w:color w:val="000000"/>
                <w:sz w:val="20"/>
                <w:szCs w:val="20"/>
                <w:highlight w:val="none"/>
                <w:u w:val="none"/>
                <w:lang w:val="en-US" w:eastAsia="zh-CN" w:bidi="ar"/>
              </w:rPr>
              <w:t>8</w:t>
            </w:r>
          </w:p>
        </w:tc>
      </w:tr>
      <w:tr w14:paraId="5C693E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771" w:type="dxa"/>
            <w:tcBorders>
              <w:top w:val="single" w:color="000000" w:sz="4" w:space="0"/>
              <w:left w:val="single" w:color="000000" w:sz="4" w:space="0"/>
              <w:bottom w:val="single" w:color="000000" w:sz="4" w:space="0"/>
              <w:right w:val="single" w:color="000000" w:sz="4" w:space="0"/>
            </w:tcBorders>
            <w:noWrap w:val="0"/>
            <w:vAlign w:val="center"/>
          </w:tcPr>
          <w:p w14:paraId="3A146A1D">
            <w:pPr>
              <w:spacing w:line="360" w:lineRule="auto"/>
              <w:jc w:val="center"/>
              <w:rPr>
                <w:rFonts w:hint="eastAsia" w:ascii="宋体" w:hAnsi="宋体" w:eastAsia="宋体"/>
                <w:sz w:val="24"/>
                <w:highlight w:val="none"/>
                <w:lang w:val="en-US" w:eastAsia="zh-CN"/>
              </w:rPr>
            </w:pPr>
            <w:r>
              <w:rPr>
                <w:rFonts w:hint="eastAsia" w:ascii="宋体" w:hAnsi="宋体"/>
                <w:sz w:val="24"/>
                <w:highlight w:val="none"/>
                <w:lang w:eastAsia="en-US"/>
              </w:rPr>
              <w:t>2.</w:t>
            </w:r>
            <w:r>
              <w:rPr>
                <w:rFonts w:hint="eastAsia" w:ascii="宋体" w:hAnsi="宋体"/>
                <w:sz w:val="24"/>
                <w:highlight w:val="none"/>
                <w:lang w:val="en-US" w:eastAsia="zh-CN"/>
              </w:rPr>
              <w:t>2</w:t>
            </w:r>
          </w:p>
        </w:tc>
        <w:tc>
          <w:tcPr>
            <w:tcW w:w="1212" w:type="dxa"/>
            <w:tcBorders>
              <w:left w:val="single" w:color="000000" w:sz="4" w:space="0"/>
              <w:right w:val="single" w:color="000000" w:sz="4" w:space="0"/>
            </w:tcBorders>
            <w:noWrap w:val="0"/>
            <w:vAlign w:val="center"/>
          </w:tcPr>
          <w:p w14:paraId="45D9C1D3">
            <w:pPr>
              <w:keepNext w:val="0"/>
              <w:keepLines w:val="0"/>
              <w:widowControl/>
              <w:suppressLineNumbers w:val="0"/>
              <w:jc w:val="center"/>
              <w:rPr>
                <w:rFonts w:ascii="宋体" w:hAnsi="宋体"/>
                <w:sz w:val="24"/>
                <w:highlight w:val="none"/>
              </w:rPr>
            </w:pPr>
            <w:r>
              <w:rPr>
                <w:rFonts w:hint="eastAsia" w:ascii="微软雅黑" w:hAnsi="微软雅黑" w:eastAsia="微软雅黑" w:cs="微软雅黑"/>
                <w:i w:val="0"/>
                <w:iCs w:val="0"/>
                <w:color w:val="000000"/>
                <w:sz w:val="20"/>
                <w:szCs w:val="20"/>
                <w:highlight w:val="none"/>
                <w:u w:val="none"/>
                <w:lang w:val="en-US" w:eastAsia="zh-CN" w:bidi="ar"/>
              </w:rPr>
              <w:t>相关案例</w:t>
            </w:r>
          </w:p>
        </w:tc>
        <w:tc>
          <w:tcPr>
            <w:tcW w:w="6752" w:type="dxa"/>
            <w:tcBorders>
              <w:top w:val="single" w:color="000000" w:sz="4" w:space="0"/>
              <w:left w:val="single" w:color="000000" w:sz="4" w:space="0"/>
              <w:bottom w:val="single" w:color="000000" w:sz="4" w:space="0"/>
              <w:right w:val="single" w:color="000000" w:sz="4" w:space="0"/>
            </w:tcBorders>
            <w:noWrap w:val="0"/>
            <w:vAlign w:val="center"/>
          </w:tcPr>
          <w:p w14:paraId="2B6F60B3">
            <w:pPr>
              <w:keepNext w:val="0"/>
              <w:keepLines w:val="0"/>
              <w:widowControl/>
              <w:suppressLineNumbers w:val="0"/>
              <w:jc w:val="left"/>
              <w:rPr>
                <w:rFonts w:hint="eastAsia" w:ascii="宋体" w:hAnsi="宋体" w:eastAsia="宋体"/>
                <w:sz w:val="24"/>
                <w:highlight w:val="none"/>
                <w:lang w:eastAsia="zh-CN"/>
              </w:rPr>
            </w:pPr>
            <w:r>
              <w:rPr>
                <w:rFonts w:hint="eastAsia" w:ascii="微软雅黑" w:hAnsi="微软雅黑" w:eastAsia="微软雅黑" w:cs="微软雅黑"/>
                <w:i w:val="0"/>
                <w:iCs w:val="0"/>
                <w:color w:val="000000"/>
                <w:sz w:val="20"/>
                <w:szCs w:val="20"/>
                <w:highlight w:val="none"/>
                <w:u w:val="none"/>
                <w:lang w:val="en-US" w:eastAsia="zh-CN" w:bidi="ar"/>
              </w:rPr>
              <w:t>2022年1月1日（以合同签订时间为准）以来，投标人或所投核心产品制造商具有与本项目相关的建设案例，建设内容包括并不限于环境监测、视频监控、水肥一体化等功能，提供1个得2分，本项满分2分。</w:t>
            </w:r>
          </w:p>
        </w:tc>
        <w:tc>
          <w:tcPr>
            <w:tcW w:w="904" w:type="dxa"/>
            <w:tcBorders>
              <w:top w:val="single" w:color="000000" w:sz="4" w:space="0"/>
              <w:left w:val="single" w:color="000000" w:sz="4" w:space="0"/>
              <w:bottom w:val="single" w:color="000000" w:sz="4" w:space="0"/>
              <w:right w:val="single" w:color="000000" w:sz="4" w:space="0"/>
            </w:tcBorders>
            <w:noWrap w:val="0"/>
            <w:vAlign w:val="center"/>
          </w:tcPr>
          <w:p w14:paraId="0A0366ED">
            <w:pPr>
              <w:keepNext w:val="0"/>
              <w:keepLines w:val="0"/>
              <w:widowControl/>
              <w:suppressLineNumbers w:val="0"/>
              <w:jc w:val="center"/>
              <w:rPr>
                <w:rFonts w:ascii="宋体" w:hAnsi="宋体"/>
                <w:sz w:val="24"/>
                <w:highlight w:val="none"/>
                <w:lang w:eastAsia="en-US"/>
              </w:rPr>
            </w:pPr>
            <w:r>
              <w:rPr>
                <w:rFonts w:hint="eastAsia" w:ascii="微软雅黑" w:hAnsi="微软雅黑" w:eastAsia="微软雅黑" w:cs="微软雅黑"/>
                <w:i w:val="0"/>
                <w:iCs w:val="0"/>
                <w:color w:val="000000"/>
                <w:sz w:val="20"/>
                <w:szCs w:val="20"/>
                <w:highlight w:val="none"/>
                <w:u w:val="none"/>
                <w:lang w:val="en-US" w:eastAsia="zh-CN" w:bidi="ar"/>
              </w:rPr>
              <w:t>2</w:t>
            </w:r>
          </w:p>
        </w:tc>
      </w:tr>
    </w:tbl>
    <w:p w14:paraId="01183CC6">
      <w:pPr>
        <w:widowControl/>
        <w:spacing w:line="360" w:lineRule="auto"/>
        <w:rPr>
          <w:rFonts w:ascii="宋体" w:hAnsi="宋体"/>
          <w:b/>
          <w:bCs/>
          <w:sz w:val="24"/>
        </w:rPr>
      </w:pPr>
      <w:r>
        <w:rPr>
          <w:rFonts w:hint="eastAsia" w:ascii="宋体" w:hAnsi="宋体"/>
          <w:b/>
          <w:bCs/>
          <w:sz w:val="24"/>
        </w:rPr>
        <w:t>（三）价格评估</w:t>
      </w:r>
    </w:p>
    <w:tbl>
      <w:tblPr>
        <w:tblStyle w:val="30"/>
        <w:tblpPr w:leftFromText="180" w:rightFromText="180" w:vertAnchor="text" w:tblpXSpec="left" w:tblpY="1"/>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top w:w="0" w:type="dxa"/>
          <w:left w:w="108" w:type="dxa"/>
          <w:bottom w:w="0" w:type="dxa"/>
          <w:right w:w="108" w:type="dxa"/>
        </w:tblCellMar>
      </w:tblPr>
      <w:tblGrid>
        <w:gridCol w:w="772"/>
        <w:gridCol w:w="1215"/>
        <w:gridCol w:w="6787"/>
        <w:gridCol w:w="855"/>
      </w:tblGrid>
      <w:tr w14:paraId="2E8646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772" w:type="dxa"/>
            <w:tcBorders>
              <w:top w:val="single" w:color="000000" w:sz="4" w:space="0"/>
              <w:left w:val="single" w:color="000000" w:sz="4" w:space="0"/>
              <w:bottom w:val="single" w:color="000000" w:sz="4" w:space="0"/>
              <w:right w:val="single" w:color="000000" w:sz="4" w:space="0"/>
            </w:tcBorders>
            <w:shd w:val="clear" w:color="auto" w:fill="auto"/>
            <w:noWrap w:val="0"/>
          </w:tcPr>
          <w:p w14:paraId="7EF8FC6D">
            <w:pPr>
              <w:spacing w:line="360" w:lineRule="auto"/>
              <w:rPr>
                <w:rFonts w:ascii="宋体" w:hAnsi="宋体"/>
                <w:b/>
                <w:bCs/>
                <w:sz w:val="24"/>
                <w:highlight w:val="none"/>
                <w:lang w:eastAsia="en-US"/>
              </w:rPr>
            </w:pPr>
            <w:r>
              <w:rPr>
                <w:rFonts w:hint="eastAsia" w:ascii="宋体" w:hAnsi="宋体"/>
                <w:b/>
                <w:bCs/>
                <w:sz w:val="24"/>
                <w:highlight w:val="none"/>
                <w:lang w:eastAsia="en-US"/>
              </w:rPr>
              <w:t>序号</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0"/>
          </w:tcPr>
          <w:p w14:paraId="1B544132">
            <w:pPr>
              <w:spacing w:line="360" w:lineRule="auto"/>
              <w:jc w:val="left"/>
              <w:rPr>
                <w:rFonts w:ascii="宋体" w:hAnsi="宋体"/>
                <w:b/>
                <w:bCs/>
                <w:sz w:val="24"/>
                <w:highlight w:val="none"/>
                <w:lang w:eastAsia="en-US"/>
              </w:rPr>
            </w:pPr>
            <w:r>
              <w:rPr>
                <w:rFonts w:hint="eastAsia" w:ascii="宋体" w:hAnsi="宋体"/>
                <w:b/>
                <w:bCs/>
                <w:sz w:val="24"/>
                <w:highlight w:val="none"/>
                <w:lang w:eastAsia="en-US"/>
              </w:rPr>
              <w:t>评审因素</w:t>
            </w:r>
          </w:p>
        </w:tc>
        <w:tc>
          <w:tcPr>
            <w:tcW w:w="6787" w:type="dxa"/>
            <w:tcBorders>
              <w:top w:val="single" w:color="000000" w:sz="4" w:space="0"/>
              <w:left w:val="single" w:color="000000" w:sz="4" w:space="0"/>
              <w:bottom w:val="single" w:color="000000" w:sz="4" w:space="0"/>
              <w:right w:val="single" w:color="000000" w:sz="4" w:space="0"/>
            </w:tcBorders>
            <w:shd w:val="clear" w:color="auto" w:fill="auto"/>
            <w:noWrap w:val="0"/>
          </w:tcPr>
          <w:p w14:paraId="74CDDBBD">
            <w:pPr>
              <w:spacing w:line="360" w:lineRule="auto"/>
              <w:jc w:val="center"/>
              <w:rPr>
                <w:rFonts w:ascii="宋体" w:hAnsi="宋体"/>
                <w:b/>
                <w:bCs/>
                <w:sz w:val="24"/>
                <w:highlight w:val="none"/>
                <w:lang w:eastAsia="en-US"/>
              </w:rPr>
            </w:pPr>
            <w:r>
              <w:rPr>
                <w:rFonts w:hint="eastAsia" w:ascii="宋体" w:hAnsi="宋体"/>
                <w:b/>
                <w:bCs/>
                <w:sz w:val="24"/>
                <w:highlight w:val="none"/>
                <w:lang w:eastAsia="en-US"/>
              </w:rPr>
              <w:t>评审细则</w:t>
            </w:r>
          </w:p>
        </w:tc>
        <w:tc>
          <w:tcPr>
            <w:tcW w:w="855" w:type="dxa"/>
            <w:tcBorders>
              <w:top w:val="single" w:color="000000" w:sz="4" w:space="0"/>
              <w:left w:val="single" w:color="000000" w:sz="4" w:space="0"/>
              <w:bottom w:val="single" w:color="000000" w:sz="4" w:space="0"/>
              <w:right w:val="single" w:color="000000" w:sz="4" w:space="0"/>
            </w:tcBorders>
            <w:shd w:val="clear" w:color="auto" w:fill="auto"/>
            <w:noWrap w:val="0"/>
          </w:tcPr>
          <w:p w14:paraId="45F5F9C5">
            <w:pPr>
              <w:spacing w:line="360" w:lineRule="auto"/>
              <w:rPr>
                <w:rFonts w:ascii="宋体" w:hAnsi="宋体"/>
                <w:b/>
                <w:bCs/>
                <w:sz w:val="24"/>
                <w:highlight w:val="none"/>
                <w:lang w:eastAsia="en-US"/>
              </w:rPr>
            </w:pPr>
            <w:r>
              <w:rPr>
                <w:rFonts w:hint="eastAsia" w:ascii="宋体" w:hAnsi="宋体"/>
                <w:b/>
                <w:bCs/>
                <w:sz w:val="24"/>
                <w:highlight w:val="none"/>
                <w:lang w:eastAsia="en-US"/>
              </w:rPr>
              <w:t>分值</w:t>
            </w:r>
          </w:p>
        </w:tc>
      </w:tr>
      <w:tr w14:paraId="48088B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0" w:hRule="atLeast"/>
        </w:trPr>
        <w:tc>
          <w:tcPr>
            <w:tcW w:w="8774" w:type="dxa"/>
            <w:gridSpan w:val="3"/>
            <w:tcBorders>
              <w:top w:val="single" w:color="000000" w:sz="4" w:space="0"/>
              <w:left w:val="single" w:color="000000" w:sz="4" w:space="0"/>
              <w:bottom w:val="single" w:color="000000" w:sz="4" w:space="0"/>
              <w:right w:val="single" w:color="000000" w:sz="4" w:space="0"/>
            </w:tcBorders>
            <w:shd w:val="clear" w:color="auto" w:fill="auto"/>
            <w:noWrap w:val="0"/>
          </w:tcPr>
          <w:p w14:paraId="2D059B54">
            <w:pPr>
              <w:spacing w:line="360" w:lineRule="auto"/>
              <w:jc w:val="center"/>
              <w:rPr>
                <w:rFonts w:ascii="宋体" w:hAnsi="宋体"/>
                <w:sz w:val="24"/>
                <w:highlight w:val="none"/>
                <w:lang w:eastAsia="en-US"/>
              </w:rPr>
            </w:pPr>
            <w:r>
              <w:rPr>
                <w:rFonts w:hint="eastAsia" w:ascii="宋体" w:hAnsi="宋体"/>
                <w:sz w:val="24"/>
                <w:highlight w:val="none"/>
                <w:lang w:eastAsia="en-US"/>
              </w:rPr>
              <w:t>一、投标报价</w:t>
            </w:r>
          </w:p>
        </w:tc>
        <w:tc>
          <w:tcPr>
            <w:tcW w:w="855" w:type="dxa"/>
            <w:tcBorders>
              <w:top w:val="single" w:color="000000" w:sz="4" w:space="0"/>
              <w:left w:val="single" w:color="000000" w:sz="4" w:space="0"/>
              <w:bottom w:val="single" w:color="000000" w:sz="4" w:space="0"/>
              <w:right w:val="single" w:color="000000" w:sz="4" w:space="0"/>
            </w:tcBorders>
            <w:shd w:val="clear" w:color="auto" w:fill="auto"/>
            <w:noWrap w:val="0"/>
          </w:tcPr>
          <w:p w14:paraId="04AF1CEC">
            <w:pPr>
              <w:spacing w:line="360" w:lineRule="auto"/>
              <w:jc w:val="left"/>
              <w:rPr>
                <w:rFonts w:ascii="宋体" w:hAnsi="宋体"/>
                <w:sz w:val="24"/>
                <w:highlight w:val="none"/>
                <w:lang w:eastAsia="en-US"/>
              </w:rPr>
            </w:pPr>
            <w:r>
              <w:rPr>
                <w:rFonts w:hint="eastAsia" w:ascii="宋体" w:hAnsi="宋体"/>
                <w:sz w:val="24"/>
                <w:highlight w:val="none"/>
                <w:lang w:val="en-US" w:eastAsia="zh-CN"/>
              </w:rPr>
              <w:t>5</w:t>
            </w:r>
            <w:r>
              <w:rPr>
                <w:rFonts w:hint="eastAsia" w:ascii="宋体" w:hAnsi="宋体"/>
                <w:sz w:val="24"/>
                <w:highlight w:val="none"/>
              </w:rPr>
              <w:t>0</w:t>
            </w:r>
            <w:r>
              <w:rPr>
                <w:rFonts w:hint="eastAsia" w:ascii="宋体" w:hAnsi="宋体"/>
                <w:sz w:val="24"/>
                <w:highlight w:val="none"/>
                <w:lang w:eastAsia="en-US"/>
              </w:rPr>
              <w:t>分</w:t>
            </w:r>
          </w:p>
        </w:tc>
      </w:tr>
      <w:tr w14:paraId="7AD44D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77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527036F">
            <w:pPr>
              <w:spacing w:line="360" w:lineRule="auto"/>
              <w:jc w:val="center"/>
              <w:rPr>
                <w:rFonts w:hint="default" w:ascii="宋体" w:hAnsi="宋体" w:eastAsia="宋体"/>
                <w:sz w:val="24"/>
                <w:highlight w:val="none"/>
                <w:lang w:val="en-US" w:eastAsia="zh-CN"/>
              </w:rPr>
            </w:pPr>
            <w:r>
              <w:rPr>
                <w:rFonts w:hint="eastAsia" w:ascii="宋体" w:hAnsi="宋体"/>
                <w:sz w:val="24"/>
                <w:highlight w:val="none"/>
                <w:lang w:val="en-US" w:eastAsia="zh-CN"/>
              </w:rPr>
              <w:t>3.1</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3593B5C">
            <w:pPr>
              <w:widowControl/>
              <w:jc w:val="center"/>
              <w:rPr>
                <w:rFonts w:ascii="宋体" w:hAnsi="宋体"/>
                <w:sz w:val="24"/>
                <w:highlight w:val="none"/>
                <w:lang w:eastAsia="en-US"/>
              </w:rPr>
            </w:pPr>
            <w:r>
              <w:rPr>
                <w:rFonts w:ascii="宋体" w:hAnsi="宋体" w:cs="宋体"/>
                <w:sz w:val="24"/>
                <w:highlight w:val="none"/>
              </w:rPr>
              <w:t>报价得分</w:t>
            </w:r>
          </w:p>
        </w:tc>
        <w:tc>
          <w:tcPr>
            <w:tcW w:w="678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5230D67">
            <w:pPr>
              <w:widowControl/>
              <w:rPr>
                <w:highlight w:val="none"/>
              </w:rPr>
            </w:pPr>
            <w:r>
              <w:rPr>
                <w:rFonts w:ascii="宋体" w:hAnsi="宋体" w:cs="宋体"/>
                <w:sz w:val="24"/>
                <w:highlight w:val="none"/>
              </w:rPr>
              <w:t>综合评分法中的价格分采用低价优先法计算，满足招标文件要求且投标</w:t>
            </w:r>
            <w:r>
              <w:rPr>
                <w:rFonts w:hint="eastAsia" w:ascii="宋体" w:hAnsi="宋体" w:cs="宋体"/>
                <w:sz w:val="24"/>
                <w:highlight w:val="none"/>
              </w:rPr>
              <w:t>价格</w:t>
            </w:r>
            <w:r>
              <w:rPr>
                <w:rFonts w:ascii="宋体" w:hAnsi="宋体" w:cs="宋体"/>
                <w:sz w:val="24"/>
                <w:highlight w:val="none"/>
              </w:rPr>
              <w:t>最低的投标报价为评标基准</w:t>
            </w:r>
            <w:r>
              <w:rPr>
                <w:rFonts w:hint="eastAsia" w:ascii="宋体" w:hAnsi="宋体" w:cs="宋体"/>
                <w:sz w:val="24"/>
                <w:highlight w:val="none"/>
              </w:rPr>
              <w:t>价</w:t>
            </w:r>
            <w:r>
              <w:rPr>
                <w:rFonts w:ascii="宋体" w:hAnsi="宋体" w:cs="宋体"/>
                <w:sz w:val="24"/>
                <w:highlight w:val="none"/>
              </w:rPr>
              <w:t>，其价格分为满分</w:t>
            </w:r>
            <w:r>
              <w:rPr>
                <w:rFonts w:hint="eastAsia" w:ascii="宋体" w:hAnsi="宋体" w:cs="宋体"/>
                <w:sz w:val="24"/>
                <w:highlight w:val="none"/>
              </w:rPr>
              <w:t>50</w:t>
            </w:r>
            <w:r>
              <w:rPr>
                <w:rFonts w:ascii="宋体" w:hAnsi="宋体" w:cs="宋体"/>
                <w:sz w:val="24"/>
                <w:highlight w:val="none"/>
              </w:rPr>
              <w:t>分。其他投标人的价格分统一按照下列公式计算:报价得分=（评标基准</w:t>
            </w:r>
            <w:r>
              <w:rPr>
                <w:rFonts w:hint="eastAsia" w:ascii="宋体" w:hAnsi="宋体" w:cs="宋体"/>
                <w:sz w:val="24"/>
                <w:highlight w:val="none"/>
              </w:rPr>
              <w:t>价</w:t>
            </w:r>
            <w:r>
              <w:rPr>
                <w:rFonts w:ascii="宋体" w:hAnsi="宋体" w:cs="宋体"/>
                <w:sz w:val="24"/>
                <w:highlight w:val="none"/>
              </w:rPr>
              <w:t>/投标</w:t>
            </w:r>
            <w:r>
              <w:rPr>
                <w:rFonts w:hint="eastAsia" w:ascii="宋体" w:hAnsi="宋体" w:cs="宋体"/>
                <w:sz w:val="24"/>
                <w:highlight w:val="none"/>
              </w:rPr>
              <w:t>报价</w:t>
            </w:r>
            <w:r>
              <w:rPr>
                <w:rFonts w:ascii="宋体" w:hAnsi="宋体" w:cs="宋体"/>
                <w:sz w:val="24"/>
                <w:highlight w:val="none"/>
              </w:rPr>
              <w:t>）×价格分值</w:t>
            </w:r>
          </w:p>
        </w:tc>
        <w:tc>
          <w:tcPr>
            <w:tcW w:w="8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0D0AF56">
            <w:pPr>
              <w:spacing w:line="360" w:lineRule="auto"/>
              <w:jc w:val="center"/>
              <w:rPr>
                <w:rFonts w:ascii="宋体" w:hAnsi="宋体"/>
                <w:sz w:val="24"/>
                <w:highlight w:val="none"/>
                <w:lang w:eastAsia="en-US"/>
              </w:rPr>
            </w:pPr>
            <w:r>
              <w:rPr>
                <w:rFonts w:hint="eastAsia" w:ascii="宋体" w:hAnsi="宋体"/>
                <w:sz w:val="24"/>
                <w:highlight w:val="none"/>
                <w:lang w:val="en-US" w:eastAsia="zh-CN"/>
              </w:rPr>
              <w:t>5</w:t>
            </w:r>
            <w:r>
              <w:rPr>
                <w:rFonts w:hint="eastAsia" w:ascii="宋体" w:hAnsi="宋体"/>
                <w:sz w:val="24"/>
                <w:highlight w:val="none"/>
              </w:rPr>
              <w:t>0</w:t>
            </w:r>
            <w:r>
              <w:rPr>
                <w:rFonts w:hint="eastAsia" w:ascii="宋体" w:hAnsi="宋体"/>
                <w:sz w:val="24"/>
                <w:highlight w:val="none"/>
                <w:lang w:eastAsia="en-US"/>
              </w:rPr>
              <w:t>分</w:t>
            </w:r>
          </w:p>
        </w:tc>
      </w:tr>
    </w:tbl>
    <w:p w14:paraId="4A519C7B">
      <w:pPr>
        <w:widowControl/>
        <w:spacing w:line="360" w:lineRule="auto"/>
        <w:jc w:val="left"/>
        <w:rPr>
          <w:rFonts w:ascii="宋体" w:hAnsi="宋体"/>
          <w:sz w:val="24"/>
        </w:rPr>
      </w:pPr>
    </w:p>
    <w:p w14:paraId="05CB3FE1">
      <w:pPr>
        <w:spacing w:line="360" w:lineRule="auto"/>
        <w:ind w:firstLine="480"/>
        <w:rPr>
          <w:rFonts w:ascii="宋体" w:hAnsi="宋体"/>
          <w:sz w:val="24"/>
        </w:rPr>
      </w:pPr>
      <w:r>
        <w:rPr>
          <w:rFonts w:hint="eastAsia" w:ascii="宋体" w:hAnsi="宋体"/>
          <w:sz w:val="24"/>
        </w:rPr>
        <w:t>优惠政策性审查内容如下：</w:t>
      </w:r>
    </w:p>
    <w:p w14:paraId="3216E073">
      <w:pPr>
        <w:spacing w:line="360" w:lineRule="auto"/>
        <w:ind w:firstLine="480"/>
        <w:rPr>
          <w:rFonts w:ascii="宋体" w:hAnsi="宋体"/>
          <w:sz w:val="24"/>
        </w:rPr>
      </w:pPr>
      <w:r>
        <w:rPr>
          <w:rFonts w:hint="eastAsia" w:ascii="宋体" w:hAnsi="宋体"/>
          <w:sz w:val="24"/>
        </w:rPr>
        <w:t>（1）中小企业的优惠政策性审查。</w:t>
      </w:r>
    </w:p>
    <w:p w14:paraId="0D6DB559">
      <w:pPr>
        <w:spacing w:line="360" w:lineRule="auto"/>
        <w:ind w:firstLine="480"/>
        <w:rPr>
          <w:rFonts w:ascii="宋体" w:hAnsi="宋体"/>
          <w:sz w:val="24"/>
        </w:rPr>
      </w:pPr>
      <w:r>
        <w:rPr>
          <w:rFonts w:hint="eastAsia" w:ascii="宋体" w:hAnsi="宋体"/>
          <w:sz w:val="24"/>
        </w:rPr>
        <w:t>根据财政部、工信部《政府采购促进中小企业发展办法》、《江苏省财政厅关于进一步加大政府采购支持中小企业力度的通知》要求，对于经主管预算单位统筹后未预留份额专门面向中小企业采购的采购项目，以及预留份额项目中的非预留部分采购包，对符合规定的小微企业报价给予</w:t>
      </w:r>
      <w:r>
        <w:rPr>
          <w:rFonts w:hint="eastAsia" w:ascii="宋体" w:hAnsi="宋体"/>
          <w:sz w:val="24"/>
          <w:u w:val="single"/>
          <w:lang w:val="en-US" w:eastAsia="zh-CN"/>
        </w:rPr>
        <w:t>10%</w:t>
      </w:r>
      <w:r>
        <w:rPr>
          <w:rFonts w:hint="eastAsia" w:ascii="宋体" w:hAnsi="宋体"/>
          <w:sz w:val="24"/>
        </w:rPr>
        <w:t>的调减，以调减后的价格计算评审价格。接受大中型企业与小微企业组成联合体或者允许大中型企业向一家或者多家小微企业分包的政府采购货物或服务项目，对于联合协议或者分包意向协议约定小型、微型企业的协议合同金额占到合同总金额30%以上的，给予联合体</w:t>
      </w:r>
      <w:r>
        <w:rPr>
          <w:rFonts w:hint="eastAsia" w:ascii="宋体" w:hAnsi="宋体"/>
          <w:sz w:val="24"/>
          <w:u w:val="single"/>
          <w:lang w:val="en-US" w:eastAsia="zh-CN"/>
        </w:rPr>
        <w:t>4%</w:t>
      </w:r>
      <w:r>
        <w:rPr>
          <w:rFonts w:hint="eastAsia" w:ascii="宋体" w:hAnsi="宋体"/>
          <w:sz w:val="24"/>
        </w:rPr>
        <w:t>的价格调减。联合体各方均为小型、微型企业的，联合体视同为小型、微型企业享受</w:t>
      </w:r>
      <w:r>
        <w:rPr>
          <w:rFonts w:hint="eastAsia" w:ascii="宋体" w:hAnsi="宋体"/>
          <w:sz w:val="24"/>
          <w:u w:val="single"/>
          <w:lang w:val="en-US" w:eastAsia="zh-CN"/>
        </w:rPr>
        <w:t>1</w:t>
      </w:r>
      <w:r>
        <w:rPr>
          <w:rFonts w:hint="eastAsia" w:ascii="宋体" w:hAnsi="宋体"/>
          <w:sz w:val="24"/>
          <w:u w:val="single"/>
        </w:rPr>
        <w:t>0%</w:t>
      </w:r>
      <w:r>
        <w:rPr>
          <w:rFonts w:hint="eastAsia" w:ascii="宋体" w:hAnsi="宋体"/>
          <w:sz w:val="24"/>
        </w:rPr>
        <w:t>的价格调减，用调减后的价格计算评审价格。</w:t>
      </w:r>
    </w:p>
    <w:p w14:paraId="59AB3C27">
      <w:pPr>
        <w:spacing w:line="360" w:lineRule="auto"/>
        <w:ind w:firstLine="480"/>
        <w:rPr>
          <w:rFonts w:ascii="宋体" w:hAnsi="宋体"/>
          <w:sz w:val="24"/>
        </w:rPr>
      </w:pPr>
      <w:r>
        <w:rPr>
          <w:rFonts w:hint="eastAsia" w:ascii="宋体" w:hAnsi="宋体"/>
          <w:sz w:val="24"/>
        </w:rPr>
        <w:t>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p>
    <w:p w14:paraId="754F19D8">
      <w:pPr>
        <w:pStyle w:val="5"/>
        <w:keepNext w:val="0"/>
        <w:keepLines w:val="0"/>
        <w:spacing w:before="200" w:after="200" w:line="360" w:lineRule="auto"/>
        <w:ind w:firstLine="446"/>
        <w:rPr>
          <w:rFonts w:hint="eastAsia" w:ascii="宋体" w:hAnsi="宋体"/>
          <w:sz w:val="30"/>
          <w:szCs w:val="30"/>
        </w:rPr>
      </w:pPr>
      <w:r>
        <w:rPr>
          <w:rFonts w:hint="eastAsia" w:ascii="宋体" w:hAnsi="宋体"/>
          <w:sz w:val="24"/>
        </w:rPr>
        <w:t>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w:t>
      </w:r>
    </w:p>
    <w:p w14:paraId="1537AF54">
      <w:pPr>
        <w:pStyle w:val="5"/>
        <w:keepNext w:val="0"/>
        <w:keepLines w:val="0"/>
        <w:spacing w:before="200" w:after="200" w:line="360" w:lineRule="auto"/>
        <w:ind w:firstLine="446"/>
        <w:rPr>
          <w:rFonts w:ascii="宋体" w:hAnsi="宋体"/>
          <w:sz w:val="30"/>
          <w:szCs w:val="30"/>
        </w:rPr>
      </w:pPr>
      <w:r>
        <w:rPr>
          <w:rFonts w:hint="eastAsia" w:ascii="宋体" w:hAnsi="宋体"/>
          <w:sz w:val="30"/>
          <w:szCs w:val="30"/>
        </w:rPr>
        <w:t>9.相同品牌产品的处理原则</w:t>
      </w:r>
    </w:p>
    <w:p w14:paraId="4BCBF6FB">
      <w:pPr>
        <w:pStyle w:val="5"/>
        <w:keepNext w:val="0"/>
        <w:keepLines w:val="0"/>
        <w:spacing w:before="0" w:after="0" w:line="360" w:lineRule="auto"/>
        <w:ind w:firstLine="473"/>
        <w:rPr>
          <w:rFonts w:ascii="宋体" w:hAnsi="宋体"/>
          <w:b w:val="0"/>
          <w:sz w:val="24"/>
          <w:szCs w:val="24"/>
        </w:rPr>
      </w:pPr>
      <w:r>
        <w:rPr>
          <w:rFonts w:hint="eastAsia" w:ascii="宋体" w:hAnsi="宋体"/>
          <w:b w:val="0"/>
          <w:sz w:val="24"/>
          <w:szCs w:val="24"/>
        </w:rPr>
        <w:t>9.1非单一产品采购项目，采购人应当根据采购项目技术构成、产品价格比重等合理确定核心产品。本项目核心产品见投标人须知前附表。</w:t>
      </w:r>
    </w:p>
    <w:p w14:paraId="6B7F3592">
      <w:pPr>
        <w:spacing w:line="360" w:lineRule="auto"/>
        <w:ind w:firstLine="480"/>
        <w:rPr>
          <w:rFonts w:ascii="宋体" w:hAnsi="宋体"/>
          <w:sz w:val="24"/>
        </w:rPr>
      </w:pPr>
      <w:r>
        <w:rPr>
          <w:rFonts w:hint="eastAsia" w:ascii="宋体" w:hAnsi="宋体"/>
          <w:sz w:val="24"/>
        </w:rPr>
        <w:t>9.2使用综合评分法的采购项目，核心产品提供相同品牌产品且通过资格审查、符合性审查的不同投标人参加同一合同项下投标的，按一家投标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14:paraId="0E1BA9F4">
      <w:pPr>
        <w:pStyle w:val="5"/>
        <w:keepNext w:val="0"/>
        <w:keepLines w:val="0"/>
        <w:spacing w:before="200" w:after="200" w:line="360" w:lineRule="auto"/>
        <w:ind w:firstLine="446"/>
        <w:rPr>
          <w:rFonts w:ascii="宋体" w:hAnsi="宋体"/>
          <w:sz w:val="30"/>
          <w:szCs w:val="30"/>
        </w:rPr>
      </w:pPr>
      <w:r>
        <w:rPr>
          <w:rFonts w:hint="eastAsia" w:ascii="宋体" w:hAnsi="宋体"/>
          <w:sz w:val="30"/>
          <w:szCs w:val="30"/>
        </w:rPr>
        <w:t>10.允许修改评标结果的情形</w:t>
      </w:r>
    </w:p>
    <w:p w14:paraId="35FA87B8">
      <w:pPr>
        <w:spacing w:line="360" w:lineRule="auto"/>
        <w:ind w:firstLine="480"/>
        <w:rPr>
          <w:rFonts w:ascii="宋体" w:hAnsi="宋体"/>
          <w:sz w:val="24"/>
        </w:rPr>
      </w:pPr>
      <w:r>
        <w:rPr>
          <w:rFonts w:hint="eastAsia" w:ascii="宋体" w:hAnsi="宋体"/>
          <w:sz w:val="24"/>
        </w:rPr>
        <w:t>10.1评标结果汇总完成后，除下列情形外，任何人不得修改评标结果：</w:t>
      </w:r>
    </w:p>
    <w:p w14:paraId="2FD78204">
      <w:pPr>
        <w:spacing w:line="360" w:lineRule="auto"/>
        <w:ind w:firstLine="480"/>
        <w:rPr>
          <w:rFonts w:ascii="宋体" w:hAnsi="宋体"/>
          <w:sz w:val="24"/>
        </w:rPr>
      </w:pPr>
      <w:r>
        <w:rPr>
          <w:rFonts w:hint="eastAsia" w:ascii="宋体" w:hAnsi="宋体"/>
          <w:sz w:val="24"/>
        </w:rPr>
        <w:t>（1）分值汇总计算错误的；</w:t>
      </w:r>
    </w:p>
    <w:p w14:paraId="1E279B0E">
      <w:pPr>
        <w:spacing w:line="360" w:lineRule="auto"/>
        <w:ind w:firstLine="480"/>
        <w:rPr>
          <w:rFonts w:ascii="宋体" w:hAnsi="宋体"/>
          <w:sz w:val="24"/>
        </w:rPr>
      </w:pPr>
      <w:r>
        <w:rPr>
          <w:rFonts w:hint="eastAsia" w:ascii="宋体" w:hAnsi="宋体"/>
          <w:sz w:val="24"/>
        </w:rPr>
        <w:t>（2）分项评分超出评分标准范围的；</w:t>
      </w:r>
    </w:p>
    <w:p w14:paraId="1C0A6B14">
      <w:pPr>
        <w:spacing w:line="360" w:lineRule="auto"/>
        <w:ind w:firstLine="480"/>
        <w:rPr>
          <w:rFonts w:ascii="宋体" w:hAnsi="宋体"/>
          <w:sz w:val="24"/>
        </w:rPr>
      </w:pPr>
      <w:r>
        <w:rPr>
          <w:rFonts w:hint="eastAsia" w:ascii="宋体" w:hAnsi="宋体"/>
          <w:sz w:val="24"/>
        </w:rPr>
        <w:t>（3）评标委员会成员对客观评审因素评分不一致的；</w:t>
      </w:r>
    </w:p>
    <w:p w14:paraId="31E66540">
      <w:pPr>
        <w:spacing w:line="360" w:lineRule="auto"/>
        <w:ind w:firstLine="480"/>
        <w:rPr>
          <w:rFonts w:ascii="宋体" w:hAnsi="宋体"/>
          <w:sz w:val="24"/>
        </w:rPr>
      </w:pPr>
      <w:r>
        <w:rPr>
          <w:rFonts w:hint="eastAsia" w:ascii="宋体" w:hAnsi="宋体"/>
          <w:sz w:val="24"/>
        </w:rPr>
        <w:t>（4）经评标委员会认定评分畸高、畸低的。</w:t>
      </w:r>
    </w:p>
    <w:p w14:paraId="32A264D7">
      <w:pPr>
        <w:spacing w:line="360" w:lineRule="auto"/>
        <w:ind w:firstLine="480"/>
        <w:rPr>
          <w:rFonts w:ascii="宋体" w:hAnsi="宋体"/>
          <w:sz w:val="24"/>
        </w:rPr>
      </w:pPr>
      <w:r>
        <w:rPr>
          <w:rFonts w:hint="eastAsia" w:ascii="宋体" w:hAnsi="宋体"/>
          <w:sz w:val="24"/>
        </w:rPr>
        <w:t>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237" w:name="_Toc20732998"/>
      <w:bookmarkEnd w:id="237"/>
      <w:bookmarkStart w:id="238" w:name="_Toc100386064"/>
      <w:bookmarkEnd w:id="238"/>
      <w:bookmarkStart w:id="239" w:name="_Toc98669719"/>
      <w:bookmarkEnd w:id="239"/>
      <w:bookmarkStart w:id="240" w:name="_Toc92168030"/>
      <w:bookmarkEnd w:id="240"/>
      <w:bookmarkStart w:id="241" w:name="_Toc98669361"/>
      <w:bookmarkEnd w:id="241"/>
    </w:p>
    <w:p w14:paraId="6EE73C51">
      <w:pPr>
        <w:pStyle w:val="5"/>
        <w:keepNext w:val="0"/>
        <w:keepLines w:val="0"/>
        <w:spacing w:before="200" w:after="200" w:line="360" w:lineRule="auto"/>
        <w:ind w:firstLine="446"/>
        <w:rPr>
          <w:rFonts w:ascii="宋体" w:hAnsi="宋体"/>
          <w:sz w:val="30"/>
          <w:szCs w:val="30"/>
        </w:rPr>
      </w:pPr>
      <w:r>
        <w:rPr>
          <w:rFonts w:hint="eastAsia" w:ascii="宋体" w:hAnsi="宋体"/>
          <w:sz w:val="30"/>
          <w:szCs w:val="30"/>
        </w:rPr>
        <w:t>11.推荐中标候选人</w:t>
      </w:r>
    </w:p>
    <w:p w14:paraId="50E9F2D2">
      <w:pPr>
        <w:widowControl/>
        <w:spacing w:line="360" w:lineRule="auto"/>
        <w:ind w:firstLine="420"/>
        <w:jc w:val="left"/>
        <w:rPr>
          <w:rFonts w:ascii="宋体" w:hAnsi="宋体"/>
          <w:sz w:val="24"/>
        </w:rPr>
      </w:pPr>
      <w:r>
        <w:rPr>
          <w:rFonts w:hint="eastAsia" w:ascii="宋体" w:hAnsi="宋体"/>
          <w:sz w:val="24"/>
        </w:rPr>
        <w:t>11.1</w:t>
      </w:r>
      <w:r>
        <w:rPr>
          <w:rFonts w:hint="eastAsia" w:ascii="宋体" w:hAnsi="宋体"/>
          <w:color w:val="0000FF"/>
          <w:sz w:val="24"/>
        </w:rPr>
        <w:t>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6475B5C1">
      <w:pPr>
        <w:widowControl/>
        <w:spacing w:line="360" w:lineRule="auto"/>
        <w:jc w:val="left"/>
        <w:rPr>
          <w:rFonts w:ascii="宋体" w:hAnsi="宋体"/>
          <w:sz w:val="24"/>
        </w:rPr>
      </w:pPr>
      <w:r>
        <w:rPr>
          <w:rFonts w:ascii="宋体" w:hAnsi="宋体"/>
          <w:sz w:val="24"/>
        </w:rPr>
        <w:br w:type="page" w:clear="all"/>
      </w:r>
    </w:p>
    <w:p w14:paraId="4392A44E">
      <w:pPr>
        <w:widowControl/>
        <w:spacing w:line="360" w:lineRule="auto"/>
        <w:jc w:val="left"/>
        <w:rPr>
          <w:rFonts w:ascii="宋体" w:hAnsi="宋体"/>
          <w:sz w:val="24"/>
        </w:rPr>
      </w:pPr>
    </w:p>
    <w:p w14:paraId="2BE9AD65">
      <w:pPr>
        <w:spacing w:line="360" w:lineRule="auto"/>
        <w:jc w:val="left"/>
        <w:rPr>
          <w:rFonts w:ascii="宋体" w:hAnsi="宋体"/>
          <w:b/>
          <w:sz w:val="30"/>
        </w:rPr>
      </w:pPr>
      <w:r>
        <w:rPr>
          <w:rFonts w:hint="eastAsia" w:ascii="宋体" w:hAnsi="宋体"/>
          <w:b/>
          <w:sz w:val="30"/>
        </w:rPr>
        <w:t>第六部分    投标文件（格式）</w:t>
      </w:r>
    </w:p>
    <w:p w14:paraId="6EBDD420">
      <w:pPr>
        <w:spacing w:line="360" w:lineRule="auto"/>
        <w:jc w:val="center"/>
        <w:rPr>
          <w:rFonts w:ascii="宋体" w:hAnsi="宋体"/>
          <w:b/>
          <w:sz w:val="72"/>
        </w:rPr>
      </w:pPr>
    </w:p>
    <w:p w14:paraId="48A54ED2">
      <w:pPr>
        <w:spacing w:line="360" w:lineRule="auto"/>
        <w:jc w:val="center"/>
        <w:rPr>
          <w:rFonts w:ascii="宋体" w:hAnsi="宋体"/>
          <w:sz w:val="72"/>
        </w:rPr>
      </w:pPr>
      <w:r>
        <w:rPr>
          <w:rFonts w:hint="eastAsia" w:ascii="宋体" w:hAnsi="宋体"/>
          <w:b/>
          <w:sz w:val="72"/>
        </w:rPr>
        <w:t>投   标   文   件</w:t>
      </w:r>
    </w:p>
    <w:p w14:paraId="7C4D0D0D">
      <w:pPr>
        <w:spacing w:line="360" w:lineRule="auto"/>
        <w:ind w:firstLine="723"/>
        <w:jc w:val="center"/>
        <w:rPr>
          <w:rFonts w:ascii="宋体" w:hAnsi="宋体"/>
          <w:b/>
          <w:sz w:val="36"/>
        </w:rPr>
      </w:pPr>
    </w:p>
    <w:p w14:paraId="1E42CCEC">
      <w:pPr>
        <w:spacing w:line="360" w:lineRule="auto"/>
        <w:ind w:firstLine="643"/>
        <w:rPr>
          <w:rFonts w:ascii="宋体" w:hAnsi="宋体"/>
          <w:b/>
          <w:sz w:val="32"/>
        </w:rPr>
      </w:pPr>
    </w:p>
    <w:p w14:paraId="6568FE95">
      <w:pPr>
        <w:spacing w:line="360" w:lineRule="auto"/>
        <w:ind w:firstLine="643"/>
        <w:rPr>
          <w:rFonts w:ascii="宋体" w:hAnsi="宋体"/>
          <w:b/>
          <w:sz w:val="32"/>
        </w:rPr>
      </w:pPr>
    </w:p>
    <w:p w14:paraId="3829BEF3">
      <w:pPr>
        <w:spacing w:line="360" w:lineRule="auto"/>
        <w:ind w:firstLine="2249"/>
        <w:jc w:val="both"/>
        <w:rPr>
          <w:rFonts w:hint="default" w:ascii="宋体" w:hAnsi="宋体" w:eastAsia="宋体"/>
          <w:b/>
          <w:sz w:val="32"/>
          <w:lang w:val="en-US" w:eastAsia="zh-CN"/>
        </w:rPr>
      </w:pPr>
      <w:r>
        <w:rPr>
          <w:rFonts w:hint="eastAsia" w:ascii="宋体" w:hAnsi="宋体"/>
          <w:b/>
          <w:sz w:val="32"/>
        </w:rPr>
        <w:t>项目编号：</w:t>
      </w:r>
      <w:r>
        <w:rPr>
          <w:rFonts w:hint="eastAsia" w:ascii="宋体" w:hAnsi="宋体"/>
          <w:b/>
          <w:sz w:val="32"/>
          <w:highlight w:val="none"/>
          <w:lang w:val="en-US" w:eastAsia="zh-CN"/>
        </w:rPr>
        <w:t xml:space="preserve">                    </w:t>
      </w:r>
    </w:p>
    <w:p w14:paraId="32116F9A">
      <w:pPr>
        <w:spacing w:line="360" w:lineRule="auto"/>
        <w:ind w:firstLine="560"/>
        <w:jc w:val="center"/>
        <w:rPr>
          <w:rFonts w:ascii="宋体" w:hAnsi="宋体"/>
          <w:sz w:val="28"/>
        </w:rPr>
      </w:pPr>
    </w:p>
    <w:p w14:paraId="09BFF5CB">
      <w:pPr>
        <w:spacing w:line="360" w:lineRule="auto"/>
        <w:ind w:firstLine="560"/>
        <w:jc w:val="center"/>
        <w:rPr>
          <w:rFonts w:ascii="宋体" w:hAnsi="宋体"/>
          <w:sz w:val="28"/>
        </w:rPr>
      </w:pPr>
    </w:p>
    <w:p w14:paraId="6A6B59E4">
      <w:pPr>
        <w:spacing w:line="360" w:lineRule="auto"/>
        <w:ind w:firstLine="560"/>
        <w:jc w:val="center"/>
        <w:rPr>
          <w:rFonts w:ascii="宋体" w:hAnsi="宋体"/>
          <w:sz w:val="28"/>
        </w:rPr>
      </w:pPr>
    </w:p>
    <w:p w14:paraId="0C27DE95">
      <w:pPr>
        <w:spacing w:line="360" w:lineRule="auto"/>
        <w:ind w:firstLine="562"/>
        <w:jc w:val="center"/>
        <w:rPr>
          <w:rFonts w:ascii="宋体" w:hAnsi="宋体"/>
          <w:b/>
          <w:sz w:val="28"/>
        </w:rPr>
      </w:pPr>
    </w:p>
    <w:p w14:paraId="10B1AE4B">
      <w:pPr>
        <w:spacing w:line="360" w:lineRule="auto"/>
        <w:jc w:val="center"/>
        <w:rPr>
          <w:rFonts w:ascii="宋体" w:hAnsi="宋体"/>
          <w:b/>
          <w:sz w:val="32"/>
          <w:szCs w:val="32"/>
        </w:rPr>
      </w:pPr>
      <w:r>
        <w:rPr>
          <w:rFonts w:hint="eastAsia" w:ascii="宋体" w:hAnsi="宋体"/>
          <w:b/>
          <w:sz w:val="32"/>
          <w:szCs w:val="32"/>
        </w:rPr>
        <w:t>项目名称：</w:t>
      </w:r>
      <w:r>
        <w:rPr>
          <w:rFonts w:hint="eastAsia" w:ascii="宋体" w:hAnsi="宋体"/>
          <w:b/>
          <w:sz w:val="32"/>
          <w:szCs w:val="32"/>
          <w:lang w:eastAsia="zh-CN"/>
        </w:rPr>
        <w:t>智能化数字化葡萄生产基地提升项目硬件部分采购</w:t>
      </w:r>
    </w:p>
    <w:p w14:paraId="0316C10C">
      <w:pPr>
        <w:pStyle w:val="137"/>
        <w:spacing w:line="360" w:lineRule="auto"/>
        <w:ind w:firstLine="643"/>
        <w:rPr>
          <w:rFonts w:ascii="宋体" w:hAnsi="宋体" w:eastAsia="宋体"/>
          <w:b/>
          <w:sz w:val="32"/>
        </w:rPr>
      </w:pPr>
    </w:p>
    <w:p w14:paraId="1238E847">
      <w:pPr>
        <w:pStyle w:val="137"/>
        <w:spacing w:line="360" w:lineRule="auto"/>
        <w:ind w:firstLine="643"/>
        <w:rPr>
          <w:rFonts w:ascii="宋体" w:hAnsi="宋体" w:eastAsia="宋体"/>
          <w:b/>
          <w:sz w:val="32"/>
        </w:rPr>
      </w:pPr>
    </w:p>
    <w:p w14:paraId="7C22AAA9">
      <w:pPr>
        <w:spacing w:line="360" w:lineRule="auto"/>
        <w:jc w:val="center"/>
        <w:rPr>
          <w:rFonts w:ascii="宋体" w:hAnsi="宋体"/>
          <w:b/>
          <w:sz w:val="32"/>
        </w:rPr>
      </w:pPr>
      <w:r>
        <w:rPr>
          <w:rFonts w:hint="eastAsia" w:ascii="宋体" w:hAnsi="宋体"/>
          <w:b/>
          <w:sz w:val="32"/>
        </w:rPr>
        <w:t>投 标 人（公章）：</w:t>
      </w:r>
      <w:r>
        <w:rPr>
          <w:rFonts w:hint="eastAsia" w:ascii="宋体" w:hAnsi="宋体"/>
          <w:b/>
          <w:sz w:val="24"/>
          <w:u w:val="single"/>
        </w:rPr>
        <w:t>××××</w:t>
      </w:r>
    </w:p>
    <w:p w14:paraId="2F8A8AF9">
      <w:pPr>
        <w:spacing w:line="360" w:lineRule="auto"/>
        <w:ind w:firstLine="723"/>
        <w:jc w:val="center"/>
        <w:rPr>
          <w:rFonts w:ascii="宋体" w:hAnsi="宋体"/>
          <w:b/>
          <w:sz w:val="36"/>
        </w:rPr>
      </w:pPr>
    </w:p>
    <w:p w14:paraId="36F48381">
      <w:pPr>
        <w:spacing w:line="360" w:lineRule="auto"/>
        <w:ind w:firstLine="723"/>
        <w:jc w:val="center"/>
        <w:rPr>
          <w:rFonts w:ascii="宋体" w:hAnsi="宋体"/>
          <w:b/>
          <w:sz w:val="36"/>
        </w:rPr>
      </w:pPr>
    </w:p>
    <w:p w14:paraId="70E74854">
      <w:pPr>
        <w:spacing w:line="360" w:lineRule="auto"/>
        <w:ind w:firstLine="723"/>
        <w:jc w:val="center"/>
        <w:rPr>
          <w:rFonts w:ascii="宋体" w:hAnsi="宋体"/>
          <w:b/>
          <w:sz w:val="36"/>
        </w:rPr>
      </w:pPr>
    </w:p>
    <w:p w14:paraId="4DB20B4F">
      <w:pPr>
        <w:spacing w:line="360" w:lineRule="auto"/>
        <w:jc w:val="center"/>
        <w:rPr>
          <w:rFonts w:ascii="宋体" w:hAnsi="宋体"/>
          <w:b/>
          <w:sz w:val="32"/>
        </w:rPr>
      </w:pPr>
      <w:r>
        <w:rPr>
          <w:rFonts w:hint="eastAsia" w:ascii="宋体" w:hAnsi="宋体"/>
          <w:b/>
          <w:sz w:val="24"/>
          <w:u w:val="single"/>
        </w:rPr>
        <w:t>××××</w:t>
      </w:r>
      <w:r>
        <w:rPr>
          <w:rFonts w:hint="eastAsia" w:ascii="宋体" w:hAnsi="宋体"/>
          <w:b/>
          <w:sz w:val="32"/>
        </w:rPr>
        <w:t>年</w:t>
      </w:r>
      <w:r>
        <w:rPr>
          <w:rFonts w:hint="eastAsia" w:ascii="宋体" w:hAnsi="宋体"/>
          <w:b/>
          <w:sz w:val="24"/>
          <w:u w:val="single"/>
        </w:rPr>
        <w:t>××</w:t>
      </w:r>
      <w:r>
        <w:rPr>
          <w:rFonts w:hint="eastAsia" w:ascii="宋体" w:hAnsi="宋体"/>
          <w:b/>
          <w:sz w:val="32"/>
        </w:rPr>
        <w:t>月</w:t>
      </w:r>
      <w:r>
        <w:rPr>
          <w:rFonts w:hint="eastAsia" w:ascii="宋体" w:hAnsi="宋体"/>
          <w:b/>
          <w:sz w:val="24"/>
          <w:u w:val="single"/>
        </w:rPr>
        <w:t>××</w:t>
      </w:r>
      <w:r>
        <w:rPr>
          <w:rFonts w:hint="eastAsia" w:ascii="宋体" w:hAnsi="宋体"/>
          <w:b/>
          <w:sz w:val="32"/>
        </w:rPr>
        <w:t>日</w:t>
      </w:r>
    </w:p>
    <w:p w14:paraId="4F186935">
      <w:pPr>
        <w:pStyle w:val="4"/>
        <w:spacing w:line="360" w:lineRule="auto"/>
        <w:ind w:firstLine="643"/>
        <w:rPr>
          <w:rFonts w:ascii="宋体" w:hAnsi="宋体" w:eastAsia="宋体"/>
          <w:sz w:val="32"/>
        </w:rPr>
      </w:pPr>
      <w:r>
        <w:rPr>
          <w:rFonts w:hint="eastAsia" w:ascii="宋体" w:hAnsi="宋体" w:eastAsia="宋体"/>
          <w:sz w:val="32"/>
        </w:rPr>
        <w:t>一、资格部分</w:t>
      </w:r>
    </w:p>
    <w:p w14:paraId="6A61DFCB">
      <w:pPr>
        <w:pStyle w:val="4"/>
        <w:spacing w:line="360" w:lineRule="auto"/>
        <w:ind w:firstLine="643"/>
        <w:rPr>
          <w:rFonts w:ascii="宋体" w:hAnsi="宋体" w:eastAsia="宋体"/>
          <w:sz w:val="32"/>
        </w:rPr>
      </w:pPr>
      <w:r>
        <w:rPr>
          <w:rFonts w:hint="eastAsia" w:ascii="宋体" w:hAnsi="宋体" w:eastAsia="宋体"/>
          <w:sz w:val="32"/>
        </w:rPr>
        <w:t>（一）投标函</w:t>
      </w:r>
    </w:p>
    <w:p w14:paraId="198D88B1">
      <w:pPr>
        <w:rPr>
          <w:rFonts w:hint="eastAsia" w:ascii="宋体" w:hAnsi="宋体" w:eastAsia="宋体"/>
          <w:sz w:val="28"/>
          <w:szCs w:val="28"/>
          <w:lang w:eastAsia="zh-CN"/>
        </w:rPr>
      </w:pPr>
      <w:r>
        <w:rPr>
          <w:rFonts w:hint="eastAsia" w:ascii="宋体" w:hAnsi="宋体"/>
          <w:b/>
          <w:sz w:val="24"/>
          <w:u w:val="single"/>
        </w:rPr>
        <w:t>致</w:t>
      </w:r>
      <w:r>
        <w:rPr>
          <w:rFonts w:hint="eastAsia" w:ascii="宋体" w:hAnsi="宋体"/>
          <w:b/>
          <w:bCs/>
          <w:sz w:val="30"/>
        </w:rPr>
        <w:t>：</w:t>
      </w:r>
      <w:r>
        <w:rPr>
          <w:rFonts w:hint="eastAsia" w:ascii="宋体" w:hAnsi="宋体"/>
          <w:b/>
          <w:sz w:val="24"/>
          <w:u w:val="single"/>
          <w:lang w:eastAsia="zh-CN"/>
        </w:rPr>
        <w:t>永道工程咨询（江苏）有限公司</w:t>
      </w:r>
    </w:p>
    <w:p w14:paraId="600F3CC1">
      <w:pPr>
        <w:spacing w:line="360" w:lineRule="auto"/>
        <w:rPr>
          <w:rFonts w:ascii="宋体" w:hAnsi="宋体"/>
          <w:b/>
          <w:bCs/>
          <w:sz w:val="30"/>
        </w:rPr>
      </w:pPr>
    </w:p>
    <w:p w14:paraId="605F6591">
      <w:pPr>
        <w:pStyle w:val="137"/>
        <w:spacing w:line="360" w:lineRule="auto"/>
        <w:ind w:left="0" w:firstLine="560"/>
        <w:jc w:val="both"/>
        <w:rPr>
          <w:rFonts w:ascii="宋体" w:hAnsi="宋体" w:eastAsia="宋体"/>
          <w:sz w:val="28"/>
          <w:szCs w:val="28"/>
        </w:rPr>
      </w:pPr>
      <w:r>
        <w:rPr>
          <w:rFonts w:hint="eastAsia" w:ascii="宋体" w:hAnsi="宋体" w:eastAsia="宋体"/>
          <w:sz w:val="28"/>
          <w:szCs w:val="24"/>
        </w:rPr>
        <w:t>根据贵方</w:t>
      </w:r>
      <w:r>
        <w:rPr>
          <w:rFonts w:hint="eastAsia" w:ascii="宋体" w:hAnsi="宋体" w:eastAsia="宋体"/>
          <w:sz w:val="28"/>
          <w:szCs w:val="28"/>
        </w:rPr>
        <w:t>关于</w:t>
      </w:r>
      <w:r>
        <w:rPr>
          <w:rFonts w:hint="eastAsia" w:ascii="宋体" w:hAnsi="宋体" w:eastAsia="宋体"/>
          <w:sz w:val="28"/>
          <w:szCs w:val="24"/>
          <w:u w:val="single"/>
          <w:lang w:eastAsia="zh-CN"/>
        </w:rPr>
        <w:t>智能化数字化葡萄生产基地提升项目硬件部分采购</w:t>
      </w:r>
      <w:r>
        <w:rPr>
          <w:rFonts w:hint="eastAsia" w:ascii="宋体" w:hAnsi="宋体" w:eastAsia="宋体" w:cs="Times New Roman"/>
          <w:b/>
          <w:sz w:val="24"/>
          <w:szCs w:val="16"/>
          <w:u w:val="single"/>
        </w:rPr>
        <w:t>（项目编号：</w:t>
      </w:r>
      <w:r>
        <w:rPr>
          <w:rFonts w:hint="eastAsia" w:ascii="宋体" w:hAnsi="宋体" w:eastAsia="宋体" w:cs="Times New Roman"/>
          <w:b/>
          <w:sz w:val="24"/>
          <w:szCs w:val="16"/>
          <w:highlight w:val="none"/>
          <w:u w:val="single"/>
          <w:lang w:val="en-US" w:eastAsia="zh-CN"/>
        </w:rPr>
        <w:t xml:space="preserve">           </w:t>
      </w:r>
      <w:r>
        <w:rPr>
          <w:rFonts w:hint="eastAsia" w:ascii="宋体" w:hAnsi="宋体" w:eastAsia="宋体" w:cs="Times New Roman"/>
          <w:b/>
          <w:sz w:val="24"/>
          <w:szCs w:val="16"/>
          <w:u w:val="single"/>
        </w:rPr>
        <w:t>）</w:t>
      </w:r>
      <w:r>
        <w:rPr>
          <w:rFonts w:hint="eastAsia" w:ascii="宋体" w:hAnsi="宋体" w:eastAsia="宋体"/>
          <w:sz w:val="28"/>
          <w:szCs w:val="24"/>
        </w:rPr>
        <w:t>的投标邀请</w:t>
      </w:r>
      <w:r>
        <w:rPr>
          <w:rFonts w:hint="eastAsia" w:ascii="宋体" w:hAnsi="宋体" w:eastAsia="宋体"/>
          <w:sz w:val="28"/>
          <w:szCs w:val="28"/>
        </w:rPr>
        <w:t>，我方已完全理解招标文件的所有内容。</w:t>
      </w:r>
    </w:p>
    <w:p w14:paraId="2CC5B37C">
      <w:pPr>
        <w:pStyle w:val="100"/>
        <w:spacing w:line="360" w:lineRule="auto"/>
        <w:ind w:left="1" w:firstLine="560"/>
        <w:rPr>
          <w:rFonts w:ascii="宋体" w:hAnsi="宋体" w:eastAsia="宋体"/>
          <w:sz w:val="28"/>
          <w:szCs w:val="28"/>
        </w:rPr>
      </w:pPr>
      <w:r>
        <w:rPr>
          <w:rFonts w:hint="eastAsia" w:ascii="宋体" w:hAnsi="宋体" w:eastAsia="宋体"/>
          <w:sz w:val="28"/>
          <w:szCs w:val="28"/>
        </w:rPr>
        <w:t>据此函，我方兹宣布同意如下：</w:t>
      </w:r>
    </w:p>
    <w:p w14:paraId="39BE4154">
      <w:pPr>
        <w:tabs>
          <w:tab w:val="left" w:pos="1125"/>
        </w:tabs>
        <w:spacing w:line="360" w:lineRule="auto"/>
        <w:ind w:firstLine="560"/>
        <w:rPr>
          <w:rFonts w:ascii="宋体" w:hAnsi="宋体"/>
          <w:sz w:val="28"/>
          <w:szCs w:val="28"/>
        </w:rPr>
      </w:pPr>
      <w:r>
        <w:rPr>
          <w:rFonts w:hint="eastAsia" w:ascii="宋体" w:hAnsi="宋体"/>
          <w:sz w:val="28"/>
          <w:szCs w:val="28"/>
        </w:rPr>
        <w:t>1．按招标文件规定提供货物的唯一投标报价见开标一览表。</w:t>
      </w:r>
      <w:r>
        <w:rPr>
          <w:rFonts w:ascii="宋体" w:hAnsi="宋体"/>
          <w:sz w:val="28"/>
          <w:szCs w:val="28"/>
        </w:rPr>
        <mc:AlternateContent>
          <mc:Choice Requires="wps">
            <w:drawing>
              <wp:anchor distT="0" distB="0" distL="114300" distR="114300" simplePos="0" relativeHeight="251661312"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5" name="直接连接符 1"/>
                <wp:cNvGraphicFramePr/>
                <a:graphic xmlns:a="http://schemas.openxmlformats.org/drawingml/2006/main">
                  <a:graphicData uri="http://schemas.microsoft.com/office/word/2010/wordprocessingShape">
                    <wps:wsp>
                      <wps:cNvCnPr/>
                      <wps:spPr bwMode="auto">
                        <a:xfrm>
                          <a:off x="0" y="0"/>
                          <a:ext cx="635" cy="0"/>
                        </a:xfrm>
                        <a:prstGeom prst="line">
                          <a:avLst/>
                        </a:prstGeom>
                        <a:solidFill>
                          <a:srgbClr val="FFFFFF"/>
                        </a:solidFill>
                        <a:ln w="1778">
                          <a:solidFill>
                            <a:srgbClr val="000000"/>
                          </a:solidFill>
                        </a:ln>
                      </wps:spPr>
                      <wps:bodyPr rot="0">
                        <a:noAutofit/>
                      </wps:bodyPr>
                    </wps:wsp>
                  </a:graphicData>
                </a:graphic>
              </wp:anchor>
            </w:drawing>
          </mc:Choice>
          <mc:Fallback>
            <w:pict>
              <v:line id="直接连接符 1" o:spid="_x0000_s1026" o:spt="20" style="position:absolute;left:0pt;margin-left:15.75pt;margin-top:19.5pt;height:0pt;width:0.05pt;z-index:251661312;mso-width-relative:page;mso-height-relative:page;" fillcolor="#FFFFFF" filled="t" stroked="t" coordsize="21600,21600" o:allowincell="f" o:gfxdata="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AM66Me1AAAAAcBAAAPAAAAAAAAAAEAIAAA&#10;ACIAAABkcnMvZG93bnJldi54bWxQSwECFAAUAAAACACHTuJAWIEUCdcBAAC1AwAADgAAAAAAAAAB&#10;ACAAAAAjAQAAZHJzL2Uyb0RvYy54bWxQSwUGAAAAAAYABgBZAQAAbAUAAAAA&#10;">
                <v:fill on="t" focussize="0,0"/>
                <v:stroke weight="0.14pt" color="#000000" joinstyle="round"/>
                <v:imagedata o:title=""/>
                <o:lock v:ext="edit" aspectratio="f"/>
              </v:line>
            </w:pict>
          </mc:Fallback>
        </mc:AlternateContent>
      </w:r>
      <w:r>
        <w:rPr>
          <w:rFonts w:ascii="宋体" w:hAnsi="宋体"/>
          <w:sz w:val="28"/>
          <w:szCs w:val="28"/>
        </w:rPr>
        <mc:AlternateContent>
          <mc:Choice Requires="wps">
            <w:drawing>
              <wp:anchor distT="0" distB="0" distL="114300" distR="114300" simplePos="0" relativeHeight="251660288"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6" name="直接连接符 2"/>
                <wp:cNvGraphicFramePr/>
                <a:graphic xmlns:a="http://schemas.openxmlformats.org/drawingml/2006/main">
                  <a:graphicData uri="http://schemas.microsoft.com/office/word/2010/wordprocessingShape">
                    <wps:wsp>
                      <wps:cNvCnPr/>
                      <wps:spPr bwMode="auto">
                        <a:xfrm>
                          <a:off x="0" y="0"/>
                          <a:ext cx="635" cy="0"/>
                        </a:xfrm>
                        <a:prstGeom prst="line">
                          <a:avLst/>
                        </a:prstGeom>
                        <a:solidFill>
                          <a:srgbClr val="FFFFFF"/>
                        </a:solidFill>
                        <a:ln w="1778">
                          <a:solidFill>
                            <a:srgbClr val="000000"/>
                          </a:solidFill>
                          <a:round/>
                        </a:ln>
                      </wps:spPr>
                      <wps:bodyPr rot="0">
                        <a:noAutofit/>
                      </wps:bodyPr>
                    </wps:wsp>
                  </a:graphicData>
                </a:graphic>
              </wp:anchor>
            </w:drawing>
          </mc:Choice>
          <mc:Fallback>
            <w:pict>
              <v:line id="直接连接符 2" o:spid="_x0000_s1026" o:spt="20" style="position:absolute;left:0pt;margin-left:210pt;margin-top:15.6pt;height:0pt;width:0.05pt;z-index:251660288;mso-width-relative:page;mso-height-relative:page;" fillcolor="#FFFFFF" filled="t" stroked="t" coordsize="21600,21600" o:allowincell="f" o:gfxdata="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">
                <v:fill on="t" focussize="0,0"/>
                <v:stroke weight="0.14pt" color="#000000" joinstyle="round"/>
                <v:imagedata o:title=""/>
                <o:lock v:ext="edit" aspectratio="f"/>
              </v:line>
            </w:pict>
          </mc:Fallback>
        </mc:AlternateContent>
      </w:r>
      <w:r>
        <w:rPr>
          <w:rFonts w:ascii="宋体" w:hAnsi="宋体"/>
          <w:sz w:val="28"/>
          <w:szCs w:val="28"/>
        </w:rPr>
        <mc:AlternateContent>
          <mc:Choice Requires="wps">
            <w:drawing>
              <wp:anchor distT="0" distB="0" distL="114300" distR="114300" simplePos="0" relativeHeight="251662336"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7" name="直接连接符 3"/>
                <wp:cNvGraphicFramePr/>
                <a:graphic xmlns:a="http://schemas.openxmlformats.org/drawingml/2006/main">
                  <a:graphicData uri="http://schemas.microsoft.com/office/word/2010/wordprocessingShape">
                    <wps:wsp>
                      <wps:cNvCnPr/>
                      <wps:spPr bwMode="auto">
                        <a:xfrm>
                          <a:off x="0" y="0"/>
                          <a:ext cx="635" cy="0"/>
                        </a:xfrm>
                        <a:prstGeom prst="line">
                          <a:avLst/>
                        </a:prstGeom>
                        <a:solidFill>
                          <a:srgbClr val="FFFFFF"/>
                        </a:solidFill>
                        <a:ln w="1778">
                          <a:solidFill>
                            <a:srgbClr val="000000"/>
                          </a:solidFill>
                        </a:ln>
                      </wps:spPr>
                      <wps:bodyPr rot="0">
                        <a:noAutofit/>
                      </wps:bodyPr>
                    </wps:wsp>
                  </a:graphicData>
                </a:graphic>
              </wp:anchor>
            </w:drawing>
          </mc:Choice>
          <mc:Fallback>
            <w:pict>
              <v:line id="直接连接符 3" o:spid="_x0000_s1026" o:spt="20" style="position:absolute;left:0pt;margin-left:15.75pt;margin-top:19.5pt;height:0pt;width:0.05pt;z-index:251662336;mso-width-relative:page;mso-height-relative:page;" fillcolor="#FFFFFF" filled="t" stroked="t" coordsize="21600,21600" o:allowincell="f" o:gfxdata="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DOujHtQAAAAHAQAADwAAAAAAAAABACAA&#10;AAAiAAAAZHJzL2Rvd25yZXYueG1sUEsBAhQAFAAAAAgAh07iQPBWWtLYAQAAtQMAAA4AAAAAAAAA&#10;AQAgAAAAIwEAAGRycy9lMm9Eb2MueG1sUEsFBgAAAAAGAAYAWQEAAG0FAAAAAA==&#10;">
                <v:fill on="t" focussize="0,0"/>
                <v:stroke weight="0.14pt" color="#000000" joinstyle="round"/>
                <v:imagedata o:title=""/>
                <o:lock v:ext="edit" aspectratio="f"/>
              </v:line>
            </w:pict>
          </mc:Fallback>
        </mc:AlternateContent>
      </w:r>
      <w:r>
        <w:rPr>
          <w:rFonts w:ascii="宋体" w:hAnsi="宋体"/>
          <w:sz w:val="28"/>
          <w:szCs w:val="28"/>
        </w:rPr>
        <mc:AlternateContent>
          <mc:Choice Requires="wps">
            <w:drawing>
              <wp:anchor distT="0" distB="0" distL="114300" distR="114300" simplePos="0" relativeHeight="251663360"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8" name="直接连接符 4"/>
                <wp:cNvGraphicFramePr/>
                <a:graphic xmlns:a="http://schemas.openxmlformats.org/drawingml/2006/main">
                  <a:graphicData uri="http://schemas.microsoft.com/office/word/2010/wordprocessingShape">
                    <wps:wsp>
                      <wps:cNvCnPr/>
                      <wps:spPr bwMode="auto">
                        <a:xfrm>
                          <a:off x="0" y="0"/>
                          <a:ext cx="635" cy="0"/>
                        </a:xfrm>
                        <a:prstGeom prst="line">
                          <a:avLst/>
                        </a:prstGeom>
                        <a:solidFill>
                          <a:srgbClr val="FFFFFF"/>
                        </a:solidFill>
                        <a:ln w="1778">
                          <a:solidFill>
                            <a:srgbClr val="000000"/>
                          </a:solidFill>
                        </a:ln>
                      </wps:spPr>
                      <wps:bodyPr rot="0">
                        <a:noAutofit/>
                      </wps:bodyPr>
                    </wps:wsp>
                  </a:graphicData>
                </a:graphic>
              </wp:anchor>
            </w:drawing>
          </mc:Choice>
          <mc:Fallback>
            <w:pict>
              <v:line id="直接连接符 4" o:spid="_x0000_s1026" o:spt="20" style="position:absolute;left:0pt;margin-left:210pt;margin-top:15.6pt;height:0pt;width:0.05pt;z-index:251663360;mso-width-relative:page;mso-height-relative:page;" fillcolor="#FFFFFF" filled="t" stroked="t" coordsize="21600,21600" o:allowincell="f" o:gfxdata="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nzcLvdUAAAAJAQAADwAAAAAAAAABACAA&#10;AAAiAAAAZHJzL2Rvd25yZXYueG1sUEsBAhQAFAAAAAgAh07iQCBEk7zXAQAAtQMAAA4AAAAAAAAA&#10;AQAgAAAAJAEAAGRycy9lMm9Eb2MueG1sUEsFBgAAAAAGAAYAWQEAAG0FAAAAAA==&#10;">
                <v:fill on="t" focussize="0,0"/>
                <v:stroke weight="0.14pt" color="#000000" joinstyle="round"/>
                <v:imagedata o:title=""/>
                <o:lock v:ext="edit" aspectratio="f"/>
              </v:line>
            </w:pict>
          </mc:Fallback>
        </mc:AlternateContent>
      </w:r>
    </w:p>
    <w:p w14:paraId="292E349D">
      <w:pPr>
        <w:tabs>
          <w:tab w:val="left" w:pos="1125"/>
        </w:tabs>
        <w:spacing w:line="360" w:lineRule="auto"/>
        <w:ind w:firstLine="560"/>
        <w:rPr>
          <w:rFonts w:ascii="宋体" w:hAnsi="宋体"/>
          <w:sz w:val="28"/>
          <w:szCs w:val="28"/>
        </w:rPr>
      </w:pPr>
      <w:r>
        <w:rPr>
          <w:rFonts w:ascii="宋体" w:hAnsi="宋体"/>
          <w:sz w:val="28"/>
          <w:szCs w:val="28"/>
        </w:rPr>
        <mc:AlternateContent>
          <mc:Choice Requires="wps">
            <w:drawing>
              <wp:anchor distT="0" distB="0" distL="114300" distR="114300" simplePos="0" relativeHeight="25166438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9" name="直接连接符 5"/>
                <wp:cNvGraphicFramePr/>
                <a:graphic xmlns:a="http://schemas.openxmlformats.org/drawingml/2006/main">
                  <a:graphicData uri="http://schemas.microsoft.com/office/word/2010/wordprocessingShape">
                    <wps:wsp>
                      <wps:cNvCnPr/>
                      <wps:spPr bwMode="auto">
                        <a:xfrm>
                          <a:off x="0" y="0"/>
                          <a:ext cx="635" cy="0"/>
                        </a:xfrm>
                        <a:prstGeom prst="line">
                          <a:avLst/>
                        </a:prstGeom>
                        <a:solidFill>
                          <a:srgbClr val="FFFFFF"/>
                        </a:solidFill>
                        <a:ln w="1778">
                          <a:solidFill>
                            <a:srgbClr val="000000"/>
                          </a:solidFill>
                          <a:miter/>
                        </a:ln>
                      </wps:spPr>
                      <wps:bodyPr rot="0">
                        <a:noAutofit/>
                      </wps:bodyPr>
                    </wps:wsp>
                  </a:graphicData>
                </a:graphic>
              </wp:anchor>
            </w:drawing>
          </mc:Choice>
          <mc:Fallback>
            <w:pict>
              <v:line id="直接连接符 5" o:spid="_x0000_s1026" o:spt="20" style="position:absolute;left:0pt;margin-left:210pt;margin-top:19.5pt;height:0pt;width:0.05pt;z-index:251664384;mso-width-relative:page;mso-height-relative:page;" fillcolor="#FFFFFF" filled="t" stroked="t" coordsize="21600,21600" o:allowincell="f" o:gfxdata="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">
                <v:fill on="t" focussize="0,0"/>
                <v:stroke weight="0.14pt" color="#000000" joinstyle="miter"/>
                <v:imagedata o:title=""/>
                <o:lock v:ext="edit" aspectratio="f"/>
              </v:line>
            </w:pict>
          </mc:Fallback>
        </mc:AlternateContent>
      </w:r>
      <w:r>
        <w:rPr>
          <w:rFonts w:ascii="宋体" w:hAnsi="宋体"/>
          <w:sz w:val="28"/>
          <w:szCs w:val="28"/>
        </w:rPr>
        <mc:AlternateContent>
          <mc:Choice Requires="wps">
            <w:drawing>
              <wp:anchor distT="0" distB="0" distL="114300" distR="114300" simplePos="0" relativeHeight="25166540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0" name="直接连接符 6"/>
                <wp:cNvGraphicFramePr/>
                <a:graphic xmlns:a="http://schemas.openxmlformats.org/drawingml/2006/main">
                  <a:graphicData uri="http://schemas.microsoft.com/office/word/2010/wordprocessingShape">
                    <wps:wsp>
                      <wps:cNvCnPr/>
                      <wps:spPr bwMode="auto">
                        <a:xfrm>
                          <a:off x="0" y="0"/>
                          <a:ext cx="635" cy="0"/>
                        </a:xfrm>
                        <a:prstGeom prst="line">
                          <a:avLst/>
                        </a:prstGeom>
                        <a:solidFill>
                          <a:srgbClr val="FFFFFF"/>
                        </a:solidFill>
                        <a:ln w="1778">
                          <a:solidFill>
                            <a:srgbClr val="000000"/>
                          </a:solidFill>
                          <a:round/>
                        </a:ln>
                      </wps:spPr>
                      <wps:bodyPr rot="0">
                        <a:noAutofit/>
                      </wps:bodyPr>
                    </wps:wsp>
                  </a:graphicData>
                </a:graphic>
              </wp:anchor>
            </w:drawing>
          </mc:Choice>
          <mc:Fallback>
            <w:pict>
              <v:line id="直接连接符 6" o:spid="_x0000_s1026" o:spt="20" style="position:absolute;left:0pt;margin-left:210pt;margin-top:19.5pt;height:0pt;width:0.05pt;z-index:251665408;mso-width-relative:page;mso-height-relative:page;" fillcolor="#FFFFFF" filled="t" stroked="t" coordsize="21600,21600" o:allowincell="f" o:gfxdata="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MnlUnnVAAAACQEAAA8AAAAAAAAA&#10;AQAgAAAAIgAAAGRycy9kb3ducmV2LnhtbFBLAQIUABQAAAAIAIdO4kBR12EM2wEAAMADAAAOAAAA&#10;AAAAAAEAIAAAACQBAABkcnMvZTJvRG9jLnhtbFBLBQYAAAAABgAGAFkBAABxBQAAAAA=&#10;">
                <v:fill on="t" focussize="0,0"/>
                <v:stroke weight="0.14pt" color="#000000" joinstyle="round"/>
                <v:imagedata o:title=""/>
                <o:lock v:ext="edit" aspectratio="f"/>
              </v:line>
            </w:pict>
          </mc:Fallback>
        </mc:AlternateContent>
      </w:r>
      <w:r>
        <w:rPr>
          <w:rFonts w:hint="eastAsia" w:ascii="宋体" w:hAnsi="宋体"/>
          <w:sz w:val="28"/>
          <w:szCs w:val="28"/>
        </w:rPr>
        <w:t>2．我方承诺根据招标文件的规定，完成合同义务，并承担责任（如有偏离，在投标文件中另作说明）。</w:t>
      </w:r>
    </w:p>
    <w:p w14:paraId="238FB2CE">
      <w:pPr>
        <w:tabs>
          <w:tab w:val="left" w:pos="1125"/>
        </w:tabs>
        <w:spacing w:line="360" w:lineRule="auto"/>
        <w:ind w:firstLine="560"/>
        <w:rPr>
          <w:rFonts w:ascii="宋体" w:hAnsi="宋体"/>
          <w:sz w:val="28"/>
          <w:szCs w:val="28"/>
        </w:rPr>
      </w:pPr>
      <w:r>
        <w:rPr>
          <w:rFonts w:hint="eastAsia" w:ascii="宋体" w:hAnsi="宋体"/>
          <w:sz w:val="28"/>
          <w:szCs w:val="28"/>
        </w:rPr>
        <w:t>3．我方已</w:t>
      </w:r>
      <w:r>
        <w:rPr>
          <w:rFonts w:hint="eastAsia" w:ascii="宋体" w:hAnsi="宋体"/>
          <w:sz w:val="28"/>
        </w:rPr>
        <w:t>详读</w:t>
      </w:r>
      <w:r>
        <w:rPr>
          <w:rFonts w:hint="eastAsia" w:ascii="宋体" w:hAnsi="宋体"/>
          <w:sz w:val="28"/>
          <w:szCs w:val="28"/>
        </w:rPr>
        <w:t>全部招标文件，包括招标文件书面修改通知（如果有的话），我方完全理解并同意放弃对这方面不明及误解的权利。</w:t>
      </w:r>
    </w:p>
    <w:p w14:paraId="2053A10F">
      <w:pPr>
        <w:tabs>
          <w:tab w:val="left" w:pos="1125"/>
        </w:tabs>
        <w:spacing w:line="360" w:lineRule="auto"/>
        <w:ind w:firstLine="560"/>
        <w:rPr>
          <w:rFonts w:ascii="宋体" w:hAnsi="宋体"/>
          <w:sz w:val="28"/>
          <w:szCs w:val="28"/>
        </w:rPr>
      </w:pPr>
      <w:r>
        <w:rPr>
          <w:rFonts w:hint="eastAsia" w:ascii="宋体" w:hAnsi="宋体"/>
          <w:sz w:val="28"/>
          <w:szCs w:val="28"/>
        </w:rPr>
        <w:t>4．</w:t>
      </w:r>
      <w:r>
        <w:rPr>
          <w:rFonts w:hint="eastAsia" w:ascii="宋体" w:hAnsi="宋体"/>
          <w:sz w:val="28"/>
        </w:rPr>
        <w:t>我方已详读全部投标文件，保证提供的投标文件及所有材料的完整、真实、合法、有效性并对其负责，承诺在评审期间，如评标委员会对我方提出澄清要求，将及时作出响应，否则自行承担后果。</w:t>
      </w:r>
    </w:p>
    <w:p w14:paraId="6F3C146E">
      <w:pPr>
        <w:tabs>
          <w:tab w:val="left" w:pos="1125"/>
        </w:tabs>
        <w:spacing w:line="360" w:lineRule="auto"/>
        <w:ind w:firstLine="560"/>
        <w:rPr>
          <w:rFonts w:ascii="宋体" w:hAnsi="宋体"/>
          <w:sz w:val="28"/>
          <w:szCs w:val="28"/>
        </w:rPr>
      </w:pPr>
      <w:r>
        <w:rPr>
          <w:rFonts w:hint="eastAsia" w:ascii="宋体" w:hAnsi="宋体"/>
          <w:sz w:val="28"/>
          <w:szCs w:val="28"/>
        </w:rPr>
        <w:t>5．我方同意从规定的招标日期起遵循本招标文件，并在规定的投标有效期期满之前均具有约束力。</w:t>
      </w:r>
    </w:p>
    <w:p w14:paraId="49CEC974">
      <w:pPr>
        <w:tabs>
          <w:tab w:val="left" w:pos="1125"/>
        </w:tabs>
        <w:spacing w:line="360" w:lineRule="auto"/>
        <w:ind w:firstLine="560"/>
        <w:rPr>
          <w:rFonts w:ascii="宋体" w:hAnsi="宋体"/>
          <w:sz w:val="28"/>
          <w:szCs w:val="28"/>
        </w:rPr>
      </w:pPr>
      <w:r>
        <w:rPr>
          <w:rFonts w:hint="eastAsia" w:ascii="宋体" w:hAnsi="宋体"/>
          <w:sz w:val="28"/>
          <w:szCs w:val="28"/>
        </w:rPr>
        <w:t>6．我方同意向贵方提供贵方可能要求的与本投标有关的任何证据或资料。</w:t>
      </w:r>
    </w:p>
    <w:p w14:paraId="479B5B31">
      <w:pPr>
        <w:tabs>
          <w:tab w:val="left" w:pos="1125"/>
        </w:tabs>
        <w:spacing w:line="360" w:lineRule="auto"/>
        <w:ind w:firstLine="560"/>
        <w:rPr>
          <w:rFonts w:ascii="宋体" w:hAnsi="宋体"/>
          <w:sz w:val="28"/>
          <w:szCs w:val="28"/>
        </w:rPr>
      </w:pPr>
      <w:r>
        <w:rPr>
          <w:rFonts w:hint="eastAsia" w:ascii="宋体" w:hAnsi="宋体"/>
          <w:sz w:val="28"/>
          <w:szCs w:val="28"/>
        </w:rPr>
        <w:t>7．我方知道如用虚假材料或恶意方式向贵方提出质疑，将承担相应的法律责任。同时承诺：我方如果有上述行为，将无条件承担贵方相关的调查论证费用。</w:t>
      </w:r>
    </w:p>
    <w:p w14:paraId="181E4BE6">
      <w:pPr>
        <w:tabs>
          <w:tab w:val="left" w:pos="1125"/>
        </w:tabs>
        <w:spacing w:line="360" w:lineRule="auto"/>
        <w:ind w:firstLine="560"/>
        <w:rPr>
          <w:rFonts w:ascii="宋体" w:hAnsi="宋体"/>
          <w:sz w:val="28"/>
          <w:szCs w:val="28"/>
        </w:rPr>
      </w:pPr>
      <w:r>
        <w:rPr>
          <w:rFonts w:hint="eastAsia" w:ascii="宋体" w:hAnsi="宋体"/>
          <w:sz w:val="28"/>
          <w:szCs w:val="28"/>
        </w:rPr>
        <w:t>8．我方承诺：参加政府采购活动前三年内，在经营活动中没有重大违法记录。</w:t>
      </w:r>
    </w:p>
    <w:p w14:paraId="503CBC9F">
      <w:pPr>
        <w:tabs>
          <w:tab w:val="left" w:pos="1125"/>
        </w:tabs>
        <w:spacing w:line="360" w:lineRule="auto"/>
        <w:ind w:firstLine="560"/>
        <w:rPr>
          <w:rFonts w:ascii="宋体" w:hAnsi="宋体"/>
          <w:sz w:val="28"/>
          <w:szCs w:val="28"/>
        </w:rPr>
      </w:pPr>
      <w:r>
        <w:rPr>
          <w:rFonts w:hint="eastAsia" w:ascii="宋体" w:hAnsi="宋体"/>
          <w:sz w:val="28"/>
          <w:szCs w:val="28"/>
        </w:rPr>
        <w:t>9．本次投标文件内容与招标文件内容偏离情况见偏离说明（如果有）。</w:t>
      </w:r>
    </w:p>
    <w:p w14:paraId="7DAF264B">
      <w:pPr>
        <w:tabs>
          <w:tab w:val="left" w:pos="1125"/>
        </w:tabs>
        <w:spacing w:line="360" w:lineRule="auto"/>
        <w:ind w:firstLine="560"/>
        <w:rPr>
          <w:rFonts w:ascii="宋体" w:hAnsi="宋体"/>
          <w:sz w:val="28"/>
          <w:szCs w:val="28"/>
        </w:rPr>
      </w:pPr>
      <w:r>
        <w:rPr>
          <w:rFonts w:hint="eastAsia" w:ascii="宋体" w:hAnsi="宋体"/>
          <w:sz w:val="28"/>
          <w:szCs w:val="28"/>
        </w:rPr>
        <w:t>10．遵守招标文件中要求的收费项目和标准。</w:t>
      </w:r>
    </w:p>
    <w:p w14:paraId="2D5132A9">
      <w:pPr>
        <w:tabs>
          <w:tab w:val="left" w:pos="1125"/>
        </w:tabs>
        <w:spacing w:line="360" w:lineRule="auto"/>
        <w:ind w:firstLine="560"/>
        <w:rPr>
          <w:rFonts w:ascii="宋体" w:hAnsi="宋体"/>
          <w:sz w:val="28"/>
          <w:szCs w:val="28"/>
        </w:rPr>
      </w:pPr>
      <w:r>
        <w:rPr>
          <w:rFonts w:hint="eastAsia" w:ascii="宋体" w:hAnsi="宋体"/>
          <w:sz w:val="28"/>
          <w:szCs w:val="28"/>
        </w:rPr>
        <w:t>11．与本投标有关的一切正式往来通讯请寄：</w:t>
      </w:r>
    </w:p>
    <w:p w14:paraId="65DB6C84">
      <w:pPr>
        <w:pStyle w:val="100"/>
        <w:spacing w:line="360" w:lineRule="auto"/>
        <w:ind w:firstLine="560"/>
        <w:rPr>
          <w:rFonts w:ascii="宋体" w:hAnsi="宋体" w:eastAsia="宋体"/>
          <w:sz w:val="28"/>
          <w:szCs w:val="24"/>
        </w:rPr>
      </w:pPr>
      <w:r>
        <w:rPr>
          <w:rFonts w:hint="eastAsia" w:ascii="宋体" w:hAnsi="宋体" w:eastAsia="宋体"/>
          <w:sz w:val="28"/>
          <w:szCs w:val="24"/>
        </w:rPr>
        <w:t xml:space="preserve">地址： </w:t>
      </w:r>
      <w:r>
        <w:rPr>
          <w:rFonts w:hint="eastAsia" w:ascii="宋体" w:hAnsi="宋体" w:eastAsia="宋体"/>
          <w:b/>
          <w:sz w:val="24"/>
          <w:u w:val="single"/>
        </w:rPr>
        <w:t>××</w:t>
      </w:r>
      <w:r>
        <w:rPr>
          <w:rFonts w:hint="eastAsia" w:ascii="宋体" w:hAnsi="宋体" w:eastAsia="宋体"/>
          <w:sz w:val="28"/>
          <w:szCs w:val="24"/>
        </w:rPr>
        <w:t xml:space="preserve">                  电话： </w:t>
      </w:r>
      <w:r>
        <w:rPr>
          <w:rFonts w:hint="eastAsia" w:ascii="宋体" w:hAnsi="宋体" w:eastAsia="宋体"/>
          <w:b/>
          <w:sz w:val="24"/>
          <w:u w:val="single"/>
        </w:rPr>
        <w:t>××</w:t>
      </w:r>
    </w:p>
    <w:p w14:paraId="5C0737EF">
      <w:pPr>
        <w:pStyle w:val="100"/>
        <w:spacing w:line="360" w:lineRule="auto"/>
        <w:ind w:firstLine="560"/>
        <w:rPr>
          <w:rFonts w:ascii="宋体" w:hAnsi="宋体" w:eastAsia="宋体"/>
          <w:sz w:val="28"/>
          <w:szCs w:val="24"/>
        </w:rPr>
      </w:pPr>
      <w:r>
        <w:rPr>
          <w:rFonts w:hint="eastAsia" w:ascii="宋体" w:hAnsi="宋体" w:eastAsia="宋体"/>
          <w:sz w:val="28"/>
          <w:szCs w:val="24"/>
        </w:rPr>
        <w:t>传真：</w:t>
      </w:r>
      <w:r>
        <w:rPr>
          <w:rFonts w:hint="eastAsia" w:ascii="宋体" w:hAnsi="宋体" w:eastAsia="宋体"/>
          <w:b/>
          <w:sz w:val="24"/>
          <w:u w:val="single"/>
        </w:rPr>
        <w:t xml:space="preserve">×× </w:t>
      </w:r>
      <w:r>
        <w:rPr>
          <w:rFonts w:hint="eastAsia" w:ascii="宋体" w:hAnsi="宋体" w:eastAsia="宋体"/>
          <w:sz w:val="28"/>
          <w:szCs w:val="24"/>
        </w:rPr>
        <w:t xml:space="preserve">                邮政编码：</w:t>
      </w:r>
      <w:r>
        <w:rPr>
          <w:rFonts w:hint="eastAsia" w:ascii="宋体" w:hAnsi="宋体" w:eastAsia="宋体"/>
          <w:b/>
          <w:sz w:val="24"/>
          <w:u w:val="single"/>
        </w:rPr>
        <w:t>××</w:t>
      </w:r>
    </w:p>
    <w:p w14:paraId="78E6AEB3">
      <w:pPr>
        <w:pStyle w:val="100"/>
        <w:spacing w:line="360" w:lineRule="auto"/>
        <w:ind w:firstLine="560"/>
        <w:rPr>
          <w:rFonts w:ascii="宋体" w:hAnsi="宋体" w:eastAsia="宋体"/>
          <w:sz w:val="28"/>
          <w:szCs w:val="24"/>
        </w:rPr>
      </w:pPr>
      <w:r>
        <w:rPr>
          <w:rFonts w:hint="eastAsia" w:ascii="宋体" w:hAnsi="宋体" w:eastAsia="宋体"/>
          <w:sz w:val="28"/>
          <w:szCs w:val="24"/>
        </w:rPr>
        <w:t>投标人（公章）：</w:t>
      </w:r>
      <w:r>
        <w:rPr>
          <w:rFonts w:hint="eastAsia" w:ascii="宋体" w:hAnsi="宋体" w:eastAsia="宋体"/>
          <w:b/>
          <w:sz w:val="24"/>
          <w:u w:val="single"/>
        </w:rPr>
        <w:t>××</w:t>
      </w:r>
    </w:p>
    <w:p w14:paraId="489AC5C3">
      <w:pPr>
        <w:pStyle w:val="100"/>
        <w:spacing w:line="360" w:lineRule="auto"/>
        <w:ind w:firstLine="560"/>
        <w:rPr>
          <w:rFonts w:ascii="宋体" w:hAnsi="宋体" w:eastAsia="宋体"/>
          <w:sz w:val="28"/>
          <w:szCs w:val="24"/>
        </w:rPr>
      </w:pPr>
      <w:r>
        <w:rPr>
          <w:rFonts w:hint="eastAsia" w:ascii="宋体" w:hAnsi="宋体" w:eastAsia="宋体"/>
          <w:sz w:val="28"/>
        </w:rPr>
        <w:t>法定代表人签字或盖章</w:t>
      </w:r>
      <w:r>
        <w:rPr>
          <w:rFonts w:hint="eastAsia" w:ascii="宋体" w:hAnsi="宋体" w:eastAsia="宋体"/>
          <w:sz w:val="28"/>
          <w:szCs w:val="24"/>
        </w:rPr>
        <w:t xml:space="preserve">： </w:t>
      </w:r>
      <w:r>
        <w:rPr>
          <w:rFonts w:hint="eastAsia" w:ascii="宋体" w:hAnsi="宋体" w:eastAsia="宋体"/>
          <w:b/>
          <w:sz w:val="24"/>
          <w:u w:val="single"/>
        </w:rPr>
        <w:t>××</w:t>
      </w:r>
    </w:p>
    <w:p w14:paraId="6A435942">
      <w:pPr>
        <w:pStyle w:val="100"/>
        <w:spacing w:line="360" w:lineRule="auto"/>
        <w:ind w:right="1060" w:firstLine="560"/>
        <w:jc w:val="right"/>
        <w:rPr>
          <w:rFonts w:ascii="宋体" w:hAnsi="宋体" w:eastAsia="宋体"/>
          <w:sz w:val="28"/>
          <w:szCs w:val="28"/>
        </w:rPr>
      </w:pPr>
      <w:r>
        <w:rPr>
          <w:rFonts w:hint="eastAsia" w:ascii="宋体" w:hAnsi="宋体" w:eastAsia="宋体"/>
          <w:sz w:val="28"/>
        </w:rPr>
        <w:t xml:space="preserve">日期： </w:t>
      </w:r>
      <w:r>
        <w:rPr>
          <w:rFonts w:hint="eastAsia" w:ascii="宋体" w:hAnsi="宋体" w:eastAsia="宋体"/>
          <w:b/>
          <w:sz w:val="24"/>
          <w:u w:val="single"/>
        </w:rPr>
        <w:t>××××</w:t>
      </w:r>
      <w:r>
        <w:rPr>
          <w:rFonts w:hint="eastAsia" w:ascii="宋体" w:hAnsi="宋体" w:eastAsia="宋体"/>
          <w:sz w:val="28"/>
        </w:rPr>
        <w:t>年</w:t>
      </w:r>
      <w:r>
        <w:rPr>
          <w:rFonts w:hint="eastAsia" w:ascii="宋体" w:hAnsi="宋体" w:eastAsia="宋体"/>
          <w:b/>
          <w:sz w:val="24"/>
          <w:u w:val="single"/>
        </w:rPr>
        <w:t>××</w:t>
      </w:r>
      <w:r>
        <w:rPr>
          <w:rFonts w:hint="eastAsia" w:ascii="宋体" w:hAnsi="宋体" w:eastAsia="宋体"/>
          <w:sz w:val="28"/>
        </w:rPr>
        <w:t>月</w:t>
      </w:r>
      <w:r>
        <w:rPr>
          <w:rFonts w:hint="eastAsia" w:ascii="宋体" w:hAnsi="宋体" w:eastAsia="宋体"/>
          <w:b/>
          <w:sz w:val="24"/>
          <w:u w:val="single"/>
        </w:rPr>
        <w:t>××</w:t>
      </w:r>
      <w:r>
        <w:rPr>
          <w:rFonts w:hint="eastAsia" w:ascii="宋体" w:hAnsi="宋体" w:eastAsia="宋体"/>
          <w:sz w:val="28"/>
        </w:rPr>
        <w:t>日</w:t>
      </w:r>
    </w:p>
    <w:p w14:paraId="640F1E77">
      <w:pPr>
        <w:pStyle w:val="4"/>
        <w:spacing w:line="360" w:lineRule="auto"/>
        <w:ind w:firstLine="883"/>
        <w:rPr>
          <w:rFonts w:ascii="宋体" w:hAnsi="宋体" w:eastAsia="宋体"/>
          <w:sz w:val="32"/>
        </w:rPr>
      </w:pPr>
      <w:r>
        <w:rPr>
          <w:rFonts w:ascii="宋体" w:hAnsi="宋体" w:eastAsia="宋体"/>
        </w:rPr>
        <w:br w:type="page" w:clear="all"/>
      </w:r>
      <w:r>
        <w:rPr>
          <w:rFonts w:hint="eastAsia" w:ascii="宋体" w:hAnsi="宋体" w:eastAsia="宋体"/>
          <w:sz w:val="32"/>
        </w:rPr>
        <w:t>（二）独立承担民事责任的能力</w:t>
      </w:r>
    </w:p>
    <w:p w14:paraId="2819467B">
      <w:pPr>
        <w:spacing w:line="360" w:lineRule="auto"/>
        <w:ind w:firstLine="560"/>
        <w:jc w:val="center"/>
        <w:rPr>
          <w:rFonts w:ascii="宋体" w:hAnsi="宋体"/>
          <w:sz w:val="32"/>
        </w:rPr>
      </w:pPr>
      <w:r>
        <w:rPr>
          <w:rFonts w:hint="eastAsia" w:ascii="宋体" w:hAnsi="宋体"/>
          <w:sz w:val="28"/>
          <w:szCs w:val="28"/>
        </w:rPr>
        <w:t>提供法人或者其他组织的营业执照等证明文件复印件；投标人为自然人的，提供其身份证复印件</w:t>
      </w:r>
      <w:r>
        <w:rPr>
          <w:rFonts w:ascii="宋体" w:hAnsi="宋体"/>
          <w:sz w:val="32"/>
        </w:rPr>
        <w:br w:type="page" w:clear="all"/>
      </w:r>
      <w:r>
        <w:rPr>
          <w:rFonts w:hint="eastAsia" w:ascii="宋体" w:hAnsi="宋体"/>
          <w:sz w:val="32"/>
        </w:rPr>
        <w:t>（三）良好的商业信誉和健全的财务会计制度</w:t>
      </w:r>
    </w:p>
    <w:p w14:paraId="654F958E">
      <w:pPr>
        <w:spacing w:line="360" w:lineRule="auto"/>
        <w:ind w:firstLine="560"/>
        <w:rPr>
          <w:rFonts w:ascii="宋体" w:hAnsi="宋体"/>
          <w:sz w:val="28"/>
          <w:szCs w:val="28"/>
        </w:rPr>
      </w:pPr>
      <w:r>
        <w:rPr>
          <w:rFonts w:hint="eastAsia" w:ascii="宋体" w:hAnsi="宋体"/>
          <w:sz w:val="28"/>
          <w:szCs w:val="28"/>
        </w:rPr>
        <w:t>提供</w:t>
      </w:r>
      <w:r>
        <w:rPr>
          <w:rFonts w:hint="eastAsia" w:ascii="宋体" w:hAnsi="宋体"/>
          <w:sz w:val="28"/>
          <w:szCs w:val="28"/>
          <w:lang w:eastAsia="zh-CN"/>
        </w:rPr>
        <w:t>2024年度财务报告</w:t>
      </w:r>
      <w:r>
        <w:rPr>
          <w:rFonts w:hint="eastAsia" w:ascii="宋体" w:hAnsi="宋体"/>
          <w:sz w:val="28"/>
          <w:szCs w:val="28"/>
        </w:rPr>
        <w:t>、成立不满一年的提供至少一个月财务报告，或银行出具的资信证明，或财政部门认可的政府采购专业担保机构出具的投标担保函等，或提供</w:t>
      </w:r>
      <w:bookmarkStart w:id="242" w:name="_Hlk131494070"/>
      <w:r>
        <w:rPr>
          <w:rFonts w:hint="eastAsia" w:ascii="宋体" w:hAnsi="宋体"/>
          <w:sz w:val="28"/>
          <w:szCs w:val="28"/>
        </w:rPr>
        <w:t>资格承诺函</w:t>
      </w:r>
      <w:bookmarkEnd w:id="242"/>
      <w:bookmarkStart w:id="243" w:name="_Hlk131494108"/>
      <w:r>
        <w:rPr>
          <w:rFonts w:hint="eastAsia" w:ascii="宋体" w:hAnsi="宋体"/>
          <w:sz w:val="28"/>
          <w:szCs w:val="28"/>
        </w:rPr>
        <w:t>（见本部分（六）资格承诺函）</w:t>
      </w:r>
      <w:bookmarkEnd w:id="243"/>
      <w:r>
        <w:rPr>
          <w:rFonts w:hint="eastAsia" w:ascii="宋体" w:hAnsi="宋体"/>
          <w:sz w:val="28"/>
          <w:szCs w:val="28"/>
        </w:rPr>
        <w:t>。</w:t>
      </w:r>
    </w:p>
    <w:p w14:paraId="56A87B1F">
      <w:pPr>
        <w:spacing w:line="360" w:lineRule="auto"/>
        <w:rPr>
          <w:rFonts w:ascii="宋体" w:hAnsi="宋体"/>
          <w:sz w:val="32"/>
        </w:rPr>
      </w:pPr>
      <w:r>
        <w:rPr>
          <w:rFonts w:hint="eastAsia" w:ascii="宋体" w:hAnsi="宋体"/>
          <w:sz w:val="32"/>
        </w:rPr>
        <w:br w:type="page" w:clear="all"/>
      </w:r>
    </w:p>
    <w:p w14:paraId="5778BDD4">
      <w:pPr>
        <w:pStyle w:val="4"/>
        <w:numPr>
          <w:ilvl w:val="0"/>
          <w:numId w:val="6"/>
        </w:numPr>
        <w:spacing w:line="360" w:lineRule="auto"/>
        <w:ind w:firstLine="643"/>
        <w:rPr>
          <w:rFonts w:ascii="宋体" w:hAnsi="宋体" w:eastAsia="宋体"/>
          <w:sz w:val="32"/>
        </w:rPr>
      </w:pPr>
      <w:r>
        <w:rPr>
          <w:rFonts w:hint="eastAsia" w:ascii="宋体" w:hAnsi="宋体" w:eastAsia="宋体"/>
          <w:sz w:val="32"/>
        </w:rPr>
        <w:t>履行合同所必需的设备和专业技术能力</w:t>
      </w:r>
    </w:p>
    <w:p w14:paraId="00DC4644">
      <w:pPr>
        <w:spacing w:line="360" w:lineRule="auto"/>
        <w:ind w:firstLine="560"/>
        <w:rPr>
          <w:rFonts w:ascii="宋体" w:hAnsi="宋体"/>
          <w:sz w:val="28"/>
          <w:szCs w:val="28"/>
        </w:rPr>
      </w:pPr>
      <w:r>
        <w:rPr>
          <w:rFonts w:hint="eastAsia" w:ascii="宋体" w:hAnsi="宋体"/>
          <w:sz w:val="28"/>
          <w:szCs w:val="28"/>
        </w:rPr>
        <w:t>填写下述表格或提供资格承诺函（见本部分资格承诺函）</w:t>
      </w:r>
    </w:p>
    <w:tbl>
      <w:tblPr>
        <w:tblStyle w:val="30"/>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48"/>
        <w:gridCol w:w="337"/>
        <w:gridCol w:w="1419"/>
        <w:gridCol w:w="1577"/>
        <w:gridCol w:w="414"/>
        <w:gridCol w:w="404"/>
        <w:gridCol w:w="992"/>
        <w:gridCol w:w="936"/>
        <w:gridCol w:w="302"/>
        <w:gridCol w:w="969"/>
        <w:gridCol w:w="1431"/>
      </w:tblGrid>
      <w:tr w14:paraId="001FD4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6" w:hRule="atLeast"/>
        </w:trPr>
        <w:tc>
          <w:tcPr>
            <w:tcW w:w="1185" w:type="dxa"/>
            <w:gridSpan w:val="2"/>
            <w:shd w:val="clear" w:color="auto" w:fill="D9D9D9"/>
            <w:noWrap w:val="0"/>
            <w:vAlign w:val="center"/>
          </w:tcPr>
          <w:p w14:paraId="7F33445A">
            <w:pPr>
              <w:pStyle w:val="9"/>
              <w:spacing w:line="360" w:lineRule="auto"/>
              <w:ind w:firstLine="0"/>
              <w:jc w:val="center"/>
              <w:rPr>
                <w:rFonts w:ascii="宋体" w:hAnsi="宋体"/>
                <w:b/>
                <w:sz w:val="24"/>
              </w:rPr>
            </w:pPr>
            <w:r>
              <w:rPr>
                <w:rFonts w:ascii="宋体" w:hAnsi="宋体"/>
                <w:sz w:val="32"/>
                <w:lang w:eastAsia="zh-CN"/>
              </w:rPr>
              <w:br w:type="page" w:clear="all"/>
            </w:r>
            <w:r>
              <w:rPr>
                <w:rFonts w:hint="eastAsia" w:ascii="宋体" w:hAnsi="宋体"/>
                <w:b/>
                <w:sz w:val="24"/>
              </w:rPr>
              <w:t>一</w:t>
            </w:r>
          </w:p>
        </w:tc>
        <w:tc>
          <w:tcPr>
            <w:tcW w:w="8444" w:type="dxa"/>
            <w:gridSpan w:val="9"/>
            <w:shd w:val="clear" w:color="auto" w:fill="D9D9D9"/>
            <w:noWrap w:val="0"/>
            <w:vAlign w:val="center"/>
          </w:tcPr>
          <w:p w14:paraId="7DC77859">
            <w:pPr>
              <w:pStyle w:val="9"/>
              <w:spacing w:line="360" w:lineRule="auto"/>
              <w:ind w:firstLine="0"/>
              <w:jc w:val="center"/>
              <w:rPr>
                <w:rFonts w:ascii="宋体" w:hAnsi="宋体"/>
                <w:b/>
                <w:sz w:val="24"/>
              </w:rPr>
            </w:pPr>
            <w:r>
              <w:rPr>
                <w:rFonts w:hint="eastAsia" w:ascii="宋体" w:hAnsi="宋体"/>
                <w:b/>
                <w:sz w:val="24"/>
              </w:rPr>
              <w:t>公司基本信息</w:t>
            </w:r>
          </w:p>
        </w:tc>
      </w:tr>
      <w:tr w14:paraId="0232A2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6" w:hRule="atLeast"/>
        </w:trPr>
        <w:tc>
          <w:tcPr>
            <w:tcW w:w="1185" w:type="dxa"/>
            <w:gridSpan w:val="2"/>
            <w:noWrap w:val="0"/>
            <w:vAlign w:val="center"/>
          </w:tcPr>
          <w:p w14:paraId="3E7037D5">
            <w:pPr>
              <w:pStyle w:val="9"/>
              <w:spacing w:line="360" w:lineRule="auto"/>
              <w:ind w:firstLine="0"/>
              <w:jc w:val="center"/>
              <w:rPr>
                <w:rFonts w:ascii="宋体" w:hAnsi="宋体"/>
                <w:sz w:val="24"/>
              </w:rPr>
            </w:pPr>
            <w:r>
              <w:rPr>
                <w:rFonts w:hint="eastAsia" w:ascii="宋体" w:hAnsi="宋体"/>
                <w:sz w:val="24"/>
              </w:rPr>
              <w:t>1</w:t>
            </w:r>
          </w:p>
        </w:tc>
        <w:tc>
          <w:tcPr>
            <w:tcW w:w="1419" w:type="dxa"/>
            <w:noWrap w:val="0"/>
            <w:vAlign w:val="center"/>
          </w:tcPr>
          <w:p w14:paraId="0B1280E9">
            <w:pPr>
              <w:pStyle w:val="9"/>
              <w:spacing w:line="360" w:lineRule="auto"/>
              <w:ind w:firstLine="0"/>
              <w:rPr>
                <w:rFonts w:ascii="宋体" w:hAnsi="宋体"/>
                <w:sz w:val="24"/>
              </w:rPr>
            </w:pPr>
            <w:r>
              <w:rPr>
                <w:rFonts w:hint="eastAsia" w:ascii="宋体" w:hAnsi="宋体"/>
                <w:sz w:val="24"/>
              </w:rPr>
              <w:t>公司名称</w:t>
            </w:r>
          </w:p>
        </w:tc>
        <w:tc>
          <w:tcPr>
            <w:tcW w:w="7025" w:type="dxa"/>
            <w:gridSpan w:val="8"/>
            <w:noWrap w:val="0"/>
            <w:vAlign w:val="center"/>
          </w:tcPr>
          <w:p w14:paraId="140A68FE">
            <w:pPr>
              <w:pStyle w:val="9"/>
              <w:spacing w:line="360" w:lineRule="auto"/>
              <w:ind w:firstLine="0"/>
              <w:jc w:val="center"/>
              <w:rPr>
                <w:rFonts w:ascii="宋体" w:hAnsi="宋体"/>
                <w:sz w:val="24"/>
              </w:rPr>
            </w:pPr>
          </w:p>
        </w:tc>
      </w:tr>
      <w:tr w14:paraId="084DA7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5" w:hRule="atLeast"/>
        </w:trPr>
        <w:tc>
          <w:tcPr>
            <w:tcW w:w="1185" w:type="dxa"/>
            <w:gridSpan w:val="2"/>
            <w:noWrap w:val="0"/>
            <w:vAlign w:val="center"/>
          </w:tcPr>
          <w:p w14:paraId="7DC459CA">
            <w:pPr>
              <w:pStyle w:val="9"/>
              <w:spacing w:line="360" w:lineRule="auto"/>
              <w:ind w:firstLine="0"/>
              <w:jc w:val="center"/>
              <w:rPr>
                <w:rFonts w:ascii="宋体" w:hAnsi="宋体"/>
                <w:sz w:val="24"/>
              </w:rPr>
            </w:pPr>
            <w:r>
              <w:rPr>
                <w:rFonts w:hint="eastAsia" w:ascii="宋体" w:hAnsi="宋体"/>
                <w:sz w:val="24"/>
              </w:rPr>
              <w:t>2</w:t>
            </w:r>
          </w:p>
        </w:tc>
        <w:tc>
          <w:tcPr>
            <w:tcW w:w="1419" w:type="dxa"/>
            <w:noWrap w:val="0"/>
            <w:vAlign w:val="center"/>
          </w:tcPr>
          <w:p w14:paraId="0C07B16F">
            <w:pPr>
              <w:pStyle w:val="9"/>
              <w:spacing w:line="360" w:lineRule="auto"/>
              <w:ind w:firstLine="0"/>
              <w:jc w:val="center"/>
              <w:rPr>
                <w:rFonts w:ascii="宋体" w:hAnsi="宋体"/>
                <w:sz w:val="24"/>
              </w:rPr>
            </w:pPr>
            <w:r>
              <w:rPr>
                <w:rFonts w:hint="eastAsia" w:ascii="宋体" w:hAnsi="宋体"/>
                <w:sz w:val="24"/>
              </w:rPr>
              <w:t>注册资金</w:t>
            </w:r>
          </w:p>
        </w:tc>
        <w:tc>
          <w:tcPr>
            <w:tcW w:w="1577" w:type="dxa"/>
            <w:noWrap w:val="0"/>
            <w:vAlign w:val="center"/>
          </w:tcPr>
          <w:p w14:paraId="3EC8DCEB">
            <w:pPr>
              <w:pStyle w:val="9"/>
              <w:spacing w:line="360" w:lineRule="auto"/>
              <w:ind w:firstLine="0"/>
              <w:jc w:val="center"/>
              <w:rPr>
                <w:rFonts w:ascii="宋体" w:hAnsi="宋体"/>
                <w:sz w:val="24"/>
              </w:rPr>
            </w:pPr>
          </w:p>
        </w:tc>
        <w:tc>
          <w:tcPr>
            <w:tcW w:w="818" w:type="dxa"/>
            <w:gridSpan w:val="2"/>
            <w:noWrap w:val="0"/>
            <w:vAlign w:val="center"/>
          </w:tcPr>
          <w:p w14:paraId="3731D6D6">
            <w:pPr>
              <w:pStyle w:val="9"/>
              <w:spacing w:line="360" w:lineRule="auto"/>
              <w:ind w:firstLine="0"/>
              <w:jc w:val="center"/>
              <w:rPr>
                <w:rFonts w:ascii="宋体" w:hAnsi="宋体"/>
                <w:sz w:val="24"/>
              </w:rPr>
            </w:pPr>
            <w:r>
              <w:rPr>
                <w:rFonts w:hint="eastAsia" w:ascii="宋体" w:hAnsi="宋体"/>
                <w:sz w:val="24"/>
              </w:rPr>
              <w:t>3</w:t>
            </w:r>
          </w:p>
        </w:tc>
        <w:tc>
          <w:tcPr>
            <w:tcW w:w="2230" w:type="dxa"/>
            <w:gridSpan w:val="3"/>
            <w:noWrap w:val="0"/>
            <w:vAlign w:val="center"/>
          </w:tcPr>
          <w:p w14:paraId="7CFA41F2">
            <w:pPr>
              <w:pStyle w:val="9"/>
              <w:spacing w:line="360" w:lineRule="auto"/>
              <w:ind w:firstLine="0"/>
              <w:jc w:val="center"/>
              <w:rPr>
                <w:rFonts w:ascii="宋体" w:hAnsi="宋体"/>
                <w:sz w:val="24"/>
              </w:rPr>
            </w:pPr>
            <w:r>
              <w:rPr>
                <w:rFonts w:hint="eastAsia" w:ascii="宋体" w:hAnsi="宋体"/>
                <w:sz w:val="24"/>
              </w:rPr>
              <w:t>公司地址</w:t>
            </w:r>
          </w:p>
        </w:tc>
        <w:tc>
          <w:tcPr>
            <w:tcW w:w="2400" w:type="dxa"/>
            <w:gridSpan w:val="2"/>
            <w:noWrap w:val="0"/>
            <w:vAlign w:val="center"/>
          </w:tcPr>
          <w:p w14:paraId="4EF8E03C">
            <w:pPr>
              <w:pStyle w:val="9"/>
              <w:spacing w:line="360" w:lineRule="auto"/>
              <w:ind w:firstLine="0"/>
              <w:jc w:val="center"/>
              <w:rPr>
                <w:rFonts w:ascii="宋体" w:hAnsi="宋体"/>
                <w:sz w:val="24"/>
              </w:rPr>
            </w:pPr>
          </w:p>
        </w:tc>
      </w:tr>
      <w:tr w14:paraId="41EFD6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trPr>
        <w:tc>
          <w:tcPr>
            <w:tcW w:w="1185" w:type="dxa"/>
            <w:gridSpan w:val="2"/>
            <w:noWrap w:val="0"/>
            <w:vAlign w:val="center"/>
          </w:tcPr>
          <w:p w14:paraId="7F87F95A">
            <w:pPr>
              <w:pStyle w:val="9"/>
              <w:spacing w:line="360" w:lineRule="auto"/>
              <w:ind w:firstLine="0"/>
              <w:jc w:val="center"/>
              <w:rPr>
                <w:rFonts w:ascii="宋体" w:hAnsi="宋体"/>
                <w:sz w:val="24"/>
              </w:rPr>
            </w:pPr>
            <w:r>
              <w:rPr>
                <w:rFonts w:hint="eastAsia" w:ascii="宋体" w:hAnsi="宋体"/>
                <w:sz w:val="24"/>
              </w:rPr>
              <w:t>4</w:t>
            </w:r>
          </w:p>
        </w:tc>
        <w:tc>
          <w:tcPr>
            <w:tcW w:w="1419" w:type="dxa"/>
            <w:noWrap w:val="0"/>
            <w:vAlign w:val="center"/>
          </w:tcPr>
          <w:p w14:paraId="634346D6">
            <w:pPr>
              <w:pStyle w:val="9"/>
              <w:spacing w:line="360" w:lineRule="auto"/>
              <w:ind w:firstLine="0"/>
              <w:jc w:val="center"/>
              <w:rPr>
                <w:rFonts w:ascii="宋体" w:hAnsi="宋体"/>
                <w:sz w:val="24"/>
              </w:rPr>
            </w:pPr>
            <w:r>
              <w:rPr>
                <w:rFonts w:hint="eastAsia" w:ascii="宋体" w:hAnsi="宋体"/>
                <w:sz w:val="24"/>
              </w:rPr>
              <w:t>从业人数</w:t>
            </w:r>
          </w:p>
        </w:tc>
        <w:tc>
          <w:tcPr>
            <w:tcW w:w="1577" w:type="dxa"/>
            <w:noWrap w:val="0"/>
            <w:vAlign w:val="center"/>
          </w:tcPr>
          <w:p w14:paraId="7D03944C">
            <w:pPr>
              <w:pStyle w:val="9"/>
              <w:spacing w:line="360" w:lineRule="auto"/>
              <w:ind w:firstLine="0"/>
              <w:jc w:val="center"/>
              <w:rPr>
                <w:rFonts w:ascii="宋体" w:hAnsi="宋体"/>
                <w:sz w:val="24"/>
              </w:rPr>
            </w:pPr>
          </w:p>
        </w:tc>
        <w:tc>
          <w:tcPr>
            <w:tcW w:w="818" w:type="dxa"/>
            <w:gridSpan w:val="2"/>
            <w:noWrap w:val="0"/>
            <w:vAlign w:val="center"/>
          </w:tcPr>
          <w:p w14:paraId="1EDA1E65">
            <w:pPr>
              <w:pStyle w:val="9"/>
              <w:spacing w:line="360" w:lineRule="auto"/>
              <w:ind w:firstLine="0"/>
              <w:jc w:val="center"/>
              <w:rPr>
                <w:rFonts w:ascii="宋体" w:hAnsi="宋体"/>
                <w:sz w:val="24"/>
              </w:rPr>
            </w:pPr>
            <w:r>
              <w:rPr>
                <w:rFonts w:hint="eastAsia" w:ascii="宋体" w:hAnsi="宋体"/>
                <w:sz w:val="24"/>
              </w:rPr>
              <w:t>5</w:t>
            </w:r>
          </w:p>
        </w:tc>
        <w:tc>
          <w:tcPr>
            <w:tcW w:w="2230" w:type="dxa"/>
            <w:gridSpan w:val="3"/>
            <w:noWrap w:val="0"/>
            <w:vAlign w:val="center"/>
          </w:tcPr>
          <w:p w14:paraId="32188393">
            <w:pPr>
              <w:pStyle w:val="9"/>
              <w:spacing w:line="360" w:lineRule="auto"/>
              <w:ind w:firstLine="0"/>
              <w:jc w:val="center"/>
              <w:rPr>
                <w:rFonts w:ascii="宋体" w:hAnsi="宋体"/>
                <w:sz w:val="24"/>
              </w:rPr>
            </w:pPr>
            <w:r>
              <w:rPr>
                <w:rFonts w:hint="eastAsia" w:ascii="宋体" w:hAnsi="宋体"/>
                <w:sz w:val="24"/>
              </w:rPr>
              <w:t>法定代表人</w:t>
            </w:r>
          </w:p>
        </w:tc>
        <w:tc>
          <w:tcPr>
            <w:tcW w:w="2400" w:type="dxa"/>
            <w:gridSpan w:val="2"/>
            <w:noWrap w:val="0"/>
            <w:vAlign w:val="center"/>
          </w:tcPr>
          <w:p w14:paraId="742B9C32">
            <w:pPr>
              <w:pStyle w:val="9"/>
              <w:spacing w:line="360" w:lineRule="auto"/>
              <w:ind w:firstLine="0"/>
              <w:jc w:val="center"/>
              <w:rPr>
                <w:rFonts w:ascii="宋体" w:hAnsi="宋体"/>
                <w:sz w:val="24"/>
              </w:rPr>
            </w:pPr>
          </w:p>
        </w:tc>
      </w:tr>
      <w:tr w14:paraId="1C1D9B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7" w:hRule="atLeast"/>
        </w:trPr>
        <w:tc>
          <w:tcPr>
            <w:tcW w:w="1185" w:type="dxa"/>
            <w:gridSpan w:val="2"/>
            <w:noWrap w:val="0"/>
            <w:vAlign w:val="center"/>
          </w:tcPr>
          <w:p w14:paraId="313FDD20">
            <w:pPr>
              <w:pStyle w:val="9"/>
              <w:spacing w:line="360" w:lineRule="auto"/>
              <w:ind w:firstLine="0"/>
              <w:jc w:val="center"/>
              <w:rPr>
                <w:rFonts w:ascii="宋体" w:hAnsi="宋体"/>
                <w:sz w:val="24"/>
              </w:rPr>
            </w:pPr>
            <w:r>
              <w:rPr>
                <w:rFonts w:hint="eastAsia" w:ascii="宋体" w:hAnsi="宋体"/>
                <w:sz w:val="24"/>
              </w:rPr>
              <w:t>6</w:t>
            </w:r>
          </w:p>
        </w:tc>
        <w:tc>
          <w:tcPr>
            <w:tcW w:w="1419" w:type="dxa"/>
            <w:noWrap w:val="0"/>
            <w:vAlign w:val="center"/>
          </w:tcPr>
          <w:p w14:paraId="493C0D6C">
            <w:pPr>
              <w:pStyle w:val="9"/>
              <w:spacing w:line="360" w:lineRule="auto"/>
              <w:ind w:firstLine="0"/>
              <w:jc w:val="center"/>
              <w:rPr>
                <w:rFonts w:ascii="宋体" w:hAnsi="宋体"/>
                <w:sz w:val="24"/>
              </w:rPr>
            </w:pPr>
            <w:r>
              <w:rPr>
                <w:rFonts w:hint="eastAsia" w:ascii="宋体" w:hAnsi="宋体"/>
                <w:sz w:val="24"/>
              </w:rPr>
              <w:t>开户银行</w:t>
            </w:r>
          </w:p>
        </w:tc>
        <w:tc>
          <w:tcPr>
            <w:tcW w:w="1577" w:type="dxa"/>
            <w:noWrap w:val="0"/>
            <w:vAlign w:val="center"/>
          </w:tcPr>
          <w:p w14:paraId="5A2A005F">
            <w:pPr>
              <w:pStyle w:val="9"/>
              <w:spacing w:line="360" w:lineRule="auto"/>
              <w:ind w:firstLine="0"/>
              <w:jc w:val="center"/>
              <w:rPr>
                <w:rFonts w:ascii="宋体" w:hAnsi="宋体"/>
                <w:sz w:val="24"/>
              </w:rPr>
            </w:pPr>
          </w:p>
        </w:tc>
        <w:tc>
          <w:tcPr>
            <w:tcW w:w="818" w:type="dxa"/>
            <w:gridSpan w:val="2"/>
            <w:noWrap w:val="0"/>
            <w:vAlign w:val="center"/>
          </w:tcPr>
          <w:p w14:paraId="4CF3B8CC">
            <w:pPr>
              <w:pStyle w:val="9"/>
              <w:spacing w:line="360" w:lineRule="auto"/>
              <w:ind w:firstLine="0"/>
              <w:jc w:val="center"/>
              <w:rPr>
                <w:rFonts w:ascii="宋体" w:hAnsi="宋体"/>
                <w:sz w:val="24"/>
              </w:rPr>
            </w:pPr>
            <w:r>
              <w:rPr>
                <w:rFonts w:hint="eastAsia" w:ascii="宋体" w:hAnsi="宋体"/>
                <w:sz w:val="24"/>
              </w:rPr>
              <w:t>7</w:t>
            </w:r>
          </w:p>
        </w:tc>
        <w:tc>
          <w:tcPr>
            <w:tcW w:w="2230" w:type="dxa"/>
            <w:gridSpan w:val="3"/>
            <w:noWrap w:val="0"/>
            <w:vAlign w:val="center"/>
          </w:tcPr>
          <w:p w14:paraId="47188A42">
            <w:pPr>
              <w:pStyle w:val="9"/>
              <w:spacing w:line="360" w:lineRule="auto"/>
              <w:ind w:firstLine="0"/>
              <w:jc w:val="center"/>
              <w:rPr>
                <w:rFonts w:ascii="宋体" w:hAnsi="宋体"/>
                <w:sz w:val="24"/>
              </w:rPr>
            </w:pPr>
            <w:r>
              <w:rPr>
                <w:rFonts w:hint="eastAsia" w:ascii="宋体" w:hAnsi="宋体"/>
                <w:sz w:val="24"/>
              </w:rPr>
              <w:t>账号</w:t>
            </w:r>
          </w:p>
        </w:tc>
        <w:tc>
          <w:tcPr>
            <w:tcW w:w="2400" w:type="dxa"/>
            <w:gridSpan w:val="2"/>
            <w:noWrap w:val="0"/>
            <w:vAlign w:val="center"/>
          </w:tcPr>
          <w:p w14:paraId="481AF07C">
            <w:pPr>
              <w:pStyle w:val="9"/>
              <w:spacing w:line="360" w:lineRule="auto"/>
              <w:ind w:firstLine="0"/>
              <w:jc w:val="center"/>
              <w:rPr>
                <w:rFonts w:ascii="宋体" w:hAnsi="宋体"/>
                <w:sz w:val="24"/>
              </w:rPr>
            </w:pPr>
          </w:p>
        </w:tc>
      </w:tr>
      <w:tr w14:paraId="6015B6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7" w:hRule="atLeast"/>
        </w:trPr>
        <w:tc>
          <w:tcPr>
            <w:tcW w:w="1185" w:type="dxa"/>
            <w:gridSpan w:val="2"/>
            <w:tcBorders>
              <w:bottom w:val="single" w:color="000000" w:sz="4" w:space="0"/>
            </w:tcBorders>
            <w:noWrap w:val="0"/>
            <w:vAlign w:val="center"/>
          </w:tcPr>
          <w:p w14:paraId="73177D32">
            <w:pPr>
              <w:pStyle w:val="9"/>
              <w:spacing w:line="360" w:lineRule="auto"/>
              <w:ind w:firstLine="0"/>
              <w:jc w:val="center"/>
              <w:rPr>
                <w:rFonts w:ascii="宋体" w:hAnsi="宋体"/>
                <w:sz w:val="24"/>
              </w:rPr>
            </w:pPr>
            <w:r>
              <w:rPr>
                <w:rFonts w:hint="eastAsia" w:ascii="宋体" w:hAnsi="宋体"/>
                <w:sz w:val="24"/>
              </w:rPr>
              <w:t>8</w:t>
            </w:r>
          </w:p>
        </w:tc>
        <w:tc>
          <w:tcPr>
            <w:tcW w:w="1419" w:type="dxa"/>
            <w:tcBorders>
              <w:bottom w:val="single" w:color="000000" w:sz="4" w:space="0"/>
            </w:tcBorders>
            <w:noWrap w:val="0"/>
            <w:vAlign w:val="center"/>
          </w:tcPr>
          <w:p w14:paraId="13ADB0D3">
            <w:pPr>
              <w:pStyle w:val="9"/>
              <w:spacing w:line="360" w:lineRule="auto"/>
              <w:ind w:firstLine="0"/>
              <w:jc w:val="center"/>
              <w:rPr>
                <w:rFonts w:ascii="宋体" w:hAnsi="宋体"/>
                <w:sz w:val="24"/>
              </w:rPr>
            </w:pPr>
            <w:r>
              <w:rPr>
                <w:rFonts w:hint="eastAsia" w:ascii="宋体" w:hAnsi="宋体"/>
                <w:sz w:val="24"/>
              </w:rPr>
              <w:t>项目联系人</w:t>
            </w:r>
          </w:p>
        </w:tc>
        <w:tc>
          <w:tcPr>
            <w:tcW w:w="1577" w:type="dxa"/>
            <w:tcBorders>
              <w:bottom w:val="single" w:color="000000" w:sz="4" w:space="0"/>
            </w:tcBorders>
            <w:noWrap w:val="0"/>
            <w:vAlign w:val="center"/>
          </w:tcPr>
          <w:p w14:paraId="64E47096">
            <w:pPr>
              <w:pStyle w:val="9"/>
              <w:spacing w:line="360" w:lineRule="auto"/>
              <w:ind w:firstLine="0"/>
              <w:jc w:val="center"/>
              <w:rPr>
                <w:rFonts w:ascii="宋体" w:hAnsi="宋体"/>
                <w:sz w:val="24"/>
              </w:rPr>
            </w:pPr>
          </w:p>
        </w:tc>
        <w:tc>
          <w:tcPr>
            <w:tcW w:w="818" w:type="dxa"/>
            <w:gridSpan w:val="2"/>
            <w:tcBorders>
              <w:bottom w:val="single" w:color="000000" w:sz="4" w:space="0"/>
            </w:tcBorders>
            <w:noWrap w:val="0"/>
            <w:vAlign w:val="center"/>
          </w:tcPr>
          <w:p w14:paraId="12920569">
            <w:pPr>
              <w:pStyle w:val="9"/>
              <w:spacing w:line="360" w:lineRule="auto"/>
              <w:ind w:firstLine="0"/>
              <w:jc w:val="center"/>
              <w:rPr>
                <w:rFonts w:ascii="宋体" w:hAnsi="宋体"/>
                <w:sz w:val="24"/>
              </w:rPr>
            </w:pPr>
            <w:r>
              <w:rPr>
                <w:rFonts w:hint="eastAsia" w:ascii="宋体" w:hAnsi="宋体"/>
                <w:sz w:val="24"/>
              </w:rPr>
              <w:t>9</w:t>
            </w:r>
          </w:p>
        </w:tc>
        <w:tc>
          <w:tcPr>
            <w:tcW w:w="2230" w:type="dxa"/>
            <w:gridSpan w:val="3"/>
            <w:tcBorders>
              <w:bottom w:val="single" w:color="000000" w:sz="4" w:space="0"/>
            </w:tcBorders>
            <w:noWrap w:val="0"/>
            <w:vAlign w:val="center"/>
          </w:tcPr>
          <w:p w14:paraId="4A192384">
            <w:pPr>
              <w:pStyle w:val="9"/>
              <w:spacing w:line="360" w:lineRule="auto"/>
              <w:ind w:firstLine="0"/>
              <w:jc w:val="center"/>
              <w:rPr>
                <w:rFonts w:ascii="宋体" w:hAnsi="宋体"/>
                <w:sz w:val="24"/>
              </w:rPr>
            </w:pPr>
            <w:r>
              <w:rPr>
                <w:rFonts w:hint="eastAsia" w:ascii="宋体" w:hAnsi="宋体"/>
                <w:sz w:val="24"/>
              </w:rPr>
              <w:t>联系电话</w:t>
            </w:r>
          </w:p>
        </w:tc>
        <w:tc>
          <w:tcPr>
            <w:tcW w:w="2400" w:type="dxa"/>
            <w:gridSpan w:val="2"/>
            <w:tcBorders>
              <w:bottom w:val="single" w:color="000000" w:sz="4" w:space="0"/>
            </w:tcBorders>
            <w:noWrap w:val="0"/>
            <w:vAlign w:val="center"/>
          </w:tcPr>
          <w:p w14:paraId="56EC9C03">
            <w:pPr>
              <w:pStyle w:val="9"/>
              <w:spacing w:line="360" w:lineRule="auto"/>
              <w:ind w:firstLine="0"/>
              <w:jc w:val="center"/>
              <w:rPr>
                <w:rFonts w:ascii="宋体" w:hAnsi="宋体"/>
                <w:sz w:val="24"/>
              </w:rPr>
            </w:pPr>
          </w:p>
        </w:tc>
      </w:tr>
      <w:tr w14:paraId="2DD8C9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7" w:hRule="atLeast"/>
        </w:trPr>
        <w:tc>
          <w:tcPr>
            <w:tcW w:w="1185" w:type="dxa"/>
            <w:gridSpan w:val="2"/>
            <w:shd w:val="clear" w:color="auto" w:fill="D9D9D9"/>
            <w:noWrap w:val="0"/>
            <w:vAlign w:val="center"/>
          </w:tcPr>
          <w:p w14:paraId="66451565">
            <w:pPr>
              <w:pStyle w:val="9"/>
              <w:spacing w:line="360" w:lineRule="auto"/>
              <w:ind w:firstLine="0"/>
              <w:jc w:val="center"/>
              <w:rPr>
                <w:rFonts w:ascii="宋体" w:hAnsi="宋体"/>
                <w:b/>
                <w:sz w:val="24"/>
              </w:rPr>
            </w:pPr>
            <w:r>
              <w:rPr>
                <w:rFonts w:hint="eastAsia" w:ascii="宋体" w:hAnsi="宋体"/>
                <w:b/>
                <w:sz w:val="24"/>
              </w:rPr>
              <w:t>二</w:t>
            </w:r>
          </w:p>
        </w:tc>
        <w:tc>
          <w:tcPr>
            <w:tcW w:w="8444" w:type="dxa"/>
            <w:gridSpan w:val="9"/>
            <w:shd w:val="clear" w:color="auto" w:fill="D9D9D9"/>
            <w:noWrap w:val="0"/>
            <w:vAlign w:val="center"/>
          </w:tcPr>
          <w:p w14:paraId="0EE9A1E0">
            <w:pPr>
              <w:pStyle w:val="9"/>
              <w:spacing w:line="360" w:lineRule="auto"/>
              <w:ind w:firstLine="0"/>
              <w:jc w:val="center"/>
              <w:rPr>
                <w:rFonts w:ascii="宋体" w:hAnsi="宋体"/>
                <w:b/>
                <w:sz w:val="24"/>
              </w:rPr>
            </w:pPr>
            <w:r>
              <w:rPr>
                <w:rFonts w:hint="eastAsia" w:ascii="宋体" w:hAnsi="宋体"/>
                <w:b/>
                <w:sz w:val="24"/>
              </w:rPr>
              <w:t>公司财务状况</w:t>
            </w:r>
          </w:p>
        </w:tc>
      </w:tr>
      <w:tr w14:paraId="7D3772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7" w:hRule="atLeast"/>
        </w:trPr>
        <w:tc>
          <w:tcPr>
            <w:tcW w:w="1185" w:type="dxa"/>
            <w:gridSpan w:val="2"/>
            <w:noWrap w:val="0"/>
            <w:vAlign w:val="center"/>
          </w:tcPr>
          <w:p w14:paraId="221E4FCB">
            <w:pPr>
              <w:pStyle w:val="9"/>
              <w:spacing w:line="360" w:lineRule="auto"/>
              <w:ind w:firstLine="0"/>
              <w:jc w:val="center"/>
              <w:rPr>
                <w:rFonts w:ascii="宋体" w:hAnsi="宋体"/>
                <w:b/>
                <w:sz w:val="24"/>
              </w:rPr>
            </w:pPr>
            <w:r>
              <w:rPr>
                <w:rFonts w:hint="eastAsia" w:ascii="宋体" w:hAnsi="宋体"/>
                <w:b/>
                <w:sz w:val="24"/>
              </w:rPr>
              <w:t>（一）</w:t>
            </w:r>
          </w:p>
        </w:tc>
        <w:tc>
          <w:tcPr>
            <w:tcW w:w="8444" w:type="dxa"/>
            <w:gridSpan w:val="9"/>
            <w:noWrap w:val="0"/>
            <w:vAlign w:val="center"/>
          </w:tcPr>
          <w:p w14:paraId="590761E1">
            <w:pPr>
              <w:pStyle w:val="9"/>
              <w:spacing w:line="360" w:lineRule="auto"/>
              <w:ind w:firstLine="0"/>
              <w:jc w:val="center"/>
              <w:rPr>
                <w:rFonts w:ascii="宋体" w:hAnsi="宋体"/>
                <w:b/>
                <w:sz w:val="24"/>
              </w:rPr>
            </w:pPr>
            <w:r>
              <w:rPr>
                <w:rFonts w:hint="eastAsia" w:ascii="宋体" w:hAnsi="宋体"/>
                <w:b/>
                <w:sz w:val="24"/>
                <w:u w:val="single"/>
              </w:rPr>
              <w:t>202</w:t>
            </w:r>
            <w:r>
              <w:rPr>
                <w:rFonts w:hint="eastAsia" w:ascii="宋体" w:hAnsi="宋体"/>
                <w:b/>
                <w:sz w:val="24"/>
                <w:u w:val="single"/>
                <w:lang w:val="en-US" w:eastAsia="zh-CN"/>
              </w:rPr>
              <w:t>4</w:t>
            </w:r>
            <w:r>
              <w:rPr>
                <w:rFonts w:hint="eastAsia" w:ascii="宋体" w:hAnsi="宋体"/>
                <w:b/>
                <w:sz w:val="24"/>
              </w:rPr>
              <w:t>年度财务状况</w:t>
            </w:r>
          </w:p>
        </w:tc>
      </w:tr>
      <w:tr w14:paraId="4F434E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2" w:hRule="atLeast"/>
        </w:trPr>
        <w:tc>
          <w:tcPr>
            <w:tcW w:w="1185" w:type="dxa"/>
            <w:gridSpan w:val="2"/>
            <w:noWrap w:val="0"/>
            <w:vAlign w:val="center"/>
          </w:tcPr>
          <w:p w14:paraId="39A9CF29">
            <w:pPr>
              <w:pStyle w:val="9"/>
              <w:spacing w:line="360" w:lineRule="auto"/>
              <w:ind w:firstLine="0"/>
              <w:jc w:val="center"/>
              <w:rPr>
                <w:rFonts w:ascii="宋体" w:hAnsi="宋体"/>
                <w:sz w:val="24"/>
              </w:rPr>
            </w:pPr>
            <w:r>
              <w:rPr>
                <w:rFonts w:hint="eastAsia" w:ascii="宋体" w:hAnsi="宋体"/>
                <w:sz w:val="24"/>
              </w:rPr>
              <w:t>1</w:t>
            </w:r>
          </w:p>
        </w:tc>
        <w:tc>
          <w:tcPr>
            <w:tcW w:w="1419" w:type="dxa"/>
            <w:noWrap w:val="0"/>
            <w:vAlign w:val="center"/>
          </w:tcPr>
          <w:p w14:paraId="0409849E">
            <w:pPr>
              <w:pStyle w:val="9"/>
              <w:spacing w:line="360" w:lineRule="auto"/>
              <w:ind w:firstLine="0"/>
              <w:jc w:val="center"/>
              <w:rPr>
                <w:rFonts w:ascii="宋体" w:hAnsi="宋体"/>
                <w:sz w:val="24"/>
              </w:rPr>
            </w:pPr>
            <w:r>
              <w:rPr>
                <w:rFonts w:hint="eastAsia" w:ascii="宋体" w:hAnsi="宋体"/>
                <w:sz w:val="24"/>
              </w:rPr>
              <w:t>营业收入（万）：</w:t>
            </w:r>
          </w:p>
        </w:tc>
        <w:tc>
          <w:tcPr>
            <w:tcW w:w="1577" w:type="dxa"/>
            <w:noWrap w:val="0"/>
            <w:vAlign w:val="center"/>
          </w:tcPr>
          <w:p w14:paraId="3A968AB3">
            <w:pPr>
              <w:pStyle w:val="9"/>
              <w:spacing w:line="360" w:lineRule="auto"/>
              <w:ind w:firstLine="0"/>
              <w:jc w:val="center"/>
              <w:rPr>
                <w:rFonts w:ascii="宋体" w:hAnsi="宋体"/>
                <w:sz w:val="24"/>
              </w:rPr>
            </w:pPr>
          </w:p>
        </w:tc>
        <w:tc>
          <w:tcPr>
            <w:tcW w:w="818" w:type="dxa"/>
            <w:gridSpan w:val="2"/>
            <w:noWrap w:val="0"/>
            <w:vAlign w:val="center"/>
          </w:tcPr>
          <w:p w14:paraId="46123547">
            <w:pPr>
              <w:pStyle w:val="9"/>
              <w:spacing w:line="360" w:lineRule="auto"/>
              <w:ind w:firstLine="0"/>
              <w:jc w:val="center"/>
              <w:rPr>
                <w:rFonts w:ascii="宋体" w:hAnsi="宋体"/>
                <w:sz w:val="24"/>
              </w:rPr>
            </w:pPr>
            <w:r>
              <w:rPr>
                <w:rFonts w:hint="eastAsia" w:ascii="宋体" w:hAnsi="宋体"/>
                <w:sz w:val="24"/>
              </w:rPr>
              <w:t>2</w:t>
            </w:r>
          </w:p>
        </w:tc>
        <w:tc>
          <w:tcPr>
            <w:tcW w:w="2230" w:type="dxa"/>
            <w:gridSpan w:val="3"/>
            <w:noWrap w:val="0"/>
            <w:vAlign w:val="center"/>
          </w:tcPr>
          <w:p w14:paraId="1F75CD34">
            <w:pPr>
              <w:pStyle w:val="9"/>
              <w:spacing w:line="360" w:lineRule="auto"/>
              <w:ind w:firstLine="0"/>
              <w:jc w:val="center"/>
              <w:rPr>
                <w:rFonts w:ascii="宋体" w:hAnsi="宋体"/>
                <w:sz w:val="24"/>
              </w:rPr>
            </w:pPr>
            <w:r>
              <w:rPr>
                <w:rFonts w:hint="eastAsia" w:ascii="宋体" w:hAnsi="宋体"/>
                <w:sz w:val="24"/>
              </w:rPr>
              <w:t>利润总额（万）</w:t>
            </w:r>
          </w:p>
        </w:tc>
        <w:tc>
          <w:tcPr>
            <w:tcW w:w="2400" w:type="dxa"/>
            <w:gridSpan w:val="2"/>
            <w:noWrap w:val="0"/>
            <w:vAlign w:val="center"/>
          </w:tcPr>
          <w:p w14:paraId="04AFD37F">
            <w:pPr>
              <w:pStyle w:val="9"/>
              <w:spacing w:line="360" w:lineRule="auto"/>
              <w:ind w:firstLine="0"/>
              <w:jc w:val="center"/>
              <w:rPr>
                <w:rFonts w:ascii="宋体" w:hAnsi="宋体"/>
                <w:sz w:val="24"/>
              </w:rPr>
            </w:pPr>
          </w:p>
        </w:tc>
      </w:tr>
      <w:tr w14:paraId="180B70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3" w:hRule="atLeast"/>
        </w:trPr>
        <w:tc>
          <w:tcPr>
            <w:tcW w:w="1185" w:type="dxa"/>
            <w:gridSpan w:val="2"/>
            <w:noWrap w:val="0"/>
            <w:vAlign w:val="center"/>
          </w:tcPr>
          <w:p w14:paraId="005B8CFD">
            <w:pPr>
              <w:pStyle w:val="9"/>
              <w:spacing w:line="360" w:lineRule="auto"/>
              <w:ind w:firstLine="0"/>
              <w:jc w:val="center"/>
              <w:rPr>
                <w:rFonts w:ascii="宋体" w:hAnsi="宋体"/>
                <w:sz w:val="24"/>
              </w:rPr>
            </w:pPr>
            <w:r>
              <w:rPr>
                <w:rFonts w:hint="eastAsia" w:ascii="宋体" w:hAnsi="宋体"/>
                <w:sz w:val="24"/>
              </w:rPr>
              <w:t>3</w:t>
            </w:r>
          </w:p>
        </w:tc>
        <w:tc>
          <w:tcPr>
            <w:tcW w:w="1419" w:type="dxa"/>
            <w:noWrap w:val="0"/>
            <w:vAlign w:val="center"/>
          </w:tcPr>
          <w:p w14:paraId="278EC535">
            <w:pPr>
              <w:pStyle w:val="9"/>
              <w:spacing w:line="360" w:lineRule="auto"/>
              <w:ind w:firstLine="0"/>
              <w:jc w:val="center"/>
              <w:rPr>
                <w:rFonts w:ascii="宋体" w:hAnsi="宋体"/>
                <w:sz w:val="24"/>
                <w:lang w:eastAsia="zh-CN"/>
              </w:rPr>
            </w:pPr>
            <w:r>
              <w:rPr>
                <w:rFonts w:hint="eastAsia" w:ascii="宋体" w:hAnsi="宋体"/>
                <w:sz w:val="24"/>
                <w:lang w:eastAsia="zh-CN"/>
              </w:rPr>
              <w:t>年末“固定资产合计”（万）</w:t>
            </w:r>
          </w:p>
        </w:tc>
        <w:tc>
          <w:tcPr>
            <w:tcW w:w="1577" w:type="dxa"/>
            <w:noWrap w:val="0"/>
            <w:vAlign w:val="center"/>
          </w:tcPr>
          <w:p w14:paraId="2295BA8B">
            <w:pPr>
              <w:pStyle w:val="9"/>
              <w:spacing w:line="360" w:lineRule="auto"/>
              <w:ind w:firstLine="0"/>
              <w:jc w:val="center"/>
              <w:rPr>
                <w:rFonts w:ascii="宋体" w:hAnsi="宋体"/>
                <w:sz w:val="24"/>
                <w:lang w:eastAsia="zh-CN"/>
              </w:rPr>
            </w:pPr>
          </w:p>
        </w:tc>
        <w:tc>
          <w:tcPr>
            <w:tcW w:w="818" w:type="dxa"/>
            <w:gridSpan w:val="2"/>
            <w:noWrap w:val="0"/>
            <w:vAlign w:val="center"/>
          </w:tcPr>
          <w:p w14:paraId="7048D7C5">
            <w:pPr>
              <w:pStyle w:val="9"/>
              <w:spacing w:line="360" w:lineRule="auto"/>
              <w:ind w:firstLine="0"/>
              <w:jc w:val="center"/>
              <w:rPr>
                <w:rFonts w:ascii="宋体" w:hAnsi="宋体"/>
                <w:sz w:val="24"/>
              </w:rPr>
            </w:pPr>
            <w:r>
              <w:rPr>
                <w:rFonts w:hint="eastAsia" w:ascii="宋体" w:hAnsi="宋体"/>
                <w:sz w:val="24"/>
              </w:rPr>
              <w:t>4</w:t>
            </w:r>
          </w:p>
        </w:tc>
        <w:tc>
          <w:tcPr>
            <w:tcW w:w="2230" w:type="dxa"/>
            <w:gridSpan w:val="3"/>
            <w:noWrap w:val="0"/>
            <w:vAlign w:val="center"/>
          </w:tcPr>
          <w:p w14:paraId="1A780D84">
            <w:pPr>
              <w:pStyle w:val="9"/>
              <w:spacing w:line="360" w:lineRule="auto"/>
              <w:ind w:firstLine="0"/>
              <w:jc w:val="center"/>
              <w:rPr>
                <w:rFonts w:ascii="宋体" w:hAnsi="宋体"/>
                <w:sz w:val="24"/>
                <w:lang w:eastAsia="zh-CN"/>
              </w:rPr>
            </w:pPr>
            <w:r>
              <w:rPr>
                <w:rFonts w:hint="eastAsia" w:ascii="宋体" w:hAnsi="宋体"/>
                <w:sz w:val="24"/>
                <w:lang w:eastAsia="zh-CN"/>
              </w:rPr>
              <w:t>年末“流动资产”余额（万）</w:t>
            </w:r>
          </w:p>
        </w:tc>
        <w:tc>
          <w:tcPr>
            <w:tcW w:w="2400" w:type="dxa"/>
            <w:gridSpan w:val="2"/>
            <w:noWrap w:val="0"/>
            <w:vAlign w:val="center"/>
          </w:tcPr>
          <w:p w14:paraId="63B154D5">
            <w:pPr>
              <w:pStyle w:val="9"/>
              <w:spacing w:line="360" w:lineRule="auto"/>
              <w:ind w:firstLine="0"/>
              <w:jc w:val="center"/>
              <w:rPr>
                <w:rFonts w:ascii="宋体" w:hAnsi="宋体"/>
                <w:sz w:val="24"/>
                <w:lang w:eastAsia="zh-CN"/>
              </w:rPr>
            </w:pPr>
          </w:p>
        </w:tc>
      </w:tr>
      <w:tr w14:paraId="23CD51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2" w:hRule="atLeast"/>
        </w:trPr>
        <w:tc>
          <w:tcPr>
            <w:tcW w:w="1185" w:type="dxa"/>
            <w:gridSpan w:val="2"/>
            <w:noWrap w:val="0"/>
            <w:vAlign w:val="center"/>
          </w:tcPr>
          <w:p w14:paraId="58160070">
            <w:pPr>
              <w:pStyle w:val="9"/>
              <w:spacing w:line="360" w:lineRule="auto"/>
              <w:ind w:firstLine="0"/>
              <w:jc w:val="center"/>
              <w:rPr>
                <w:rFonts w:ascii="宋体" w:hAnsi="宋体"/>
                <w:sz w:val="24"/>
              </w:rPr>
            </w:pPr>
            <w:r>
              <w:rPr>
                <w:rFonts w:hint="eastAsia" w:ascii="宋体" w:hAnsi="宋体"/>
                <w:sz w:val="24"/>
              </w:rPr>
              <w:t>5</w:t>
            </w:r>
          </w:p>
        </w:tc>
        <w:tc>
          <w:tcPr>
            <w:tcW w:w="1419" w:type="dxa"/>
            <w:noWrap w:val="0"/>
            <w:vAlign w:val="center"/>
          </w:tcPr>
          <w:p w14:paraId="2023556A">
            <w:pPr>
              <w:pStyle w:val="9"/>
              <w:spacing w:line="360" w:lineRule="auto"/>
              <w:ind w:firstLine="0"/>
              <w:jc w:val="center"/>
              <w:rPr>
                <w:rFonts w:ascii="宋体" w:hAnsi="宋体"/>
                <w:sz w:val="24"/>
                <w:lang w:eastAsia="zh-CN"/>
              </w:rPr>
            </w:pPr>
            <w:r>
              <w:rPr>
                <w:rFonts w:hint="eastAsia" w:ascii="宋体" w:hAnsi="宋体"/>
                <w:sz w:val="24"/>
                <w:lang w:eastAsia="zh-CN"/>
              </w:rPr>
              <w:t>年末“短期负债”余额（万）</w:t>
            </w:r>
          </w:p>
        </w:tc>
        <w:tc>
          <w:tcPr>
            <w:tcW w:w="1577" w:type="dxa"/>
            <w:noWrap w:val="0"/>
            <w:vAlign w:val="center"/>
          </w:tcPr>
          <w:p w14:paraId="2B127A21">
            <w:pPr>
              <w:pStyle w:val="9"/>
              <w:spacing w:line="360" w:lineRule="auto"/>
              <w:ind w:firstLine="0"/>
              <w:jc w:val="center"/>
              <w:rPr>
                <w:rFonts w:ascii="宋体" w:hAnsi="宋体"/>
                <w:sz w:val="24"/>
                <w:lang w:eastAsia="zh-CN"/>
              </w:rPr>
            </w:pPr>
          </w:p>
        </w:tc>
        <w:tc>
          <w:tcPr>
            <w:tcW w:w="818" w:type="dxa"/>
            <w:gridSpan w:val="2"/>
            <w:noWrap w:val="0"/>
            <w:vAlign w:val="center"/>
          </w:tcPr>
          <w:p w14:paraId="66ECFCF0">
            <w:pPr>
              <w:pStyle w:val="9"/>
              <w:spacing w:line="360" w:lineRule="auto"/>
              <w:ind w:firstLine="0"/>
              <w:jc w:val="center"/>
              <w:rPr>
                <w:rFonts w:ascii="宋体" w:hAnsi="宋体"/>
                <w:sz w:val="24"/>
              </w:rPr>
            </w:pPr>
            <w:r>
              <w:rPr>
                <w:rFonts w:hint="eastAsia" w:ascii="宋体" w:hAnsi="宋体"/>
                <w:sz w:val="24"/>
              </w:rPr>
              <w:t>6</w:t>
            </w:r>
          </w:p>
        </w:tc>
        <w:tc>
          <w:tcPr>
            <w:tcW w:w="2230" w:type="dxa"/>
            <w:gridSpan w:val="3"/>
            <w:noWrap w:val="0"/>
            <w:vAlign w:val="center"/>
          </w:tcPr>
          <w:p w14:paraId="50012530">
            <w:pPr>
              <w:pStyle w:val="9"/>
              <w:spacing w:line="360" w:lineRule="auto"/>
              <w:ind w:firstLine="0"/>
              <w:jc w:val="center"/>
              <w:rPr>
                <w:rFonts w:ascii="宋体" w:hAnsi="宋体"/>
                <w:sz w:val="24"/>
                <w:lang w:eastAsia="zh-CN"/>
              </w:rPr>
            </w:pPr>
            <w:r>
              <w:rPr>
                <w:rFonts w:hint="eastAsia" w:ascii="宋体" w:hAnsi="宋体"/>
                <w:sz w:val="24"/>
                <w:lang w:eastAsia="zh-CN"/>
              </w:rPr>
              <w:t>年末“长期负债”余额（万）</w:t>
            </w:r>
          </w:p>
        </w:tc>
        <w:tc>
          <w:tcPr>
            <w:tcW w:w="2400" w:type="dxa"/>
            <w:gridSpan w:val="2"/>
            <w:noWrap w:val="0"/>
            <w:vAlign w:val="center"/>
          </w:tcPr>
          <w:p w14:paraId="4BD1A06C">
            <w:pPr>
              <w:pStyle w:val="9"/>
              <w:spacing w:line="360" w:lineRule="auto"/>
              <w:ind w:firstLine="0"/>
              <w:jc w:val="center"/>
              <w:rPr>
                <w:rFonts w:ascii="宋体" w:hAnsi="宋体"/>
                <w:sz w:val="24"/>
                <w:lang w:eastAsia="zh-CN"/>
              </w:rPr>
            </w:pPr>
          </w:p>
        </w:tc>
      </w:tr>
      <w:tr w14:paraId="23EF66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8" w:hRule="atLeast"/>
        </w:trPr>
        <w:tc>
          <w:tcPr>
            <w:tcW w:w="1185" w:type="dxa"/>
            <w:gridSpan w:val="2"/>
            <w:noWrap w:val="0"/>
            <w:vAlign w:val="center"/>
          </w:tcPr>
          <w:p w14:paraId="36EB318E">
            <w:pPr>
              <w:pStyle w:val="9"/>
              <w:spacing w:line="360" w:lineRule="auto"/>
              <w:ind w:firstLine="0"/>
              <w:jc w:val="center"/>
              <w:rPr>
                <w:rFonts w:ascii="宋体" w:hAnsi="宋体"/>
                <w:sz w:val="24"/>
              </w:rPr>
            </w:pPr>
            <w:r>
              <w:rPr>
                <w:rFonts w:hint="eastAsia" w:ascii="宋体" w:hAnsi="宋体"/>
                <w:sz w:val="24"/>
              </w:rPr>
              <w:t>7</w:t>
            </w:r>
          </w:p>
        </w:tc>
        <w:tc>
          <w:tcPr>
            <w:tcW w:w="1419" w:type="dxa"/>
            <w:noWrap w:val="0"/>
            <w:vAlign w:val="center"/>
          </w:tcPr>
          <w:p w14:paraId="766E7497">
            <w:pPr>
              <w:pStyle w:val="9"/>
              <w:spacing w:line="360" w:lineRule="auto"/>
              <w:ind w:firstLine="0"/>
              <w:jc w:val="center"/>
              <w:rPr>
                <w:rFonts w:ascii="宋体" w:hAnsi="宋体"/>
                <w:sz w:val="24"/>
                <w:lang w:eastAsia="zh-CN"/>
              </w:rPr>
            </w:pPr>
            <w:r>
              <w:rPr>
                <w:rFonts w:hint="eastAsia" w:ascii="宋体" w:hAnsi="宋体"/>
                <w:sz w:val="24"/>
                <w:lang w:eastAsia="zh-CN"/>
              </w:rPr>
              <w:t>年末“资产总计”余额（万）</w:t>
            </w:r>
          </w:p>
        </w:tc>
        <w:tc>
          <w:tcPr>
            <w:tcW w:w="1577" w:type="dxa"/>
            <w:noWrap w:val="0"/>
            <w:vAlign w:val="center"/>
          </w:tcPr>
          <w:p w14:paraId="7CCBC7D3">
            <w:pPr>
              <w:pStyle w:val="9"/>
              <w:spacing w:line="360" w:lineRule="auto"/>
              <w:ind w:firstLine="0"/>
              <w:jc w:val="center"/>
              <w:rPr>
                <w:rFonts w:ascii="宋体" w:hAnsi="宋体"/>
                <w:sz w:val="24"/>
                <w:lang w:eastAsia="zh-CN"/>
              </w:rPr>
            </w:pPr>
          </w:p>
        </w:tc>
        <w:tc>
          <w:tcPr>
            <w:tcW w:w="818" w:type="dxa"/>
            <w:gridSpan w:val="2"/>
            <w:noWrap w:val="0"/>
            <w:vAlign w:val="center"/>
          </w:tcPr>
          <w:p w14:paraId="451D9987">
            <w:pPr>
              <w:pStyle w:val="9"/>
              <w:spacing w:line="360" w:lineRule="auto"/>
              <w:ind w:firstLine="0"/>
              <w:jc w:val="center"/>
              <w:rPr>
                <w:rFonts w:ascii="宋体" w:hAnsi="宋体"/>
                <w:sz w:val="24"/>
              </w:rPr>
            </w:pPr>
            <w:r>
              <w:rPr>
                <w:rFonts w:hint="eastAsia" w:ascii="宋体" w:hAnsi="宋体"/>
                <w:sz w:val="24"/>
              </w:rPr>
              <w:t>8</w:t>
            </w:r>
          </w:p>
        </w:tc>
        <w:tc>
          <w:tcPr>
            <w:tcW w:w="2230" w:type="dxa"/>
            <w:gridSpan w:val="3"/>
            <w:noWrap w:val="0"/>
            <w:vAlign w:val="center"/>
          </w:tcPr>
          <w:p w14:paraId="7EF2133C">
            <w:pPr>
              <w:pStyle w:val="9"/>
              <w:spacing w:line="360" w:lineRule="auto"/>
              <w:ind w:firstLine="0"/>
              <w:jc w:val="center"/>
              <w:rPr>
                <w:rFonts w:ascii="宋体" w:hAnsi="宋体"/>
                <w:sz w:val="24"/>
                <w:lang w:eastAsia="zh-CN"/>
              </w:rPr>
            </w:pPr>
            <w:r>
              <w:rPr>
                <w:rFonts w:hint="eastAsia" w:ascii="宋体" w:hAnsi="宋体"/>
                <w:sz w:val="24"/>
                <w:lang w:eastAsia="zh-CN"/>
              </w:rPr>
              <w:t>年末“货币资金”余额（万）</w:t>
            </w:r>
          </w:p>
        </w:tc>
        <w:tc>
          <w:tcPr>
            <w:tcW w:w="2400" w:type="dxa"/>
            <w:gridSpan w:val="2"/>
            <w:noWrap w:val="0"/>
            <w:vAlign w:val="center"/>
          </w:tcPr>
          <w:p w14:paraId="0A1FF17A">
            <w:pPr>
              <w:pStyle w:val="9"/>
              <w:spacing w:line="360" w:lineRule="auto"/>
              <w:ind w:firstLine="0"/>
              <w:jc w:val="center"/>
              <w:rPr>
                <w:rFonts w:ascii="宋体" w:hAnsi="宋体"/>
                <w:sz w:val="24"/>
                <w:lang w:eastAsia="zh-CN"/>
              </w:rPr>
            </w:pPr>
          </w:p>
        </w:tc>
      </w:tr>
      <w:tr w14:paraId="195FC2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7" w:hRule="atLeast"/>
        </w:trPr>
        <w:tc>
          <w:tcPr>
            <w:tcW w:w="1185" w:type="dxa"/>
            <w:gridSpan w:val="2"/>
            <w:shd w:val="clear" w:color="auto" w:fill="D9D9D9"/>
            <w:noWrap w:val="0"/>
            <w:vAlign w:val="center"/>
          </w:tcPr>
          <w:p w14:paraId="4B23CFFB">
            <w:pPr>
              <w:pStyle w:val="9"/>
              <w:spacing w:line="360" w:lineRule="auto"/>
              <w:ind w:firstLine="0"/>
              <w:jc w:val="center"/>
              <w:rPr>
                <w:rFonts w:ascii="宋体" w:hAnsi="宋体"/>
                <w:b/>
                <w:sz w:val="24"/>
              </w:rPr>
            </w:pPr>
            <w:r>
              <w:rPr>
                <w:rFonts w:hint="eastAsia" w:ascii="宋体" w:hAnsi="宋体"/>
                <w:b/>
                <w:sz w:val="24"/>
              </w:rPr>
              <w:t>三</w:t>
            </w:r>
          </w:p>
        </w:tc>
        <w:tc>
          <w:tcPr>
            <w:tcW w:w="8444" w:type="dxa"/>
            <w:gridSpan w:val="9"/>
            <w:shd w:val="clear" w:color="auto" w:fill="D9D9D9"/>
            <w:noWrap w:val="0"/>
            <w:vAlign w:val="center"/>
          </w:tcPr>
          <w:p w14:paraId="7E6B9FFC">
            <w:pPr>
              <w:pStyle w:val="9"/>
              <w:spacing w:line="360" w:lineRule="auto"/>
              <w:ind w:firstLine="0"/>
              <w:jc w:val="center"/>
              <w:rPr>
                <w:rFonts w:ascii="宋体" w:hAnsi="宋体"/>
                <w:b/>
                <w:sz w:val="24"/>
              </w:rPr>
            </w:pPr>
            <w:r>
              <w:rPr>
                <w:rFonts w:hint="eastAsia" w:ascii="宋体" w:hAnsi="宋体"/>
                <w:b/>
                <w:sz w:val="24"/>
              </w:rPr>
              <w:t>投标人其他信息</w:t>
            </w:r>
          </w:p>
        </w:tc>
      </w:tr>
      <w:tr w14:paraId="52687F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15" w:hRule="atLeast"/>
        </w:trPr>
        <w:tc>
          <w:tcPr>
            <w:tcW w:w="1185" w:type="dxa"/>
            <w:gridSpan w:val="2"/>
            <w:noWrap w:val="0"/>
            <w:vAlign w:val="center"/>
          </w:tcPr>
          <w:p w14:paraId="4516E722">
            <w:pPr>
              <w:pStyle w:val="9"/>
              <w:spacing w:line="360" w:lineRule="auto"/>
              <w:ind w:firstLine="0"/>
              <w:jc w:val="center"/>
              <w:rPr>
                <w:rFonts w:ascii="宋体" w:hAnsi="宋体"/>
                <w:sz w:val="24"/>
              </w:rPr>
            </w:pPr>
            <w:r>
              <w:rPr>
                <w:rFonts w:hint="eastAsia" w:ascii="宋体" w:hAnsi="宋体"/>
                <w:sz w:val="24"/>
              </w:rPr>
              <w:t>（一）</w:t>
            </w:r>
          </w:p>
        </w:tc>
        <w:tc>
          <w:tcPr>
            <w:tcW w:w="1419" w:type="dxa"/>
            <w:noWrap w:val="0"/>
            <w:vAlign w:val="center"/>
          </w:tcPr>
          <w:p w14:paraId="697FA03B">
            <w:pPr>
              <w:pStyle w:val="9"/>
              <w:spacing w:line="360" w:lineRule="auto"/>
              <w:ind w:firstLine="0"/>
              <w:jc w:val="center"/>
              <w:rPr>
                <w:rFonts w:ascii="宋体" w:hAnsi="宋体"/>
                <w:sz w:val="24"/>
                <w:lang w:eastAsia="zh-CN"/>
              </w:rPr>
            </w:pPr>
            <w:r>
              <w:rPr>
                <w:rFonts w:hint="eastAsia" w:ascii="宋体" w:hAnsi="宋体"/>
                <w:sz w:val="24"/>
                <w:lang w:eastAsia="zh-CN"/>
              </w:rPr>
              <w:t>公司取得的相关资质及等级：</w:t>
            </w:r>
          </w:p>
        </w:tc>
        <w:tc>
          <w:tcPr>
            <w:tcW w:w="7025" w:type="dxa"/>
            <w:gridSpan w:val="8"/>
            <w:noWrap w:val="0"/>
            <w:vAlign w:val="center"/>
          </w:tcPr>
          <w:p w14:paraId="4B88520F">
            <w:pPr>
              <w:pStyle w:val="9"/>
              <w:spacing w:line="360" w:lineRule="auto"/>
              <w:ind w:firstLine="0"/>
              <w:jc w:val="center"/>
              <w:rPr>
                <w:rFonts w:ascii="宋体" w:hAnsi="宋体"/>
                <w:sz w:val="24"/>
                <w:lang w:eastAsia="zh-CN"/>
              </w:rPr>
            </w:pPr>
          </w:p>
        </w:tc>
      </w:tr>
      <w:tr w14:paraId="397B52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86" w:hRule="atLeast"/>
        </w:trPr>
        <w:tc>
          <w:tcPr>
            <w:tcW w:w="1185" w:type="dxa"/>
            <w:gridSpan w:val="2"/>
            <w:noWrap w:val="0"/>
            <w:vAlign w:val="center"/>
          </w:tcPr>
          <w:p w14:paraId="0CB301BD">
            <w:pPr>
              <w:pStyle w:val="9"/>
              <w:spacing w:line="360" w:lineRule="auto"/>
              <w:ind w:firstLine="0"/>
              <w:jc w:val="center"/>
              <w:rPr>
                <w:rFonts w:ascii="宋体" w:hAnsi="宋体"/>
                <w:sz w:val="24"/>
              </w:rPr>
            </w:pPr>
            <w:r>
              <w:rPr>
                <w:rFonts w:hint="eastAsia" w:ascii="宋体" w:hAnsi="宋体"/>
                <w:sz w:val="24"/>
              </w:rPr>
              <w:t>（二）</w:t>
            </w:r>
          </w:p>
        </w:tc>
        <w:tc>
          <w:tcPr>
            <w:tcW w:w="1419" w:type="dxa"/>
            <w:noWrap w:val="0"/>
            <w:vAlign w:val="center"/>
          </w:tcPr>
          <w:p w14:paraId="038ADE42">
            <w:pPr>
              <w:pStyle w:val="9"/>
              <w:spacing w:line="360" w:lineRule="auto"/>
              <w:ind w:firstLine="0"/>
              <w:jc w:val="center"/>
              <w:rPr>
                <w:rFonts w:ascii="宋体" w:hAnsi="宋体"/>
                <w:sz w:val="24"/>
                <w:lang w:eastAsia="zh-CN"/>
              </w:rPr>
            </w:pPr>
            <w:r>
              <w:rPr>
                <w:rFonts w:hint="eastAsia" w:ascii="宋体" w:hAnsi="宋体"/>
                <w:sz w:val="24"/>
                <w:lang w:eastAsia="zh-CN"/>
              </w:rPr>
              <w:t>公司获得的荣誉及表彰情况</w:t>
            </w:r>
          </w:p>
        </w:tc>
        <w:tc>
          <w:tcPr>
            <w:tcW w:w="7025" w:type="dxa"/>
            <w:gridSpan w:val="8"/>
            <w:noWrap w:val="0"/>
            <w:vAlign w:val="center"/>
          </w:tcPr>
          <w:p w14:paraId="387870CC">
            <w:pPr>
              <w:pStyle w:val="9"/>
              <w:spacing w:line="360" w:lineRule="auto"/>
              <w:ind w:firstLine="0"/>
              <w:jc w:val="center"/>
              <w:rPr>
                <w:rFonts w:ascii="宋体" w:hAnsi="宋体"/>
                <w:sz w:val="24"/>
                <w:lang w:eastAsia="zh-CN"/>
              </w:rPr>
            </w:pPr>
          </w:p>
        </w:tc>
      </w:tr>
      <w:tr w14:paraId="31A313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7" w:hRule="atLeast"/>
        </w:trPr>
        <w:tc>
          <w:tcPr>
            <w:tcW w:w="1185" w:type="dxa"/>
            <w:gridSpan w:val="2"/>
            <w:shd w:val="clear" w:color="auto" w:fill="BFBFBF"/>
            <w:noWrap w:val="0"/>
            <w:vAlign w:val="center"/>
          </w:tcPr>
          <w:p w14:paraId="583DE899">
            <w:pPr>
              <w:pStyle w:val="9"/>
              <w:spacing w:line="360" w:lineRule="auto"/>
              <w:ind w:firstLine="0"/>
              <w:jc w:val="center"/>
              <w:rPr>
                <w:rFonts w:ascii="宋体" w:hAnsi="宋体"/>
                <w:b/>
                <w:sz w:val="24"/>
              </w:rPr>
            </w:pPr>
            <w:r>
              <w:rPr>
                <w:rFonts w:hint="eastAsia" w:ascii="宋体" w:hAnsi="宋体"/>
                <w:b/>
                <w:sz w:val="24"/>
              </w:rPr>
              <w:t>四</w:t>
            </w:r>
          </w:p>
        </w:tc>
        <w:tc>
          <w:tcPr>
            <w:tcW w:w="8444" w:type="dxa"/>
            <w:gridSpan w:val="9"/>
            <w:shd w:val="clear" w:color="auto" w:fill="BFBFBF"/>
            <w:noWrap w:val="0"/>
            <w:vAlign w:val="center"/>
          </w:tcPr>
          <w:p w14:paraId="248866E1">
            <w:pPr>
              <w:pStyle w:val="9"/>
              <w:spacing w:line="360" w:lineRule="auto"/>
              <w:ind w:firstLine="0"/>
              <w:jc w:val="center"/>
              <w:rPr>
                <w:rFonts w:ascii="宋体" w:hAnsi="宋体"/>
                <w:b/>
                <w:sz w:val="24"/>
                <w:lang w:eastAsia="zh-CN"/>
              </w:rPr>
            </w:pPr>
            <w:r>
              <w:rPr>
                <w:rFonts w:hint="eastAsia" w:ascii="宋体" w:hAnsi="宋体"/>
                <w:b/>
                <w:sz w:val="24"/>
                <w:lang w:eastAsia="zh-CN"/>
              </w:rPr>
              <w:t xml:space="preserve">提供本项目服务所必须的专业设备一览表 </w:t>
            </w:r>
          </w:p>
        </w:tc>
      </w:tr>
      <w:tr w14:paraId="35BF77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9" w:hRule="atLeast"/>
        </w:trPr>
        <w:tc>
          <w:tcPr>
            <w:tcW w:w="848" w:type="dxa"/>
            <w:shd w:val="clear" w:color="auto" w:fill="FFFFFF"/>
            <w:noWrap w:val="0"/>
            <w:vAlign w:val="center"/>
          </w:tcPr>
          <w:p w14:paraId="2904ABA0">
            <w:pPr>
              <w:pStyle w:val="9"/>
              <w:spacing w:line="360" w:lineRule="auto"/>
              <w:ind w:firstLine="0"/>
              <w:jc w:val="center"/>
              <w:rPr>
                <w:rFonts w:ascii="宋体" w:hAnsi="宋体"/>
                <w:b/>
                <w:sz w:val="24"/>
              </w:rPr>
            </w:pPr>
            <w:r>
              <w:rPr>
                <w:rFonts w:hint="eastAsia" w:ascii="宋体" w:hAnsi="宋体"/>
                <w:b/>
                <w:sz w:val="24"/>
              </w:rPr>
              <w:t>序号</w:t>
            </w:r>
          </w:p>
        </w:tc>
        <w:tc>
          <w:tcPr>
            <w:tcW w:w="3747" w:type="dxa"/>
            <w:gridSpan w:val="4"/>
            <w:shd w:val="clear" w:color="auto" w:fill="FFFFFF"/>
            <w:noWrap w:val="0"/>
            <w:vAlign w:val="center"/>
          </w:tcPr>
          <w:p w14:paraId="29E73467">
            <w:pPr>
              <w:pStyle w:val="9"/>
              <w:spacing w:line="360" w:lineRule="auto"/>
              <w:ind w:firstLine="0"/>
              <w:jc w:val="center"/>
              <w:rPr>
                <w:rFonts w:ascii="宋体" w:hAnsi="宋体"/>
                <w:b/>
                <w:sz w:val="24"/>
                <w:lang w:eastAsia="zh-CN"/>
              </w:rPr>
            </w:pPr>
            <w:r>
              <w:rPr>
                <w:rFonts w:hint="eastAsia" w:ascii="宋体" w:hAnsi="宋体"/>
                <w:b/>
                <w:sz w:val="24"/>
                <w:lang w:eastAsia="zh-CN"/>
              </w:rPr>
              <w:t>品牌、型号及主要参数配置简述</w:t>
            </w:r>
          </w:p>
        </w:tc>
        <w:tc>
          <w:tcPr>
            <w:tcW w:w="1396" w:type="dxa"/>
            <w:gridSpan w:val="2"/>
            <w:shd w:val="clear" w:color="auto" w:fill="FFFFFF"/>
            <w:noWrap w:val="0"/>
            <w:vAlign w:val="center"/>
          </w:tcPr>
          <w:p w14:paraId="5F09F08C">
            <w:pPr>
              <w:pStyle w:val="9"/>
              <w:spacing w:line="360" w:lineRule="auto"/>
              <w:ind w:firstLine="0"/>
              <w:jc w:val="center"/>
              <w:rPr>
                <w:rFonts w:ascii="宋体" w:hAnsi="宋体"/>
                <w:b/>
                <w:sz w:val="24"/>
              </w:rPr>
            </w:pPr>
            <w:r>
              <w:rPr>
                <w:rFonts w:hint="eastAsia" w:ascii="宋体" w:hAnsi="宋体"/>
                <w:b/>
                <w:sz w:val="24"/>
              </w:rPr>
              <w:t>购置年份</w:t>
            </w:r>
          </w:p>
        </w:tc>
        <w:tc>
          <w:tcPr>
            <w:tcW w:w="936" w:type="dxa"/>
            <w:shd w:val="clear" w:color="auto" w:fill="FFFFFF"/>
            <w:noWrap w:val="0"/>
            <w:vAlign w:val="center"/>
          </w:tcPr>
          <w:p w14:paraId="06DECBCE">
            <w:pPr>
              <w:pStyle w:val="9"/>
              <w:spacing w:line="360" w:lineRule="auto"/>
              <w:ind w:firstLine="0"/>
              <w:jc w:val="center"/>
              <w:rPr>
                <w:rFonts w:ascii="宋体" w:hAnsi="宋体"/>
                <w:b/>
                <w:sz w:val="24"/>
              </w:rPr>
            </w:pPr>
            <w:r>
              <w:rPr>
                <w:rFonts w:hint="eastAsia" w:ascii="宋体" w:hAnsi="宋体"/>
                <w:b/>
                <w:sz w:val="24"/>
              </w:rPr>
              <w:t>价格</w:t>
            </w:r>
          </w:p>
        </w:tc>
        <w:tc>
          <w:tcPr>
            <w:tcW w:w="1271" w:type="dxa"/>
            <w:gridSpan w:val="2"/>
            <w:shd w:val="clear" w:color="auto" w:fill="FFFFFF"/>
            <w:noWrap w:val="0"/>
            <w:vAlign w:val="center"/>
          </w:tcPr>
          <w:p w14:paraId="27440A30">
            <w:pPr>
              <w:pStyle w:val="9"/>
              <w:spacing w:line="360" w:lineRule="auto"/>
              <w:ind w:firstLine="0"/>
              <w:jc w:val="center"/>
              <w:rPr>
                <w:rFonts w:ascii="宋体" w:hAnsi="宋体"/>
                <w:b/>
                <w:sz w:val="24"/>
              </w:rPr>
            </w:pPr>
            <w:r>
              <w:rPr>
                <w:rFonts w:hint="eastAsia" w:ascii="宋体" w:hAnsi="宋体"/>
                <w:b/>
                <w:sz w:val="24"/>
              </w:rPr>
              <w:t>数量</w:t>
            </w:r>
          </w:p>
        </w:tc>
        <w:tc>
          <w:tcPr>
            <w:tcW w:w="1431" w:type="dxa"/>
            <w:shd w:val="clear" w:color="auto" w:fill="FFFFFF"/>
            <w:noWrap w:val="0"/>
            <w:vAlign w:val="center"/>
          </w:tcPr>
          <w:p w14:paraId="44BE5976">
            <w:pPr>
              <w:pStyle w:val="9"/>
              <w:spacing w:line="360" w:lineRule="auto"/>
              <w:ind w:firstLine="0"/>
              <w:jc w:val="center"/>
              <w:rPr>
                <w:rFonts w:ascii="宋体" w:hAnsi="宋体"/>
                <w:b/>
                <w:sz w:val="24"/>
              </w:rPr>
            </w:pPr>
            <w:r>
              <w:rPr>
                <w:rFonts w:hint="eastAsia" w:ascii="宋体" w:hAnsi="宋体"/>
                <w:b/>
                <w:sz w:val="24"/>
              </w:rPr>
              <w:t>用途</w:t>
            </w:r>
          </w:p>
        </w:tc>
      </w:tr>
      <w:tr w14:paraId="798239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3" w:hRule="atLeast"/>
        </w:trPr>
        <w:tc>
          <w:tcPr>
            <w:tcW w:w="848" w:type="dxa"/>
            <w:shd w:val="clear" w:color="auto" w:fill="FFFFFF"/>
            <w:noWrap w:val="0"/>
            <w:vAlign w:val="center"/>
          </w:tcPr>
          <w:p w14:paraId="484C7A1E">
            <w:pPr>
              <w:pStyle w:val="9"/>
              <w:spacing w:line="360" w:lineRule="auto"/>
              <w:ind w:firstLine="0"/>
              <w:jc w:val="center"/>
              <w:rPr>
                <w:rFonts w:ascii="宋体" w:hAnsi="宋体"/>
                <w:b/>
                <w:sz w:val="24"/>
              </w:rPr>
            </w:pPr>
            <w:r>
              <w:rPr>
                <w:rFonts w:hint="eastAsia" w:ascii="宋体" w:hAnsi="宋体"/>
                <w:b/>
                <w:sz w:val="24"/>
              </w:rPr>
              <w:t>1</w:t>
            </w:r>
          </w:p>
        </w:tc>
        <w:tc>
          <w:tcPr>
            <w:tcW w:w="3747" w:type="dxa"/>
            <w:gridSpan w:val="4"/>
            <w:shd w:val="clear" w:color="auto" w:fill="FFFFFF"/>
            <w:noWrap w:val="0"/>
            <w:vAlign w:val="center"/>
          </w:tcPr>
          <w:p w14:paraId="0EE7D5D9">
            <w:pPr>
              <w:pStyle w:val="9"/>
              <w:spacing w:line="360" w:lineRule="auto"/>
              <w:ind w:firstLine="0"/>
              <w:jc w:val="center"/>
              <w:rPr>
                <w:rFonts w:ascii="宋体" w:hAnsi="宋体"/>
                <w:b/>
                <w:sz w:val="24"/>
              </w:rPr>
            </w:pPr>
          </w:p>
        </w:tc>
        <w:tc>
          <w:tcPr>
            <w:tcW w:w="1396" w:type="dxa"/>
            <w:gridSpan w:val="2"/>
            <w:shd w:val="clear" w:color="auto" w:fill="FFFFFF"/>
            <w:noWrap w:val="0"/>
            <w:vAlign w:val="center"/>
          </w:tcPr>
          <w:p w14:paraId="0D5A941F">
            <w:pPr>
              <w:pStyle w:val="9"/>
              <w:spacing w:line="360" w:lineRule="auto"/>
              <w:ind w:firstLine="0"/>
              <w:jc w:val="center"/>
              <w:rPr>
                <w:rFonts w:ascii="宋体" w:hAnsi="宋体"/>
                <w:b/>
                <w:sz w:val="24"/>
              </w:rPr>
            </w:pPr>
          </w:p>
        </w:tc>
        <w:tc>
          <w:tcPr>
            <w:tcW w:w="936" w:type="dxa"/>
            <w:shd w:val="clear" w:color="auto" w:fill="FFFFFF"/>
            <w:noWrap w:val="0"/>
            <w:vAlign w:val="center"/>
          </w:tcPr>
          <w:p w14:paraId="43E75644">
            <w:pPr>
              <w:pStyle w:val="9"/>
              <w:spacing w:line="360" w:lineRule="auto"/>
              <w:ind w:firstLine="0"/>
              <w:jc w:val="center"/>
              <w:rPr>
                <w:rFonts w:ascii="宋体" w:hAnsi="宋体"/>
                <w:b/>
                <w:sz w:val="24"/>
              </w:rPr>
            </w:pPr>
          </w:p>
        </w:tc>
        <w:tc>
          <w:tcPr>
            <w:tcW w:w="1271" w:type="dxa"/>
            <w:gridSpan w:val="2"/>
            <w:shd w:val="clear" w:color="auto" w:fill="FFFFFF"/>
            <w:noWrap w:val="0"/>
            <w:vAlign w:val="center"/>
          </w:tcPr>
          <w:p w14:paraId="62F56661">
            <w:pPr>
              <w:pStyle w:val="9"/>
              <w:spacing w:line="360" w:lineRule="auto"/>
              <w:ind w:firstLine="0"/>
              <w:jc w:val="center"/>
              <w:rPr>
                <w:rFonts w:ascii="宋体" w:hAnsi="宋体"/>
                <w:b/>
                <w:sz w:val="24"/>
              </w:rPr>
            </w:pPr>
          </w:p>
        </w:tc>
        <w:tc>
          <w:tcPr>
            <w:tcW w:w="1431" w:type="dxa"/>
            <w:shd w:val="clear" w:color="auto" w:fill="FFFFFF"/>
            <w:noWrap w:val="0"/>
            <w:vAlign w:val="center"/>
          </w:tcPr>
          <w:p w14:paraId="58867767">
            <w:pPr>
              <w:pStyle w:val="9"/>
              <w:spacing w:line="360" w:lineRule="auto"/>
              <w:ind w:firstLine="0"/>
              <w:jc w:val="center"/>
              <w:rPr>
                <w:rFonts w:ascii="宋体" w:hAnsi="宋体"/>
                <w:b/>
                <w:sz w:val="24"/>
              </w:rPr>
            </w:pPr>
          </w:p>
        </w:tc>
      </w:tr>
      <w:tr w14:paraId="5C8EEC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6" w:hRule="atLeast"/>
        </w:trPr>
        <w:tc>
          <w:tcPr>
            <w:tcW w:w="848" w:type="dxa"/>
            <w:shd w:val="clear" w:color="auto" w:fill="FFFFFF"/>
            <w:noWrap w:val="0"/>
            <w:vAlign w:val="center"/>
          </w:tcPr>
          <w:p w14:paraId="28011BA8">
            <w:pPr>
              <w:pStyle w:val="9"/>
              <w:spacing w:line="360" w:lineRule="auto"/>
              <w:ind w:firstLine="0"/>
              <w:jc w:val="center"/>
              <w:rPr>
                <w:rFonts w:ascii="宋体" w:hAnsi="宋体"/>
                <w:b/>
                <w:sz w:val="24"/>
              </w:rPr>
            </w:pPr>
            <w:r>
              <w:rPr>
                <w:rFonts w:hint="eastAsia" w:ascii="宋体" w:hAnsi="宋体"/>
                <w:b/>
                <w:sz w:val="24"/>
              </w:rPr>
              <w:t>2</w:t>
            </w:r>
          </w:p>
        </w:tc>
        <w:tc>
          <w:tcPr>
            <w:tcW w:w="3747" w:type="dxa"/>
            <w:gridSpan w:val="4"/>
            <w:shd w:val="clear" w:color="auto" w:fill="FFFFFF"/>
            <w:noWrap w:val="0"/>
            <w:vAlign w:val="center"/>
          </w:tcPr>
          <w:p w14:paraId="519EB961">
            <w:pPr>
              <w:pStyle w:val="9"/>
              <w:spacing w:line="360" w:lineRule="auto"/>
              <w:ind w:firstLine="0"/>
              <w:jc w:val="center"/>
              <w:rPr>
                <w:rFonts w:ascii="宋体" w:hAnsi="宋体"/>
                <w:b/>
                <w:sz w:val="24"/>
              </w:rPr>
            </w:pPr>
          </w:p>
        </w:tc>
        <w:tc>
          <w:tcPr>
            <w:tcW w:w="1396" w:type="dxa"/>
            <w:gridSpan w:val="2"/>
            <w:shd w:val="clear" w:color="auto" w:fill="FFFFFF"/>
            <w:noWrap w:val="0"/>
            <w:vAlign w:val="center"/>
          </w:tcPr>
          <w:p w14:paraId="1038DDD4">
            <w:pPr>
              <w:pStyle w:val="9"/>
              <w:spacing w:line="360" w:lineRule="auto"/>
              <w:ind w:firstLine="0"/>
              <w:jc w:val="center"/>
              <w:rPr>
                <w:rFonts w:ascii="宋体" w:hAnsi="宋体"/>
                <w:b/>
                <w:sz w:val="24"/>
              </w:rPr>
            </w:pPr>
          </w:p>
        </w:tc>
        <w:tc>
          <w:tcPr>
            <w:tcW w:w="936" w:type="dxa"/>
            <w:shd w:val="clear" w:color="auto" w:fill="FFFFFF"/>
            <w:noWrap w:val="0"/>
            <w:vAlign w:val="center"/>
          </w:tcPr>
          <w:p w14:paraId="134CD84D">
            <w:pPr>
              <w:pStyle w:val="9"/>
              <w:spacing w:line="360" w:lineRule="auto"/>
              <w:ind w:firstLine="0"/>
              <w:jc w:val="center"/>
              <w:rPr>
                <w:rFonts w:ascii="宋体" w:hAnsi="宋体"/>
                <w:b/>
                <w:sz w:val="24"/>
              </w:rPr>
            </w:pPr>
          </w:p>
        </w:tc>
        <w:tc>
          <w:tcPr>
            <w:tcW w:w="1271" w:type="dxa"/>
            <w:gridSpan w:val="2"/>
            <w:shd w:val="clear" w:color="auto" w:fill="FFFFFF"/>
            <w:noWrap w:val="0"/>
            <w:vAlign w:val="center"/>
          </w:tcPr>
          <w:p w14:paraId="2FAAF93F">
            <w:pPr>
              <w:pStyle w:val="9"/>
              <w:spacing w:line="360" w:lineRule="auto"/>
              <w:ind w:firstLine="0"/>
              <w:jc w:val="center"/>
              <w:rPr>
                <w:rFonts w:ascii="宋体" w:hAnsi="宋体"/>
                <w:b/>
                <w:sz w:val="24"/>
              </w:rPr>
            </w:pPr>
          </w:p>
        </w:tc>
        <w:tc>
          <w:tcPr>
            <w:tcW w:w="1431" w:type="dxa"/>
            <w:shd w:val="clear" w:color="auto" w:fill="FFFFFF"/>
            <w:noWrap w:val="0"/>
            <w:vAlign w:val="center"/>
          </w:tcPr>
          <w:p w14:paraId="7952DF73">
            <w:pPr>
              <w:pStyle w:val="9"/>
              <w:spacing w:line="360" w:lineRule="auto"/>
              <w:ind w:firstLine="0"/>
              <w:jc w:val="center"/>
              <w:rPr>
                <w:rFonts w:ascii="宋体" w:hAnsi="宋体"/>
                <w:b/>
                <w:sz w:val="24"/>
              </w:rPr>
            </w:pPr>
          </w:p>
        </w:tc>
      </w:tr>
      <w:tr w14:paraId="3660BE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0" w:hRule="atLeast"/>
        </w:trPr>
        <w:tc>
          <w:tcPr>
            <w:tcW w:w="848" w:type="dxa"/>
            <w:shd w:val="clear" w:color="auto" w:fill="FFFFFF"/>
            <w:noWrap w:val="0"/>
            <w:vAlign w:val="center"/>
          </w:tcPr>
          <w:p w14:paraId="38AE3DDE">
            <w:pPr>
              <w:pStyle w:val="9"/>
              <w:spacing w:line="360" w:lineRule="auto"/>
              <w:ind w:firstLine="0"/>
              <w:jc w:val="center"/>
              <w:rPr>
                <w:rFonts w:ascii="宋体" w:hAnsi="宋体"/>
                <w:b/>
                <w:sz w:val="24"/>
              </w:rPr>
            </w:pPr>
            <w:r>
              <w:rPr>
                <w:rFonts w:hint="eastAsia" w:ascii="宋体" w:hAnsi="宋体"/>
                <w:b/>
                <w:sz w:val="24"/>
              </w:rPr>
              <w:t>3</w:t>
            </w:r>
          </w:p>
        </w:tc>
        <w:tc>
          <w:tcPr>
            <w:tcW w:w="3747" w:type="dxa"/>
            <w:gridSpan w:val="4"/>
            <w:shd w:val="clear" w:color="auto" w:fill="FFFFFF"/>
            <w:noWrap w:val="0"/>
            <w:vAlign w:val="center"/>
          </w:tcPr>
          <w:p w14:paraId="1FC94520">
            <w:pPr>
              <w:pStyle w:val="9"/>
              <w:spacing w:line="360" w:lineRule="auto"/>
              <w:ind w:firstLine="0"/>
              <w:jc w:val="center"/>
              <w:rPr>
                <w:rFonts w:ascii="宋体" w:hAnsi="宋体"/>
                <w:b/>
                <w:sz w:val="24"/>
              </w:rPr>
            </w:pPr>
          </w:p>
        </w:tc>
        <w:tc>
          <w:tcPr>
            <w:tcW w:w="1396" w:type="dxa"/>
            <w:gridSpan w:val="2"/>
            <w:shd w:val="clear" w:color="auto" w:fill="FFFFFF"/>
            <w:noWrap w:val="0"/>
            <w:vAlign w:val="center"/>
          </w:tcPr>
          <w:p w14:paraId="7BD59774">
            <w:pPr>
              <w:pStyle w:val="9"/>
              <w:spacing w:line="360" w:lineRule="auto"/>
              <w:ind w:firstLine="0"/>
              <w:jc w:val="center"/>
              <w:rPr>
                <w:rFonts w:ascii="宋体" w:hAnsi="宋体"/>
                <w:b/>
                <w:sz w:val="24"/>
              </w:rPr>
            </w:pPr>
          </w:p>
        </w:tc>
        <w:tc>
          <w:tcPr>
            <w:tcW w:w="936" w:type="dxa"/>
            <w:shd w:val="clear" w:color="auto" w:fill="FFFFFF"/>
            <w:noWrap w:val="0"/>
            <w:vAlign w:val="center"/>
          </w:tcPr>
          <w:p w14:paraId="2F7AB43D">
            <w:pPr>
              <w:pStyle w:val="9"/>
              <w:spacing w:line="360" w:lineRule="auto"/>
              <w:ind w:firstLine="0"/>
              <w:jc w:val="center"/>
              <w:rPr>
                <w:rFonts w:ascii="宋体" w:hAnsi="宋体"/>
                <w:b/>
                <w:sz w:val="24"/>
              </w:rPr>
            </w:pPr>
          </w:p>
        </w:tc>
        <w:tc>
          <w:tcPr>
            <w:tcW w:w="1271" w:type="dxa"/>
            <w:gridSpan w:val="2"/>
            <w:shd w:val="clear" w:color="auto" w:fill="FFFFFF"/>
            <w:noWrap w:val="0"/>
            <w:vAlign w:val="center"/>
          </w:tcPr>
          <w:p w14:paraId="41FCBA42">
            <w:pPr>
              <w:pStyle w:val="9"/>
              <w:spacing w:line="360" w:lineRule="auto"/>
              <w:ind w:firstLine="0"/>
              <w:jc w:val="center"/>
              <w:rPr>
                <w:rFonts w:ascii="宋体" w:hAnsi="宋体"/>
                <w:b/>
                <w:sz w:val="24"/>
              </w:rPr>
            </w:pPr>
          </w:p>
        </w:tc>
        <w:tc>
          <w:tcPr>
            <w:tcW w:w="1431" w:type="dxa"/>
            <w:shd w:val="clear" w:color="auto" w:fill="FFFFFF"/>
            <w:noWrap w:val="0"/>
            <w:vAlign w:val="center"/>
          </w:tcPr>
          <w:p w14:paraId="0851B521">
            <w:pPr>
              <w:pStyle w:val="9"/>
              <w:spacing w:line="360" w:lineRule="auto"/>
              <w:ind w:firstLine="0"/>
              <w:jc w:val="center"/>
              <w:rPr>
                <w:rFonts w:ascii="宋体" w:hAnsi="宋体"/>
                <w:b/>
                <w:sz w:val="24"/>
              </w:rPr>
            </w:pPr>
          </w:p>
        </w:tc>
      </w:tr>
      <w:tr w14:paraId="7D1B25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3" w:hRule="atLeast"/>
        </w:trPr>
        <w:tc>
          <w:tcPr>
            <w:tcW w:w="848" w:type="dxa"/>
            <w:tcBorders>
              <w:bottom w:val="single" w:color="000000" w:sz="4" w:space="0"/>
            </w:tcBorders>
            <w:shd w:val="clear" w:color="auto" w:fill="FFFFFF"/>
            <w:noWrap w:val="0"/>
            <w:vAlign w:val="center"/>
          </w:tcPr>
          <w:p w14:paraId="41C64E36">
            <w:pPr>
              <w:pStyle w:val="9"/>
              <w:spacing w:line="360" w:lineRule="auto"/>
              <w:ind w:firstLine="0"/>
              <w:jc w:val="center"/>
              <w:rPr>
                <w:rFonts w:ascii="宋体" w:hAnsi="宋体"/>
                <w:b/>
                <w:sz w:val="24"/>
              </w:rPr>
            </w:pPr>
            <w:r>
              <w:rPr>
                <w:rFonts w:ascii="宋体" w:hAnsi="宋体"/>
                <w:b/>
                <w:sz w:val="24"/>
              </w:rPr>
              <w:t>…</w:t>
            </w:r>
          </w:p>
        </w:tc>
        <w:tc>
          <w:tcPr>
            <w:tcW w:w="3747" w:type="dxa"/>
            <w:gridSpan w:val="4"/>
            <w:tcBorders>
              <w:bottom w:val="single" w:color="000000" w:sz="4" w:space="0"/>
            </w:tcBorders>
            <w:shd w:val="clear" w:color="auto" w:fill="FFFFFF"/>
            <w:noWrap w:val="0"/>
            <w:vAlign w:val="center"/>
          </w:tcPr>
          <w:p w14:paraId="16ED3599">
            <w:pPr>
              <w:pStyle w:val="9"/>
              <w:spacing w:line="360" w:lineRule="auto"/>
              <w:ind w:firstLine="0"/>
              <w:jc w:val="center"/>
              <w:rPr>
                <w:rFonts w:ascii="宋体" w:hAnsi="宋体"/>
                <w:b/>
                <w:sz w:val="24"/>
              </w:rPr>
            </w:pPr>
          </w:p>
        </w:tc>
        <w:tc>
          <w:tcPr>
            <w:tcW w:w="1396" w:type="dxa"/>
            <w:gridSpan w:val="2"/>
            <w:tcBorders>
              <w:bottom w:val="single" w:color="000000" w:sz="4" w:space="0"/>
            </w:tcBorders>
            <w:shd w:val="clear" w:color="auto" w:fill="FFFFFF"/>
            <w:noWrap w:val="0"/>
            <w:vAlign w:val="center"/>
          </w:tcPr>
          <w:p w14:paraId="19574000">
            <w:pPr>
              <w:pStyle w:val="9"/>
              <w:spacing w:line="360" w:lineRule="auto"/>
              <w:ind w:firstLine="0"/>
              <w:jc w:val="center"/>
              <w:rPr>
                <w:rFonts w:ascii="宋体" w:hAnsi="宋体"/>
                <w:b/>
                <w:sz w:val="24"/>
              </w:rPr>
            </w:pPr>
          </w:p>
        </w:tc>
        <w:tc>
          <w:tcPr>
            <w:tcW w:w="936" w:type="dxa"/>
            <w:tcBorders>
              <w:bottom w:val="single" w:color="000000" w:sz="4" w:space="0"/>
            </w:tcBorders>
            <w:shd w:val="clear" w:color="auto" w:fill="FFFFFF"/>
            <w:noWrap w:val="0"/>
            <w:vAlign w:val="center"/>
          </w:tcPr>
          <w:p w14:paraId="79AA9EE1">
            <w:pPr>
              <w:pStyle w:val="9"/>
              <w:spacing w:line="360" w:lineRule="auto"/>
              <w:ind w:firstLine="0"/>
              <w:jc w:val="center"/>
              <w:rPr>
                <w:rFonts w:ascii="宋体" w:hAnsi="宋体"/>
                <w:b/>
                <w:sz w:val="24"/>
              </w:rPr>
            </w:pPr>
          </w:p>
        </w:tc>
        <w:tc>
          <w:tcPr>
            <w:tcW w:w="1271" w:type="dxa"/>
            <w:gridSpan w:val="2"/>
            <w:tcBorders>
              <w:bottom w:val="single" w:color="000000" w:sz="4" w:space="0"/>
            </w:tcBorders>
            <w:shd w:val="clear" w:color="auto" w:fill="FFFFFF"/>
            <w:noWrap w:val="0"/>
            <w:vAlign w:val="center"/>
          </w:tcPr>
          <w:p w14:paraId="6EC823BB">
            <w:pPr>
              <w:pStyle w:val="9"/>
              <w:spacing w:line="360" w:lineRule="auto"/>
              <w:ind w:firstLine="0"/>
              <w:jc w:val="center"/>
              <w:rPr>
                <w:rFonts w:ascii="宋体" w:hAnsi="宋体"/>
                <w:b/>
                <w:sz w:val="24"/>
              </w:rPr>
            </w:pPr>
          </w:p>
        </w:tc>
        <w:tc>
          <w:tcPr>
            <w:tcW w:w="1431" w:type="dxa"/>
            <w:tcBorders>
              <w:bottom w:val="single" w:color="000000" w:sz="4" w:space="0"/>
            </w:tcBorders>
            <w:shd w:val="clear" w:color="auto" w:fill="FFFFFF"/>
            <w:noWrap w:val="0"/>
            <w:vAlign w:val="center"/>
          </w:tcPr>
          <w:p w14:paraId="5FFD5B75">
            <w:pPr>
              <w:pStyle w:val="9"/>
              <w:spacing w:line="360" w:lineRule="auto"/>
              <w:ind w:firstLine="0"/>
              <w:jc w:val="center"/>
              <w:rPr>
                <w:rFonts w:ascii="宋体" w:hAnsi="宋体"/>
                <w:b/>
                <w:sz w:val="24"/>
              </w:rPr>
            </w:pPr>
          </w:p>
        </w:tc>
      </w:tr>
      <w:tr w14:paraId="441E34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5" w:hRule="atLeast"/>
        </w:trPr>
        <w:tc>
          <w:tcPr>
            <w:tcW w:w="1185" w:type="dxa"/>
            <w:gridSpan w:val="2"/>
            <w:shd w:val="clear" w:color="auto" w:fill="BFBFBF"/>
            <w:noWrap w:val="0"/>
            <w:vAlign w:val="center"/>
          </w:tcPr>
          <w:p w14:paraId="5406FA76">
            <w:pPr>
              <w:pStyle w:val="9"/>
              <w:spacing w:line="360" w:lineRule="auto"/>
              <w:ind w:firstLine="0"/>
              <w:jc w:val="center"/>
              <w:rPr>
                <w:rFonts w:ascii="宋体" w:hAnsi="宋体"/>
                <w:b/>
                <w:sz w:val="24"/>
              </w:rPr>
            </w:pPr>
            <w:r>
              <w:rPr>
                <w:rFonts w:hint="eastAsia" w:ascii="宋体" w:hAnsi="宋体"/>
                <w:b/>
                <w:sz w:val="24"/>
              </w:rPr>
              <w:t>五</w:t>
            </w:r>
          </w:p>
        </w:tc>
        <w:tc>
          <w:tcPr>
            <w:tcW w:w="8444" w:type="dxa"/>
            <w:gridSpan w:val="9"/>
            <w:shd w:val="clear" w:color="auto" w:fill="BFBFBF"/>
            <w:noWrap w:val="0"/>
            <w:vAlign w:val="center"/>
          </w:tcPr>
          <w:p w14:paraId="7DE11570">
            <w:pPr>
              <w:pStyle w:val="9"/>
              <w:spacing w:line="360" w:lineRule="auto"/>
              <w:ind w:firstLine="0"/>
              <w:jc w:val="center"/>
              <w:rPr>
                <w:rFonts w:ascii="宋体" w:hAnsi="宋体"/>
                <w:b/>
                <w:sz w:val="24"/>
                <w:lang w:eastAsia="zh-CN"/>
              </w:rPr>
            </w:pPr>
            <w:r>
              <w:rPr>
                <w:rFonts w:hint="eastAsia" w:ascii="宋体" w:hAnsi="宋体"/>
                <w:b/>
                <w:sz w:val="24"/>
                <w:lang w:eastAsia="zh-CN"/>
              </w:rPr>
              <w:t>提供本项目服务所必须的专业技术能力</w:t>
            </w:r>
          </w:p>
        </w:tc>
      </w:tr>
      <w:tr w14:paraId="645E3B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30" w:hRule="atLeast"/>
        </w:trPr>
        <w:tc>
          <w:tcPr>
            <w:tcW w:w="9629" w:type="dxa"/>
            <w:gridSpan w:val="11"/>
            <w:shd w:val="clear" w:color="auto" w:fill="FFFFFF"/>
            <w:noWrap w:val="0"/>
            <w:vAlign w:val="center"/>
          </w:tcPr>
          <w:p w14:paraId="05389966">
            <w:pPr>
              <w:pStyle w:val="9"/>
              <w:spacing w:line="360" w:lineRule="auto"/>
              <w:ind w:firstLine="0"/>
              <w:jc w:val="center"/>
              <w:rPr>
                <w:rFonts w:ascii="宋体" w:hAnsi="宋体"/>
                <w:b/>
                <w:sz w:val="24"/>
                <w:lang w:eastAsia="zh-CN"/>
              </w:rPr>
            </w:pPr>
          </w:p>
        </w:tc>
      </w:tr>
    </w:tbl>
    <w:p w14:paraId="0C95A22C">
      <w:pPr>
        <w:widowControl/>
        <w:spacing w:line="360" w:lineRule="auto"/>
        <w:jc w:val="left"/>
        <w:rPr>
          <w:rFonts w:ascii="宋体" w:hAnsi="宋体"/>
          <w:b/>
          <w:sz w:val="32"/>
          <w:szCs w:val="20"/>
        </w:rPr>
      </w:pPr>
    </w:p>
    <w:p w14:paraId="7D8AEDA8">
      <w:pPr>
        <w:widowControl/>
        <w:spacing w:line="360" w:lineRule="auto"/>
        <w:jc w:val="center"/>
        <w:rPr>
          <w:rFonts w:ascii="宋体" w:hAnsi="宋体"/>
          <w:sz w:val="32"/>
        </w:rPr>
      </w:pPr>
      <w:r>
        <w:rPr>
          <w:rFonts w:ascii="宋体" w:hAnsi="宋体"/>
          <w:b/>
          <w:sz w:val="32"/>
          <w:szCs w:val="20"/>
        </w:rPr>
        <w:br w:type="page" w:clear="all"/>
      </w:r>
      <w:r>
        <w:rPr>
          <w:rFonts w:hint="eastAsia" w:ascii="宋体" w:hAnsi="宋体"/>
          <w:sz w:val="32"/>
        </w:rPr>
        <w:t>（五）依法缴纳税收和社会保障资金的良好记录</w:t>
      </w:r>
    </w:p>
    <w:p w14:paraId="2C65BBEC">
      <w:pPr>
        <w:pStyle w:val="4"/>
        <w:spacing w:line="360" w:lineRule="auto"/>
        <w:ind w:firstLine="560"/>
        <w:jc w:val="both"/>
        <w:rPr>
          <w:rFonts w:ascii="宋体" w:hAnsi="宋体" w:eastAsia="宋体"/>
          <w:b w:val="0"/>
          <w:bCs/>
          <w:sz w:val="28"/>
          <w:szCs w:val="28"/>
        </w:rPr>
      </w:pPr>
      <w:r>
        <w:rPr>
          <w:rFonts w:hint="eastAsia" w:ascii="宋体" w:hAnsi="宋体" w:eastAsia="宋体"/>
          <w:b w:val="0"/>
          <w:bCs/>
          <w:sz w:val="28"/>
          <w:szCs w:val="28"/>
        </w:rPr>
        <w:t>提供参加本次政府采购活动前半年内至少一个月依法缴纳税收和社会保险的凭据，或提供资格承诺函</w:t>
      </w:r>
      <w:r>
        <w:rPr>
          <w:rFonts w:hint="eastAsia" w:ascii="宋体" w:hAnsi="宋体" w:eastAsia="宋体"/>
          <w:sz w:val="28"/>
          <w:szCs w:val="28"/>
        </w:rPr>
        <w:t>（见本部分（六）资格承诺函）</w:t>
      </w:r>
      <w:r>
        <w:rPr>
          <w:rFonts w:hint="eastAsia" w:ascii="宋体" w:hAnsi="宋体" w:eastAsia="宋体"/>
          <w:b w:val="0"/>
          <w:bCs/>
          <w:sz w:val="28"/>
          <w:szCs w:val="28"/>
        </w:rPr>
        <w:t>。</w:t>
      </w:r>
    </w:p>
    <w:p w14:paraId="0702172B">
      <w:pPr>
        <w:jc w:val="center"/>
        <w:rPr>
          <w:rFonts w:hint="eastAsia" w:ascii="宋体" w:hAnsi="宋体" w:eastAsia="宋体" w:cs="Times New Roman"/>
          <w:b/>
          <w:sz w:val="30"/>
          <w:szCs w:val="30"/>
        </w:rPr>
      </w:pPr>
    </w:p>
    <w:p w14:paraId="167DC214">
      <w:pPr>
        <w:jc w:val="center"/>
        <w:rPr>
          <w:rFonts w:hint="eastAsia" w:ascii="宋体" w:hAnsi="宋体" w:eastAsia="宋体" w:cs="Times New Roman"/>
          <w:b/>
          <w:sz w:val="30"/>
          <w:szCs w:val="30"/>
        </w:rPr>
      </w:pPr>
    </w:p>
    <w:p w14:paraId="6A80EB6D">
      <w:pPr>
        <w:jc w:val="center"/>
        <w:rPr>
          <w:rFonts w:hint="eastAsia" w:ascii="宋体" w:hAnsi="宋体" w:eastAsia="宋体" w:cs="Times New Roman"/>
          <w:b/>
          <w:sz w:val="30"/>
          <w:szCs w:val="30"/>
        </w:rPr>
      </w:pPr>
    </w:p>
    <w:p w14:paraId="0C685CB1">
      <w:pPr>
        <w:jc w:val="center"/>
        <w:rPr>
          <w:rFonts w:hint="eastAsia" w:ascii="宋体" w:hAnsi="宋体" w:eastAsia="宋体" w:cs="Times New Roman"/>
          <w:b/>
          <w:sz w:val="30"/>
          <w:szCs w:val="30"/>
        </w:rPr>
      </w:pPr>
      <w:r>
        <w:rPr>
          <w:rFonts w:hint="eastAsia" w:ascii="宋体" w:hAnsi="宋体" w:eastAsia="宋体" w:cs="Times New Roman"/>
          <w:b/>
          <w:sz w:val="30"/>
          <w:szCs w:val="30"/>
        </w:rPr>
        <w:t>(六) 参加政府采购活动前三年内，在经营活动中没有重大违法记录</w:t>
      </w:r>
    </w:p>
    <w:p w14:paraId="574FE20D">
      <w:pPr>
        <w:spacing w:line="360" w:lineRule="auto"/>
        <w:rPr>
          <w:rFonts w:hint="eastAsia" w:ascii="宋体" w:hAnsi="宋体"/>
          <w:b/>
          <w:sz w:val="28"/>
          <w:szCs w:val="28"/>
        </w:rPr>
      </w:pPr>
    </w:p>
    <w:p w14:paraId="72B8A11C">
      <w:pPr>
        <w:spacing w:line="360" w:lineRule="auto"/>
        <w:rPr>
          <w:rFonts w:ascii="宋体" w:hAnsi="宋体"/>
          <w:b/>
          <w:sz w:val="24"/>
        </w:rPr>
      </w:pPr>
      <w:r>
        <w:rPr>
          <w:rFonts w:hint="eastAsia" w:ascii="宋体" w:hAnsi="宋体"/>
          <w:b/>
          <w:sz w:val="24"/>
        </w:rPr>
        <w:t xml:space="preserve">  </w:t>
      </w:r>
      <w:r>
        <w:rPr>
          <w:rFonts w:hint="eastAsia" w:ascii="宋体" w:hAnsi="宋体"/>
          <w:b/>
          <w:sz w:val="24"/>
          <w:lang w:val="en-US" w:eastAsia="zh-CN"/>
        </w:rPr>
        <w:t xml:space="preserve">  </w:t>
      </w:r>
      <w:r>
        <w:rPr>
          <w:rFonts w:hint="eastAsia" w:ascii="宋体" w:hAnsi="宋体"/>
          <w:b/>
          <w:sz w:val="24"/>
        </w:rPr>
        <w:t>（1）投标函或资格承诺函。</w:t>
      </w:r>
    </w:p>
    <w:p w14:paraId="7C11A71E">
      <w:pPr>
        <w:pStyle w:val="4"/>
        <w:spacing w:line="360" w:lineRule="auto"/>
        <w:ind w:firstLine="560"/>
        <w:jc w:val="center"/>
        <w:rPr>
          <w:rFonts w:ascii="宋体" w:hAnsi="宋体" w:eastAsia="宋体"/>
          <w:sz w:val="32"/>
        </w:rPr>
      </w:pPr>
      <w:r>
        <w:rPr>
          <w:rFonts w:hint="eastAsia" w:ascii="宋体" w:hAnsi="宋体" w:eastAsia="宋体"/>
          <w:sz w:val="24"/>
          <w:szCs w:val="24"/>
        </w:rPr>
        <w:t>（2）“信用中国”网站（www.creditchina.gov.cn）、中国政府采购网（www.ccgp.gov.cn）、“信用江苏”网站（http://http://credit.jiangsu.gov.cn/）的查询结果未列入失信被执行人名单、重大税收违法案件当事人名单、政府采购严重违法失信行为名单，以现场查询为准。</w:t>
      </w:r>
      <w:r>
        <w:rPr>
          <w:rFonts w:hint="eastAsia" w:ascii="宋体" w:hAnsi="宋体" w:eastAsia="宋体"/>
          <w:b w:val="0"/>
          <w:bCs/>
          <w:sz w:val="28"/>
          <w:szCs w:val="28"/>
        </w:rPr>
        <w:br w:type="page" w:clear="all"/>
      </w:r>
      <w:r>
        <w:rPr>
          <w:rFonts w:hint="eastAsia" w:ascii="宋体" w:hAnsi="宋体" w:eastAsia="宋体"/>
          <w:sz w:val="32"/>
        </w:rPr>
        <w:t>（</w:t>
      </w:r>
      <w:r>
        <w:rPr>
          <w:rFonts w:hint="eastAsia" w:ascii="宋体" w:hAnsi="宋体" w:eastAsia="宋体"/>
          <w:sz w:val="32"/>
          <w:lang w:val="en-US" w:eastAsia="zh-CN"/>
        </w:rPr>
        <w:t>七</w:t>
      </w:r>
      <w:r>
        <w:rPr>
          <w:rFonts w:hint="eastAsia" w:ascii="宋体" w:hAnsi="宋体" w:eastAsia="宋体"/>
          <w:sz w:val="32"/>
        </w:rPr>
        <w:t>）资格承诺函</w:t>
      </w:r>
    </w:p>
    <w:p w14:paraId="517210BF">
      <w:pPr>
        <w:pStyle w:val="4"/>
        <w:spacing w:line="360" w:lineRule="auto"/>
        <w:jc w:val="both"/>
        <w:rPr>
          <w:rFonts w:ascii="宋体" w:hAnsi="宋体" w:eastAsia="宋体"/>
          <w:b w:val="0"/>
          <w:bCs/>
          <w:sz w:val="28"/>
          <w:szCs w:val="28"/>
        </w:rPr>
      </w:pPr>
      <w:r>
        <w:rPr>
          <w:rFonts w:hint="eastAsia" w:ascii="宋体" w:hAnsi="宋体" w:eastAsia="宋体"/>
          <w:b w:val="0"/>
          <w:bCs/>
          <w:sz w:val="28"/>
          <w:szCs w:val="28"/>
        </w:rPr>
        <w:t>致：</w:t>
      </w:r>
      <w:r>
        <w:rPr>
          <w:rFonts w:hint="eastAsia" w:ascii="宋体" w:hAnsi="宋体" w:eastAsia="宋体" w:cs="宋体"/>
          <w:b w:val="0"/>
          <w:bCs/>
          <w:sz w:val="28"/>
          <w:szCs w:val="28"/>
          <w:u w:val="single"/>
        </w:rPr>
        <w:t>    </w:t>
      </w:r>
      <w:r>
        <w:rPr>
          <w:rFonts w:hint="eastAsia" w:ascii="宋体" w:hAnsi="宋体" w:eastAsia="宋体"/>
          <w:b w:val="0"/>
          <w:bCs/>
          <w:sz w:val="28"/>
          <w:szCs w:val="28"/>
          <w:u w:val="single"/>
        </w:rPr>
        <w:t>（采购人、采购代理机构）</w:t>
      </w:r>
      <w:r>
        <w:rPr>
          <w:rFonts w:hint="eastAsia" w:ascii="宋体" w:hAnsi="宋体" w:eastAsia="宋体" w:cs="宋体"/>
          <w:b w:val="0"/>
          <w:bCs/>
          <w:sz w:val="28"/>
          <w:szCs w:val="28"/>
          <w:u w:val="single"/>
        </w:rPr>
        <w:t>  </w:t>
      </w:r>
      <w:r>
        <w:rPr>
          <w:rFonts w:hint="eastAsia" w:ascii="宋体" w:hAnsi="宋体" w:eastAsia="宋体" w:cs="宋体"/>
          <w:b w:val="0"/>
          <w:bCs/>
          <w:sz w:val="28"/>
          <w:szCs w:val="28"/>
        </w:rPr>
        <w:t> </w:t>
      </w:r>
    </w:p>
    <w:p w14:paraId="7BD3FCDB">
      <w:pPr>
        <w:pStyle w:val="4"/>
        <w:spacing w:line="360" w:lineRule="auto"/>
        <w:ind w:firstLine="560"/>
        <w:jc w:val="both"/>
        <w:rPr>
          <w:rFonts w:ascii="宋体" w:hAnsi="宋体" w:eastAsia="宋体"/>
          <w:b w:val="0"/>
          <w:bCs/>
          <w:sz w:val="28"/>
          <w:szCs w:val="28"/>
        </w:rPr>
      </w:pPr>
      <w:r>
        <w:rPr>
          <w:rFonts w:hint="eastAsia" w:ascii="宋体" w:hAnsi="宋体" w:eastAsia="宋体"/>
          <w:b w:val="0"/>
          <w:bCs/>
          <w:sz w:val="28"/>
          <w:szCs w:val="28"/>
        </w:rPr>
        <w:t>我单位参与</w:t>
      </w:r>
      <w:r>
        <w:rPr>
          <w:rFonts w:hint="eastAsia" w:ascii="宋体" w:hAnsi="宋体" w:eastAsia="宋体" w:cs="宋体"/>
          <w:b w:val="0"/>
          <w:bCs/>
          <w:sz w:val="28"/>
          <w:szCs w:val="28"/>
          <w:u w:val="single"/>
        </w:rPr>
        <w:t>  </w:t>
      </w:r>
      <w:r>
        <w:rPr>
          <w:rFonts w:hint="eastAsia" w:ascii="宋体" w:hAnsi="宋体" w:eastAsia="宋体"/>
          <w:b w:val="0"/>
          <w:bCs/>
          <w:sz w:val="28"/>
          <w:szCs w:val="28"/>
          <w:u w:val="single"/>
        </w:rPr>
        <w:t>（项目名称）</w:t>
      </w:r>
      <w:r>
        <w:rPr>
          <w:rFonts w:hint="eastAsia" w:ascii="宋体" w:hAnsi="宋体" w:eastAsia="宋体" w:cs="宋体"/>
          <w:b w:val="0"/>
          <w:bCs/>
          <w:sz w:val="28"/>
          <w:szCs w:val="28"/>
          <w:u w:val="single"/>
        </w:rPr>
        <w:t>  </w:t>
      </w:r>
      <w:r>
        <w:rPr>
          <w:rFonts w:hint="eastAsia" w:ascii="宋体" w:hAnsi="宋体" w:eastAsia="宋体"/>
          <w:b w:val="0"/>
          <w:bCs/>
          <w:sz w:val="28"/>
          <w:szCs w:val="28"/>
          <w:u w:val="single"/>
        </w:rPr>
        <w:t>（项目编号：</w:t>
      </w:r>
      <w:r>
        <w:rPr>
          <w:rFonts w:hint="eastAsia" w:ascii="宋体" w:hAnsi="宋体" w:eastAsia="宋体" w:cs="宋体"/>
          <w:b w:val="0"/>
          <w:bCs/>
          <w:sz w:val="28"/>
          <w:szCs w:val="28"/>
          <w:u w:val="single"/>
        </w:rPr>
        <w:t>    </w:t>
      </w:r>
      <w:r>
        <w:rPr>
          <w:rFonts w:hint="eastAsia" w:ascii="宋体" w:hAnsi="宋体" w:eastAsia="宋体"/>
          <w:b w:val="0"/>
          <w:bCs/>
          <w:sz w:val="28"/>
          <w:szCs w:val="28"/>
          <w:u w:val="single"/>
        </w:rPr>
        <w:t>）</w:t>
      </w:r>
      <w:r>
        <w:rPr>
          <w:rFonts w:hint="eastAsia" w:ascii="宋体" w:hAnsi="宋体" w:eastAsia="宋体"/>
          <w:b w:val="0"/>
          <w:bCs/>
          <w:sz w:val="28"/>
          <w:szCs w:val="28"/>
        </w:rPr>
        <w:t>项目的政府采购活动，现承诺如下：</w:t>
      </w:r>
    </w:p>
    <w:p w14:paraId="603BAA39">
      <w:pPr>
        <w:pStyle w:val="4"/>
        <w:spacing w:line="360" w:lineRule="auto"/>
        <w:ind w:firstLine="560"/>
        <w:jc w:val="both"/>
        <w:rPr>
          <w:rFonts w:ascii="宋体" w:hAnsi="宋体" w:eastAsia="宋体"/>
          <w:b w:val="0"/>
          <w:bCs/>
          <w:sz w:val="28"/>
          <w:szCs w:val="28"/>
        </w:rPr>
      </w:pPr>
      <w:r>
        <w:rPr>
          <w:rFonts w:hint="eastAsia" w:ascii="宋体" w:hAnsi="宋体" w:eastAsia="宋体"/>
          <w:b w:val="0"/>
          <w:bCs/>
          <w:sz w:val="28"/>
          <w:szCs w:val="28"/>
        </w:rPr>
        <w:t>1.我方具有良好的商业信誉和健全的财务会计制度。</w:t>
      </w:r>
    </w:p>
    <w:p w14:paraId="790B10AD">
      <w:pPr>
        <w:pStyle w:val="4"/>
        <w:spacing w:line="360" w:lineRule="auto"/>
        <w:ind w:firstLine="560"/>
        <w:jc w:val="both"/>
        <w:rPr>
          <w:rFonts w:ascii="宋体" w:hAnsi="宋体" w:eastAsia="宋体"/>
          <w:b w:val="0"/>
          <w:bCs/>
          <w:sz w:val="28"/>
          <w:szCs w:val="28"/>
        </w:rPr>
      </w:pPr>
      <w:r>
        <w:rPr>
          <w:rFonts w:hint="eastAsia" w:ascii="宋体" w:hAnsi="宋体" w:eastAsia="宋体"/>
          <w:b w:val="0"/>
          <w:bCs/>
          <w:sz w:val="28"/>
          <w:szCs w:val="28"/>
        </w:rPr>
        <w:t>2.我方具有履行合同所必需的设备和专业技术能力。</w:t>
      </w:r>
    </w:p>
    <w:p w14:paraId="6C8A69A1">
      <w:pPr>
        <w:pStyle w:val="4"/>
        <w:spacing w:line="360" w:lineRule="auto"/>
        <w:ind w:firstLine="560"/>
        <w:jc w:val="both"/>
        <w:rPr>
          <w:rFonts w:ascii="宋体" w:hAnsi="宋体" w:eastAsia="宋体"/>
          <w:b w:val="0"/>
          <w:bCs/>
          <w:sz w:val="28"/>
          <w:szCs w:val="28"/>
        </w:rPr>
      </w:pPr>
      <w:r>
        <w:rPr>
          <w:rFonts w:hint="eastAsia" w:ascii="宋体" w:hAnsi="宋体" w:eastAsia="宋体"/>
          <w:b w:val="0"/>
          <w:bCs/>
          <w:sz w:val="28"/>
          <w:szCs w:val="28"/>
        </w:rPr>
        <w:t>3.我方具有依法缴纳税收和社会保障资金的良好记录。</w:t>
      </w:r>
    </w:p>
    <w:p w14:paraId="007EFA20">
      <w:pPr>
        <w:pStyle w:val="4"/>
        <w:spacing w:line="360" w:lineRule="auto"/>
        <w:ind w:firstLine="560"/>
        <w:jc w:val="both"/>
        <w:rPr>
          <w:rFonts w:ascii="宋体" w:hAnsi="宋体" w:eastAsia="宋体"/>
          <w:b w:val="0"/>
          <w:bCs/>
          <w:sz w:val="28"/>
          <w:szCs w:val="28"/>
        </w:rPr>
      </w:pPr>
      <w:r>
        <w:rPr>
          <w:rFonts w:hint="eastAsia" w:ascii="宋体" w:hAnsi="宋体" w:eastAsia="宋体"/>
          <w:b w:val="0"/>
          <w:bCs/>
          <w:sz w:val="28"/>
          <w:szCs w:val="28"/>
        </w:rPr>
        <w:t>4.我方参加本项目采购活动前三年内，在经营活动中没有重大违法记录。</w:t>
      </w:r>
    </w:p>
    <w:p w14:paraId="2AE66874">
      <w:pPr>
        <w:pStyle w:val="4"/>
        <w:spacing w:line="360" w:lineRule="auto"/>
        <w:ind w:firstLine="560"/>
        <w:jc w:val="both"/>
        <w:rPr>
          <w:rFonts w:ascii="宋体" w:hAnsi="宋体" w:eastAsia="宋体"/>
          <w:b w:val="0"/>
          <w:bCs/>
          <w:sz w:val="28"/>
          <w:szCs w:val="28"/>
        </w:rPr>
      </w:pPr>
      <w:r>
        <w:rPr>
          <w:rFonts w:hint="eastAsia" w:ascii="宋体" w:hAnsi="宋体" w:eastAsia="宋体"/>
          <w:b w:val="0"/>
          <w:bCs/>
          <w:sz w:val="28"/>
          <w:szCs w:val="28"/>
        </w:rPr>
        <w:t>若我单位承诺不实，自愿承担提供虚假材料谋取中标、成交的法律责任。</w:t>
      </w:r>
    </w:p>
    <w:p w14:paraId="69D40E35">
      <w:pPr>
        <w:pStyle w:val="4"/>
        <w:spacing w:line="360" w:lineRule="auto"/>
        <w:ind w:firstLine="560"/>
        <w:jc w:val="both"/>
        <w:rPr>
          <w:rFonts w:ascii="宋体" w:hAnsi="宋体" w:eastAsia="宋体"/>
          <w:b w:val="0"/>
          <w:bCs/>
          <w:sz w:val="28"/>
          <w:szCs w:val="28"/>
        </w:rPr>
      </w:pPr>
      <w:r>
        <w:rPr>
          <w:rFonts w:hint="eastAsia" w:ascii="宋体" w:hAnsi="宋体" w:eastAsia="宋体"/>
          <w:b w:val="0"/>
          <w:bCs/>
          <w:sz w:val="28"/>
          <w:szCs w:val="28"/>
        </w:rPr>
        <w:t>投标（响应）供应商（全称并盖章）：</w:t>
      </w:r>
      <w:r>
        <w:rPr>
          <w:rFonts w:hint="eastAsia" w:ascii="宋体" w:hAnsi="宋体" w:eastAsia="宋体" w:cs="宋体"/>
          <w:b w:val="0"/>
          <w:bCs/>
          <w:sz w:val="28"/>
          <w:szCs w:val="28"/>
        </w:rPr>
        <w:t>         </w:t>
      </w:r>
    </w:p>
    <w:p w14:paraId="2764AB56">
      <w:pPr>
        <w:pStyle w:val="4"/>
        <w:spacing w:line="360" w:lineRule="auto"/>
        <w:ind w:firstLine="560"/>
        <w:jc w:val="both"/>
        <w:rPr>
          <w:rFonts w:ascii="宋体" w:hAnsi="宋体" w:eastAsia="宋体"/>
          <w:b w:val="0"/>
          <w:bCs/>
          <w:sz w:val="28"/>
          <w:szCs w:val="28"/>
        </w:rPr>
      </w:pPr>
      <w:r>
        <w:rPr>
          <w:rFonts w:hint="eastAsia" w:ascii="宋体" w:hAnsi="宋体" w:eastAsia="宋体"/>
          <w:b w:val="0"/>
          <w:bCs/>
          <w:sz w:val="28"/>
          <w:szCs w:val="28"/>
        </w:rPr>
        <w:t>供应商法定代表人或授权代表（签字或签章）：</w:t>
      </w:r>
      <w:r>
        <w:rPr>
          <w:rFonts w:hint="eastAsia" w:ascii="宋体" w:hAnsi="宋体" w:eastAsia="宋体" w:cs="宋体"/>
          <w:b w:val="0"/>
          <w:bCs/>
          <w:sz w:val="28"/>
          <w:szCs w:val="28"/>
        </w:rPr>
        <w:t>    </w:t>
      </w:r>
    </w:p>
    <w:p w14:paraId="508C73D4">
      <w:pPr>
        <w:pStyle w:val="4"/>
        <w:tabs>
          <w:tab w:val="left" w:pos="6930"/>
        </w:tabs>
        <w:spacing w:line="360" w:lineRule="auto"/>
        <w:ind w:firstLine="560"/>
        <w:jc w:val="both"/>
        <w:rPr>
          <w:rFonts w:ascii="宋体" w:hAnsi="宋体" w:eastAsia="宋体"/>
          <w:b w:val="0"/>
          <w:bCs/>
          <w:sz w:val="28"/>
          <w:szCs w:val="28"/>
        </w:rPr>
      </w:pPr>
      <w:r>
        <w:rPr>
          <w:rFonts w:hint="eastAsia" w:ascii="宋体" w:hAnsi="宋体" w:eastAsia="宋体"/>
          <w:b w:val="0"/>
          <w:bCs/>
          <w:sz w:val="28"/>
          <w:szCs w:val="28"/>
        </w:rPr>
        <w:t>日期：</w:t>
      </w:r>
      <w:r>
        <w:rPr>
          <w:rFonts w:hint="eastAsia" w:ascii="宋体" w:hAnsi="宋体" w:eastAsia="宋体" w:cs="宋体"/>
          <w:b w:val="0"/>
          <w:bCs/>
          <w:sz w:val="28"/>
          <w:szCs w:val="28"/>
        </w:rPr>
        <w:t>     </w:t>
      </w:r>
      <w:r>
        <w:rPr>
          <w:rFonts w:ascii="宋体" w:hAnsi="宋体" w:eastAsia="宋体" w:cs="宋体"/>
          <w:b w:val="0"/>
          <w:bCs/>
          <w:sz w:val="28"/>
          <w:szCs w:val="28"/>
        </w:rPr>
        <w:tab/>
      </w:r>
    </w:p>
    <w:p w14:paraId="33A3391E">
      <w:pPr>
        <w:pStyle w:val="4"/>
        <w:spacing w:line="360" w:lineRule="auto"/>
        <w:ind w:firstLine="560"/>
        <w:jc w:val="both"/>
        <w:rPr>
          <w:rFonts w:ascii="宋体" w:hAnsi="宋体" w:eastAsia="宋体"/>
          <w:b w:val="0"/>
          <w:bCs/>
          <w:sz w:val="28"/>
          <w:szCs w:val="28"/>
        </w:rPr>
      </w:pPr>
      <w:r>
        <w:rPr>
          <w:rFonts w:hint="eastAsia" w:ascii="宋体" w:hAnsi="宋体" w:eastAsia="宋体"/>
          <w:b w:val="0"/>
          <w:bCs/>
          <w:sz w:val="28"/>
          <w:szCs w:val="28"/>
        </w:rPr>
        <w:t>﹍﹍﹍﹍﹍﹍﹍﹍﹍﹍﹍﹍﹍﹍﹍﹍﹍﹍﹍﹍﹍﹍﹍﹍</w:t>
      </w:r>
    </w:p>
    <w:p w14:paraId="2F165806">
      <w:pPr>
        <w:pStyle w:val="4"/>
        <w:spacing w:line="360" w:lineRule="auto"/>
        <w:ind w:firstLine="560"/>
        <w:jc w:val="both"/>
        <w:rPr>
          <w:rFonts w:ascii="宋体" w:hAnsi="宋体" w:eastAsia="宋体"/>
          <w:b w:val="0"/>
          <w:bCs/>
          <w:sz w:val="28"/>
          <w:szCs w:val="28"/>
        </w:rPr>
      </w:pPr>
      <w:r>
        <w:rPr>
          <w:rFonts w:hint="eastAsia" w:ascii="宋体" w:hAnsi="宋体" w:eastAsia="宋体"/>
          <w:b w:val="0"/>
          <w:bCs/>
          <w:sz w:val="28"/>
          <w:szCs w:val="28"/>
        </w:rPr>
        <w:t>说明：1.供应商可自行选择是否提供本承诺函，若不提供本承诺函的，应按采购文件要求提供相应的证明材料。</w:t>
      </w:r>
    </w:p>
    <w:p w14:paraId="3ABC049B">
      <w:pPr>
        <w:pStyle w:val="4"/>
        <w:spacing w:line="360" w:lineRule="auto"/>
        <w:ind w:firstLine="560"/>
        <w:jc w:val="left"/>
        <w:rPr>
          <w:rFonts w:hint="eastAsia" w:ascii="宋体" w:hAnsi="宋体" w:eastAsia="宋体"/>
          <w:b w:val="0"/>
          <w:bCs/>
          <w:sz w:val="28"/>
          <w:szCs w:val="28"/>
        </w:rPr>
      </w:pPr>
      <w:r>
        <w:rPr>
          <w:rFonts w:hint="eastAsia" w:ascii="宋体" w:hAnsi="宋体" w:eastAsia="宋体"/>
          <w:b w:val="0"/>
          <w:bCs/>
          <w:sz w:val="28"/>
          <w:szCs w:val="28"/>
        </w:rPr>
        <w:t>2.供应商可删减承诺事项，删减的承诺事项须按采购文件要求提供相应的证明材料。比如删去本承诺函第3项的，则应按采购文件要求提供依法缴纳税收和社会保障资金的良好记录。</w:t>
      </w:r>
    </w:p>
    <w:p w14:paraId="1738FE12">
      <w:pPr>
        <w:pStyle w:val="4"/>
        <w:spacing w:line="360" w:lineRule="auto"/>
        <w:ind w:firstLine="560"/>
        <w:jc w:val="left"/>
        <w:rPr>
          <w:rFonts w:ascii="宋体" w:hAnsi="宋体"/>
        </w:rPr>
      </w:pPr>
    </w:p>
    <w:p w14:paraId="3D315C6A">
      <w:pPr>
        <w:pStyle w:val="9"/>
        <w:spacing w:line="360" w:lineRule="auto"/>
        <w:ind w:firstLine="643"/>
        <w:jc w:val="center"/>
        <w:rPr>
          <w:rFonts w:ascii="宋体" w:hAnsi="宋体"/>
          <w:b/>
          <w:sz w:val="32"/>
          <w:szCs w:val="32"/>
          <w:lang w:eastAsia="zh-CN"/>
        </w:rPr>
      </w:pPr>
      <w:r>
        <w:rPr>
          <w:rFonts w:hint="eastAsia" w:ascii="宋体" w:hAnsi="宋体"/>
          <w:b/>
          <w:sz w:val="32"/>
          <w:szCs w:val="32"/>
          <w:lang w:eastAsia="zh-CN"/>
        </w:rPr>
        <w:t>（</w:t>
      </w:r>
      <w:r>
        <w:rPr>
          <w:rFonts w:hint="eastAsia" w:ascii="宋体" w:hAnsi="宋体"/>
          <w:b/>
          <w:sz w:val="32"/>
          <w:szCs w:val="32"/>
          <w:lang w:val="en-US" w:eastAsia="zh-CN"/>
        </w:rPr>
        <w:t>八）</w:t>
      </w:r>
      <w:r>
        <w:rPr>
          <w:rFonts w:hint="eastAsia" w:ascii="宋体" w:hAnsi="宋体"/>
          <w:b/>
          <w:sz w:val="32"/>
          <w:szCs w:val="32"/>
          <w:lang w:eastAsia="zh-CN"/>
        </w:rPr>
        <w:t>中小企业声明函（货物类）</w:t>
      </w:r>
    </w:p>
    <w:p w14:paraId="7C2A89C8">
      <w:pPr>
        <w:pStyle w:val="9"/>
        <w:spacing w:line="360" w:lineRule="auto"/>
        <w:ind w:firstLine="584"/>
        <w:jc w:val="left"/>
        <w:rPr>
          <w:rFonts w:ascii="宋体" w:hAnsi="宋体" w:cs="Arial"/>
          <w:spacing w:val="6"/>
          <w:sz w:val="24"/>
          <w:szCs w:val="24"/>
          <w:lang w:eastAsia="zh-CN"/>
        </w:rPr>
      </w:pPr>
      <w:r>
        <w:rPr>
          <w:rFonts w:hint="eastAsia" w:ascii="宋体" w:hAnsi="宋体" w:cs="Arial"/>
          <w:spacing w:val="6"/>
          <w:sz w:val="24"/>
          <w:szCs w:val="24"/>
          <w:lang w:eastAsia="zh-CN"/>
        </w:rPr>
        <w:t>本公司（联合体）郑重声明，根据《政府采购促进中小企业发展管理办法》（财库﹝2020﹞46 号）的规定，本公司（联合体）参加</w:t>
      </w:r>
      <w:r>
        <w:rPr>
          <w:rFonts w:hint="eastAsia" w:ascii="宋体" w:hAnsi="宋体" w:cs="Arial"/>
          <w:spacing w:val="6"/>
          <w:sz w:val="24"/>
          <w:szCs w:val="24"/>
          <w:u w:val="single"/>
          <w:lang w:eastAsia="zh-CN"/>
        </w:rPr>
        <w:t>（单位名称）</w:t>
      </w:r>
      <w:r>
        <w:rPr>
          <w:rFonts w:hint="eastAsia" w:ascii="宋体" w:hAnsi="宋体" w:cs="Arial"/>
          <w:spacing w:val="6"/>
          <w:sz w:val="24"/>
          <w:szCs w:val="24"/>
          <w:lang w:eastAsia="zh-CN"/>
        </w:rPr>
        <w:t>的</w:t>
      </w:r>
      <w:r>
        <w:rPr>
          <w:rFonts w:hint="eastAsia" w:ascii="宋体" w:hAnsi="宋体" w:cs="Arial"/>
          <w:spacing w:val="6"/>
          <w:sz w:val="24"/>
          <w:szCs w:val="24"/>
          <w:u w:val="single"/>
          <w:lang w:eastAsia="zh-CN"/>
        </w:rPr>
        <w:t>（项目名称）</w:t>
      </w:r>
      <w:r>
        <w:rPr>
          <w:rFonts w:hint="eastAsia" w:ascii="宋体" w:hAnsi="宋体" w:cs="Arial"/>
          <w:spacing w:val="6"/>
          <w:sz w:val="24"/>
          <w:szCs w:val="24"/>
          <w:lang w:eastAsia="zh-CN"/>
        </w:rPr>
        <w:t xml:space="preserve">采购活动，提供的货物全部由符合政策要求的中小企业制造。相关企业（含联合体中的中小企业、签订分包意向协议的中小企业）的具体情况如下：  </w:t>
      </w:r>
    </w:p>
    <w:p w14:paraId="595EF486">
      <w:pPr>
        <w:pStyle w:val="9"/>
        <w:spacing w:line="360" w:lineRule="auto"/>
        <w:ind w:firstLine="584"/>
        <w:jc w:val="left"/>
        <w:rPr>
          <w:rFonts w:ascii="宋体" w:hAnsi="宋体" w:cs="Arial"/>
          <w:spacing w:val="6"/>
          <w:sz w:val="24"/>
          <w:szCs w:val="24"/>
          <w:lang w:eastAsia="zh-CN"/>
        </w:rPr>
      </w:pPr>
      <w:r>
        <w:rPr>
          <w:rFonts w:hint="eastAsia" w:ascii="宋体" w:hAnsi="宋体" w:cs="Arial"/>
          <w:spacing w:val="6"/>
          <w:sz w:val="24"/>
          <w:szCs w:val="24"/>
          <w:lang w:eastAsia="zh-CN"/>
        </w:rPr>
        <w:t>1.</w:t>
      </w:r>
      <w:r>
        <w:rPr>
          <w:rFonts w:hint="eastAsia" w:ascii="宋体" w:hAnsi="宋体" w:cs="Arial"/>
          <w:spacing w:val="6"/>
          <w:sz w:val="24"/>
          <w:szCs w:val="24"/>
          <w:u w:val="single"/>
          <w:lang w:eastAsia="zh-CN"/>
        </w:rPr>
        <w:t>（标的名称）</w:t>
      </w:r>
      <w:r>
        <w:rPr>
          <w:rFonts w:hint="eastAsia" w:ascii="宋体" w:hAnsi="宋体" w:cs="Arial"/>
          <w:spacing w:val="6"/>
          <w:sz w:val="24"/>
          <w:szCs w:val="24"/>
          <w:lang w:eastAsia="zh-CN"/>
        </w:rPr>
        <w:t>，属于</w:t>
      </w:r>
      <w:r>
        <w:rPr>
          <w:rFonts w:hint="eastAsia" w:ascii="宋体" w:hAnsi="宋体" w:cs="Arial"/>
          <w:spacing w:val="6"/>
          <w:sz w:val="24"/>
          <w:szCs w:val="24"/>
          <w:u w:val="single"/>
          <w:lang w:eastAsia="zh-CN"/>
        </w:rPr>
        <w:t>（采购文件中明确的所属行业）</w:t>
      </w:r>
      <w:r>
        <w:rPr>
          <w:rFonts w:hint="eastAsia" w:ascii="宋体" w:hAnsi="宋体" w:cs="Arial"/>
          <w:spacing w:val="6"/>
          <w:sz w:val="24"/>
          <w:szCs w:val="24"/>
          <w:lang w:eastAsia="zh-CN"/>
        </w:rPr>
        <w:t>行业；制造商为</w:t>
      </w:r>
      <w:r>
        <w:rPr>
          <w:rFonts w:hint="eastAsia" w:ascii="宋体" w:hAnsi="宋体" w:cs="Arial"/>
          <w:spacing w:val="6"/>
          <w:sz w:val="24"/>
          <w:szCs w:val="24"/>
          <w:u w:val="single"/>
          <w:lang w:eastAsia="zh-CN"/>
        </w:rPr>
        <w:t>（企业名称）</w:t>
      </w:r>
      <w:r>
        <w:rPr>
          <w:rFonts w:hint="eastAsia" w:ascii="宋体" w:hAnsi="宋体" w:cs="Arial"/>
          <w:spacing w:val="6"/>
          <w:sz w:val="24"/>
          <w:szCs w:val="24"/>
          <w:lang w:eastAsia="zh-CN"/>
        </w:rPr>
        <w:t>，从业人员人，营业收入为万元，资产总额为万元，属于</w:t>
      </w:r>
      <w:bookmarkStart w:id="244" w:name="_Hlk133157441"/>
      <w:r>
        <w:rPr>
          <w:rFonts w:hint="eastAsia" w:ascii="宋体" w:hAnsi="宋体" w:cs="Arial"/>
          <w:spacing w:val="6"/>
          <w:sz w:val="24"/>
          <w:szCs w:val="24"/>
          <w:u w:val="single"/>
          <w:lang w:eastAsia="zh-CN"/>
        </w:rPr>
        <w:t>（中型企业、小型企业、微型企业）</w:t>
      </w:r>
      <w:bookmarkEnd w:id="244"/>
      <w:r>
        <w:rPr>
          <w:rFonts w:hint="eastAsia" w:ascii="宋体" w:hAnsi="宋体" w:cs="Arial"/>
          <w:spacing w:val="6"/>
          <w:sz w:val="24"/>
          <w:szCs w:val="24"/>
          <w:lang w:eastAsia="zh-CN"/>
        </w:rPr>
        <w:t xml:space="preserve">；  </w:t>
      </w:r>
    </w:p>
    <w:p w14:paraId="1AD659A1">
      <w:pPr>
        <w:pStyle w:val="9"/>
        <w:spacing w:line="360" w:lineRule="auto"/>
        <w:ind w:firstLine="584"/>
        <w:jc w:val="left"/>
        <w:rPr>
          <w:rFonts w:ascii="宋体" w:hAnsi="宋体" w:cs="Arial"/>
          <w:spacing w:val="6"/>
          <w:sz w:val="24"/>
          <w:szCs w:val="24"/>
          <w:lang w:eastAsia="zh-CN"/>
        </w:rPr>
      </w:pPr>
      <w:r>
        <w:rPr>
          <w:rFonts w:hint="eastAsia" w:ascii="宋体" w:hAnsi="宋体" w:cs="Arial"/>
          <w:spacing w:val="6"/>
          <w:sz w:val="24"/>
          <w:szCs w:val="24"/>
          <w:lang w:eastAsia="zh-CN"/>
        </w:rPr>
        <w:t>2.</w:t>
      </w:r>
      <w:r>
        <w:rPr>
          <w:rFonts w:hint="eastAsia" w:ascii="宋体" w:hAnsi="宋体" w:cs="Arial"/>
          <w:spacing w:val="6"/>
          <w:sz w:val="24"/>
          <w:szCs w:val="24"/>
          <w:u w:val="single"/>
          <w:lang w:eastAsia="zh-CN"/>
        </w:rPr>
        <w:t xml:space="preserve"> （标的名称）</w:t>
      </w:r>
      <w:r>
        <w:rPr>
          <w:rFonts w:hint="eastAsia" w:ascii="宋体" w:hAnsi="宋体" w:cs="Arial"/>
          <w:spacing w:val="6"/>
          <w:sz w:val="24"/>
          <w:szCs w:val="24"/>
          <w:lang w:eastAsia="zh-CN"/>
        </w:rPr>
        <w:t>，属于</w:t>
      </w:r>
      <w:r>
        <w:rPr>
          <w:rFonts w:hint="eastAsia" w:ascii="宋体" w:hAnsi="宋体" w:cs="Arial"/>
          <w:spacing w:val="6"/>
          <w:sz w:val="24"/>
          <w:szCs w:val="24"/>
          <w:u w:val="single"/>
          <w:lang w:eastAsia="zh-CN"/>
        </w:rPr>
        <w:t>（</w:t>
      </w:r>
      <w:bookmarkStart w:id="245" w:name="_Hlk136503202"/>
      <w:r>
        <w:rPr>
          <w:rFonts w:hint="eastAsia" w:ascii="宋体" w:hAnsi="宋体" w:cs="Arial"/>
          <w:spacing w:val="6"/>
          <w:sz w:val="24"/>
          <w:szCs w:val="24"/>
          <w:u w:val="single"/>
          <w:lang w:eastAsia="zh-CN"/>
        </w:rPr>
        <w:t>采购文件中明确的所属行业</w:t>
      </w:r>
      <w:bookmarkEnd w:id="245"/>
      <w:r>
        <w:rPr>
          <w:rFonts w:hint="eastAsia" w:ascii="宋体" w:hAnsi="宋体" w:cs="Arial"/>
          <w:spacing w:val="6"/>
          <w:sz w:val="24"/>
          <w:szCs w:val="24"/>
          <w:u w:val="single"/>
          <w:lang w:eastAsia="zh-CN"/>
        </w:rPr>
        <w:t>）</w:t>
      </w:r>
      <w:r>
        <w:rPr>
          <w:rFonts w:hint="eastAsia" w:ascii="宋体" w:hAnsi="宋体" w:cs="Arial"/>
          <w:spacing w:val="6"/>
          <w:sz w:val="24"/>
          <w:szCs w:val="24"/>
          <w:lang w:eastAsia="zh-CN"/>
        </w:rPr>
        <w:t>行业；制造商为</w:t>
      </w:r>
      <w:r>
        <w:rPr>
          <w:rFonts w:hint="eastAsia" w:ascii="宋体" w:hAnsi="宋体" w:cs="Arial"/>
          <w:spacing w:val="6"/>
          <w:sz w:val="24"/>
          <w:szCs w:val="24"/>
          <w:u w:val="single"/>
          <w:lang w:eastAsia="zh-CN"/>
        </w:rPr>
        <w:t>（企业名称）</w:t>
      </w:r>
      <w:r>
        <w:rPr>
          <w:rFonts w:hint="eastAsia" w:ascii="宋体" w:hAnsi="宋体" w:cs="Arial"/>
          <w:spacing w:val="6"/>
          <w:sz w:val="24"/>
          <w:szCs w:val="24"/>
          <w:lang w:eastAsia="zh-CN"/>
        </w:rPr>
        <w:t>，从业人员人，营业收入为万元，资产总额为万元，属于</w:t>
      </w:r>
      <w:r>
        <w:rPr>
          <w:rFonts w:hint="eastAsia" w:ascii="宋体" w:hAnsi="宋体" w:cs="Arial"/>
          <w:spacing w:val="6"/>
          <w:sz w:val="24"/>
          <w:szCs w:val="24"/>
          <w:u w:val="single"/>
          <w:lang w:eastAsia="zh-CN"/>
        </w:rPr>
        <w:t>（中型企业、小型企业、微型企业）</w:t>
      </w:r>
      <w:r>
        <w:rPr>
          <w:rFonts w:hint="eastAsia" w:ascii="宋体" w:hAnsi="宋体" w:cs="Arial"/>
          <w:spacing w:val="6"/>
          <w:sz w:val="24"/>
          <w:szCs w:val="24"/>
          <w:lang w:eastAsia="zh-CN"/>
        </w:rPr>
        <w:t>；</w:t>
      </w:r>
    </w:p>
    <w:p w14:paraId="25CB8DF5">
      <w:pPr>
        <w:pStyle w:val="9"/>
        <w:spacing w:line="360" w:lineRule="auto"/>
        <w:ind w:firstLine="584"/>
        <w:jc w:val="left"/>
        <w:rPr>
          <w:rFonts w:ascii="宋体" w:hAnsi="宋体" w:cs="Arial"/>
          <w:spacing w:val="6"/>
          <w:sz w:val="24"/>
          <w:szCs w:val="24"/>
          <w:lang w:eastAsia="zh-CN"/>
        </w:rPr>
      </w:pPr>
      <w:r>
        <w:rPr>
          <w:rFonts w:hint="eastAsia" w:ascii="宋体" w:hAnsi="宋体" w:cs="Arial"/>
          <w:spacing w:val="6"/>
          <w:sz w:val="24"/>
          <w:szCs w:val="24"/>
          <w:lang w:eastAsia="zh-CN"/>
        </w:rPr>
        <w:t xml:space="preserve">  ……  </w:t>
      </w:r>
    </w:p>
    <w:p w14:paraId="71E3398E">
      <w:pPr>
        <w:pStyle w:val="9"/>
        <w:spacing w:line="360" w:lineRule="auto"/>
        <w:ind w:firstLine="584"/>
        <w:jc w:val="left"/>
        <w:rPr>
          <w:rFonts w:ascii="宋体" w:hAnsi="宋体" w:cs="Arial"/>
          <w:spacing w:val="6"/>
          <w:sz w:val="24"/>
          <w:szCs w:val="24"/>
          <w:lang w:eastAsia="zh-CN"/>
        </w:rPr>
      </w:pPr>
      <w:r>
        <w:rPr>
          <w:rFonts w:hint="eastAsia" w:ascii="宋体" w:hAnsi="宋体" w:cs="Arial"/>
          <w:spacing w:val="6"/>
          <w:sz w:val="24"/>
          <w:szCs w:val="24"/>
          <w:lang w:eastAsia="zh-CN"/>
        </w:rPr>
        <w:t>以上企业，不属于大企业的分支机构，不存在控股股东为大企业的情形，也不存在与大企业的负责人为同一人的情形。</w:t>
      </w:r>
    </w:p>
    <w:p w14:paraId="196F2968">
      <w:pPr>
        <w:pStyle w:val="9"/>
        <w:spacing w:line="360" w:lineRule="auto"/>
        <w:ind w:firstLine="584"/>
        <w:jc w:val="left"/>
        <w:rPr>
          <w:rFonts w:ascii="宋体" w:hAnsi="宋体" w:cs="Arial"/>
          <w:spacing w:val="6"/>
          <w:sz w:val="24"/>
          <w:szCs w:val="24"/>
          <w:lang w:eastAsia="zh-CN"/>
        </w:rPr>
      </w:pPr>
      <w:r>
        <w:rPr>
          <w:rFonts w:hint="eastAsia" w:ascii="宋体" w:hAnsi="宋体" w:cs="Arial"/>
          <w:spacing w:val="6"/>
          <w:sz w:val="24"/>
          <w:szCs w:val="24"/>
          <w:lang w:eastAsia="zh-CN"/>
        </w:rPr>
        <w:t xml:space="preserve">本企业对上述声明内容的真实性负责。如有虚假，将依法承担相应责任。  </w:t>
      </w:r>
    </w:p>
    <w:p w14:paraId="16633326">
      <w:pPr>
        <w:pStyle w:val="9"/>
        <w:spacing w:line="360" w:lineRule="auto"/>
        <w:ind w:firstLine="584"/>
        <w:jc w:val="left"/>
        <w:rPr>
          <w:rFonts w:ascii="宋体" w:hAnsi="宋体" w:cs="Arial"/>
          <w:spacing w:val="6"/>
          <w:sz w:val="24"/>
          <w:szCs w:val="24"/>
          <w:lang w:eastAsia="zh-CN"/>
        </w:rPr>
      </w:pPr>
      <w:r>
        <w:rPr>
          <w:rFonts w:hint="eastAsia" w:ascii="宋体" w:hAnsi="宋体" w:cs="Arial"/>
          <w:spacing w:val="6"/>
          <w:sz w:val="24"/>
          <w:szCs w:val="24"/>
          <w:lang w:eastAsia="zh-CN"/>
        </w:rPr>
        <w:t xml:space="preserve">企业名称（盖章）：  </w:t>
      </w:r>
    </w:p>
    <w:p w14:paraId="1CE8CA97">
      <w:pPr>
        <w:pStyle w:val="9"/>
        <w:spacing w:line="360" w:lineRule="auto"/>
        <w:ind w:firstLine="584"/>
        <w:jc w:val="left"/>
        <w:rPr>
          <w:rFonts w:ascii="宋体" w:hAnsi="宋体" w:cs="Arial"/>
          <w:spacing w:val="6"/>
          <w:sz w:val="24"/>
          <w:szCs w:val="24"/>
          <w:lang w:eastAsia="zh-CN"/>
        </w:rPr>
      </w:pPr>
      <w:r>
        <w:rPr>
          <w:rFonts w:hint="eastAsia" w:ascii="宋体" w:hAnsi="宋体" w:cs="Arial"/>
          <w:spacing w:val="6"/>
          <w:sz w:val="24"/>
          <w:szCs w:val="24"/>
          <w:lang w:eastAsia="zh-CN"/>
        </w:rPr>
        <w:t>日 期：</w:t>
      </w:r>
    </w:p>
    <w:p w14:paraId="4C849239">
      <w:pPr>
        <w:pStyle w:val="9"/>
        <w:spacing w:line="360" w:lineRule="auto"/>
        <w:ind w:firstLine="584"/>
        <w:jc w:val="left"/>
        <w:rPr>
          <w:rFonts w:ascii="宋体" w:hAnsi="宋体" w:cs="Arial"/>
          <w:spacing w:val="6"/>
          <w:sz w:val="24"/>
          <w:szCs w:val="24"/>
          <w:lang w:eastAsia="zh-CN"/>
        </w:rPr>
      </w:pPr>
      <w:r>
        <w:rPr>
          <w:rFonts w:hint="eastAsia" w:ascii="宋体" w:hAnsi="宋体" w:cs="Arial"/>
          <w:spacing w:val="6"/>
          <w:sz w:val="24"/>
          <w:szCs w:val="24"/>
          <w:lang w:eastAsia="zh-CN"/>
        </w:rPr>
        <w:t>注：</w:t>
      </w:r>
      <w:bookmarkStart w:id="246" w:name="_Hlk136448448"/>
      <w:r>
        <w:rPr>
          <w:rFonts w:hint="eastAsia" w:ascii="宋体" w:hAnsi="宋体" w:cs="Arial"/>
          <w:spacing w:val="6"/>
          <w:sz w:val="24"/>
          <w:szCs w:val="24"/>
          <w:lang w:eastAsia="zh-CN"/>
        </w:rPr>
        <w:t>1</w:t>
      </w:r>
      <w:r>
        <w:rPr>
          <w:rFonts w:ascii="宋体" w:hAnsi="宋体" w:cs="Arial"/>
          <w:spacing w:val="6"/>
          <w:sz w:val="24"/>
          <w:szCs w:val="24"/>
          <w:lang w:eastAsia="zh-CN"/>
        </w:rPr>
        <w:t>.从业人员、营业收入、资产总额填报上一年度数据，无上一年度数据的新成立企业可不填报。</w:t>
      </w:r>
      <w:bookmarkEnd w:id="246"/>
    </w:p>
    <w:p w14:paraId="22451D7E">
      <w:pPr>
        <w:pStyle w:val="9"/>
        <w:spacing w:line="360" w:lineRule="auto"/>
        <w:ind w:firstLine="1168"/>
        <w:jc w:val="left"/>
        <w:rPr>
          <w:rFonts w:ascii="宋体" w:hAnsi="宋体" w:cs="Arial"/>
          <w:spacing w:val="6"/>
          <w:sz w:val="24"/>
          <w:szCs w:val="24"/>
          <w:lang w:eastAsia="zh-CN"/>
        </w:rPr>
      </w:pPr>
      <w:r>
        <w:rPr>
          <w:rFonts w:hint="eastAsia" w:ascii="宋体" w:hAnsi="宋体" w:cs="Arial"/>
          <w:spacing w:val="6"/>
          <w:sz w:val="24"/>
          <w:szCs w:val="24"/>
          <w:lang w:eastAsia="zh-CN"/>
        </w:rPr>
        <w:t>2</w:t>
      </w:r>
      <w:r>
        <w:rPr>
          <w:rFonts w:ascii="宋体" w:hAnsi="宋体" w:cs="Arial"/>
          <w:spacing w:val="6"/>
          <w:sz w:val="24"/>
          <w:szCs w:val="24"/>
          <w:lang w:eastAsia="zh-CN"/>
        </w:rPr>
        <w:t>.</w:t>
      </w:r>
      <w:r>
        <w:rPr>
          <w:rFonts w:hint="eastAsia" w:ascii="宋体" w:hAnsi="宋体" w:cs="Arial"/>
          <w:spacing w:val="6"/>
          <w:sz w:val="24"/>
          <w:szCs w:val="24"/>
          <w:lang w:eastAsia="zh-CN"/>
        </w:rPr>
        <w:t>本声明函中“属于（中型企业、小型企业、微型企业）”的内容，必须且只能选择其中之一填写。</w:t>
      </w:r>
    </w:p>
    <w:p w14:paraId="36D970AA">
      <w:pPr>
        <w:pStyle w:val="9"/>
        <w:spacing w:line="360" w:lineRule="auto"/>
        <w:ind w:firstLine="584"/>
        <w:jc w:val="left"/>
        <w:rPr>
          <w:rFonts w:ascii="宋体" w:hAnsi="宋体" w:cs="Arial"/>
          <w:spacing w:val="6"/>
          <w:sz w:val="28"/>
          <w:szCs w:val="28"/>
          <w:lang w:eastAsia="zh-CN"/>
        </w:rPr>
      </w:pPr>
      <w:bookmarkStart w:id="247" w:name="_Hlk136448662"/>
      <w:r>
        <w:rPr>
          <w:rFonts w:ascii="宋体" w:hAnsi="宋体" w:cs="Arial"/>
          <w:spacing w:val="6"/>
          <w:sz w:val="24"/>
          <w:szCs w:val="24"/>
          <w:lang w:eastAsia="zh-CN"/>
        </w:rPr>
        <w:t>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bookmarkEnd w:id="247"/>
    </w:p>
    <w:p w14:paraId="184B2A59">
      <w:pPr>
        <w:pStyle w:val="4"/>
        <w:spacing w:line="360" w:lineRule="auto"/>
        <w:ind w:firstLine="560"/>
        <w:jc w:val="left"/>
        <w:rPr>
          <w:rFonts w:ascii="宋体" w:hAnsi="宋体" w:cs="Arial"/>
          <w:spacing w:val="6"/>
          <w:sz w:val="28"/>
          <w:szCs w:val="28"/>
          <w:lang w:eastAsia="zh-CN"/>
        </w:rPr>
      </w:pPr>
      <w:r>
        <w:rPr>
          <w:rFonts w:ascii="宋体" w:hAnsi="宋体" w:cs="Arial"/>
          <w:spacing w:val="6"/>
          <w:sz w:val="28"/>
          <w:szCs w:val="28"/>
          <w:lang w:eastAsia="zh-CN"/>
        </w:rPr>
        <w:br w:type="page" w:clear="all"/>
      </w:r>
    </w:p>
    <w:p w14:paraId="734970A0">
      <w:pPr>
        <w:widowControl/>
        <w:spacing w:before="240" w:after="240" w:line="360" w:lineRule="auto"/>
        <w:jc w:val="center"/>
        <w:rPr>
          <w:rFonts w:ascii="宋体" w:hAnsi="宋体" w:cs="宋体"/>
          <w:b/>
          <w:color w:val="000000"/>
          <w:sz w:val="28"/>
          <w:szCs w:val="28"/>
        </w:rPr>
      </w:pPr>
      <w:r>
        <w:rPr>
          <w:rFonts w:hint="eastAsia" w:ascii="宋体" w:hAnsi="宋体" w:cs="宋体"/>
          <w:b/>
          <w:color w:val="000000"/>
          <w:sz w:val="28"/>
          <w:szCs w:val="28"/>
        </w:rPr>
        <w:t>残疾人福利性单位声明函</w:t>
      </w:r>
    </w:p>
    <w:p w14:paraId="3296B0A7">
      <w:pPr>
        <w:spacing w:line="360" w:lineRule="auto"/>
        <w:ind w:firstLine="560"/>
        <w:rPr>
          <w:rFonts w:ascii="宋体" w:hAnsi="宋体" w:cs="宋体"/>
          <w:sz w:val="28"/>
          <w:szCs w:val="28"/>
        </w:rPr>
      </w:pPr>
      <w:r>
        <w:rPr>
          <w:rFonts w:hint="eastAsia" w:ascii="宋体" w:hAnsi="宋体" w:cs="宋体"/>
          <w:sz w:val="28"/>
          <w:szCs w:val="28"/>
        </w:rPr>
        <w:t>本单位郑重声明，根据《财政部 民政部 中国残疾人联合会关于促进残疾人就业政府采购政策的通知》（财库〔2017〕 141号）的规定，本单位为符合条件的残疾人福利性单位，且本单位参加______单位的______项目采购活动由本单位提供服务（由本单位承担工程/提供本单位制造的货物），或者提供其他残疾人福利性单位制造的货物（不包括使用非残疾人福利性单位注册商标的货物）。</w:t>
      </w:r>
    </w:p>
    <w:p w14:paraId="35B1AAE0">
      <w:pPr>
        <w:spacing w:line="360" w:lineRule="auto"/>
        <w:ind w:firstLine="560"/>
        <w:rPr>
          <w:rFonts w:ascii="宋体" w:hAnsi="宋体" w:cs="宋体"/>
          <w:sz w:val="28"/>
          <w:szCs w:val="28"/>
        </w:rPr>
      </w:pPr>
      <w:r>
        <w:rPr>
          <w:rFonts w:hint="eastAsia" w:ascii="宋体" w:hAnsi="宋体" w:cs="宋体"/>
          <w:sz w:val="28"/>
          <w:szCs w:val="28"/>
        </w:rPr>
        <w:t>本单位对上述声明的真实性负责。如有虚假，将依法承担相应责任。</w:t>
      </w:r>
    </w:p>
    <w:p w14:paraId="42E711F9">
      <w:pPr>
        <w:spacing w:line="360" w:lineRule="auto"/>
        <w:ind w:firstLine="560"/>
        <w:rPr>
          <w:rFonts w:ascii="宋体" w:hAnsi="宋体" w:cs="宋体"/>
          <w:sz w:val="28"/>
          <w:szCs w:val="28"/>
        </w:rPr>
      </w:pPr>
    </w:p>
    <w:p w14:paraId="7DDECB7C">
      <w:pPr>
        <w:spacing w:line="360" w:lineRule="auto"/>
        <w:ind w:firstLine="560"/>
        <w:rPr>
          <w:rFonts w:ascii="宋体" w:hAnsi="宋体" w:cs="宋体"/>
          <w:sz w:val="28"/>
          <w:szCs w:val="28"/>
        </w:rPr>
      </w:pPr>
    </w:p>
    <w:p w14:paraId="0E8B12ED">
      <w:pPr>
        <w:spacing w:line="360" w:lineRule="auto"/>
        <w:ind w:firstLine="560"/>
        <w:rPr>
          <w:rFonts w:ascii="宋体" w:hAnsi="宋体" w:cs="宋体"/>
          <w:sz w:val="28"/>
          <w:szCs w:val="28"/>
        </w:rPr>
      </w:pPr>
      <w:r>
        <w:rPr>
          <w:rFonts w:hint="eastAsia" w:ascii="宋体" w:hAnsi="宋体" w:cs="宋体"/>
          <w:sz w:val="28"/>
          <w:szCs w:val="28"/>
        </w:rPr>
        <w:t xml:space="preserve">                          单位名称（盖章）：</w:t>
      </w:r>
    </w:p>
    <w:p w14:paraId="594841F1">
      <w:pPr>
        <w:spacing w:line="360" w:lineRule="auto"/>
        <w:ind w:firstLine="560"/>
        <w:rPr>
          <w:rFonts w:ascii="宋体" w:hAnsi="宋体" w:cs="宋体"/>
          <w:sz w:val="28"/>
          <w:szCs w:val="28"/>
        </w:rPr>
      </w:pPr>
      <w:r>
        <w:rPr>
          <w:rFonts w:hint="eastAsia" w:ascii="宋体" w:hAnsi="宋体" w:cs="宋体"/>
          <w:sz w:val="28"/>
          <w:szCs w:val="28"/>
        </w:rPr>
        <w:t xml:space="preserve">                             </w:t>
      </w:r>
    </w:p>
    <w:p w14:paraId="441505A4">
      <w:pPr>
        <w:spacing w:line="360" w:lineRule="auto"/>
        <w:ind w:firstLine="4760"/>
        <w:rPr>
          <w:rFonts w:ascii="宋体" w:hAnsi="宋体" w:cs="宋体"/>
          <w:sz w:val="28"/>
          <w:szCs w:val="28"/>
        </w:rPr>
      </w:pPr>
      <w:r>
        <w:rPr>
          <w:rFonts w:hint="eastAsia" w:ascii="宋体" w:hAnsi="宋体" w:cs="宋体"/>
          <w:sz w:val="28"/>
          <w:szCs w:val="28"/>
        </w:rPr>
        <w:t xml:space="preserve"> 年  月  日  </w:t>
      </w:r>
    </w:p>
    <w:p w14:paraId="1502BF6B">
      <w:pPr>
        <w:rPr>
          <w:rFonts w:ascii="宋体" w:hAnsi="宋体" w:cs="Arial"/>
          <w:spacing w:val="6"/>
          <w:sz w:val="28"/>
          <w:szCs w:val="28"/>
          <w:lang w:eastAsia="zh-CN"/>
        </w:rPr>
      </w:pPr>
    </w:p>
    <w:p w14:paraId="1C0C040E">
      <w:pPr>
        <w:pStyle w:val="4"/>
      </w:pPr>
    </w:p>
    <w:p w14:paraId="3C9439C5"/>
    <w:p w14:paraId="712A87C6">
      <w:pPr>
        <w:pStyle w:val="2"/>
      </w:pPr>
    </w:p>
    <w:p w14:paraId="480A5F45"/>
    <w:p w14:paraId="32B649E1">
      <w:pPr>
        <w:pStyle w:val="2"/>
      </w:pPr>
    </w:p>
    <w:p w14:paraId="3BA2D39F"/>
    <w:p w14:paraId="3D61080A">
      <w:pPr>
        <w:pStyle w:val="2"/>
      </w:pPr>
    </w:p>
    <w:p w14:paraId="7BCA2C80"/>
    <w:p w14:paraId="2681FDB1">
      <w:pPr>
        <w:pStyle w:val="2"/>
      </w:pPr>
    </w:p>
    <w:p w14:paraId="7F6D15F9"/>
    <w:p w14:paraId="55243924">
      <w:pPr>
        <w:pStyle w:val="2"/>
      </w:pPr>
    </w:p>
    <w:p w14:paraId="01654F08"/>
    <w:p w14:paraId="3C976204">
      <w:pPr>
        <w:pStyle w:val="2"/>
      </w:pPr>
    </w:p>
    <w:p w14:paraId="3A743FAB"/>
    <w:p w14:paraId="70729D0A">
      <w:pPr>
        <w:pStyle w:val="2"/>
      </w:pPr>
    </w:p>
    <w:p w14:paraId="4F06A87E"/>
    <w:p w14:paraId="44EDC407">
      <w:pPr>
        <w:pStyle w:val="2"/>
      </w:pPr>
    </w:p>
    <w:p w14:paraId="5DF17A6D"/>
    <w:p w14:paraId="2284B792">
      <w:pPr>
        <w:pStyle w:val="2"/>
      </w:pPr>
    </w:p>
    <w:p w14:paraId="06AE20F7"/>
    <w:p w14:paraId="217D210E">
      <w:pPr>
        <w:pStyle w:val="5"/>
        <w:keepNext w:val="0"/>
        <w:keepLines w:val="0"/>
        <w:spacing w:before="0" w:after="0" w:line="360" w:lineRule="auto"/>
        <w:ind w:firstLine="643"/>
        <w:jc w:val="center"/>
        <w:rPr>
          <w:rFonts w:ascii="宋体" w:hAnsi="宋体"/>
          <w:sz w:val="36"/>
          <w:szCs w:val="36"/>
          <w:u w:val="single"/>
          <w:lang w:eastAsia="zh-CN"/>
        </w:rPr>
      </w:pPr>
      <w:r>
        <w:rPr>
          <w:rFonts w:hint="eastAsia" w:ascii="宋体" w:hAnsi="宋体"/>
          <w:szCs w:val="32"/>
          <w:lang w:eastAsia="zh-CN"/>
        </w:rPr>
        <w:t>二、法定代表人身份证明书</w:t>
      </w:r>
    </w:p>
    <w:p w14:paraId="6E26CB5D">
      <w:pPr>
        <w:spacing w:line="360" w:lineRule="auto"/>
        <w:ind w:firstLine="560"/>
        <w:rPr>
          <w:rFonts w:ascii="宋体" w:hAnsi="宋体"/>
          <w:sz w:val="28"/>
          <w:szCs w:val="28"/>
        </w:rPr>
      </w:pPr>
    </w:p>
    <w:p w14:paraId="1FE3857A">
      <w:pPr>
        <w:spacing w:line="360" w:lineRule="auto"/>
        <w:ind w:firstLine="560"/>
        <w:rPr>
          <w:rFonts w:hint="eastAsia" w:ascii="宋体" w:hAnsi="宋体"/>
          <w:color w:val="000000"/>
          <w:sz w:val="28"/>
          <w:szCs w:val="28"/>
        </w:rPr>
      </w:pPr>
      <w:r>
        <w:rPr>
          <w:rFonts w:hint="eastAsia" w:ascii="宋体" w:hAnsi="宋体"/>
          <w:color w:val="000000"/>
          <w:sz w:val="28"/>
          <w:szCs w:val="28"/>
        </w:rPr>
        <w:t>兹证明</w:t>
      </w:r>
      <w:r>
        <w:rPr>
          <w:rFonts w:hint="eastAsia" w:ascii="宋体" w:hAnsi="宋体"/>
          <w:color w:val="000000"/>
          <w:sz w:val="28"/>
          <w:szCs w:val="28"/>
          <w:u w:val="single"/>
        </w:rPr>
        <w:t xml:space="preserve"> （姓名</w:t>
      </w:r>
      <w:r>
        <w:rPr>
          <w:rFonts w:hint="eastAsia" w:ascii="宋体" w:hAnsi="宋体"/>
          <w:color w:val="000000"/>
          <w:sz w:val="28"/>
          <w:u w:val="single"/>
        </w:rPr>
        <w:t xml:space="preserve">） </w:t>
      </w:r>
      <w:r>
        <w:rPr>
          <w:rFonts w:hint="eastAsia" w:ascii="宋体" w:hAnsi="宋体"/>
          <w:color w:val="000000"/>
          <w:sz w:val="28"/>
          <w:szCs w:val="28"/>
        </w:rPr>
        <w:t>同志，性别</w:t>
      </w:r>
      <w:r>
        <w:rPr>
          <w:rFonts w:hint="eastAsia" w:ascii="宋体" w:hAnsi="宋体"/>
          <w:color w:val="000000"/>
          <w:sz w:val="28"/>
          <w:szCs w:val="28"/>
          <w:u w:val="single"/>
        </w:rPr>
        <w:t xml:space="preserve"> （男/女） </w:t>
      </w:r>
      <w:r>
        <w:rPr>
          <w:rFonts w:hint="eastAsia" w:ascii="宋体" w:hAnsi="宋体"/>
          <w:color w:val="000000"/>
          <w:sz w:val="28"/>
          <w:szCs w:val="28"/>
        </w:rPr>
        <w:t>，</w:t>
      </w:r>
      <w:r>
        <w:rPr>
          <w:rFonts w:hint="eastAsia" w:ascii="宋体" w:hAnsi="宋体"/>
          <w:color w:val="000000"/>
          <w:sz w:val="28"/>
        </w:rPr>
        <w:t>居民身份证号</w:t>
      </w:r>
      <w:r>
        <w:rPr>
          <w:rFonts w:hint="eastAsia" w:ascii="宋体" w:hAnsi="宋体"/>
          <w:color w:val="000000"/>
          <w:sz w:val="28"/>
          <w:szCs w:val="28"/>
          <w:u w:val="single"/>
        </w:rPr>
        <w:t xml:space="preserve"> （身份证号码） </w:t>
      </w:r>
      <w:r>
        <w:rPr>
          <w:rFonts w:hint="eastAsia" w:ascii="宋体" w:hAnsi="宋体"/>
          <w:color w:val="000000"/>
          <w:sz w:val="28"/>
          <w:szCs w:val="28"/>
        </w:rPr>
        <w:t>，在我单位任</w:t>
      </w:r>
      <w:r>
        <w:rPr>
          <w:rFonts w:hint="eastAsia" w:ascii="宋体" w:hAnsi="宋体"/>
          <w:color w:val="000000"/>
          <w:sz w:val="28"/>
          <w:szCs w:val="28"/>
          <w:u w:val="single"/>
        </w:rPr>
        <w:t xml:space="preserve"> （职务） </w:t>
      </w:r>
      <w:r>
        <w:rPr>
          <w:rFonts w:hint="eastAsia" w:ascii="宋体" w:hAnsi="宋体"/>
          <w:color w:val="000000"/>
          <w:sz w:val="28"/>
        </w:rPr>
        <w:t>，系我单位主要负责人即法定代表人</w:t>
      </w:r>
      <w:r>
        <w:rPr>
          <w:rFonts w:hint="eastAsia" w:ascii="宋体" w:hAnsi="宋体"/>
          <w:color w:val="000000"/>
          <w:sz w:val="28"/>
          <w:szCs w:val="28"/>
        </w:rPr>
        <w:t>。</w:t>
      </w:r>
    </w:p>
    <w:p w14:paraId="1257F81E">
      <w:pPr>
        <w:spacing w:line="360" w:lineRule="auto"/>
        <w:ind w:firstLine="560"/>
        <w:rPr>
          <w:rFonts w:hint="eastAsia" w:ascii="宋体" w:hAnsi="宋体"/>
          <w:color w:val="000000"/>
          <w:sz w:val="28"/>
          <w:szCs w:val="28"/>
        </w:rPr>
      </w:pPr>
    </w:p>
    <w:p w14:paraId="15AA2870">
      <w:pPr>
        <w:spacing w:line="360" w:lineRule="auto"/>
        <w:ind w:firstLine="560"/>
        <w:rPr>
          <w:rFonts w:hint="eastAsia" w:ascii="宋体" w:hAnsi="宋体"/>
          <w:color w:val="000000"/>
          <w:sz w:val="28"/>
          <w:szCs w:val="28"/>
        </w:rPr>
      </w:pPr>
    </w:p>
    <w:p w14:paraId="482079CB">
      <w:pPr>
        <w:spacing w:line="360" w:lineRule="auto"/>
        <w:ind w:firstLine="560"/>
        <w:rPr>
          <w:rFonts w:ascii="宋体" w:hAnsi="宋体"/>
          <w:sz w:val="28"/>
          <w:szCs w:val="28"/>
        </w:rPr>
      </w:pPr>
      <w:r>
        <w:rPr>
          <w:rFonts w:hint="eastAsia" w:ascii="宋体" w:hAnsi="宋体"/>
          <w:sz w:val="28"/>
          <w:szCs w:val="28"/>
        </w:rPr>
        <w:t>单位地址：</w:t>
      </w:r>
    </w:p>
    <w:p w14:paraId="643ACD29">
      <w:pPr>
        <w:spacing w:line="360" w:lineRule="auto"/>
        <w:ind w:firstLine="560"/>
        <w:rPr>
          <w:rFonts w:ascii="宋体" w:hAnsi="宋体"/>
          <w:sz w:val="28"/>
          <w:szCs w:val="28"/>
        </w:rPr>
      </w:pPr>
    </w:p>
    <w:p w14:paraId="3DD3D544">
      <w:pPr>
        <w:spacing w:line="360" w:lineRule="auto"/>
        <w:ind w:firstLine="560"/>
        <w:rPr>
          <w:rFonts w:ascii="宋体" w:hAnsi="宋体"/>
          <w:sz w:val="28"/>
          <w:szCs w:val="28"/>
        </w:rPr>
      </w:pPr>
      <w:r>
        <w:rPr>
          <w:rFonts w:hint="eastAsia" w:ascii="宋体" w:hAnsi="宋体"/>
          <w:sz w:val="28"/>
          <w:szCs w:val="28"/>
        </w:rPr>
        <w:t>电    话：</w:t>
      </w:r>
    </w:p>
    <w:p w14:paraId="610D0BF1">
      <w:pPr>
        <w:spacing w:line="360" w:lineRule="auto"/>
        <w:ind w:firstLine="560"/>
        <w:rPr>
          <w:rFonts w:ascii="宋体" w:hAnsi="宋体"/>
          <w:sz w:val="28"/>
          <w:szCs w:val="28"/>
        </w:rPr>
      </w:pPr>
    </w:p>
    <w:p w14:paraId="3F9DBB20">
      <w:pPr>
        <w:spacing w:line="360" w:lineRule="auto"/>
        <w:ind w:firstLine="560"/>
        <w:rPr>
          <w:rFonts w:ascii="宋体" w:hAnsi="宋体"/>
          <w:sz w:val="28"/>
          <w:szCs w:val="28"/>
        </w:rPr>
      </w:pPr>
      <w:r>
        <w:rPr>
          <w:rFonts w:hint="eastAsia" w:ascii="宋体" w:hAnsi="宋体"/>
          <w:sz w:val="28"/>
          <w:szCs w:val="28"/>
        </w:rPr>
        <w:t xml:space="preserve">单位全称： </w:t>
      </w:r>
    </w:p>
    <w:p w14:paraId="75A40380">
      <w:pPr>
        <w:spacing w:line="360" w:lineRule="auto"/>
        <w:ind w:firstLine="560"/>
        <w:rPr>
          <w:rFonts w:ascii="宋体" w:hAnsi="宋体"/>
          <w:sz w:val="28"/>
          <w:szCs w:val="28"/>
        </w:rPr>
      </w:pPr>
    </w:p>
    <w:p w14:paraId="5734BC0D">
      <w:pPr>
        <w:spacing w:line="360" w:lineRule="auto"/>
        <w:ind w:firstLine="560"/>
        <w:rPr>
          <w:rFonts w:ascii="宋体" w:hAnsi="宋体"/>
          <w:sz w:val="28"/>
          <w:szCs w:val="28"/>
        </w:rPr>
      </w:pPr>
      <w:r>
        <w:rPr>
          <w:rFonts w:hint="eastAsia" w:ascii="宋体" w:hAnsi="宋体"/>
          <w:sz w:val="28"/>
          <w:szCs w:val="28"/>
        </w:rPr>
        <w:t xml:space="preserve">公    章： </w:t>
      </w:r>
    </w:p>
    <w:p w14:paraId="633B8D79">
      <w:pPr>
        <w:tabs>
          <w:tab w:val="left" w:pos="7290"/>
        </w:tabs>
        <w:spacing w:line="360" w:lineRule="auto"/>
        <w:ind w:firstLine="560"/>
        <w:rPr>
          <w:rFonts w:ascii="宋体" w:hAnsi="宋体"/>
          <w:sz w:val="28"/>
          <w:szCs w:val="28"/>
        </w:rPr>
      </w:pPr>
    </w:p>
    <w:p w14:paraId="6D4BB6F2">
      <w:pPr>
        <w:tabs>
          <w:tab w:val="left" w:pos="7290"/>
        </w:tabs>
        <w:spacing w:line="360" w:lineRule="auto"/>
        <w:ind w:firstLine="560"/>
        <w:jc w:val="right"/>
        <w:rPr>
          <w:rFonts w:ascii="宋体" w:hAnsi="宋体"/>
          <w:sz w:val="28"/>
          <w:szCs w:val="28"/>
        </w:rPr>
      </w:pPr>
      <w:r>
        <w:rPr>
          <w:rFonts w:hint="eastAsia" w:ascii="宋体" w:hAnsi="宋体"/>
          <w:sz w:val="28"/>
          <w:szCs w:val="28"/>
        </w:rPr>
        <w:t xml:space="preserve">  年     月    日</w:t>
      </w:r>
    </w:p>
    <w:p w14:paraId="63B44A98">
      <w:pPr>
        <w:spacing w:line="360" w:lineRule="auto"/>
        <w:ind w:firstLine="643"/>
        <w:jc w:val="left"/>
        <w:rPr>
          <w:rFonts w:ascii="宋体" w:hAnsi="宋体"/>
          <w:b/>
          <w:sz w:val="32"/>
          <w:szCs w:val="32"/>
        </w:rPr>
      </w:pPr>
    </w:p>
    <w:p w14:paraId="6391118B">
      <w:pPr>
        <w:spacing w:line="360" w:lineRule="auto"/>
        <w:ind w:firstLine="643"/>
        <w:jc w:val="left"/>
        <w:rPr>
          <w:rFonts w:ascii="宋体" w:hAnsi="宋体"/>
          <w:b/>
          <w:sz w:val="32"/>
          <w:szCs w:val="32"/>
        </w:rPr>
      </w:pPr>
    </w:p>
    <w:p w14:paraId="4F13934A">
      <w:pPr>
        <w:spacing w:line="360" w:lineRule="auto"/>
        <w:ind w:firstLine="643"/>
        <w:jc w:val="left"/>
        <w:rPr>
          <w:rFonts w:ascii="宋体" w:hAnsi="宋体"/>
          <w:b/>
          <w:sz w:val="32"/>
          <w:szCs w:val="32"/>
        </w:rPr>
      </w:pPr>
      <w:r>
        <w:rPr>
          <w:rFonts w:hint="eastAsia" w:ascii="宋体" w:hAnsi="宋体"/>
          <w:b/>
          <w:sz w:val="32"/>
          <w:szCs w:val="32"/>
        </w:rPr>
        <w:t>附：法定代表人居民身份证复印件</w:t>
      </w:r>
    </w:p>
    <w:p w14:paraId="067002E8">
      <w:pPr>
        <w:tabs>
          <w:tab w:val="left" w:pos="7290"/>
        </w:tabs>
        <w:spacing w:line="360" w:lineRule="auto"/>
        <w:ind w:firstLine="560"/>
        <w:rPr>
          <w:rFonts w:ascii="宋体" w:hAnsi="宋体"/>
          <w:sz w:val="28"/>
        </w:rPr>
      </w:pPr>
      <w:r>
        <w:rPr>
          <w:rFonts w:hint="eastAsia" w:ascii="宋体" w:hAnsi="宋体"/>
          <w:sz w:val="28"/>
          <w:u w:val="single"/>
        </w:rPr>
        <w:t>注：1.“法定代表人”直接参加投标响应活动的仅需填写本身份证明</w:t>
      </w:r>
      <w:r>
        <w:rPr>
          <w:rFonts w:hint="eastAsia" w:ascii="宋体" w:hAnsi="宋体"/>
          <w:sz w:val="28"/>
        </w:rPr>
        <w:t>。</w:t>
      </w:r>
    </w:p>
    <w:p w14:paraId="6C86D23D">
      <w:pPr>
        <w:tabs>
          <w:tab w:val="left" w:pos="7290"/>
        </w:tabs>
        <w:spacing w:line="360" w:lineRule="auto"/>
        <w:ind w:firstLine="562"/>
        <w:rPr>
          <w:rFonts w:ascii="宋体" w:hAnsi="宋体"/>
          <w:b/>
          <w:sz w:val="28"/>
          <w:szCs w:val="28"/>
          <w:u w:val="single"/>
        </w:rPr>
      </w:pPr>
      <w:r>
        <w:rPr>
          <w:rFonts w:hint="eastAsia" w:ascii="宋体" w:hAnsi="宋体"/>
          <w:b/>
          <w:sz w:val="28"/>
          <w:szCs w:val="28"/>
          <w:u w:val="single"/>
        </w:rPr>
        <w:t>2.投标人</w:t>
      </w:r>
      <w:r>
        <w:rPr>
          <w:rFonts w:ascii="宋体" w:hAnsi="宋体"/>
          <w:b/>
          <w:sz w:val="28"/>
          <w:szCs w:val="28"/>
          <w:u w:val="single"/>
        </w:rPr>
        <w:t>属于非法人组织的，按照法律、行政法规规定能够对外代表其从事民事活动的主要负责人，视同法定代表人。</w:t>
      </w:r>
    </w:p>
    <w:p w14:paraId="32043798">
      <w:pPr>
        <w:widowControl/>
        <w:spacing w:line="360" w:lineRule="auto"/>
        <w:jc w:val="left"/>
        <w:rPr>
          <w:rFonts w:ascii="宋体" w:hAnsi="宋体"/>
          <w:b/>
          <w:sz w:val="32"/>
          <w:szCs w:val="20"/>
        </w:rPr>
      </w:pPr>
      <w:r>
        <w:rPr>
          <w:rFonts w:ascii="宋体" w:hAnsi="宋体"/>
        </w:rPr>
        <w:br w:type="page" w:clear="all"/>
      </w:r>
    </w:p>
    <w:p w14:paraId="5F1E4E24">
      <w:pPr>
        <w:pStyle w:val="5"/>
        <w:keepNext w:val="0"/>
        <w:keepLines w:val="0"/>
        <w:spacing w:before="0" w:after="0" w:line="360" w:lineRule="auto"/>
        <w:ind w:firstLine="643"/>
        <w:jc w:val="center"/>
        <w:rPr>
          <w:rFonts w:ascii="宋体" w:hAnsi="宋体"/>
          <w:b w:val="0"/>
          <w:sz w:val="15"/>
          <w:szCs w:val="15"/>
          <w:lang w:eastAsia="zh-CN"/>
        </w:rPr>
      </w:pPr>
      <w:r>
        <w:rPr>
          <w:rFonts w:hint="eastAsia" w:ascii="宋体" w:hAnsi="宋体"/>
          <w:lang w:eastAsia="zh-CN"/>
        </w:rPr>
        <w:t>三、法定代表人授权委托书</w:t>
      </w:r>
    </w:p>
    <w:p w14:paraId="3EA41311">
      <w:pPr>
        <w:spacing w:line="360" w:lineRule="auto"/>
        <w:ind w:right="420" w:firstLine="560"/>
        <w:rPr>
          <w:rFonts w:ascii="宋体" w:hAnsi="宋体"/>
          <w:sz w:val="28"/>
        </w:rPr>
      </w:pPr>
    </w:p>
    <w:p w14:paraId="70674D6D">
      <w:pPr>
        <w:spacing w:line="360" w:lineRule="auto"/>
        <w:ind w:right="420" w:firstLine="560"/>
        <w:rPr>
          <w:rFonts w:ascii="宋体" w:hAnsi="宋体"/>
          <w:sz w:val="28"/>
        </w:rPr>
      </w:pPr>
      <w:r>
        <w:rPr>
          <w:rFonts w:hint="eastAsia" w:ascii="宋体" w:hAnsi="宋体"/>
          <w:sz w:val="28"/>
        </w:rPr>
        <w:t>本授权书声明：</w:t>
      </w:r>
      <w:r>
        <w:rPr>
          <w:rFonts w:hint="eastAsia" w:ascii="宋体" w:hAnsi="宋体"/>
          <w:b/>
          <w:sz w:val="24"/>
          <w:u w:val="single"/>
          <w:lang w:val="en-US" w:eastAsia="zh-CN"/>
        </w:rPr>
        <w:t xml:space="preserve"> </w:t>
      </w:r>
      <w:r>
        <w:rPr>
          <w:rFonts w:hint="eastAsia" w:ascii="宋体" w:hAnsi="宋体"/>
          <w:b/>
          <w:sz w:val="24"/>
          <w:u w:val="single"/>
        </w:rPr>
        <w:t>（投标人名称）</w:t>
      </w:r>
      <w:r>
        <w:rPr>
          <w:rFonts w:hint="eastAsia" w:ascii="宋体" w:hAnsi="宋体"/>
          <w:b/>
          <w:sz w:val="24"/>
          <w:u w:val="single"/>
          <w:lang w:val="en-US" w:eastAsia="zh-CN"/>
        </w:rPr>
        <w:t xml:space="preserve"> </w:t>
      </w:r>
      <w:r>
        <w:rPr>
          <w:rFonts w:hint="eastAsia" w:ascii="宋体" w:hAnsi="宋体"/>
          <w:sz w:val="28"/>
        </w:rPr>
        <w:t>法定代表人</w:t>
      </w:r>
      <w:r>
        <w:rPr>
          <w:rFonts w:hint="eastAsia" w:ascii="宋体" w:hAnsi="宋体"/>
          <w:b/>
          <w:sz w:val="24"/>
          <w:u w:val="single"/>
          <w:lang w:val="en-US" w:eastAsia="zh-CN"/>
        </w:rPr>
        <w:t xml:space="preserve"> </w:t>
      </w:r>
      <w:r>
        <w:rPr>
          <w:rFonts w:hint="eastAsia" w:ascii="宋体" w:hAnsi="宋体"/>
          <w:b/>
          <w:sz w:val="24"/>
          <w:u w:val="single"/>
        </w:rPr>
        <w:t xml:space="preserve">（姓名） </w:t>
      </w:r>
      <w:r>
        <w:rPr>
          <w:rFonts w:hint="eastAsia" w:ascii="宋体" w:hAnsi="宋体"/>
          <w:sz w:val="28"/>
        </w:rPr>
        <w:t>授权</w:t>
      </w:r>
      <w:r>
        <w:rPr>
          <w:rFonts w:hint="eastAsia" w:ascii="宋体" w:hAnsi="宋体"/>
          <w:b/>
          <w:sz w:val="24"/>
          <w:u w:val="single"/>
          <w:lang w:val="en-US" w:eastAsia="zh-CN"/>
        </w:rPr>
        <w:t xml:space="preserve">  </w:t>
      </w:r>
      <w:r>
        <w:rPr>
          <w:rFonts w:hint="eastAsia" w:ascii="宋体" w:hAnsi="宋体"/>
          <w:b/>
          <w:sz w:val="24"/>
          <w:u w:val="single"/>
        </w:rPr>
        <w:t>（委托代理人的姓名、身份证号）</w:t>
      </w:r>
      <w:r>
        <w:rPr>
          <w:rFonts w:hint="eastAsia" w:ascii="宋体" w:hAnsi="宋体"/>
          <w:sz w:val="28"/>
        </w:rPr>
        <w:t>为我方就</w:t>
      </w:r>
      <w:r>
        <w:rPr>
          <w:rFonts w:hint="eastAsia" w:ascii="宋体" w:hAnsi="宋体"/>
          <w:b/>
          <w:sz w:val="24"/>
          <w:u w:val="single"/>
        </w:rPr>
        <w:t>××××（代理机构）代理的××××（项目编号、项目名称）</w:t>
      </w:r>
      <w:r>
        <w:rPr>
          <w:rFonts w:hint="eastAsia" w:ascii="宋体" w:hAnsi="宋体"/>
          <w:bCs/>
          <w:sz w:val="28"/>
        </w:rPr>
        <w:t>项目</w:t>
      </w:r>
      <w:r>
        <w:rPr>
          <w:rFonts w:hint="eastAsia" w:ascii="宋体" w:hAnsi="宋体"/>
          <w:sz w:val="28"/>
        </w:rPr>
        <w:t>的投标活动的合法代理人，以本公司名义全权处理一切与该项目投标有关的事务（含合同签订）。</w:t>
      </w:r>
    </w:p>
    <w:p w14:paraId="13FCFBF5">
      <w:pPr>
        <w:tabs>
          <w:tab w:val="left" w:pos="5560"/>
        </w:tabs>
        <w:spacing w:line="360" w:lineRule="auto"/>
        <w:ind w:firstLine="560"/>
        <w:rPr>
          <w:rFonts w:ascii="宋体" w:hAnsi="宋体"/>
          <w:sz w:val="28"/>
        </w:rPr>
      </w:pPr>
      <w:r>
        <w:rPr>
          <w:rFonts w:hint="eastAsia" w:ascii="宋体" w:hAnsi="宋体"/>
          <w:sz w:val="28"/>
        </w:rPr>
        <w:tab/>
      </w:r>
    </w:p>
    <w:p w14:paraId="72C2E274">
      <w:pPr>
        <w:spacing w:line="360" w:lineRule="auto"/>
        <w:ind w:firstLine="560"/>
        <w:rPr>
          <w:rFonts w:ascii="宋体" w:hAnsi="宋体"/>
          <w:sz w:val="28"/>
        </w:rPr>
      </w:pPr>
      <w:r>
        <w:rPr>
          <w:rFonts w:hint="eastAsia" w:ascii="宋体" w:hAnsi="宋体"/>
          <w:sz w:val="28"/>
        </w:rPr>
        <w:t>本授权书于年月日签字生效，特此声明。</w:t>
      </w:r>
    </w:p>
    <w:p w14:paraId="3C80D0D3">
      <w:pPr>
        <w:spacing w:line="360" w:lineRule="auto"/>
        <w:ind w:firstLine="560"/>
        <w:rPr>
          <w:rFonts w:ascii="宋体" w:hAnsi="宋体"/>
          <w:sz w:val="28"/>
        </w:rPr>
      </w:pPr>
      <w:r>
        <w:rPr>
          <w:rFonts w:hint="eastAsia" w:ascii="宋体" w:hAnsi="宋体"/>
          <w:sz w:val="28"/>
        </w:rPr>
        <w:t>委托代理人身份证号码：</w:t>
      </w:r>
    </w:p>
    <w:p w14:paraId="08C2F09C">
      <w:pPr>
        <w:spacing w:line="360" w:lineRule="auto"/>
        <w:ind w:firstLine="560"/>
        <w:rPr>
          <w:rFonts w:ascii="宋体" w:hAnsi="宋体"/>
          <w:sz w:val="28"/>
        </w:rPr>
      </w:pPr>
      <w:r>
        <w:rPr>
          <w:rFonts w:hint="eastAsia" w:ascii="宋体" w:hAnsi="宋体"/>
          <w:sz w:val="28"/>
        </w:rPr>
        <w:t>委托代理人联系电话：（手机）</w:t>
      </w:r>
    </w:p>
    <w:p w14:paraId="2A9CB366">
      <w:pPr>
        <w:spacing w:line="360" w:lineRule="auto"/>
        <w:ind w:firstLine="560"/>
        <w:rPr>
          <w:rFonts w:ascii="宋体" w:hAnsi="宋体"/>
          <w:sz w:val="28"/>
        </w:rPr>
      </w:pPr>
    </w:p>
    <w:p w14:paraId="37C3F0A9">
      <w:pPr>
        <w:spacing w:line="360" w:lineRule="auto"/>
        <w:ind w:firstLine="560"/>
        <w:rPr>
          <w:rFonts w:ascii="宋体" w:hAnsi="宋体"/>
          <w:sz w:val="28"/>
          <w:u w:val="single"/>
        </w:rPr>
      </w:pPr>
      <w:r>
        <w:rPr>
          <w:rFonts w:hint="eastAsia" w:ascii="宋体" w:hAnsi="宋体"/>
          <w:sz w:val="28"/>
        </w:rPr>
        <w:t xml:space="preserve">法定代表人签字或盖章：          </w:t>
      </w:r>
    </w:p>
    <w:p w14:paraId="3C080C65">
      <w:pPr>
        <w:spacing w:line="360" w:lineRule="auto"/>
        <w:ind w:firstLine="560"/>
        <w:rPr>
          <w:rFonts w:ascii="宋体" w:hAnsi="宋体"/>
          <w:sz w:val="28"/>
        </w:rPr>
      </w:pPr>
    </w:p>
    <w:p w14:paraId="21903F0B">
      <w:pPr>
        <w:spacing w:line="360" w:lineRule="auto"/>
        <w:ind w:firstLine="560"/>
        <w:rPr>
          <w:rFonts w:ascii="宋体" w:hAnsi="宋体"/>
          <w:sz w:val="28"/>
        </w:rPr>
      </w:pPr>
      <w:r>
        <w:rPr>
          <w:rFonts w:hint="eastAsia" w:ascii="宋体" w:hAnsi="宋体"/>
          <w:sz w:val="28"/>
        </w:rPr>
        <w:t>投标人名称（公章）：</w:t>
      </w:r>
    </w:p>
    <w:p w14:paraId="684BF256">
      <w:pPr>
        <w:spacing w:line="360" w:lineRule="auto"/>
        <w:ind w:firstLine="560"/>
        <w:rPr>
          <w:rFonts w:ascii="宋体" w:hAnsi="宋体"/>
          <w:sz w:val="28"/>
          <w:u w:val="single"/>
        </w:rPr>
      </w:pPr>
      <w:r>
        <w:rPr>
          <w:rFonts w:hint="eastAsia" w:ascii="宋体" w:hAnsi="宋体"/>
          <w:sz w:val="28"/>
        </w:rPr>
        <w:t>日     期：</w:t>
      </w:r>
    </w:p>
    <w:p w14:paraId="282CBEFF">
      <w:pPr>
        <w:spacing w:line="360" w:lineRule="auto"/>
        <w:ind w:firstLine="560"/>
        <w:rPr>
          <w:rFonts w:ascii="宋体" w:hAnsi="宋体"/>
          <w:sz w:val="28"/>
        </w:rPr>
      </w:pPr>
    </w:p>
    <w:p w14:paraId="4A2C83FA">
      <w:pPr>
        <w:spacing w:line="360" w:lineRule="auto"/>
        <w:ind w:firstLine="643"/>
        <w:rPr>
          <w:rFonts w:ascii="宋体" w:hAnsi="宋体"/>
          <w:sz w:val="28"/>
          <w:u w:val="single"/>
        </w:rPr>
      </w:pPr>
      <w:r>
        <w:rPr>
          <w:rFonts w:hint="eastAsia" w:ascii="宋体" w:hAnsi="宋体"/>
          <w:b/>
          <w:sz w:val="32"/>
          <w:szCs w:val="32"/>
        </w:rPr>
        <w:t>附：委托代理人居民身份证复印件</w:t>
      </w:r>
    </w:p>
    <w:p w14:paraId="0FEB8755">
      <w:pPr>
        <w:pStyle w:val="4"/>
        <w:keepNext w:val="0"/>
        <w:keepLines w:val="0"/>
        <w:spacing w:line="360" w:lineRule="auto"/>
        <w:ind w:firstLine="562"/>
        <w:jc w:val="left"/>
        <w:rPr>
          <w:rFonts w:ascii="宋体" w:hAnsi="宋体" w:eastAsia="宋体"/>
          <w:sz w:val="28"/>
          <w:szCs w:val="24"/>
          <w:u w:val="single"/>
        </w:rPr>
      </w:pPr>
      <w:r>
        <w:rPr>
          <w:rFonts w:hint="eastAsia" w:ascii="宋体" w:hAnsi="宋体" w:eastAsia="宋体"/>
          <w:sz w:val="28"/>
          <w:szCs w:val="28"/>
          <w:u w:val="single"/>
        </w:rPr>
        <w:t>注：“法定代表人”授权其他人（必须为投标人正式员工，证明材料：近半年内至少一个月社会保险缴纳材料附后）投标的，须填写法定代表人身份证明书和本委托书</w:t>
      </w:r>
      <w:r>
        <w:rPr>
          <w:rFonts w:hint="eastAsia" w:ascii="宋体" w:hAnsi="宋体" w:eastAsia="宋体"/>
          <w:sz w:val="28"/>
        </w:rPr>
        <w:t>。</w:t>
      </w:r>
    </w:p>
    <w:p w14:paraId="4E8305F9">
      <w:pPr>
        <w:pStyle w:val="5"/>
        <w:keepNext w:val="0"/>
        <w:keepLines w:val="0"/>
        <w:spacing w:before="0" w:after="0" w:line="360" w:lineRule="auto"/>
        <w:ind w:firstLine="420"/>
        <w:jc w:val="center"/>
        <w:rPr>
          <w:rFonts w:ascii="宋体" w:hAnsi="宋体"/>
          <w:b w:val="0"/>
          <w:sz w:val="21"/>
          <w:szCs w:val="24"/>
          <w:lang w:eastAsia="zh-CN"/>
        </w:rPr>
      </w:pPr>
    </w:p>
    <w:p w14:paraId="68561FD8">
      <w:pPr>
        <w:pStyle w:val="5"/>
        <w:keepNext w:val="0"/>
        <w:keepLines w:val="0"/>
        <w:spacing w:before="0" w:after="0" w:line="360" w:lineRule="auto"/>
        <w:ind w:firstLine="420"/>
        <w:jc w:val="center"/>
        <w:rPr>
          <w:rFonts w:ascii="宋体" w:hAnsi="宋体"/>
          <w:b w:val="0"/>
          <w:sz w:val="21"/>
          <w:szCs w:val="24"/>
          <w:lang w:eastAsia="zh-CN"/>
        </w:rPr>
      </w:pPr>
    </w:p>
    <w:p w14:paraId="3C143A46">
      <w:pPr>
        <w:pStyle w:val="5"/>
        <w:keepNext w:val="0"/>
        <w:keepLines w:val="0"/>
        <w:spacing w:before="0" w:after="0" w:line="360" w:lineRule="auto"/>
        <w:ind w:firstLine="720"/>
        <w:jc w:val="center"/>
        <w:rPr>
          <w:rFonts w:ascii="宋体" w:hAnsi="宋体"/>
          <w:b w:val="0"/>
          <w:sz w:val="36"/>
          <w:szCs w:val="36"/>
          <w:lang w:eastAsia="zh-CN"/>
        </w:rPr>
      </w:pPr>
    </w:p>
    <w:p w14:paraId="79129937">
      <w:pPr>
        <w:pStyle w:val="4"/>
        <w:spacing w:line="360" w:lineRule="auto"/>
        <w:rPr>
          <w:rFonts w:ascii="宋体" w:hAnsi="宋体" w:eastAsia="宋体"/>
          <w:sz w:val="32"/>
        </w:rPr>
        <w:sectPr>
          <w:footerReference r:id="rId6" w:type="first"/>
          <w:footerReference r:id="rId5" w:type="default"/>
          <w:pgSz w:w="11907" w:h="16840"/>
          <w:pgMar w:top="1247" w:right="1247" w:bottom="1247" w:left="1247" w:header="851" w:footer="992" w:gutter="0"/>
          <w:cols w:space="720" w:num="1"/>
          <w:titlePg/>
          <w:docGrid w:linePitch="360" w:charSpace="0"/>
        </w:sectPr>
      </w:pPr>
    </w:p>
    <w:p w14:paraId="4421E4AF">
      <w:pPr>
        <w:pStyle w:val="4"/>
        <w:spacing w:line="360" w:lineRule="auto"/>
        <w:ind w:firstLine="883"/>
        <w:rPr>
          <w:rFonts w:ascii="宋体" w:hAnsi="宋体" w:eastAsia="宋体"/>
          <w:szCs w:val="44"/>
        </w:rPr>
      </w:pPr>
      <w:r>
        <w:rPr>
          <w:rFonts w:hint="eastAsia" w:ascii="宋体" w:hAnsi="宋体" w:eastAsia="宋体"/>
          <w:szCs w:val="44"/>
        </w:rPr>
        <w:t>四、价格部分</w:t>
      </w:r>
    </w:p>
    <w:p w14:paraId="13CD0CDF">
      <w:pPr>
        <w:pStyle w:val="4"/>
        <w:spacing w:line="360" w:lineRule="auto"/>
        <w:ind w:firstLine="883"/>
        <w:rPr>
          <w:rFonts w:ascii="宋体" w:hAnsi="宋体" w:eastAsia="宋体"/>
          <w:szCs w:val="44"/>
        </w:rPr>
      </w:pPr>
      <w:r>
        <w:rPr>
          <w:rFonts w:hint="eastAsia" w:ascii="宋体" w:hAnsi="宋体" w:eastAsia="宋体"/>
          <w:szCs w:val="44"/>
        </w:rPr>
        <w:t>开标一览表</w:t>
      </w:r>
    </w:p>
    <w:tbl>
      <w:tblPr>
        <w:tblStyle w:val="30"/>
        <w:tblW w:w="0" w:type="auto"/>
        <w:tblInd w:w="0" w:type="dxa"/>
        <w:tblLayout w:type="fixed"/>
        <w:tblCellMar>
          <w:top w:w="0" w:type="dxa"/>
          <w:left w:w="108" w:type="dxa"/>
          <w:bottom w:w="0" w:type="dxa"/>
          <w:right w:w="108" w:type="dxa"/>
        </w:tblCellMar>
      </w:tblPr>
      <w:tblGrid>
        <w:gridCol w:w="4789"/>
        <w:gridCol w:w="9429"/>
      </w:tblGrid>
      <w:tr w14:paraId="3421F24B">
        <w:tblPrEx>
          <w:tblCellMar>
            <w:top w:w="0" w:type="dxa"/>
            <w:left w:w="108" w:type="dxa"/>
            <w:bottom w:w="0" w:type="dxa"/>
            <w:right w:w="108" w:type="dxa"/>
          </w:tblCellMar>
        </w:tblPrEx>
        <w:trPr>
          <w:trHeight w:val="460" w:hRule="atLeast"/>
        </w:trPr>
        <w:tc>
          <w:tcPr>
            <w:tcW w:w="14218" w:type="dxa"/>
            <w:gridSpan w:val="2"/>
            <w:tcBorders>
              <w:top w:val="nil"/>
              <w:left w:val="nil"/>
              <w:bottom w:val="single" w:color="000000" w:sz="4" w:space="0"/>
              <w:right w:val="nil"/>
            </w:tcBorders>
            <w:noWrap w:val="0"/>
            <w:vAlign w:val="center"/>
          </w:tcPr>
          <w:p w14:paraId="159925BA">
            <w:pPr>
              <w:widowControl/>
              <w:spacing w:line="360" w:lineRule="auto"/>
              <w:ind w:firstLine="640"/>
              <w:rPr>
                <w:rFonts w:ascii="宋体" w:hAnsi="宋体" w:cs="宋体"/>
                <w:sz w:val="32"/>
                <w:szCs w:val="32"/>
              </w:rPr>
            </w:pPr>
            <w:r>
              <w:rPr>
                <w:rFonts w:hint="eastAsia" w:ascii="宋体" w:hAnsi="宋体" w:cs="宋体"/>
                <w:sz w:val="32"/>
                <w:szCs w:val="32"/>
              </w:rPr>
              <w:t>单位名称（公章）：</w:t>
            </w:r>
            <w:r>
              <w:rPr>
                <w:rFonts w:hint="eastAsia" w:ascii="宋体" w:hAnsi="宋体"/>
                <w:b/>
                <w:sz w:val="24"/>
                <w:u w:val="single"/>
              </w:rPr>
              <w:t>××××</w:t>
            </w:r>
          </w:p>
        </w:tc>
      </w:tr>
      <w:tr w14:paraId="146D210A">
        <w:tblPrEx>
          <w:tblCellMar>
            <w:top w:w="0" w:type="dxa"/>
            <w:left w:w="108" w:type="dxa"/>
            <w:bottom w:w="0" w:type="dxa"/>
            <w:right w:w="108" w:type="dxa"/>
          </w:tblCellMar>
        </w:tblPrEx>
        <w:trPr>
          <w:trHeight w:val="1289" w:hRule="atLeast"/>
        </w:trPr>
        <w:tc>
          <w:tcPr>
            <w:tcW w:w="4789" w:type="dxa"/>
            <w:tcBorders>
              <w:top w:val="single" w:color="000000" w:sz="4" w:space="0"/>
              <w:left w:val="single" w:color="000000" w:sz="4" w:space="0"/>
              <w:bottom w:val="single" w:color="000000" w:sz="4" w:space="0"/>
              <w:right w:val="single" w:color="000000" w:sz="4" w:space="0"/>
            </w:tcBorders>
            <w:noWrap w:val="0"/>
            <w:vAlign w:val="center"/>
          </w:tcPr>
          <w:p w14:paraId="59B3269F">
            <w:pPr>
              <w:widowControl/>
              <w:spacing w:line="360" w:lineRule="auto"/>
              <w:ind w:firstLine="880"/>
              <w:jc w:val="center"/>
              <w:rPr>
                <w:rFonts w:ascii="宋体" w:hAnsi="宋体" w:cs="宋体"/>
                <w:sz w:val="44"/>
                <w:szCs w:val="44"/>
                <w:lang w:eastAsia="en-US"/>
              </w:rPr>
            </w:pPr>
            <w:r>
              <w:rPr>
                <w:rFonts w:hint="eastAsia" w:ascii="宋体" w:hAnsi="宋体" w:cs="宋体"/>
                <w:sz w:val="44"/>
                <w:szCs w:val="44"/>
                <w:lang w:eastAsia="en-US"/>
              </w:rPr>
              <w:t>项目总报价</w:t>
            </w:r>
          </w:p>
        </w:tc>
        <w:tc>
          <w:tcPr>
            <w:tcW w:w="9429" w:type="dxa"/>
            <w:tcBorders>
              <w:top w:val="single" w:color="000000" w:sz="4" w:space="0"/>
              <w:left w:val="nil"/>
              <w:bottom w:val="single" w:color="000000" w:sz="4" w:space="0"/>
              <w:right w:val="single" w:color="000000" w:sz="4" w:space="0"/>
            </w:tcBorders>
            <w:noWrap w:val="0"/>
            <w:vAlign w:val="center"/>
          </w:tcPr>
          <w:p w14:paraId="64751B94">
            <w:pPr>
              <w:widowControl/>
              <w:spacing w:line="360" w:lineRule="auto"/>
              <w:ind w:firstLine="880"/>
              <w:rPr>
                <w:rFonts w:ascii="宋体" w:hAnsi="宋体" w:cs="宋体"/>
                <w:sz w:val="44"/>
                <w:szCs w:val="44"/>
              </w:rPr>
            </w:pPr>
            <w:r>
              <w:rPr>
                <w:rFonts w:hint="eastAsia" w:ascii="宋体" w:hAnsi="宋体" w:cs="宋体"/>
                <w:sz w:val="44"/>
                <w:szCs w:val="44"/>
              </w:rPr>
              <w:t>金额（大写）：</w:t>
            </w:r>
            <w:r>
              <w:rPr>
                <w:rFonts w:hint="eastAsia" w:ascii="宋体" w:hAnsi="宋体"/>
                <w:b/>
                <w:sz w:val="24"/>
                <w:u w:val="single"/>
              </w:rPr>
              <w:t>××××</w:t>
            </w:r>
            <w:r>
              <w:rPr>
                <w:rFonts w:hint="eastAsia" w:ascii="宋体" w:hAnsi="宋体" w:cs="宋体"/>
                <w:sz w:val="44"/>
                <w:szCs w:val="44"/>
              </w:rPr>
              <w:t xml:space="preserve">元人民币                </w:t>
            </w:r>
          </w:p>
          <w:p w14:paraId="6754BF25">
            <w:pPr>
              <w:tabs>
                <w:tab w:val="left" w:pos="2185"/>
              </w:tabs>
              <w:spacing w:line="360" w:lineRule="auto"/>
              <w:ind w:firstLine="880"/>
              <w:rPr>
                <w:rFonts w:ascii="宋体" w:hAnsi="宋体" w:cs="宋体"/>
                <w:sz w:val="44"/>
                <w:szCs w:val="44"/>
                <w:lang w:eastAsia="en-US"/>
              </w:rPr>
            </w:pPr>
            <w:r>
              <w:rPr>
                <w:rFonts w:hint="eastAsia" w:ascii="宋体" w:hAnsi="宋体" w:cs="宋体"/>
                <w:sz w:val="44"/>
                <w:szCs w:val="44"/>
              </w:rPr>
              <w:tab/>
            </w:r>
            <w:r>
              <w:rPr>
                <w:rFonts w:hint="eastAsia" w:ascii="宋体" w:hAnsi="宋体" w:cs="宋体"/>
                <w:sz w:val="44"/>
                <w:szCs w:val="44"/>
                <w:lang w:eastAsia="en-US"/>
              </w:rPr>
              <w:t>¥：</w:t>
            </w:r>
            <w:r>
              <w:rPr>
                <w:rFonts w:hint="eastAsia" w:ascii="宋体" w:hAnsi="宋体"/>
                <w:b/>
                <w:sz w:val="24"/>
                <w:u w:val="single"/>
                <w:lang w:eastAsia="en-US"/>
              </w:rPr>
              <w:t>××××××××</w:t>
            </w:r>
            <w:r>
              <w:rPr>
                <w:rFonts w:hint="eastAsia" w:ascii="宋体" w:hAnsi="宋体" w:cs="宋体"/>
                <w:sz w:val="44"/>
                <w:szCs w:val="44"/>
                <w:lang w:eastAsia="en-US"/>
              </w:rPr>
              <w:t xml:space="preserve">元            </w:t>
            </w:r>
          </w:p>
        </w:tc>
      </w:tr>
      <w:tr w14:paraId="0AF8F30A">
        <w:tblPrEx>
          <w:tblCellMar>
            <w:top w:w="0" w:type="dxa"/>
            <w:left w:w="108" w:type="dxa"/>
            <w:bottom w:w="0" w:type="dxa"/>
            <w:right w:w="108" w:type="dxa"/>
          </w:tblCellMar>
        </w:tblPrEx>
        <w:trPr>
          <w:trHeight w:val="691" w:hRule="atLeast"/>
        </w:trPr>
        <w:tc>
          <w:tcPr>
            <w:tcW w:w="4789" w:type="dxa"/>
            <w:tcBorders>
              <w:top w:val="nil"/>
              <w:left w:val="single" w:color="000000" w:sz="4" w:space="0"/>
              <w:bottom w:val="single" w:color="000000" w:sz="4" w:space="0"/>
              <w:right w:val="single" w:color="000000" w:sz="4" w:space="0"/>
            </w:tcBorders>
            <w:noWrap w:val="0"/>
            <w:vAlign w:val="center"/>
          </w:tcPr>
          <w:p w14:paraId="6E79F7EB">
            <w:pPr>
              <w:widowControl/>
              <w:spacing w:line="360" w:lineRule="auto"/>
              <w:ind w:firstLine="880"/>
              <w:jc w:val="center"/>
              <w:rPr>
                <w:rFonts w:ascii="宋体" w:hAnsi="宋体" w:cs="宋体"/>
                <w:sz w:val="44"/>
                <w:szCs w:val="44"/>
                <w:lang w:eastAsia="en-US"/>
              </w:rPr>
            </w:pPr>
            <w:r>
              <w:rPr>
                <w:rFonts w:hint="eastAsia" w:ascii="宋体" w:hAnsi="宋体" w:cs="宋体"/>
                <w:sz w:val="44"/>
                <w:szCs w:val="44"/>
                <w:lang w:eastAsia="en-US"/>
              </w:rPr>
              <w:t>项目工期</w:t>
            </w:r>
          </w:p>
        </w:tc>
        <w:tc>
          <w:tcPr>
            <w:tcW w:w="9429" w:type="dxa"/>
            <w:tcBorders>
              <w:top w:val="nil"/>
              <w:left w:val="nil"/>
              <w:bottom w:val="single" w:color="000000" w:sz="4" w:space="0"/>
              <w:right w:val="single" w:color="000000" w:sz="4" w:space="0"/>
            </w:tcBorders>
            <w:noWrap w:val="0"/>
            <w:vAlign w:val="center"/>
          </w:tcPr>
          <w:p w14:paraId="094B3B43">
            <w:pPr>
              <w:widowControl/>
              <w:spacing w:line="360" w:lineRule="auto"/>
              <w:ind w:firstLine="880"/>
              <w:rPr>
                <w:rFonts w:ascii="宋体" w:hAnsi="宋体" w:cs="宋体"/>
                <w:sz w:val="44"/>
                <w:szCs w:val="44"/>
                <w:lang w:eastAsia="en-US"/>
              </w:rPr>
            </w:pPr>
          </w:p>
        </w:tc>
      </w:tr>
    </w:tbl>
    <w:p w14:paraId="7B99C552">
      <w:pPr>
        <w:pStyle w:val="98"/>
        <w:spacing w:line="360" w:lineRule="auto"/>
        <w:ind w:firstLine="482"/>
        <w:rPr>
          <w:rFonts w:ascii="宋体" w:hAnsi="宋体" w:eastAsia="宋体"/>
          <w:b/>
          <w:sz w:val="24"/>
        </w:rPr>
      </w:pPr>
    </w:p>
    <w:p w14:paraId="48D50A70">
      <w:pPr>
        <w:pStyle w:val="98"/>
        <w:spacing w:line="360" w:lineRule="auto"/>
        <w:ind w:firstLine="482"/>
        <w:rPr>
          <w:rFonts w:ascii="宋体" w:hAnsi="宋体" w:eastAsia="宋体"/>
          <w:sz w:val="24"/>
          <w:u w:val="single"/>
        </w:rPr>
      </w:pPr>
      <w:r>
        <w:rPr>
          <w:rFonts w:hint="eastAsia" w:ascii="宋体" w:hAnsi="宋体" w:eastAsia="宋体"/>
          <w:b/>
          <w:sz w:val="24"/>
        </w:rPr>
        <w:t xml:space="preserve">注： </w:t>
      </w:r>
      <w:r>
        <w:rPr>
          <w:rFonts w:hint="eastAsia" w:ascii="宋体" w:hAnsi="宋体" w:eastAsia="宋体"/>
          <w:sz w:val="24"/>
          <w:u w:val="single"/>
        </w:rPr>
        <w:t>1.“项目总报价”包括本次招标要求提供的货物（服务）已支付或将支付的所有费用；</w:t>
      </w:r>
    </w:p>
    <w:p w14:paraId="515728F7">
      <w:pPr>
        <w:pStyle w:val="98"/>
        <w:spacing w:line="360" w:lineRule="auto"/>
        <w:ind w:firstLine="480"/>
        <w:rPr>
          <w:rFonts w:ascii="宋体" w:hAnsi="宋体" w:eastAsia="宋体"/>
          <w:bCs/>
          <w:sz w:val="24"/>
          <w:u w:val="single"/>
        </w:rPr>
      </w:pPr>
      <w:r>
        <w:rPr>
          <w:rFonts w:hint="eastAsia" w:ascii="宋体" w:hAnsi="宋体" w:eastAsia="宋体"/>
          <w:bCs/>
          <w:sz w:val="24"/>
          <w:u w:val="single"/>
        </w:rPr>
        <w:t>2.投标人必须据实填写此表，报价所含与招标文件要求的内容一致；</w:t>
      </w:r>
    </w:p>
    <w:p w14:paraId="37DB28EC">
      <w:pPr>
        <w:pStyle w:val="98"/>
        <w:spacing w:line="360" w:lineRule="auto"/>
        <w:ind w:firstLine="480"/>
        <w:rPr>
          <w:rFonts w:ascii="宋体" w:hAnsi="宋体" w:eastAsia="宋体"/>
          <w:bCs/>
          <w:sz w:val="24"/>
          <w:u w:val="single"/>
        </w:rPr>
      </w:pPr>
      <w:r>
        <w:rPr>
          <w:rFonts w:hint="eastAsia" w:ascii="宋体" w:hAnsi="宋体" w:eastAsia="宋体"/>
          <w:bCs/>
          <w:sz w:val="24"/>
          <w:u w:val="single"/>
        </w:rPr>
        <w:t>3.报价保留至小数点后两位，四舍五入。</w:t>
      </w:r>
    </w:p>
    <w:p w14:paraId="1322A08A">
      <w:pPr>
        <w:pStyle w:val="98"/>
        <w:spacing w:line="360" w:lineRule="auto"/>
        <w:ind w:left="482" w:firstLine="560"/>
        <w:rPr>
          <w:rFonts w:ascii="宋体" w:hAnsi="宋体" w:eastAsia="宋体"/>
          <w:sz w:val="30"/>
        </w:rPr>
      </w:pPr>
      <w:r>
        <w:rPr>
          <w:rFonts w:hint="eastAsia" w:ascii="宋体" w:hAnsi="宋体" w:eastAsia="宋体"/>
        </w:rPr>
        <w:t>法定代表人签字或盖章</w:t>
      </w:r>
      <w:r>
        <w:rPr>
          <w:rFonts w:hint="eastAsia" w:ascii="宋体" w:hAnsi="宋体" w:eastAsia="宋体"/>
          <w:sz w:val="30"/>
        </w:rPr>
        <w:t>：</w:t>
      </w:r>
      <w:r>
        <w:rPr>
          <w:rFonts w:hint="eastAsia" w:ascii="宋体" w:hAnsi="宋体" w:eastAsia="宋体"/>
          <w:b/>
          <w:sz w:val="24"/>
          <w:u w:val="single"/>
        </w:rPr>
        <w:t>××××</w:t>
      </w:r>
    </w:p>
    <w:p w14:paraId="32AB350C">
      <w:pPr>
        <w:pStyle w:val="98"/>
        <w:spacing w:line="360" w:lineRule="auto"/>
        <w:ind w:left="840" w:firstLine="560"/>
        <w:jc w:val="right"/>
        <w:rPr>
          <w:rFonts w:ascii="宋体" w:hAnsi="宋体" w:eastAsia="宋体"/>
          <w:sz w:val="30"/>
        </w:rPr>
        <w:sectPr>
          <w:pgSz w:w="16838" w:h="11906" w:orient="landscape"/>
          <w:pgMar w:top="1418" w:right="1418" w:bottom="1418" w:left="1418" w:header="851" w:footer="992" w:gutter="0"/>
          <w:cols w:space="720" w:num="1"/>
          <w:docGrid w:linePitch="360" w:charSpace="0"/>
        </w:sectPr>
      </w:pPr>
      <w:r>
        <w:rPr>
          <w:rFonts w:hint="eastAsia" w:ascii="宋体" w:hAnsi="宋体" w:eastAsia="宋体"/>
        </w:rPr>
        <w:t>日期：</w:t>
      </w:r>
      <w:r>
        <w:rPr>
          <w:rFonts w:hint="eastAsia" w:ascii="宋体" w:hAnsi="宋体" w:eastAsia="宋体"/>
          <w:b/>
          <w:sz w:val="24"/>
          <w:u w:val="single"/>
        </w:rPr>
        <w:t>××××</w:t>
      </w:r>
      <w:r>
        <w:rPr>
          <w:rFonts w:hint="eastAsia" w:ascii="宋体" w:hAnsi="宋体" w:eastAsia="宋体"/>
        </w:rPr>
        <w:t>年</w:t>
      </w:r>
      <w:r>
        <w:rPr>
          <w:rFonts w:hint="eastAsia" w:ascii="宋体" w:hAnsi="宋体" w:eastAsia="宋体"/>
          <w:b/>
          <w:sz w:val="24"/>
          <w:u w:val="single"/>
        </w:rPr>
        <w:t>××</w:t>
      </w:r>
      <w:r>
        <w:rPr>
          <w:rFonts w:hint="eastAsia" w:ascii="宋体" w:hAnsi="宋体" w:eastAsia="宋体"/>
        </w:rPr>
        <w:t>月</w:t>
      </w:r>
      <w:r>
        <w:rPr>
          <w:rFonts w:hint="eastAsia" w:ascii="宋体" w:hAnsi="宋体" w:eastAsia="宋体"/>
          <w:b/>
          <w:sz w:val="24"/>
          <w:u w:val="single"/>
        </w:rPr>
        <w:t>××</w:t>
      </w:r>
      <w:r>
        <w:rPr>
          <w:rFonts w:hint="eastAsia" w:ascii="宋体" w:hAnsi="宋体" w:eastAsia="宋体"/>
        </w:rPr>
        <w:t>日</w:t>
      </w:r>
    </w:p>
    <w:p w14:paraId="4FC65C7A">
      <w:pPr>
        <w:pStyle w:val="4"/>
        <w:keepNext w:val="0"/>
        <w:keepLines w:val="0"/>
        <w:tabs>
          <w:tab w:val="left" w:pos="764"/>
        </w:tabs>
        <w:spacing w:before="100" w:beforeAutospacing="1" w:after="0" w:line="360" w:lineRule="auto"/>
        <w:rPr>
          <w:rFonts w:ascii="宋体" w:hAnsi="宋体" w:eastAsia="宋体"/>
          <w:sz w:val="36"/>
          <w:szCs w:val="36"/>
        </w:rPr>
      </w:pPr>
      <w:r>
        <w:rPr>
          <w:rFonts w:hint="eastAsia" w:ascii="宋体" w:hAnsi="宋体" w:eastAsia="宋体"/>
          <w:sz w:val="36"/>
          <w:szCs w:val="36"/>
        </w:rPr>
        <w:t>清单及明细报价表</w:t>
      </w:r>
    </w:p>
    <w:tbl>
      <w:tblPr>
        <w:tblStyle w:val="30"/>
        <w:tblW w:w="9782" w:type="dxa"/>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43"/>
        <w:gridCol w:w="1608"/>
        <w:gridCol w:w="1492"/>
        <w:gridCol w:w="656"/>
        <w:gridCol w:w="1037"/>
        <w:gridCol w:w="1752"/>
        <w:gridCol w:w="1626"/>
        <w:gridCol w:w="1068"/>
      </w:tblGrid>
      <w:tr w14:paraId="47B4BD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 w:hRule="atLeast"/>
        </w:trPr>
        <w:tc>
          <w:tcPr>
            <w:tcW w:w="9782" w:type="dxa"/>
            <w:gridSpan w:val="8"/>
            <w:noWrap w:val="0"/>
            <w:vAlign w:val="center"/>
          </w:tcPr>
          <w:p w14:paraId="3194F700">
            <w:pPr>
              <w:spacing w:line="360" w:lineRule="auto"/>
              <w:jc w:val="center"/>
              <w:rPr>
                <w:rFonts w:ascii="宋体" w:hAnsi="宋体"/>
                <w:b/>
                <w:sz w:val="24"/>
                <w:lang w:eastAsia="en-US"/>
              </w:rPr>
            </w:pPr>
            <w:r>
              <w:rPr>
                <w:rFonts w:hint="eastAsia" w:ascii="宋体" w:hAnsi="宋体"/>
                <w:b/>
                <w:sz w:val="24"/>
                <w:lang w:eastAsia="en-US"/>
              </w:rPr>
              <w:t>一、货物部分</w:t>
            </w:r>
          </w:p>
        </w:tc>
      </w:tr>
      <w:tr w14:paraId="64A169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 w:hRule="atLeast"/>
        </w:trPr>
        <w:tc>
          <w:tcPr>
            <w:tcW w:w="543" w:type="dxa"/>
            <w:tcBorders>
              <w:right w:val="single" w:color="000000" w:sz="4" w:space="0"/>
            </w:tcBorders>
            <w:noWrap w:val="0"/>
            <w:vAlign w:val="center"/>
          </w:tcPr>
          <w:p w14:paraId="3658B4EA">
            <w:pPr>
              <w:spacing w:line="360" w:lineRule="auto"/>
              <w:jc w:val="center"/>
              <w:rPr>
                <w:rFonts w:ascii="宋体" w:hAnsi="宋体"/>
                <w:b/>
                <w:sz w:val="24"/>
                <w:lang w:eastAsia="en-US"/>
              </w:rPr>
            </w:pPr>
            <w:r>
              <w:rPr>
                <w:rFonts w:hint="eastAsia" w:ascii="宋体" w:hAnsi="宋体"/>
                <w:b/>
                <w:sz w:val="24"/>
                <w:lang w:eastAsia="en-US"/>
              </w:rPr>
              <w:t>序号</w:t>
            </w:r>
          </w:p>
        </w:tc>
        <w:tc>
          <w:tcPr>
            <w:tcW w:w="1608" w:type="dxa"/>
            <w:tcBorders>
              <w:left w:val="single" w:color="000000" w:sz="4" w:space="0"/>
              <w:right w:val="single" w:color="000000" w:sz="4" w:space="0"/>
            </w:tcBorders>
            <w:noWrap w:val="0"/>
            <w:vAlign w:val="center"/>
          </w:tcPr>
          <w:p w14:paraId="10B1E289">
            <w:pPr>
              <w:spacing w:line="360" w:lineRule="auto"/>
              <w:jc w:val="center"/>
              <w:rPr>
                <w:rFonts w:ascii="宋体" w:hAnsi="宋体"/>
                <w:b/>
                <w:sz w:val="24"/>
                <w:lang w:eastAsia="en-US"/>
              </w:rPr>
            </w:pPr>
            <w:r>
              <w:rPr>
                <w:rFonts w:hint="eastAsia" w:ascii="宋体" w:hAnsi="宋体"/>
                <w:b/>
                <w:sz w:val="24"/>
                <w:lang w:eastAsia="en-US"/>
              </w:rPr>
              <w:t>标的名称</w:t>
            </w:r>
          </w:p>
        </w:tc>
        <w:tc>
          <w:tcPr>
            <w:tcW w:w="1492" w:type="dxa"/>
            <w:tcBorders>
              <w:left w:val="single" w:color="000000" w:sz="4" w:space="0"/>
              <w:right w:val="single" w:color="000000" w:sz="4" w:space="0"/>
            </w:tcBorders>
            <w:noWrap w:val="0"/>
            <w:vAlign w:val="center"/>
          </w:tcPr>
          <w:p w14:paraId="5344F812">
            <w:pPr>
              <w:spacing w:line="360" w:lineRule="auto"/>
              <w:jc w:val="center"/>
              <w:rPr>
                <w:rFonts w:ascii="宋体" w:hAnsi="宋体"/>
                <w:b/>
                <w:sz w:val="24"/>
                <w:lang w:eastAsia="en-US"/>
              </w:rPr>
            </w:pPr>
            <w:r>
              <w:rPr>
                <w:rFonts w:hint="eastAsia" w:ascii="宋体" w:hAnsi="宋体"/>
                <w:b/>
                <w:sz w:val="24"/>
                <w:lang w:eastAsia="en-US"/>
              </w:rPr>
              <w:t>品牌型号</w:t>
            </w:r>
          </w:p>
        </w:tc>
        <w:tc>
          <w:tcPr>
            <w:tcW w:w="1693" w:type="dxa"/>
            <w:gridSpan w:val="2"/>
            <w:tcBorders>
              <w:right w:val="single" w:color="000000" w:sz="4" w:space="0"/>
            </w:tcBorders>
            <w:noWrap w:val="0"/>
            <w:vAlign w:val="center"/>
          </w:tcPr>
          <w:p w14:paraId="3D368ADA">
            <w:pPr>
              <w:spacing w:line="360" w:lineRule="auto"/>
              <w:jc w:val="center"/>
              <w:rPr>
                <w:rFonts w:ascii="宋体" w:hAnsi="宋体"/>
                <w:b/>
                <w:sz w:val="24"/>
                <w:lang w:eastAsia="en-US"/>
              </w:rPr>
            </w:pPr>
            <w:r>
              <w:rPr>
                <w:rFonts w:hint="eastAsia" w:ascii="宋体" w:hAnsi="宋体"/>
                <w:b/>
                <w:sz w:val="24"/>
                <w:lang w:eastAsia="en-US"/>
              </w:rPr>
              <w:t>数量</w:t>
            </w:r>
          </w:p>
        </w:tc>
        <w:tc>
          <w:tcPr>
            <w:tcW w:w="1752" w:type="dxa"/>
            <w:tcBorders>
              <w:left w:val="single" w:color="000000" w:sz="4" w:space="0"/>
              <w:right w:val="single" w:color="000000" w:sz="4" w:space="0"/>
            </w:tcBorders>
            <w:noWrap w:val="0"/>
            <w:vAlign w:val="center"/>
          </w:tcPr>
          <w:p w14:paraId="22038BFC">
            <w:pPr>
              <w:spacing w:line="360" w:lineRule="auto"/>
              <w:jc w:val="center"/>
              <w:rPr>
                <w:rFonts w:ascii="宋体" w:hAnsi="宋体"/>
                <w:b/>
                <w:sz w:val="24"/>
                <w:lang w:eastAsia="en-US"/>
              </w:rPr>
            </w:pPr>
            <w:r>
              <w:rPr>
                <w:rFonts w:hint="eastAsia" w:ascii="宋体" w:hAnsi="宋体"/>
                <w:b/>
                <w:sz w:val="24"/>
                <w:lang w:eastAsia="en-US"/>
              </w:rPr>
              <w:t>单价（元）</w:t>
            </w:r>
          </w:p>
        </w:tc>
        <w:tc>
          <w:tcPr>
            <w:tcW w:w="1626" w:type="dxa"/>
            <w:tcBorders>
              <w:left w:val="single" w:color="000000" w:sz="4" w:space="0"/>
              <w:right w:val="single" w:color="000000" w:sz="4" w:space="0"/>
            </w:tcBorders>
            <w:noWrap w:val="0"/>
            <w:vAlign w:val="center"/>
          </w:tcPr>
          <w:p w14:paraId="341519DA">
            <w:pPr>
              <w:spacing w:line="360" w:lineRule="auto"/>
              <w:jc w:val="center"/>
              <w:rPr>
                <w:rFonts w:ascii="宋体" w:hAnsi="宋体"/>
                <w:b/>
                <w:sz w:val="24"/>
                <w:lang w:eastAsia="en-US"/>
              </w:rPr>
            </w:pPr>
            <w:r>
              <w:rPr>
                <w:rFonts w:hint="eastAsia" w:ascii="宋体" w:hAnsi="宋体"/>
                <w:b/>
                <w:sz w:val="24"/>
                <w:lang w:eastAsia="en-US"/>
              </w:rPr>
              <w:t>合计（元）</w:t>
            </w:r>
          </w:p>
        </w:tc>
        <w:tc>
          <w:tcPr>
            <w:tcW w:w="1068" w:type="dxa"/>
            <w:tcBorders>
              <w:left w:val="single" w:color="000000" w:sz="4" w:space="0"/>
            </w:tcBorders>
            <w:noWrap w:val="0"/>
            <w:vAlign w:val="center"/>
          </w:tcPr>
          <w:p w14:paraId="0954601E">
            <w:pPr>
              <w:spacing w:line="360" w:lineRule="auto"/>
              <w:jc w:val="center"/>
              <w:rPr>
                <w:rFonts w:ascii="宋体" w:hAnsi="宋体"/>
                <w:b/>
                <w:sz w:val="24"/>
                <w:lang w:eastAsia="en-US"/>
              </w:rPr>
            </w:pPr>
            <w:r>
              <w:rPr>
                <w:rFonts w:hint="eastAsia" w:ascii="宋体" w:hAnsi="宋体"/>
                <w:b/>
                <w:sz w:val="24"/>
                <w:lang w:eastAsia="en-US"/>
              </w:rPr>
              <w:t>免费质保期</w:t>
            </w:r>
          </w:p>
        </w:tc>
      </w:tr>
      <w:tr w14:paraId="13AA11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 w:hRule="atLeast"/>
        </w:trPr>
        <w:tc>
          <w:tcPr>
            <w:tcW w:w="543" w:type="dxa"/>
            <w:tcBorders>
              <w:right w:val="single" w:color="000000" w:sz="4" w:space="0"/>
            </w:tcBorders>
            <w:noWrap w:val="0"/>
            <w:vAlign w:val="center"/>
          </w:tcPr>
          <w:p w14:paraId="1AACF290">
            <w:pPr>
              <w:spacing w:line="360" w:lineRule="auto"/>
              <w:jc w:val="center"/>
              <w:rPr>
                <w:rFonts w:ascii="宋体" w:hAnsi="宋体"/>
                <w:sz w:val="24"/>
                <w:lang w:eastAsia="en-US"/>
              </w:rPr>
            </w:pPr>
            <w:r>
              <w:rPr>
                <w:rFonts w:hint="eastAsia" w:ascii="宋体" w:hAnsi="宋体"/>
                <w:sz w:val="24"/>
                <w:lang w:eastAsia="en-US"/>
              </w:rPr>
              <w:t>1</w:t>
            </w:r>
          </w:p>
        </w:tc>
        <w:tc>
          <w:tcPr>
            <w:tcW w:w="1608" w:type="dxa"/>
            <w:tcBorders>
              <w:left w:val="single" w:color="000000" w:sz="4" w:space="0"/>
              <w:right w:val="single" w:color="000000" w:sz="4" w:space="0"/>
            </w:tcBorders>
            <w:noWrap w:val="0"/>
            <w:vAlign w:val="center"/>
          </w:tcPr>
          <w:p w14:paraId="343E024A">
            <w:pPr>
              <w:widowControl/>
              <w:spacing w:line="360" w:lineRule="auto"/>
              <w:rPr>
                <w:rFonts w:ascii="宋体" w:hAnsi="宋体" w:cs="Calibri"/>
                <w:sz w:val="24"/>
                <w:lang w:eastAsia="en-US"/>
              </w:rPr>
            </w:pPr>
          </w:p>
        </w:tc>
        <w:tc>
          <w:tcPr>
            <w:tcW w:w="1492" w:type="dxa"/>
            <w:tcBorders>
              <w:left w:val="single" w:color="000000" w:sz="4" w:space="0"/>
              <w:right w:val="single" w:color="000000" w:sz="4" w:space="0"/>
            </w:tcBorders>
            <w:noWrap w:val="0"/>
            <w:vAlign w:val="center"/>
          </w:tcPr>
          <w:p w14:paraId="11755176">
            <w:pPr>
              <w:spacing w:line="360" w:lineRule="auto"/>
              <w:jc w:val="center"/>
              <w:rPr>
                <w:rFonts w:ascii="宋体" w:hAnsi="宋体"/>
                <w:sz w:val="24"/>
                <w:lang w:eastAsia="en-US"/>
              </w:rPr>
            </w:pPr>
          </w:p>
        </w:tc>
        <w:tc>
          <w:tcPr>
            <w:tcW w:w="1693" w:type="dxa"/>
            <w:gridSpan w:val="2"/>
            <w:tcBorders>
              <w:right w:val="single" w:color="000000" w:sz="4" w:space="0"/>
            </w:tcBorders>
            <w:noWrap w:val="0"/>
            <w:vAlign w:val="center"/>
          </w:tcPr>
          <w:p w14:paraId="6B4AFFC7">
            <w:pPr>
              <w:widowControl/>
              <w:spacing w:line="360" w:lineRule="auto"/>
              <w:jc w:val="center"/>
              <w:rPr>
                <w:rFonts w:ascii="宋体" w:hAnsi="宋体" w:cs="Calibri"/>
                <w:sz w:val="24"/>
                <w:lang w:eastAsia="en-US"/>
              </w:rPr>
            </w:pPr>
          </w:p>
        </w:tc>
        <w:tc>
          <w:tcPr>
            <w:tcW w:w="1752" w:type="dxa"/>
            <w:tcBorders>
              <w:left w:val="single" w:color="000000" w:sz="4" w:space="0"/>
              <w:right w:val="single" w:color="000000" w:sz="4" w:space="0"/>
            </w:tcBorders>
            <w:noWrap w:val="0"/>
            <w:vAlign w:val="center"/>
          </w:tcPr>
          <w:p w14:paraId="566F9C99">
            <w:pPr>
              <w:spacing w:line="360" w:lineRule="auto"/>
              <w:jc w:val="center"/>
              <w:rPr>
                <w:rFonts w:ascii="宋体" w:hAnsi="宋体"/>
                <w:sz w:val="24"/>
                <w:lang w:eastAsia="en-US"/>
              </w:rPr>
            </w:pPr>
          </w:p>
        </w:tc>
        <w:tc>
          <w:tcPr>
            <w:tcW w:w="1626" w:type="dxa"/>
            <w:tcBorders>
              <w:left w:val="single" w:color="000000" w:sz="4" w:space="0"/>
              <w:right w:val="single" w:color="000000" w:sz="4" w:space="0"/>
            </w:tcBorders>
            <w:noWrap w:val="0"/>
            <w:vAlign w:val="center"/>
          </w:tcPr>
          <w:p w14:paraId="070AF876">
            <w:pPr>
              <w:spacing w:line="360" w:lineRule="auto"/>
              <w:jc w:val="center"/>
              <w:rPr>
                <w:rFonts w:ascii="宋体" w:hAnsi="宋体"/>
                <w:sz w:val="24"/>
                <w:lang w:eastAsia="en-US"/>
              </w:rPr>
            </w:pPr>
          </w:p>
        </w:tc>
        <w:tc>
          <w:tcPr>
            <w:tcW w:w="1068" w:type="dxa"/>
            <w:tcBorders>
              <w:left w:val="single" w:color="000000" w:sz="4" w:space="0"/>
            </w:tcBorders>
            <w:noWrap w:val="0"/>
          </w:tcPr>
          <w:p w14:paraId="71A299F5">
            <w:pPr>
              <w:spacing w:line="360" w:lineRule="auto"/>
              <w:jc w:val="center"/>
              <w:rPr>
                <w:rFonts w:ascii="宋体" w:hAnsi="宋体"/>
                <w:sz w:val="24"/>
                <w:lang w:eastAsia="en-US"/>
              </w:rPr>
            </w:pPr>
          </w:p>
        </w:tc>
      </w:tr>
      <w:tr w14:paraId="01F69C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 w:hRule="atLeast"/>
        </w:trPr>
        <w:tc>
          <w:tcPr>
            <w:tcW w:w="543" w:type="dxa"/>
            <w:tcBorders>
              <w:right w:val="single" w:color="000000" w:sz="4" w:space="0"/>
            </w:tcBorders>
            <w:noWrap w:val="0"/>
            <w:vAlign w:val="center"/>
          </w:tcPr>
          <w:p w14:paraId="0A07FF00">
            <w:pPr>
              <w:spacing w:line="360" w:lineRule="auto"/>
              <w:jc w:val="center"/>
              <w:rPr>
                <w:rFonts w:ascii="宋体" w:hAnsi="宋体"/>
                <w:sz w:val="24"/>
                <w:lang w:eastAsia="en-US"/>
              </w:rPr>
            </w:pPr>
            <w:r>
              <w:rPr>
                <w:rFonts w:hint="eastAsia" w:ascii="宋体" w:hAnsi="宋体"/>
                <w:sz w:val="24"/>
                <w:lang w:eastAsia="en-US"/>
              </w:rPr>
              <w:t>2</w:t>
            </w:r>
          </w:p>
        </w:tc>
        <w:tc>
          <w:tcPr>
            <w:tcW w:w="1608" w:type="dxa"/>
            <w:tcBorders>
              <w:left w:val="single" w:color="000000" w:sz="4" w:space="0"/>
              <w:right w:val="single" w:color="000000" w:sz="4" w:space="0"/>
            </w:tcBorders>
            <w:noWrap w:val="0"/>
            <w:vAlign w:val="center"/>
          </w:tcPr>
          <w:p w14:paraId="4ED5BC80">
            <w:pPr>
              <w:widowControl/>
              <w:spacing w:line="360" w:lineRule="auto"/>
              <w:rPr>
                <w:rFonts w:ascii="宋体" w:hAnsi="宋体" w:cs="Calibri"/>
                <w:sz w:val="24"/>
                <w:lang w:eastAsia="en-US"/>
              </w:rPr>
            </w:pPr>
          </w:p>
        </w:tc>
        <w:tc>
          <w:tcPr>
            <w:tcW w:w="1492" w:type="dxa"/>
            <w:tcBorders>
              <w:left w:val="single" w:color="000000" w:sz="4" w:space="0"/>
              <w:right w:val="single" w:color="000000" w:sz="4" w:space="0"/>
            </w:tcBorders>
            <w:noWrap w:val="0"/>
            <w:vAlign w:val="center"/>
          </w:tcPr>
          <w:p w14:paraId="436E106B">
            <w:pPr>
              <w:spacing w:line="360" w:lineRule="auto"/>
              <w:jc w:val="center"/>
              <w:rPr>
                <w:rFonts w:ascii="宋体" w:hAnsi="宋体"/>
                <w:sz w:val="24"/>
                <w:lang w:eastAsia="en-US"/>
              </w:rPr>
            </w:pPr>
          </w:p>
        </w:tc>
        <w:tc>
          <w:tcPr>
            <w:tcW w:w="1693" w:type="dxa"/>
            <w:gridSpan w:val="2"/>
            <w:tcBorders>
              <w:right w:val="single" w:color="000000" w:sz="4" w:space="0"/>
            </w:tcBorders>
            <w:noWrap w:val="0"/>
            <w:vAlign w:val="center"/>
          </w:tcPr>
          <w:p w14:paraId="09CE8EEF">
            <w:pPr>
              <w:widowControl/>
              <w:spacing w:line="360" w:lineRule="auto"/>
              <w:jc w:val="center"/>
              <w:rPr>
                <w:rFonts w:ascii="宋体" w:hAnsi="宋体" w:cs="Calibri"/>
                <w:sz w:val="24"/>
                <w:lang w:eastAsia="en-US"/>
              </w:rPr>
            </w:pPr>
          </w:p>
        </w:tc>
        <w:tc>
          <w:tcPr>
            <w:tcW w:w="1752" w:type="dxa"/>
            <w:tcBorders>
              <w:left w:val="single" w:color="000000" w:sz="4" w:space="0"/>
              <w:right w:val="single" w:color="000000" w:sz="4" w:space="0"/>
            </w:tcBorders>
            <w:noWrap w:val="0"/>
            <w:vAlign w:val="center"/>
          </w:tcPr>
          <w:p w14:paraId="1F24F3DA">
            <w:pPr>
              <w:spacing w:line="360" w:lineRule="auto"/>
              <w:jc w:val="center"/>
              <w:rPr>
                <w:rFonts w:ascii="宋体" w:hAnsi="宋体"/>
                <w:sz w:val="24"/>
                <w:lang w:eastAsia="en-US"/>
              </w:rPr>
            </w:pPr>
          </w:p>
        </w:tc>
        <w:tc>
          <w:tcPr>
            <w:tcW w:w="1626" w:type="dxa"/>
            <w:tcBorders>
              <w:left w:val="single" w:color="000000" w:sz="4" w:space="0"/>
              <w:right w:val="single" w:color="000000" w:sz="4" w:space="0"/>
            </w:tcBorders>
            <w:noWrap w:val="0"/>
            <w:vAlign w:val="center"/>
          </w:tcPr>
          <w:p w14:paraId="20463E4B">
            <w:pPr>
              <w:spacing w:line="360" w:lineRule="auto"/>
              <w:jc w:val="center"/>
              <w:rPr>
                <w:rFonts w:ascii="宋体" w:hAnsi="宋体"/>
                <w:sz w:val="24"/>
                <w:lang w:eastAsia="en-US"/>
              </w:rPr>
            </w:pPr>
          </w:p>
        </w:tc>
        <w:tc>
          <w:tcPr>
            <w:tcW w:w="1068" w:type="dxa"/>
            <w:tcBorders>
              <w:left w:val="single" w:color="000000" w:sz="4" w:space="0"/>
            </w:tcBorders>
            <w:noWrap w:val="0"/>
          </w:tcPr>
          <w:p w14:paraId="775378EB">
            <w:pPr>
              <w:spacing w:line="360" w:lineRule="auto"/>
              <w:jc w:val="center"/>
              <w:rPr>
                <w:rFonts w:ascii="宋体" w:hAnsi="宋体"/>
                <w:sz w:val="24"/>
                <w:lang w:eastAsia="en-US"/>
              </w:rPr>
            </w:pPr>
          </w:p>
        </w:tc>
      </w:tr>
      <w:tr w14:paraId="67D682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 w:hRule="atLeast"/>
        </w:trPr>
        <w:tc>
          <w:tcPr>
            <w:tcW w:w="543" w:type="dxa"/>
            <w:tcBorders>
              <w:right w:val="single" w:color="000000" w:sz="4" w:space="0"/>
            </w:tcBorders>
            <w:noWrap w:val="0"/>
            <w:vAlign w:val="center"/>
          </w:tcPr>
          <w:p w14:paraId="21109E90">
            <w:pPr>
              <w:spacing w:line="360" w:lineRule="auto"/>
              <w:jc w:val="center"/>
              <w:rPr>
                <w:rFonts w:ascii="宋体" w:hAnsi="宋体"/>
                <w:sz w:val="24"/>
                <w:lang w:eastAsia="en-US"/>
              </w:rPr>
            </w:pPr>
            <w:r>
              <w:rPr>
                <w:rFonts w:hint="eastAsia" w:ascii="宋体" w:hAnsi="宋体"/>
                <w:sz w:val="24"/>
                <w:lang w:eastAsia="en-US"/>
              </w:rPr>
              <w:t>3</w:t>
            </w:r>
          </w:p>
        </w:tc>
        <w:tc>
          <w:tcPr>
            <w:tcW w:w="1608" w:type="dxa"/>
            <w:tcBorders>
              <w:left w:val="single" w:color="000000" w:sz="4" w:space="0"/>
              <w:right w:val="single" w:color="000000" w:sz="4" w:space="0"/>
            </w:tcBorders>
            <w:noWrap w:val="0"/>
            <w:vAlign w:val="center"/>
          </w:tcPr>
          <w:p w14:paraId="1A1DDE99">
            <w:pPr>
              <w:widowControl/>
              <w:spacing w:line="360" w:lineRule="auto"/>
              <w:rPr>
                <w:rFonts w:ascii="宋体" w:hAnsi="宋体" w:cs="Calibri"/>
                <w:sz w:val="24"/>
                <w:lang w:eastAsia="en-US"/>
              </w:rPr>
            </w:pPr>
          </w:p>
        </w:tc>
        <w:tc>
          <w:tcPr>
            <w:tcW w:w="1492" w:type="dxa"/>
            <w:tcBorders>
              <w:left w:val="single" w:color="000000" w:sz="4" w:space="0"/>
              <w:right w:val="single" w:color="000000" w:sz="4" w:space="0"/>
            </w:tcBorders>
            <w:noWrap w:val="0"/>
            <w:vAlign w:val="center"/>
          </w:tcPr>
          <w:p w14:paraId="5390EDC0">
            <w:pPr>
              <w:spacing w:line="360" w:lineRule="auto"/>
              <w:jc w:val="center"/>
              <w:rPr>
                <w:rFonts w:ascii="宋体" w:hAnsi="宋体"/>
                <w:sz w:val="24"/>
                <w:lang w:eastAsia="en-US"/>
              </w:rPr>
            </w:pPr>
          </w:p>
        </w:tc>
        <w:tc>
          <w:tcPr>
            <w:tcW w:w="1693" w:type="dxa"/>
            <w:gridSpan w:val="2"/>
            <w:tcBorders>
              <w:right w:val="single" w:color="000000" w:sz="4" w:space="0"/>
            </w:tcBorders>
            <w:noWrap w:val="0"/>
            <w:vAlign w:val="center"/>
          </w:tcPr>
          <w:p w14:paraId="05D0403C">
            <w:pPr>
              <w:widowControl/>
              <w:spacing w:line="360" w:lineRule="auto"/>
              <w:jc w:val="center"/>
              <w:rPr>
                <w:rFonts w:ascii="宋体" w:hAnsi="宋体" w:cs="Calibri"/>
                <w:sz w:val="24"/>
                <w:lang w:eastAsia="en-US"/>
              </w:rPr>
            </w:pPr>
          </w:p>
        </w:tc>
        <w:tc>
          <w:tcPr>
            <w:tcW w:w="1752" w:type="dxa"/>
            <w:tcBorders>
              <w:left w:val="single" w:color="000000" w:sz="4" w:space="0"/>
              <w:right w:val="single" w:color="000000" w:sz="4" w:space="0"/>
            </w:tcBorders>
            <w:noWrap w:val="0"/>
            <w:vAlign w:val="center"/>
          </w:tcPr>
          <w:p w14:paraId="3DA45289">
            <w:pPr>
              <w:spacing w:line="360" w:lineRule="auto"/>
              <w:jc w:val="center"/>
              <w:rPr>
                <w:rFonts w:ascii="宋体" w:hAnsi="宋体"/>
                <w:sz w:val="24"/>
                <w:lang w:eastAsia="en-US"/>
              </w:rPr>
            </w:pPr>
          </w:p>
        </w:tc>
        <w:tc>
          <w:tcPr>
            <w:tcW w:w="1626" w:type="dxa"/>
            <w:tcBorders>
              <w:left w:val="single" w:color="000000" w:sz="4" w:space="0"/>
              <w:right w:val="single" w:color="000000" w:sz="4" w:space="0"/>
            </w:tcBorders>
            <w:noWrap w:val="0"/>
            <w:vAlign w:val="center"/>
          </w:tcPr>
          <w:p w14:paraId="5EF81936">
            <w:pPr>
              <w:spacing w:line="360" w:lineRule="auto"/>
              <w:jc w:val="center"/>
              <w:rPr>
                <w:rFonts w:ascii="宋体" w:hAnsi="宋体"/>
                <w:sz w:val="24"/>
                <w:lang w:eastAsia="en-US"/>
              </w:rPr>
            </w:pPr>
          </w:p>
        </w:tc>
        <w:tc>
          <w:tcPr>
            <w:tcW w:w="1068" w:type="dxa"/>
            <w:tcBorders>
              <w:left w:val="single" w:color="000000" w:sz="4" w:space="0"/>
            </w:tcBorders>
            <w:noWrap w:val="0"/>
          </w:tcPr>
          <w:p w14:paraId="5572171E">
            <w:pPr>
              <w:spacing w:line="360" w:lineRule="auto"/>
              <w:jc w:val="center"/>
              <w:rPr>
                <w:rFonts w:ascii="宋体" w:hAnsi="宋体"/>
                <w:sz w:val="24"/>
                <w:lang w:eastAsia="en-US"/>
              </w:rPr>
            </w:pPr>
          </w:p>
        </w:tc>
      </w:tr>
      <w:tr w14:paraId="00BC15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 w:hRule="atLeast"/>
        </w:trPr>
        <w:tc>
          <w:tcPr>
            <w:tcW w:w="9782" w:type="dxa"/>
            <w:gridSpan w:val="8"/>
            <w:noWrap w:val="0"/>
            <w:vAlign w:val="center"/>
          </w:tcPr>
          <w:p w14:paraId="6525EA24">
            <w:pPr>
              <w:spacing w:line="360" w:lineRule="auto"/>
              <w:jc w:val="center"/>
              <w:rPr>
                <w:rFonts w:ascii="宋体" w:hAnsi="宋体"/>
                <w:b/>
                <w:sz w:val="24"/>
                <w:lang w:eastAsia="en-US"/>
              </w:rPr>
            </w:pPr>
            <w:r>
              <w:rPr>
                <w:rFonts w:hint="eastAsia" w:ascii="宋体" w:hAnsi="宋体"/>
                <w:b/>
                <w:sz w:val="24"/>
                <w:lang w:eastAsia="en-US"/>
              </w:rPr>
              <w:t>货物部分小计：     元</w:t>
            </w:r>
          </w:p>
        </w:tc>
      </w:tr>
      <w:tr w14:paraId="4D8F7C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99" w:type="dxa"/>
            <w:gridSpan w:val="4"/>
            <w:noWrap w:val="0"/>
          </w:tcPr>
          <w:p w14:paraId="059FF9BA">
            <w:pPr>
              <w:spacing w:line="360" w:lineRule="auto"/>
              <w:rPr>
                <w:rFonts w:ascii="宋体" w:hAnsi="宋体"/>
                <w:b/>
                <w:sz w:val="24"/>
              </w:rPr>
            </w:pPr>
            <w:r>
              <w:rPr>
                <w:rFonts w:hint="eastAsia" w:ascii="宋体" w:hAnsi="宋体"/>
                <w:b/>
                <w:sz w:val="24"/>
              </w:rPr>
              <w:t>其它与项目有关的费用</w:t>
            </w:r>
          </w:p>
        </w:tc>
        <w:tc>
          <w:tcPr>
            <w:tcW w:w="5483" w:type="dxa"/>
            <w:gridSpan w:val="4"/>
            <w:noWrap w:val="0"/>
          </w:tcPr>
          <w:p w14:paraId="10742447">
            <w:pPr>
              <w:spacing w:line="360" w:lineRule="auto"/>
              <w:jc w:val="center"/>
              <w:rPr>
                <w:rFonts w:ascii="宋体" w:hAnsi="宋体"/>
                <w:sz w:val="24"/>
                <w:lang w:eastAsia="en-US"/>
              </w:rPr>
            </w:pPr>
            <w:r>
              <w:rPr>
                <w:rFonts w:hint="eastAsia" w:ascii="宋体" w:hAnsi="宋体" w:cs="楷体"/>
                <w:b/>
                <w:sz w:val="24"/>
                <w:lang w:eastAsia="en-US"/>
              </w:rPr>
              <w:t>元</w:t>
            </w:r>
          </w:p>
        </w:tc>
      </w:tr>
      <w:tr w14:paraId="1E2EEF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99" w:type="dxa"/>
            <w:gridSpan w:val="4"/>
            <w:noWrap w:val="0"/>
          </w:tcPr>
          <w:p w14:paraId="2BD41C14">
            <w:pPr>
              <w:spacing w:line="360" w:lineRule="auto"/>
              <w:rPr>
                <w:rFonts w:ascii="宋体" w:hAnsi="宋体"/>
                <w:b/>
                <w:sz w:val="24"/>
                <w:lang w:eastAsia="en-US"/>
              </w:rPr>
            </w:pPr>
            <w:r>
              <w:rPr>
                <w:rFonts w:hint="eastAsia" w:ascii="宋体" w:hAnsi="宋体"/>
                <w:b/>
                <w:sz w:val="24"/>
                <w:lang w:eastAsia="en-US"/>
              </w:rPr>
              <w:t>项目总报价</w:t>
            </w:r>
          </w:p>
        </w:tc>
        <w:tc>
          <w:tcPr>
            <w:tcW w:w="5483" w:type="dxa"/>
            <w:gridSpan w:val="4"/>
            <w:noWrap w:val="0"/>
          </w:tcPr>
          <w:p w14:paraId="00BF80A6">
            <w:pPr>
              <w:spacing w:line="360" w:lineRule="auto"/>
              <w:jc w:val="center"/>
              <w:rPr>
                <w:rFonts w:ascii="宋体" w:hAnsi="宋体"/>
                <w:sz w:val="24"/>
                <w:lang w:eastAsia="en-US"/>
              </w:rPr>
            </w:pPr>
            <w:r>
              <w:rPr>
                <w:rFonts w:hint="eastAsia" w:ascii="宋体" w:hAnsi="宋体" w:cs="楷体"/>
                <w:b/>
                <w:sz w:val="24"/>
                <w:lang w:eastAsia="en-US"/>
              </w:rPr>
              <w:t>元</w:t>
            </w:r>
          </w:p>
        </w:tc>
      </w:tr>
    </w:tbl>
    <w:p w14:paraId="3B60A0A6">
      <w:pPr>
        <w:spacing w:line="360" w:lineRule="auto"/>
        <w:rPr>
          <w:rFonts w:ascii="宋体" w:hAnsi="宋体"/>
          <w:b/>
          <w:sz w:val="24"/>
        </w:rPr>
      </w:pPr>
    </w:p>
    <w:p w14:paraId="318F9500">
      <w:pPr>
        <w:spacing w:line="360" w:lineRule="auto"/>
        <w:rPr>
          <w:rFonts w:ascii="宋体" w:hAnsi="宋体"/>
          <w:b/>
          <w:sz w:val="24"/>
          <w:u w:val="single"/>
        </w:rPr>
      </w:pPr>
      <w:r>
        <w:rPr>
          <w:rFonts w:hint="eastAsia" w:ascii="宋体" w:hAnsi="宋体"/>
          <w:b/>
          <w:sz w:val="24"/>
        </w:rPr>
        <w:t>注：</w:t>
      </w:r>
      <w:r>
        <w:rPr>
          <w:rFonts w:hint="eastAsia" w:ascii="宋体" w:hAnsi="宋体"/>
          <w:sz w:val="24"/>
        </w:rPr>
        <w:t>1、</w:t>
      </w:r>
      <w:r>
        <w:rPr>
          <w:rFonts w:hint="eastAsia" w:ascii="宋体" w:hAnsi="宋体"/>
          <w:b/>
          <w:sz w:val="24"/>
          <w:u w:val="single"/>
        </w:rPr>
        <w:t>投标人应当按照招标文件采购需求及相关报价要求填写</w:t>
      </w:r>
      <w:r>
        <w:rPr>
          <w:rFonts w:hint="eastAsia" w:ascii="宋体" w:hAnsi="宋体"/>
          <w:sz w:val="24"/>
          <w:u w:val="single"/>
        </w:rPr>
        <w:t>。</w:t>
      </w:r>
    </w:p>
    <w:p w14:paraId="6F54909A">
      <w:pPr>
        <w:spacing w:line="360" w:lineRule="auto"/>
        <w:ind w:left="-283" w:firstLine="480"/>
        <w:rPr>
          <w:rFonts w:ascii="宋体" w:hAnsi="宋体"/>
          <w:sz w:val="24"/>
          <w:u w:val="single"/>
        </w:rPr>
      </w:pPr>
      <w:r>
        <w:rPr>
          <w:rFonts w:hint="eastAsia" w:ascii="宋体" w:hAnsi="宋体"/>
          <w:sz w:val="24"/>
        </w:rPr>
        <w:t>2、</w:t>
      </w:r>
      <w:r>
        <w:rPr>
          <w:rFonts w:hint="eastAsia" w:ascii="宋体" w:hAnsi="宋体"/>
          <w:sz w:val="24"/>
          <w:u w:val="single"/>
        </w:rPr>
        <w:t>本表中“其它”由投标人根据采购需求及自身经验进行补充填写。项目实施时，除采购人明确提出需要变更增加外，不再增加任何费用，投标人应确保本项目能安全、正常运行并达到采购要求。</w:t>
      </w:r>
    </w:p>
    <w:p w14:paraId="2F7E9941">
      <w:pPr>
        <w:spacing w:line="360" w:lineRule="auto"/>
        <w:ind w:left="-283" w:firstLine="480"/>
        <w:rPr>
          <w:rFonts w:ascii="宋体" w:hAnsi="宋体"/>
          <w:sz w:val="24"/>
          <w:u w:val="single"/>
        </w:rPr>
      </w:pPr>
      <w:r>
        <w:rPr>
          <w:rFonts w:hint="eastAsia" w:ascii="宋体" w:hAnsi="宋体"/>
          <w:sz w:val="24"/>
        </w:rPr>
        <w:t>3、</w:t>
      </w:r>
      <w:r>
        <w:rPr>
          <w:rFonts w:hint="eastAsia" w:ascii="宋体" w:hAnsi="宋体"/>
          <w:sz w:val="24"/>
          <w:u w:val="single"/>
        </w:rPr>
        <w:t>本表中项目总报价应与开标一览表中项目总报价保持一致。</w:t>
      </w:r>
    </w:p>
    <w:p w14:paraId="714719F6">
      <w:pPr>
        <w:spacing w:line="360" w:lineRule="auto"/>
        <w:ind w:left="-283" w:firstLine="480"/>
        <w:rPr>
          <w:rFonts w:ascii="宋体" w:hAnsi="宋体"/>
          <w:bCs/>
          <w:sz w:val="24"/>
          <w:u w:val="single"/>
        </w:rPr>
      </w:pPr>
      <w:r>
        <w:rPr>
          <w:rFonts w:hint="eastAsia" w:ascii="宋体" w:hAnsi="宋体"/>
          <w:sz w:val="24"/>
        </w:rPr>
        <w:t>4、</w:t>
      </w:r>
      <w:r>
        <w:rPr>
          <w:rFonts w:hint="eastAsia" w:ascii="宋体" w:hAnsi="宋体"/>
          <w:bCs/>
          <w:sz w:val="24"/>
          <w:u w:val="single"/>
        </w:rPr>
        <w:t>报价保留至小数点后两位，四舍五入。</w:t>
      </w:r>
    </w:p>
    <w:p w14:paraId="23DDF74C">
      <w:pPr>
        <w:spacing w:line="360" w:lineRule="auto"/>
        <w:ind w:left="-283" w:firstLine="480"/>
        <w:rPr>
          <w:rFonts w:ascii="宋体" w:hAnsi="宋体"/>
          <w:bCs/>
          <w:sz w:val="24"/>
          <w:u w:val="single"/>
        </w:rPr>
      </w:pPr>
      <w:r>
        <w:rPr>
          <w:rFonts w:hint="eastAsia" w:ascii="宋体" w:hAnsi="宋体"/>
          <w:bCs/>
          <w:sz w:val="24"/>
        </w:rPr>
        <w:t>5、</w:t>
      </w:r>
      <w:r>
        <w:rPr>
          <w:rFonts w:hint="eastAsia" w:ascii="宋体" w:hAnsi="宋体"/>
          <w:bCs/>
          <w:sz w:val="24"/>
          <w:u w:val="single"/>
        </w:rPr>
        <w:t>标的物报价不得为零，否则投标无效。</w:t>
      </w:r>
    </w:p>
    <w:p w14:paraId="2D55321B">
      <w:pPr>
        <w:pStyle w:val="9"/>
        <w:spacing w:line="360" w:lineRule="auto"/>
        <w:jc w:val="center"/>
        <w:rPr>
          <w:rFonts w:ascii="宋体" w:hAnsi="宋体"/>
          <w:b/>
          <w:sz w:val="32"/>
          <w:szCs w:val="32"/>
          <w:lang w:eastAsia="zh-CN"/>
        </w:rPr>
      </w:pPr>
      <w:r>
        <w:rPr>
          <w:rFonts w:ascii="宋体" w:hAnsi="宋体"/>
          <w:lang w:eastAsia="zh-CN"/>
        </w:rPr>
        <w:br w:type="page" w:clear="all"/>
      </w:r>
      <w:r>
        <w:rPr>
          <w:rFonts w:hint="eastAsia" w:ascii="宋体" w:hAnsi="宋体"/>
          <w:b/>
          <w:sz w:val="32"/>
          <w:szCs w:val="32"/>
          <w:lang w:eastAsia="zh-CN"/>
        </w:rPr>
        <w:t>五、技术部分</w:t>
      </w:r>
    </w:p>
    <w:p w14:paraId="250DB27E">
      <w:pPr>
        <w:widowControl/>
        <w:spacing w:line="360" w:lineRule="auto"/>
        <w:jc w:val="center"/>
        <w:rPr>
          <w:rFonts w:ascii="宋体" w:hAnsi="宋体"/>
          <w:b/>
          <w:sz w:val="24"/>
        </w:rPr>
      </w:pPr>
      <w:r>
        <w:rPr>
          <w:rFonts w:hint="eastAsia" w:ascii="宋体" w:hAnsi="宋体"/>
          <w:b/>
          <w:sz w:val="24"/>
        </w:rPr>
        <w:t>1.技术响应及偏离表</w:t>
      </w:r>
    </w:p>
    <w:tbl>
      <w:tblPr>
        <w:tblStyle w:val="30"/>
        <w:tblW w:w="10292" w:type="dxa"/>
        <w:jc w:val="center"/>
        <w:tblLayout w:type="fixed"/>
        <w:tblCellMar>
          <w:top w:w="0" w:type="dxa"/>
          <w:left w:w="28" w:type="dxa"/>
          <w:bottom w:w="0" w:type="dxa"/>
          <w:right w:w="28" w:type="dxa"/>
        </w:tblCellMar>
      </w:tblPr>
      <w:tblGrid>
        <w:gridCol w:w="639"/>
        <w:gridCol w:w="1418"/>
        <w:gridCol w:w="1134"/>
        <w:gridCol w:w="992"/>
        <w:gridCol w:w="992"/>
        <w:gridCol w:w="1417"/>
        <w:gridCol w:w="1418"/>
        <w:gridCol w:w="1134"/>
        <w:gridCol w:w="1148"/>
      </w:tblGrid>
      <w:tr w14:paraId="093B5E69">
        <w:tblPrEx>
          <w:tblCellMar>
            <w:top w:w="0" w:type="dxa"/>
            <w:left w:w="28" w:type="dxa"/>
            <w:bottom w:w="0" w:type="dxa"/>
            <w:right w:w="28" w:type="dxa"/>
          </w:tblCellMar>
        </w:tblPrEx>
        <w:trPr>
          <w:trHeight w:val="964" w:hRule="atLeast"/>
          <w:jc w:val="center"/>
        </w:trPr>
        <w:tc>
          <w:tcPr>
            <w:tcW w:w="639" w:type="dxa"/>
            <w:tcBorders>
              <w:top w:val="single" w:color="000000" w:sz="6" w:space="0"/>
              <w:left w:val="single" w:color="000000" w:sz="6" w:space="0"/>
              <w:bottom w:val="single" w:color="000000" w:sz="6" w:space="0"/>
              <w:right w:val="single" w:color="000000" w:sz="6" w:space="0"/>
            </w:tcBorders>
            <w:noWrap w:val="0"/>
            <w:vAlign w:val="center"/>
          </w:tcPr>
          <w:p w14:paraId="2421FB11">
            <w:pPr>
              <w:spacing w:before="40" w:after="40" w:line="360" w:lineRule="auto"/>
              <w:jc w:val="center"/>
              <w:rPr>
                <w:rFonts w:ascii="宋体" w:hAnsi="宋体"/>
                <w:b/>
                <w:szCs w:val="21"/>
                <w:lang w:eastAsia="en-US"/>
              </w:rPr>
            </w:pPr>
            <w:r>
              <w:rPr>
                <w:rFonts w:ascii="宋体" w:hAnsi="宋体"/>
                <w:b/>
                <w:sz w:val="32"/>
                <w:szCs w:val="32"/>
              </w:rPr>
              <w:br w:type="page" w:clear="all"/>
            </w:r>
            <w:r>
              <w:rPr>
                <w:rFonts w:hint="eastAsia" w:ascii="宋体" w:hAnsi="宋体"/>
                <w:b/>
                <w:szCs w:val="21"/>
                <w:lang w:eastAsia="en-US"/>
              </w:rPr>
              <w:t>序号</w:t>
            </w:r>
          </w:p>
        </w:tc>
        <w:tc>
          <w:tcPr>
            <w:tcW w:w="1418" w:type="dxa"/>
            <w:tcBorders>
              <w:top w:val="single" w:color="000000" w:sz="6" w:space="0"/>
              <w:left w:val="nil"/>
              <w:bottom w:val="single" w:color="000000" w:sz="6" w:space="0"/>
              <w:right w:val="single" w:color="000000" w:sz="6" w:space="0"/>
            </w:tcBorders>
            <w:noWrap w:val="0"/>
            <w:vAlign w:val="center"/>
          </w:tcPr>
          <w:p w14:paraId="473F09EB">
            <w:pPr>
              <w:spacing w:before="40" w:after="40" w:line="360" w:lineRule="auto"/>
              <w:jc w:val="center"/>
              <w:rPr>
                <w:rFonts w:ascii="宋体" w:hAnsi="宋体"/>
                <w:b/>
                <w:szCs w:val="21"/>
                <w:lang w:eastAsia="en-US"/>
              </w:rPr>
            </w:pPr>
            <w:r>
              <w:rPr>
                <w:rFonts w:hint="eastAsia" w:ascii="宋体" w:hAnsi="宋体"/>
                <w:b/>
                <w:szCs w:val="21"/>
                <w:lang w:eastAsia="en-US"/>
              </w:rPr>
              <w:t>重要性（★、</w:t>
            </w:r>
            <w:r>
              <w:rPr>
                <w:rFonts w:hint="eastAsia" w:ascii="宋体" w:hAnsi="宋体" w:cs="宋体"/>
                <w:szCs w:val="21"/>
              </w:rPr>
              <w:t>▲</w:t>
            </w:r>
            <w:r>
              <w:rPr>
                <w:rFonts w:hint="eastAsia" w:ascii="宋体" w:hAnsi="宋体"/>
                <w:b/>
                <w:szCs w:val="21"/>
                <w:lang w:eastAsia="en-US"/>
              </w:rPr>
              <w:t>）</w:t>
            </w:r>
          </w:p>
        </w:tc>
        <w:tc>
          <w:tcPr>
            <w:tcW w:w="1134" w:type="dxa"/>
            <w:tcBorders>
              <w:top w:val="single" w:color="000000" w:sz="6" w:space="0"/>
              <w:left w:val="nil"/>
              <w:bottom w:val="single" w:color="000000" w:sz="6" w:space="0"/>
              <w:right w:val="single" w:color="000000" w:sz="6" w:space="0"/>
            </w:tcBorders>
            <w:noWrap w:val="0"/>
            <w:vAlign w:val="center"/>
          </w:tcPr>
          <w:p w14:paraId="755DA6C1">
            <w:pPr>
              <w:spacing w:before="40" w:after="40" w:line="360" w:lineRule="auto"/>
              <w:jc w:val="center"/>
              <w:rPr>
                <w:rFonts w:ascii="宋体" w:hAnsi="宋体"/>
                <w:b/>
                <w:szCs w:val="21"/>
                <w:lang w:eastAsia="en-US"/>
              </w:rPr>
            </w:pPr>
            <w:r>
              <w:rPr>
                <w:rFonts w:hint="eastAsia" w:ascii="宋体" w:hAnsi="宋体"/>
                <w:b/>
                <w:szCs w:val="21"/>
                <w:lang w:eastAsia="en-US"/>
              </w:rPr>
              <w:t>标的名称</w:t>
            </w:r>
          </w:p>
        </w:tc>
        <w:tc>
          <w:tcPr>
            <w:tcW w:w="992" w:type="dxa"/>
            <w:tcBorders>
              <w:top w:val="single" w:color="000000" w:sz="6" w:space="0"/>
              <w:left w:val="nil"/>
              <w:bottom w:val="single" w:color="000000" w:sz="6" w:space="0"/>
              <w:right w:val="single" w:color="000000" w:sz="4" w:space="0"/>
            </w:tcBorders>
            <w:noWrap w:val="0"/>
            <w:vAlign w:val="center"/>
          </w:tcPr>
          <w:p w14:paraId="78120DA6">
            <w:pPr>
              <w:spacing w:before="40" w:after="40" w:line="360" w:lineRule="auto"/>
              <w:jc w:val="center"/>
              <w:rPr>
                <w:rFonts w:ascii="宋体" w:hAnsi="宋体"/>
                <w:b/>
                <w:szCs w:val="21"/>
                <w:lang w:eastAsia="en-US"/>
              </w:rPr>
            </w:pPr>
            <w:r>
              <w:rPr>
                <w:rFonts w:hint="eastAsia" w:ascii="宋体" w:hAnsi="宋体"/>
                <w:b/>
                <w:szCs w:val="21"/>
                <w:lang w:eastAsia="en-US"/>
              </w:rPr>
              <w:t>响应产品名称及型号</w:t>
            </w:r>
          </w:p>
        </w:tc>
        <w:tc>
          <w:tcPr>
            <w:tcW w:w="992" w:type="dxa"/>
            <w:tcBorders>
              <w:top w:val="single" w:color="000000" w:sz="6" w:space="0"/>
              <w:left w:val="nil"/>
              <w:bottom w:val="single" w:color="000000" w:sz="6" w:space="0"/>
              <w:right w:val="single" w:color="000000" w:sz="4" w:space="0"/>
            </w:tcBorders>
            <w:noWrap w:val="0"/>
            <w:vAlign w:val="center"/>
          </w:tcPr>
          <w:p w14:paraId="6A6ED4E0">
            <w:pPr>
              <w:spacing w:before="40" w:after="40" w:line="360" w:lineRule="auto"/>
              <w:rPr>
                <w:rFonts w:ascii="宋体" w:hAnsi="宋体"/>
                <w:b/>
                <w:szCs w:val="21"/>
                <w:lang w:eastAsia="en-US"/>
              </w:rPr>
            </w:pPr>
            <w:r>
              <w:rPr>
                <w:rFonts w:hint="eastAsia" w:ascii="宋体" w:hAnsi="宋体"/>
                <w:b/>
                <w:szCs w:val="21"/>
                <w:lang w:eastAsia="en-US"/>
              </w:rPr>
              <w:t>指标要求</w:t>
            </w:r>
          </w:p>
        </w:tc>
        <w:tc>
          <w:tcPr>
            <w:tcW w:w="1417" w:type="dxa"/>
            <w:tcBorders>
              <w:top w:val="single" w:color="000000" w:sz="6" w:space="0"/>
              <w:left w:val="single" w:color="000000" w:sz="4" w:space="0"/>
              <w:bottom w:val="single" w:color="000000" w:sz="6" w:space="0"/>
              <w:right w:val="single" w:color="000000" w:sz="6" w:space="0"/>
            </w:tcBorders>
            <w:noWrap w:val="0"/>
            <w:vAlign w:val="center"/>
          </w:tcPr>
          <w:p w14:paraId="2CEB9108">
            <w:pPr>
              <w:spacing w:before="40" w:after="40" w:line="360" w:lineRule="auto"/>
              <w:rPr>
                <w:rFonts w:ascii="宋体" w:hAnsi="宋体"/>
                <w:b/>
                <w:szCs w:val="21"/>
                <w:lang w:eastAsia="en-US"/>
              </w:rPr>
            </w:pPr>
            <w:r>
              <w:rPr>
                <w:rFonts w:hint="eastAsia" w:ascii="宋体" w:hAnsi="宋体"/>
                <w:b/>
                <w:szCs w:val="21"/>
                <w:lang w:eastAsia="en-US"/>
              </w:rPr>
              <w:t>证明材料要求</w:t>
            </w:r>
          </w:p>
        </w:tc>
        <w:tc>
          <w:tcPr>
            <w:tcW w:w="1418" w:type="dxa"/>
            <w:tcBorders>
              <w:top w:val="single" w:color="000000" w:sz="6" w:space="0"/>
              <w:left w:val="nil"/>
              <w:bottom w:val="single" w:color="000000" w:sz="6" w:space="0"/>
              <w:right w:val="single" w:color="000000" w:sz="6" w:space="0"/>
            </w:tcBorders>
            <w:noWrap w:val="0"/>
            <w:vAlign w:val="center"/>
          </w:tcPr>
          <w:p w14:paraId="7E4935BC">
            <w:pPr>
              <w:spacing w:before="40" w:after="40" w:line="360" w:lineRule="auto"/>
              <w:jc w:val="center"/>
              <w:rPr>
                <w:rFonts w:ascii="宋体" w:hAnsi="宋体"/>
                <w:b/>
                <w:szCs w:val="21"/>
                <w:lang w:eastAsia="en-US"/>
              </w:rPr>
            </w:pPr>
            <w:r>
              <w:rPr>
                <w:rFonts w:hint="eastAsia" w:ascii="宋体" w:hAnsi="宋体"/>
                <w:b/>
                <w:szCs w:val="21"/>
                <w:lang w:eastAsia="en-US"/>
              </w:rPr>
              <w:t>响应情况</w:t>
            </w:r>
          </w:p>
        </w:tc>
        <w:tc>
          <w:tcPr>
            <w:tcW w:w="1134" w:type="dxa"/>
            <w:tcBorders>
              <w:top w:val="single" w:color="000000" w:sz="6" w:space="0"/>
              <w:left w:val="nil"/>
              <w:bottom w:val="single" w:color="000000" w:sz="6" w:space="0"/>
              <w:right w:val="single" w:color="000000" w:sz="6" w:space="0"/>
            </w:tcBorders>
            <w:noWrap w:val="0"/>
            <w:vAlign w:val="center"/>
          </w:tcPr>
          <w:p w14:paraId="7031F83B">
            <w:pPr>
              <w:spacing w:before="40" w:after="40" w:line="360" w:lineRule="auto"/>
              <w:jc w:val="center"/>
              <w:rPr>
                <w:rFonts w:ascii="宋体" w:hAnsi="宋体"/>
                <w:b/>
                <w:szCs w:val="21"/>
              </w:rPr>
            </w:pPr>
            <w:r>
              <w:rPr>
                <w:rFonts w:hint="eastAsia" w:ascii="宋体" w:hAnsi="宋体"/>
                <w:b/>
                <w:szCs w:val="21"/>
              </w:rPr>
              <w:t>偏离情况（正偏离/无偏离/负偏离）</w:t>
            </w:r>
          </w:p>
        </w:tc>
        <w:tc>
          <w:tcPr>
            <w:tcW w:w="1148" w:type="dxa"/>
            <w:tcBorders>
              <w:top w:val="single" w:color="000000" w:sz="6" w:space="0"/>
              <w:left w:val="nil"/>
              <w:bottom w:val="single" w:color="000000" w:sz="6" w:space="0"/>
              <w:right w:val="single" w:color="000000" w:sz="6" w:space="0"/>
            </w:tcBorders>
            <w:noWrap w:val="0"/>
            <w:vAlign w:val="center"/>
          </w:tcPr>
          <w:p w14:paraId="5CF34762">
            <w:pPr>
              <w:spacing w:before="40" w:after="40" w:line="360" w:lineRule="auto"/>
              <w:jc w:val="center"/>
              <w:rPr>
                <w:rFonts w:ascii="宋体" w:hAnsi="宋体"/>
                <w:b/>
                <w:szCs w:val="21"/>
              </w:rPr>
            </w:pPr>
            <w:r>
              <w:rPr>
                <w:rFonts w:hint="eastAsia" w:ascii="宋体" w:hAnsi="宋体"/>
                <w:b/>
                <w:szCs w:val="21"/>
              </w:rPr>
              <w:t>备注（证明材料所在位置）</w:t>
            </w:r>
          </w:p>
        </w:tc>
      </w:tr>
      <w:tr w14:paraId="1DB1646F">
        <w:tblPrEx>
          <w:tblCellMar>
            <w:top w:w="0" w:type="dxa"/>
            <w:left w:w="28" w:type="dxa"/>
            <w:bottom w:w="0" w:type="dxa"/>
            <w:right w:w="28" w:type="dxa"/>
          </w:tblCellMar>
        </w:tblPrEx>
        <w:trPr>
          <w:trHeight w:val="964" w:hRule="atLeast"/>
          <w:jc w:val="center"/>
        </w:trPr>
        <w:tc>
          <w:tcPr>
            <w:tcW w:w="639" w:type="dxa"/>
            <w:tcBorders>
              <w:top w:val="single" w:color="000000" w:sz="6" w:space="0"/>
              <w:left w:val="single" w:color="000000" w:sz="6" w:space="0"/>
              <w:bottom w:val="single" w:color="000000" w:sz="6" w:space="0"/>
              <w:right w:val="single" w:color="000000" w:sz="6" w:space="0"/>
            </w:tcBorders>
            <w:noWrap w:val="0"/>
          </w:tcPr>
          <w:p w14:paraId="081C3D24">
            <w:pPr>
              <w:spacing w:line="360" w:lineRule="auto"/>
              <w:jc w:val="center"/>
              <w:rPr>
                <w:rFonts w:ascii="宋体" w:hAnsi="宋体" w:cs="黑体"/>
                <w:lang w:eastAsia="en-US"/>
              </w:rPr>
            </w:pPr>
            <w:r>
              <w:rPr>
                <w:rFonts w:ascii="宋体" w:hAnsi="宋体"/>
                <w:lang w:eastAsia="en-US"/>
              </w:rPr>
              <w:t>1</w:t>
            </w:r>
          </w:p>
        </w:tc>
        <w:tc>
          <w:tcPr>
            <w:tcW w:w="1418" w:type="dxa"/>
            <w:tcBorders>
              <w:top w:val="single" w:color="000000" w:sz="6" w:space="0"/>
              <w:left w:val="nil"/>
              <w:bottom w:val="single" w:color="000000" w:sz="6" w:space="0"/>
              <w:right w:val="single" w:color="000000" w:sz="6" w:space="0"/>
            </w:tcBorders>
            <w:noWrap w:val="0"/>
          </w:tcPr>
          <w:p w14:paraId="06F82AFF">
            <w:pPr>
              <w:spacing w:line="360" w:lineRule="auto"/>
              <w:rPr>
                <w:rFonts w:ascii="宋体" w:hAnsi="宋体" w:cs="黑体"/>
                <w:u w:val="single"/>
                <w:lang w:eastAsia="en-US"/>
              </w:rPr>
            </w:pPr>
          </w:p>
        </w:tc>
        <w:tc>
          <w:tcPr>
            <w:tcW w:w="1134" w:type="dxa"/>
            <w:tcBorders>
              <w:top w:val="single" w:color="000000" w:sz="6" w:space="0"/>
              <w:left w:val="nil"/>
              <w:bottom w:val="single" w:color="000000" w:sz="6" w:space="0"/>
              <w:right w:val="single" w:color="000000" w:sz="6" w:space="0"/>
            </w:tcBorders>
            <w:noWrap w:val="0"/>
          </w:tcPr>
          <w:p w14:paraId="76C30D16">
            <w:pPr>
              <w:spacing w:line="360" w:lineRule="auto"/>
              <w:rPr>
                <w:rFonts w:ascii="宋体" w:hAnsi="宋体" w:cs="黑体"/>
                <w:u w:val="single"/>
                <w:lang w:eastAsia="en-US"/>
              </w:rPr>
            </w:pPr>
          </w:p>
        </w:tc>
        <w:tc>
          <w:tcPr>
            <w:tcW w:w="992" w:type="dxa"/>
            <w:tcBorders>
              <w:top w:val="single" w:color="000000" w:sz="6" w:space="0"/>
              <w:left w:val="nil"/>
              <w:bottom w:val="single" w:color="000000" w:sz="6" w:space="0"/>
              <w:right w:val="single" w:color="000000" w:sz="4" w:space="0"/>
            </w:tcBorders>
            <w:noWrap w:val="0"/>
          </w:tcPr>
          <w:p w14:paraId="42167ACF">
            <w:pPr>
              <w:spacing w:line="360" w:lineRule="auto"/>
              <w:rPr>
                <w:rFonts w:ascii="宋体" w:hAnsi="宋体" w:cs="黑体"/>
                <w:u w:val="single"/>
                <w:lang w:eastAsia="en-US"/>
              </w:rPr>
            </w:pPr>
          </w:p>
        </w:tc>
        <w:tc>
          <w:tcPr>
            <w:tcW w:w="992" w:type="dxa"/>
            <w:tcBorders>
              <w:top w:val="single" w:color="000000" w:sz="6" w:space="0"/>
              <w:left w:val="nil"/>
              <w:bottom w:val="single" w:color="000000" w:sz="6" w:space="0"/>
              <w:right w:val="single" w:color="000000" w:sz="4" w:space="0"/>
            </w:tcBorders>
            <w:noWrap w:val="0"/>
          </w:tcPr>
          <w:p w14:paraId="1B2F7AD0">
            <w:pPr>
              <w:spacing w:line="360" w:lineRule="auto"/>
              <w:rPr>
                <w:rFonts w:ascii="宋体" w:hAnsi="宋体" w:cs="黑体"/>
                <w:u w:val="single"/>
                <w:lang w:eastAsia="en-US"/>
              </w:rPr>
            </w:pPr>
          </w:p>
        </w:tc>
        <w:tc>
          <w:tcPr>
            <w:tcW w:w="1417" w:type="dxa"/>
            <w:tcBorders>
              <w:top w:val="single" w:color="000000" w:sz="6" w:space="0"/>
              <w:left w:val="single" w:color="000000" w:sz="4" w:space="0"/>
              <w:bottom w:val="single" w:color="000000" w:sz="6" w:space="0"/>
              <w:right w:val="single" w:color="000000" w:sz="6" w:space="0"/>
            </w:tcBorders>
            <w:noWrap w:val="0"/>
          </w:tcPr>
          <w:p w14:paraId="41269CB3">
            <w:pPr>
              <w:spacing w:line="360" w:lineRule="auto"/>
              <w:rPr>
                <w:rFonts w:ascii="宋体" w:hAnsi="宋体" w:cs="黑体"/>
                <w:u w:val="single"/>
                <w:lang w:eastAsia="en-US"/>
              </w:rPr>
            </w:pPr>
          </w:p>
        </w:tc>
        <w:tc>
          <w:tcPr>
            <w:tcW w:w="1418" w:type="dxa"/>
            <w:tcBorders>
              <w:top w:val="single" w:color="000000" w:sz="6" w:space="0"/>
              <w:left w:val="nil"/>
              <w:bottom w:val="single" w:color="000000" w:sz="6" w:space="0"/>
              <w:right w:val="single" w:color="000000" w:sz="6" w:space="0"/>
            </w:tcBorders>
            <w:noWrap w:val="0"/>
          </w:tcPr>
          <w:p w14:paraId="42474203">
            <w:pPr>
              <w:spacing w:line="360" w:lineRule="auto"/>
              <w:rPr>
                <w:rFonts w:ascii="宋体" w:hAnsi="宋体" w:cs="黑体"/>
                <w:u w:val="single"/>
                <w:lang w:eastAsia="en-US"/>
              </w:rPr>
            </w:pPr>
          </w:p>
        </w:tc>
        <w:tc>
          <w:tcPr>
            <w:tcW w:w="1134" w:type="dxa"/>
            <w:tcBorders>
              <w:top w:val="single" w:color="000000" w:sz="6" w:space="0"/>
              <w:left w:val="nil"/>
              <w:bottom w:val="single" w:color="000000" w:sz="6" w:space="0"/>
              <w:right w:val="single" w:color="000000" w:sz="6" w:space="0"/>
            </w:tcBorders>
            <w:noWrap w:val="0"/>
          </w:tcPr>
          <w:p w14:paraId="7105A53A">
            <w:pPr>
              <w:spacing w:line="360" w:lineRule="auto"/>
              <w:rPr>
                <w:rFonts w:ascii="宋体" w:hAnsi="宋体" w:cs="黑体"/>
                <w:u w:val="single"/>
                <w:lang w:eastAsia="en-US"/>
              </w:rPr>
            </w:pPr>
          </w:p>
        </w:tc>
        <w:tc>
          <w:tcPr>
            <w:tcW w:w="1148" w:type="dxa"/>
            <w:tcBorders>
              <w:top w:val="single" w:color="000000" w:sz="6" w:space="0"/>
              <w:left w:val="nil"/>
              <w:bottom w:val="single" w:color="000000" w:sz="6" w:space="0"/>
              <w:right w:val="single" w:color="000000" w:sz="6" w:space="0"/>
            </w:tcBorders>
            <w:noWrap w:val="0"/>
          </w:tcPr>
          <w:p w14:paraId="5367CD16">
            <w:pPr>
              <w:spacing w:line="360" w:lineRule="auto"/>
              <w:rPr>
                <w:rFonts w:ascii="宋体" w:hAnsi="宋体" w:cs="黑体"/>
                <w:u w:val="single"/>
                <w:lang w:eastAsia="en-US"/>
              </w:rPr>
            </w:pPr>
          </w:p>
        </w:tc>
      </w:tr>
      <w:tr w14:paraId="68215838">
        <w:tblPrEx>
          <w:tblCellMar>
            <w:top w:w="0" w:type="dxa"/>
            <w:left w:w="28" w:type="dxa"/>
            <w:bottom w:w="0" w:type="dxa"/>
            <w:right w:w="28" w:type="dxa"/>
          </w:tblCellMar>
        </w:tblPrEx>
        <w:trPr>
          <w:trHeight w:val="964" w:hRule="atLeast"/>
          <w:jc w:val="center"/>
        </w:trPr>
        <w:tc>
          <w:tcPr>
            <w:tcW w:w="639" w:type="dxa"/>
            <w:tcBorders>
              <w:top w:val="single" w:color="000000" w:sz="6" w:space="0"/>
              <w:left w:val="single" w:color="000000" w:sz="6" w:space="0"/>
              <w:bottom w:val="single" w:color="000000" w:sz="6" w:space="0"/>
              <w:right w:val="single" w:color="000000" w:sz="6" w:space="0"/>
            </w:tcBorders>
            <w:noWrap w:val="0"/>
          </w:tcPr>
          <w:p w14:paraId="14635236">
            <w:pPr>
              <w:spacing w:line="360" w:lineRule="auto"/>
              <w:jc w:val="center"/>
              <w:rPr>
                <w:rFonts w:ascii="宋体" w:hAnsi="宋体" w:cs="黑体"/>
                <w:lang w:eastAsia="en-US"/>
              </w:rPr>
            </w:pPr>
            <w:r>
              <w:rPr>
                <w:rFonts w:ascii="宋体" w:hAnsi="宋体"/>
                <w:lang w:eastAsia="en-US"/>
              </w:rPr>
              <w:t>2</w:t>
            </w:r>
          </w:p>
        </w:tc>
        <w:tc>
          <w:tcPr>
            <w:tcW w:w="1418" w:type="dxa"/>
            <w:tcBorders>
              <w:top w:val="single" w:color="000000" w:sz="6" w:space="0"/>
              <w:left w:val="nil"/>
              <w:bottom w:val="single" w:color="000000" w:sz="6" w:space="0"/>
              <w:right w:val="single" w:color="000000" w:sz="6" w:space="0"/>
            </w:tcBorders>
            <w:noWrap w:val="0"/>
          </w:tcPr>
          <w:p w14:paraId="2A65FD69">
            <w:pPr>
              <w:spacing w:line="360" w:lineRule="auto"/>
              <w:rPr>
                <w:rFonts w:ascii="宋体" w:hAnsi="宋体" w:cs="黑体"/>
                <w:u w:val="single"/>
                <w:lang w:eastAsia="en-US"/>
              </w:rPr>
            </w:pPr>
          </w:p>
        </w:tc>
        <w:tc>
          <w:tcPr>
            <w:tcW w:w="1134" w:type="dxa"/>
            <w:tcBorders>
              <w:top w:val="single" w:color="000000" w:sz="6" w:space="0"/>
              <w:left w:val="nil"/>
              <w:bottom w:val="single" w:color="000000" w:sz="6" w:space="0"/>
              <w:right w:val="single" w:color="000000" w:sz="6" w:space="0"/>
            </w:tcBorders>
            <w:noWrap w:val="0"/>
          </w:tcPr>
          <w:p w14:paraId="3FDFF148">
            <w:pPr>
              <w:spacing w:line="360" w:lineRule="auto"/>
              <w:rPr>
                <w:rFonts w:ascii="宋体" w:hAnsi="宋体" w:cs="黑体"/>
                <w:u w:val="single"/>
                <w:lang w:eastAsia="en-US"/>
              </w:rPr>
            </w:pPr>
          </w:p>
        </w:tc>
        <w:tc>
          <w:tcPr>
            <w:tcW w:w="992" w:type="dxa"/>
            <w:tcBorders>
              <w:top w:val="single" w:color="000000" w:sz="6" w:space="0"/>
              <w:left w:val="nil"/>
              <w:bottom w:val="single" w:color="000000" w:sz="6" w:space="0"/>
              <w:right w:val="single" w:color="000000" w:sz="4" w:space="0"/>
            </w:tcBorders>
            <w:noWrap w:val="0"/>
          </w:tcPr>
          <w:p w14:paraId="1DF3C85D">
            <w:pPr>
              <w:spacing w:line="360" w:lineRule="auto"/>
              <w:rPr>
                <w:rFonts w:ascii="宋体" w:hAnsi="宋体" w:cs="黑体"/>
                <w:u w:val="single"/>
                <w:lang w:eastAsia="en-US"/>
              </w:rPr>
            </w:pPr>
          </w:p>
        </w:tc>
        <w:tc>
          <w:tcPr>
            <w:tcW w:w="992" w:type="dxa"/>
            <w:tcBorders>
              <w:top w:val="single" w:color="000000" w:sz="6" w:space="0"/>
              <w:left w:val="nil"/>
              <w:bottom w:val="single" w:color="000000" w:sz="6" w:space="0"/>
              <w:right w:val="single" w:color="000000" w:sz="4" w:space="0"/>
            </w:tcBorders>
            <w:noWrap w:val="0"/>
          </w:tcPr>
          <w:p w14:paraId="0DCCE65B">
            <w:pPr>
              <w:spacing w:line="360" w:lineRule="auto"/>
              <w:rPr>
                <w:rFonts w:ascii="宋体" w:hAnsi="宋体" w:cs="黑体"/>
                <w:u w:val="single"/>
                <w:lang w:eastAsia="en-US"/>
              </w:rPr>
            </w:pPr>
          </w:p>
        </w:tc>
        <w:tc>
          <w:tcPr>
            <w:tcW w:w="1417" w:type="dxa"/>
            <w:tcBorders>
              <w:top w:val="single" w:color="000000" w:sz="6" w:space="0"/>
              <w:left w:val="single" w:color="000000" w:sz="4" w:space="0"/>
              <w:bottom w:val="single" w:color="000000" w:sz="6" w:space="0"/>
              <w:right w:val="single" w:color="000000" w:sz="6" w:space="0"/>
            </w:tcBorders>
            <w:noWrap w:val="0"/>
          </w:tcPr>
          <w:p w14:paraId="0B5A8553">
            <w:pPr>
              <w:spacing w:line="360" w:lineRule="auto"/>
              <w:rPr>
                <w:rFonts w:ascii="宋体" w:hAnsi="宋体" w:cs="黑体"/>
                <w:u w:val="single"/>
                <w:lang w:eastAsia="en-US"/>
              </w:rPr>
            </w:pPr>
          </w:p>
        </w:tc>
        <w:tc>
          <w:tcPr>
            <w:tcW w:w="1418" w:type="dxa"/>
            <w:tcBorders>
              <w:top w:val="single" w:color="000000" w:sz="6" w:space="0"/>
              <w:left w:val="nil"/>
              <w:bottom w:val="single" w:color="000000" w:sz="6" w:space="0"/>
              <w:right w:val="single" w:color="000000" w:sz="6" w:space="0"/>
            </w:tcBorders>
            <w:noWrap w:val="0"/>
          </w:tcPr>
          <w:p w14:paraId="514E8CA8">
            <w:pPr>
              <w:spacing w:line="360" w:lineRule="auto"/>
              <w:rPr>
                <w:rFonts w:ascii="宋体" w:hAnsi="宋体" w:cs="黑体"/>
                <w:u w:val="single"/>
                <w:lang w:eastAsia="en-US"/>
              </w:rPr>
            </w:pPr>
          </w:p>
        </w:tc>
        <w:tc>
          <w:tcPr>
            <w:tcW w:w="1134" w:type="dxa"/>
            <w:tcBorders>
              <w:top w:val="single" w:color="000000" w:sz="6" w:space="0"/>
              <w:left w:val="nil"/>
              <w:bottom w:val="single" w:color="000000" w:sz="6" w:space="0"/>
              <w:right w:val="single" w:color="000000" w:sz="6" w:space="0"/>
            </w:tcBorders>
            <w:noWrap w:val="0"/>
          </w:tcPr>
          <w:p w14:paraId="4D0881E6">
            <w:pPr>
              <w:spacing w:line="360" w:lineRule="auto"/>
              <w:rPr>
                <w:rFonts w:ascii="宋体" w:hAnsi="宋体" w:cs="黑体"/>
                <w:u w:val="single"/>
                <w:lang w:eastAsia="en-US"/>
              </w:rPr>
            </w:pPr>
          </w:p>
        </w:tc>
        <w:tc>
          <w:tcPr>
            <w:tcW w:w="1148" w:type="dxa"/>
            <w:tcBorders>
              <w:top w:val="single" w:color="000000" w:sz="6" w:space="0"/>
              <w:left w:val="nil"/>
              <w:bottom w:val="single" w:color="000000" w:sz="6" w:space="0"/>
              <w:right w:val="single" w:color="000000" w:sz="6" w:space="0"/>
            </w:tcBorders>
            <w:noWrap w:val="0"/>
          </w:tcPr>
          <w:p w14:paraId="07C4926B">
            <w:pPr>
              <w:spacing w:line="360" w:lineRule="auto"/>
              <w:rPr>
                <w:rFonts w:ascii="宋体" w:hAnsi="宋体" w:cs="黑体"/>
                <w:u w:val="single"/>
                <w:lang w:eastAsia="en-US"/>
              </w:rPr>
            </w:pPr>
          </w:p>
        </w:tc>
      </w:tr>
      <w:tr w14:paraId="301BC22D">
        <w:tblPrEx>
          <w:tblCellMar>
            <w:top w:w="0" w:type="dxa"/>
            <w:left w:w="28" w:type="dxa"/>
            <w:bottom w:w="0" w:type="dxa"/>
            <w:right w:w="28" w:type="dxa"/>
          </w:tblCellMar>
        </w:tblPrEx>
        <w:trPr>
          <w:trHeight w:val="964" w:hRule="atLeast"/>
          <w:jc w:val="center"/>
        </w:trPr>
        <w:tc>
          <w:tcPr>
            <w:tcW w:w="639" w:type="dxa"/>
            <w:tcBorders>
              <w:top w:val="single" w:color="000000" w:sz="6" w:space="0"/>
              <w:left w:val="single" w:color="000000" w:sz="6" w:space="0"/>
              <w:bottom w:val="single" w:color="000000" w:sz="6" w:space="0"/>
              <w:right w:val="single" w:color="000000" w:sz="6" w:space="0"/>
            </w:tcBorders>
            <w:noWrap w:val="0"/>
          </w:tcPr>
          <w:p w14:paraId="500B1BB7">
            <w:pPr>
              <w:spacing w:line="360" w:lineRule="auto"/>
              <w:jc w:val="center"/>
              <w:rPr>
                <w:rFonts w:ascii="宋体" w:hAnsi="宋体" w:cs="黑体"/>
                <w:lang w:eastAsia="en-US"/>
              </w:rPr>
            </w:pPr>
            <w:r>
              <w:rPr>
                <w:rFonts w:hint="eastAsia" w:ascii="宋体" w:hAnsi="宋体"/>
                <w:lang w:eastAsia="en-US"/>
              </w:rPr>
              <w:t>……</w:t>
            </w:r>
          </w:p>
        </w:tc>
        <w:tc>
          <w:tcPr>
            <w:tcW w:w="1418" w:type="dxa"/>
            <w:tcBorders>
              <w:top w:val="single" w:color="000000" w:sz="6" w:space="0"/>
              <w:left w:val="nil"/>
              <w:bottom w:val="single" w:color="000000" w:sz="6" w:space="0"/>
              <w:right w:val="single" w:color="000000" w:sz="6" w:space="0"/>
            </w:tcBorders>
            <w:noWrap w:val="0"/>
          </w:tcPr>
          <w:p w14:paraId="6488DEFC">
            <w:pPr>
              <w:spacing w:line="360" w:lineRule="auto"/>
              <w:rPr>
                <w:rFonts w:ascii="宋体" w:hAnsi="宋体" w:cs="黑体"/>
                <w:u w:val="single"/>
                <w:lang w:eastAsia="en-US"/>
              </w:rPr>
            </w:pPr>
          </w:p>
        </w:tc>
        <w:tc>
          <w:tcPr>
            <w:tcW w:w="1134" w:type="dxa"/>
            <w:tcBorders>
              <w:top w:val="single" w:color="000000" w:sz="6" w:space="0"/>
              <w:left w:val="nil"/>
              <w:bottom w:val="single" w:color="000000" w:sz="6" w:space="0"/>
              <w:right w:val="single" w:color="000000" w:sz="6" w:space="0"/>
            </w:tcBorders>
            <w:noWrap w:val="0"/>
          </w:tcPr>
          <w:p w14:paraId="6F2D6038">
            <w:pPr>
              <w:spacing w:line="360" w:lineRule="auto"/>
              <w:rPr>
                <w:rFonts w:ascii="宋体" w:hAnsi="宋体" w:cs="黑体"/>
                <w:u w:val="single"/>
                <w:lang w:eastAsia="en-US"/>
              </w:rPr>
            </w:pPr>
          </w:p>
        </w:tc>
        <w:tc>
          <w:tcPr>
            <w:tcW w:w="992" w:type="dxa"/>
            <w:tcBorders>
              <w:top w:val="single" w:color="000000" w:sz="6" w:space="0"/>
              <w:left w:val="nil"/>
              <w:bottom w:val="single" w:color="000000" w:sz="6" w:space="0"/>
              <w:right w:val="single" w:color="000000" w:sz="4" w:space="0"/>
            </w:tcBorders>
            <w:noWrap w:val="0"/>
          </w:tcPr>
          <w:p w14:paraId="0ACA392B">
            <w:pPr>
              <w:spacing w:line="360" w:lineRule="auto"/>
              <w:rPr>
                <w:rFonts w:ascii="宋体" w:hAnsi="宋体" w:cs="黑体"/>
                <w:u w:val="single"/>
                <w:lang w:eastAsia="en-US"/>
              </w:rPr>
            </w:pPr>
          </w:p>
        </w:tc>
        <w:tc>
          <w:tcPr>
            <w:tcW w:w="992" w:type="dxa"/>
            <w:tcBorders>
              <w:top w:val="single" w:color="000000" w:sz="6" w:space="0"/>
              <w:left w:val="nil"/>
              <w:bottom w:val="single" w:color="000000" w:sz="6" w:space="0"/>
              <w:right w:val="single" w:color="000000" w:sz="4" w:space="0"/>
            </w:tcBorders>
            <w:noWrap w:val="0"/>
          </w:tcPr>
          <w:p w14:paraId="51AC934B">
            <w:pPr>
              <w:spacing w:line="360" w:lineRule="auto"/>
              <w:rPr>
                <w:rFonts w:ascii="宋体" w:hAnsi="宋体" w:cs="黑体"/>
                <w:u w:val="single"/>
                <w:lang w:eastAsia="en-US"/>
              </w:rPr>
            </w:pPr>
          </w:p>
        </w:tc>
        <w:tc>
          <w:tcPr>
            <w:tcW w:w="1417" w:type="dxa"/>
            <w:tcBorders>
              <w:top w:val="single" w:color="000000" w:sz="6" w:space="0"/>
              <w:left w:val="single" w:color="000000" w:sz="4" w:space="0"/>
              <w:bottom w:val="single" w:color="000000" w:sz="6" w:space="0"/>
              <w:right w:val="single" w:color="000000" w:sz="6" w:space="0"/>
            </w:tcBorders>
            <w:noWrap w:val="0"/>
          </w:tcPr>
          <w:p w14:paraId="68E07EB6">
            <w:pPr>
              <w:spacing w:line="360" w:lineRule="auto"/>
              <w:rPr>
                <w:rFonts w:ascii="宋体" w:hAnsi="宋体" w:cs="黑体"/>
                <w:u w:val="single"/>
                <w:lang w:eastAsia="en-US"/>
              </w:rPr>
            </w:pPr>
          </w:p>
        </w:tc>
        <w:tc>
          <w:tcPr>
            <w:tcW w:w="1418" w:type="dxa"/>
            <w:tcBorders>
              <w:top w:val="single" w:color="000000" w:sz="6" w:space="0"/>
              <w:left w:val="nil"/>
              <w:bottom w:val="single" w:color="000000" w:sz="6" w:space="0"/>
              <w:right w:val="single" w:color="000000" w:sz="6" w:space="0"/>
            </w:tcBorders>
            <w:noWrap w:val="0"/>
          </w:tcPr>
          <w:p w14:paraId="1F25FA10">
            <w:pPr>
              <w:spacing w:line="360" w:lineRule="auto"/>
              <w:rPr>
                <w:rFonts w:ascii="宋体" w:hAnsi="宋体" w:cs="黑体"/>
                <w:u w:val="single"/>
                <w:lang w:eastAsia="en-US"/>
              </w:rPr>
            </w:pPr>
          </w:p>
        </w:tc>
        <w:tc>
          <w:tcPr>
            <w:tcW w:w="1134" w:type="dxa"/>
            <w:tcBorders>
              <w:top w:val="single" w:color="000000" w:sz="6" w:space="0"/>
              <w:left w:val="nil"/>
              <w:bottom w:val="single" w:color="000000" w:sz="6" w:space="0"/>
              <w:right w:val="single" w:color="000000" w:sz="6" w:space="0"/>
            </w:tcBorders>
            <w:noWrap w:val="0"/>
          </w:tcPr>
          <w:p w14:paraId="576237A7">
            <w:pPr>
              <w:spacing w:line="360" w:lineRule="auto"/>
              <w:rPr>
                <w:rFonts w:ascii="宋体" w:hAnsi="宋体" w:cs="黑体"/>
                <w:u w:val="single"/>
                <w:lang w:eastAsia="en-US"/>
              </w:rPr>
            </w:pPr>
          </w:p>
        </w:tc>
        <w:tc>
          <w:tcPr>
            <w:tcW w:w="1148" w:type="dxa"/>
            <w:tcBorders>
              <w:top w:val="single" w:color="000000" w:sz="6" w:space="0"/>
              <w:left w:val="nil"/>
              <w:bottom w:val="single" w:color="000000" w:sz="6" w:space="0"/>
              <w:right w:val="single" w:color="000000" w:sz="6" w:space="0"/>
            </w:tcBorders>
            <w:noWrap w:val="0"/>
          </w:tcPr>
          <w:p w14:paraId="5433B3B2">
            <w:pPr>
              <w:spacing w:line="360" w:lineRule="auto"/>
              <w:rPr>
                <w:rFonts w:ascii="宋体" w:hAnsi="宋体" w:cs="黑体"/>
                <w:u w:val="single"/>
                <w:lang w:eastAsia="en-US"/>
              </w:rPr>
            </w:pPr>
          </w:p>
        </w:tc>
      </w:tr>
    </w:tbl>
    <w:p w14:paraId="4FF193D3">
      <w:pPr>
        <w:pStyle w:val="1598"/>
        <w:spacing w:line="360" w:lineRule="auto"/>
        <w:ind w:firstLine="480"/>
        <w:rPr>
          <w:rFonts w:ascii="宋体" w:hAnsi="宋体"/>
          <w:sz w:val="24"/>
          <w:u w:val="single"/>
        </w:rPr>
      </w:pPr>
      <w:r>
        <w:rPr>
          <w:rFonts w:hint="eastAsia" w:ascii="宋体" w:hAnsi="宋体"/>
          <w:sz w:val="24"/>
          <w:u w:val="single"/>
        </w:rPr>
        <w:t>注：1.按实际如实填写偏离表，行数不够可自行添加。</w:t>
      </w:r>
    </w:p>
    <w:p w14:paraId="789BC488">
      <w:pPr>
        <w:pStyle w:val="1598"/>
        <w:spacing w:line="360" w:lineRule="auto"/>
        <w:ind w:firstLine="480"/>
        <w:rPr>
          <w:rFonts w:ascii="宋体" w:hAnsi="宋体"/>
          <w:sz w:val="24"/>
          <w:u w:val="single"/>
        </w:rPr>
      </w:pPr>
      <w:r>
        <w:rPr>
          <w:rFonts w:hint="eastAsia" w:ascii="宋体" w:hAnsi="宋体"/>
          <w:sz w:val="24"/>
          <w:u w:val="single"/>
        </w:rPr>
        <w:t>2.上表所指证明材料为项目需求中要求提供的检测报告、截图、各类证书或其他形式的材料，证明材料附后。请投标人务必认真做好标识，以便评委正确评审，否则由此带来的一切后果，由投标人自行承担。</w:t>
      </w:r>
    </w:p>
    <w:p w14:paraId="4D7B27A9">
      <w:pPr>
        <w:pStyle w:val="1598"/>
        <w:spacing w:line="360" w:lineRule="auto"/>
        <w:ind w:firstLine="480"/>
        <w:rPr>
          <w:rFonts w:ascii="宋体" w:hAnsi="宋体"/>
          <w:sz w:val="24"/>
          <w:u w:val="single"/>
        </w:rPr>
      </w:pPr>
      <w:r>
        <w:rPr>
          <w:rFonts w:hint="eastAsia" w:ascii="宋体" w:hAnsi="宋体"/>
          <w:sz w:val="24"/>
          <w:u w:val="single"/>
        </w:rPr>
        <w:t>3.项目需求中如出现具体产品的品牌、型号、参数等，仅供投标人更好地理解采购人对设备的需求，不能理解为唯一指定，只要优或相当于其技术参数及功能要求的，均可视为响应。</w:t>
      </w:r>
    </w:p>
    <w:p w14:paraId="58EDA0DE">
      <w:pPr>
        <w:widowControl/>
        <w:spacing w:line="360" w:lineRule="auto"/>
        <w:jc w:val="left"/>
        <w:rPr>
          <w:rFonts w:ascii="宋体" w:hAnsi="宋体"/>
          <w:b/>
          <w:sz w:val="32"/>
          <w:szCs w:val="32"/>
        </w:rPr>
      </w:pPr>
    </w:p>
    <w:p w14:paraId="29A59552">
      <w:pPr>
        <w:widowControl/>
        <w:spacing w:line="360" w:lineRule="auto"/>
        <w:jc w:val="left"/>
        <w:rPr>
          <w:rFonts w:ascii="宋体" w:hAnsi="宋体"/>
          <w:b/>
          <w:sz w:val="32"/>
          <w:szCs w:val="32"/>
        </w:rPr>
      </w:pPr>
      <w:r>
        <w:rPr>
          <w:rFonts w:ascii="宋体" w:hAnsi="宋体"/>
          <w:b/>
          <w:sz w:val="32"/>
          <w:szCs w:val="32"/>
        </w:rPr>
        <w:br w:type="page" w:clear="all"/>
      </w:r>
    </w:p>
    <w:p w14:paraId="5E5D8DC8">
      <w:pPr>
        <w:widowControl/>
        <w:spacing w:line="360" w:lineRule="auto"/>
        <w:jc w:val="center"/>
        <w:rPr>
          <w:rFonts w:hint="default" w:ascii="宋体" w:hAnsi="宋体" w:eastAsia="宋体"/>
          <w:b/>
          <w:sz w:val="32"/>
          <w:szCs w:val="32"/>
          <w:lang w:val="en-US" w:eastAsia="zh-CN"/>
        </w:rPr>
      </w:pPr>
      <w:r>
        <w:rPr>
          <w:rFonts w:hint="eastAsia" w:ascii="宋体" w:hAnsi="宋体"/>
          <w:b/>
          <w:sz w:val="24"/>
        </w:rPr>
        <w:t>2.</w:t>
      </w:r>
      <w:r>
        <w:rPr>
          <w:rFonts w:hint="eastAsia" w:ascii="宋体" w:hAnsi="宋体"/>
          <w:sz w:val="24"/>
          <w:lang w:val="en-US" w:eastAsia="zh-CN"/>
        </w:rPr>
        <w:t>项目需求理解</w:t>
      </w:r>
    </w:p>
    <w:p w14:paraId="696BF671">
      <w:pPr>
        <w:widowControl/>
        <w:spacing w:line="360" w:lineRule="auto"/>
        <w:jc w:val="both"/>
        <w:rPr>
          <w:rFonts w:ascii="宋体" w:hAnsi="宋体"/>
          <w:b/>
          <w:sz w:val="32"/>
          <w:szCs w:val="32"/>
        </w:rPr>
      </w:pPr>
    </w:p>
    <w:p w14:paraId="47C0590B">
      <w:pPr>
        <w:widowControl/>
        <w:spacing w:line="360" w:lineRule="auto"/>
        <w:jc w:val="center"/>
        <w:rPr>
          <w:rFonts w:ascii="宋体" w:hAnsi="宋体"/>
          <w:sz w:val="24"/>
        </w:rPr>
      </w:pPr>
      <w:r>
        <w:rPr>
          <w:rFonts w:hint="eastAsia" w:ascii="宋体" w:hAnsi="宋体"/>
          <w:b/>
          <w:sz w:val="24"/>
        </w:rPr>
        <w:t>3.</w:t>
      </w:r>
      <w:r>
        <w:rPr>
          <w:rFonts w:hint="eastAsia" w:ascii="宋体" w:hAnsi="宋体"/>
          <w:sz w:val="24"/>
          <w:lang w:val="en-US" w:eastAsia="zh-CN"/>
        </w:rPr>
        <w:t>项目</w:t>
      </w:r>
      <w:r>
        <w:rPr>
          <w:rFonts w:hint="eastAsia" w:ascii="宋体" w:hAnsi="宋体"/>
          <w:sz w:val="24"/>
          <w:highlight w:val="none"/>
          <w:lang w:val="en-US" w:eastAsia="zh-CN"/>
        </w:rPr>
        <w:t>实施</w:t>
      </w:r>
      <w:r>
        <w:rPr>
          <w:rFonts w:hint="eastAsia" w:ascii="宋体" w:hAnsi="宋体"/>
          <w:sz w:val="24"/>
          <w:highlight w:val="none"/>
        </w:rPr>
        <w:t>方案</w:t>
      </w:r>
      <w:r>
        <w:rPr>
          <w:rFonts w:hint="eastAsia" w:ascii="宋体" w:hAnsi="宋体"/>
          <w:sz w:val="24"/>
        </w:rPr>
        <w:t xml:space="preserve"> </w:t>
      </w:r>
    </w:p>
    <w:p w14:paraId="41CA0E51">
      <w:pPr>
        <w:widowControl/>
        <w:spacing w:line="360" w:lineRule="auto"/>
        <w:jc w:val="both"/>
        <w:rPr>
          <w:rFonts w:ascii="宋体" w:hAnsi="宋体"/>
          <w:b/>
          <w:sz w:val="32"/>
          <w:szCs w:val="32"/>
        </w:rPr>
      </w:pPr>
    </w:p>
    <w:p w14:paraId="2438E98A">
      <w:pPr>
        <w:widowControl/>
        <w:spacing w:line="360" w:lineRule="auto"/>
        <w:jc w:val="center"/>
        <w:rPr>
          <w:rFonts w:hint="eastAsia" w:ascii="宋体" w:hAnsi="宋体"/>
          <w:sz w:val="24"/>
          <w:highlight w:val="none"/>
        </w:rPr>
      </w:pPr>
      <w:r>
        <w:rPr>
          <w:rFonts w:hint="eastAsia" w:ascii="宋体" w:hAnsi="宋体"/>
          <w:b/>
          <w:sz w:val="24"/>
        </w:rPr>
        <w:t>4.</w:t>
      </w:r>
      <w:r>
        <w:rPr>
          <w:rFonts w:hint="eastAsia" w:ascii="宋体" w:hAnsi="宋体"/>
          <w:sz w:val="24"/>
          <w:highlight w:val="none"/>
          <w:lang w:val="en-US" w:eastAsia="zh-CN"/>
        </w:rPr>
        <w:t>项目培训方案</w:t>
      </w:r>
    </w:p>
    <w:p w14:paraId="196D56A7">
      <w:pPr>
        <w:widowControl/>
        <w:spacing w:line="360" w:lineRule="auto"/>
        <w:jc w:val="both"/>
        <w:rPr>
          <w:rFonts w:hint="eastAsia" w:ascii="宋体" w:hAnsi="宋体"/>
          <w:b/>
          <w:bCs/>
          <w:sz w:val="24"/>
          <w:highlight w:val="none"/>
          <w:lang w:val="en-US" w:eastAsia="zh-CN"/>
        </w:rPr>
      </w:pPr>
    </w:p>
    <w:p w14:paraId="5D6A8119">
      <w:pPr>
        <w:widowControl/>
        <w:spacing w:line="360" w:lineRule="auto"/>
        <w:jc w:val="center"/>
        <w:rPr>
          <w:rFonts w:hint="default" w:ascii="宋体" w:hAnsi="宋体" w:eastAsia="宋体"/>
          <w:sz w:val="24"/>
          <w:highlight w:val="none"/>
          <w:lang w:val="en-US" w:eastAsia="zh-CN"/>
        </w:rPr>
      </w:pPr>
      <w:r>
        <w:rPr>
          <w:rFonts w:hint="eastAsia" w:ascii="宋体" w:hAnsi="宋体"/>
          <w:b/>
          <w:bCs/>
          <w:sz w:val="24"/>
          <w:highlight w:val="none"/>
          <w:lang w:val="en-US" w:eastAsia="zh-CN"/>
        </w:rPr>
        <w:t>5.</w:t>
      </w:r>
      <w:r>
        <w:rPr>
          <w:rFonts w:hint="eastAsia" w:ascii="宋体" w:hAnsi="宋体"/>
          <w:sz w:val="24"/>
          <w:highlight w:val="none"/>
        </w:rPr>
        <w:t>售后服务方案</w:t>
      </w:r>
    </w:p>
    <w:p w14:paraId="1A163549">
      <w:pPr>
        <w:widowControl/>
        <w:spacing w:line="360" w:lineRule="auto"/>
        <w:rPr>
          <w:rFonts w:ascii="宋体" w:hAnsi="宋体"/>
          <w:b/>
          <w:sz w:val="32"/>
          <w:szCs w:val="32"/>
        </w:rPr>
      </w:pPr>
    </w:p>
    <w:p w14:paraId="46491E87">
      <w:pPr>
        <w:widowControl/>
        <w:spacing w:line="360" w:lineRule="auto"/>
        <w:jc w:val="center"/>
        <w:rPr>
          <w:rFonts w:ascii="宋体" w:hAnsi="宋体"/>
          <w:b/>
          <w:sz w:val="32"/>
          <w:szCs w:val="32"/>
        </w:rPr>
      </w:pPr>
      <w:r>
        <w:rPr>
          <w:rFonts w:hint="eastAsia" w:ascii="宋体" w:hAnsi="宋体"/>
          <w:b/>
          <w:sz w:val="32"/>
          <w:szCs w:val="32"/>
        </w:rPr>
        <w:t>六、商务部分</w:t>
      </w:r>
    </w:p>
    <w:p w14:paraId="1CA52F3A">
      <w:pPr>
        <w:pStyle w:val="1602"/>
        <w:spacing w:line="360" w:lineRule="auto"/>
        <w:jc w:val="center"/>
        <w:outlineLvl w:val="2"/>
        <w:rPr>
          <w:rFonts w:ascii="宋体" w:hAnsi="宋体" w:eastAsia="宋体" w:cs="宋体"/>
          <w:sz w:val="28"/>
        </w:rPr>
      </w:pPr>
    </w:p>
    <w:p w14:paraId="66C800C2">
      <w:pPr>
        <w:pStyle w:val="1602"/>
        <w:spacing w:line="360" w:lineRule="auto"/>
        <w:jc w:val="center"/>
        <w:outlineLvl w:val="2"/>
        <w:rPr>
          <w:rFonts w:hint="default" w:ascii="宋体" w:hAnsi="宋体" w:eastAsia="宋体" w:cs="宋体"/>
          <w:sz w:val="28"/>
          <w:lang w:val="en-US" w:eastAsia="zh-CN"/>
        </w:rPr>
      </w:pPr>
      <w:r>
        <w:rPr>
          <w:rFonts w:hint="eastAsia" w:ascii="宋体" w:hAnsi="宋体" w:eastAsia="宋体" w:cs="宋体"/>
          <w:sz w:val="28"/>
        </w:rPr>
        <w:t>(一)</w:t>
      </w:r>
      <w:r>
        <w:rPr>
          <w:rFonts w:hint="eastAsia" w:ascii="宋体" w:hAnsi="宋体" w:eastAsia="宋体" w:cs="宋体"/>
          <w:sz w:val="28"/>
          <w:lang w:val="en-US" w:eastAsia="zh-CN"/>
        </w:rPr>
        <w:t xml:space="preserve"> 研发实力</w:t>
      </w:r>
    </w:p>
    <w:p w14:paraId="1252FC38">
      <w:pPr>
        <w:pStyle w:val="1602"/>
        <w:spacing w:line="360" w:lineRule="auto"/>
        <w:jc w:val="center"/>
        <w:outlineLvl w:val="2"/>
        <w:rPr>
          <w:rFonts w:hint="eastAsia" w:ascii="宋体" w:hAnsi="宋体" w:eastAsia="宋体" w:cs="宋体"/>
          <w:sz w:val="28"/>
        </w:rPr>
      </w:pPr>
    </w:p>
    <w:p w14:paraId="3038C77E">
      <w:pPr>
        <w:pStyle w:val="1602"/>
        <w:spacing w:line="360" w:lineRule="auto"/>
        <w:jc w:val="center"/>
        <w:outlineLvl w:val="2"/>
        <w:rPr>
          <w:rFonts w:hint="eastAsia" w:ascii="宋体" w:hAnsi="宋体" w:eastAsia="宋体" w:cs="宋体"/>
          <w:sz w:val="28"/>
          <w:lang w:eastAsia="zh-CN"/>
        </w:rPr>
      </w:pPr>
      <w:r>
        <w:rPr>
          <w:rFonts w:hint="eastAsia" w:ascii="宋体" w:hAnsi="宋体" w:eastAsia="宋体" w:cs="宋体"/>
          <w:sz w:val="28"/>
        </w:rPr>
        <w:t>(二) 相关案例</w:t>
      </w:r>
    </w:p>
    <w:p w14:paraId="74C4C0F9">
      <w:pPr>
        <w:pStyle w:val="9"/>
        <w:spacing w:line="360" w:lineRule="auto"/>
        <w:ind w:firstLine="0"/>
        <w:jc w:val="left"/>
        <w:rPr>
          <w:rFonts w:ascii="宋体" w:hAnsi="宋体"/>
          <w:b/>
          <w:sz w:val="32"/>
          <w:szCs w:val="32"/>
          <w:lang w:eastAsia="zh-CN"/>
        </w:rPr>
      </w:pPr>
    </w:p>
    <w:p w14:paraId="676F45C7">
      <w:pPr>
        <w:pStyle w:val="1602"/>
        <w:spacing w:line="360" w:lineRule="auto"/>
        <w:jc w:val="center"/>
        <w:outlineLvl w:val="2"/>
        <w:rPr>
          <w:rFonts w:hint="eastAsia" w:ascii="宋体" w:hAnsi="宋体" w:eastAsia="宋体" w:cs="宋体"/>
          <w:sz w:val="28"/>
          <w:szCs w:val="24"/>
          <w:lang w:val="en-US" w:eastAsia="zh-CN" w:bidi="ar-SA"/>
        </w:rPr>
      </w:pPr>
      <w:r>
        <w:rPr>
          <w:rFonts w:ascii="宋体" w:hAnsi="宋体" w:eastAsia="宋体" w:cs="宋体"/>
          <w:sz w:val="28"/>
        </w:rPr>
        <w:t xml:space="preserve"> </w:t>
      </w:r>
    </w:p>
    <w:p w14:paraId="361C7C38">
      <w:pPr>
        <w:pStyle w:val="9"/>
        <w:spacing w:line="360" w:lineRule="auto"/>
        <w:ind w:firstLine="0"/>
        <w:jc w:val="left"/>
        <w:rPr>
          <w:rFonts w:ascii="宋体" w:hAnsi="宋体"/>
          <w:b/>
          <w:sz w:val="32"/>
          <w:szCs w:val="32"/>
          <w:lang w:eastAsia="zh-CN"/>
        </w:rPr>
      </w:pPr>
    </w:p>
    <w:p w14:paraId="3051AFA3">
      <w:pPr>
        <w:pStyle w:val="9"/>
        <w:spacing w:line="360" w:lineRule="auto"/>
        <w:ind w:firstLine="3020"/>
        <w:jc w:val="left"/>
        <w:rPr>
          <w:rFonts w:ascii="宋体" w:hAnsi="宋体"/>
          <w:b/>
          <w:sz w:val="32"/>
          <w:szCs w:val="32"/>
          <w:lang w:eastAsia="zh-CN"/>
        </w:rPr>
      </w:pPr>
      <w:r>
        <w:rPr>
          <w:rFonts w:hint="eastAsia" w:ascii="宋体" w:hAnsi="宋体"/>
          <w:b/>
          <w:sz w:val="32"/>
          <w:szCs w:val="32"/>
          <w:lang w:eastAsia="zh-CN"/>
        </w:rPr>
        <w:t>七、其他部分</w:t>
      </w:r>
    </w:p>
    <w:p w14:paraId="2A55176F">
      <w:pPr>
        <w:pStyle w:val="9"/>
        <w:spacing w:line="360" w:lineRule="auto"/>
        <w:jc w:val="left"/>
        <w:rPr>
          <w:rFonts w:ascii="宋体" w:hAnsi="宋体"/>
          <w:b/>
          <w:sz w:val="32"/>
          <w:szCs w:val="32"/>
          <w:lang w:eastAsia="zh-CN"/>
        </w:rPr>
      </w:pPr>
      <w:r>
        <w:rPr>
          <w:rFonts w:hint="eastAsia" w:ascii="宋体" w:hAnsi="宋体"/>
          <w:b/>
          <w:sz w:val="32"/>
          <w:szCs w:val="32"/>
          <w:lang w:eastAsia="zh-CN"/>
        </w:rPr>
        <w:t>（一）按招标文件要求投标人所能提供的</w:t>
      </w:r>
      <w:r>
        <w:rPr>
          <w:rFonts w:ascii="宋体" w:hAnsi="宋体"/>
          <w:b/>
          <w:sz w:val="32"/>
          <w:szCs w:val="32"/>
          <w:lang w:eastAsia="zh-CN"/>
        </w:rPr>
        <w:t>其他文件</w:t>
      </w:r>
    </w:p>
    <w:p w14:paraId="18F38618">
      <w:pPr>
        <w:widowControl/>
        <w:spacing w:line="360" w:lineRule="auto"/>
        <w:ind w:right="1280"/>
        <w:rPr>
          <w:rFonts w:ascii="宋体" w:hAnsi="宋体"/>
          <w:b/>
          <w:sz w:val="32"/>
          <w:szCs w:val="32"/>
        </w:rPr>
      </w:pPr>
    </w:p>
    <w:p w14:paraId="01EC8A58">
      <w:pPr>
        <w:widowControl/>
        <w:spacing w:line="360" w:lineRule="auto"/>
        <w:ind w:right="1280"/>
        <w:rPr>
          <w:rFonts w:ascii="宋体" w:hAnsi="宋体"/>
          <w:b/>
          <w:sz w:val="32"/>
          <w:szCs w:val="32"/>
        </w:rPr>
      </w:pPr>
    </w:p>
    <w:p w14:paraId="5E20EEF2">
      <w:pPr>
        <w:widowControl/>
        <w:spacing w:line="360" w:lineRule="auto"/>
        <w:ind w:right="1280"/>
        <w:rPr>
          <w:rFonts w:ascii="宋体" w:hAnsi="宋体"/>
          <w:b/>
          <w:sz w:val="32"/>
          <w:szCs w:val="32"/>
        </w:rPr>
      </w:pPr>
    </w:p>
    <w:p w14:paraId="3D27FD08">
      <w:pPr>
        <w:widowControl/>
        <w:spacing w:line="360" w:lineRule="auto"/>
        <w:ind w:right="1280"/>
        <w:rPr>
          <w:rFonts w:ascii="宋体" w:hAnsi="宋体"/>
          <w:b/>
          <w:sz w:val="32"/>
          <w:szCs w:val="32"/>
        </w:rPr>
      </w:pPr>
    </w:p>
    <w:p w14:paraId="166299D5">
      <w:pPr>
        <w:widowControl/>
        <w:spacing w:line="360" w:lineRule="auto"/>
        <w:ind w:right="1280"/>
        <w:rPr>
          <w:rFonts w:ascii="宋体" w:hAnsi="宋体"/>
          <w:b/>
          <w:sz w:val="32"/>
          <w:szCs w:val="32"/>
        </w:rPr>
      </w:pPr>
    </w:p>
    <w:sectPr>
      <w:footerReference r:id="rId7" w:type="first"/>
      <w:pgSz w:w="11906" w:h="16838"/>
      <w:pgMar w:top="1440" w:right="1800" w:bottom="1440" w:left="1800" w:header="851" w:footer="992"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幼圆">
    <w:altName w:val="NumberOnly"/>
    <w:panose1 w:val="02010509060101010101"/>
    <w:charset w:val="00"/>
    <w:family w:val="auto"/>
    <w:pitch w:val="default"/>
    <w:sig w:usb0="00000000" w:usb1="00000000" w:usb2="00000000" w:usb3="00000000" w:csb0="00000000" w:csb1="00000000"/>
  </w:font>
  <w:font w:name="NumberOnly">
    <w:panose1 w:val="020B0500000000000000"/>
    <w:charset w:val="00"/>
    <w:family w:val="auto"/>
    <w:pitch w:val="default"/>
    <w:sig w:usb0="8000002F" w:usb1="10000048" w:usb2="00000000" w:usb3="00000000" w:csb0="00000111" w:csb1="40000000"/>
  </w:font>
  <w:font w:name="Verdana">
    <w:panose1 w:val="020B0604030504040204"/>
    <w:charset w:val="00"/>
    <w:family w:val="auto"/>
    <w:pitch w:val="default"/>
    <w:sig w:usb0="A00006FF" w:usb1="4000205B" w:usb2="00000010" w:usb3="00000000" w:csb0="2000019F" w:csb1="00000000"/>
  </w:font>
  <w:font w:name="等线">
    <w:panose1 w:val="02010600030101010101"/>
    <w:charset w:val="86"/>
    <w:family w:val="auto"/>
    <w:pitch w:val="default"/>
    <w:sig w:usb0="A00002BF" w:usb1="38CF7CFA" w:usb2="00000016" w:usb3="00000000" w:csb0="0004000F" w:csb1="00000000"/>
  </w:font>
  <w:font w:name="Garamond">
    <w:altName w:val="RomanS"/>
    <w:panose1 w:val="02020404030301010803"/>
    <w:charset w:val="00"/>
    <w:family w:val="auto"/>
    <w:pitch w:val="default"/>
    <w:sig w:usb0="00000000" w:usb1="00000000" w:usb2="00000000" w:usb3="00000000" w:csb0="00000000" w:csb1="00000000"/>
  </w:font>
  <w:font w:name="RomanS">
    <w:panose1 w:val="02000400000000000000"/>
    <w:charset w:val="00"/>
    <w:family w:val="auto"/>
    <w:pitch w:val="default"/>
    <w:sig w:usb0="00000207" w:usb1="00000000" w:usb2="00000000" w:usb3="00000000" w:csb0="000001FF" w:csb1="00000000"/>
  </w:font>
  <w:font w:name="方正仿宋_GBK">
    <w:panose1 w:val="02000000000000000000"/>
    <w:charset w:val="86"/>
    <w:family w:val="auto"/>
    <w:pitch w:val="default"/>
    <w:sig w:usb0="A00002BF" w:usb1="38CF7CFA" w:usb2="00082016" w:usb3="00000000" w:csb0="00040001"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等线 Light">
    <w:panose1 w:val="02010600030101010101"/>
    <w:charset w:val="86"/>
    <w:family w:val="auto"/>
    <w:pitch w:val="default"/>
    <w:sig w:usb0="A00002BF" w:usb1="38CF7CFA" w:usb2="00000016" w:usb3="00000000" w:csb0="0004000F" w:csb1="00000000"/>
  </w:font>
  <w:font w:name="方正行楷简体">
    <w:panose1 w:val="02010601030101010101"/>
    <w:charset w:val="86"/>
    <w:family w:val="auto"/>
    <w:pitch w:val="default"/>
    <w:sig w:usb0="00000001" w:usb1="080E0000" w:usb2="00000000" w:usb3="00000000" w:csb0="00040000" w:csb1="00000000"/>
  </w:font>
  <w:font w:name="Cambria">
    <w:panose1 w:val="02040503050406030204"/>
    <w:charset w:val="00"/>
    <w:family w:val="auto"/>
    <w:pitch w:val="default"/>
    <w:sig w:usb0="E00006FF" w:usb1="420024FF" w:usb2="02000000" w:usb3="00000000" w:csb0="2000019F" w:csb1="00000000"/>
  </w:font>
  <w:font w:name="Taipei">
    <w:altName w:val="NumberOnly"/>
    <w:panose1 w:val="020B0503020202020204"/>
    <w:charset w:val="00"/>
    <w:family w:val="auto"/>
    <w:pitch w:val="default"/>
    <w:sig w:usb0="00000000" w:usb1="00000000" w:usb2="00000000" w:usb3="00000000" w:csb0="00000000" w:csb1="00000000"/>
  </w:font>
  <w:font w:name="StarSymbol">
    <w:altName w:val="NumberOnly"/>
    <w:panose1 w:val="020B0503020202020204"/>
    <w:charset w:val="00"/>
    <w:family w:val="auto"/>
    <w:pitch w:val="default"/>
    <w:sig w:usb0="00000000" w:usb1="00000000" w:usb2="00000000" w:usb3="00000000" w:csb0="00000000" w:csb1="00000000"/>
  </w:font>
  <w:font w:name="Book Antiqua">
    <w:altName w:val="Segoe Print"/>
    <w:panose1 w:val="02040602050305030304"/>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Wingdings 2">
    <w:altName w:val="Wingdings"/>
    <w:panose1 w:val="05020102010507070707"/>
    <w:charset w:val="00"/>
    <w:family w:val="auto"/>
    <w:pitch w:val="default"/>
    <w:sig w:usb0="00000000" w:usb1="00000000" w:usb2="00000000" w:usb3="00000000" w:csb0="00000000" w:csb1="00000000"/>
  </w:font>
  <w:font w:name="Tahoma">
    <w:panose1 w:val="020B0604030504040204"/>
    <w:charset w:val="00"/>
    <w:family w:val="auto"/>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 w:name="方正小标宋_GBK">
    <w:panose1 w:val="02000000000000000000"/>
    <w:charset w:val="86"/>
    <w:family w:val="auto"/>
    <w:pitch w:val="default"/>
    <w:sig w:usb0="A00002BF" w:usb1="38CF7CFA" w:usb2="00082016" w:usb3="00000000" w:csb0="00040001" w:csb1="00000000"/>
  </w:font>
  <w:font w:name="ˎ̥">
    <w:altName w:val="NumberOnly"/>
    <w:panose1 w:val="020B0503020202020204"/>
    <w:charset w:val="00"/>
    <w:family w:val="auto"/>
    <w:pitch w:val="default"/>
    <w:sig w:usb0="00000000" w:usb1="00000000" w:usb2="00000000" w:usb3="00000000" w:csb0="00000000" w:csb1="00000000"/>
  </w:font>
  <w:font w:name="华文楷体">
    <w:panose1 w:val="02010600040101010101"/>
    <w:charset w:val="86"/>
    <w:family w:val="auto"/>
    <w:pitch w:val="default"/>
    <w:sig w:usb0="A00002BF" w:usb1="78CF7CFB" w:usb2="00000016" w:usb3="00000000" w:csb0="6006009F" w:csb1="DFD70000"/>
  </w:font>
  <w:font w:name="Calibri Light">
    <w:panose1 w:val="020F0302020204030204"/>
    <w:charset w:val="00"/>
    <w:family w:val="auto"/>
    <w:pitch w:val="default"/>
    <w:sig w:usb0="E4002EFF" w:usb1="C000247B" w:usb2="00000009" w:usb3="00000000" w:csb0="200001FF" w:csb1="00000000"/>
  </w:font>
  <w:font w:name="Arial Unicode MS">
    <w:altName w:val="Arial"/>
    <w:panose1 w:val="020B0604020202020204"/>
    <w:charset w:val="00"/>
    <w:family w:val="auto"/>
    <w:pitch w:val="default"/>
    <w:sig w:usb0="00000000" w:usb1="00000000" w:usb2="00000000" w:usb3="00000000" w:csb0="00000000" w:csb1="00000000"/>
  </w:font>
  <w:font w:name="Microsoft Sans Serif">
    <w:panose1 w:val="020B0604020202020204"/>
    <w:charset w:val="00"/>
    <w:family w:val="auto"/>
    <w:pitch w:val="default"/>
    <w:sig w:usb0="E5002EFF" w:usb1="C000605B" w:usb2="00000029" w:usb3="00000000" w:csb0="200101FF" w:csb1="20280000"/>
  </w:font>
  <w:font w:name="新宋体">
    <w:panose1 w:val="02010609030101010101"/>
    <w:charset w:val="86"/>
    <w:family w:val="auto"/>
    <w:pitch w:val="default"/>
    <w:sig w:usb0="00000283" w:usb1="288F0000" w:usb2="00000006" w:usb3="00000000" w:csb0="00040001" w:csb1="00000000"/>
  </w:font>
  <w:font w:name="Palatino Linotype">
    <w:panose1 w:val="02040502050505030304"/>
    <w:charset w:val="00"/>
    <w:family w:val="auto"/>
    <w:pitch w:val="default"/>
    <w:sig w:usb0="E0000287" w:usb1="40000013" w:usb2="00000000" w:usb3="00000000" w:csb0="2000019F" w:csb1="00000000"/>
  </w:font>
  <w:font w:name="长城仿宋">
    <w:altName w:val="仿宋"/>
    <w:panose1 w:val="020B0503020202020204"/>
    <w:charset w:val="00"/>
    <w:family w:val="auto"/>
    <w:pitch w:val="default"/>
    <w:sig w:usb0="00000000" w:usb1="00000000" w:usb2="00000000" w:usb3="00000000" w:csb0="00000000" w:csb1="00000000"/>
  </w:font>
  <w:font w:name="华文新魏">
    <w:altName w:val="Impact"/>
    <w:panose1 w:val="02010800040101010101"/>
    <w:charset w:val="00"/>
    <w:family w:val="auto"/>
    <w:pitch w:val="default"/>
    <w:sig w:usb0="00000000" w:usb1="00000000" w:usb2="00000000" w:usb3="00000000" w:csb0="00000000" w:csb1="00000000"/>
  </w:font>
  <w:font w:name="Impact">
    <w:panose1 w:val="020B0806030902050204"/>
    <w:charset w:val="00"/>
    <w:family w:val="auto"/>
    <w:pitch w:val="default"/>
    <w:sig w:usb0="00000287" w:usb1="00000000" w:usb2="00000000" w:usb3="00000000" w:csb0="2000009F" w:csb1="DFD70000"/>
  </w:font>
  <w:font w:name="Trebuchet MS">
    <w:panose1 w:val="020B0603020202020204"/>
    <w:charset w:val="00"/>
    <w:family w:val="auto"/>
    <w:pitch w:val="default"/>
    <w:sig w:usb0="00000687" w:usb1="00000000" w:usb2="00000000" w:usb3="00000000" w:csb0="2000009F" w:csb1="00000000"/>
  </w:font>
  <w:font w:name="方正楷体_GBK">
    <w:panose1 w:val="02000000000000000000"/>
    <w:charset w:val="86"/>
    <w:family w:val="auto"/>
    <w:pitch w:val="default"/>
    <w:sig w:usb0="800002BF" w:usb1="38CF7CFA" w:usb2="00000016" w:usb3="00000000" w:csb0="00040000" w:csb1="00000000"/>
  </w:font>
  <w:font w:name="华文黑体">
    <w:altName w:val="黑体"/>
    <w:panose1 w:val="020B0503020202020204"/>
    <w:charset w:val="00"/>
    <w:family w:val="auto"/>
    <w:pitch w:val="default"/>
    <w:sig w:usb0="00000000" w:usb1="00000000" w:usb2="00000000" w:usb3="00000000" w:csb0="00000000" w:csb1="00000000"/>
  </w:font>
  <w:font w:name="Lucida Grande">
    <w:altName w:val="Courier New"/>
    <w:panose1 w:val="020B0503020202020204"/>
    <w:charset w:val="00"/>
    <w:family w:val="auto"/>
    <w:pitch w:val="default"/>
    <w:sig w:usb0="00000000" w:usb1="00000000" w:usb2="00000000" w:usb3="00000000" w:csb0="00000000" w:csb1="00000000"/>
  </w:font>
  <w:font w:name="方正黑体_GBK">
    <w:altName w:val="微软雅黑"/>
    <w:panose1 w:val="020B0503020202020204"/>
    <w:charset w:val="00"/>
    <w:family w:val="auto"/>
    <w:pitch w:val="default"/>
    <w:sig w:usb0="00000000" w:usb1="00000000" w:usb2="00000000" w:usb3="00000000" w:csb0="00000000" w:csb1="00000000"/>
  </w:font>
  <w:font w:name="Times">
    <w:altName w:val="Times New Roman"/>
    <w:panose1 w:val="02020603050405020304"/>
    <w:charset w:val="00"/>
    <w:family w:val="auto"/>
    <w:pitch w:val="default"/>
    <w:sig w:usb0="00000000" w:usb1="00000000" w:usb2="00000000" w:usb3="00000000" w:csb0="00000000" w:csb1="00000000"/>
  </w:font>
  <w:font w:name="Segoe UI">
    <w:panose1 w:val="020B0502040204020203"/>
    <w:charset w:val="00"/>
    <w:family w:val="auto"/>
    <w:pitch w:val="default"/>
    <w:sig w:usb0="E4002EFF" w:usb1="C000E47F" w:usb2="00000009" w:usb3="00000000" w:csb0="200001FF" w:csb1="00000000"/>
  </w:font>
  <w:font w:name="隶书">
    <w:altName w:val="微软雅黑"/>
    <w:panose1 w:val="02010509060101010101"/>
    <w:charset w:val="00"/>
    <w:family w:val="auto"/>
    <w:pitch w:val="default"/>
    <w:sig w:usb0="00000000" w:usb1="00000000" w:usb2="00000000" w:usb3="00000000" w:csb0="00000000" w:csb1="00000000"/>
  </w:font>
  <w:font w:name="MS Mincho">
    <w:altName w:val="Segoe Print"/>
    <w:panose1 w:val="02020603050405090304"/>
    <w:charset w:val="00"/>
    <w:family w:val="auto"/>
    <w:pitch w:val="default"/>
    <w:sig w:usb0="00000000" w:usb1="00000000" w:usb2="00000000" w:usb3="00000000" w:csb0="00000000" w:csb1="00000000"/>
  </w:font>
  <w:font w:name="Segoe UI Symbol">
    <w:panose1 w:val="020B0502040204020203"/>
    <w:charset w:val="00"/>
    <w:family w:val="auto"/>
    <w:pitch w:val="default"/>
    <w:sig w:usb0="800001E3" w:usb1="1200FFEF" w:usb2="00040000" w:usb3="04000000" w:csb0="00000001" w:csb1="4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98BBA7">
    <w:pPr>
      <w:pStyle w:val="12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29582EA">
                          <w:pPr>
                            <w:pStyle w:val="20"/>
                          </w:pPr>
                          <w:r>
                            <w:fldChar w:fldCharType="begin"/>
                          </w:r>
                          <w:r>
                            <w:instrText xml:space="preserve"> PAGE  \* MERGEFORMAT </w:instrText>
                          </w:r>
                          <w:r>
                            <w:fldChar w:fldCharType="separate"/>
                          </w:r>
                          <w:r>
                            <w:t>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7"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POvy/g8AgAAbwQAAA4AAAAAAAAAAQAgAAAAHwEAAGRycy9lMm9E&#10;b2MueG1sUEsFBgAAAAAGAAYAWQEAAM0FAAAAAA==&#10;">
              <v:fill on="f" focussize="0,0"/>
              <v:stroke on="f" weight="0.5pt"/>
              <v:imagedata o:title=""/>
              <o:lock v:ext="edit" aspectratio="f"/>
              <v:textbox inset="0mm,0mm,0mm,0mm" style="mso-fit-shape-to-text:t;">
                <w:txbxContent>
                  <w:p w14:paraId="229582EA">
                    <w:pPr>
                      <w:pStyle w:val="20"/>
                    </w:pPr>
                    <w:r>
                      <w:fldChar w:fldCharType="begin"/>
                    </w:r>
                    <w:r>
                      <w:instrText xml:space="preserve"> PAGE  \* MERGEFORMAT </w:instrText>
                    </w:r>
                    <w:r>
                      <w:fldChar w:fldCharType="separate"/>
                    </w:r>
                    <w:r>
                      <w:t>4</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A190D2">
    <w:pPr>
      <w:pStyle w:val="20"/>
    </w:pPr>
    <w:r>
      <w:rPr>
        <w:sz w:val="21"/>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8"/>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9F23946">
                          <w:pPr>
                            <w:pStyle w:val="2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8"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Dk69/48AgAAbwQAAA4AAAAAAAAAAQAgAAAAHwEAAGRycy9lMm9E&#10;b2MueG1sUEsFBgAAAAAGAAYAWQEAAM0FAAAAAA==&#10;">
              <v:fill on="f" focussize="0,0"/>
              <v:stroke on="f" weight="0.5pt"/>
              <v:imagedata o:title=""/>
              <o:lock v:ext="edit" aspectratio="f"/>
              <v:textbox inset="0mm,0mm,0mm,0mm" style="mso-fit-shape-to-text:t;">
                <w:txbxContent>
                  <w:p w14:paraId="59F23946">
                    <w:pPr>
                      <w:pStyle w:val="20"/>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C828B5">
    <w:pPr>
      <w:pStyle w:val="336"/>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9"/>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33A753C">
                          <w:pPr>
                            <w:pStyle w:val="20"/>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9"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LNJWO7QAAAABQEAAA8AAAAAAAAAAQAgAAAAIgAAAGRycy9kb3ducmV2&#10;LnhtbFBLAQIUABQAAAAIAIdO4kCYH3vmPQIAAG8EAAAOAAAAAAAAAAEAIAAAAB8BAABkcnMvZTJv&#10;RG9jLnhtbFBLBQYAAAAABgAGAFkBAADOBQAAAAA=&#10;">
              <v:fill on="f" focussize="0,0"/>
              <v:stroke on="f" weight="0.5pt"/>
              <v:imagedata o:title=""/>
              <o:lock v:ext="edit" aspectratio="f"/>
              <v:textbox inset="0mm,0mm,0mm,0mm" style="mso-fit-shape-to-text:t;">
                <w:txbxContent>
                  <w:p w14:paraId="633A753C">
                    <w:pPr>
                      <w:pStyle w:val="20"/>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4334B9">
    <w:pPr>
      <w:pStyle w:val="336"/>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5371670">
                          <w:pPr>
                            <w:pStyle w:val="20"/>
                          </w:pPr>
                          <w:r>
                            <w:fldChar w:fldCharType="begin"/>
                          </w:r>
                          <w:r>
                            <w:instrText xml:space="preserve"> PAGE  \* MERGEFORMAT </w:instrText>
                          </w:r>
                          <w:r>
                            <w:fldChar w:fldCharType="separate"/>
                          </w:r>
                          <w:r>
                            <w:t>23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10"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PGgHN88AgAAcAQAAA4AAAAAAAAAAQAgAAAAHwEAAGRycy9lMm9E&#10;b2MueG1sUEsFBgAAAAAGAAYAWQEAAM0FAAAAAA==&#10;">
              <v:fill on="f" focussize="0,0"/>
              <v:stroke on="f" weight="0.5pt"/>
              <v:imagedata o:title=""/>
              <o:lock v:ext="edit" aspectratio="f"/>
              <v:textbox inset="0mm,0mm,0mm,0mm" style="mso-fit-shape-to-text:t;">
                <w:txbxContent>
                  <w:p w14:paraId="05371670">
                    <w:pPr>
                      <w:pStyle w:val="20"/>
                    </w:pPr>
                    <w:r>
                      <w:fldChar w:fldCharType="begin"/>
                    </w:r>
                    <w:r>
                      <w:instrText xml:space="preserve"> PAGE  \* MERGEFORMAT </w:instrText>
                    </w:r>
                    <w:r>
                      <w:fldChar w:fldCharType="separate"/>
                    </w:r>
                    <w:r>
                      <w:t>23</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DDE8BA">
    <w:pPr>
      <w:pStyle w:val="336"/>
      <w:jc w:val="center"/>
    </w:pPr>
    <w:r>
      <w:fldChar w:fldCharType="begin"/>
    </w:r>
    <w:r>
      <w:rPr>
        <w:rStyle w:val="166"/>
      </w:rPr>
      <w:instrText xml:space="preserve"> PAGE </w:instrText>
    </w:r>
    <w:r>
      <w:fldChar w:fldCharType="separate"/>
    </w:r>
    <w:r>
      <w:rPr>
        <w:rStyle w:val="166"/>
        <w:rFonts w:hint="eastAsia"/>
      </w:rPr>
      <w:t>６８</w:t>
    </w:r>
    <w:r>
      <w:fldChar w:fldCharType="end"/>
    </w:r>
  </w:p>
  <w:p w14:paraId="1AC74745"/>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F205925"/>
    <w:multiLevelType w:val="multilevel"/>
    <w:tmpl w:val="BF205925"/>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CF092B84"/>
    <w:multiLevelType w:val="multilevel"/>
    <w:tmpl w:val="CF092B84"/>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0053208E"/>
    <w:multiLevelType w:val="multilevel"/>
    <w:tmpl w:val="0053208E"/>
    <w:lvl w:ilvl="0" w:tentative="0">
      <w:start w:val="1"/>
      <w:numFmt w:val="bullet"/>
      <w:pStyle w:val="66"/>
      <w:lvlText w:val=""/>
      <w:lvlJc w:val="left"/>
      <w:pPr>
        <w:tabs>
          <w:tab w:val="left" w:pos="780"/>
        </w:tabs>
        <w:ind w:left="780" w:hanging="360"/>
      </w:pPr>
      <w:rPr>
        <w:rFonts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03D62ECE"/>
    <w:multiLevelType w:val="multilevel"/>
    <w:tmpl w:val="03D62ECE"/>
    <w:lvl w:ilvl="0" w:tentative="0">
      <w:start w:val="4"/>
      <w:numFmt w:val="chineseCounting"/>
      <w:suff w:val="nothing"/>
      <w:lvlText w:val="（%1）"/>
      <w:lvlJc w:val="left"/>
      <w:rPr>
        <w:rFonts w:hint="eastAsia"/>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5">
    <w:nsid w:val="59ADCABA"/>
    <w:multiLevelType w:val="multilevel"/>
    <w:tmpl w:val="59ADCABA"/>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cumentProtection w:enforcement="0"/>
  <w:defaultTabStop w:val="420"/>
  <w:characterSpacingControl w:val="doNotCompress"/>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C4478E2"/>
    <w:rsid w:val="4D006C48"/>
    <w:rsid w:val="644058D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0" w:semiHidden="0"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3">
    <w:name w:val="heading 1"/>
    <w:basedOn w:val="1"/>
    <w:next w:val="1"/>
    <w:link w:val="326"/>
    <w:qFormat/>
    <w:uiPriority w:val="0"/>
    <w:pPr>
      <w:keepNext/>
      <w:outlineLvl w:val="0"/>
    </w:pPr>
    <w:rPr>
      <w:rFonts w:ascii="楷体_GB2312" w:eastAsia="楷体_GB2312"/>
      <w:sz w:val="28"/>
      <w:szCs w:val="20"/>
      <w:lang w:eastAsia="en-US"/>
    </w:rPr>
  </w:style>
  <w:style w:type="paragraph" w:styleId="4">
    <w:name w:val="heading 2"/>
    <w:basedOn w:val="1"/>
    <w:next w:val="1"/>
    <w:link w:val="77"/>
    <w:qFormat/>
    <w:uiPriority w:val="0"/>
    <w:pPr>
      <w:keepNext/>
      <w:keepLines/>
      <w:spacing w:before="260" w:after="260" w:line="416" w:lineRule="auto"/>
      <w:jc w:val="center"/>
      <w:outlineLvl w:val="1"/>
    </w:pPr>
    <w:rPr>
      <w:rFonts w:ascii="幼圆" w:hAnsi="Arial" w:eastAsia="楷体_GB2312"/>
      <w:b/>
      <w:sz w:val="44"/>
      <w:szCs w:val="20"/>
    </w:rPr>
  </w:style>
  <w:style w:type="paragraph" w:styleId="5">
    <w:name w:val="heading 3"/>
    <w:basedOn w:val="1"/>
    <w:next w:val="6"/>
    <w:link w:val="327"/>
    <w:qFormat/>
    <w:uiPriority w:val="0"/>
    <w:pPr>
      <w:keepNext/>
      <w:keepLines/>
      <w:spacing w:before="260" w:after="260" w:line="416" w:lineRule="auto"/>
      <w:outlineLvl w:val="2"/>
    </w:pPr>
    <w:rPr>
      <w:b/>
      <w:sz w:val="32"/>
      <w:szCs w:val="20"/>
      <w:lang w:eastAsia="en-US"/>
    </w:rPr>
  </w:style>
  <w:style w:type="paragraph" w:styleId="7">
    <w:name w:val="heading 4"/>
    <w:basedOn w:val="1"/>
    <w:next w:val="1"/>
    <w:link w:val="328"/>
    <w:qFormat/>
    <w:uiPriority w:val="0"/>
    <w:pPr>
      <w:keepNext/>
      <w:keepLines/>
      <w:spacing w:before="280" w:after="290" w:line="376" w:lineRule="auto"/>
      <w:outlineLvl w:val="3"/>
    </w:pPr>
    <w:rPr>
      <w:rFonts w:ascii="Arial" w:hAnsi="Arial" w:eastAsia="黑体"/>
      <w:b/>
      <w:bCs/>
      <w:sz w:val="28"/>
      <w:szCs w:val="28"/>
      <w:lang w:eastAsia="en-US"/>
    </w:rPr>
  </w:style>
  <w:style w:type="paragraph" w:styleId="8">
    <w:name w:val="heading 5"/>
    <w:basedOn w:val="1"/>
    <w:next w:val="9"/>
    <w:link w:val="329"/>
    <w:qFormat/>
    <w:uiPriority w:val="0"/>
    <w:pPr>
      <w:keepNext/>
      <w:keepLines/>
      <w:tabs>
        <w:tab w:val="left" w:pos="1008"/>
      </w:tabs>
      <w:spacing w:before="280" w:after="290" w:line="376" w:lineRule="auto"/>
      <w:ind w:left="1008" w:hanging="1008"/>
      <w:outlineLvl w:val="4"/>
    </w:pPr>
    <w:rPr>
      <w:rFonts w:ascii="宋体"/>
      <w:b/>
      <w:spacing w:val="-2"/>
      <w:position w:val="-6"/>
      <w:sz w:val="28"/>
      <w:szCs w:val="20"/>
      <w:lang w:eastAsia="en-US"/>
    </w:rPr>
  </w:style>
  <w:style w:type="paragraph" w:styleId="10">
    <w:name w:val="heading 6"/>
    <w:basedOn w:val="1"/>
    <w:next w:val="9"/>
    <w:link w:val="330"/>
    <w:qFormat/>
    <w:uiPriority w:val="0"/>
    <w:pPr>
      <w:keepNext/>
      <w:keepLines/>
      <w:tabs>
        <w:tab w:val="left" w:pos="1152"/>
      </w:tabs>
      <w:spacing w:before="240" w:after="64" w:line="320" w:lineRule="auto"/>
      <w:ind w:left="1152" w:hanging="1152"/>
      <w:outlineLvl w:val="5"/>
    </w:pPr>
    <w:rPr>
      <w:rFonts w:ascii="Arial" w:hAnsi="Arial" w:eastAsia="黑体"/>
      <w:b/>
      <w:spacing w:val="-2"/>
      <w:position w:val="-6"/>
      <w:sz w:val="24"/>
      <w:szCs w:val="20"/>
      <w:lang w:eastAsia="en-US"/>
    </w:rPr>
  </w:style>
  <w:style w:type="paragraph" w:styleId="11">
    <w:name w:val="heading 7"/>
    <w:basedOn w:val="1"/>
    <w:next w:val="9"/>
    <w:link w:val="331"/>
    <w:qFormat/>
    <w:uiPriority w:val="0"/>
    <w:pPr>
      <w:keepNext/>
      <w:keepLines/>
      <w:tabs>
        <w:tab w:val="left" w:pos="1296"/>
      </w:tabs>
      <w:spacing w:before="240" w:after="64" w:line="320" w:lineRule="auto"/>
      <w:ind w:left="1296" w:hanging="1296"/>
      <w:outlineLvl w:val="6"/>
    </w:pPr>
    <w:rPr>
      <w:rFonts w:ascii="宋体"/>
      <w:b/>
      <w:spacing w:val="-2"/>
      <w:position w:val="-6"/>
      <w:sz w:val="24"/>
      <w:szCs w:val="20"/>
      <w:lang w:eastAsia="en-US"/>
    </w:rPr>
  </w:style>
  <w:style w:type="paragraph" w:styleId="12">
    <w:name w:val="heading 8"/>
    <w:basedOn w:val="1"/>
    <w:next w:val="9"/>
    <w:link w:val="332"/>
    <w:qFormat/>
    <w:uiPriority w:val="0"/>
    <w:pPr>
      <w:keepNext/>
      <w:keepLines/>
      <w:tabs>
        <w:tab w:val="left" w:pos="1440"/>
      </w:tabs>
      <w:spacing w:before="240" w:after="64" w:line="320" w:lineRule="auto"/>
      <w:ind w:left="1440" w:hanging="1440"/>
      <w:outlineLvl w:val="7"/>
    </w:pPr>
    <w:rPr>
      <w:rFonts w:ascii="Arial" w:hAnsi="Arial" w:eastAsia="黑体"/>
      <w:spacing w:val="-2"/>
      <w:position w:val="-6"/>
      <w:sz w:val="24"/>
      <w:szCs w:val="20"/>
      <w:lang w:eastAsia="en-US"/>
    </w:rPr>
  </w:style>
  <w:style w:type="paragraph" w:styleId="13">
    <w:name w:val="heading 9"/>
    <w:basedOn w:val="1"/>
    <w:next w:val="9"/>
    <w:link w:val="333"/>
    <w:qFormat/>
    <w:uiPriority w:val="0"/>
    <w:pPr>
      <w:keepNext/>
      <w:keepLines/>
      <w:tabs>
        <w:tab w:val="left" w:pos="1584"/>
      </w:tabs>
      <w:spacing w:before="240" w:after="64" w:line="320" w:lineRule="auto"/>
      <w:ind w:left="1584" w:hanging="1584"/>
      <w:outlineLvl w:val="8"/>
    </w:pPr>
    <w:rPr>
      <w:rFonts w:ascii="Arial" w:hAnsi="Arial" w:eastAsia="黑体"/>
      <w:spacing w:val="-2"/>
      <w:position w:val="-6"/>
      <w:sz w:val="28"/>
      <w:szCs w:val="20"/>
      <w:lang w:eastAsia="en-US"/>
    </w:rPr>
  </w:style>
  <w:style w:type="character" w:default="1" w:styleId="32">
    <w:name w:val="Default Paragraph Font"/>
    <w:semiHidden/>
    <w:unhideWhenUsed/>
    <w:qFormat/>
    <w:uiPriority w:val="1"/>
  </w:style>
  <w:style w:type="table" w:default="1" w:styleId="30">
    <w:name w:val="Normal Table"/>
    <w:semiHidden/>
    <w:unhideWhenUsed/>
    <w:qFormat/>
    <w:uiPriority w:val="99"/>
    <w:tblPr>
      <w:tblCellMar>
        <w:top w:w="0" w:type="dxa"/>
        <w:left w:w="108" w:type="dxa"/>
        <w:bottom w:w="0" w:type="dxa"/>
        <w:right w:w="108" w:type="dxa"/>
      </w:tblCellMar>
    </w:tblPr>
  </w:style>
  <w:style w:type="paragraph" w:styleId="2">
    <w:name w:val="toc 2"/>
    <w:basedOn w:val="1"/>
    <w:next w:val="1"/>
    <w:unhideWhenUsed/>
    <w:qFormat/>
    <w:uiPriority w:val="39"/>
    <w:pPr>
      <w:spacing w:after="57"/>
      <w:ind w:left="283"/>
    </w:pPr>
  </w:style>
  <w:style w:type="paragraph" w:styleId="6">
    <w:name w:val="Normal Indent"/>
    <w:basedOn w:val="1"/>
    <w:unhideWhenUsed/>
    <w:qFormat/>
    <w:uiPriority w:val="0"/>
    <w:pPr>
      <w:ind w:firstLine="420"/>
    </w:pPr>
  </w:style>
  <w:style w:type="paragraph" w:customStyle="1" w:styleId="9">
    <w:name w:val="正文缩进11"/>
    <w:basedOn w:val="1"/>
    <w:link w:val="85"/>
    <w:unhideWhenUsed/>
    <w:qFormat/>
    <w:uiPriority w:val="0"/>
    <w:pPr>
      <w:ind w:firstLine="420"/>
    </w:pPr>
    <w:rPr>
      <w:sz w:val="20"/>
      <w:lang w:eastAsia="en-US"/>
    </w:rPr>
  </w:style>
  <w:style w:type="paragraph" w:styleId="14">
    <w:name w:val="toc 7"/>
    <w:basedOn w:val="1"/>
    <w:next w:val="1"/>
    <w:unhideWhenUsed/>
    <w:qFormat/>
    <w:uiPriority w:val="39"/>
    <w:pPr>
      <w:spacing w:after="57"/>
      <w:ind w:left="1701"/>
    </w:pPr>
  </w:style>
  <w:style w:type="paragraph" w:styleId="15">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6">
    <w:name w:val="toc 5"/>
    <w:basedOn w:val="1"/>
    <w:next w:val="1"/>
    <w:unhideWhenUsed/>
    <w:qFormat/>
    <w:uiPriority w:val="39"/>
    <w:pPr>
      <w:spacing w:after="57"/>
      <w:ind w:left="1134"/>
    </w:pPr>
  </w:style>
  <w:style w:type="paragraph" w:styleId="17">
    <w:name w:val="toc 3"/>
    <w:basedOn w:val="1"/>
    <w:next w:val="1"/>
    <w:unhideWhenUsed/>
    <w:qFormat/>
    <w:uiPriority w:val="39"/>
    <w:pPr>
      <w:spacing w:after="57"/>
      <w:ind w:left="567"/>
    </w:pPr>
  </w:style>
  <w:style w:type="paragraph" w:styleId="18">
    <w:name w:val="toc 8"/>
    <w:basedOn w:val="1"/>
    <w:next w:val="1"/>
    <w:unhideWhenUsed/>
    <w:qFormat/>
    <w:uiPriority w:val="39"/>
    <w:pPr>
      <w:spacing w:after="57"/>
      <w:ind w:left="1984"/>
    </w:pPr>
  </w:style>
  <w:style w:type="paragraph" w:styleId="19">
    <w:name w:val="endnote text"/>
    <w:basedOn w:val="1"/>
    <w:semiHidden/>
    <w:unhideWhenUsed/>
    <w:qFormat/>
    <w:uiPriority w:val="99"/>
    <w:rPr>
      <w:sz w:val="20"/>
    </w:rPr>
  </w:style>
  <w:style w:type="paragraph" w:styleId="20">
    <w:name w:val="footer"/>
    <w:basedOn w:val="1"/>
    <w:unhideWhenUsed/>
    <w:qFormat/>
    <w:uiPriority w:val="99"/>
    <w:pPr>
      <w:tabs>
        <w:tab w:val="center" w:pos="7143"/>
        <w:tab w:val="right" w:pos="14287"/>
      </w:tabs>
    </w:pPr>
  </w:style>
  <w:style w:type="paragraph" w:styleId="21">
    <w:name w:val="header"/>
    <w:basedOn w:val="1"/>
    <w:unhideWhenUsed/>
    <w:qFormat/>
    <w:uiPriority w:val="99"/>
    <w:pPr>
      <w:tabs>
        <w:tab w:val="center" w:pos="7143"/>
        <w:tab w:val="right" w:pos="14287"/>
      </w:tabs>
    </w:pPr>
  </w:style>
  <w:style w:type="paragraph" w:styleId="22">
    <w:name w:val="toc 1"/>
    <w:basedOn w:val="1"/>
    <w:next w:val="1"/>
    <w:unhideWhenUsed/>
    <w:qFormat/>
    <w:uiPriority w:val="39"/>
    <w:pPr>
      <w:spacing w:after="57"/>
    </w:pPr>
  </w:style>
  <w:style w:type="paragraph" w:styleId="23">
    <w:name w:val="toc 4"/>
    <w:basedOn w:val="1"/>
    <w:next w:val="1"/>
    <w:unhideWhenUsed/>
    <w:qFormat/>
    <w:uiPriority w:val="39"/>
    <w:pPr>
      <w:spacing w:after="57"/>
      <w:ind w:left="850"/>
    </w:pPr>
  </w:style>
  <w:style w:type="paragraph" w:styleId="24">
    <w:name w:val="Subtitle"/>
    <w:basedOn w:val="1"/>
    <w:next w:val="1"/>
    <w:qFormat/>
    <w:uiPriority w:val="11"/>
    <w:pPr>
      <w:spacing w:before="200" w:after="200"/>
    </w:pPr>
    <w:rPr>
      <w:sz w:val="24"/>
    </w:rPr>
  </w:style>
  <w:style w:type="paragraph" w:styleId="25">
    <w:name w:val="footnote text"/>
    <w:basedOn w:val="1"/>
    <w:semiHidden/>
    <w:unhideWhenUsed/>
    <w:qFormat/>
    <w:uiPriority w:val="99"/>
    <w:pPr>
      <w:spacing w:after="40"/>
    </w:pPr>
    <w:rPr>
      <w:sz w:val="18"/>
    </w:rPr>
  </w:style>
  <w:style w:type="paragraph" w:styleId="26">
    <w:name w:val="toc 6"/>
    <w:basedOn w:val="1"/>
    <w:next w:val="1"/>
    <w:unhideWhenUsed/>
    <w:qFormat/>
    <w:uiPriority w:val="39"/>
    <w:pPr>
      <w:spacing w:after="57"/>
      <w:ind w:left="1417"/>
    </w:pPr>
  </w:style>
  <w:style w:type="paragraph" w:styleId="27">
    <w:name w:val="table of figures"/>
    <w:basedOn w:val="1"/>
    <w:next w:val="1"/>
    <w:unhideWhenUsed/>
    <w:qFormat/>
    <w:uiPriority w:val="99"/>
  </w:style>
  <w:style w:type="paragraph" w:styleId="28">
    <w:name w:val="toc 9"/>
    <w:basedOn w:val="1"/>
    <w:next w:val="1"/>
    <w:unhideWhenUsed/>
    <w:qFormat/>
    <w:uiPriority w:val="39"/>
    <w:pPr>
      <w:spacing w:after="57"/>
      <w:ind w:left="2268"/>
    </w:pPr>
  </w:style>
  <w:style w:type="paragraph" w:styleId="29">
    <w:name w:val="Title"/>
    <w:basedOn w:val="1"/>
    <w:next w:val="1"/>
    <w:qFormat/>
    <w:uiPriority w:val="10"/>
    <w:pPr>
      <w:spacing w:before="300" w:after="200"/>
      <w:contextualSpacing/>
    </w:pPr>
    <w:rPr>
      <w:sz w:val="48"/>
      <w:szCs w:val="48"/>
    </w:rPr>
  </w:style>
  <w:style w:type="table" w:styleId="31">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3">
    <w:name w:val="endnote reference"/>
    <w:semiHidden/>
    <w:unhideWhenUsed/>
    <w:qFormat/>
    <w:uiPriority w:val="99"/>
    <w:rPr>
      <w:vertAlign w:val="superscript"/>
    </w:rPr>
  </w:style>
  <w:style w:type="character" w:styleId="34">
    <w:name w:val="Hyperlink"/>
    <w:basedOn w:val="32"/>
    <w:unhideWhenUsed/>
    <w:qFormat/>
    <w:uiPriority w:val="99"/>
    <w:rPr>
      <w:color w:val="0000FF" w:themeColor="hyperlink"/>
      <w:u w:val="single"/>
      <w14:textFill>
        <w14:solidFill>
          <w14:schemeClr w14:val="hlink"/>
        </w14:solidFill>
      </w14:textFill>
    </w:rPr>
  </w:style>
  <w:style w:type="character" w:styleId="35">
    <w:name w:val="footnote reference"/>
    <w:unhideWhenUsed/>
    <w:qFormat/>
    <w:uiPriority w:val="99"/>
    <w:rPr>
      <w:vertAlign w:val="superscript"/>
    </w:rPr>
  </w:style>
  <w:style w:type="character" w:customStyle="1" w:styleId="36">
    <w:name w:val="Quote Char"/>
    <w:qFormat/>
    <w:uiPriority w:val="29"/>
    <w:rPr>
      <w:i/>
    </w:rPr>
  </w:style>
  <w:style w:type="character" w:customStyle="1" w:styleId="37">
    <w:name w:val="Intense Quote Char"/>
    <w:qFormat/>
    <w:uiPriority w:val="30"/>
    <w:rPr>
      <w:i/>
    </w:rPr>
  </w:style>
  <w:style w:type="table" w:customStyle="1" w:styleId="38">
    <w:name w:val="Plain Table 1"/>
    <w:basedOn w:val="30"/>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39">
    <w:name w:val="Plain Table 2"/>
    <w:basedOn w:val="30"/>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40">
    <w:name w:val="Plain Table 3"/>
    <w:basedOn w:val="30"/>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41">
    <w:name w:val="Plain Table 4"/>
    <w:basedOn w:val="30"/>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42">
    <w:name w:val="Plain Table 5"/>
    <w:basedOn w:val="30"/>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43">
    <w:name w:val="Grid Table 1 Light"/>
    <w:basedOn w:val="30"/>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44">
    <w:name w:val="Grid Table 2"/>
    <w:basedOn w:val="30"/>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45">
    <w:name w:val="Grid Table 3"/>
    <w:basedOn w:val="30"/>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46">
    <w:name w:val="Grid Table 4"/>
    <w:basedOn w:val="30"/>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47">
    <w:name w:val="Grid Table 5 Dark"/>
    <w:basedOn w:val="3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48">
    <w:name w:val="Grid Table 6 Colorful"/>
    <w:basedOn w:val="30"/>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49">
    <w:name w:val="Grid Table 7 Colorful"/>
    <w:basedOn w:val="30"/>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50">
    <w:name w:val="List Table 1 Light"/>
    <w:basedOn w:val="30"/>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51">
    <w:name w:val="List Table 2"/>
    <w:basedOn w:val="30"/>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52">
    <w:name w:val="List Table 3"/>
    <w:basedOn w:val="30"/>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53">
    <w:name w:val="List Table 4"/>
    <w:basedOn w:val="30"/>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54">
    <w:name w:val="List Table 5 Dark"/>
    <w:basedOn w:val="30"/>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55">
    <w:name w:val="List Table 6 Colorful"/>
    <w:basedOn w:val="30"/>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56">
    <w:name w:val="List Table 7 Colorful"/>
    <w:basedOn w:val="30"/>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paragraph" w:customStyle="1" w:styleId="57">
    <w:name w:val="TOC Heading"/>
    <w:unhideWhenUsed/>
    <w:qFormat/>
    <w:uiPriority w:val="39"/>
    <w:rPr>
      <w:rFonts w:hint="default" w:ascii="Times New Roman" w:hAnsi="Times New Roman" w:eastAsia="宋体" w:cs="Times New Roman"/>
    </w:rPr>
  </w:style>
  <w:style w:type="paragraph" w:customStyle="1" w:styleId="58">
    <w:name w:val="正文1"/>
    <w:basedOn w:val="59"/>
    <w:next w:val="61"/>
    <w:qFormat/>
    <w:uiPriority w:val="0"/>
    <w:pPr>
      <w:spacing w:line="360" w:lineRule="atLeast"/>
      <w:jc w:val="left"/>
    </w:pPr>
    <w:rPr>
      <w:rFonts w:ascii="宋体" w:hAnsi="Calibri"/>
      <w:sz w:val="24"/>
    </w:rPr>
  </w:style>
  <w:style w:type="paragraph" w:customStyle="1" w:styleId="59">
    <w:name w:val="正文11"/>
    <w:next w:val="60"/>
    <w:qFormat/>
    <w:uiPriority w:val="0"/>
    <w:pPr>
      <w:spacing w:line="856" w:lineRule="atLeast"/>
      <w:jc w:val="both"/>
    </w:pPr>
    <w:rPr>
      <w:rFonts w:hint="default" w:ascii="Times New Roman" w:hAnsi="Times New Roman" w:eastAsia="宋体" w:cs="Times New Roman"/>
      <w:color w:val="000000"/>
      <w:sz w:val="21"/>
      <w:lang w:val="en-US" w:eastAsia="zh-CN" w:bidi="ar-SA"/>
    </w:rPr>
  </w:style>
  <w:style w:type="paragraph" w:customStyle="1" w:styleId="60">
    <w:name w:val="footer1"/>
    <w:basedOn w:val="59"/>
    <w:qFormat/>
    <w:uiPriority w:val="0"/>
    <w:pPr>
      <w:tabs>
        <w:tab w:val="center" w:pos="4153"/>
        <w:tab w:val="right" w:pos="8306"/>
      </w:tabs>
      <w:jc w:val="left"/>
    </w:pPr>
    <w:rPr>
      <w:sz w:val="18"/>
    </w:rPr>
  </w:style>
  <w:style w:type="paragraph" w:customStyle="1" w:styleId="61">
    <w:name w:val="正文文本1"/>
    <w:basedOn w:val="1"/>
    <w:next w:val="62"/>
    <w:qFormat/>
    <w:uiPriority w:val="0"/>
    <w:pPr>
      <w:widowControl/>
      <w:spacing w:after="120" w:line="288" w:lineRule="auto"/>
      <w:jc w:val="left"/>
    </w:pPr>
    <w:rPr>
      <w:rFonts w:ascii="Verdana" w:hAnsi="Verdana"/>
      <w:sz w:val="24"/>
      <w:szCs w:val="20"/>
      <w:lang w:eastAsia="en-US"/>
    </w:rPr>
  </w:style>
  <w:style w:type="paragraph" w:customStyle="1" w:styleId="62">
    <w:name w:val="一级条标题"/>
    <w:basedOn w:val="63"/>
    <w:next w:val="64"/>
    <w:link w:val="440"/>
    <w:qFormat/>
    <w:uiPriority w:val="0"/>
    <w:pPr>
      <w:tabs>
        <w:tab w:val="left" w:pos="567"/>
        <w:tab w:val="left" w:pos="780"/>
      </w:tabs>
      <w:ind w:left="420" w:hanging="420"/>
      <w:outlineLvl w:val="2"/>
    </w:pPr>
    <w:rPr>
      <w:lang w:eastAsia="en-US"/>
    </w:rPr>
  </w:style>
  <w:style w:type="paragraph" w:customStyle="1" w:styleId="63">
    <w:name w:val="章标题"/>
    <w:next w:val="1"/>
    <w:link w:val="439"/>
    <w:qFormat/>
    <w:uiPriority w:val="0"/>
    <w:pPr>
      <w:tabs>
        <w:tab w:val="left" w:pos="567"/>
        <w:tab w:val="left" w:pos="780"/>
      </w:tabs>
      <w:ind w:left="780" w:hanging="360"/>
      <w:jc w:val="both"/>
      <w:outlineLvl w:val="1"/>
    </w:pPr>
    <w:rPr>
      <w:rFonts w:hint="default" w:ascii="黑体" w:hAnsi="Times New Roman" w:eastAsia="黑体" w:cs="Times New Roman"/>
      <w:lang w:val="en-US" w:eastAsia="zh-CN" w:bidi="ar-SA"/>
    </w:rPr>
  </w:style>
  <w:style w:type="paragraph" w:customStyle="1" w:styleId="64">
    <w:name w:val="段"/>
    <w:next w:val="1"/>
    <w:qFormat/>
    <w:uiPriority w:val="0"/>
    <w:pPr>
      <w:ind w:firstLine="200"/>
      <w:jc w:val="both"/>
    </w:pPr>
    <w:rPr>
      <w:rFonts w:hint="default" w:ascii="宋体" w:hAnsi="Times New Roman" w:eastAsia="宋体" w:cs="Times New Roman"/>
      <w:sz w:val="21"/>
      <w:lang w:val="en-US" w:eastAsia="zh-CN" w:bidi="ar-SA"/>
    </w:rPr>
  </w:style>
  <w:style w:type="paragraph" w:customStyle="1" w:styleId="65">
    <w:name w:val="标题 21"/>
    <w:basedOn w:val="1"/>
    <w:next w:val="1"/>
    <w:qFormat/>
    <w:uiPriority w:val="0"/>
    <w:pPr>
      <w:keepNext/>
      <w:keepLines/>
      <w:spacing w:before="260" w:after="260" w:line="416" w:lineRule="auto"/>
      <w:jc w:val="center"/>
      <w:outlineLvl w:val="1"/>
    </w:pPr>
    <w:rPr>
      <w:rFonts w:ascii="幼圆" w:hAnsi="Arial" w:eastAsia="楷体_GB2312"/>
      <w:b/>
      <w:sz w:val="44"/>
      <w:szCs w:val="20"/>
    </w:rPr>
  </w:style>
  <w:style w:type="paragraph" w:customStyle="1" w:styleId="66">
    <w:name w:val="ListBullet21"/>
    <w:basedOn w:val="1"/>
    <w:qFormat/>
    <w:uiPriority w:val="0"/>
    <w:pPr>
      <w:numPr>
        <w:ilvl w:val="0"/>
        <w:numId w:val="1"/>
      </w:numPr>
    </w:pPr>
  </w:style>
  <w:style w:type="paragraph" w:customStyle="1" w:styleId="67">
    <w:name w:val="文本块1"/>
    <w:basedOn w:val="1"/>
    <w:qFormat/>
    <w:uiPriority w:val="0"/>
    <w:pPr>
      <w:ind w:left="630" w:right="630"/>
      <w:jc w:val="center"/>
    </w:pPr>
    <w:rPr>
      <w:rFonts w:ascii="宋体"/>
      <w:b/>
      <w:sz w:val="32"/>
    </w:rPr>
  </w:style>
  <w:style w:type="paragraph" w:styleId="68">
    <w:name w:val="List Paragraph"/>
    <w:basedOn w:val="1"/>
    <w:qFormat/>
    <w:uiPriority w:val="34"/>
    <w:pPr>
      <w:ind w:left="720"/>
      <w:contextualSpacing/>
    </w:pPr>
  </w:style>
  <w:style w:type="paragraph" w:styleId="69">
    <w:name w:val="No Spacing"/>
    <w:qFormat/>
    <w:uiPriority w:val="1"/>
    <w:rPr>
      <w:rFonts w:hint="default" w:ascii="Times New Roman" w:hAnsi="Times New Roman" w:eastAsia="宋体" w:cs="Times New Roman"/>
      <w:lang w:val="en-US" w:eastAsia="zh-CN" w:bidi="ar-SA"/>
    </w:rPr>
  </w:style>
  <w:style w:type="paragraph" w:styleId="70">
    <w:name w:val="Quote"/>
    <w:basedOn w:val="1"/>
    <w:next w:val="1"/>
    <w:link w:val="71"/>
    <w:qFormat/>
    <w:uiPriority w:val="29"/>
    <w:pPr>
      <w:ind w:left="720" w:right="720"/>
    </w:pPr>
    <w:rPr>
      <w:i/>
    </w:rPr>
  </w:style>
  <w:style w:type="character" w:customStyle="1" w:styleId="71">
    <w:name w:val="引用 字符2"/>
    <w:link w:val="70"/>
    <w:qFormat/>
    <w:uiPriority w:val="29"/>
    <w:rPr>
      <w:i/>
    </w:rPr>
  </w:style>
  <w:style w:type="paragraph" w:styleId="72">
    <w:name w:val="Intense Quote"/>
    <w:basedOn w:val="1"/>
    <w:next w:val="1"/>
    <w:link w:val="73"/>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73">
    <w:name w:val="明显引用 字符2"/>
    <w:link w:val="72"/>
    <w:qFormat/>
    <w:uiPriority w:val="30"/>
    <w:rPr>
      <w:i/>
    </w:rPr>
  </w:style>
  <w:style w:type="paragraph" w:customStyle="1" w:styleId="74">
    <w:name w:val="TOC 标题1"/>
    <w:unhideWhenUsed/>
    <w:qFormat/>
    <w:uiPriority w:val="39"/>
    <w:rPr>
      <w:rFonts w:hint="default" w:ascii="Times New Roman" w:hAnsi="Times New Roman" w:eastAsia="宋体" w:cs="Times New Roman"/>
      <w:lang w:val="en-US" w:eastAsia="zh-CN" w:bidi="ar-SA"/>
    </w:rPr>
  </w:style>
  <w:style w:type="character" w:customStyle="1" w:styleId="75">
    <w:name w:val="默认段落字体11"/>
    <w:unhideWhenUsed/>
    <w:qFormat/>
    <w:uiPriority w:val="1"/>
  </w:style>
  <w:style w:type="table" w:customStyle="1" w:styleId="76">
    <w:name w:val="普通表格1"/>
    <w:unhideWhenUsed/>
    <w:qFormat/>
    <w:uiPriority w:val="99"/>
    <w:tblPr>
      <w:tblCellMar>
        <w:top w:w="0" w:type="dxa"/>
        <w:left w:w="0" w:type="dxa"/>
        <w:bottom w:w="0" w:type="dxa"/>
        <w:right w:w="0" w:type="dxa"/>
      </w:tblCellMar>
    </w:tblPr>
  </w:style>
  <w:style w:type="character" w:customStyle="1" w:styleId="77">
    <w:name w:val="标题 2 字符2"/>
    <w:basedOn w:val="75"/>
    <w:link w:val="4"/>
    <w:qFormat/>
    <w:uiPriority w:val="9"/>
    <w:rPr>
      <w:rFonts w:ascii="幼圆" w:hAnsi="Arial" w:eastAsia="楷体_GB2312" w:cs="Times New Roman"/>
      <w:b/>
      <w:sz w:val="44"/>
      <w:szCs w:val="20"/>
    </w:rPr>
  </w:style>
  <w:style w:type="paragraph" w:customStyle="1" w:styleId="78">
    <w:name w:val="目录 71"/>
    <w:basedOn w:val="1"/>
    <w:next w:val="1"/>
    <w:unhideWhenUsed/>
    <w:qFormat/>
    <w:uiPriority w:val="39"/>
    <w:pPr>
      <w:spacing w:after="57"/>
      <w:ind w:left="1701"/>
    </w:pPr>
  </w:style>
  <w:style w:type="paragraph" w:customStyle="1" w:styleId="79">
    <w:name w:val="列表编号 21"/>
    <w:basedOn w:val="1"/>
    <w:unhideWhenUsed/>
    <w:qFormat/>
    <w:uiPriority w:val="0"/>
    <w:pPr>
      <w:tabs>
        <w:tab w:val="left" w:pos="425"/>
        <w:tab w:val="left" w:pos="567"/>
      </w:tabs>
      <w:spacing w:line="300" w:lineRule="auto"/>
      <w:ind w:left="425" w:hanging="425"/>
    </w:pPr>
    <w:rPr>
      <w:sz w:val="28"/>
      <w:szCs w:val="20"/>
    </w:rPr>
  </w:style>
  <w:style w:type="paragraph" w:customStyle="1" w:styleId="80">
    <w:name w:val="注释标题1"/>
    <w:basedOn w:val="1"/>
    <w:next w:val="1"/>
    <w:link w:val="81"/>
    <w:qFormat/>
    <w:uiPriority w:val="0"/>
    <w:pPr>
      <w:jc w:val="center"/>
    </w:pPr>
    <w:rPr>
      <w:rFonts w:ascii="等线" w:hAnsi="等线" w:eastAsia="Arial" w:cs="Arial"/>
    </w:rPr>
  </w:style>
  <w:style w:type="character" w:customStyle="1" w:styleId="81">
    <w:name w:val="注释标题 Char2"/>
    <w:basedOn w:val="75"/>
    <w:link w:val="80"/>
    <w:semiHidden/>
    <w:qFormat/>
    <w:uiPriority w:val="99"/>
    <w:rPr>
      <w:rFonts w:ascii="Times New Roman" w:hAnsi="Times New Roman" w:eastAsia="宋体" w:cs="Times New Roman"/>
      <w:szCs w:val="24"/>
    </w:rPr>
  </w:style>
  <w:style w:type="paragraph" w:customStyle="1" w:styleId="82">
    <w:name w:val="索引 81"/>
    <w:basedOn w:val="1"/>
    <w:next w:val="1"/>
    <w:qFormat/>
    <w:uiPriority w:val="0"/>
    <w:pPr>
      <w:ind w:left="1680" w:hanging="210"/>
      <w:jc w:val="left"/>
    </w:pPr>
    <w:rPr>
      <w:rFonts w:ascii="Calibri" w:hAnsi="Calibri"/>
      <w:sz w:val="20"/>
      <w:szCs w:val="20"/>
    </w:rPr>
  </w:style>
  <w:style w:type="paragraph" w:customStyle="1" w:styleId="83">
    <w:name w:val="列表编号1"/>
    <w:basedOn w:val="84"/>
    <w:qFormat/>
    <w:uiPriority w:val="0"/>
    <w:pPr>
      <w:widowControl/>
      <w:spacing w:before="120" w:after="240" w:line="240" w:lineRule="atLeast"/>
      <w:ind w:left="720" w:right="720" w:hanging="360"/>
    </w:pPr>
    <w:rPr>
      <w:rFonts w:ascii="宋体" w:hAnsi="Garamond"/>
      <w:spacing w:val="-5"/>
      <w:sz w:val="24"/>
      <w:szCs w:val="20"/>
    </w:rPr>
  </w:style>
  <w:style w:type="paragraph" w:customStyle="1" w:styleId="84">
    <w:name w:val="列表11"/>
    <w:basedOn w:val="1"/>
    <w:qFormat/>
    <w:uiPriority w:val="0"/>
    <w:pPr>
      <w:ind w:left="200" w:hanging="200"/>
    </w:pPr>
  </w:style>
  <w:style w:type="character" w:customStyle="1" w:styleId="85">
    <w:name w:val="正文缩进 Char1"/>
    <w:link w:val="9"/>
    <w:qFormat/>
    <w:uiPriority w:val="0"/>
    <w:rPr>
      <w:rFonts w:ascii="Times New Roman" w:hAnsi="Times New Roman" w:eastAsia="宋体" w:cs="Times New Roman"/>
      <w:szCs w:val="24"/>
    </w:rPr>
  </w:style>
  <w:style w:type="paragraph" w:customStyle="1" w:styleId="86">
    <w:name w:val="索引 51"/>
    <w:basedOn w:val="1"/>
    <w:next w:val="1"/>
    <w:qFormat/>
    <w:uiPriority w:val="0"/>
    <w:pPr>
      <w:ind w:left="1050" w:hanging="210"/>
      <w:jc w:val="left"/>
    </w:pPr>
    <w:rPr>
      <w:rFonts w:ascii="Calibri" w:hAnsi="Calibri"/>
      <w:sz w:val="20"/>
      <w:szCs w:val="20"/>
    </w:rPr>
  </w:style>
  <w:style w:type="paragraph" w:customStyle="1" w:styleId="87">
    <w:name w:val="列表项目符号1"/>
    <w:basedOn w:val="1"/>
    <w:unhideWhenUsed/>
    <w:qFormat/>
    <w:uiPriority w:val="99"/>
    <w:pPr>
      <w:tabs>
        <w:tab w:val="left" w:pos="360"/>
      </w:tabs>
      <w:ind w:left="1236" w:hanging="1236"/>
      <w:contextualSpacing/>
    </w:pPr>
    <w:rPr>
      <w:rFonts w:ascii="Calibri" w:hAnsi="Calibri"/>
      <w:szCs w:val="22"/>
    </w:rPr>
  </w:style>
  <w:style w:type="paragraph" w:customStyle="1" w:styleId="88">
    <w:name w:val="文档结构图11"/>
    <w:basedOn w:val="1"/>
    <w:link w:val="89"/>
    <w:qFormat/>
    <w:uiPriority w:val="99"/>
    <w:rPr>
      <w:rFonts w:ascii="宋体" w:hAnsi="等线" w:eastAsia="Arial" w:cs="Arial"/>
      <w:sz w:val="18"/>
      <w:szCs w:val="18"/>
    </w:rPr>
  </w:style>
  <w:style w:type="character" w:customStyle="1" w:styleId="89">
    <w:name w:val="文档结构图 Char"/>
    <w:basedOn w:val="75"/>
    <w:link w:val="88"/>
    <w:semiHidden/>
    <w:qFormat/>
    <w:uiPriority w:val="99"/>
    <w:rPr>
      <w:rFonts w:ascii="宋体" w:hAnsi="Times New Roman" w:eastAsia="宋体" w:cs="Times New Roman"/>
      <w:sz w:val="18"/>
      <w:szCs w:val="18"/>
    </w:rPr>
  </w:style>
  <w:style w:type="paragraph" w:customStyle="1" w:styleId="90">
    <w:name w:val="批注文字1"/>
    <w:basedOn w:val="1"/>
    <w:link w:val="91"/>
    <w:qFormat/>
    <w:uiPriority w:val="99"/>
    <w:pPr>
      <w:jc w:val="left"/>
    </w:pPr>
    <w:rPr>
      <w:rFonts w:ascii="Calibri" w:hAnsi="Calibri" w:eastAsia="Arial" w:cs="Arial"/>
      <w:szCs w:val="22"/>
    </w:rPr>
  </w:style>
  <w:style w:type="character" w:customStyle="1" w:styleId="91">
    <w:name w:val="批注文字 Char"/>
    <w:basedOn w:val="75"/>
    <w:link w:val="90"/>
    <w:semiHidden/>
    <w:qFormat/>
    <w:uiPriority w:val="99"/>
    <w:rPr>
      <w:rFonts w:ascii="Times New Roman" w:hAnsi="Times New Roman" w:eastAsia="宋体" w:cs="Times New Roman"/>
      <w:szCs w:val="24"/>
    </w:rPr>
  </w:style>
  <w:style w:type="paragraph" w:customStyle="1" w:styleId="92">
    <w:name w:val="索引 61"/>
    <w:basedOn w:val="1"/>
    <w:next w:val="1"/>
    <w:qFormat/>
    <w:uiPriority w:val="0"/>
    <w:pPr>
      <w:ind w:left="1260" w:hanging="210"/>
      <w:jc w:val="left"/>
    </w:pPr>
    <w:rPr>
      <w:rFonts w:ascii="Calibri" w:hAnsi="Calibri"/>
      <w:sz w:val="20"/>
      <w:szCs w:val="20"/>
    </w:rPr>
  </w:style>
  <w:style w:type="paragraph" w:customStyle="1" w:styleId="93">
    <w:name w:val="称呼1"/>
    <w:basedOn w:val="1"/>
    <w:next w:val="1"/>
    <w:link w:val="94"/>
    <w:unhideWhenUsed/>
    <w:qFormat/>
    <w:uiPriority w:val="0"/>
    <w:pPr>
      <w:spacing w:line="500" w:lineRule="exact"/>
      <w:ind w:firstLine="560"/>
    </w:pPr>
    <w:rPr>
      <w:rFonts w:ascii="Arial" w:hAnsi="Arial" w:eastAsia="方正仿宋_GBK" w:cs="Arial"/>
      <w:szCs w:val="22"/>
    </w:rPr>
  </w:style>
  <w:style w:type="character" w:customStyle="1" w:styleId="94">
    <w:name w:val="称呼 Char2"/>
    <w:basedOn w:val="75"/>
    <w:link w:val="93"/>
    <w:semiHidden/>
    <w:qFormat/>
    <w:uiPriority w:val="99"/>
    <w:rPr>
      <w:rFonts w:ascii="Times New Roman" w:hAnsi="Times New Roman" w:eastAsia="宋体" w:cs="Times New Roman"/>
      <w:szCs w:val="24"/>
    </w:rPr>
  </w:style>
  <w:style w:type="paragraph" w:customStyle="1" w:styleId="95">
    <w:name w:val="正文文本 311"/>
    <w:basedOn w:val="1"/>
    <w:link w:val="96"/>
    <w:qFormat/>
    <w:uiPriority w:val="0"/>
    <w:rPr>
      <w:rFonts w:ascii="仿宋_GB2312" w:hAnsi="Arial" w:eastAsia="仿宋_GB2312" w:cs="Arial"/>
      <w:sz w:val="32"/>
      <w:szCs w:val="22"/>
    </w:rPr>
  </w:style>
  <w:style w:type="character" w:customStyle="1" w:styleId="96">
    <w:name w:val="正文文本 3 Char"/>
    <w:basedOn w:val="75"/>
    <w:link w:val="95"/>
    <w:semiHidden/>
    <w:qFormat/>
    <w:uiPriority w:val="99"/>
    <w:rPr>
      <w:rFonts w:ascii="Times New Roman" w:hAnsi="Times New Roman" w:eastAsia="宋体" w:cs="Times New Roman"/>
      <w:sz w:val="16"/>
      <w:szCs w:val="16"/>
    </w:rPr>
  </w:style>
  <w:style w:type="paragraph" w:customStyle="1" w:styleId="97">
    <w:name w:val="列表项目符号 31"/>
    <w:basedOn w:val="1"/>
    <w:unhideWhenUsed/>
    <w:qFormat/>
    <w:uiPriority w:val="99"/>
    <w:pPr>
      <w:tabs>
        <w:tab w:val="left" w:pos="1200"/>
      </w:tabs>
      <w:ind w:left="1236" w:hanging="1236"/>
      <w:contextualSpacing/>
    </w:pPr>
  </w:style>
  <w:style w:type="paragraph" w:customStyle="1" w:styleId="98">
    <w:name w:val="正文文本11"/>
    <w:basedOn w:val="1"/>
    <w:link w:val="99"/>
    <w:qFormat/>
    <w:uiPriority w:val="0"/>
    <w:rPr>
      <w:rFonts w:ascii="楷体_GB2312" w:hAnsi="Arial" w:eastAsia="楷体_GB2312" w:cs="Arial"/>
      <w:sz w:val="28"/>
      <w:szCs w:val="22"/>
    </w:rPr>
  </w:style>
  <w:style w:type="character" w:customStyle="1" w:styleId="99">
    <w:name w:val="正文文本 Char"/>
    <w:basedOn w:val="75"/>
    <w:link w:val="98"/>
    <w:semiHidden/>
    <w:qFormat/>
    <w:uiPriority w:val="99"/>
    <w:rPr>
      <w:rFonts w:ascii="Times New Roman" w:hAnsi="Times New Roman" w:eastAsia="宋体" w:cs="Times New Roman"/>
      <w:szCs w:val="24"/>
    </w:rPr>
  </w:style>
  <w:style w:type="paragraph" w:customStyle="1" w:styleId="100">
    <w:name w:val="正文文本缩进11"/>
    <w:basedOn w:val="1"/>
    <w:link w:val="101"/>
    <w:qFormat/>
    <w:uiPriority w:val="0"/>
    <w:pPr>
      <w:ind w:firstLine="645"/>
    </w:pPr>
    <w:rPr>
      <w:rFonts w:ascii="楷体_GB2312" w:hAnsi="等线" w:eastAsia="楷体_GB2312" w:cs="Arial"/>
      <w:sz w:val="32"/>
      <w:szCs w:val="22"/>
    </w:rPr>
  </w:style>
  <w:style w:type="character" w:customStyle="1" w:styleId="101">
    <w:name w:val="正文文本缩进 Char"/>
    <w:basedOn w:val="75"/>
    <w:link w:val="100"/>
    <w:semiHidden/>
    <w:qFormat/>
    <w:uiPriority w:val="99"/>
    <w:rPr>
      <w:rFonts w:ascii="Times New Roman" w:hAnsi="Times New Roman" w:eastAsia="宋体" w:cs="Times New Roman"/>
      <w:szCs w:val="24"/>
    </w:rPr>
  </w:style>
  <w:style w:type="paragraph" w:customStyle="1" w:styleId="102">
    <w:name w:val="列表编号 31"/>
    <w:basedOn w:val="1"/>
    <w:qFormat/>
    <w:uiPriority w:val="0"/>
    <w:pPr>
      <w:tabs>
        <w:tab w:val="left" w:pos="1200"/>
      </w:tabs>
      <w:ind w:left="720" w:hanging="720"/>
    </w:pPr>
  </w:style>
  <w:style w:type="paragraph" w:customStyle="1" w:styleId="103">
    <w:name w:val="列表 21"/>
    <w:basedOn w:val="1"/>
    <w:unhideWhenUsed/>
    <w:qFormat/>
    <w:uiPriority w:val="0"/>
    <w:pPr>
      <w:spacing w:line="500" w:lineRule="exact"/>
      <w:ind w:left="100" w:hanging="200"/>
    </w:pPr>
    <w:rPr>
      <w:rFonts w:ascii="Arial" w:hAnsi="Arial" w:eastAsia="仿宋" w:cs="Arial"/>
      <w:sz w:val="28"/>
    </w:rPr>
  </w:style>
  <w:style w:type="paragraph" w:customStyle="1" w:styleId="104">
    <w:name w:val="文本块11"/>
    <w:basedOn w:val="1"/>
    <w:qFormat/>
    <w:uiPriority w:val="0"/>
    <w:pPr>
      <w:ind w:left="630" w:right="630"/>
      <w:jc w:val="center"/>
    </w:pPr>
    <w:rPr>
      <w:rFonts w:ascii="宋体"/>
      <w:b/>
      <w:sz w:val="32"/>
    </w:rPr>
  </w:style>
  <w:style w:type="paragraph" w:customStyle="1" w:styleId="105">
    <w:name w:val="列表项目符号 21"/>
    <w:basedOn w:val="1"/>
    <w:qFormat/>
    <w:uiPriority w:val="0"/>
    <w:pPr>
      <w:tabs>
        <w:tab w:val="left" w:pos="780"/>
      </w:tabs>
      <w:ind w:left="1236" w:hanging="1236"/>
    </w:pPr>
  </w:style>
  <w:style w:type="paragraph" w:customStyle="1" w:styleId="106">
    <w:name w:val="HTML 地址1"/>
    <w:basedOn w:val="1"/>
    <w:link w:val="107"/>
    <w:qFormat/>
    <w:uiPriority w:val="0"/>
    <w:rPr>
      <w:rFonts w:ascii="等线" w:hAnsi="等线" w:eastAsia="Arial" w:cs="Arial"/>
      <w:i/>
      <w:iCs/>
    </w:rPr>
  </w:style>
  <w:style w:type="character" w:customStyle="1" w:styleId="107">
    <w:name w:val="HTML 地址 Char1"/>
    <w:basedOn w:val="75"/>
    <w:link w:val="106"/>
    <w:semiHidden/>
    <w:qFormat/>
    <w:uiPriority w:val="99"/>
    <w:rPr>
      <w:rFonts w:ascii="Times New Roman" w:hAnsi="Times New Roman" w:eastAsia="宋体" w:cs="Times New Roman"/>
      <w:i/>
      <w:iCs/>
      <w:szCs w:val="24"/>
    </w:rPr>
  </w:style>
  <w:style w:type="paragraph" w:customStyle="1" w:styleId="108">
    <w:name w:val="索引 41"/>
    <w:basedOn w:val="1"/>
    <w:next w:val="1"/>
    <w:unhideWhenUsed/>
    <w:qFormat/>
    <w:uiPriority w:val="0"/>
    <w:pPr>
      <w:ind w:left="600"/>
    </w:pPr>
  </w:style>
  <w:style w:type="paragraph" w:customStyle="1" w:styleId="109">
    <w:name w:val="目录 51"/>
    <w:basedOn w:val="1"/>
    <w:next w:val="1"/>
    <w:unhideWhenUsed/>
    <w:qFormat/>
    <w:uiPriority w:val="39"/>
    <w:pPr>
      <w:spacing w:after="57"/>
      <w:ind w:left="1134"/>
    </w:pPr>
  </w:style>
  <w:style w:type="paragraph" w:customStyle="1" w:styleId="110">
    <w:name w:val="目录 31"/>
    <w:basedOn w:val="1"/>
    <w:next w:val="1"/>
    <w:unhideWhenUsed/>
    <w:qFormat/>
    <w:uiPriority w:val="39"/>
    <w:pPr>
      <w:ind w:left="840"/>
    </w:pPr>
  </w:style>
  <w:style w:type="paragraph" w:customStyle="1" w:styleId="111">
    <w:name w:val="纯文本11"/>
    <w:basedOn w:val="1"/>
    <w:link w:val="112"/>
    <w:qFormat/>
    <w:uiPriority w:val="0"/>
    <w:rPr>
      <w:rFonts w:ascii="宋体" w:hAnsi="Courier New" w:eastAsia="Arial" w:cs="Courier New"/>
      <w:szCs w:val="21"/>
    </w:rPr>
  </w:style>
  <w:style w:type="character" w:customStyle="1" w:styleId="112">
    <w:name w:val="纯文本 Char"/>
    <w:basedOn w:val="75"/>
    <w:link w:val="111"/>
    <w:qFormat/>
    <w:uiPriority w:val="99"/>
    <w:rPr>
      <w:rFonts w:ascii="宋体" w:hAnsi="Courier New" w:eastAsia="宋体" w:cs="Courier New"/>
      <w:szCs w:val="21"/>
    </w:rPr>
  </w:style>
  <w:style w:type="paragraph" w:customStyle="1" w:styleId="113">
    <w:name w:val="列表项目符号 51"/>
    <w:basedOn w:val="1"/>
    <w:qFormat/>
    <w:uiPriority w:val="0"/>
    <w:pPr>
      <w:spacing w:line="312" w:lineRule="atLeast"/>
    </w:pPr>
    <w:rPr>
      <w:szCs w:val="20"/>
    </w:rPr>
  </w:style>
  <w:style w:type="paragraph" w:customStyle="1" w:styleId="114">
    <w:name w:val="目录 81"/>
    <w:basedOn w:val="1"/>
    <w:next w:val="1"/>
    <w:unhideWhenUsed/>
    <w:qFormat/>
    <w:uiPriority w:val="39"/>
    <w:pPr>
      <w:spacing w:after="57"/>
      <w:ind w:left="1984"/>
    </w:pPr>
  </w:style>
  <w:style w:type="paragraph" w:customStyle="1" w:styleId="115">
    <w:name w:val="索引 31"/>
    <w:basedOn w:val="1"/>
    <w:next w:val="1"/>
    <w:qFormat/>
    <w:uiPriority w:val="0"/>
    <w:pPr>
      <w:ind w:left="630" w:hanging="210"/>
      <w:jc w:val="left"/>
    </w:pPr>
    <w:rPr>
      <w:rFonts w:ascii="Calibri" w:hAnsi="Calibri"/>
      <w:sz w:val="20"/>
      <w:szCs w:val="20"/>
    </w:rPr>
  </w:style>
  <w:style w:type="paragraph" w:customStyle="1" w:styleId="116">
    <w:name w:val="日期11"/>
    <w:basedOn w:val="1"/>
    <w:next w:val="1"/>
    <w:link w:val="117"/>
    <w:qFormat/>
    <w:uiPriority w:val="0"/>
    <w:pPr>
      <w:ind w:left="100"/>
    </w:pPr>
    <w:rPr>
      <w:rFonts w:ascii="仿宋_GB2312" w:hAnsi="等线" w:eastAsia="仿宋_GB2312" w:cs="Arial"/>
      <w:b/>
      <w:sz w:val="36"/>
    </w:rPr>
  </w:style>
  <w:style w:type="character" w:customStyle="1" w:styleId="117">
    <w:name w:val="日期 Char"/>
    <w:basedOn w:val="75"/>
    <w:link w:val="116"/>
    <w:semiHidden/>
    <w:qFormat/>
    <w:uiPriority w:val="99"/>
    <w:rPr>
      <w:rFonts w:ascii="Times New Roman" w:hAnsi="Times New Roman" w:eastAsia="宋体" w:cs="Times New Roman"/>
      <w:szCs w:val="24"/>
    </w:rPr>
  </w:style>
  <w:style w:type="paragraph" w:customStyle="1" w:styleId="118">
    <w:name w:val="正文文本缩进 211"/>
    <w:basedOn w:val="1"/>
    <w:link w:val="119"/>
    <w:qFormat/>
    <w:uiPriority w:val="0"/>
    <w:pPr>
      <w:spacing w:line="520" w:lineRule="exact"/>
      <w:ind w:firstLine="560"/>
    </w:pPr>
    <w:rPr>
      <w:rFonts w:ascii="楷体_GB2312" w:hAnsi="等线" w:eastAsia="楷体_GB2312" w:cs="Arial"/>
      <w:sz w:val="28"/>
      <w:szCs w:val="28"/>
    </w:rPr>
  </w:style>
  <w:style w:type="character" w:customStyle="1" w:styleId="119">
    <w:name w:val="正文文本缩进 2 Char"/>
    <w:basedOn w:val="75"/>
    <w:link w:val="118"/>
    <w:semiHidden/>
    <w:qFormat/>
    <w:uiPriority w:val="99"/>
    <w:rPr>
      <w:rFonts w:ascii="Times New Roman" w:hAnsi="Times New Roman" w:eastAsia="宋体" w:cs="Times New Roman"/>
      <w:szCs w:val="24"/>
    </w:rPr>
  </w:style>
  <w:style w:type="paragraph" w:customStyle="1" w:styleId="120">
    <w:name w:val="尾注文本1"/>
    <w:basedOn w:val="1"/>
    <w:link w:val="121"/>
    <w:qFormat/>
    <w:uiPriority w:val="99"/>
    <w:pPr>
      <w:jc w:val="left"/>
    </w:pPr>
    <w:rPr>
      <w:sz w:val="20"/>
      <w:szCs w:val="20"/>
    </w:rPr>
  </w:style>
  <w:style w:type="character" w:customStyle="1" w:styleId="121">
    <w:name w:val="尾注文本 Char"/>
    <w:basedOn w:val="75"/>
    <w:link w:val="120"/>
    <w:semiHidden/>
    <w:qFormat/>
    <w:uiPriority w:val="99"/>
    <w:rPr>
      <w:rFonts w:ascii="Times New Roman" w:hAnsi="Times New Roman" w:eastAsia="宋体" w:cs="Times New Roman"/>
      <w:szCs w:val="24"/>
    </w:rPr>
  </w:style>
  <w:style w:type="paragraph" w:customStyle="1" w:styleId="122">
    <w:name w:val="批注框文本1"/>
    <w:basedOn w:val="1"/>
    <w:link w:val="123"/>
    <w:qFormat/>
    <w:uiPriority w:val="0"/>
    <w:rPr>
      <w:rFonts w:ascii="等线" w:hAnsi="等线" w:eastAsia="Arial" w:cs="Arial"/>
      <w:sz w:val="18"/>
      <w:szCs w:val="18"/>
    </w:rPr>
  </w:style>
  <w:style w:type="character" w:customStyle="1" w:styleId="123">
    <w:name w:val="批注框文本 Char"/>
    <w:basedOn w:val="75"/>
    <w:link w:val="122"/>
    <w:semiHidden/>
    <w:qFormat/>
    <w:uiPriority w:val="99"/>
    <w:rPr>
      <w:rFonts w:ascii="Times New Roman" w:hAnsi="Times New Roman" w:eastAsia="宋体" w:cs="Times New Roman"/>
      <w:sz w:val="18"/>
      <w:szCs w:val="18"/>
    </w:rPr>
  </w:style>
  <w:style w:type="paragraph" w:customStyle="1" w:styleId="124">
    <w:name w:val="页脚1"/>
    <w:basedOn w:val="1"/>
    <w:link w:val="125"/>
    <w:unhideWhenUsed/>
    <w:qFormat/>
    <w:uiPriority w:val="0"/>
    <w:pPr>
      <w:tabs>
        <w:tab w:val="center" w:pos="4153"/>
        <w:tab w:val="right" w:pos="8306"/>
      </w:tabs>
      <w:jc w:val="left"/>
    </w:pPr>
    <w:rPr>
      <w:sz w:val="18"/>
      <w:szCs w:val="18"/>
    </w:rPr>
  </w:style>
  <w:style w:type="character" w:customStyle="1" w:styleId="125">
    <w:name w:val="页脚 Char3"/>
    <w:basedOn w:val="75"/>
    <w:link w:val="124"/>
    <w:semiHidden/>
    <w:qFormat/>
    <w:uiPriority w:val="99"/>
    <w:rPr>
      <w:sz w:val="18"/>
      <w:szCs w:val="18"/>
    </w:rPr>
  </w:style>
  <w:style w:type="paragraph" w:customStyle="1" w:styleId="126">
    <w:name w:val="页眉1"/>
    <w:basedOn w:val="1"/>
    <w:link w:val="127"/>
    <w:unhideWhenUsed/>
    <w:qFormat/>
    <w:uiPriority w:val="0"/>
    <w:pPr>
      <w:pBdr>
        <w:bottom w:val="single" w:color="000000" w:sz="6" w:space="1"/>
      </w:pBdr>
      <w:tabs>
        <w:tab w:val="center" w:pos="4153"/>
        <w:tab w:val="right" w:pos="8306"/>
      </w:tabs>
      <w:jc w:val="center"/>
    </w:pPr>
    <w:rPr>
      <w:sz w:val="18"/>
      <w:szCs w:val="18"/>
    </w:rPr>
  </w:style>
  <w:style w:type="character" w:customStyle="1" w:styleId="127">
    <w:name w:val="页眉 Char3"/>
    <w:basedOn w:val="75"/>
    <w:link w:val="126"/>
    <w:semiHidden/>
    <w:qFormat/>
    <w:uiPriority w:val="99"/>
    <w:rPr>
      <w:sz w:val="18"/>
      <w:szCs w:val="18"/>
    </w:rPr>
  </w:style>
  <w:style w:type="paragraph" w:customStyle="1" w:styleId="128">
    <w:name w:val="目录 11"/>
    <w:basedOn w:val="1"/>
    <w:next w:val="1"/>
    <w:unhideWhenUsed/>
    <w:qFormat/>
    <w:uiPriority w:val="39"/>
    <w:pPr>
      <w:spacing w:after="57"/>
    </w:pPr>
  </w:style>
  <w:style w:type="paragraph" w:customStyle="1" w:styleId="129">
    <w:name w:val="目录 41"/>
    <w:basedOn w:val="1"/>
    <w:next w:val="1"/>
    <w:unhideWhenUsed/>
    <w:qFormat/>
    <w:uiPriority w:val="39"/>
    <w:pPr>
      <w:spacing w:after="57"/>
      <w:ind w:left="850"/>
    </w:pPr>
  </w:style>
  <w:style w:type="paragraph" w:customStyle="1" w:styleId="130">
    <w:name w:val="索引标题1"/>
    <w:basedOn w:val="1"/>
    <w:next w:val="131"/>
    <w:unhideWhenUsed/>
    <w:qFormat/>
    <w:uiPriority w:val="0"/>
    <w:pPr>
      <w:spacing w:line="300" w:lineRule="auto"/>
    </w:pPr>
    <w:rPr>
      <w:rFonts w:eastAsia="楷体_GB2312"/>
      <w:sz w:val="24"/>
    </w:rPr>
  </w:style>
  <w:style w:type="paragraph" w:customStyle="1" w:styleId="131">
    <w:name w:val="索引 111"/>
    <w:basedOn w:val="1"/>
    <w:next w:val="1"/>
    <w:unhideWhenUsed/>
    <w:qFormat/>
    <w:uiPriority w:val="0"/>
  </w:style>
  <w:style w:type="paragraph" w:customStyle="1" w:styleId="132">
    <w:name w:val="副标题1"/>
    <w:basedOn w:val="1"/>
    <w:next w:val="1"/>
    <w:link w:val="133"/>
    <w:qFormat/>
    <w:uiPriority w:val="0"/>
    <w:pPr>
      <w:spacing w:before="240" w:after="60" w:line="312" w:lineRule="auto"/>
      <w:jc w:val="center"/>
      <w:outlineLvl w:val="1"/>
    </w:pPr>
    <w:rPr>
      <w:rFonts w:ascii="等线" w:hAnsi="等线" w:eastAsia="Arial" w:cs="Arial"/>
      <w:b/>
      <w:bCs/>
      <w:sz w:val="32"/>
      <w:szCs w:val="32"/>
    </w:rPr>
  </w:style>
  <w:style w:type="character" w:customStyle="1" w:styleId="133">
    <w:name w:val="副标题 Char"/>
    <w:basedOn w:val="75"/>
    <w:link w:val="132"/>
    <w:qFormat/>
    <w:uiPriority w:val="11"/>
    <w:rPr>
      <w:rFonts w:ascii="等线 Light" w:hAnsi="等线 Light" w:eastAsia="宋体" w:cs="Arial"/>
      <w:b/>
      <w:bCs/>
      <w:sz w:val="32"/>
      <w:szCs w:val="32"/>
    </w:rPr>
  </w:style>
  <w:style w:type="paragraph" w:customStyle="1" w:styleId="134">
    <w:name w:val="脚注文本1"/>
    <w:basedOn w:val="1"/>
    <w:link w:val="135"/>
    <w:unhideWhenUsed/>
    <w:qFormat/>
    <w:uiPriority w:val="99"/>
    <w:pPr>
      <w:jc w:val="left"/>
    </w:pPr>
    <w:rPr>
      <w:sz w:val="18"/>
      <w:szCs w:val="20"/>
    </w:rPr>
  </w:style>
  <w:style w:type="character" w:customStyle="1" w:styleId="135">
    <w:name w:val="脚注文本 Char"/>
    <w:basedOn w:val="75"/>
    <w:link w:val="134"/>
    <w:semiHidden/>
    <w:qFormat/>
    <w:uiPriority w:val="99"/>
    <w:rPr>
      <w:rFonts w:ascii="Times New Roman" w:hAnsi="Times New Roman" w:eastAsia="宋体" w:cs="Times New Roman"/>
      <w:sz w:val="18"/>
      <w:szCs w:val="18"/>
    </w:rPr>
  </w:style>
  <w:style w:type="paragraph" w:customStyle="1" w:styleId="136">
    <w:name w:val="目录 61"/>
    <w:basedOn w:val="1"/>
    <w:next w:val="1"/>
    <w:unhideWhenUsed/>
    <w:qFormat/>
    <w:uiPriority w:val="39"/>
    <w:pPr>
      <w:spacing w:after="57"/>
      <w:ind w:left="1417"/>
    </w:pPr>
  </w:style>
  <w:style w:type="paragraph" w:customStyle="1" w:styleId="137">
    <w:name w:val="正文文本缩进 311"/>
    <w:basedOn w:val="1"/>
    <w:link w:val="138"/>
    <w:qFormat/>
    <w:uiPriority w:val="0"/>
    <w:pPr>
      <w:ind w:left="520" w:firstLine="425"/>
      <w:jc w:val="center"/>
    </w:pPr>
    <w:rPr>
      <w:rFonts w:ascii="方正行楷简体" w:hAnsi="Arial" w:eastAsia="方正行楷简体" w:cs="Arial"/>
      <w:sz w:val="36"/>
      <w:szCs w:val="22"/>
    </w:rPr>
  </w:style>
  <w:style w:type="character" w:customStyle="1" w:styleId="138">
    <w:name w:val="正文文本缩进 3 Char"/>
    <w:basedOn w:val="75"/>
    <w:link w:val="137"/>
    <w:semiHidden/>
    <w:qFormat/>
    <w:uiPriority w:val="99"/>
    <w:rPr>
      <w:rFonts w:ascii="Times New Roman" w:hAnsi="Times New Roman" w:eastAsia="宋体" w:cs="Times New Roman"/>
      <w:sz w:val="16"/>
      <w:szCs w:val="16"/>
    </w:rPr>
  </w:style>
  <w:style w:type="paragraph" w:customStyle="1" w:styleId="139">
    <w:name w:val="索引 71"/>
    <w:basedOn w:val="1"/>
    <w:next w:val="1"/>
    <w:qFormat/>
    <w:uiPriority w:val="0"/>
    <w:pPr>
      <w:ind w:left="1470" w:hanging="210"/>
      <w:jc w:val="left"/>
    </w:pPr>
    <w:rPr>
      <w:rFonts w:ascii="Calibri" w:hAnsi="Calibri"/>
      <w:sz w:val="20"/>
      <w:szCs w:val="20"/>
    </w:rPr>
  </w:style>
  <w:style w:type="paragraph" w:customStyle="1" w:styleId="140">
    <w:name w:val="索引 91"/>
    <w:basedOn w:val="1"/>
    <w:next w:val="1"/>
    <w:qFormat/>
    <w:uiPriority w:val="0"/>
    <w:pPr>
      <w:ind w:left="1890" w:hanging="210"/>
      <w:jc w:val="left"/>
    </w:pPr>
    <w:rPr>
      <w:rFonts w:ascii="Calibri" w:hAnsi="Calibri"/>
      <w:sz w:val="20"/>
      <w:szCs w:val="20"/>
    </w:rPr>
  </w:style>
  <w:style w:type="paragraph" w:customStyle="1" w:styleId="141">
    <w:name w:val="图表目录11"/>
    <w:basedOn w:val="1"/>
    <w:next w:val="1"/>
    <w:unhideWhenUsed/>
    <w:qFormat/>
    <w:uiPriority w:val="0"/>
    <w:pPr>
      <w:spacing w:line="500" w:lineRule="exact"/>
      <w:ind w:left="420" w:hanging="420"/>
      <w:jc w:val="left"/>
    </w:pPr>
    <w:rPr>
      <w:rFonts w:ascii="Calibri" w:hAnsi="Calibri" w:eastAsia="仿宋"/>
      <w:smallCaps/>
      <w:sz w:val="20"/>
      <w:szCs w:val="20"/>
    </w:rPr>
  </w:style>
  <w:style w:type="paragraph" w:customStyle="1" w:styleId="142">
    <w:name w:val="目录 21"/>
    <w:basedOn w:val="1"/>
    <w:next w:val="1"/>
    <w:unhideWhenUsed/>
    <w:qFormat/>
    <w:uiPriority w:val="39"/>
    <w:pPr>
      <w:ind w:left="420"/>
    </w:pPr>
  </w:style>
  <w:style w:type="paragraph" w:customStyle="1" w:styleId="143">
    <w:name w:val="目录 91"/>
    <w:basedOn w:val="1"/>
    <w:next w:val="1"/>
    <w:unhideWhenUsed/>
    <w:qFormat/>
    <w:uiPriority w:val="39"/>
    <w:pPr>
      <w:ind w:left="3360"/>
    </w:pPr>
  </w:style>
  <w:style w:type="paragraph" w:customStyle="1" w:styleId="144">
    <w:name w:val="正文文本 211"/>
    <w:basedOn w:val="1"/>
    <w:link w:val="145"/>
    <w:qFormat/>
    <w:uiPriority w:val="0"/>
    <w:pPr>
      <w:spacing w:after="120" w:line="480" w:lineRule="auto"/>
    </w:pPr>
    <w:rPr>
      <w:rFonts w:ascii="等线" w:hAnsi="等线" w:eastAsia="Arial" w:cs="Arial"/>
    </w:rPr>
  </w:style>
  <w:style w:type="character" w:customStyle="1" w:styleId="145">
    <w:name w:val="正文文本 2 Char"/>
    <w:basedOn w:val="75"/>
    <w:link w:val="144"/>
    <w:semiHidden/>
    <w:qFormat/>
    <w:uiPriority w:val="99"/>
    <w:rPr>
      <w:rFonts w:ascii="Times New Roman" w:hAnsi="Times New Roman" w:eastAsia="宋体" w:cs="Times New Roman"/>
      <w:szCs w:val="24"/>
    </w:rPr>
  </w:style>
  <w:style w:type="paragraph" w:customStyle="1" w:styleId="146">
    <w:name w:val="HTML 预设格式1"/>
    <w:basedOn w:val="1"/>
    <w:link w:val="147"/>
    <w:qFormat/>
    <w:uiPriority w:val="0"/>
    <w:rPr>
      <w:rFonts w:ascii="Courier New" w:hAnsi="Courier New" w:eastAsia="Arial" w:cs="Courier New"/>
      <w:szCs w:val="22"/>
    </w:rPr>
  </w:style>
  <w:style w:type="character" w:customStyle="1" w:styleId="147">
    <w:name w:val="HTML 预设格式 Char1"/>
    <w:basedOn w:val="75"/>
    <w:link w:val="146"/>
    <w:semiHidden/>
    <w:qFormat/>
    <w:uiPriority w:val="99"/>
    <w:rPr>
      <w:rFonts w:ascii="Courier New" w:hAnsi="Courier New" w:eastAsia="宋体" w:cs="Courier New"/>
      <w:sz w:val="20"/>
      <w:szCs w:val="20"/>
    </w:rPr>
  </w:style>
  <w:style w:type="paragraph" w:customStyle="1" w:styleId="148">
    <w:name w:val="普通(网站)11"/>
    <w:basedOn w:val="1"/>
    <w:link w:val="149"/>
    <w:qFormat/>
    <w:uiPriority w:val="0"/>
    <w:pPr>
      <w:widowControl/>
      <w:spacing w:before="100" w:beforeAutospacing="1" w:after="100" w:afterAutospacing="1"/>
      <w:jc w:val="left"/>
    </w:pPr>
    <w:rPr>
      <w:rFonts w:ascii="宋体" w:hAnsi="宋体"/>
      <w:color w:val="000000"/>
      <w:sz w:val="24"/>
      <w:lang w:eastAsia="en-US"/>
    </w:rPr>
  </w:style>
  <w:style w:type="character" w:customStyle="1" w:styleId="149">
    <w:name w:val="普通(网站) Char1"/>
    <w:link w:val="148"/>
    <w:qFormat/>
    <w:uiPriority w:val="0"/>
    <w:rPr>
      <w:rFonts w:ascii="宋体" w:hAnsi="宋体" w:cs="宋体"/>
      <w:color w:val="000000"/>
      <w:sz w:val="24"/>
      <w:szCs w:val="24"/>
    </w:rPr>
  </w:style>
  <w:style w:type="paragraph" w:customStyle="1" w:styleId="150">
    <w:name w:val="索引 21"/>
    <w:basedOn w:val="1"/>
    <w:next w:val="1"/>
    <w:qFormat/>
    <w:uiPriority w:val="0"/>
    <w:pPr>
      <w:ind w:left="420" w:hanging="210"/>
      <w:jc w:val="left"/>
    </w:pPr>
    <w:rPr>
      <w:rFonts w:ascii="Calibri" w:hAnsi="Calibri"/>
      <w:sz w:val="20"/>
      <w:szCs w:val="20"/>
    </w:rPr>
  </w:style>
  <w:style w:type="paragraph" w:customStyle="1" w:styleId="151">
    <w:name w:val="标题111"/>
    <w:basedOn w:val="1"/>
    <w:next w:val="1"/>
    <w:link w:val="152"/>
    <w:qFormat/>
    <w:uiPriority w:val="10"/>
    <w:pPr>
      <w:spacing w:before="240" w:after="60"/>
      <w:jc w:val="center"/>
      <w:outlineLvl w:val="0"/>
    </w:pPr>
    <w:rPr>
      <w:rFonts w:ascii="Cambria" w:hAnsi="Cambria" w:eastAsia="Arial" w:cs="Arial"/>
      <w:b/>
      <w:bCs/>
      <w:sz w:val="32"/>
      <w:szCs w:val="32"/>
    </w:rPr>
  </w:style>
  <w:style w:type="character" w:customStyle="1" w:styleId="152">
    <w:name w:val="标题 Char"/>
    <w:basedOn w:val="75"/>
    <w:link w:val="151"/>
    <w:qFormat/>
    <w:uiPriority w:val="10"/>
    <w:rPr>
      <w:rFonts w:ascii="等线 Light" w:hAnsi="等线 Light" w:eastAsia="宋体" w:cs="Arial"/>
      <w:b/>
      <w:bCs/>
      <w:sz w:val="32"/>
      <w:szCs w:val="32"/>
    </w:rPr>
  </w:style>
  <w:style w:type="paragraph" w:customStyle="1" w:styleId="153">
    <w:name w:val="批注主题11"/>
    <w:basedOn w:val="90"/>
    <w:next w:val="90"/>
    <w:link w:val="154"/>
    <w:qFormat/>
    <w:uiPriority w:val="99"/>
    <w:rPr>
      <w:b/>
      <w:bCs/>
    </w:rPr>
  </w:style>
  <w:style w:type="character" w:customStyle="1" w:styleId="154">
    <w:name w:val="批注主题 Char"/>
    <w:basedOn w:val="91"/>
    <w:link w:val="153"/>
    <w:semiHidden/>
    <w:qFormat/>
    <w:uiPriority w:val="99"/>
    <w:rPr>
      <w:rFonts w:ascii="Times New Roman" w:hAnsi="Times New Roman" w:eastAsia="宋体" w:cs="Times New Roman"/>
      <w:b/>
      <w:bCs/>
      <w:szCs w:val="24"/>
    </w:rPr>
  </w:style>
  <w:style w:type="paragraph" w:customStyle="1" w:styleId="155">
    <w:name w:val="正文首行缩进11"/>
    <w:basedOn w:val="98"/>
    <w:link w:val="156"/>
    <w:unhideWhenUsed/>
    <w:qFormat/>
    <w:uiPriority w:val="0"/>
    <w:pPr>
      <w:spacing w:after="120"/>
      <w:ind w:firstLine="420"/>
    </w:pPr>
    <w:rPr>
      <w:rFonts w:ascii="Arial" w:eastAsia="Arial"/>
      <w:sz w:val="21"/>
      <w:szCs w:val="21"/>
    </w:rPr>
  </w:style>
  <w:style w:type="character" w:customStyle="1" w:styleId="156">
    <w:name w:val="正文首行缩进 Char"/>
    <w:basedOn w:val="99"/>
    <w:link w:val="155"/>
    <w:semiHidden/>
    <w:qFormat/>
    <w:uiPriority w:val="99"/>
    <w:rPr>
      <w:rFonts w:ascii="Times New Roman" w:hAnsi="Times New Roman" w:eastAsia="宋体" w:cs="Times New Roman"/>
      <w:szCs w:val="24"/>
    </w:rPr>
  </w:style>
  <w:style w:type="paragraph" w:customStyle="1" w:styleId="157">
    <w:name w:val="正文首行缩进 21"/>
    <w:basedOn w:val="158"/>
    <w:link w:val="160"/>
    <w:unhideWhenUsed/>
    <w:qFormat/>
    <w:uiPriority w:val="0"/>
    <w:pPr>
      <w:spacing w:after="120"/>
      <w:ind w:left="420" w:firstLine="420"/>
    </w:pPr>
    <w:rPr>
      <w:rFonts w:ascii="Arial" w:hAnsi="Arial" w:eastAsia="方正仿宋_GBK"/>
      <w:sz w:val="21"/>
      <w:szCs w:val="24"/>
    </w:rPr>
  </w:style>
  <w:style w:type="paragraph" w:customStyle="1" w:styleId="158">
    <w:name w:val="正文文本缩进1"/>
    <w:basedOn w:val="1"/>
    <w:next w:val="159"/>
    <w:qFormat/>
    <w:uiPriority w:val="0"/>
    <w:pPr>
      <w:ind w:firstLine="645"/>
    </w:pPr>
    <w:rPr>
      <w:rFonts w:ascii="楷体_GB2312" w:eastAsia="楷体_GB2312"/>
      <w:sz w:val="32"/>
      <w:szCs w:val="20"/>
    </w:rPr>
  </w:style>
  <w:style w:type="paragraph" w:customStyle="1" w:styleId="159">
    <w:name w:val="寄信人地址1"/>
    <w:basedOn w:val="59"/>
    <w:qFormat/>
    <w:uiPriority w:val="0"/>
    <w:rPr>
      <w:rFonts w:ascii="Arial" w:hAnsi="Arial"/>
    </w:rPr>
  </w:style>
  <w:style w:type="character" w:customStyle="1" w:styleId="160">
    <w:name w:val="正文首行缩进 2 Char2"/>
    <w:basedOn w:val="101"/>
    <w:link w:val="157"/>
    <w:semiHidden/>
    <w:qFormat/>
    <w:uiPriority w:val="99"/>
    <w:rPr>
      <w:rFonts w:ascii="Times New Roman" w:hAnsi="Times New Roman" w:eastAsia="宋体" w:cs="Times New Roman"/>
      <w:szCs w:val="24"/>
    </w:rPr>
  </w:style>
  <w:style w:type="table" w:customStyle="1" w:styleId="161">
    <w:name w:val="网格型111"/>
    <w:basedOn w:val="76"/>
    <w:unhideWhenUsed/>
    <w:qFormat/>
    <w:uiPriority w:val="59"/>
  </w:style>
  <w:style w:type="table" w:customStyle="1" w:styleId="162">
    <w:name w:val="表格主题1"/>
    <w:basedOn w:val="76"/>
    <w:qFormat/>
    <w:uiPriority w:val="0"/>
    <w:pPr>
      <w:widowControl w:val="0"/>
      <w:jc w:val="both"/>
    </w:pPr>
  </w:style>
  <w:style w:type="table" w:customStyle="1" w:styleId="163">
    <w:name w:val="典雅型1"/>
    <w:basedOn w:val="76"/>
    <w:unhideWhenUsed/>
    <w:qFormat/>
    <w:uiPriority w:val="0"/>
    <w:pPr>
      <w:widowControl w:val="0"/>
      <w:jc w:val="both"/>
    </w:pPr>
  </w:style>
  <w:style w:type="character" w:customStyle="1" w:styleId="164">
    <w:name w:val="要点1"/>
    <w:qFormat/>
    <w:uiPriority w:val="0"/>
    <w:rPr>
      <w:b/>
      <w:bCs/>
    </w:rPr>
  </w:style>
  <w:style w:type="character" w:customStyle="1" w:styleId="165">
    <w:name w:val="尾注引用1"/>
    <w:qFormat/>
    <w:uiPriority w:val="0"/>
    <w:rPr>
      <w:vertAlign w:val="superscript"/>
    </w:rPr>
  </w:style>
  <w:style w:type="character" w:customStyle="1" w:styleId="166">
    <w:name w:val="页码11"/>
    <w:basedOn w:val="75"/>
    <w:qFormat/>
    <w:uiPriority w:val="0"/>
  </w:style>
  <w:style w:type="character" w:customStyle="1" w:styleId="167">
    <w:name w:val="已访问的超链接1"/>
    <w:basedOn w:val="75"/>
    <w:unhideWhenUsed/>
    <w:qFormat/>
    <w:uiPriority w:val="99"/>
    <w:rPr>
      <w:color w:val="954F72"/>
      <w:u w:val="single"/>
    </w:rPr>
  </w:style>
  <w:style w:type="character" w:customStyle="1" w:styleId="168">
    <w:name w:val="强调1"/>
    <w:qFormat/>
    <w:uiPriority w:val="20"/>
    <w:rPr>
      <w:color w:val="CC0000"/>
    </w:rPr>
  </w:style>
  <w:style w:type="character" w:customStyle="1" w:styleId="169">
    <w:name w:val="HTML 定义1"/>
    <w:basedOn w:val="75"/>
    <w:unhideWhenUsed/>
    <w:qFormat/>
    <w:uiPriority w:val="0"/>
  </w:style>
  <w:style w:type="character" w:customStyle="1" w:styleId="170">
    <w:name w:val="HTML 打字机1"/>
    <w:unhideWhenUsed/>
    <w:qFormat/>
    <w:uiPriority w:val="0"/>
    <w:rPr>
      <w:rFonts w:ascii="Courier New" w:hAnsi="Courier New" w:eastAsia="Courier New" w:cs="Courier New"/>
      <w:sz w:val="24"/>
      <w:szCs w:val="24"/>
    </w:rPr>
  </w:style>
  <w:style w:type="character" w:customStyle="1" w:styleId="171">
    <w:name w:val="HTML 缩写1"/>
    <w:basedOn w:val="75"/>
    <w:qFormat/>
    <w:uiPriority w:val="0"/>
  </w:style>
  <w:style w:type="character" w:customStyle="1" w:styleId="172">
    <w:name w:val="HTML 变量1"/>
    <w:basedOn w:val="75"/>
    <w:unhideWhenUsed/>
    <w:qFormat/>
    <w:uiPriority w:val="0"/>
  </w:style>
  <w:style w:type="character" w:customStyle="1" w:styleId="173">
    <w:name w:val="超链接1"/>
    <w:basedOn w:val="75"/>
    <w:qFormat/>
    <w:uiPriority w:val="99"/>
    <w:rPr>
      <w:color w:val="0000FF"/>
      <w:u w:val="none"/>
    </w:rPr>
  </w:style>
  <w:style w:type="character" w:customStyle="1" w:styleId="174">
    <w:name w:val="HTML 代码1"/>
    <w:unhideWhenUsed/>
    <w:qFormat/>
    <w:uiPriority w:val="0"/>
    <w:rPr>
      <w:rFonts w:ascii="Courier New" w:hAnsi="Courier New" w:eastAsia="Courier New" w:cs="Courier New"/>
      <w:sz w:val="24"/>
      <w:szCs w:val="24"/>
    </w:rPr>
  </w:style>
  <w:style w:type="character" w:customStyle="1" w:styleId="175">
    <w:name w:val="批注引用11"/>
    <w:qFormat/>
    <w:uiPriority w:val="99"/>
    <w:rPr>
      <w:sz w:val="21"/>
      <w:szCs w:val="21"/>
    </w:rPr>
  </w:style>
  <w:style w:type="character" w:customStyle="1" w:styleId="176">
    <w:name w:val="HTML 引文1"/>
    <w:basedOn w:val="75"/>
    <w:unhideWhenUsed/>
    <w:qFormat/>
    <w:uiPriority w:val="0"/>
  </w:style>
  <w:style w:type="character" w:customStyle="1" w:styleId="177">
    <w:name w:val="脚注引用1"/>
    <w:unhideWhenUsed/>
    <w:qFormat/>
    <w:uiPriority w:val="0"/>
    <w:rPr>
      <w:vertAlign w:val="superscript"/>
    </w:rPr>
  </w:style>
  <w:style w:type="character" w:customStyle="1" w:styleId="178">
    <w:name w:val="HTML 键盘1"/>
    <w:unhideWhenUsed/>
    <w:qFormat/>
    <w:uiPriority w:val="0"/>
    <w:rPr>
      <w:rFonts w:ascii="Courier New" w:hAnsi="Courier New" w:eastAsia="Courier New" w:cs="Courier New"/>
      <w:sz w:val="24"/>
      <w:szCs w:val="24"/>
    </w:rPr>
  </w:style>
  <w:style w:type="character" w:customStyle="1" w:styleId="179">
    <w:name w:val="HTML 样本1"/>
    <w:unhideWhenUsed/>
    <w:qFormat/>
    <w:uiPriority w:val="0"/>
    <w:rPr>
      <w:rFonts w:ascii="Courier New" w:hAnsi="Courier New" w:eastAsia="Courier New" w:cs="Courier New"/>
    </w:rPr>
  </w:style>
  <w:style w:type="character" w:customStyle="1" w:styleId="180">
    <w:name w:val="Heading 1 Char"/>
    <w:basedOn w:val="75"/>
    <w:qFormat/>
    <w:uiPriority w:val="9"/>
    <w:rPr>
      <w:rFonts w:ascii="Arial" w:hAnsi="Arial" w:eastAsia="Arial" w:cs="Arial"/>
      <w:sz w:val="40"/>
      <w:szCs w:val="40"/>
    </w:rPr>
  </w:style>
  <w:style w:type="character" w:customStyle="1" w:styleId="181">
    <w:name w:val="Heading 2 Char"/>
    <w:basedOn w:val="75"/>
    <w:qFormat/>
    <w:uiPriority w:val="9"/>
    <w:rPr>
      <w:rFonts w:ascii="Arial" w:hAnsi="Arial" w:eastAsia="Arial" w:cs="Arial"/>
      <w:sz w:val="34"/>
    </w:rPr>
  </w:style>
  <w:style w:type="character" w:customStyle="1" w:styleId="182">
    <w:name w:val="Heading 3 Char"/>
    <w:basedOn w:val="75"/>
    <w:qFormat/>
    <w:uiPriority w:val="9"/>
    <w:rPr>
      <w:rFonts w:ascii="Arial" w:hAnsi="Arial" w:eastAsia="Arial" w:cs="Arial"/>
      <w:sz w:val="30"/>
      <w:szCs w:val="30"/>
    </w:rPr>
  </w:style>
  <w:style w:type="character" w:customStyle="1" w:styleId="183">
    <w:name w:val="Heading 4 Char"/>
    <w:basedOn w:val="75"/>
    <w:qFormat/>
    <w:uiPriority w:val="9"/>
    <w:rPr>
      <w:rFonts w:ascii="Arial" w:hAnsi="Arial" w:eastAsia="Arial" w:cs="Arial"/>
      <w:b/>
      <w:bCs/>
      <w:sz w:val="26"/>
      <w:szCs w:val="26"/>
    </w:rPr>
  </w:style>
  <w:style w:type="character" w:customStyle="1" w:styleId="184">
    <w:name w:val="Heading 5 Char"/>
    <w:basedOn w:val="75"/>
    <w:qFormat/>
    <w:uiPriority w:val="9"/>
    <w:rPr>
      <w:rFonts w:ascii="Arial" w:hAnsi="Arial" w:eastAsia="Arial" w:cs="Arial"/>
      <w:b/>
      <w:bCs/>
      <w:sz w:val="24"/>
      <w:szCs w:val="24"/>
    </w:rPr>
  </w:style>
  <w:style w:type="character" w:customStyle="1" w:styleId="185">
    <w:name w:val="Heading 6 Char"/>
    <w:basedOn w:val="75"/>
    <w:qFormat/>
    <w:uiPriority w:val="9"/>
    <w:rPr>
      <w:rFonts w:ascii="Arial" w:hAnsi="Arial" w:eastAsia="Arial" w:cs="Arial"/>
      <w:b/>
      <w:bCs/>
      <w:sz w:val="22"/>
      <w:szCs w:val="22"/>
    </w:rPr>
  </w:style>
  <w:style w:type="character" w:customStyle="1" w:styleId="186">
    <w:name w:val="Heading 7 Char"/>
    <w:basedOn w:val="75"/>
    <w:qFormat/>
    <w:uiPriority w:val="9"/>
    <w:rPr>
      <w:rFonts w:ascii="Arial" w:hAnsi="Arial" w:eastAsia="Arial" w:cs="Arial"/>
      <w:b/>
      <w:bCs/>
      <w:i/>
      <w:iCs/>
      <w:sz w:val="22"/>
      <w:szCs w:val="22"/>
    </w:rPr>
  </w:style>
  <w:style w:type="character" w:customStyle="1" w:styleId="187">
    <w:name w:val="Heading 8 Char"/>
    <w:basedOn w:val="75"/>
    <w:qFormat/>
    <w:uiPriority w:val="9"/>
    <w:rPr>
      <w:rFonts w:ascii="Arial" w:hAnsi="Arial" w:eastAsia="Arial" w:cs="Arial"/>
      <w:i/>
      <w:iCs/>
      <w:sz w:val="22"/>
      <w:szCs w:val="22"/>
    </w:rPr>
  </w:style>
  <w:style w:type="character" w:customStyle="1" w:styleId="188">
    <w:name w:val="Heading 9 Char"/>
    <w:basedOn w:val="75"/>
    <w:qFormat/>
    <w:uiPriority w:val="9"/>
    <w:rPr>
      <w:rFonts w:ascii="Arial" w:hAnsi="Arial" w:eastAsia="Arial" w:cs="Arial"/>
      <w:i/>
      <w:iCs/>
      <w:sz w:val="21"/>
      <w:szCs w:val="21"/>
    </w:rPr>
  </w:style>
  <w:style w:type="character" w:customStyle="1" w:styleId="189">
    <w:name w:val="Title Char"/>
    <w:basedOn w:val="75"/>
    <w:qFormat/>
    <w:uiPriority w:val="10"/>
    <w:rPr>
      <w:sz w:val="48"/>
      <w:szCs w:val="48"/>
    </w:rPr>
  </w:style>
  <w:style w:type="character" w:customStyle="1" w:styleId="190">
    <w:name w:val="Subtitle Char"/>
    <w:basedOn w:val="75"/>
    <w:qFormat/>
    <w:uiPriority w:val="11"/>
    <w:rPr>
      <w:sz w:val="24"/>
      <w:szCs w:val="24"/>
    </w:rPr>
  </w:style>
  <w:style w:type="paragraph" w:customStyle="1" w:styleId="191">
    <w:name w:val="引用1"/>
    <w:basedOn w:val="1"/>
    <w:next w:val="1"/>
    <w:link w:val="192"/>
    <w:qFormat/>
    <w:uiPriority w:val="29"/>
    <w:pPr>
      <w:ind w:left="720" w:right="720"/>
    </w:pPr>
    <w:rPr>
      <w:i/>
      <w:sz w:val="20"/>
      <w:szCs w:val="20"/>
      <w:lang w:eastAsia="en-US"/>
    </w:rPr>
  </w:style>
  <w:style w:type="character" w:customStyle="1" w:styleId="192">
    <w:name w:val="引用 Char3"/>
    <w:link w:val="191"/>
    <w:qFormat/>
    <w:uiPriority w:val="29"/>
    <w:rPr>
      <w:i/>
    </w:rPr>
  </w:style>
  <w:style w:type="paragraph" w:customStyle="1" w:styleId="193">
    <w:name w:val="明显引用1"/>
    <w:basedOn w:val="1"/>
    <w:next w:val="1"/>
    <w:link w:val="194"/>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sz w:val="20"/>
      <w:szCs w:val="20"/>
      <w:lang w:eastAsia="en-US"/>
    </w:rPr>
  </w:style>
  <w:style w:type="character" w:customStyle="1" w:styleId="194">
    <w:name w:val="明显引用 Char"/>
    <w:link w:val="193"/>
    <w:qFormat/>
    <w:uiPriority w:val="30"/>
    <w:rPr>
      <w:i/>
    </w:rPr>
  </w:style>
  <w:style w:type="character" w:customStyle="1" w:styleId="195">
    <w:name w:val="Header Char"/>
    <w:basedOn w:val="75"/>
    <w:qFormat/>
    <w:uiPriority w:val="99"/>
  </w:style>
  <w:style w:type="character" w:customStyle="1" w:styleId="196">
    <w:name w:val="Footer Char"/>
    <w:basedOn w:val="75"/>
    <w:qFormat/>
    <w:uiPriority w:val="99"/>
  </w:style>
  <w:style w:type="character" w:customStyle="1" w:styleId="197">
    <w:name w:val="Caption Char"/>
    <w:qFormat/>
    <w:uiPriority w:val="99"/>
  </w:style>
  <w:style w:type="table" w:customStyle="1" w:styleId="198">
    <w:name w:val="Table Grid Light"/>
    <w:basedOn w:val="76"/>
    <w:qFormat/>
    <w:uiPriority w:val="59"/>
  </w:style>
  <w:style w:type="table" w:customStyle="1" w:styleId="199">
    <w:name w:val="无格式表格 11"/>
    <w:basedOn w:val="76"/>
    <w:qFormat/>
    <w:uiPriority w:val="59"/>
  </w:style>
  <w:style w:type="table" w:customStyle="1" w:styleId="200">
    <w:name w:val="无格式表格 21"/>
    <w:basedOn w:val="76"/>
    <w:qFormat/>
    <w:uiPriority w:val="59"/>
  </w:style>
  <w:style w:type="table" w:customStyle="1" w:styleId="201">
    <w:name w:val="无格式表格 31"/>
    <w:basedOn w:val="76"/>
    <w:qFormat/>
    <w:uiPriority w:val="99"/>
  </w:style>
  <w:style w:type="table" w:customStyle="1" w:styleId="202">
    <w:name w:val="无格式表格 41"/>
    <w:basedOn w:val="76"/>
    <w:qFormat/>
    <w:uiPriority w:val="99"/>
  </w:style>
  <w:style w:type="table" w:customStyle="1" w:styleId="203">
    <w:name w:val="无格式表格 51"/>
    <w:basedOn w:val="76"/>
    <w:qFormat/>
    <w:uiPriority w:val="99"/>
  </w:style>
  <w:style w:type="table" w:customStyle="1" w:styleId="204">
    <w:name w:val="网格表 1 浅色1"/>
    <w:basedOn w:val="76"/>
    <w:qFormat/>
    <w:uiPriority w:val="99"/>
  </w:style>
  <w:style w:type="table" w:customStyle="1" w:styleId="205">
    <w:name w:val="Grid Table 1 Light - Accent 1"/>
    <w:basedOn w:val="76"/>
    <w:qFormat/>
    <w:uiPriority w:val="99"/>
  </w:style>
  <w:style w:type="table" w:customStyle="1" w:styleId="206">
    <w:name w:val="Grid Table 1 Light - Accent 2"/>
    <w:basedOn w:val="76"/>
    <w:qFormat/>
    <w:uiPriority w:val="99"/>
  </w:style>
  <w:style w:type="table" w:customStyle="1" w:styleId="207">
    <w:name w:val="Grid Table 1 Light - Accent 3"/>
    <w:basedOn w:val="76"/>
    <w:qFormat/>
    <w:uiPriority w:val="99"/>
  </w:style>
  <w:style w:type="table" w:customStyle="1" w:styleId="208">
    <w:name w:val="Grid Table 1 Light - Accent 4"/>
    <w:basedOn w:val="76"/>
    <w:qFormat/>
    <w:uiPriority w:val="99"/>
  </w:style>
  <w:style w:type="table" w:customStyle="1" w:styleId="209">
    <w:name w:val="Grid Table 1 Light - Accent 5"/>
    <w:basedOn w:val="76"/>
    <w:qFormat/>
    <w:uiPriority w:val="99"/>
  </w:style>
  <w:style w:type="table" w:customStyle="1" w:styleId="210">
    <w:name w:val="Grid Table 1 Light - Accent 6"/>
    <w:basedOn w:val="76"/>
    <w:qFormat/>
    <w:uiPriority w:val="99"/>
  </w:style>
  <w:style w:type="table" w:customStyle="1" w:styleId="211">
    <w:name w:val="网格表 21"/>
    <w:basedOn w:val="76"/>
    <w:qFormat/>
    <w:uiPriority w:val="99"/>
  </w:style>
  <w:style w:type="table" w:customStyle="1" w:styleId="212">
    <w:name w:val="Grid Table 2 - Accent 1"/>
    <w:basedOn w:val="76"/>
    <w:qFormat/>
    <w:uiPriority w:val="99"/>
  </w:style>
  <w:style w:type="table" w:customStyle="1" w:styleId="213">
    <w:name w:val="Grid Table 2 - Accent 2"/>
    <w:basedOn w:val="76"/>
    <w:qFormat/>
    <w:uiPriority w:val="99"/>
  </w:style>
  <w:style w:type="table" w:customStyle="1" w:styleId="214">
    <w:name w:val="Grid Table 2 - Accent 3"/>
    <w:basedOn w:val="76"/>
    <w:qFormat/>
    <w:uiPriority w:val="99"/>
  </w:style>
  <w:style w:type="table" w:customStyle="1" w:styleId="215">
    <w:name w:val="Grid Table 2 - Accent 4"/>
    <w:basedOn w:val="76"/>
    <w:qFormat/>
    <w:uiPriority w:val="99"/>
  </w:style>
  <w:style w:type="table" w:customStyle="1" w:styleId="216">
    <w:name w:val="Grid Table 2 - Accent 5"/>
    <w:basedOn w:val="76"/>
    <w:qFormat/>
    <w:uiPriority w:val="99"/>
  </w:style>
  <w:style w:type="table" w:customStyle="1" w:styleId="217">
    <w:name w:val="Grid Table 2 - Accent 6"/>
    <w:basedOn w:val="76"/>
    <w:qFormat/>
    <w:uiPriority w:val="99"/>
  </w:style>
  <w:style w:type="table" w:customStyle="1" w:styleId="218">
    <w:name w:val="网格表 31"/>
    <w:basedOn w:val="76"/>
    <w:qFormat/>
    <w:uiPriority w:val="99"/>
  </w:style>
  <w:style w:type="table" w:customStyle="1" w:styleId="219">
    <w:name w:val="Grid Table 3 - Accent 1"/>
    <w:basedOn w:val="76"/>
    <w:qFormat/>
    <w:uiPriority w:val="99"/>
  </w:style>
  <w:style w:type="table" w:customStyle="1" w:styleId="220">
    <w:name w:val="Grid Table 3 - Accent 2"/>
    <w:basedOn w:val="76"/>
    <w:qFormat/>
    <w:uiPriority w:val="99"/>
  </w:style>
  <w:style w:type="table" w:customStyle="1" w:styleId="221">
    <w:name w:val="Grid Table 3 - Accent 3"/>
    <w:basedOn w:val="76"/>
    <w:qFormat/>
    <w:uiPriority w:val="99"/>
  </w:style>
  <w:style w:type="table" w:customStyle="1" w:styleId="222">
    <w:name w:val="Grid Table 3 - Accent 4"/>
    <w:basedOn w:val="76"/>
    <w:qFormat/>
    <w:uiPriority w:val="99"/>
  </w:style>
  <w:style w:type="table" w:customStyle="1" w:styleId="223">
    <w:name w:val="Grid Table 3 - Accent 5"/>
    <w:basedOn w:val="76"/>
    <w:qFormat/>
    <w:uiPriority w:val="99"/>
  </w:style>
  <w:style w:type="table" w:customStyle="1" w:styleId="224">
    <w:name w:val="Grid Table 3 - Accent 6"/>
    <w:basedOn w:val="76"/>
    <w:qFormat/>
    <w:uiPriority w:val="99"/>
  </w:style>
  <w:style w:type="table" w:customStyle="1" w:styleId="225">
    <w:name w:val="网格表 41"/>
    <w:basedOn w:val="76"/>
    <w:qFormat/>
    <w:uiPriority w:val="59"/>
  </w:style>
  <w:style w:type="table" w:customStyle="1" w:styleId="226">
    <w:name w:val="Grid Table 4 - Accent 1"/>
    <w:basedOn w:val="76"/>
    <w:qFormat/>
    <w:uiPriority w:val="59"/>
  </w:style>
  <w:style w:type="table" w:customStyle="1" w:styleId="227">
    <w:name w:val="Grid Table 4 - Accent 2"/>
    <w:basedOn w:val="76"/>
    <w:qFormat/>
    <w:uiPriority w:val="59"/>
  </w:style>
  <w:style w:type="table" w:customStyle="1" w:styleId="228">
    <w:name w:val="Grid Table 4 - Accent 3"/>
    <w:basedOn w:val="76"/>
    <w:qFormat/>
    <w:uiPriority w:val="59"/>
  </w:style>
  <w:style w:type="table" w:customStyle="1" w:styleId="229">
    <w:name w:val="Grid Table 4 - Accent 4"/>
    <w:basedOn w:val="76"/>
    <w:qFormat/>
    <w:uiPriority w:val="59"/>
  </w:style>
  <w:style w:type="table" w:customStyle="1" w:styleId="230">
    <w:name w:val="Grid Table 4 - Accent 5"/>
    <w:basedOn w:val="76"/>
    <w:qFormat/>
    <w:uiPriority w:val="59"/>
  </w:style>
  <w:style w:type="table" w:customStyle="1" w:styleId="231">
    <w:name w:val="Grid Table 4 - Accent 6"/>
    <w:basedOn w:val="76"/>
    <w:qFormat/>
    <w:uiPriority w:val="59"/>
  </w:style>
  <w:style w:type="table" w:customStyle="1" w:styleId="232">
    <w:name w:val="网格表 5 深色1"/>
    <w:basedOn w:val="76"/>
    <w:qFormat/>
    <w:uiPriority w:val="99"/>
  </w:style>
  <w:style w:type="table" w:customStyle="1" w:styleId="233">
    <w:name w:val="Grid Table 5 Dark- Accent 1"/>
    <w:basedOn w:val="76"/>
    <w:qFormat/>
    <w:uiPriority w:val="99"/>
  </w:style>
  <w:style w:type="table" w:customStyle="1" w:styleId="234">
    <w:name w:val="Grid Table 5 Dark - Accent 2"/>
    <w:basedOn w:val="76"/>
    <w:qFormat/>
    <w:uiPriority w:val="99"/>
  </w:style>
  <w:style w:type="table" w:customStyle="1" w:styleId="235">
    <w:name w:val="Grid Table 5 Dark - Accent 3"/>
    <w:basedOn w:val="76"/>
    <w:qFormat/>
    <w:uiPriority w:val="99"/>
  </w:style>
  <w:style w:type="table" w:customStyle="1" w:styleId="236">
    <w:name w:val="Grid Table 5 Dark- Accent 4"/>
    <w:basedOn w:val="76"/>
    <w:qFormat/>
    <w:uiPriority w:val="99"/>
  </w:style>
  <w:style w:type="table" w:customStyle="1" w:styleId="237">
    <w:name w:val="Grid Table 5 Dark - Accent 5"/>
    <w:basedOn w:val="76"/>
    <w:qFormat/>
    <w:uiPriority w:val="99"/>
  </w:style>
  <w:style w:type="table" w:customStyle="1" w:styleId="238">
    <w:name w:val="Grid Table 5 Dark - Accent 6"/>
    <w:basedOn w:val="76"/>
    <w:qFormat/>
    <w:uiPriority w:val="99"/>
  </w:style>
  <w:style w:type="table" w:customStyle="1" w:styleId="239">
    <w:name w:val="网格表 6 彩色1"/>
    <w:basedOn w:val="76"/>
    <w:qFormat/>
    <w:uiPriority w:val="99"/>
  </w:style>
  <w:style w:type="table" w:customStyle="1" w:styleId="240">
    <w:name w:val="Grid Table 6 Colorful - Accent 1"/>
    <w:basedOn w:val="76"/>
    <w:qFormat/>
    <w:uiPriority w:val="99"/>
  </w:style>
  <w:style w:type="table" w:customStyle="1" w:styleId="241">
    <w:name w:val="Grid Table 6 Colorful - Accent 2"/>
    <w:basedOn w:val="76"/>
    <w:qFormat/>
    <w:uiPriority w:val="99"/>
  </w:style>
  <w:style w:type="table" w:customStyle="1" w:styleId="242">
    <w:name w:val="Grid Table 6 Colorful - Accent 3"/>
    <w:basedOn w:val="76"/>
    <w:qFormat/>
    <w:uiPriority w:val="99"/>
  </w:style>
  <w:style w:type="table" w:customStyle="1" w:styleId="243">
    <w:name w:val="Grid Table 6 Colorful - Accent 4"/>
    <w:basedOn w:val="76"/>
    <w:qFormat/>
    <w:uiPriority w:val="99"/>
  </w:style>
  <w:style w:type="table" w:customStyle="1" w:styleId="244">
    <w:name w:val="Grid Table 6 Colorful - Accent 5"/>
    <w:basedOn w:val="76"/>
    <w:qFormat/>
    <w:uiPriority w:val="99"/>
  </w:style>
  <w:style w:type="table" w:customStyle="1" w:styleId="245">
    <w:name w:val="Grid Table 6 Colorful - Accent 6"/>
    <w:basedOn w:val="76"/>
    <w:qFormat/>
    <w:uiPriority w:val="99"/>
  </w:style>
  <w:style w:type="table" w:customStyle="1" w:styleId="246">
    <w:name w:val="网格表 7 彩色1"/>
    <w:basedOn w:val="76"/>
    <w:qFormat/>
    <w:uiPriority w:val="99"/>
  </w:style>
  <w:style w:type="table" w:customStyle="1" w:styleId="247">
    <w:name w:val="Grid Table 7 Colorful - Accent 1"/>
    <w:basedOn w:val="76"/>
    <w:qFormat/>
    <w:uiPriority w:val="99"/>
  </w:style>
  <w:style w:type="table" w:customStyle="1" w:styleId="248">
    <w:name w:val="Grid Table 7 Colorful - Accent 2"/>
    <w:basedOn w:val="76"/>
    <w:qFormat/>
    <w:uiPriority w:val="99"/>
  </w:style>
  <w:style w:type="table" w:customStyle="1" w:styleId="249">
    <w:name w:val="Grid Table 7 Colorful - Accent 3"/>
    <w:basedOn w:val="76"/>
    <w:qFormat/>
    <w:uiPriority w:val="99"/>
  </w:style>
  <w:style w:type="table" w:customStyle="1" w:styleId="250">
    <w:name w:val="Grid Table 7 Colorful - Accent 4"/>
    <w:basedOn w:val="76"/>
    <w:qFormat/>
    <w:uiPriority w:val="99"/>
  </w:style>
  <w:style w:type="table" w:customStyle="1" w:styleId="251">
    <w:name w:val="Grid Table 7 Colorful - Accent 5"/>
    <w:basedOn w:val="76"/>
    <w:qFormat/>
    <w:uiPriority w:val="99"/>
  </w:style>
  <w:style w:type="table" w:customStyle="1" w:styleId="252">
    <w:name w:val="Grid Table 7 Colorful - Accent 6"/>
    <w:basedOn w:val="76"/>
    <w:qFormat/>
    <w:uiPriority w:val="99"/>
  </w:style>
  <w:style w:type="table" w:customStyle="1" w:styleId="253">
    <w:name w:val="清单表 1 浅色1"/>
    <w:basedOn w:val="76"/>
    <w:qFormat/>
    <w:uiPriority w:val="99"/>
  </w:style>
  <w:style w:type="table" w:customStyle="1" w:styleId="254">
    <w:name w:val="List Table 1 Light - Accent 1"/>
    <w:basedOn w:val="76"/>
    <w:qFormat/>
    <w:uiPriority w:val="99"/>
  </w:style>
  <w:style w:type="table" w:customStyle="1" w:styleId="255">
    <w:name w:val="List Table 1 Light - Accent 2"/>
    <w:basedOn w:val="76"/>
    <w:qFormat/>
    <w:uiPriority w:val="99"/>
  </w:style>
  <w:style w:type="table" w:customStyle="1" w:styleId="256">
    <w:name w:val="List Table 1 Light - Accent 3"/>
    <w:basedOn w:val="76"/>
    <w:qFormat/>
    <w:uiPriority w:val="99"/>
  </w:style>
  <w:style w:type="table" w:customStyle="1" w:styleId="257">
    <w:name w:val="List Table 1 Light - Accent 4"/>
    <w:basedOn w:val="76"/>
    <w:qFormat/>
    <w:uiPriority w:val="99"/>
  </w:style>
  <w:style w:type="table" w:customStyle="1" w:styleId="258">
    <w:name w:val="List Table 1 Light - Accent 5"/>
    <w:basedOn w:val="76"/>
    <w:qFormat/>
    <w:uiPriority w:val="99"/>
  </w:style>
  <w:style w:type="table" w:customStyle="1" w:styleId="259">
    <w:name w:val="List Table 1 Light - Accent 6"/>
    <w:basedOn w:val="76"/>
    <w:qFormat/>
    <w:uiPriority w:val="99"/>
  </w:style>
  <w:style w:type="table" w:customStyle="1" w:styleId="260">
    <w:name w:val="清单表 21"/>
    <w:basedOn w:val="76"/>
    <w:qFormat/>
    <w:uiPriority w:val="99"/>
  </w:style>
  <w:style w:type="table" w:customStyle="1" w:styleId="261">
    <w:name w:val="List Table 2 - Accent 1"/>
    <w:basedOn w:val="76"/>
    <w:qFormat/>
    <w:uiPriority w:val="99"/>
  </w:style>
  <w:style w:type="table" w:customStyle="1" w:styleId="262">
    <w:name w:val="List Table 2 - Accent 2"/>
    <w:basedOn w:val="76"/>
    <w:qFormat/>
    <w:uiPriority w:val="99"/>
  </w:style>
  <w:style w:type="table" w:customStyle="1" w:styleId="263">
    <w:name w:val="List Table 2 - Accent 3"/>
    <w:basedOn w:val="76"/>
    <w:qFormat/>
    <w:uiPriority w:val="99"/>
  </w:style>
  <w:style w:type="table" w:customStyle="1" w:styleId="264">
    <w:name w:val="List Table 2 - Accent 4"/>
    <w:basedOn w:val="76"/>
    <w:qFormat/>
    <w:uiPriority w:val="99"/>
  </w:style>
  <w:style w:type="table" w:customStyle="1" w:styleId="265">
    <w:name w:val="List Table 2 - Accent 5"/>
    <w:basedOn w:val="76"/>
    <w:qFormat/>
    <w:uiPriority w:val="99"/>
  </w:style>
  <w:style w:type="table" w:customStyle="1" w:styleId="266">
    <w:name w:val="List Table 2 - Accent 6"/>
    <w:basedOn w:val="76"/>
    <w:qFormat/>
    <w:uiPriority w:val="99"/>
  </w:style>
  <w:style w:type="table" w:customStyle="1" w:styleId="267">
    <w:name w:val="清单表 31"/>
    <w:basedOn w:val="76"/>
    <w:qFormat/>
    <w:uiPriority w:val="99"/>
  </w:style>
  <w:style w:type="table" w:customStyle="1" w:styleId="268">
    <w:name w:val="List Table 3 - Accent 1"/>
    <w:basedOn w:val="76"/>
    <w:qFormat/>
    <w:uiPriority w:val="99"/>
  </w:style>
  <w:style w:type="table" w:customStyle="1" w:styleId="269">
    <w:name w:val="List Table 3 - Accent 2"/>
    <w:basedOn w:val="76"/>
    <w:qFormat/>
    <w:uiPriority w:val="99"/>
  </w:style>
  <w:style w:type="table" w:customStyle="1" w:styleId="270">
    <w:name w:val="List Table 3 - Accent 3"/>
    <w:basedOn w:val="76"/>
    <w:qFormat/>
    <w:uiPriority w:val="99"/>
  </w:style>
  <w:style w:type="table" w:customStyle="1" w:styleId="271">
    <w:name w:val="List Table 3 - Accent 4"/>
    <w:basedOn w:val="76"/>
    <w:qFormat/>
    <w:uiPriority w:val="99"/>
  </w:style>
  <w:style w:type="table" w:customStyle="1" w:styleId="272">
    <w:name w:val="List Table 3 - Accent 5"/>
    <w:basedOn w:val="76"/>
    <w:qFormat/>
    <w:uiPriority w:val="99"/>
  </w:style>
  <w:style w:type="table" w:customStyle="1" w:styleId="273">
    <w:name w:val="List Table 3 - Accent 6"/>
    <w:basedOn w:val="76"/>
    <w:qFormat/>
    <w:uiPriority w:val="99"/>
  </w:style>
  <w:style w:type="table" w:customStyle="1" w:styleId="274">
    <w:name w:val="清单表 41"/>
    <w:basedOn w:val="76"/>
    <w:qFormat/>
    <w:uiPriority w:val="99"/>
  </w:style>
  <w:style w:type="table" w:customStyle="1" w:styleId="275">
    <w:name w:val="List Table 4 - Accent 1"/>
    <w:basedOn w:val="76"/>
    <w:qFormat/>
    <w:uiPriority w:val="99"/>
  </w:style>
  <w:style w:type="table" w:customStyle="1" w:styleId="276">
    <w:name w:val="List Table 4 - Accent 2"/>
    <w:basedOn w:val="76"/>
    <w:qFormat/>
    <w:uiPriority w:val="99"/>
  </w:style>
  <w:style w:type="table" w:customStyle="1" w:styleId="277">
    <w:name w:val="List Table 4 - Accent 3"/>
    <w:basedOn w:val="76"/>
    <w:qFormat/>
    <w:uiPriority w:val="99"/>
  </w:style>
  <w:style w:type="table" w:customStyle="1" w:styleId="278">
    <w:name w:val="List Table 4 - Accent 4"/>
    <w:basedOn w:val="76"/>
    <w:qFormat/>
    <w:uiPriority w:val="99"/>
  </w:style>
  <w:style w:type="table" w:customStyle="1" w:styleId="279">
    <w:name w:val="List Table 4 - Accent 5"/>
    <w:basedOn w:val="76"/>
    <w:qFormat/>
    <w:uiPriority w:val="99"/>
  </w:style>
  <w:style w:type="table" w:customStyle="1" w:styleId="280">
    <w:name w:val="List Table 4 - Accent 6"/>
    <w:basedOn w:val="76"/>
    <w:qFormat/>
    <w:uiPriority w:val="99"/>
  </w:style>
  <w:style w:type="table" w:customStyle="1" w:styleId="281">
    <w:name w:val="清单表 5 深色1"/>
    <w:basedOn w:val="76"/>
    <w:qFormat/>
    <w:uiPriority w:val="99"/>
  </w:style>
  <w:style w:type="table" w:customStyle="1" w:styleId="282">
    <w:name w:val="List Table 5 Dark - Accent 1"/>
    <w:basedOn w:val="76"/>
    <w:qFormat/>
    <w:uiPriority w:val="99"/>
  </w:style>
  <w:style w:type="table" w:customStyle="1" w:styleId="283">
    <w:name w:val="List Table 5 Dark - Accent 2"/>
    <w:basedOn w:val="76"/>
    <w:qFormat/>
    <w:uiPriority w:val="99"/>
  </w:style>
  <w:style w:type="table" w:customStyle="1" w:styleId="284">
    <w:name w:val="List Table 5 Dark - Accent 3"/>
    <w:basedOn w:val="76"/>
    <w:qFormat/>
    <w:uiPriority w:val="99"/>
  </w:style>
  <w:style w:type="table" w:customStyle="1" w:styleId="285">
    <w:name w:val="List Table 5 Dark - Accent 4"/>
    <w:basedOn w:val="76"/>
    <w:qFormat/>
    <w:uiPriority w:val="99"/>
  </w:style>
  <w:style w:type="table" w:customStyle="1" w:styleId="286">
    <w:name w:val="List Table 5 Dark - Accent 5"/>
    <w:basedOn w:val="76"/>
    <w:qFormat/>
    <w:uiPriority w:val="99"/>
  </w:style>
  <w:style w:type="table" w:customStyle="1" w:styleId="287">
    <w:name w:val="List Table 5 Dark - Accent 6"/>
    <w:basedOn w:val="76"/>
    <w:qFormat/>
    <w:uiPriority w:val="99"/>
  </w:style>
  <w:style w:type="table" w:customStyle="1" w:styleId="288">
    <w:name w:val="清单表 6 彩色1"/>
    <w:basedOn w:val="76"/>
    <w:qFormat/>
    <w:uiPriority w:val="99"/>
  </w:style>
  <w:style w:type="table" w:customStyle="1" w:styleId="289">
    <w:name w:val="List Table 6 Colorful - Accent 1"/>
    <w:basedOn w:val="76"/>
    <w:qFormat/>
    <w:uiPriority w:val="99"/>
  </w:style>
  <w:style w:type="table" w:customStyle="1" w:styleId="290">
    <w:name w:val="List Table 6 Colorful - Accent 2"/>
    <w:basedOn w:val="76"/>
    <w:qFormat/>
    <w:uiPriority w:val="99"/>
  </w:style>
  <w:style w:type="table" w:customStyle="1" w:styleId="291">
    <w:name w:val="List Table 6 Colorful - Accent 3"/>
    <w:basedOn w:val="76"/>
    <w:qFormat/>
    <w:uiPriority w:val="99"/>
  </w:style>
  <w:style w:type="table" w:customStyle="1" w:styleId="292">
    <w:name w:val="List Table 6 Colorful - Accent 4"/>
    <w:basedOn w:val="76"/>
    <w:qFormat/>
    <w:uiPriority w:val="99"/>
  </w:style>
  <w:style w:type="table" w:customStyle="1" w:styleId="293">
    <w:name w:val="List Table 6 Colorful - Accent 5"/>
    <w:basedOn w:val="76"/>
    <w:qFormat/>
    <w:uiPriority w:val="99"/>
  </w:style>
  <w:style w:type="table" w:customStyle="1" w:styleId="294">
    <w:name w:val="List Table 6 Colorful - Accent 6"/>
    <w:basedOn w:val="76"/>
    <w:qFormat/>
    <w:uiPriority w:val="99"/>
  </w:style>
  <w:style w:type="table" w:customStyle="1" w:styleId="295">
    <w:name w:val="清单表 7 彩色1"/>
    <w:basedOn w:val="76"/>
    <w:qFormat/>
    <w:uiPriority w:val="99"/>
  </w:style>
  <w:style w:type="table" w:customStyle="1" w:styleId="296">
    <w:name w:val="List Table 7 Colorful - Accent 1"/>
    <w:basedOn w:val="76"/>
    <w:qFormat/>
    <w:uiPriority w:val="99"/>
  </w:style>
  <w:style w:type="table" w:customStyle="1" w:styleId="297">
    <w:name w:val="List Table 7 Colorful - Accent 2"/>
    <w:basedOn w:val="76"/>
    <w:qFormat/>
    <w:uiPriority w:val="99"/>
  </w:style>
  <w:style w:type="table" w:customStyle="1" w:styleId="298">
    <w:name w:val="List Table 7 Colorful - Accent 3"/>
    <w:basedOn w:val="76"/>
    <w:qFormat/>
    <w:uiPriority w:val="99"/>
  </w:style>
  <w:style w:type="table" w:customStyle="1" w:styleId="299">
    <w:name w:val="List Table 7 Colorful - Accent 4"/>
    <w:basedOn w:val="76"/>
    <w:qFormat/>
    <w:uiPriority w:val="99"/>
  </w:style>
  <w:style w:type="table" w:customStyle="1" w:styleId="300">
    <w:name w:val="List Table 7 Colorful - Accent 5"/>
    <w:basedOn w:val="76"/>
    <w:qFormat/>
    <w:uiPriority w:val="99"/>
  </w:style>
  <w:style w:type="table" w:customStyle="1" w:styleId="301">
    <w:name w:val="List Table 7 Colorful - Accent 6"/>
    <w:basedOn w:val="76"/>
    <w:qFormat/>
    <w:uiPriority w:val="99"/>
  </w:style>
  <w:style w:type="table" w:customStyle="1" w:styleId="302">
    <w:name w:val="Lined - Accent"/>
    <w:basedOn w:val="76"/>
    <w:qFormat/>
    <w:uiPriority w:val="99"/>
    <w:rPr>
      <w:color w:val="404040"/>
    </w:rPr>
  </w:style>
  <w:style w:type="table" w:customStyle="1" w:styleId="303">
    <w:name w:val="Lined - Accent 1"/>
    <w:basedOn w:val="76"/>
    <w:qFormat/>
    <w:uiPriority w:val="99"/>
    <w:rPr>
      <w:color w:val="404040"/>
    </w:rPr>
  </w:style>
  <w:style w:type="table" w:customStyle="1" w:styleId="304">
    <w:name w:val="Lined - Accent 2"/>
    <w:basedOn w:val="76"/>
    <w:qFormat/>
    <w:uiPriority w:val="99"/>
    <w:rPr>
      <w:color w:val="404040"/>
    </w:rPr>
  </w:style>
  <w:style w:type="table" w:customStyle="1" w:styleId="305">
    <w:name w:val="Lined - Accent 3"/>
    <w:basedOn w:val="76"/>
    <w:qFormat/>
    <w:uiPriority w:val="99"/>
    <w:rPr>
      <w:color w:val="404040"/>
    </w:rPr>
  </w:style>
  <w:style w:type="table" w:customStyle="1" w:styleId="306">
    <w:name w:val="Lined - Accent 4"/>
    <w:basedOn w:val="76"/>
    <w:qFormat/>
    <w:uiPriority w:val="99"/>
    <w:rPr>
      <w:color w:val="404040"/>
    </w:rPr>
  </w:style>
  <w:style w:type="table" w:customStyle="1" w:styleId="307">
    <w:name w:val="Lined - Accent 5"/>
    <w:basedOn w:val="76"/>
    <w:qFormat/>
    <w:uiPriority w:val="99"/>
    <w:rPr>
      <w:color w:val="404040"/>
    </w:rPr>
  </w:style>
  <w:style w:type="table" w:customStyle="1" w:styleId="308">
    <w:name w:val="Lined - Accent 6"/>
    <w:basedOn w:val="76"/>
    <w:qFormat/>
    <w:uiPriority w:val="99"/>
    <w:rPr>
      <w:color w:val="404040"/>
    </w:rPr>
  </w:style>
  <w:style w:type="table" w:customStyle="1" w:styleId="309">
    <w:name w:val="Bordered &amp; Lined - Accent"/>
    <w:basedOn w:val="76"/>
    <w:qFormat/>
    <w:uiPriority w:val="99"/>
    <w:rPr>
      <w:color w:val="404040"/>
    </w:rPr>
  </w:style>
  <w:style w:type="table" w:customStyle="1" w:styleId="310">
    <w:name w:val="Bordered &amp; Lined - Accent 1"/>
    <w:basedOn w:val="76"/>
    <w:qFormat/>
    <w:uiPriority w:val="99"/>
    <w:rPr>
      <w:color w:val="404040"/>
    </w:rPr>
  </w:style>
  <w:style w:type="table" w:customStyle="1" w:styleId="311">
    <w:name w:val="Bordered &amp; Lined - Accent 2"/>
    <w:basedOn w:val="76"/>
    <w:qFormat/>
    <w:uiPriority w:val="99"/>
    <w:rPr>
      <w:color w:val="404040"/>
    </w:rPr>
  </w:style>
  <w:style w:type="table" w:customStyle="1" w:styleId="312">
    <w:name w:val="Bordered &amp; Lined - Accent 3"/>
    <w:basedOn w:val="76"/>
    <w:qFormat/>
    <w:uiPriority w:val="99"/>
    <w:rPr>
      <w:color w:val="404040"/>
    </w:rPr>
  </w:style>
  <w:style w:type="table" w:customStyle="1" w:styleId="313">
    <w:name w:val="Bordered &amp; Lined - Accent 4"/>
    <w:basedOn w:val="76"/>
    <w:qFormat/>
    <w:uiPriority w:val="99"/>
    <w:rPr>
      <w:color w:val="404040"/>
    </w:rPr>
  </w:style>
  <w:style w:type="table" w:customStyle="1" w:styleId="314">
    <w:name w:val="Bordered &amp; Lined - Accent 5"/>
    <w:basedOn w:val="76"/>
    <w:qFormat/>
    <w:uiPriority w:val="99"/>
    <w:rPr>
      <w:color w:val="404040"/>
    </w:rPr>
  </w:style>
  <w:style w:type="table" w:customStyle="1" w:styleId="315">
    <w:name w:val="Bordered &amp; Lined - Accent 6"/>
    <w:basedOn w:val="76"/>
    <w:qFormat/>
    <w:uiPriority w:val="99"/>
    <w:rPr>
      <w:color w:val="404040"/>
    </w:rPr>
  </w:style>
  <w:style w:type="table" w:customStyle="1" w:styleId="316">
    <w:name w:val="Bordered"/>
    <w:basedOn w:val="76"/>
    <w:qFormat/>
    <w:uiPriority w:val="99"/>
  </w:style>
  <w:style w:type="table" w:customStyle="1" w:styleId="317">
    <w:name w:val="Bordered - Accent 1"/>
    <w:basedOn w:val="76"/>
    <w:qFormat/>
    <w:uiPriority w:val="99"/>
  </w:style>
  <w:style w:type="table" w:customStyle="1" w:styleId="318">
    <w:name w:val="Bordered - Accent 2"/>
    <w:basedOn w:val="76"/>
    <w:qFormat/>
    <w:uiPriority w:val="99"/>
  </w:style>
  <w:style w:type="table" w:customStyle="1" w:styleId="319">
    <w:name w:val="Bordered - Accent 3"/>
    <w:basedOn w:val="76"/>
    <w:qFormat/>
    <w:uiPriority w:val="99"/>
  </w:style>
  <w:style w:type="table" w:customStyle="1" w:styleId="320">
    <w:name w:val="Bordered - Accent 4"/>
    <w:basedOn w:val="76"/>
    <w:qFormat/>
    <w:uiPriority w:val="99"/>
  </w:style>
  <w:style w:type="table" w:customStyle="1" w:styleId="321">
    <w:name w:val="Bordered - Accent 5"/>
    <w:basedOn w:val="76"/>
    <w:qFormat/>
    <w:uiPriority w:val="99"/>
  </w:style>
  <w:style w:type="table" w:customStyle="1" w:styleId="322">
    <w:name w:val="Bordered - Accent 6"/>
    <w:basedOn w:val="76"/>
    <w:qFormat/>
    <w:uiPriority w:val="99"/>
  </w:style>
  <w:style w:type="character" w:customStyle="1" w:styleId="323">
    <w:name w:val="Footnote Text Char"/>
    <w:qFormat/>
    <w:uiPriority w:val="99"/>
    <w:rPr>
      <w:sz w:val="18"/>
    </w:rPr>
  </w:style>
  <w:style w:type="character" w:customStyle="1" w:styleId="324">
    <w:name w:val="Endnote Text Char"/>
    <w:qFormat/>
    <w:uiPriority w:val="99"/>
    <w:rPr>
      <w:sz w:val="20"/>
    </w:rPr>
  </w:style>
  <w:style w:type="paragraph" w:customStyle="1" w:styleId="325">
    <w:name w:val="TOC 标题2"/>
    <w:qFormat/>
    <w:uiPriority w:val="39"/>
    <w:rPr>
      <w:rFonts w:hint="default" w:ascii="Times New Roman" w:hAnsi="Times New Roman" w:eastAsia="宋体" w:cs="Times New Roman"/>
      <w:lang w:val="en-US" w:eastAsia="zh-CN" w:bidi="ar-SA"/>
    </w:rPr>
  </w:style>
  <w:style w:type="character" w:customStyle="1" w:styleId="326">
    <w:name w:val="标题 1 字符"/>
    <w:link w:val="3"/>
    <w:qFormat/>
    <w:uiPriority w:val="0"/>
    <w:rPr>
      <w:rFonts w:ascii="楷体_GB2312" w:hAnsi="Times New Roman" w:eastAsia="楷体_GB2312" w:cs="Times New Roman"/>
      <w:sz w:val="28"/>
      <w:szCs w:val="20"/>
    </w:rPr>
  </w:style>
  <w:style w:type="character" w:customStyle="1" w:styleId="327">
    <w:name w:val="标题 3 字符2"/>
    <w:link w:val="5"/>
    <w:qFormat/>
    <w:uiPriority w:val="0"/>
    <w:rPr>
      <w:rFonts w:ascii="Times New Roman" w:hAnsi="Times New Roman" w:eastAsia="宋体" w:cs="Times New Roman"/>
      <w:b/>
      <w:sz w:val="32"/>
      <w:szCs w:val="20"/>
    </w:rPr>
  </w:style>
  <w:style w:type="character" w:customStyle="1" w:styleId="328">
    <w:name w:val="标题 4 字符"/>
    <w:link w:val="7"/>
    <w:qFormat/>
    <w:uiPriority w:val="0"/>
    <w:rPr>
      <w:rFonts w:ascii="Arial" w:hAnsi="Arial" w:eastAsia="黑体" w:cs="Times New Roman"/>
      <w:b/>
      <w:bCs/>
      <w:sz w:val="28"/>
      <w:szCs w:val="28"/>
    </w:rPr>
  </w:style>
  <w:style w:type="character" w:customStyle="1" w:styleId="329">
    <w:name w:val="标题 5 字符"/>
    <w:link w:val="8"/>
    <w:qFormat/>
    <w:uiPriority w:val="0"/>
    <w:rPr>
      <w:rFonts w:ascii="宋体" w:hAnsi="Times New Roman" w:eastAsia="宋体" w:cs="Times New Roman"/>
      <w:b/>
      <w:spacing w:val="-2"/>
      <w:position w:val="-6"/>
      <w:sz w:val="28"/>
      <w:szCs w:val="20"/>
    </w:rPr>
  </w:style>
  <w:style w:type="character" w:customStyle="1" w:styleId="330">
    <w:name w:val="标题 6 字符"/>
    <w:link w:val="10"/>
    <w:qFormat/>
    <w:uiPriority w:val="0"/>
    <w:rPr>
      <w:rFonts w:ascii="Arial" w:hAnsi="Arial" w:eastAsia="黑体" w:cs="Times New Roman"/>
      <w:b/>
      <w:spacing w:val="-2"/>
      <w:position w:val="-6"/>
      <w:sz w:val="24"/>
      <w:szCs w:val="20"/>
    </w:rPr>
  </w:style>
  <w:style w:type="character" w:customStyle="1" w:styleId="331">
    <w:name w:val="标题 7 字符"/>
    <w:link w:val="11"/>
    <w:qFormat/>
    <w:uiPriority w:val="0"/>
    <w:rPr>
      <w:rFonts w:ascii="宋体" w:hAnsi="Times New Roman" w:eastAsia="宋体" w:cs="Times New Roman"/>
      <w:b/>
      <w:spacing w:val="-2"/>
      <w:position w:val="-6"/>
      <w:sz w:val="24"/>
      <w:szCs w:val="20"/>
    </w:rPr>
  </w:style>
  <w:style w:type="character" w:customStyle="1" w:styleId="332">
    <w:name w:val="标题 8 字符"/>
    <w:link w:val="12"/>
    <w:qFormat/>
    <w:uiPriority w:val="0"/>
    <w:rPr>
      <w:rFonts w:ascii="Arial" w:hAnsi="Arial" w:eastAsia="黑体" w:cs="Times New Roman"/>
      <w:spacing w:val="-2"/>
      <w:position w:val="-6"/>
      <w:sz w:val="24"/>
      <w:szCs w:val="20"/>
    </w:rPr>
  </w:style>
  <w:style w:type="character" w:customStyle="1" w:styleId="333">
    <w:name w:val="标题 9 字符"/>
    <w:link w:val="13"/>
    <w:qFormat/>
    <w:uiPriority w:val="0"/>
    <w:rPr>
      <w:rFonts w:ascii="Arial" w:hAnsi="Arial" w:eastAsia="黑体" w:cs="Times New Roman"/>
      <w:spacing w:val="-2"/>
      <w:position w:val="-6"/>
      <w:sz w:val="28"/>
      <w:szCs w:val="20"/>
    </w:rPr>
  </w:style>
  <w:style w:type="paragraph" w:customStyle="1" w:styleId="334">
    <w:name w:val="Caption1"/>
    <w:basedOn w:val="1"/>
    <w:next w:val="1"/>
    <w:link w:val="335"/>
    <w:qFormat/>
    <w:uiPriority w:val="0"/>
    <w:rPr>
      <w:rFonts w:ascii="Cambria" w:hAnsi="Cambria" w:eastAsia="黑体"/>
      <w:sz w:val="20"/>
      <w:szCs w:val="20"/>
      <w:lang w:eastAsia="en-US"/>
    </w:rPr>
  </w:style>
  <w:style w:type="character" w:customStyle="1" w:styleId="335">
    <w:name w:val="题注 Char"/>
    <w:link w:val="334"/>
    <w:qFormat/>
    <w:uiPriority w:val="0"/>
    <w:rPr>
      <w:rFonts w:ascii="Cambria" w:hAnsi="Cambria" w:eastAsia="黑体"/>
    </w:rPr>
  </w:style>
  <w:style w:type="paragraph" w:customStyle="1" w:styleId="336">
    <w:name w:val="Footer1"/>
    <w:basedOn w:val="1"/>
    <w:link w:val="337"/>
    <w:unhideWhenUsed/>
    <w:qFormat/>
    <w:uiPriority w:val="99"/>
    <w:pPr>
      <w:tabs>
        <w:tab w:val="center" w:pos="4153"/>
        <w:tab w:val="right" w:pos="8306"/>
      </w:tabs>
      <w:jc w:val="left"/>
    </w:pPr>
    <w:rPr>
      <w:sz w:val="18"/>
      <w:szCs w:val="18"/>
    </w:rPr>
  </w:style>
  <w:style w:type="character" w:customStyle="1" w:styleId="337">
    <w:name w:val="页脚 Char"/>
    <w:basedOn w:val="75"/>
    <w:link w:val="336"/>
    <w:qFormat/>
    <w:uiPriority w:val="0"/>
    <w:rPr>
      <w:rFonts w:ascii="Times New Roman" w:hAnsi="Times New Roman" w:eastAsia="宋体" w:cs="Times New Roman"/>
      <w:sz w:val="18"/>
      <w:szCs w:val="18"/>
    </w:rPr>
  </w:style>
  <w:style w:type="paragraph" w:customStyle="1" w:styleId="338">
    <w:name w:val="Header1"/>
    <w:basedOn w:val="1"/>
    <w:link w:val="339"/>
    <w:unhideWhenUsed/>
    <w:qFormat/>
    <w:uiPriority w:val="99"/>
    <w:pPr>
      <w:pBdr>
        <w:bottom w:val="single" w:color="000000" w:sz="6" w:space="1"/>
      </w:pBdr>
      <w:tabs>
        <w:tab w:val="center" w:pos="4153"/>
        <w:tab w:val="right" w:pos="8306"/>
      </w:tabs>
      <w:jc w:val="center"/>
    </w:pPr>
    <w:rPr>
      <w:sz w:val="18"/>
      <w:szCs w:val="18"/>
    </w:rPr>
  </w:style>
  <w:style w:type="character" w:customStyle="1" w:styleId="339">
    <w:name w:val="页眉 Char"/>
    <w:basedOn w:val="75"/>
    <w:link w:val="338"/>
    <w:qFormat/>
    <w:uiPriority w:val="0"/>
    <w:rPr>
      <w:rFonts w:ascii="Times New Roman" w:hAnsi="Times New Roman" w:eastAsia="宋体" w:cs="Times New Roman"/>
      <w:sz w:val="18"/>
      <w:szCs w:val="18"/>
    </w:rPr>
  </w:style>
  <w:style w:type="paragraph" w:customStyle="1" w:styleId="340">
    <w:name w:val="列出段落1"/>
    <w:basedOn w:val="1"/>
    <w:link w:val="341"/>
    <w:qFormat/>
    <w:uiPriority w:val="34"/>
    <w:pPr>
      <w:ind w:firstLine="420"/>
    </w:pPr>
    <w:rPr>
      <w:sz w:val="20"/>
      <w:lang w:eastAsia="en-US"/>
    </w:rPr>
  </w:style>
  <w:style w:type="character" w:customStyle="1" w:styleId="341">
    <w:name w:val="列出段落 Char"/>
    <w:link w:val="340"/>
    <w:qFormat/>
    <w:uiPriority w:val="34"/>
    <w:rPr>
      <w:rFonts w:ascii="Times New Roman" w:hAnsi="Times New Roman" w:eastAsia="宋体" w:cs="Times New Roman"/>
      <w:szCs w:val="24"/>
    </w:rPr>
  </w:style>
  <w:style w:type="paragraph" w:customStyle="1" w:styleId="342">
    <w:name w:val="_Style 18"/>
    <w:basedOn w:val="1"/>
    <w:next w:val="340"/>
    <w:qFormat/>
    <w:uiPriority w:val="34"/>
    <w:pPr>
      <w:ind w:firstLine="420"/>
    </w:pPr>
    <w:rPr>
      <w:rFonts w:ascii="Calibri" w:hAnsi="Calibri"/>
      <w:szCs w:val="22"/>
    </w:rPr>
  </w:style>
  <w:style w:type="character" w:customStyle="1" w:styleId="343">
    <w:name w:val="htd0"/>
    <w:basedOn w:val="75"/>
    <w:qFormat/>
    <w:uiPriority w:val="0"/>
  </w:style>
  <w:style w:type="character" w:customStyle="1" w:styleId="344">
    <w:name w:val="标题 1 Char"/>
    <w:basedOn w:val="75"/>
    <w:qFormat/>
    <w:uiPriority w:val="9"/>
    <w:rPr>
      <w:rFonts w:ascii="Times New Roman" w:hAnsi="Times New Roman" w:eastAsia="宋体" w:cs="Times New Roman"/>
      <w:b/>
      <w:bCs/>
      <w:sz w:val="44"/>
      <w:szCs w:val="44"/>
    </w:rPr>
  </w:style>
  <w:style w:type="character" w:customStyle="1" w:styleId="345">
    <w:name w:val="标题 3 Char"/>
    <w:basedOn w:val="75"/>
    <w:qFormat/>
    <w:uiPriority w:val="9"/>
    <w:rPr>
      <w:rFonts w:ascii="Times New Roman" w:hAnsi="Times New Roman" w:eastAsia="宋体" w:cs="Times New Roman"/>
      <w:b/>
      <w:bCs/>
      <w:sz w:val="32"/>
      <w:szCs w:val="32"/>
    </w:rPr>
  </w:style>
  <w:style w:type="character" w:customStyle="1" w:styleId="346">
    <w:name w:val="标题 4 Char"/>
    <w:basedOn w:val="75"/>
    <w:semiHidden/>
    <w:qFormat/>
    <w:uiPriority w:val="9"/>
    <w:rPr>
      <w:rFonts w:ascii="等线 Light" w:hAnsi="等线 Light" w:eastAsia="Arial" w:cs="Arial"/>
      <w:b/>
      <w:bCs/>
      <w:sz w:val="28"/>
      <w:szCs w:val="28"/>
    </w:rPr>
  </w:style>
  <w:style w:type="character" w:customStyle="1" w:styleId="347">
    <w:name w:val="标题 5 Char"/>
    <w:basedOn w:val="75"/>
    <w:semiHidden/>
    <w:qFormat/>
    <w:uiPriority w:val="9"/>
    <w:rPr>
      <w:rFonts w:ascii="Times New Roman" w:hAnsi="Times New Roman" w:eastAsia="宋体" w:cs="Times New Roman"/>
      <w:b/>
      <w:bCs/>
      <w:sz w:val="28"/>
      <w:szCs w:val="28"/>
    </w:rPr>
  </w:style>
  <w:style w:type="character" w:customStyle="1" w:styleId="348">
    <w:name w:val="标题 6 Char"/>
    <w:basedOn w:val="75"/>
    <w:semiHidden/>
    <w:qFormat/>
    <w:uiPriority w:val="9"/>
    <w:rPr>
      <w:rFonts w:ascii="等线 Light" w:hAnsi="等线 Light" w:eastAsia="Arial" w:cs="Arial"/>
      <w:b/>
      <w:bCs/>
      <w:sz w:val="24"/>
      <w:szCs w:val="24"/>
    </w:rPr>
  </w:style>
  <w:style w:type="character" w:customStyle="1" w:styleId="349">
    <w:name w:val="标题 7 Char"/>
    <w:basedOn w:val="75"/>
    <w:semiHidden/>
    <w:qFormat/>
    <w:uiPriority w:val="9"/>
    <w:rPr>
      <w:rFonts w:ascii="Times New Roman" w:hAnsi="Times New Roman" w:eastAsia="宋体" w:cs="Times New Roman"/>
      <w:b/>
      <w:bCs/>
      <w:sz w:val="24"/>
      <w:szCs w:val="24"/>
    </w:rPr>
  </w:style>
  <w:style w:type="character" w:customStyle="1" w:styleId="350">
    <w:name w:val="标题 8 Char"/>
    <w:basedOn w:val="75"/>
    <w:semiHidden/>
    <w:qFormat/>
    <w:uiPriority w:val="9"/>
    <w:rPr>
      <w:rFonts w:ascii="等线 Light" w:hAnsi="等线 Light" w:eastAsia="Arial" w:cs="Arial"/>
      <w:sz w:val="24"/>
      <w:szCs w:val="24"/>
    </w:rPr>
  </w:style>
  <w:style w:type="character" w:customStyle="1" w:styleId="351">
    <w:name w:val="标题 9 Char"/>
    <w:basedOn w:val="75"/>
    <w:semiHidden/>
    <w:qFormat/>
    <w:uiPriority w:val="9"/>
    <w:rPr>
      <w:rFonts w:ascii="等线 Light" w:hAnsi="等线 Light" w:eastAsia="Arial" w:cs="Arial"/>
      <w:szCs w:val="21"/>
    </w:rPr>
  </w:style>
  <w:style w:type="paragraph" w:customStyle="1" w:styleId="352">
    <w:name w:val="_Style 31"/>
    <w:basedOn w:val="1"/>
    <w:next w:val="340"/>
    <w:qFormat/>
    <w:uiPriority w:val="34"/>
    <w:pPr>
      <w:ind w:firstLine="420"/>
    </w:pPr>
    <w:rPr>
      <w:rFonts w:ascii="Calibri" w:hAnsi="Calibri"/>
      <w:szCs w:val="22"/>
    </w:rPr>
  </w:style>
  <w:style w:type="character" w:customStyle="1" w:styleId="353">
    <w:name w:val="style31"/>
    <w:qFormat/>
    <w:uiPriority w:val="0"/>
    <w:rPr>
      <w:sz w:val="21"/>
      <w:szCs w:val="21"/>
    </w:rPr>
  </w:style>
  <w:style w:type="character" w:customStyle="1" w:styleId="354">
    <w:name w:val="页脚 字符"/>
    <w:qFormat/>
    <w:uiPriority w:val="99"/>
    <w:rPr>
      <w:sz w:val="18"/>
    </w:rPr>
  </w:style>
  <w:style w:type="character" w:customStyle="1" w:styleId="355">
    <w:name w:val="正文文本缩进 Char4"/>
    <w:qFormat/>
    <w:uiPriority w:val="0"/>
    <w:rPr>
      <w:rFonts w:ascii="楷体_GB2312" w:eastAsia="楷体_GB2312"/>
      <w:sz w:val="32"/>
    </w:rPr>
  </w:style>
  <w:style w:type="character" w:customStyle="1" w:styleId="356">
    <w:name w:val="普通文字 Char Char Char"/>
    <w:qFormat/>
    <w:uiPriority w:val="0"/>
    <w:rPr>
      <w:rFonts w:ascii="宋体" w:hAnsi="Courier New" w:eastAsia="宋体" w:cs="Courier New"/>
      <w:sz w:val="21"/>
      <w:szCs w:val="21"/>
      <w:lang w:val="en-US" w:eastAsia="zh-CN" w:bidi="ar-SA"/>
    </w:rPr>
  </w:style>
  <w:style w:type="character" w:customStyle="1" w:styleId="357">
    <w:name w:val="段落 Char1"/>
    <w:link w:val="358"/>
    <w:qFormat/>
    <w:uiPriority w:val="0"/>
    <w:rPr>
      <w:rFonts w:ascii="等线" w:hAnsi="等线" w:eastAsia="仿宋_GB2312" w:cs="Arial"/>
      <w:sz w:val="24"/>
      <w:szCs w:val="24"/>
      <w:lang w:val="en-US" w:eastAsia="zh-CN" w:bidi="ar-SA"/>
    </w:rPr>
  </w:style>
  <w:style w:type="paragraph" w:customStyle="1" w:styleId="358">
    <w:name w:val="段落"/>
    <w:link w:val="357"/>
    <w:qFormat/>
    <w:uiPriority w:val="0"/>
    <w:pPr>
      <w:spacing w:before="120" w:after="120" w:line="360" w:lineRule="auto"/>
      <w:ind w:firstLine="420"/>
      <w:jc w:val="both"/>
    </w:pPr>
    <w:rPr>
      <w:rFonts w:hint="default" w:ascii="等线" w:hAnsi="等线" w:eastAsia="仿宋_GB2312" w:cs="Arial"/>
      <w:sz w:val="24"/>
      <w:szCs w:val="24"/>
      <w:lang w:val="en-US" w:eastAsia="zh-CN" w:bidi="ar-SA"/>
    </w:rPr>
  </w:style>
  <w:style w:type="character" w:customStyle="1" w:styleId="359">
    <w:name w:val="批注框文本 Char4"/>
    <w:qFormat/>
    <w:uiPriority w:val="0"/>
    <w:rPr>
      <w:sz w:val="18"/>
      <w:szCs w:val="18"/>
    </w:rPr>
  </w:style>
  <w:style w:type="character" w:customStyle="1" w:styleId="360">
    <w:name w:val="纯文本 Char3"/>
    <w:qFormat/>
    <w:uiPriority w:val="0"/>
    <w:rPr>
      <w:rFonts w:ascii="宋体" w:hAnsi="Courier New" w:cs="Courier New"/>
      <w:szCs w:val="21"/>
    </w:rPr>
  </w:style>
  <w:style w:type="character" w:customStyle="1" w:styleId="361">
    <w:name w:val="_正文段落 Char Char"/>
    <w:link w:val="362"/>
    <w:qFormat/>
    <w:uiPriority w:val="0"/>
    <w:rPr>
      <w:rFonts w:ascii="宋体" w:hAnsi="宋体"/>
      <w:sz w:val="24"/>
      <w:szCs w:val="28"/>
    </w:rPr>
  </w:style>
  <w:style w:type="paragraph" w:customStyle="1" w:styleId="362">
    <w:name w:val="_正文段落"/>
    <w:basedOn w:val="1"/>
    <w:link w:val="361"/>
    <w:qFormat/>
    <w:uiPriority w:val="0"/>
    <w:pPr>
      <w:spacing w:line="360" w:lineRule="auto"/>
      <w:ind w:firstLine="480"/>
    </w:pPr>
    <w:rPr>
      <w:rFonts w:ascii="宋体" w:hAnsi="宋体"/>
      <w:sz w:val="24"/>
      <w:szCs w:val="28"/>
      <w:lang w:eastAsia="en-US"/>
    </w:rPr>
  </w:style>
  <w:style w:type="character" w:customStyle="1" w:styleId="363">
    <w:name w:val="正文文本 Char4"/>
    <w:qFormat/>
    <w:uiPriority w:val="0"/>
    <w:rPr>
      <w:rFonts w:ascii="楷体_GB2312" w:hAnsi="Arial" w:eastAsia="楷体_GB2312"/>
      <w:sz w:val="28"/>
    </w:rPr>
  </w:style>
  <w:style w:type="character" w:customStyle="1" w:styleId="364">
    <w:name w:val="标题 2 字符"/>
    <w:qFormat/>
    <w:uiPriority w:val="0"/>
    <w:rPr>
      <w:rFonts w:ascii="幼圆" w:hAnsi="Arial" w:eastAsia="楷体_GB2312"/>
      <w:b/>
      <w:sz w:val="44"/>
    </w:rPr>
  </w:style>
  <w:style w:type="character" w:customStyle="1" w:styleId="365">
    <w:name w:val="font"/>
    <w:basedOn w:val="75"/>
    <w:qFormat/>
    <w:uiPriority w:val="0"/>
  </w:style>
  <w:style w:type="character" w:customStyle="1" w:styleId="366">
    <w:name w:val="pt9-hui-line201"/>
    <w:qFormat/>
    <w:uiPriority w:val="0"/>
    <w:rPr>
      <w:color w:val="333333"/>
      <w:spacing w:val="300"/>
      <w:sz w:val="18"/>
      <w:szCs w:val="18"/>
      <w:u w:val="none"/>
    </w:rPr>
  </w:style>
  <w:style w:type="character" w:customStyle="1" w:styleId="367">
    <w:name w:val="正文文本缩进 2 Char4"/>
    <w:qFormat/>
    <w:uiPriority w:val="0"/>
    <w:rPr>
      <w:rFonts w:ascii="楷体_GB2312" w:eastAsia="楷体_GB2312"/>
      <w:sz w:val="28"/>
      <w:szCs w:val="28"/>
    </w:rPr>
  </w:style>
  <w:style w:type="character" w:customStyle="1" w:styleId="368">
    <w:name w:val="批注主题 Char4"/>
    <w:qFormat/>
    <w:uiPriority w:val="99"/>
    <w:rPr>
      <w:rFonts w:ascii="Calibri" w:hAnsi="Calibri"/>
      <w:b/>
      <w:bCs/>
    </w:rPr>
  </w:style>
  <w:style w:type="character" w:customStyle="1" w:styleId="369">
    <w:name w:val="批注文字 Char4"/>
    <w:qFormat/>
    <w:uiPriority w:val="99"/>
    <w:rPr>
      <w:rFonts w:ascii="Calibri" w:hAnsi="Calibri"/>
    </w:rPr>
  </w:style>
  <w:style w:type="character" w:customStyle="1" w:styleId="370">
    <w:name w:val="样式 正文文本缩进 + 左  0 字符 Char Char"/>
    <w:link w:val="371"/>
    <w:qFormat/>
    <w:uiPriority w:val="0"/>
    <w:rPr>
      <w:rFonts w:cs="宋体"/>
      <w:sz w:val="24"/>
    </w:rPr>
  </w:style>
  <w:style w:type="paragraph" w:customStyle="1" w:styleId="371">
    <w:name w:val="样式 正文文本缩进 + 左  0 字符"/>
    <w:basedOn w:val="100"/>
    <w:link w:val="370"/>
    <w:qFormat/>
    <w:uiPriority w:val="0"/>
    <w:pPr>
      <w:spacing w:line="360" w:lineRule="auto"/>
      <w:ind w:firstLine="250"/>
    </w:pPr>
    <w:rPr>
      <w:rFonts w:ascii="Times New Roman" w:hAnsi="Times New Roman" w:eastAsia="宋体" w:cs="Times New Roman"/>
      <w:sz w:val="24"/>
      <w:szCs w:val="20"/>
      <w:lang w:eastAsia="en-US"/>
    </w:rPr>
  </w:style>
  <w:style w:type="character" w:customStyle="1" w:styleId="372">
    <w:name w:val="带缩进的正文 Char Char"/>
    <w:link w:val="373"/>
    <w:qFormat/>
    <w:uiPriority w:val="0"/>
    <w:rPr>
      <w:rFonts w:ascii="Calibri" w:hAnsi="Calibri"/>
      <w:sz w:val="24"/>
    </w:rPr>
  </w:style>
  <w:style w:type="paragraph" w:customStyle="1" w:styleId="373">
    <w:name w:val="带缩进的正文"/>
    <w:basedOn w:val="1"/>
    <w:link w:val="372"/>
    <w:qFormat/>
    <w:uiPriority w:val="0"/>
    <w:pPr>
      <w:spacing w:line="360" w:lineRule="auto"/>
      <w:ind w:firstLine="480"/>
    </w:pPr>
    <w:rPr>
      <w:rFonts w:ascii="Calibri" w:hAnsi="Calibri"/>
      <w:sz w:val="24"/>
      <w:szCs w:val="20"/>
      <w:lang w:eastAsia="en-US"/>
    </w:rPr>
  </w:style>
  <w:style w:type="character" w:customStyle="1" w:styleId="374">
    <w:name w:val="bodybold1"/>
    <w:qFormat/>
    <w:uiPriority w:val="0"/>
    <w:rPr>
      <w:rFonts w:ascii="Taipei" w:hAnsi="Taipei"/>
      <w:b/>
      <w:bCs/>
      <w:color w:val="0066FF"/>
      <w:sz w:val="26"/>
      <w:szCs w:val="26"/>
      <w:u w:val="none"/>
    </w:rPr>
  </w:style>
  <w:style w:type="character" w:customStyle="1" w:styleId="375">
    <w:name w:val="flname8"/>
    <w:basedOn w:val="75"/>
    <w:qFormat/>
    <w:uiPriority w:val="0"/>
  </w:style>
  <w:style w:type="character" w:customStyle="1" w:styleId="376">
    <w:name w:val="正文（首行缩进两字） Char Char"/>
    <w:qFormat/>
    <w:uiPriority w:val="0"/>
    <w:rPr>
      <w:rFonts w:eastAsia="宋体"/>
      <w:sz w:val="24"/>
      <w:lang w:val="en-US" w:eastAsia="zh-CN" w:bidi="ar-SA"/>
    </w:rPr>
  </w:style>
  <w:style w:type="character" w:customStyle="1" w:styleId="377">
    <w:name w:val="标题 3 Char Char"/>
    <w:qFormat/>
    <w:uiPriority w:val="0"/>
    <w:rPr>
      <w:rFonts w:eastAsia="宋体"/>
      <w:b/>
      <w:sz w:val="32"/>
      <w:lang w:val="en-US" w:eastAsia="zh-CN" w:bidi="ar-SA"/>
    </w:rPr>
  </w:style>
  <w:style w:type="character" w:customStyle="1" w:styleId="378">
    <w:name w:val="样式6 Char Char"/>
    <w:link w:val="379"/>
    <w:qFormat/>
    <w:uiPriority w:val="0"/>
    <w:rPr>
      <w:rFonts w:ascii="宋体" w:hAnsi="宋体"/>
      <w:sz w:val="28"/>
      <w:szCs w:val="28"/>
    </w:rPr>
  </w:style>
  <w:style w:type="paragraph" w:customStyle="1" w:styleId="379">
    <w:name w:val="样式6"/>
    <w:basedOn w:val="1"/>
    <w:link w:val="378"/>
    <w:qFormat/>
    <w:uiPriority w:val="0"/>
    <w:pPr>
      <w:spacing w:line="360" w:lineRule="auto"/>
      <w:ind w:left="980" w:hanging="420"/>
    </w:pPr>
    <w:rPr>
      <w:rFonts w:ascii="宋体" w:hAnsi="宋体"/>
      <w:sz w:val="28"/>
      <w:szCs w:val="28"/>
      <w:lang w:eastAsia="en-US"/>
    </w:rPr>
  </w:style>
  <w:style w:type="character" w:customStyle="1" w:styleId="380">
    <w:name w:val="页眉 字符"/>
    <w:qFormat/>
    <w:uiPriority w:val="99"/>
    <w:rPr>
      <w:sz w:val="18"/>
      <w:szCs w:val="18"/>
    </w:rPr>
  </w:style>
  <w:style w:type="character" w:customStyle="1" w:styleId="381">
    <w:name w:val="WW8Num11z1"/>
    <w:qFormat/>
    <w:uiPriority w:val="0"/>
    <w:rPr>
      <w:rFonts w:ascii="Wingdings" w:hAnsi="Wingdings"/>
    </w:rPr>
  </w:style>
  <w:style w:type="character" w:customStyle="1" w:styleId="382">
    <w:name w:val="样式 正文缩进 + 首行缩进:  2 字符 Char Char"/>
    <w:link w:val="383"/>
    <w:qFormat/>
    <w:uiPriority w:val="0"/>
    <w:rPr>
      <w:rFonts w:cs="宋体"/>
      <w:sz w:val="24"/>
    </w:rPr>
  </w:style>
  <w:style w:type="paragraph" w:customStyle="1" w:styleId="383">
    <w:name w:val="样式 正文缩进 + 首行缩进:  2 字符"/>
    <w:basedOn w:val="9"/>
    <w:link w:val="382"/>
    <w:qFormat/>
    <w:uiPriority w:val="0"/>
    <w:pPr>
      <w:spacing w:line="360" w:lineRule="auto"/>
      <w:ind w:firstLine="200"/>
    </w:pPr>
    <w:rPr>
      <w:sz w:val="24"/>
      <w:szCs w:val="20"/>
    </w:rPr>
  </w:style>
  <w:style w:type="character" w:customStyle="1" w:styleId="384">
    <w:name w:val="彩色网格 - 强调文字颜色 1 Char"/>
    <w:link w:val="385"/>
    <w:qFormat/>
    <w:uiPriority w:val="0"/>
    <w:rPr>
      <w:rFonts w:eastAsia="方正仿宋_GBK"/>
      <w:i/>
      <w:iCs/>
      <w:color w:val="000000"/>
      <w:szCs w:val="24"/>
    </w:rPr>
  </w:style>
  <w:style w:type="paragraph" w:customStyle="1" w:styleId="385">
    <w:name w:val="彩色网格 - 强调文字颜色 11"/>
    <w:basedOn w:val="1"/>
    <w:next w:val="1"/>
    <w:link w:val="384"/>
    <w:qFormat/>
    <w:uiPriority w:val="0"/>
    <w:pPr>
      <w:spacing w:line="360" w:lineRule="auto"/>
      <w:ind w:firstLine="560"/>
    </w:pPr>
    <w:rPr>
      <w:rFonts w:eastAsia="方正仿宋_GBK"/>
      <w:i/>
      <w:iCs/>
      <w:color w:val="000000"/>
      <w:sz w:val="20"/>
      <w:lang w:eastAsia="en-US"/>
    </w:rPr>
  </w:style>
  <w:style w:type="character" w:customStyle="1" w:styleId="386">
    <w:name w:val="文档结构图 Char3"/>
    <w:qFormat/>
    <w:uiPriority w:val="99"/>
    <w:rPr>
      <w:rFonts w:ascii="宋体"/>
      <w:sz w:val="18"/>
      <w:szCs w:val="18"/>
    </w:rPr>
  </w:style>
  <w:style w:type="character" w:customStyle="1" w:styleId="387">
    <w:name w:val="正文首行缩进 2 Char3"/>
    <w:semiHidden/>
    <w:qFormat/>
    <w:uiPriority w:val="0"/>
    <w:rPr>
      <w:rFonts w:ascii="Arial" w:hAnsi="Arial" w:eastAsia="方正仿宋_GBK" w:cs="Arial"/>
      <w:szCs w:val="24"/>
    </w:rPr>
  </w:style>
  <w:style w:type="character" w:customStyle="1" w:styleId="388">
    <w:name w:val="样式7 Char Char"/>
    <w:link w:val="389"/>
    <w:qFormat/>
    <w:uiPriority w:val="0"/>
    <w:rPr>
      <w:rFonts w:ascii="宋体" w:hAnsi="宋体"/>
      <w:sz w:val="28"/>
      <w:szCs w:val="28"/>
    </w:rPr>
  </w:style>
  <w:style w:type="paragraph" w:customStyle="1" w:styleId="389">
    <w:name w:val="样式7"/>
    <w:basedOn w:val="1"/>
    <w:link w:val="388"/>
    <w:qFormat/>
    <w:uiPriority w:val="0"/>
    <w:pPr>
      <w:spacing w:line="360" w:lineRule="auto"/>
      <w:ind w:left="980" w:hanging="420"/>
    </w:pPr>
    <w:rPr>
      <w:rFonts w:ascii="宋体" w:hAnsi="宋体"/>
      <w:sz w:val="28"/>
      <w:szCs w:val="28"/>
      <w:lang w:eastAsia="en-US"/>
    </w:rPr>
  </w:style>
  <w:style w:type="character" w:customStyle="1" w:styleId="390">
    <w:name w:val="WW-Absatz-Standardschriftart11"/>
    <w:qFormat/>
    <w:uiPriority w:val="0"/>
  </w:style>
  <w:style w:type="character" w:customStyle="1" w:styleId="391">
    <w:name w:val="正文文本 3 Char3"/>
    <w:qFormat/>
    <w:uiPriority w:val="0"/>
    <w:rPr>
      <w:rFonts w:ascii="仿宋_GB2312" w:hAnsi="Arial" w:eastAsia="仿宋_GB2312"/>
      <w:sz w:val="32"/>
    </w:rPr>
  </w:style>
  <w:style w:type="character" w:customStyle="1" w:styleId="392">
    <w:name w:val="WW8Num34z2"/>
    <w:qFormat/>
    <w:uiPriority w:val="0"/>
    <w:rPr>
      <w:rFonts w:ascii="StarSymbol" w:hAnsi="StarSymbol" w:cs="StarSymbol"/>
      <w:sz w:val="18"/>
      <w:szCs w:val="18"/>
    </w:rPr>
  </w:style>
  <w:style w:type="character" w:customStyle="1" w:styleId="393">
    <w:name w:val="日期 Char4"/>
    <w:qFormat/>
    <w:uiPriority w:val="0"/>
    <w:rPr>
      <w:rFonts w:ascii="仿宋_GB2312" w:eastAsia="仿宋_GB2312"/>
      <w:b/>
      <w:sz w:val="36"/>
      <w:szCs w:val="24"/>
    </w:rPr>
  </w:style>
  <w:style w:type="character" w:customStyle="1" w:styleId="394">
    <w:name w:val="正文文本缩进 3 字符1"/>
    <w:qFormat/>
    <w:uiPriority w:val="99"/>
    <w:rPr>
      <w:rFonts w:ascii="宋体" w:hAnsi="Times New Roman" w:eastAsia="方正仿宋_GBK" w:cs="Times New Roman"/>
      <w:sz w:val="16"/>
      <w:szCs w:val="16"/>
    </w:rPr>
  </w:style>
  <w:style w:type="character" w:customStyle="1" w:styleId="395">
    <w:name w:val="正文文本缩进 3 Char3"/>
    <w:qFormat/>
    <w:uiPriority w:val="0"/>
    <w:rPr>
      <w:rFonts w:ascii="方正行楷简体" w:hAnsi="Arial" w:eastAsia="方正行楷简体"/>
      <w:sz w:val="36"/>
    </w:rPr>
  </w:style>
  <w:style w:type="character" w:customStyle="1" w:styleId="396">
    <w:name w:val="WW8Num6z1"/>
    <w:qFormat/>
    <w:uiPriority w:val="0"/>
    <w:rPr>
      <w:rFonts w:ascii="Wingdings" w:hAnsi="Wingdings"/>
    </w:rPr>
  </w:style>
  <w:style w:type="character" w:customStyle="1" w:styleId="397">
    <w:name w:val="正文文本 2 Char3"/>
    <w:qFormat/>
    <w:uiPriority w:val="0"/>
    <w:rPr>
      <w:szCs w:val="24"/>
    </w:rPr>
  </w:style>
  <w:style w:type="character" w:customStyle="1" w:styleId="398">
    <w:name w:val="WW8Num32z2"/>
    <w:qFormat/>
    <w:uiPriority w:val="0"/>
    <w:rPr>
      <w:rFonts w:ascii="StarSymbol" w:hAnsi="StarSymbol" w:cs="StarSymbol"/>
      <w:sz w:val="18"/>
      <w:szCs w:val="18"/>
    </w:rPr>
  </w:style>
  <w:style w:type="character" w:customStyle="1" w:styleId="399">
    <w:name w:val="列表段落 字符1"/>
    <w:qFormat/>
    <w:uiPriority w:val="34"/>
    <w:rPr>
      <w:rFonts w:ascii="Calibri" w:hAnsi="Calibri"/>
      <w:sz w:val="21"/>
      <w:szCs w:val="22"/>
    </w:rPr>
  </w:style>
  <w:style w:type="character" w:customStyle="1" w:styleId="400">
    <w:name w:val="WW8Num28z0"/>
    <w:qFormat/>
    <w:uiPriority w:val="0"/>
    <w:rPr>
      <w:rFonts w:ascii="Wingdings" w:hAnsi="Wingdings" w:cs="StarSymbol"/>
      <w:sz w:val="18"/>
      <w:szCs w:val="18"/>
    </w:rPr>
  </w:style>
  <w:style w:type="character" w:customStyle="1" w:styleId="401">
    <w:name w:val="WW8Num2z2"/>
    <w:qFormat/>
    <w:uiPriority w:val="0"/>
    <w:rPr>
      <w:rFonts w:ascii="StarSymbol" w:hAnsi="StarSymbol" w:cs="StarSymbol"/>
      <w:sz w:val="18"/>
      <w:szCs w:val="18"/>
    </w:rPr>
  </w:style>
  <w:style w:type="character" w:customStyle="1" w:styleId="402">
    <w:name w:val="apple-converted-space"/>
    <w:basedOn w:val="75"/>
    <w:qFormat/>
    <w:uiPriority w:val="0"/>
  </w:style>
  <w:style w:type="character" w:customStyle="1" w:styleId="403">
    <w:name w:val="WW8Num35z2"/>
    <w:qFormat/>
    <w:uiPriority w:val="0"/>
    <w:rPr>
      <w:rFonts w:ascii="StarSymbol" w:hAnsi="StarSymbol" w:cs="StarSymbol"/>
      <w:sz w:val="18"/>
      <w:szCs w:val="18"/>
    </w:rPr>
  </w:style>
  <w:style w:type="character" w:customStyle="1" w:styleId="404">
    <w:name w:val="标题 Char3"/>
    <w:qFormat/>
    <w:uiPriority w:val="10"/>
    <w:rPr>
      <w:rFonts w:ascii="Cambria" w:hAnsi="Cambria"/>
      <w:b/>
      <w:bCs/>
      <w:sz w:val="32"/>
      <w:szCs w:val="32"/>
    </w:rPr>
  </w:style>
  <w:style w:type="character" w:customStyle="1" w:styleId="405">
    <w:name w:val="WW8Num10z0"/>
    <w:qFormat/>
    <w:uiPriority w:val="0"/>
    <w:rPr>
      <w:rFonts w:ascii="Wingdings" w:hAnsi="Wingdings" w:cs="StarSymbol"/>
      <w:sz w:val="18"/>
      <w:szCs w:val="18"/>
    </w:rPr>
  </w:style>
  <w:style w:type="character" w:customStyle="1" w:styleId="406">
    <w:name w:val="正文首行缩进 Char5"/>
    <w:semiHidden/>
    <w:qFormat/>
    <w:uiPriority w:val="0"/>
    <w:rPr>
      <w:rFonts w:ascii="Arial" w:hAnsi="Arial"/>
      <w:szCs w:val="21"/>
    </w:rPr>
  </w:style>
  <w:style w:type="character" w:customStyle="1" w:styleId="407">
    <w:name w:val="WW8Num32z0"/>
    <w:qFormat/>
    <w:uiPriority w:val="0"/>
    <w:rPr>
      <w:rFonts w:ascii="Wingdings" w:hAnsi="Wingdings" w:cs="StarSymbol"/>
      <w:sz w:val="18"/>
      <w:szCs w:val="18"/>
    </w:rPr>
  </w:style>
  <w:style w:type="character" w:customStyle="1" w:styleId="408">
    <w:name w:val="正文首行缩进 Char1"/>
    <w:qFormat/>
    <w:uiPriority w:val="0"/>
    <w:rPr>
      <w:rFonts w:ascii="Times New Roman" w:hAnsi="Times New Roman" w:eastAsia="宋体" w:cs="Times New Roman"/>
      <w:szCs w:val="24"/>
    </w:rPr>
  </w:style>
  <w:style w:type="character" w:customStyle="1" w:styleId="409">
    <w:name w:val="标题 3 字符1"/>
    <w:qFormat/>
    <w:uiPriority w:val="0"/>
    <w:rPr>
      <w:rFonts w:ascii="仿宋" w:eastAsia="仿宋"/>
      <w:b/>
      <w:sz w:val="32"/>
      <w:szCs w:val="32"/>
    </w:rPr>
  </w:style>
  <w:style w:type="character" w:customStyle="1" w:styleId="410">
    <w:name w:val="正文首行缩进 Char2"/>
    <w:qFormat/>
    <w:uiPriority w:val="0"/>
    <w:rPr>
      <w:rFonts w:ascii="楷体_GB2312" w:hAnsi="Arial" w:eastAsia="楷体_GB2312"/>
      <w:sz w:val="21"/>
      <w:szCs w:val="24"/>
    </w:rPr>
  </w:style>
  <w:style w:type="character" w:customStyle="1" w:styleId="411">
    <w:name w:val="正文文本 2 字符1"/>
    <w:semiHidden/>
    <w:qFormat/>
    <w:uiPriority w:val="99"/>
    <w:rPr>
      <w:rFonts w:ascii="Times New Roman" w:hAnsi="Times New Roman" w:eastAsia="方正仿宋_GBK" w:cs="Times New Roman"/>
      <w:sz w:val="24"/>
      <w:szCs w:val="24"/>
    </w:rPr>
  </w:style>
  <w:style w:type="character" w:customStyle="1" w:styleId="412">
    <w:name w:val="Table Heading Char1"/>
    <w:link w:val="413"/>
    <w:qFormat/>
    <w:uiPriority w:val="0"/>
    <w:rPr>
      <w:rFonts w:ascii="Book Antiqua" w:hAnsi="Book Antiqua" w:eastAsia="黑体" w:cs="Book Antiqua"/>
      <w:bCs/>
      <w:szCs w:val="21"/>
    </w:rPr>
  </w:style>
  <w:style w:type="paragraph" w:customStyle="1" w:styleId="413">
    <w:name w:val="Table Heading"/>
    <w:basedOn w:val="1"/>
    <w:link w:val="412"/>
    <w:qFormat/>
    <w:uiPriority w:val="0"/>
    <w:pPr>
      <w:keepNext/>
      <w:spacing w:before="80" w:after="80" w:line="240" w:lineRule="atLeast"/>
      <w:jc w:val="left"/>
    </w:pPr>
    <w:rPr>
      <w:rFonts w:ascii="Book Antiqua" w:hAnsi="Book Antiqua" w:eastAsia="黑体"/>
      <w:bCs/>
      <w:sz w:val="20"/>
      <w:szCs w:val="21"/>
      <w:lang w:eastAsia="en-US"/>
    </w:rPr>
  </w:style>
  <w:style w:type="character" w:customStyle="1" w:styleId="414">
    <w:name w:val="二级采标题 字符"/>
    <w:link w:val="415"/>
    <w:qFormat/>
    <w:uiPriority w:val="0"/>
    <w:rPr>
      <w:rFonts w:ascii="Calibri" w:hAnsi="Calibri" w:eastAsia="Arial" w:cs="Arial"/>
      <w:sz w:val="21"/>
      <w:szCs w:val="22"/>
      <w:lang w:val="en-US" w:eastAsia="zh-CN" w:bidi="ar-SA"/>
    </w:rPr>
  </w:style>
  <w:style w:type="paragraph" w:customStyle="1" w:styleId="415">
    <w:name w:val="二级采标题"/>
    <w:next w:val="64"/>
    <w:link w:val="414"/>
    <w:qFormat/>
    <w:uiPriority w:val="0"/>
    <w:pPr>
      <w:ind w:left="1134" w:hanging="1134"/>
    </w:pPr>
    <w:rPr>
      <w:rFonts w:hint="default" w:ascii="Calibri" w:hAnsi="Calibri" w:eastAsia="Arial" w:cs="Arial"/>
      <w:sz w:val="21"/>
      <w:szCs w:val="22"/>
      <w:lang w:val="en-US" w:eastAsia="zh-CN" w:bidi="ar-SA"/>
    </w:rPr>
  </w:style>
  <w:style w:type="character" w:customStyle="1" w:styleId="416">
    <w:name w:val="Table Text Char"/>
    <w:link w:val="417"/>
    <w:qFormat/>
    <w:uiPriority w:val="0"/>
    <w:rPr>
      <w:rFonts w:cs="Arial"/>
      <w:szCs w:val="21"/>
    </w:rPr>
  </w:style>
  <w:style w:type="paragraph" w:customStyle="1" w:styleId="417">
    <w:name w:val="Table Text"/>
    <w:basedOn w:val="1"/>
    <w:link w:val="416"/>
    <w:qFormat/>
    <w:uiPriority w:val="0"/>
    <w:pPr>
      <w:spacing w:before="80" w:after="80" w:line="240" w:lineRule="atLeast"/>
      <w:jc w:val="left"/>
    </w:pPr>
    <w:rPr>
      <w:sz w:val="20"/>
      <w:szCs w:val="21"/>
      <w:lang w:eastAsia="en-US"/>
    </w:rPr>
  </w:style>
  <w:style w:type="character" w:customStyle="1" w:styleId="418">
    <w:name w:val="WW8Num28z2"/>
    <w:qFormat/>
    <w:uiPriority w:val="0"/>
    <w:rPr>
      <w:rFonts w:ascii="StarSymbol" w:hAnsi="StarSymbol" w:cs="StarSymbol"/>
      <w:sz w:val="18"/>
      <w:szCs w:val="18"/>
    </w:rPr>
  </w:style>
  <w:style w:type="character" w:customStyle="1" w:styleId="419">
    <w:name w:val="标题2 Char"/>
    <w:link w:val="420"/>
    <w:qFormat/>
    <w:uiPriority w:val="0"/>
    <w:rPr>
      <w:rFonts w:ascii="宋体" w:hAnsi="宋体"/>
      <w:b/>
      <w:bCs/>
      <w:sz w:val="28"/>
      <w:szCs w:val="28"/>
    </w:rPr>
  </w:style>
  <w:style w:type="paragraph" w:customStyle="1" w:styleId="420">
    <w:name w:val="标题2"/>
    <w:basedOn w:val="4"/>
    <w:next w:val="1"/>
    <w:link w:val="419"/>
    <w:qFormat/>
    <w:uiPriority w:val="0"/>
    <w:pPr>
      <w:spacing w:before="0" w:after="0" w:line="360" w:lineRule="auto"/>
      <w:ind w:left="425"/>
      <w:jc w:val="left"/>
    </w:pPr>
    <w:rPr>
      <w:rFonts w:ascii="宋体" w:hAnsi="宋体" w:eastAsia="宋体"/>
      <w:bCs/>
      <w:sz w:val="28"/>
      <w:szCs w:val="28"/>
      <w:lang w:eastAsia="en-US"/>
    </w:rPr>
  </w:style>
  <w:style w:type="character" w:customStyle="1" w:styleId="421">
    <w:name w:val="WW8Num17z1"/>
    <w:qFormat/>
    <w:uiPriority w:val="0"/>
    <w:rPr>
      <w:rFonts w:ascii="Wingdings 2" w:hAnsi="Wingdings 2" w:cs="StarSymbol"/>
      <w:sz w:val="18"/>
      <w:szCs w:val="18"/>
    </w:rPr>
  </w:style>
  <w:style w:type="character" w:customStyle="1" w:styleId="422">
    <w:name w:val="font01"/>
    <w:qFormat/>
    <w:uiPriority w:val="0"/>
    <w:rPr>
      <w:rFonts w:hint="eastAsia" w:ascii="楷体" w:hAnsi="楷体" w:eastAsia="楷体" w:cs="楷体"/>
      <w:color w:val="FF0000"/>
      <w:sz w:val="22"/>
      <w:szCs w:val="22"/>
      <w:u w:val="none"/>
    </w:rPr>
  </w:style>
  <w:style w:type="character" w:customStyle="1" w:styleId="423">
    <w:name w:val="WW8Num23z0"/>
    <w:qFormat/>
    <w:uiPriority w:val="0"/>
    <w:rPr>
      <w:rFonts w:ascii="Wingdings" w:hAnsi="Wingdings" w:cs="StarSymbol"/>
      <w:sz w:val="18"/>
      <w:szCs w:val="18"/>
    </w:rPr>
  </w:style>
  <w:style w:type="character" w:customStyle="1" w:styleId="424">
    <w:name w:val="font21"/>
    <w:qFormat/>
    <w:uiPriority w:val="0"/>
    <w:rPr>
      <w:rFonts w:hint="eastAsia" w:ascii="楷体" w:hAnsi="楷体" w:eastAsia="楷体" w:cs="楷体"/>
      <w:color w:val="000000"/>
      <w:sz w:val="22"/>
      <w:szCs w:val="22"/>
      <w:u w:val="none"/>
    </w:rPr>
  </w:style>
  <w:style w:type="character" w:customStyle="1" w:styleId="425">
    <w:name w:val="Absatz-Standardschriftart"/>
    <w:qFormat/>
    <w:uiPriority w:val="0"/>
  </w:style>
  <w:style w:type="character" w:customStyle="1" w:styleId="426">
    <w:name w:val="批注文字 Char1"/>
    <w:qFormat/>
    <w:uiPriority w:val="0"/>
    <w:rPr>
      <w:rFonts w:ascii="Times New Roman" w:hAnsi="Times New Roman" w:eastAsia="宋体" w:cs="Times New Roman"/>
      <w:szCs w:val="24"/>
    </w:rPr>
  </w:style>
  <w:style w:type="character" w:customStyle="1" w:styleId="427">
    <w:name w:val="WW8Num20z1"/>
    <w:qFormat/>
    <w:uiPriority w:val="0"/>
    <w:rPr>
      <w:rFonts w:ascii="Wingdings 2" w:hAnsi="Wingdings 2" w:cs="StarSymbol"/>
      <w:sz w:val="18"/>
      <w:szCs w:val="18"/>
    </w:rPr>
  </w:style>
  <w:style w:type="character" w:customStyle="1" w:styleId="428">
    <w:name w:val="font31"/>
    <w:qFormat/>
    <w:uiPriority w:val="0"/>
    <w:rPr>
      <w:rFonts w:hint="eastAsia" w:ascii="宋体" w:hAnsi="宋体" w:eastAsia="宋体" w:cs="宋体"/>
      <w:b/>
      <w:color w:val="000000"/>
      <w:sz w:val="24"/>
      <w:szCs w:val="24"/>
      <w:u w:val="none"/>
    </w:rPr>
  </w:style>
  <w:style w:type="character" w:customStyle="1" w:styleId="429">
    <w:name w:val="金宏发行正文 Char Char Char"/>
    <w:qFormat/>
    <w:uiPriority w:val="0"/>
    <w:rPr>
      <w:rFonts w:hint="eastAsia" w:ascii="仿宋_GB2312" w:eastAsia="仿宋_GB2312" w:cs="宋体"/>
      <w:sz w:val="28"/>
    </w:rPr>
  </w:style>
  <w:style w:type="character" w:customStyle="1" w:styleId="430">
    <w:name w:val="se11"/>
    <w:qFormat/>
    <w:uiPriority w:val="0"/>
    <w:rPr>
      <w:rFonts w:ascii="Tahoma" w:hAnsi="Tahoma" w:cs="Times New Roman"/>
      <w:color w:val="000000"/>
      <w:sz w:val="24"/>
      <w:lang w:bidi="ar-SA"/>
    </w:rPr>
  </w:style>
  <w:style w:type="character" w:customStyle="1" w:styleId="431">
    <w:name w:val="WW8Num6z2"/>
    <w:qFormat/>
    <w:uiPriority w:val="0"/>
    <w:rPr>
      <w:rFonts w:ascii="StarSymbol" w:hAnsi="StarSymbol" w:cs="StarSymbol"/>
      <w:sz w:val="18"/>
      <w:szCs w:val="18"/>
    </w:rPr>
  </w:style>
  <w:style w:type="character" w:customStyle="1" w:styleId="432">
    <w:name w:val="模板正文 Char"/>
    <w:link w:val="433"/>
    <w:qFormat/>
    <w:uiPriority w:val="0"/>
    <w:rPr>
      <w:rFonts w:ascii="Calibri" w:hAnsi="Calibri"/>
      <w:sz w:val="28"/>
      <w:szCs w:val="21"/>
    </w:rPr>
  </w:style>
  <w:style w:type="paragraph" w:customStyle="1" w:styleId="433">
    <w:name w:val="模板正文"/>
    <w:basedOn w:val="1"/>
    <w:link w:val="432"/>
    <w:qFormat/>
    <w:uiPriority w:val="0"/>
    <w:pPr>
      <w:spacing w:line="360" w:lineRule="auto"/>
      <w:ind w:firstLine="200"/>
    </w:pPr>
    <w:rPr>
      <w:rFonts w:ascii="Calibri" w:hAnsi="Calibri"/>
      <w:sz w:val="28"/>
      <w:szCs w:val="21"/>
      <w:lang w:eastAsia="en-US"/>
    </w:rPr>
  </w:style>
  <w:style w:type="character" w:customStyle="1" w:styleId="434">
    <w:name w:val="批注框文本 字符1"/>
    <w:qFormat/>
    <w:uiPriority w:val="99"/>
    <w:rPr>
      <w:rFonts w:ascii="Times New Roman" w:hAnsi="Times New Roman" w:eastAsia="方正仿宋_GBK" w:cs="Times New Roman"/>
      <w:sz w:val="18"/>
      <w:szCs w:val="18"/>
    </w:rPr>
  </w:style>
  <w:style w:type="character" w:customStyle="1" w:styleId="435">
    <w:name w:val="标书正文 Char"/>
    <w:link w:val="436"/>
    <w:qFormat/>
    <w:uiPriority w:val="0"/>
    <w:rPr>
      <w:rFonts w:ascii="Calibri" w:hAnsi="Calibri"/>
    </w:rPr>
  </w:style>
  <w:style w:type="paragraph" w:customStyle="1" w:styleId="436">
    <w:name w:val="标书正文"/>
    <w:basedOn w:val="1"/>
    <w:link w:val="435"/>
    <w:qFormat/>
    <w:uiPriority w:val="0"/>
    <w:pPr>
      <w:spacing w:before="120" w:line="360" w:lineRule="auto"/>
      <w:ind w:firstLine="200"/>
    </w:pPr>
    <w:rPr>
      <w:rFonts w:ascii="Calibri" w:hAnsi="Calibri"/>
      <w:sz w:val="20"/>
      <w:szCs w:val="20"/>
      <w:lang w:eastAsia="en-US"/>
    </w:rPr>
  </w:style>
  <w:style w:type="character" w:customStyle="1" w:styleId="437">
    <w:name w:val="二级条标题 字符"/>
    <w:link w:val="438"/>
    <w:qFormat/>
    <w:uiPriority w:val="0"/>
    <w:rPr>
      <w:rFonts w:ascii="黑体" w:eastAsia="黑体"/>
    </w:rPr>
  </w:style>
  <w:style w:type="paragraph" w:customStyle="1" w:styleId="438">
    <w:name w:val="二级条标题"/>
    <w:basedOn w:val="62"/>
    <w:next w:val="64"/>
    <w:link w:val="437"/>
    <w:qFormat/>
    <w:uiPriority w:val="0"/>
    <w:pPr>
      <w:ind w:left="630"/>
      <w:outlineLvl w:val="3"/>
    </w:pPr>
  </w:style>
  <w:style w:type="character" w:customStyle="1" w:styleId="439">
    <w:name w:val="章标题 Char"/>
    <w:link w:val="63"/>
    <w:qFormat/>
    <w:uiPriority w:val="0"/>
    <w:rPr>
      <w:rFonts w:ascii="黑体" w:eastAsia="黑体"/>
      <w:lang w:val="en-US" w:eastAsia="zh-CN" w:bidi="ar-SA"/>
    </w:rPr>
  </w:style>
  <w:style w:type="character" w:customStyle="1" w:styleId="440">
    <w:name w:val="一级条标题 Char Char"/>
    <w:link w:val="62"/>
    <w:qFormat/>
    <w:uiPriority w:val="0"/>
    <w:rPr>
      <w:rFonts w:ascii="黑体" w:eastAsia="黑体"/>
    </w:rPr>
  </w:style>
  <w:style w:type="character" w:customStyle="1" w:styleId="441">
    <w:name w:val="页脚 Char1"/>
    <w:qFormat/>
    <w:uiPriority w:val="0"/>
    <w:rPr>
      <w:sz w:val="18"/>
      <w:szCs w:val="18"/>
    </w:rPr>
  </w:style>
  <w:style w:type="character" w:customStyle="1" w:styleId="442">
    <w:name w:val="WW8Num15z1"/>
    <w:qFormat/>
    <w:uiPriority w:val="0"/>
    <w:rPr>
      <w:rFonts w:ascii="Wingdings 2" w:hAnsi="Wingdings 2" w:cs="StarSymbol"/>
      <w:sz w:val="18"/>
      <w:szCs w:val="18"/>
    </w:rPr>
  </w:style>
  <w:style w:type="character" w:customStyle="1" w:styleId="443">
    <w:name w:val="n正文 Char"/>
    <w:link w:val="444"/>
    <w:qFormat/>
    <w:uiPriority w:val="0"/>
    <w:rPr>
      <w:rFonts w:ascii="等线" w:hAnsi="等线" w:eastAsia="仿宋_GB2312" w:cs="Arial"/>
      <w:color w:val="000000"/>
      <w:sz w:val="28"/>
      <w:szCs w:val="28"/>
      <w:lang w:val="en-US" w:eastAsia="zh-CN" w:bidi="ar-SA"/>
    </w:rPr>
  </w:style>
  <w:style w:type="paragraph" w:customStyle="1" w:styleId="444">
    <w:name w:val="n正文"/>
    <w:link w:val="443"/>
    <w:qFormat/>
    <w:uiPriority w:val="0"/>
    <w:pPr>
      <w:spacing w:line="360" w:lineRule="auto"/>
      <w:ind w:firstLine="200"/>
    </w:pPr>
    <w:rPr>
      <w:rFonts w:hint="default" w:ascii="等线" w:hAnsi="等线" w:eastAsia="仿宋_GB2312" w:cs="Arial"/>
      <w:color w:val="000000"/>
      <w:sz w:val="28"/>
      <w:szCs w:val="28"/>
      <w:lang w:val="en-US" w:eastAsia="zh-CN" w:bidi="ar-SA"/>
    </w:rPr>
  </w:style>
  <w:style w:type="character" w:customStyle="1" w:styleId="445">
    <w:name w:val="Table Text Char1"/>
    <w:qFormat/>
    <w:uiPriority w:val="0"/>
    <w:rPr>
      <w:sz w:val="21"/>
      <w:szCs w:val="21"/>
    </w:rPr>
  </w:style>
  <w:style w:type="character" w:customStyle="1" w:styleId="446">
    <w:name w:val="正文文本缩进 Char1"/>
    <w:qFormat/>
    <w:uiPriority w:val="0"/>
    <w:rPr>
      <w:rFonts w:ascii="Calibri" w:hAnsi="Calibri" w:eastAsia="宋体" w:cs="Times New Roman"/>
    </w:rPr>
  </w:style>
  <w:style w:type="character" w:customStyle="1" w:styleId="447">
    <w:name w:val="文章正文 Char"/>
    <w:qFormat/>
    <w:uiPriority w:val="0"/>
    <w:rPr>
      <w:rFonts w:ascii="Calibri" w:hAnsi="Calibri"/>
      <w:sz w:val="21"/>
      <w:szCs w:val="24"/>
    </w:rPr>
  </w:style>
  <w:style w:type="character" w:customStyle="1" w:styleId="448">
    <w:name w:val="GEO正文 Char"/>
    <w:link w:val="449"/>
    <w:qFormat/>
    <w:uiPriority w:val="0"/>
    <w:rPr>
      <w:rFonts w:eastAsia="仿宋_GB2312"/>
      <w:sz w:val="28"/>
    </w:rPr>
  </w:style>
  <w:style w:type="paragraph" w:customStyle="1" w:styleId="449">
    <w:name w:val="GEO正文"/>
    <w:basedOn w:val="1"/>
    <w:link w:val="448"/>
    <w:qFormat/>
    <w:uiPriority w:val="0"/>
    <w:pPr>
      <w:spacing w:line="360" w:lineRule="auto"/>
      <w:ind w:firstLine="200"/>
    </w:pPr>
    <w:rPr>
      <w:rFonts w:eastAsia="仿宋_GB2312"/>
      <w:sz w:val="28"/>
      <w:szCs w:val="20"/>
      <w:lang w:eastAsia="en-US"/>
    </w:rPr>
  </w:style>
  <w:style w:type="character" w:customStyle="1" w:styleId="450">
    <w:name w:val="WW8Num35z1"/>
    <w:qFormat/>
    <w:uiPriority w:val="0"/>
    <w:rPr>
      <w:rFonts w:ascii="Wingdings 2" w:hAnsi="Wingdings 2" w:cs="StarSymbol"/>
      <w:sz w:val="18"/>
      <w:szCs w:val="18"/>
    </w:rPr>
  </w:style>
  <w:style w:type="character" w:customStyle="1" w:styleId="451">
    <w:name w:val="页眉 Char1"/>
    <w:qFormat/>
    <w:uiPriority w:val="0"/>
    <w:rPr>
      <w:sz w:val="18"/>
      <w:szCs w:val="18"/>
    </w:rPr>
  </w:style>
  <w:style w:type="character" w:customStyle="1" w:styleId="452">
    <w:name w:val="WW8Num34z1"/>
    <w:qFormat/>
    <w:uiPriority w:val="0"/>
    <w:rPr>
      <w:rFonts w:ascii="Wingdings 2" w:hAnsi="Wingdings 2" w:cs="StarSymbol"/>
      <w:sz w:val="18"/>
      <w:szCs w:val="18"/>
    </w:rPr>
  </w:style>
  <w:style w:type="character" w:customStyle="1" w:styleId="453">
    <w:name w:val="文档结构图 Char1"/>
    <w:qFormat/>
    <w:uiPriority w:val="0"/>
    <w:rPr>
      <w:rFonts w:ascii="宋体" w:hAnsi="Calibri" w:eastAsia="宋体" w:cs="Times New Roman"/>
      <w:sz w:val="18"/>
      <w:szCs w:val="18"/>
    </w:rPr>
  </w:style>
  <w:style w:type="character" w:customStyle="1" w:styleId="454">
    <w:name w:val="WW8Num21z0"/>
    <w:qFormat/>
    <w:uiPriority w:val="0"/>
    <w:rPr>
      <w:rFonts w:ascii="Wingdings" w:hAnsi="Wingdings" w:cs="StarSymbol"/>
      <w:sz w:val="18"/>
      <w:szCs w:val="18"/>
    </w:rPr>
  </w:style>
  <w:style w:type="character" w:customStyle="1" w:styleId="455">
    <w:name w:val="页脚 Char2"/>
    <w:qFormat/>
    <w:uiPriority w:val="99"/>
    <w:rPr>
      <w:sz w:val="18"/>
      <w:szCs w:val="18"/>
    </w:rPr>
  </w:style>
  <w:style w:type="character" w:customStyle="1" w:styleId="456">
    <w:name w:val="WW8Num1z1"/>
    <w:qFormat/>
    <w:uiPriority w:val="0"/>
    <w:rPr>
      <w:rFonts w:ascii="Wingdings" w:hAnsi="Wingdings"/>
    </w:rPr>
  </w:style>
  <w:style w:type="character" w:customStyle="1" w:styleId="457">
    <w:name w:val="批注主题 Char1"/>
    <w:qFormat/>
    <w:uiPriority w:val="0"/>
    <w:rPr>
      <w:rFonts w:ascii="Calibri" w:hAnsi="Calibri" w:eastAsia="宋体" w:cs="Times New Roman"/>
      <w:b/>
      <w:bCs/>
      <w:sz w:val="21"/>
      <w:szCs w:val="22"/>
    </w:rPr>
  </w:style>
  <w:style w:type="character" w:customStyle="1" w:styleId="458">
    <w:name w:val="我的图表标题 Char"/>
    <w:qFormat/>
    <w:uiPriority w:val="0"/>
    <w:rPr>
      <w:rFonts w:ascii="Cambria" w:hAnsi="Cambria" w:eastAsia="黑体" w:cs="宋体"/>
      <w:sz w:val="24"/>
    </w:rPr>
  </w:style>
  <w:style w:type="character" w:customStyle="1" w:styleId="459">
    <w:name w:val="页眉 Char2"/>
    <w:qFormat/>
    <w:uiPriority w:val="99"/>
    <w:rPr>
      <w:sz w:val="18"/>
      <w:szCs w:val="18"/>
    </w:rPr>
  </w:style>
  <w:style w:type="character" w:customStyle="1" w:styleId="460">
    <w:name w:val="WW8Num14z2"/>
    <w:qFormat/>
    <w:uiPriority w:val="0"/>
    <w:rPr>
      <w:rFonts w:ascii="StarSymbol" w:hAnsi="StarSymbol" w:cs="StarSymbol"/>
      <w:sz w:val="18"/>
      <w:szCs w:val="18"/>
    </w:rPr>
  </w:style>
  <w:style w:type="character" w:customStyle="1" w:styleId="461">
    <w:name w:val="正文文本缩进 2 Char1"/>
    <w:qFormat/>
    <w:uiPriority w:val="0"/>
    <w:rPr>
      <w:rFonts w:ascii="Calibri" w:hAnsi="Calibri" w:eastAsia="宋体" w:cs="Times New Roman"/>
    </w:rPr>
  </w:style>
  <w:style w:type="character" w:customStyle="1" w:styleId="462">
    <w:name w:val="不明显强调1"/>
    <w:qFormat/>
    <w:uiPriority w:val="0"/>
    <w:rPr>
      <w:i/>
      <w:iCs/>
      <w:color w:val="808080"/>
    </w:rPr>
  </w:style>
  <w:style w:type="character" w:customStyle="1" w:styleId="463">
    <w:name w:val="正文文本缩进 3 Char1"/>
    <w:qFormat/>
    <w:uiPriority w:val="0"/>
    <w:rPr>
      <w:rFonts w:ascii="Calibri" w:hAnsi="Calibri" w:eastAsia="宋体" w:cs="Times New Roman"/>
      <w:sz w:val="16"/>
      <w:szCs w:val="16"/>
    </w:rPr>
  </w:style>
  <w:style w:type="character" w:customStyle="1" w:styleId="464">
    <w:name w:val="批注文字 字符1"/>
    <w:qFormat/>
    <w:uiPriority w:val="0"/>
    <w:rPr>
      <w:rFonts w:ascii="Times New Roman" w:hAnsi="Times New Roman" w:eastAsia="方正仿宋_GBK" w:cs="Times New Roman"/>
      <w:sz w:val="24"/>
      <w:szCs w:val="24"/>
    </w:rPr>
  </w:style>
  <w:style w:type="character" w:customStyle="1" w:styleId="465">
    <w:name w:val="纯文本 Char2"/>
    <w:qFormat/>
    <w:uiPriority w:val="0"/>
    <w:rPr>
      <w:rFonts w:ascii="宋体" w:hAnsi="Courier New" w:eastAsia="宋体" w:cs="Courier New"/>
      <w:szCs w:val="21"/>
    </w:rPr>
  </w:style>
  <w:style w:type="character" w:customStyle="1" w:styleId="466">
    <w:name w:val="WW8Num19z1"/>
    <w:qFormat/>
    <w:uiPriority w:val="0"/>
    <w:rPr>
      <w:rFonts w:ascii="Wingdings" w:hAnsi="Wingdings"/>
    </w:rPr>
  </w:style>
  <w:style w:type="character" w:customStyle="1" w:styleId="467">
    <w:name w:val="正文文本缩进 Char2"/>
    <w:semiHidden/>
    <w:qFormat/>
    <w:uiPriority w:val="99"/>
    <w:rPr>
      <w:sz w:val="21"/>
      <w:szCs w:val="22"/>
    </w:rPr>
  </w:style>
  <w:style w:type="character" w:customStyle="1" w:styleId="468">
    <w:name w:val="WW8Num14z7"/>
    <w:qFormat/>
    <w:uiPriority w:val="0"/>
    <w:rPr>
      <w:rFonts w:ascii="Wingdings" w:hAnsi="Wingdings"/>
    </w:rPr>
  </w:style>
  <w:style w:type="character" w:customStyle="1" w:styleId="469">
    <w:name w:val="正文文本缩进 2 Char2"/>
    <w:semiHidden/>
    <w:qFormat/>
    <w:uiPriority w:val="99"/>
    <w:rPr>
      <w:sz w:val="21"/>
      <w:szCs w:val="22"/>
    </w:rPr>
  </w:style>
  <w:style w:type="character" w:customStyle="1" w:styleId="470">
    <w:name w:val="WW8Num23z1"/>
    <w:qFormat/>
    <w:uiPriority w:val="0"/>
    <w:rPr>
      <w:rFonts w:ascii="Wingdings 2" w:hAnsi="Wingdings 2" w:cs="StarSymbol"/>
      <w:sz w:val="18"/>
      <w:szCs w:val="18"/>
    </w:rPr>
  </w:style>
  <w:style w:type="character" w:customStyle="1" w:styleId="471">
    <w:name w:val="批注框文本 Char1"/>
    <w:qFormat/>
    <w:uiPriority w:val="0"/>
    <w:rPr>
      <w:sz w:val="18"/>
      <w:szCs w:val="18"/>
    </w:rPr>
  </w:style>
  <w:style w:type="character" w:customStyle="1" w:styleId="472">
    <w:name w:val="WW8Num3z2"/>
    <w:qFormat/>
    <w:uiPriority w:val="0"/>
    <w:rPr>
      <w:rFonts w:ascii="StarSymbol" w:hAnsi="StarSymbol" w:cs="StarSymbol"/>
      <w:sz w:val="18"/>
      <w:szCs w:val="18"/>
    </w:rPr>
  </w:style>
  <w:style w:type="character" w:customStyle="1" w:styleId="473">
    <w:name w:val="文档结构图 Char2"/>
    <w:qFormat/>
    <w:uiPriority w:val="99"/>
    <w:rPr>
      <w:rFonts w:ascii="宋体"/>
      <w:sz w:val="18"/>
      <w:szCs w:val="18"/>
    </w:rPr>
  </w:style>
  <w:style w:type="character" w:customStyle="1" w:styleId="474">
    <w:name w:val="样式 InfoBlue + 倾斜 Char"/>
    <w:qFormat/>
    <w:uiPriority w:val="0"/>
    <w:rPr>
      <w:color w:val="0000FF"/>
      <w:sz w:val="21"/>
    </w:rPr>
  </w:style>
  <w:style w:type="character" w:customStyle="1" w:styleId="475">
    <w:name w:val="批注文字 Char2"/>
    <w:qFormat/>
    <w:uiPriority w:val="0"/>
    <w:rPr>
      <w:sz w:val="21"/>
      <w:szCs w:val="22"/>
    </w:rPr>
  </w:style>
  <w:style w:type="character" w:customStyle="1" w:styleId="476">
    <w:name w:val="批注主题 Char2"/>
    <w:qFormat/>
    <w:uiPriority w:val="0"/>
    <w:rPr>
      <w:b/>
      <w:bCs/>
      <w:sz w:val="21"/>
      <w:szCs w:val="22"/>
    </w:rPr>
  </w:style>
  <w:style w:type="character" w:customStyle="1" w:styleId="477">
    <w:name w:val="Char Char6"/>
    <w:qFormat/>
    <w:uiPriority w:val="0"/>
    <w:rPr>
      <w:b/>
      <w:bCs/>
      <w:sz w:val="44"/>
      <w:szCs w:val="44"/>
    </w:rPr>
  </w:style>
  <w:style w:type="character" w:customStyle="1" w:styleId="478">
    <w:name w:val="p0 Char"/>
    <w:link w:val="479"/>
    <w:qFormat/>
    <w:uiPriority w:val="0"/>
    <w:rPr>
      <w:szCs w:val="21"/>
    </w:rPr>
  </w:style>
  <w:style w:type="paragraph" w:customStyle="1" w:styleId="479">
    <w:name w:val="p0"/>
    <w:basedOn w:val="1"/>
    <w:link w:val="478"/>
    <w:qFormat/>
    <w:uiPriority w:val="0"/>
    <w:pPr>
      <w:widowControl/>
    </w:pPr>
    <w:rPr>
      <w:sz w:val="20"/>
      <w:szCs w:val="21"/>
      <w:lang w:eastAsia="en-US"/>
    </w:rPr>
  </w:style>
  <w:style w:type="character" w:customStyle="1" w:styleId="480">
    <w:name w:val="脚注文本 Char3"/>
    <w:qFormat/>
    <w:uiPriority w:val="0"/>
    <w:rPr>
      <w:rFonts w:ascii="Calibri" w:hAnsi="Calibri"/>
      <w:sz w:val="18"/>
      <w:szCs w:val="18"/>
    </w:rPr>
  </w:style>
  <w:style w:type="character" w:customStyle="1" w:styleId="481">
    <w:name w:val="标准文本 Char"/>
    <w:link w:val="482"/>
    <w:qFormat/>
    <w:uiPriority w:val="0"/>
    <w:rPr>
      <w:rFonts w:cs="宋体"/>
      <w:szCs w:val="21"/>
    </w:rPr>
  </w:style>
  <w:style w:type="paragraph" w:customStyle="1" w:styleId="482">
    <w:name w:val="标准文本"/>
    <w:basedOn w:val="1"/>
    <w:link w:val="481"/>
    <w:qFormat/>
    <w:uiPriority w:val="0"/>
    <w:pPr>
      <w:spacing w:line="360" w:lineRule="auto"/>
      <w:ind w:firstLine="420"/>
    </w:pPr>
    <w:rPr>
      <w:sz w:val="20"/>
      <w:szCs w:val="21"/>
      <w:lang w:eastAsia="en-US"/>
    </w:rPr>
  </w:style>
  <w:style w:type="character" w:customStyle="1" w:styleId="483">
    <w:name w:val="无间隔 Char"/>
    <w:link w:val="484"/>
    <w:qFormat/>
    <w:uiPriority w:val="0"/>
    <w:rPr>
      <w:rFonts w:ascii="Calibri" w:hAnsi="Calibri" w:eastAsia="Arial" w:cs="Arial"/>
      <w:sz w:val="21"/>
      <w:szCs w:val="22"/>
      <w:lang w:val="en-US" w:eastAsia="zh-CN" w:bidi="ar-SA"/>
    </w:rPr>
  </w:style>
  <w:style w:type="paragraph" w:customStyle="1" w:styleId="484">
    <w:name w:val="无间隔1"/>
    <w:link w:val="483"/>
    <w:qFormat/>
    <w:uiPriority w:val="0"/>
    <w:pPr>
      <w:widowControl w:val="0"/>
      <w:jc w:val="both"/>
    </w:pPr>
    <w:rPr>
      <w:rFonts w:hint="default" w:ascii="Calibri" w:hAnsi="Calibri" w:eastAsia="Arial" w:cs="Arial"/>
      <w:sz w:val="21"/>
      <w:szCs w:val="22"/>
      <w:lang w:val="en-US" w:eastAsia="zh-CN" w:bidi="ar-SA"/>
    </w:rPr>
  </w:style>
  <w:style w:type="character" w:customStyle="1" w:styleId="485">
    <w:name w:val="页码1"/>
    <w:basedOn w:val="75"/>
    <w:qFormat/>
    <w:uiPriority w:val="0"/>
  </w:style>
  <w:style w:type="character" w:customStyle="1" w:styleId="486">
    <w:name w:val="11111 Char"/>
    <w:qFormat/>
    <w:uiPriority w:val="0"/>
    <w:rPr>
      <w:rFonts w:hint="eastAsia" w:ascii="宋体" w:hAnsi="宋体" w:eastAsia="宋体" w:cs="宋体"/>
      <w:color w:val="000000"/>
      <w:sz w:val="24"/>
      <w:szCs w:val="24"/>
      <w:lang w:val="zh-CN"/>
    </w:rPr>
  </w:style>
  <w:style w:type="character" w:customStyle="1" w:styleId="487">
    <w:name w:val="正文文本 Char1"/>
    <w:qFormat/>
    <w:uiPriority w:val="0"/>
    <w:rPr>
      <w:rFonts w:ascii="Times New Roman" w:hAnsi="Times New Roman" w:eastAsia="宋体" w:cs="Times New Roman"/>
      <w:szCs w:val="24"/>
    </w:rPr>
  </w:style>
  <w:style w:type="character" w:customStyle="1" w:styleId="488">
    <w:name w:val="WW8Num26z1"/>
    <w:qFormat/>
    <w:uiPriority w:val="0"/>
    <w:rPr>
      <w:rFonts w:ascii="Wingdings 2" w:hAnsi="Wingdings 2" w:cs="StarSymbol"/>
      <w:sz w:val="18"/>
      <w:szCs w:val="18"/>
    </w:rPr>
  </w:style>
  <w:style w:type="character" w:customStyle="1" w:styleId="489">
    <w:name w:val="font51"/>
    <w:basedOn w:val="32"/>
    <w:qFormat/>
    <w:uiPriority w:val="0"/>
    <w:rPr>
      <w:rFonts w:ascii="Arial" w:hAnsi="Arial" w:cs="Arial"/>
      <w:color w:val="000000"/>
      <w:sz w:val="20"/>
      <w:szCs w:val="20"/>
      <w:u w:val="none"/>
    </w:rPr>
  </w:style>
  <w:style w:type="character" w:customStyle="1" w:styleId="490">
    <w:name w:val="WW8Num25z0"/>
    <w:qFormat/>
    <w:uiPriority w:val="0"/>
    <w:rPr>
      <w:rFonts w:ascii="Wingdings" w:hAnsi="Wingdings" w:cs="StarSymbol"/>
      <w:sz w:val="18"/>
      <w:szCs w:val="18"/>
    </w:rPr>
  </w:style>
  <w:style w:type="character" w:customStyle="1" w:styleId="491">
    <w:name w:val="paramlista1"/>
    <w:qFormat/>
    <w:uiPriority w:val="0"/>
    <w:rPr>
      <w:rFonts w:ascii="Calibri" w:hAnsi="Calibri" w:eastAsia="宋体" w:cs="Times New Roman"/>
      <w:sz w:val="18"/>
      <w:szCs w:val="18"/>
    </w:rPr>
  </w:style>
  <w:style w:type="character" w:customStyle="1" w:styleId="492">
    <w:name w:val="high-light-bg4"/>
    <w:qFormat/>
    <w:uiPriority w:val="0"/>
  </w:style>
  <w:style w:type="character" w:customStyle="1" w:styleId="493">
    <w:name w:val="Char Char201"/>
    <w:qFormat/>
    <w:uiPriority w:val="0"/>
    <w:rPr>
      <w:rFonts w:ascii="楷体_GB2312" w:eastAsia="楷体_GB2312"/>
      <w:sz w:val="28"/>
    </w:rPr>
  </w:style>
  <w:style w:type="character" w:customStyle="1" w:styleId="494">
    <w:name w:val="页脚 字符1"/>
    <w:qFormat/>
    <w:uiPriority w:val="99"/>
    <w:rPr>
      <w:rFonts w:ascii="Times New Roman" w:hAnsi="Times New Roman" w:eastAsia="方正仿宋_GBK" w:cs="Times New Roman"/>
      <w:sz w:val="18"/>
      <w:szCs w:val="18"/>
    </w:rPr>
  </w:style>
  <w:style w:type="character" w:customStyle="1" w:styleId="495">
    <w:name w:val="font41"/>
    <w:qFormat/>
    <w:uiPriority w:val="0"/>
    <w:rPr>
      <w:rFonts w:hint="eastAsia" w:ascii="宋体" w:hAnsi="宋体" w:eastAsia="宋体" w:cs="宋体"/>
      <w:color w:val="000000"/>
      <w:sz w:val="20"/>
      <w:szCs w:val="20"/>
      <w:u w:val="none"/>
    </w:rPr>
  </w:style>
  <w:style w:type="character" w:customStyle="1" w:styleId="496">
    <w:name w:val="WW8Num38z0"/>
    <w:qFormat/>
    <w:uiPriority w:val="0"/>
    <w:rPr>
      <w:rFonts w:ascii="Wingdings" w:hAnsi="Wingdings" w:cs="StarSymbol"/>
      <w:sz w:val="18"/>
      <w:szCs w:val="18"/>
    </w:rPr>
  </w:style>
  <w:style w:type="character" w:customStyle="1" w:styleId="497">
    <w:name w:val="+正文 Char3"/>
    <w:link w:val="498"/>
    <w:qFormat/>
    <w:uiPriority w:val="0"/>
    <w:rPr>
      <w:sz w:val="28"/>
    </w:rPr>
  </w:style>
  <w:style w:type="paragraph" w:customStyle="1" w:styleId="498">
    <w:name w:val="+正文"/>
    <w:basedOn w:val="1"/>
    <w:link w:val="497"/>
    <w:qFormat/>
    <w:uiPriority w:val="0"/>
    <w:pPr>
      <w:spacing w:line="360" w:lineRule="auto"/>
      <w:ind w:firstLine="200"/>
    </w:pPr>
    <w:rPr>
      <w:sz w:val="28"/>
      <w:szCs w:val="20"/>
      <w:lang w:eastAsia="en-US"/>
    </w:rPr>
  </w:style>
  <w:style w:type="character" w:customStyle="1" w:styleId="499">
    <w:name w:val="正文文本 3 字符1"/>
    <w:qFormat/>
    <w:uiPriority w:val="99"/>
    <w:rPr>
      <w:rFonts w:ascii="Times New Roman" w:hAnsi="Times New Roman" w:eastAsia="方正仿宋_GBK" w:cs="Times New Roman"/>
      <w:sz w:val="16"/>
      <w:szCs w:val="16"/>
    </w:rPr>
  </w:style>
  <w:style w:type="character" w:customStyle="1" w:styleId="500">
    <w:name w:val="Char Char171"/>
    <w:qFormat/>
    <w:uiPriority w:val="0"/>
    <w:rPr>
      <w:rFonts w:ascii="Arial" w:hAnsi="Arial" w:eastAsia="黑体"/>
      <w:b/>
      <w:spacing w:val="-2"/>
      <w:position w:val="-6"/>
      <w:sz w:val="24"/>
    </w:rPr>
  </w:style>
  <w:style w:type="character" w:customStyle="1" w:styleId="501">
    <w:name w:val="style241"/>
    <w:qFormat/>
    <w:uiPriority w:val="0"/>
    <w:rPr>
      <w:rFonts w:hint="eastAsia" w:ascii="宋体" w:hAnsi="宋体" w:eastAsia="宋体"/>
      <w:color w:val="333333"/>
      <w:lang w:val="en-US" w:eastAsia="zh-CN" w:bidi="ar-SA"/>
    </w:rPr>
  </w:style>
  <w:style w:type="character" w:customStyle="1" w:styleId="502">
    <w:name w:val="fontstyle01"/>
    <w:qFormat/>
    <w:uiPriority w:val="0"/>
    <w:rPr>
      <w:rFonts w:ascii="楷体" w:hAnsi="楷体"/>
      <w:color w:val="000000"/>
      <w:sz w:val="24"/>
      <w:szCs w:val="24"/>
    </w:rPr>
  </w:style>
  <w:style w:type="character" w:customStyle="1" w:styleId="503">
    <w:name w:val="Numbering Symbols"/>
    <w:qFormat/>
    <w:uiPriority w:val="0"/>
  </w:style>
  <w:style w:type="character" w:customStyle="1" w:styleId="504">
    <w:name w:val="标题 1 Char1"/>
    <w:qFormat/>
    <w:uiPriority w:val="0"/>
    <w:rPr>
      <w:b/>
      <w:sz w:val="44"/>
    </w:rPr>
  </w:style>
  <w:style w:type="character" w:customStyle="1" w:styleId="505">
    <w:name w:val="引用 Char1"/>
    <w:qFormat/>
    <w:uiPriority w:val="29"/>
    <w:rPr>
      <w:i/>
      <w:iCs/>
      <w:color w:val="404040"/>
      <w:sz w:val="21"/>
    </w:rPr>
  </w:style>
  <w:style w:type="character" w:customStyle="1" w:styleId="506">
    <w:name w:val="Char Char181"/>
    <w:qFormat/>
    <w:uiPriority w:val="0"/>
    <w:rPr>
      <w:rFonts w:ascii="宋体"/>
      <w:b/>
      <w:spacing w:val="-2"/>
      <w:position w:val="-6"/>
      <w:sz w:val="28"/>
    </w:rPr>
  </w:style>
  <w:style w:type="character" w:customStyle="1" w:styleId="507">
    <w:name w:val="Table Heading Char"/>
    <w:qFormat/>
    <w:uiPriority w:val="0"/>
    <w:rPr>
      <w:rFonts w:ascii="Book Antiqua" w:hAnsi="Book Antiqua" w:eastAsia="黑体"/>
      <w:bCs/>
      <w:sz w:val="21"/>
      <w:szCs w:val="21"/>
    </w:rPr>
  </w:style>
  <w:style w:type="character" w:customStyle="1" w:styleId="508">
    <w:name w:val="Char Char151"/>
    <w:qFormat/>
    <w:uiPriority w:val="0"/>
    <w:rPr>
      <w:rFonts w:ascii="Arial" w:hAnsi="Arial" w:eastAsia="黑体"/>
      <w:spacing w:val="-2"/>
      <w:position w:val="-6"/>
      <w:sz w:val="24"/>
    </w:rPr>
  </w:style>
  <w:style w:type="character" w:customStyle="1" w:styleId="509">
    <w:name w:val="WW8Num14z1"/>
    <w:qFormat/>
    <w:uiPriority w:val="0"/>
    <w:rPr>
      <w:rFonts w:ascii="Wingdings 2" w:hAnsi="Wingdings 2" w:cs="StarSymbol"/>
      <w:sz w:val="18"/>
      <w:szCs w:val="18"/>
    </w:rPr>
  </w:style>
  <w:style w:type="character" w:customStyle="1" w:styleId="510">
    <w:name w:val="font111"/>
    <w:qFormat/>
    <w:uiPriority w:val="0"/>
    <w:rPr>
      <w:rFonts w:hint="eastAsia" w:ascii="宋体" w:hAnsi="宋体" w:eastAsia="宋体" w:cs="宋体"/>
      <w:color w:val="000000"/>
      <w:sz w:val="21"/>
      <w:szCs w:val="21"/>
      <w:u w:val="none"/>
    </w:rPr>
  </w:style>
  <w:style w:type="character" w:customStyle="1" w:styleId="511">
    <w:name w:val="样式2 Char"/>
    <w:qFormat/>
    <w:uiPriority w:val="0"/>
    <w:rPr>
      <w:rFonts w:hint="eastAsia" w:ascii="方正仿宋_GBK" w:eastAsia="方正仿宋_GBK"/>
      <w:bCs/>
      <w:sz w:val="32"/>
      <w:szCs w:val="24"/>
    </w:rPr>
  </w:style>
  <w:style w:type="character" w:customStyle="1" w:styleId="512">
    <w:name w:val="Char Char18"/>
    <w:qFormat/>
    <w:uiPriority w:val="0"/>
    <w:rPr>
      <w:rFonts w:ascii="宋体"/>
      <w:b/>
      <w:spacing w:val="-2"/>
      <w:position w:val="-6"/>
      <w:sz w:val="28"/>
    </w:rPr>
  </w:style>
  <w:style w:type="character" w:customStyle="1" w:styleId="513">
    <w:name w:val="WW8Num25z7"/>
    <w:qFormat/>
    <w:uiPriority w:val="0"/>
    <w:rPr>
      <w:rFonts w:ascii="Wingdings" w:hAnsi="Wingdings"/>
    </w:rPr>
  </w:style>
  <w:style w:type="character" w:customStyle="1" w:styleId="514">
    <w:name w:val="font71"/>
    <w:qFormat/>
    <w:uiPriority w:val="0"/>
    <w:rPr>
      <w:rFonts w:ascii="Arial" w:hAnsi="Arial" w:cs="Arial"/>
      <w:color w:val="000000"/>
      <w:sz w:val="20"/>
      <w:szCs w:val="20"/>
      <w:u w:val="none"/>
    </w:rPr>
  </w:style>
  <w:style w:type="character" w:customStyle="1" w:styleId="515">
    <w:name w:val="WW8Num8z0"/>
    <w:qFormat/>
    <w:uiPriority w:val="0"/>
    <w:rPr>
      <w:rFonts w:ascii="Wingdings" w:hAnsi="Wingdings" w:cs="StarSymbol"/>
      <w:sz w:val="18"/>
      <w:szCs w:val="18"/>
    </w:rPr>
  </w:style>
  <w:style w:type="character" w:customStyle="1" w:styleId="516">
    <w:name w:val="页码2"/>
    <w:basedOn w:val="75"/>
    <w:qFormat/>
    <w:uiPriority w:val="0"/>
  </w:style>
  <w:style w:type="character" w:customStyle="1" w:styleId="517">
    <w:name w:val="WW8Num12z0"/>
    <w:qFormat/>
    <w:uiPriority w:val="0"/>
    <w:rPr>
      <w:rFonts w:ascii="Wingdings" w:hAnsi="Wingdings" w:cs="StarSymbol"/>
      <w:sz w:val="18"/>
      <w:szCs w:val="18"/>
    </w:rPr>
  </w:style>
  <w:style w:type="character" w:customStyle="1" w:styleId="518">
    <w:name w:val="方案文档 Char"/>
    <w:link w:val="519"/>
    <w:qFormat/>
    <w:uiPriority w:val="0"/>
    <w:rPr>
      <w:rFonts w:ascii="等线" w:hAnsi="等线" w:eastAsia="Arial" w:cs="Arial"/>
      <w:sz w:val="24"/>
      <w:szCs w:val="24"/>
      <w:lang w:val="en-US" w:eastAsia="zh-CN" w:bidi="ar-SA"/>
    </w:rPr>
  </w:style>
  <w:style w:type="paragraph" w:customStyle="1" w:styleId="519">
    <w:name w:val="方案文档"/>
    <w:link w:val="518"/>
    <w:qFormat/>
    <w:uiPriority w:val="0"/>
    <w:pPr>
      <w:spacing w:line="360" w:lineRule="auto"/>
      <w:ind w:firstLine="200"/>
    </w:pPr>
    <w:rPr>
      <w:rFonts w:hint="default" w:ascii="等线" w:hAnsi="等线" w:eastAsia="Arial" w:cs="Arial"/>
      <w:sz w:val="24"/>
      <w:szCs w:val="24"/>
      <w:lang w:val="en-US" w:eastAsia="zh-CN" w:bidi="ar-SA"/>
    </w:rPr>
  </w:style>
  <w:style w:type="character" w:customStyle="1" w:styleId="520">
    <w:name w:val="称呼 Char3"/>
    <w:qFormat/>
    <w:uiPriority w:val="0"/>
    <w:rPr>
      <w:rFonts w:ascii="Arial" w:hAnsi="Arial" w:eastAsia="方正仿宋_GBK" w:cs="Arial"/>
    </w:rPr>
  </w:style>
  <w:style w:type="character" w:customStyle="1" w:styleId="521">
    <w:name w:val="font141"/>
    <w:basedOn w:val="32"/>
    <w:qFormat/>
    <w:uiPriority w:val="0"/>
    <w:rPr>
      <w:rFonts w:hint="eastAsia" w:ascii="宋体" w:hAnsi="宋体" w:eastAsia="宋体" w:cs="宋体"/>
      <w:color w:val="000000"/>
      <w:sz w:val="20"/>
      <w:szCs w:val="20"/>
      <w:u w:val="none"/>
    </w:rPr>
  </w:style>
  <w:style w:type="character" w:customStyle="1" w:styleId="522">
    <w:name w:val="WW8Num13z2"/>
    <w:qFormat/>
    <w:uiPriority w:val="0"/>
    <w:rPr>
      <w:rFonts w:ascii="StarSymbol" w:hAnsi="StarSymbol" w:cs="StarSymbol"/>
      <w:sz w:val="18"/>
      <w:szCs w:val="18"/>
    </w:rPr>
  </w:style>
  <w:style w:type="character" w:customStyle="1" w:styleId="523">
    <w:name w:val="项目编号B Char"/>
    <w:link w:val="524"/>
    <w:qFormat/>
    <w:uiPriority w:val="0"/>
    <w:rPr>
      <w:rFonts w:ascii="等线" w:hAnsi="等线" w:eastAsia="Arial" w:cs="Arial"/>
      <w:sz w:val="24"/>
      <w:szCs w:val="24"/>
      <w:lang w:val="en-US" w:eastAsia="zh-CN" w:bidi="ar-SA"/>
    </w:rPr>
  </w:style>
  <w:style w:type="paragraph" w:customStyle="1" w:styleId="524">
    <w:name w:val="项目编号B"/>
    <w:link w:val="523"/>
    <w:qFormat/>
    <w:uiPriority w:val="0"/>
    <w:pPr>
      <w:tabs>
        <w:tab w:val="left" w:pos="432"/>
        <w:tab w:val="left" w:pos="960"/>
        <w:tab w:val="left" w:pos="1120"/>
        <w:tab w:val="left" w:pos="1260"/>
      </w:tabs>
      <w:spacing w:line="360" w:lineRule="auto"/>
      <w:ind w:firstLine="400"/>
    </w:pPr>
    <w:rPr>
      <w:rFonts w:hint="default" w:ascii="等线" w:hAnsi="等线" w:eastAsia="Arial" w:cs="Arial"/>
      <w:sz w:val="24"/>
      <w:szCs w:val="24"/>
      <w:lang w:val="en-US" w:eastAsia="zh-CN" w:bidi="ar-SA"/>
    </w:rPr>
  </w:style>
  <w:style w:type="character" w:customStyle="1" w:styleId="525">
    <w:name w:val="WW8Num33z1"/>
    <w:qFormat/>
    <w:uiPriority w:val="0"/>
    <w:rPr>
      <w:rFonts w:ascii="Wingdings 2" w:hAnsi="Wingdings 2" w:cs="StarSymbol"/>
      <w:sz w:val="18"/>
      <w:szCs w:val="18"/>
    </w:rPr>
  </w:style>
  <w:style w:type="character" w:customStyle="1" w:styleId="526">
    <w:name w:val="项目编号A Char Char"/>
    <w:link w:val="527"/>
    <w:qFormat/>
    <w:uiPriority w:val="0"/>
    <w:rPr>
      <w:rFonts w:ascii="等线" w:hAnsi="等线" w:eastAsia="Arial" w:cs="Arial"/>
      <w:sz w:val="24"/>
      <w:szCs w:val="24"/>
      <w:lang w:val="en-US" w:eastAsia="zh-CN" w:bidi="ar-SA"/>
    </w:rPr>
  </w:style>
  <w:style w:type="paragraph" w:customStyle="1" w:styleId="527">
    <w:name w:val="项目编号A"/>
    <w:link w:val="526"/>
    <w:qFormat/>
    <w:uiPriority w:val="0"/>
    <w:pPr>
      <w:tabs>
        <w:tab w:val="left" w:pos="840"/>
      </w:tabs>
      <w:spacing w:line="360" w:lineRule="auto"/>
    </w:pPr>
    <w:rPr>
      <w:rFonts w:hint="default" w:ascii="等线" w:hAnsi="等线" w:eastAsia="Arial" w:cs="Arial"/>
      <w:sz w:val="24"/>
      <w:szCs w:val="24"/>
      <w:lang w:val="en-US" w:eastAsia="zh-CN" w:bidi="ar-SA"/>
    </w:rPr>
  </w:style>
  <w:style w:type="character" w:customStyle="1" w:styleId="528">
    <w:name w:val="style11"/>
    <w:qFormat/>
    <w:uiPriority w:val="0"/>
    <w:rPr>
      <w:color w:val="FF0000"/>
    </w:rPr>
  </w:style>
  <w:style w:type="character" w:customStyle="1" w:styleId="529">
    <w:name w:val="Char Char15"/>
    <w:qFormat/>
    <w:uiPriority w:val="0"/>
    <w:rPr>
      <w:rFonts w:ascii="Arial" w:hAnsi="Arial" w:eastAsia="黑体"/>
      <w:spacing w:val="-2"/>
      <w:position w:val="-6"/>
      <w:sz w:val="24"/>
    </w:rPr>
  </w:style>
  <w:style w:type="character" w:customStyle="1" w:styleId="530">
    <w:name w:val="WW8Num14z0"/>
    <w:qFormat/>
    <w:uiPriority w:val="0"/>
    <w:rPr>
      <w:rFonts w:ascii="Wingdings" w:hAnsi="Wingdings" w:cs="StarSymbol"/>
      <w:sz w:val="18"/>
      <w:szCs w:val="18"/>
    </w:rPr>
  </w:style>
  <w:style w:type="character" w:customStyle="1" w:styleId="531">
    <w:name w:val="Char Char17"/>
    <w:qFormat/>
    <w:uiPriority w:val="0"/>
    <w:rPr>
      <w:rFonts w:ascii="Arial" w:hAnsi="Arial" w:eastAsia="黑体"/>
      <w:b/>
      <w:spacing w:val="-2"/>
      <w:position w:val="-6"/>
      <w:sz w:val="24"/>
    </w:rPr>
  </w:style>
  <w:style w:type="character" w:customStyle="1" w:styleId="532">
    <w:name w:val="表格内容 Char"/>
    <w:qFormat/>
    <w:uiPriority w:val="0"/>
    <w:rPr>
      <w:rFonts w:hint="eastAsia" w:ascii="微软雅黑" w:hAnsi="微软雅黑" w:eastAsia="微软雅黑"/>
      <w:sz w:val="18"/>
      <w:szCs w:val="24"/>
      <w:lang w:val="en-GB"/>
    </w:rPr>
  </w:style>
  <w:style w:type="character" w:customStyle="1" w:styleId="533">
    <w:name w:val="武汉表格 Char"/>
    <w:link w:val="534"/>
    <w:qFormat/>
    <w:uiPriority w:val="0"/>
    <w:rPr>
      <w:rFonts w:eastAsia="黑体"/>
      <w:szCs w:val="21"/>
    </w:rPr>
  </w:style>
  <w:style w:type="paragraph" w:customStyle="1" w:styleId="534">
    <w:name w:val="武汉表格"/>
    <w:basedOn w:val="1"/>
    <w:link w:val="533"/>
    <w:qFormat/>
    <w:uiPriority w:val="0"/>
    <w:rPr>
      <w:rFonts w:eastAsia="黑体"/>
      <w:sz w:val="20"/>
      <w:szCs w:val="21"/>
      <w:lang w:eastAsia="en-US"/>
    </w:rPr>
  </w:style>
  <w:style w:type="character" w:customStyle="1" w:styleId="535">
    <w:name w:val="WW8Num12z1"/>
    <w:qFormat/>
    <w:uiPriority w:val="0"/>
    <w:rPr>
      <w:rFonts w:ascii="Wingdings 2" w:hAnsi="Wingdings 2" w:cs="StarSymbol"/>
      <w:sz w:val="18"/>
      <w:szCs w:val="18"/>
    </w:rPr>
  </w:style>
  <w:style w:type="character" w:customStyle="1" w:styleId="536">
    <w:name w:val="Char Char20"/>
    <w:qFormat/>
    <w:uiPriority w:val="0"/>
    <w:rPr>
      <w:rFonts w:ascii="楷体_GB2312" w:eastAsia="楷体_GB2312"/>
      <w:sz w:val="28"/>
    </w:rPr>
  </w:style>
  <w:style w:type="character" w:customStyle="1" w:styleId="537">
    <w:name w:val="con_text1"/>
    <w:qFormat/>
    <w:uiPriority w:val="0"/>
  </w:style>
  <w:style w:type="character" w:customStyle="1" w:styleId="538">
    <w:name w:val="批注引用2"/>
    <w:qFormat/>
    <w:uiPriority w:val="0"/>
    <w:rPr>
      <w:sz w:val="21"/>
      <w:szCs w:val="21"/>
    </w:rPr>
  </w:style>
  <w:style w:type="character" w:customStyle="1" w:styleId="539">
    <w:name w:val="WW8Num5z2"/>
    <w:qFormat/>
    <w:uiPriority w:val="0"/>
    <w:rPr>
      <w:rFonts w:ascii="StarSymbol" w:hAnsi="StarSymbol" w:cs="StarSymbol"/>
      <w:sz w:val="18"/>
      <w:szCs w:val="18"/>
    </w:rPr>
  </w:style>
  <w:style w:type="character" w:customStyle="1" w:styleId="540">
    <w:name w:val="正文缩进 Char2"/>
    <w:qFormat/>
    <w:uiPriority w:val="0"/>
    <w:rPr>
      <w:rFonts w:eastAsia="宋体"/>
      <w:sz w:val="21"/>
      <w:lang w:val="en-US" w:eastAsia="zh-CN" w:bidi="ar-SA"/>
    </w:rPr>
  </w:style>
  <w:style w:type="character" w:customStyle="1" w:styleId="541">
    <w:name w:val="正文首行缩进 Char2 Char1 Char Char1 Char2 Char Char Char Char Char Char Char Char Char Char Char"/>
    <w:qFormat/>
    <w:uiPriority w:val="0"/>
    <w:rPr>
      <w:rFonts w:ascii="Arial" w:hAnsi="Arial" w:eastAsia="宋体" w:cs="Arial"/>
      <w:b/>
      <w:sz w:val="21"/>
      <w:szCs w:val="21"/>
      <w:lang w:val="en-US" w:eastAsia="zh-CN" w:bidi="ar-SA"/>
    </w:rPr>
  </w:style>
  <w:style w:type="character" w:customStyle="1" w:styleId="542">
    <w:name w:val="Char Char16"/>
    <w:qFormat/>
    <w:uiPriority w:val="0"/>
    <w:rPr>
      <w:rFonts w:ascii="宋体"/>
      <w:b/>
      <w:spacing w:val="-2"/>
      <w:position w:val="-6"/>
      <w:sz w:val="24"/>
    </w:rPr>
  </w:style>
  <w:style w:type="character" w:customStyle="1" w:styleId="543">
    <w:name w:val="批注主题 字符1"/>
    <w:qFormat/>
    <w:uiPriority w:val="99"/>
    <w:rPr>
      <w:rFonts w:ascii="Times New Roman" w:hAnsi="Times New Roman" w:eastAsia="方正仿宋_GBK" w:cs="Times New Roman"/>
      <w:b/>
      <w:bCs/>
      <w:sz w:val="24"/>
      <w:szCs w:val="24"/>
    </w:rPr>
  </w:style>
  <w:style w:type="character" w:customStyle="1" w:styleId="544">
    <w:name w:val="Char Char161"/>
    <w:qFormat/>
    <w:uiPriority w:val="0"/>
    <w:rPr>
      <w:rFonts w:ascii="宋体"/>
      <w:b/>
      <w:spacing w:val="-2"/>
      <w:position w:val="-6"/>
      <w:sz w:val="24"/>
    </w:rPr>
  </w:style>
  <w:style w:type="character" w:customStyle="1" w:styleId="545">
    <w:name w:val="引用 Char"/>
    <w:qFormat/>
    <w:uiPriority w:val="0"/>
    <w:rPr>
      <w:rFonts w:ascii="Times New Roman" w:hAnsi="Times New Roman" w:eastAsia="方正仿宋_GBK" w:cs="Times New Roman"/>
      <w:i/>
      <w:iCs/>
      <w:color w:val="000000"/>
      <w:sz w:val="24"/>
      <w:szCs w:val="20"/>
    </w:rPr>
  </w:style>
  <w:style w:type="character" w:customStyle="1" w:styleId="546">
    <w:name w:val="标题 3 Char1"/>
    <w:qFormat/>
    <w:uiPriority w:val="0"/>
    <w:rPr>
      <w:b/>
      <w:sz w:val="32"/>
    </w:rPr>
  </w:style>
  <w:style w:type="character" w:customStyle="1" w:styleId="547">
    <w:name w:val="InfoBlue Char"/>
    <w:qFormat/>
    <w:uiPriority w:val="0"/>
    <w:rPr>
      <w:color w:val="0000FF"/>
      <w:sz w:val="21"/>
    </w:rPr>
  </w:style>
  <w:style w:type="character" w:customStyle="1" w:styleId="548">
    <w:name w:val="副标题 Char3"/>
    <w:qFormat/>
    <w:uiPriority w:val="0"/>
    <w:rPr>
      <w:b/>
      <w:bCs/>
      <w:sz w:val="32"/>
      <w:szCs w:val="32"/>
    </w:rPr>
  </w:style>
  <w:style w:type="character" w:customStyle="1" w:styleId="549">
    <w:name w:val="title_orange1"/>
    <w:qFormat/>
    <w:uiPriority w:val="0"/>
    <w:rPr>
      <w:b/>
      <w:bCs/>
      <w:color w:val="CC6600"/>
      <w:sz w:val="33"/>
      <w:szCs w:val="33"/>
      <w:u w:val="none"/>
    </w:rPr>
  </w:style>
  <w:style w:type="character" w:customStyle="1" w:styleId="550">
    <w:name w:val="font61"/>
    <w:qFormat/>
    <w:uiPriority w:val="0"/>
    <w:rPr>
      <w:rFonts w:ascii="Arial" w:hAnsi="Arial" w:cs="Arial"/>
      <w:b/>
      <w:color w:val="000000"/>
      <w:sz w:val="20"/>
      <w:szCs w:val="20"/>
      <w:u w:val="none"/>
    </w:rPr>
  </w:style>
  <w:style w:type="character" w:customStyle="1" w:styleId="551">
    <w:name w:val="Char Char191"/>
    <w:qFormat/>
    <w:uiPriority w:val="0"/>
    <w:rPr>
      <w:rFonts w:ascii="Arial" w:hAnsi="Arial" w:eastAsia="黑体"/>
      <w:b/>
      <w:bCs/>
      <w:sz w:val="28"/>
      <w:szCs w:val="28"/>
    </w:rPr>
  </w:style>
  <w:style w:type="character" w:customStyle="1" w:styleId="552">
    <w:name w:val="WW8Num33z0"/>
    <w:qFormat/>
    <w:uiPriority w:val="0"/>
    <w:rPr>
      <w:rFonts w:ascii="Wingdings" w:hAnsi="Wingdings" w:cs="StarSymbol"/>
      <w:sz w:val="18"/>
      <w:szCs w:val="18"/>
    </w:rPr>
  </w:style>
  <w:style w:type="character" w:customStyle="1" w:styleId="553">
    <w:name w:val="font91"/>
    <w:qFormat/>
    <w:uiPriority w:val="0"/>
    <w:rPr>
      <w:rFonts w:hint="eastAsia" w:ascii="宋体" w:hAnsi="宋体" w:eastAsia="宋体" w:cs="宋体"/>
      <w:color w:val="000000"/>
      <w:sz w:val="20"/>
      <w:szCs w:val="20"/>
      <w:u w:val="none"/>
    </w:rPr>
  </w:style>
  <w:style w:type="character" w:customStyle="1" w:styleId="554">
    <w:name w:val="op_dict_text21"/>
    <w:qFormat/>
    <w:uiPriority w:val="0"/>
  </w:style>
  <w:style w:type="character" w:customStyle="1" w:styleId="555">
    <w:name w:val="normal91"/>
    <w:qFormat/>
    <w:uiPriority w:val="0"/>
    <w:rPr>
      <w:rFonts w:ascii="Calibri" w:hAnsi="Calibri" w:eastAsia="宋体" w:cs="Times New Roman"/>
      <w:sz w:val="20"/>
      <w:szCs w:val="20"/>
    </w:rPr>
  </w:style>
  <w:style w:type="character" w:customStyle="1" w:styleId="556">
    <w:name w:val="WW8Num18z1"/>
    <w:qFormat/>
    <w:uiPriority w:val="0"/>
    <w:rPr>
      <w:rFonts w:ascii="Wingdings 2" w:hAnsi="Wingdings 2" w:cs="StarSymbol"/>
      <w:sz w:val="18"/>
      <w:szCs w:val="18"/>
    </w:rPr>
  </w:style>
  <w:style w:type="character" w:customStyle="1" w:styleId="557">
    <w:name w:val="font121"/>
    <w:qFormat/>
    <w:uiPriority w:val="0"/>
    <w:rPr>
      <w:rFonts w:hint="eastAsia" w:ascii="宋体" w:hAnsi="宋体" w:eastAsia="宋体" w:cs="宋体"/>
      <w:b/>
      <w:color w:val="000000"/>
      <w:sz w:val="20"/>
      <w:szCs w:val="20"/>
      <w:u w:val="none"/>
    </w:rPr>
  </w:style>
  <w:style w:type="character" w:customStyle="1" w:styleId="558">
    <w:name w:val="标题 4 Char1"/>
    <w:qFormat/>
    <w:uiPriority w:val="0"/>
    <w:rPr>
      <w:rFonts w:ascii="Cambria" w:hAnsi="Cambria" w:eastAsia="宋体" w:cs="Times New Roman"/>
      <w:b/>
      <w:bCs/>
      <w:sz w:val="28"/>
      <w:szCs w:val="28"/>
    </w:rPr>
  </w:style>
  <w:style w:type="character" w:customStyle="1" w:styleId="559">
    <w:name w:val="Char Char19"/>
    <w:qFormat/>
    <w:uiPriority w:val="0"/>
    <w:rPr>
      <w:rFonts w:ascii="Arial" w:hAnsi="Arial" w:eastAsia="黑体"/>
      <w:b/>
      <w:bCs/>
      <w:sz w:val="28"/>
      <w:szCs w:val="28"/>
    </w:rPr>
  </w:style>
  <w:style w:type="character" w:customStyle="1" w:styleId="560">
    <w:name w:val="标题 9 字符1"/>
    <w:qFormat/>
    <w:uiPriority w:val="9"/>
    <w:rPr>
      <w:rFonts w:ascii="Arial" w:hAnsi="Arial" w:eastAsia="黑体" w:cs="Times New Roman"/>
      <w:sz w:val="24"/>
      <w:szCs w:val="21"/>
    </w:rPr>
  </w:style>
  <w:style w:type="character" w:customStyle="1" w:styleId="561">
    <w:name w:val="font131"/>
    <w:basedOn w:val="32"/>
    <w:qFormat/>
    <w:uiPriority w:val="0"/>
    <w:rPr>
      <w:rFonts w:hint="eastAsia" w:ascii="宋体" w:hAnsi="宋体" w:eastAsia="宋体" w:cs="宋体"/>
      <w:color w:val="000000"/>
      <w:sz w:val="18"/>
      <w:szCs w:val="18"/>
      <w:u w:val="none"/>
    </w:rPr>
  </w:style>
  <w:style w:type="character" w:customStyle="1" w:styleId="562">
    <w:name w:val="标题G Char"/>
    <w:qFormat/>
    <w:uiPriority w:val="0"/>
    <w:rPr>
      <w:rFonts w:hint="eastAsia" w:ascii="方正小标宋_GBK" w:hAnsi="方正小标宋_GBK" w:eastAsia="方正小标宋_GBK"/>
      <w:color w:val="000000"/>
      <w:spacing w:val="-20"/>
      <w:sz w:val="44"/>
      <w:szCs w:val="52"/>
    </w:rPr>
  </w:style>
  <w:style w:type="character" w:customStyle="1" w:styleId="563">
    <w:name w:val="批注引用1"/>
    <w:qFormat/>
    <w:uiPriority w:val="0"/>
    <w:rPr>
      <w:sz w:val="21"/>
      <w:szCs w:val="21"/>
    </w:rPr>
  </w:style>
  <w:style w:type="character" w:customStyle="1" w:styleId="564">
    <w:name w:val="WW-Absatz-Standardschriftart111"/>
    <w:qFormat/>
    <w:uiPriority w:val="0"/>
  </w:style>
  <w:style w:type="character" w:customStyle="1" w:styleId="565">
    <w:name w:val="font81"/>
    <w:basedOn w:val="32"/>
    <w:qFormat/>
    <w:uiPriority w:val="0"/>
    <w:rPr>
      <w:rFonts w:hint="eastAsia" w:ascii="宋体" w:hAnsi="宋体" w:eastAsia="宋体" w:cs="宋体"/>
      <w:b/>
      <w:color w:val="000000"/>
      <w:sz w:val="20"/>
      <w:szCs w:val="20"/>
      <w:u w:val="none"/>
    </w:rPr>
  </w:style>
  <w:style w:type="character" w:customStyle="1" w:styleId="566">
    <w:name w:val="m1"/>
    <w:qFormat/>
    <w:uiPriority w:val="0"/>
    <w:rPr>
      <w:rFonts w:hint="eastAsia" w:ascii="宋体" w:hAnsi="宋体" w:eastAsia="宋体"/>
      <w:color w:val="0000FF"/>
      <w:lang w:val="en-US" w:eastAsia="zh-CN" w:bidi="ar-SA"/>
    </w:rPr>
  </w:style>
  <w:style w:type="character" w:customStyle="1" w:styleId="567">
    <w:name w:val="表格 Char Char"/>
    <w:link w:val="568"/>
    <w:qFormat/>
    <w:uiPriority w:val="0"/>
    <w:rPr>
      <w:rFonts w:ascii="Arial" w:hAnsi="Arial"/>
      <w:sz w:val="24"/>
      <w:szCs w:val="24"/>
    </w:rPr>
  </w:style>
  <w:style w:type="paragraph" w:customStyle="1" w:styleId="568">
    <w:name w:val="表格"/>
    <w:basedOn w:val="1"/>
    <w:link w:val="567"/>
    <w:qFormat/>
    <w:uiPriority w:val="0"/>
    <w:rPr>
      <w:rFonts w:ascii="Arial" w:hAnsi="Arial"/>
      <w:sz w:val="24"/>
      <w:lang w:eastAsia="en-US"/>
    </w:rPr>
  </w:style>
  <w:style w:type="character" w:customStyle="1" w:styleId="569">
    <w:name w:val="WW8Num21z2"/>
    <w:qFormat/>
    <w:uiPriority w:val="0"/>
    <w:rPr>
      <w:rFonts w:ascii="StarSymbol" w:hAnsi="StarSymbol" w:cs="StarSymbol"/>
      <w:sz w:val="18"/>
      <w:szCs w:val="18"/>
    </w:rPr>
  </w:style>
  <w:style w:type="character" w:customStyle="1" w:styleId="570">
    <w:name w:val="副标题 Char1"/>
    <w:qFormat/>
    <w:uiPriority w:val="0"/>
    <w:rPr>
      <w:rFonts w:ascii="Cambria" w:hAnsi="Cambria" w:cs="Times New Roman"/>
      <w:b/>
      <w:bCs/>
      <w:sz w:val="32"/>
      <w:szCs w:val="32"/>
    </w:rPr>
  </w:style>
  <w:style w:type="character" w:customStyle="1" w:styleId="571">
    <w:name w:val="atitle31"/>
    <w:qFormat/>
    <w:uiPriority w:val="0"/>
    <w:rPr>
      <w:rFonts w:ascii="Arial" w:hAnsi="Arial" w:cs="Arial"/>
      <w:b/>
      <w:bCs/>
      <w:sz w:val="29"/>
      <w:szCs w:val="29"/>
    </w:rPr>
  </w:style>
  <w:style w:type="character" w:customStyle="1" w:styleId="572">
    <w:name w:val="副标题 Char2"/>
    <w:qFormat/>
    <w:uiPriority w:val="0"/>
    <w:rPr>
      <w:rFonts w:ascii="Cambria" w:hAnsi="Cambria" w:cs="Times New Roman"/>
      <w:b/>
      <w:bCs/>
      <w:sz w:val="32"/>
      <w:szCs w:val="32"/>
    </w:rPr>
  </w:style>
  <w:style w:type="character" w:customStyle="1" w:styleId="573">
    <w:name w:val="WW8Num21z1"/>
    <w:qFormat/>
    <w:uiPriority w:val="0"/>
    <w:rPr>
      <w:rFonts w:ascii="Wingdings" w:hAnsi="Wingdings"/>
    </w:rPr>
  </w:style>
  <w:style w:type="character" w:customStyle="1" w:styleId="574">
    <w:name w:val="font191"/>
    <w:qFormat/>
    <w:uiPriority w:val="0"/>
    <w:rPr>
      <w:rFonts w:ascii="Arial" w:hAnsi="Arial" w:cs="Arial"/>
      <w:b/>
      <w:color w:val="000000"/>
      <w:sz w:val="20"/>
      <w:szCs w:val="20"/>
      <w:u w:val="none"/>
    </w:rPr>
  </w:style>
  <w:style w:type="character" w:customStyle="1" w:styleId="575">
    <w:name w:val="MM Topic 2 Char"/>
    <w:link w:val="576"/>
    <w:qFormat/>
    <w:uiPriority w:val="0"/>
    <w:rPr>
      <w:rFonts w:ascii="Cambria" w:hAnsi="Cambria"/>
      <w:b/>
      <w:bCs/>
      <w:sz w:val="32"/>
      <w:szCs w:val="32"/>
      <w:lang w:val="zh-CN"/>
    </w:rPr>
  </w:style>
  <w:style w:type="paragraph" w:customStyle="1" w:styleId="576">
    <w:name w:val="MM Topic 2"/>
    <w:basedOn w:val="4"/>
    <w:link w:val="575"/>
    <w:qFormat/>
    <w:uiPriority w:val="0"/>
    <w:pPr>
      <w:tabs>
        <w:tab w:val="left" w:pos="0"/>
        <w:tab w:val="left" w:pos="420"/>
        <w:tab w:val="left" w:pos="840"/>
      </w:tabs>
      <w:ind w:left="840" w:hanging="420"/>
      <w:jc w:val="both"/>
    </w:pPr>
    <w:rPr>
      <w:rFonts w:ascii="Cambria" w:hAnsi="Cambria" w:eastAsia="宋体"/>
      <w:bCs/>
      <w:sz w:val="32"/>
      <w:szCs w:val="32"/>
      <w:lang w:val="zh-CN" w:eastAsia="en-US"/>
    </w:rPr>
  </w:style>
  <w:style w:type="character" w:customStyle="1" w:styleId="577">
    <w:name w:val="注释标题 Char"/>
    <w:qFormat/>
    <w:uiPriority w:val="0"/>
    <w:rPr>
      <w:sz w:val="21"/>
      <w:szCs w:val="24"/>
    </w:rPr>
  </w:style>
  <w:style w:type="character" w:customStyle="1" w:styleId="578">
    <w:name w:val="页眉 字符1"/>
    <w:qFormat/>
    <w:uiPriority w:val="0"/>
    <w:rPr>
      <w:rFonts w:ascii="Times New Roman" w:hAnsi="Times New Roman" w:eastAsia="方正仿宋_GBK" w:cs="Times New Roman"/>
      <w:sz w:val="18"/>
      <w:szCs w:val="18"/>
    </w:rPr>
  </w:style>
  <w:style w:type="character" w:customStyle="1" w:styleId="579">
    <w:name w:val="称呼 Char"/>
    <w:qFormat/>
    <w:uiPriority w:val="0"/>
    <w:rPr>
      <w:sz w:val="21"/>
      <w:szCs w:val="24"/>
    </w:rPr>
  </w:style>
  <w:style w:type="character" w:customStyle="1" w:styleId="580">
    <w:name w:val="WW8Num16z2"/>
    <w:qFormat/>
    <w:uiPriority w:val="0"/>
    <w:rPr>
      <w:rFonts w:ascii="StarSymbol" w:hAnsi="StarSymbol" w:cs="StarSymbol"/>
      <w:sz w:val="18"/>
      <w:szCs w:val="18"/>
    </w:rPr>
  </w:style>
  <w:style w:type="character" w:customStyle="1" w:styleId="581">
    <w:name w:val="HTML 地址 Char"/>
    <w:qFormat/>
    <w:uiPriority w:val="0"/>
    <w:rPr>
      <w:i/>
      <w:iCs/>
      <w:sz w:val="21"/>
      <w:szCs w:val="24"/>
    </w:rPr>
  </w:style>
  <w:style w:type="character" w:customStyle="1" w:styleId="582">
    <w:name w:val="WW8Num22z0"/>
    <w:qFormat/>
    <w:uiPriority w:val="0"/>
    <w:rPr>
      <w:rFonts w:ascii="Wingdings" w:hAnsi="Wingdings" w:cs="StarSymbol"/>
      <w:sz w:val="18"/>
      <w:szCs w:val="18"/>
    </w:rPr>
  </w:style>
  <w:style w:type="character" w:customStyle="1" w:styleId="583">
    <w:name w:val="尾注文本 Char1"/>
    <w:qFormat/>
    <w:uiPriority w:val="0"/>
    <w:rPr>
      <w:szCs w:val="24"/>
      <w:lang w:val="zh-CN"/>
    </w:rPr>
  </w:style>
  <w:style w:type="character" w:customStyle="1" w:styleId="584">
    <w:name w:val="WW8Num18z0"/>
    <w:qFormat/>
    <w:uiPriority w:val="0"/>
    <w:rPr>
      <w:rFonts w:ascii="Wingdings" w:hAnsi="Wingdings" w:cs="StarSymbol"/>
      <w:sz w:val="18"/>
      <w:szCs w:val="18"/>
    </w:rPr>
  </w:style>
  <w:style w:type="character" w:customStyle="1" w:styleId="585">
    <w:name w:val="HTML 预设格式 Char"/>
    <w:qFormat/>
    <w:uiPriority w:val="99"/>
    <w:rPr>
      <w:rFonts w:ascii="Courier New" w:hAnsi="Courier New" w:cs="Courier New"/>
    </w:rPr>
  </w:style>
  <w:style w:type="character" w:customStyle="1" w:styleId="586">
    <w:name w:val="WW8Num27z2"/>
    <w:qFormat/>
    <w:uiPriority w:val="0"/>
    <w:rPr>
      <w:rFonts w:ascii="StarSymbol" w:hAnsi="StarSymbol" w:cs="StarSymbol"/>
      <w:sz w:val="18"/>
      <w:szCs w:val="18"/>
    </w:rPr>
  </w:style>
  <w:style w:type="character" w:customStyle="1" w:styleId="587">
    <w:name w:val="正文首行缩进 2 Char"/>
    <w:qFormat/>
    <w:uiPriority w:val="0"/>
    <w:rPr>
      <w:rFonts w:ascii="楷体_GB2312" w:eastAsia="楷体_GB2312"/>
      <w:sz w:val="21"/>
      <w:szCs w:val="24"/>
    </w:rPr>
  </w:style>
  <w:style w:type="character" w:customStyle="1" w:styleId="588">
    <w:name w:val="atitle21"/>
    <w:qFormat/>
    <w:uiPriority w:val="0"/>
    <w:rPr>
      <w:rFonts w:ascii="Arial" w:hAnsi="Arial" w:cs="Arial"/>
      <w:b/>
      <w:bCs/>
      <w:sz w:val="35"/>
      <w:szCs w:val="35"/>
    </w:rPr>
  </w:style>
  <w:style w:type="character" w:customStyle="1" w:styleId="589">
    <w:name w:val="标题 1 Char2"/>
    <w:qFormat/>
    <w:uiPriority w:val="0"/>
    <w:rPr>
      <w:rFonts w:ascii="Times New Roman" w:hAnsi="Times New Roman" w:eastAsia="宋体" w:cs="Times New Roman"/>
      <w:b/>
      <w:bCs/>
      <w:sz w:val="32"/>
      <w:szCs w:val="28"/>
    </w:rPr>
  </w:style>
  <w:style w:type="character" w:customStyle="1" w:styleId="590">
    <w:name w:val="op_dict3_lineone_result_tip"/>
    <w:qFormat/>
    <w:uiPriority w:val="0"/>
    <w:rPr>
      <w:color w:val="999999"/>
    </w:rPr>
  </w:style>
  <w:style w:type="character" w:customStyle="1" w:styleId="591">
    <w:name w:val="标题 2 Char2"/>
    <w:qFormat/>
    <w:uiPriority w:val="0"/>
    <w:rPr>
      <w:rFonts w:ascii="Times New Roman" w:hAnsi="Times New Roman" w:eastAsia="宋体" w:cs="Times New Roman"/>
      <w:b/>
      <w:bCs/>
      <w:sz w:val="30"/>
      <w:szCs w:val="32"/>
    </w:rPr>
  </w:style>
  <w:style w:type="character" w:customStyle="1" w:styleId="592">
    <w:name w:val="标题 3 Char2"/>
    <w:qFormat/>
    <w:uiPriority w:val="0"/>
    <w:rPr>
      <w:rFonts w:ascii="Times New Roman" w:hAnsi="Times New Roman" w:eastAsia="宋体" w:cs="Times New Roman"/>
      <w:b/>
      <w:bCs/>
      <w:sz w:val="28"/>
      <w:szCs w:val="18"/>
    </w:rPr>
  </w:style>
  <w:style w:type="character" w:customStyle="1" w:styleId="593">
    <w:name w:val="WW8Num9z2"/>
    <w:qFormat/>
    <w:uiPriority w:val="0"/>
    <w:rPr>
      <w:rFonts w:ascii="StarSymbol" w:hAnsi="StarSymbol" w:cs="StarSymbol"/>
      <w:sz w:val="18"/>
      <w:szCs w:val="18"/>
    </w:rPr>
  </w:style>
  <w:style w:type="character" w:customStyle="1" w:styleId="594">
    <w:name w:val="标题 4 Char2"/>
    <w:qFormat/>
    <w:uiPriority w:val="0"/>
    <w:rPr>
      <w:rFonts w:ascii="Times New Roman" w:hAnsi="Times New Roman" w:eastAsia="宋体" w:cs="Times New Roman"/>
      <w:b/>
      <w:bCs/>
      <w:sz w:val="24"/>
      <w:szCs w:val="28"/>
    </w:rPr>
  </w:style>
  <w:style w:type="character" w:customStyle="1" w:styleId="595">
    <w:name w:val="WW8Num13z1"/>
    <w:qFormat/>
    <w:uiPriority w:val="0"/>
    <w:rPr>
      <w:rFonts w:ascii="Wingdings 2" w:hAnsi="Wingdings 2" w:cs="StarSymbol"/>
      <w:sz w:val="18"/>
      <w:szCs w:val="18"/>
    </w:rPr>
  </w:style>
  <w:style w:type="character" w:customStyle="1" w:styleId="596">
    <w:name w:val="标题 5 Char2"/>
    <w:qFormat/>
    <w:uiPriority w:val="0"/>
    <w:rPr>
      <w:rFonts w:ascii="Times New Roman" w:hAnsi="Times New Roman" w:eastAsia="宋体" w:cs="Times New Roman"/>
      <w:b/>
      <w:bCs/>
      <w:sz w:val="21"/>
      <w:szCs w:val="28"/>
      <w:lang w:val="zh-CN"/>
    </w:rPr>
  </w:style>
  <w:style w:type="character" w:customStyle="1" w:styleId="597">
    <w:name w:val="WW8Num15z7"/>
    <w:qFormat/>
    <w:uiPriority w:val="0"/>
    <w:rPr>
      <w:rFonts w:ascii="Wingdings" w:hAnsi="Wingdings"/>
    </w:rPr>
  </w:style>
  <w:style w:type="character" w:customStyle="1" w:styleId="598">
    <w:name w:val="标题 6 Char2"/>
    <w:qFormat/>
    <w:uiPriority w:val="0"/>
    <w:rPr>
      <w:rFonts w:ascii="Cambria" w:hAnsi="Cambria" w:eastAsia="宋体" w:cs="Times New Roman"/>
      <w:b/>
      <w:bCs/>
      <w:sz w:val="24"/>
      <w:szCs w:val="24"/>
      <w:lang w:val="zh-CN"/>
    </w:rPr>
  </w:style>
  <w:style w:type="character" w:customStyle="1" w:styleId="599">
    <w:name w:val="WW8Num26z0"/>
    <w:qFormat/>
    <w:uiPriority w:val="0"/>
    <w:rPr>
      <w:rFonts w:ascii="Wingdings" w:hAnsi="Wingdings" w:cs="StarSymbol"/>
      <w:sz w:val="18"/>
      <w:szCs w:val="18"/>
    </w:rPr>
  </w:style>
  <w:style w:type="character" w:customStyle="1" w:styleId="600">
    <w:name w:val="正文文本缩进 Char3"/>
    <w:qFormat/>
    <w:uiPriority w:val="0"/>
    <w:rPr>
      <w:rFonts w:ascii="Times New Roman" w:hAnsi="Times New Roman" w:eastAsia="宋体" w:cs="Times New Roman"/>
      <w:szCs w:val="24"/>
      <w:lang w:val="zh-CN" w:eastAsia="zh-CN"/>
    </w:rPr>
  </w:style>
  <w:style w:type="character" w:customStyle="1" w:styleId="601">
    <w:name w:val="WW8Num26z2"/>
    <w:qFormat/>
    <w:uiPriority w:val="0"/>
    <w:rPr>
      <w:rFonts w:ascii="StarSymbol" w:hAnsi="StarSymbol" w:cs="StarSymbol"/>
      <w:sz w:val="18"/>
      <w:szCs w:val="18"/>
    </w:rPr>
  </w:style>
  <w:style w:type="character" w:customStyle="1" w:styleId="602">
    <w:name w:val="批注框文本 Char3"/>
    <w:qFormat/>
    <w:uiPriority w:val="99"/>
    <w:rPr>
      <w:rFonts w:ascii="Times New Roman" w:hAnsi="Times New Roman" w:eastAsia="宋体" w:cs="Times New Roman"/>
      <w:sz w:val="18"/>
      <w:szCs w:val="18"/>
    </w:rPr>
  </w:style>
  <w:style w:type="character" w:customStyle="1" w:styleId="603">
    <w:name w:val="bz-content"/>
    <w:qFormat/>
    <w:uiPriority w:val="0"/>
  </w:style>
  <w:style w:type="character" w:customStyle="1" w:styleId="604">
    <w:name w:val="标题 Char2"/>
    <w:qFormat/>
    <w:uiPriority w:val="0"/>
    <w:rPr>
      <w:rFonts w:ascii="Cambria" w:hAnsi="Cambria" w:eastAsia="黑体" w:cs="Times New Roman"/>
      <w:b/>
      <w:bCs/>
      <w:sz w:val="52"/>
      <w:szCs w:val="32"/>
    </w:rPr>
  </w:style>
  <w:style w:type="character" w:customStyle="1" w:styleId="605">
    <w:name w:val="标题 字符1"/>
    <w:qFormat/>
    <w:uiPriority w:val="0"/>
    <w:rPr>
      <w:rFonts w:ascii="宋体" w:hAnsi="宋体" w:eastAsia="方正小标宋_GBK" w:cs="Times New Roman"/>
      <w:color w:val="000000"/>
      <w:sz w:val="52"/>
      <w:szCs w:val="52"/>
    </w:rPr>
  </w:style>
  <w:style w:type="character" w:customStyle="1" w:styleId="606">
    <w:name w:val="正文2 字符"/>
    <w:link w:val="607"/>
    <w:qFormat/>
    <w:uiPriority w:val="0"/>
    <w:rPr>
      <w:szCs w:val="24"/>
    </w:rPr>
  </w:style>
  <w:style w:type="paragraph" w:customStyle="1" w:styleId="607">
    <w:name w:val="正文2"/>
    <w:basedOn w:val="1"/>
    <w:link w:val="606"/>
    <w:qFormat/>
    <w:uiPriority w:val="0"/>
    <w:pPr>
      <w:spacing w:line="360" w:lineRule="auto"/>
      <w:ind w:firstLine="420"/>
    </w:pPr>
    <w:rPr>
      <w:sz w:val="20"/>
      <w:lang w:eastAsia="en-US"/>
    </w:rPr>
  </w:style>
  <w:style w:type="character" w:customStyle="1" w:styleId="608">
    <w:name w:val="WW8Num4z2"/>
    <w:qFormat/>
    <w:uiPriority w:val="0"/>
    <w:rPr>
      <w:rFonts w:ascii="StarSymbol" w:hAnsi="StarSymbol" w:cs="StarSymbol"/>
      <w:sz w:val="18"/>
      <w:szCs w:val="18"/>
    </w:rPr>
  </w:style>
  <w:style w:type="character" w:customStyle="1" w:styleId="609">
    <w:name w:val="标题 7 Char2"/>
    <w:qFormat/>
    <w:uiPriority w:val="0"/>
    <w:rPr>
      <w:rFonts w:ascii="Times New Roman" w:hAnsi="Times New Roman" w:eastAsia="宋体" w:cs="Times New Roman"/>
      <w:b/>
      <w:bCs/>
      <w:sz w:val="24"/>
      <w:szCs w:val="24"/>
    </w:rPr>
  </w:style>
  <w:style w:type="character" w:customStyle="1" w:styleId="610">
    <w:name w:val="WW-Absatz-Standardschriftart1"/>
    <w:qFormat/>
    <w:uiPriority w:val="0"/>
  </w:style>
  <w:style w:type="character" w:customStyle="1" w:styleId="611">
    <w:name w:val="标题 9 Char2"/>
    <w:qFormat/>
    <w:uiPriority w:val="0"/>
    <w:rPr>
      <w:rFonts w:ascii="Times New Roman" w:hAnsi="Times New Roman" w:eastAsia="宋体" w:cs="Times New Roman"/>
      <w:b/>
      <w:bCs/>
      <w:sz w:val="30"/>
      <w:szCs w:val="18"/>
    </w:rPr>
  </w:style>
  <w:style w:type="character" w:customStyle="1" w:styleId="612">
    <w:name w:val="WW8Num3z1"/>
    <w:qFormat/>
    <w:uiPriority w:val="0"/>
    <w:rPr>
      <w:rFonts w:ascii="Wingdings 2" w:hAnsi="Wingdings 2" w:cs="StarSymbol"/>
      <w:sz w:val="18"/>
      <w:szCs w:val="18"/>
    </w:rPr>
  </w:style>
  <w:style w:type="character" w:customStyle="1" w:styleId="613">
    <w:name w:val="批注文字 Char3"/>
    <w:qFormat/>
    <w:uiPriority w:val="99"/>
    <w:rPr>
      <w:rFonts w:ascii="Times New Roman" w:hAnsi="Times New Roman" w:eastAsia="宋体" w:cs="Times New Roman"/>
      <w:szCs w:val="24"/>
      <w:lang w:val="zh-CN"/>
    </w:rPr>
  </w:style>
  <w:style w:type="character" w:customStyle="1" w:styleId="614">
    <w:name w:val="WW8Num29z1"/>
    <w:qFormat/>
    <w:uiPriority w:val="0"/>
    <w:rPr>
      <w:rFonts w:ascii="Wingdings 2" w:hAnsi="Wingdings 2" w:cs="StarSymbol"/>
      <w:sz w:val="18"/>
      <w:szCs w:val="18"/>
    </w:rPr>
  </w:style>
  <w:style w:type="character" w:customStyle="1" w:styleId="615">
    <w:name w:val="正文文本 Char3"/>
    <w:qFormat/>
    <w:uiPriority w:val="0"/>
    <w:rPr>
      <w:rFonts w:ascii="Times New Roman" w:hAnsi="Times New Roman" w:eastAsia="宋体" w:cs="Times New Roman"/>
      <w:szCs w:val="24"/>
    </w:rPr>
  </w:style>
  <w:style w:type="character" w:customStyle="1" w:styleId="616">
    <w:name w:val="WW8Num9z1"/>
    <w:qFormat/>
    <w:uiPriority w:val="0"/>
    <w:rPr>
      <w:rFonts w:ascii="Wingdings 2" w:hAnsi="Wingdings 2" w:cs="StarSymbol"/>
      <w:sz w:val="18"/>
      <w:szCs w:val="18"/>
    </w:rPr>
  </w:style>
  <w:style w:type="character" w:customStyle="1" w:styleId="617">
    <w:name w:val="日期 Char3"/>
    <w:qFormat/>
    <w:uiPriority w:val="0"/>
    <w:rPr>
      <w:rFonts w:ascii="Times New Roman" w:hAnsi="Times New Roman" w:eastAsia="宋体" w:cs="Times New Roman"/>
      <w:szCs w:val="24"/>
    </w:rPr>
  </w:style>
  <w:style w:type="character" w:customStyle="1" w:styleId="618">
    <w:name w:val="WW8Num5z1"/>
    <w:qFormat/>
    <w:uiPriority w:val="0"/>
    <w:rPr>
      <w:rFonts w:ascii="Wingdings 2" w:hAnsi="Wingdings 2" w:cs="StarSymbol"/>
      <w:sz w:val="18"/>
      <w:szCs w:val="18"/>
    </w:rPr>
  </w:style>
  <w:style w:type="character" w:customStyle="1" w:styleId="619">
    <w:name w:val="正文首行缩进 Char4"/>
    <w:basedOn w:val="615"/>
    <w:qFormat/>
    <w:uiPriority w:val="0"/>
    <w:rPr>
      <w:rFonts w:ascii="Times New Roman" w:hAnsi="Times New Roman" w:eastAsia="宋体" w:cs="Times New Roman"/>
      <w:szCs w:val="24"/>
    </w:rPr>
  </w:style>
  <w:style w:type="character" w:customStyle="1" w:styleId="620">
    <w:name w:val="标题 4 字符1"/>
    <w:qFormat/>
    <w:uiPriority w:val="9"/>
    <w:rPr>
      <w:rFonts w:ascii="仿宋" w:hAnsi="仿宋" w:eastAsia="仿宋"/>
      <w:b/>
      <w:bCs/>
      <w:sz w:val="32"/>
      <w:szCs w:val="32"/>
    </w:rPr>
  </w:style>
  <w:style w:type="character" w:customStyle="1" w:styleId="621">
    <w:name w:val="正文文本 2 Char2"/>
    <w:qFormat/>
    <w:uiPriority w:val="0"/>
    <w:rPr>
      <w:rFonts w:ascii="Times New Roman" w:hAnsi="Times New Roman" w:eastAsia="宋体" w:cs="Times New Roman"/>
      <w:szCs w:val="24"/>
    </w:rPr>
  </w:style>
  <w:style w:type="character" w:customStyle="1" w:styleId="622">
    <w:name w:val="Bullets"/>
    <w:qFormat/>
    <w:uiPriority w:val="0"/>
    <w:rPr>
      <w:rFonts w:ascii="StarSymbol" w:hAnsi="StarSymbol" w:eastAsia="StarSymbol" w:cs="StarSymbol"/>
      <w:sz w:val="18"/>
      <w:szCs w:val="18"/>
    </w:rPr>
  </w:style>
  <w:style w:type="character" w:customStyle="1" w:styleId="623">
    <w:name w:val="正文文本 3 Char2"/>
    <w:qFormat/>
    <w:uiPriority w:val="0"/>
    <w:rPr>
      <w:rFonts w:ascii="Times New Roman" w:hAnsi="Times New Roman" w:eastAsia="宋体" w:cs="Times New Roman"/>
      <w:sz w:val="16"/>
      <w:szCs w:val="16"/>
    </w:rPr>
  </w:style>
  <w:style w:type="character" w:customStyle="1" w:styleId="624">
    <w:name w:val="WW8Num39z2"/>
    <w:qFormat/>
    <w:uiPriority w:val="0"/>
    <w:rPr>
      <w:rFonts w:ascii="StarSymbol" w:hAnsi="StarSymbol" w:cs="StarSymbol"/>
      <w:sz w:val="18"/>
      <w:szCs w:val="18"/>
    </w:rPr>
  </w:style>
  <w:style w:type="character" w:customStyle="1" w:styleId="625">
    <w:name w:val="正文文本缩进 2 Char3"/>
    <w:qFormat/>
    <w:uiPriority w:val="0"/>
    <w:rPr>
      <w:rFonts w:ascii="Times New Roman" w:hAnsi="Times New Roman" w:eastAsia="楷体_GB2312" w:cs="Times New Roman"/>
      <w:sz w:val="24"/>
      <w:szCs w:val="24"/>
    </w:rPr>
  </w:style>
  <w:style w:type="character" w:customStyle="1" w:styleId="626">
    <w:name w:val="WW8Num11z2"/>
    <w:qFormat/>
    <w:uiPriority w:val="0"/>
    <w:rPr>
      <w:rFonts w:ascii="StarSymbol" w:hAnsi="StarSymbol" w:cs="StarSymbol"/>
      <w:sz w:val="18"/>
      <w:szCs w:val="18"/>
    </w:rPr>
  </w:style>
  <w:style w:type="character" w:customStyle="1" w:styleId="627">
    <w:name w:val="正文文本缩进 3 Char2"/>
    <w:qFormat/>
    <w:uiPriority w:val="0"/>
    <w:rPr>
      <w:rFonts w:ascii="Times New Roman" w:hAnsi="Times New Roman" w:eastAsia="宋体" w:cs="Times New Roman"/>
      <w:sz w:val="16"/>
      <w:szCs w:val="16"/>
    </w:rPr>
  </w:style>
  <w:style w:type="character" w:customStyle="1" w:styleId="628">
    <w:name w:val="WW8Num4z1"/>
    <w:qFormat/>
    <w:uiPriority w:val="0"/>
    <w:rPr>
      <w:rFonts w:ascii="Wingdings" w:hAnsi="Wingdings"/>
    </w:rPr>
  </w:style>
  <w:style w:type="character" w:customStyle="1" w:styleId="629">
    <w:name w:val="方案正文 Char1"/>
    <w:link w:val="630"/>
    <w:qFormat/>
    <w:uiPriority w:val="0"/>
    <w:rPr>
      <w:rFonts w:ascii="宋体" w:hAnsi="宋体" w:cs="宋体"/>
      <w:szCs w:val="28"/>
    </w:rPr>
  </w:style>
  <w:style w:type="paragraph" w:customStyle="1" w:styleId="630">
    <w:name w:val="方案正文"/>
    <w:basedOn w:val="1"/>
    <w:next w:val="1"/>
    <w:link w:val="629"/>
    <w:qFormat/>
    <w:uiPriority w:val="0"/>
    <w:pPr>
      <w:spacing w:line="440" w:lineRule="exact"/>
      <w:ind w:firstLine="200"/>
      <w:jc w:val="left"/>
    </w:pPr>
    <w:rPr>
      <w:rFonts w:ascii="宋体" w:hAnsi="宋体"/>
      <w:sz w:val="20"/>
      <w:szCs w:val="28"/>
      <w:lang w:eastAsia="en-US"/>
    </w:rPr>
  </w:style>
  <w:style w:type="character" w:customStyle="1" w:styleId="631">
    <w:name w:val="标题 8 字符1"/>
    <w:qFormat/>
    <w:uiPriority w:val="9"/>
    <w:rPr>
      <w:rFonts w:ascii="Arial" w:hAnsi="Arial" w:eastAsia="黑体" w:cs="Times New Roman"/>
      <w:sz w:val="24"/>
      <w:szCs w:val="24"/>
    </w:rPr>
  </w:style>
  <w:style w:type="character" w:customStyle="1" w:styleId="632">
    <w:name w:val="FA正文 Char"/>
    <w:link w:val="633"/>
    <w:qFormat/>
    <w:uiPriority w:val="0"/>
    <w:rPr>
      <w:rFonts w:ascii="宋体" w:hAnsi="宋体"/>
      <w:spacing w:val="10"/>
      <w:sz w:val="24"/>
      <w:szCs w:val="24"/>
    </w:rPr>
  </w:style>
  <w:style w:type="paragraph" w:customStyle="1" w:styleId="633">
    <w:name w:val="FA正文"/>
    <w:basedOn w:val="1"/>
    <w:link w:val="632"/>
    <w:qFormat/>
    <w:uiPriority w:val="0"/>
    <w:pPr>
      <w:tabs>
        <w:tab w:val="left" w:pos="3375"/>
      </w:tabs>
      <w:spacing w:line="360" w:lineRule="auto"/>
      <w:ind w:firstLine="520"/>
    </w:pPr>
    <w:rPr>
      <w:rFonts w:ascii="宋体" w:hAnsi="宋体"/>
      <w:spacing w:val="10"/>
      <w:sz w:val="24"/>
      <w:lang w:eastAsia="en-US"/>
    </w:rPr>
  </w:style>
  <w:style w:type="character" w:customStyle="1" w:styleId="634">
    <w:name w:val="WW8Num18z7"/>
    <w:qFormat/>
    <w:uiPriority w:val="0"/>
    <w:rPr>
      <w:rFonts w:ascii="Wingdings" w:hAnsi="Wingdings"/>
    </w:rPr>
  </w:style>
  <w:style w:type="character" w:customStyle="1" w:styleId="635">
    <w:name w:val="方案正文-样式 小四 行距: 1.5 倍行距 Char"/>
    <w:link w:val="636"/>
    <w:qFormat/>
    <w:uiPriority w:val="0"/>
    <w:rPr>
      <w:sz w:val="24"/>
      <w:lang w:val="zh-CN"/>
    </w:rPr>
  </w:style>
  <w:style w:type="paragraph" w:customStyle="1" w:styleId="636">
    <w:name w:val="方案正文-样式 小四 行距: 1.5 倍行距"/>
    <w:basedOn w:val="1"/>
    <w:link w:val="635"/>
    <w:qFormat/>
    <w:uiPriority w:val="0"/>
    <w:pPr>
      <w:spacing w:before="260" w:after="260" w:line="360" w:lineRule="auto"/>
      <w:ind w:left="1134" w:firstLine="480"/>
    </w:pPr>
    <w:rPr>
      <w:sz w:val="24"/>
      <w:szCs w:val="20"/>
      <w:lang w:val="zh-CN" w:eastAsia="en-US"/>
    </w:rPr>
  </w:style>
  <w:style w:type="character" w:customStyle="1" w:styleId="637">
    <w:name w:val="WW8Num36z2"/>
    <w:qFormat/>
    <w:uiPriority w:val="0"/>
    <w:rPr>
      <w:rFonts w:ascii="StarSymbol" w:hAnsi="StarSymbol" w:cs="StarSymbol"/>
      <w:sz w:val="18"/>
      <w:szCs w:val="18"/>
    </w:rPr>
  </w:style>
  <w:style w:type="character" w:customStyle="1" w:styleId="638">
    <w:name w:val="label_list1"/>
    <w:qFormat/>
    <w:uiPriority w:val="0"/>
  </w:style>
  <w:style w:type="character" w:customStyle="1" w:styleId="639">
    <w:name w:val="WW8Num9z0"/>
    <w:qFormat/>
    <w:uiPriority w:val="0"/>
    <w:rPr>
      <w:rFonts w:ascii="Wingdings" w:hAnsi="Wingdings" w:cs="StarSymbol"/>
      <w:sz w:val="18"/>
      <w:szCs w:val="18"/>
    </w:rPr>
  </w:style>
  <w:style w:type="character" w:customStyle="1" w:styleId="640">
    <w:name w:val="p11b1"/>
    <w:qFormat/>
    <w:uiPriority w:val="0"/>
    <w:rPr>
      <w:color w:val="000000"/>
      <w:spacing w:val="320"/>
      <w:sz w:val="20"/>
      <w:szCs w:val="20"/>
      <w:u w:val="none"/>
    </w:rPr>
  </w:style>
  <w:style w:type="character" w:customStyle="1" w:styleId="641">
    <w:name w:val="WW8Num8z1"/>
    <w:qFormat/>
    <w:uiPriority w:val="0"/>
    <w:rPr>
      <w:rFonts w:ascii="Wingdings 2" w:hAnsi="Wingdings 2" w:cs="StarSymbol"/>
      <w:sz w:val="18"/>
      <w:szCs w:val="18"/>
    </w:rPr>
  </w:style>
  <w:style w:type="character" w:customStyle="1" w:styleId="642">
    <w:name w:val="Indent Normal Char"/>
    <w:qFormat/>
    <w:uiPriority w:val="0"/>
    <w:rPr>
      <w:rFonts w:hint="eastAsia" w:ascii="宋体" w:hAnsi="宋体" w:eastAsia="宋体"/>
      <w:sz w:val="21"/>
      <w:szCs w:val="24"/>
      <w:lang w:val="en-US" w:eastAsia="zh-CN" w:bidi="ar-SA"/>
    </w:rPr>
  </w:style>
  <w:style w:type="character" w:customStyle="1" w:styleId="643">
    <w:name w:val="标题 2 字符1"/>
    <w:qFormat/>
    <w:uiPriority w:val="0"/>
    <w:rPr>
      <w:rFonts w:ascii="楷体" w:eastAsia="楷体"/>
      <w:b/>
      <w:bCs/>
      <w:color w:val="000000"/>
      <w:sz w:val="32"/>
      <w:szCs w:val="28"/>
    </w:rPr>
  </w:style>
  <w:style w:type="character" w:customStyle="1" w:styleId="644">
    <w:name w:val="large1"/>
    <w:qFormat/>
    <w:uiPriority w:val="0"/>
    <w:rPr>
      <w:rFonts w:hint="eastAsia" w:ascii="宋体" w:hAnsi="宋体" w:eastAsia="宋体"/>
      <w:sz w:val="22"/>
      <w:szCs w:val="22"/>
    </w:rPr>
  </w:style>
  <w:style w:type="character" w:customStyle="1" w:styleId="645">
    <w:name w:val="WW8Num32z1"/>
    <w:qFormat/>
    <w:uiPriority w:val="0"/>
    <w:rPr>
      <w:rFonts w:ascii="Wingdings 2" w:hAnsi="Wingdings 2" w:cs="StarSymbol"/>
      <w:sz w:val="18"/>
      <w:szCs w:val="18"/>
    </w:rPr>
  </w:style>
  <w:style w:type="character" w:customStyle="1" w:styleId="646">
    <w:name w:val="f141"/>
    <w:qFormat/>
    <w:uiPriority w:val="0"/>
    <w:rPr>
      <w:sz w:val="21"/>
      <w:szCs w:val="21"/>
    </w:rPr>
  </w:style>
  <w:style w:type="character" w:customStyle="1" w:styleId="647">
    <w:name w:val="WW8Num25z2"/>
    <w:qFormat/>
    <w:uiPriority w:val="0"/>
    <w:rPr>
      <w:rFonts w:ascii="StarSymbol" w:hAnsi="StarSymbol" w:cs="StarSymbol"/>
      <w:sz w:val="18"/>
      <w:szCs w:val="18"/>
    </w:rPr>
  </w:style>
  <w:style w:type="character" w:customStyle="1" w:styleId="648">
    <w:name w:val="14_black1"/>
    <w:qFormat/>
    <w:uiPriority w:val="0"/>
    <w:rPr>
      <w:color w:val="000000"/>
      <w:sz w:val="23"/>
      <w:szCs w:val="23"/>
    </w:rPr>
  </w:style>
  <w:style w:type="character" w:customStyle="1" w:styleId="649">
    <w:name w:val="WW8Num20z0"/>
    <w:qFormat/>
    <w:uiPriority w:val="0"/>
    <w:rPr>
      <w:rFonts w:ascii="Wingdings" w:hAnsi="Wingdings"/>
    </w:rPr>
  </w:style>
  <w:style w:type="character" w:customStyle="1" w:styleId="650">
    <w:name w:val="正文2 Char Char"/>
    <w:qFormat/>
    <w:uiPriority w:val="0"/>
    <w:rPr>
      <w:rFonts w:hint="eastAsia" w:ascii="仿宋_GB2312" w:eastAsia="仿宋_GB2312"/>
      <w:sz w:val="24"/>
    </w:rPr>
  </w:style>
  <w:style w:type="character" w:customStyle="1" w:styleId="651">
    <w:name w:val="WW8Num2z0"/>
    <w:qFormat/>
    <w:uiPriority w:val="0"/>
    <w:rPr>
      <w:rFonts w:ascii="Wingdings" w:hAnsi="Wingdings" w:cs="StarSymbol"/>
      <w:sz w:val="18"/>
      <w:szCs w:val="18"/>
    </w:rPr>
  </w:style>
  <w:style w:type="character" w:customStyle="1" w:styleId="652">
    <w:name w:val="mini-tree-nodetext2"/>
    <w:basedOn w:val="75"/>
    <w:qFormat/>
    <w:uiPriority w:val="0"/>
  </w:style>
  <w:style w:type="character" w:customStyle="1" w:styleId="653">
    <w:name w:val="WW8Num8z2"/>
    <w:qFormat/>
    <w:uiPriority w:val="0"/>
    <w:rPr>
      <w:rFonts w:ascii="StarSymbol" w:hAnsi="StarSymbol" w:cs="StarSymbol"/>
      <w:sz w:val="18"/>
      <w:szCs w:val="18"/>
    </w:rPr>
  </w:style>
  <w:style w:type="character" w:customStyle="1" w:styleId="654">
    <w:name w:val="before"/>
    <w:basedOn w:val="75"/>
    <w:qFormat/>
    <w:uiPriority w:val="0"/>
  </w:style>
  <w:style w:type="character" w:customStyle="1" w:styleId="655">
    <w:name w:val="WW8Num39z0"/>
    <w:qFormat/>
    <w:uiPriority w:val="0"/>
    <w:rPr>
      <w:rFonts w:ascii="Wingdings" w:hAnsi="Wingdings" w:cs="StarSymbol"/>
      <w:sz w:val="18"/>
      <w:szCs w:val="18"/>
    </w:rPr>
  </w:style>
  <w:style w:type="character" w:customStyle="1" w:styleId="656">
    <w:name w:val="first-child"/>
    <w:basedOn w:val="75"/>
    <w:qFormat/>
    <w:uiPriority w:val="0"/>
  </w:style>
  <w:style w:type="character" w:customStyle="1" w:styleId="657">
    <w:name w:val="WW8Num6z0"/>
    <w:qFormat/>
    <w:uiPriority w:val="0"/>
    <w:rPr>
      <w:rFonts w:ascii="Wingdings" w:hAnsi="Wingdings" w:cs="StarSymbol"/>
      <w:sz w:val="18"/>
      <w:szCs w:val="18"/>
    </w:rPr>
  </w:style>
  <w:style w:type="character" w:customStyle="1" w:styleId="658">
    <w:name w:val="icon501"/>
    <w:qFormat/>
    <w:uiPriority w:val="0"/>
    <w:rPr>
      <w:color w:val="A6A6A6"/>
      <w:sz w:val="27"/>
      <w:szCs w:val="27"/>
    </w:rPr>
  </w:style>
  <w:style w:type="character" w:customStyle="1" w:styleId="659">
    <w:name w:val="WW8Num36z0"/>
    <w:qFormat/>
    <w:uiPriority w:val="0"/>
    <w:rPr>
      <w:rFonts w:ascii="Wingdings" w:hAnsi="Wingdings" w:cs="StarSymbol"/>
      <w:sz w:val="18"/>
      <w:szCs w:val="18"/>
    </w:rPr>
  </w:style>
  <w:style w:type="character" w:customStyle="1" w:styleId="660">
    <w:name w:val="range-menu-item-main-content"/>
    <w:basedOn w:val="75"/>
    <w:qFormat/>
    <w:uiPriority w:val="0"/>
  </w:style>
  <w:style w:type="character" w:customStyle="1" w:styleId="661">
    <w:name w:val="WW8Num37z2"/>
    <w:qFormat/>
    <w:uiPriority w:val="0"/>
    <w:rPr>
      <w:rFonts w:ascii="StarSymbol" w:hAnsi="StarSymbol" w:cs="StarSymbol"/>
      <w:sz w:val="18"/>
      <w:szCs w:val="18"/>
    </w:rPr>
  </w:style>
  <w:style w:type="character" w:customStyle="1" w:styleId="662">
    <w:name w:val="first-child1"/>
    <w:basedOn w:val="75"/>
    <w:qFormat/>
    <w:uiPriority w:val="0"/>
  </w:style>
  <w:style w:type="character" w:customStyle="1" w:styleId="663">
    <w:name w:val="默认段落字体1"/>
    <w:qFormat/>
    <w:uiPriority w:val="0"/>
  </w:style>
  <w:style w:type="character" w:customStyle="1" w:styleId="664">
    <w:name w:val="active__1oyv"/>
    <w:qFormat/>
    <w:uiPriority w:val="0"/>
    <w:rPr>
      <w:color w:val="383838"/>
    </w:rPr>
  </w:style>
  <w:style w:type="character" w:customStyle="1" w:styleId="665">
    <w:name w:val="WW8Num36z1"/>
    <w:qFormat/>
    <w:uiPriority w:val="0"/>
    <w:rPr>
      <w:rFonts w:ascii="Wingdings 2" w:hAnsi="Wingdings 2" w:cs="StarSymbol"/>
      <w:sz w:val="18"/>
      <w:szCs w:val="18"/>
    </w:rPr>
  </w:style>
  <w:style w:type="character" w:customStyle="1" w:styleId="666">
    <w:name w:val="icon499"/>
    <w:qFormat/>
    <w:uiPriority w:val="0"/>
    <w:rPr>
      <w:color w:val="A6A6A6"/>
      <w:sz w:val="27"/>
      <w:szCs w:val="27"/>
    </w:rPr>
  </w:style>
  <w:style w:type="character" w:customStyle="1" w:styleId="667">
    <w:name w:val="main1"/>
    <w:qFormat/>
    <w:uiPriority w:val="0"/>
    <w:rPr>
      <w:rFonts w:ascii="ˎ̥" w:hAnsi="ˎ̥" w:eastAsia="宋体"/>
      <w:b/>
      <w:sz w:val="21"/>
      <w:szCs w:val="21"/>
      <w:lang w:val="en-US" w:eastAsia="zh-CN" w:bidi="ar-SA"/>
    </w:rPr>
  </w:style>
  <w:style w:type="character" w:customStyle="1" w:styleId="668">
    <w:name w:val="first-child2"/>
    <w:basedOn w:val="75"/>
    <w:qFormat/>
    <w:uiPriority w:val="0"/>
  </w:style>
  <w:style w:type="character" w:customStyle="1" w:styleId="669">
    <w:name w:val="文档结构图 字符1"/>
    <w:semiHidden/>
    <w:qFormat/>
    <w:uiPriority w:val="99"/>
    <w:rPr>
      <w:rFonts w:ascii="Times New Roman" w:hAnsi="Times New Roman" w:eastAsia="方正仿宋_GBK" w:cs="Times New Roman"/>
      <w:sz w:val="24"/>
      <w:szCs w:val="24"/>
      <w:shd w:val="clear" w:color="auto" w:fill="000080"/>
    </w:rPr>
  </w:style>
  <w:style w:type="character" w:customStyle="1" w:styleId="670">
    <w:name w:val="icon500"/>
    <w:basedOn w:val="75"/>
    <w:qFormat/>
    <w:uiPriority w:val="0"/>
  </w:style>
  <w:style w:type="character" w:customStyle="1" w:styleId="671">
    <w:name w:val="WW8Num15z2"/>
    <w:qFormat/>
    <w:uiPriority w:val="0"/>
    <w:rPr>
      <w:rFonts w:ascii="StarSymbol" w:hAnsi="StarSymbol" w:cs="StarSymbol"/>
      <w:sz w:val="18"/>
      <w:szCs w:val="18"/>
    </w:rPr>
  </w:style>
  <w:style w:type="character" w:customStyle="1" w:styleId="672">
    <w:name w:val="range-menu-item-main-content1"/>
    <w:basedOn w:val="75"/>
    <w:qFormat/>
    <w:uiPriority w:val="0"/>
  </w:style>
  <w:style w:type="character" w:customStyle="1" w:styleId="673">
    <w:name w:val="WW8Num3z0"/>
    <w:qFormat/>
    <w:uiPriority w:val="0"/>
    <w:rPr>
      <w:rFonts w:ascii="Wingdings" w:hAnsi="Wingdings" w:cs="StarSymbol"/>
      <w:sz w:val="18"/>
      <w:szCs w:val="18"/>
    </w:rPr>
  </w:style>
  <w:style w:type="character" w:customStyle="1" w:styleId="674">
    <w:name w:val="overdue"/>
    <w:basedOn w:val="75"/>
    <w:qFormat/>
    <w:uiPriority w:val="0"/>
  </w:style>
  <w:style w:type="character" w:customStyle="1" w:styleId="675">
    <w:name w:val="正文文本 字符1"/>
    <w:semiHidden/>
    <w:qFormat/>
    <w:uiPriority w:val="0"/>
    <w:rPr>
      <w:rFonts w:ascii="Times New Roman" w:hAnsi="Times New Roman" w:eastAsia="方正仿宋_GBK" w:cs="Times New Roman"/>
      <w:sz w:val="24"/>
      <w:szCs w:val="20"/>
    </w:rPr>
  </w:style>
  <w:style w:type="character" w:customStyle="1" w:styleId="676">
    <w:name w:val="overdue2"/>
    <w:basedOn w:val="75"/>
    <w:qFormat/>
    <w:uiPriority w:val="0"/>
  </w:style>
  <w:style w:type="character" w:customStyle="1" w:styleId="677">
    <w:name w:val="表头样式 Char"/>
    <w:qFormat/>
    <w:uiPriority w:val="0"/>
    <w:rPr>
      <w:rFonts w:ascii="Arial" w:hAnsi="Arial" w:cs="Arial"/>
      <w:b/>
      <w:sz w:val="21"/>
      <w:szCs w:val="21"/>
    </w:rPr>
  </w:style>
  <w:style w:type="character" w:customStyle="1" w:styleId="678">
    <w:name w:val="dls-icon[data-role=icon]"/>
    <w:qFormat/>
    <w:uiPriority w:val="0"/>
    <w:rPr>
      <w:sz w:val="24"/>
      <w:szCs w:val="24"/>
    </w:rPr>
  </w:style>
  <w:style w:type="character" w:customStyle="1" w:styleId="679">
    <w:name w:val="maintext1"/>
    <w:qFormat/>
    <w:uiPriority w:val="0"/>
    <w:rPr>
      <w:rFonts w:ascii="Arial" w:hAnsi="Arial" w:cs="Arial"/>
      <w:color w:val="000000"/>
      <w:sz w:val="18"/>
      <w:szCs w:val="18"/>
    </w:rPr>
  </w:style>
  <w:style w:type="character" w:customStyle="1" w:styleId="680">
    <w:name w:val="icon502"/>
    <w:qFormat/>
    <w:uiPriority w:val="0"/>
    <w:rPr>
      <w:color w:val="A6A6A6"/>
      <w:sz w:val="27"/>
      <w:szCs w:val="27"/>
    </w:rPr>
  </w:style>
  <w:style w:type="character" w:customStyle="1" w:styleId="681">
    <w:name w:val="tw4winMark"/>
    <w:qFormat/>
    <w:uiPriority w:val="0"/>
    <w:rPr>
      <w:rFonts w:ascii="Courier New" w:hAnsi="Courier New" w:cs="Courier New"/>
      <w:vanish/>
      <w:color w:val="800080"/>
      <w:vertAlign w:val="subscript"/>
    </w:rPr>
  </w:style>
  <w:style w:type="character" w:customStyle="1" w:styleId="682">
    <w:name w:val="列表段落 字符"/>
    <w:link w:val="683"/>
    <w:qFormat/>
    <w:uiPriority w:val="0"/>
    <w:rPr>
      <w:szCs w:val="24"/>
    </w:rPr>
  </w:style>
  <w:style w:type="paragraph" w:customStyle="1" w:styleId="683">
    <w:name w:val="列表段落1"/>
    <w:basedOn w:val="1"/>
    <w:link w:val="682"/>
    <w:qFormat/>
    <w:uiPriority w:val="0"/>
    <w:pPr>
      <w:ind w:firstLine="420"/>
    </w:pPr>
    <w:rPr>
      <w:sz w:val="20"/>
      <w:lang w:eastAsia="en-US"/>
    </w:rPr>
  </w:style>
  <w:style w:type="character" w:customStyle="1" w:styleId="684">
    <w:name w:val="称呼 Char1"/>
    <w:qFormat/>
    <w:uiPriority w:val="0"/>
    <w:rPr>
      <w:sz w:val="21"/>
    </w:rPr>
  </w:style>
  <w:style w:type="character" w:customStyle="1" w:styleId="685">
    <w:name w:val="批注主题 Char3"/>
    <w:qFormat/>
    <w:uiPriority w:val="99"/>
    <w:rPr>
      <w:rFonts w:ascii="Times New Roman" w:hAnsi="Times New Roman" w:eastAsia="宋体" w:cs="Times New Roman"/>
      <w:b/>
      <w:bCs/>
      <w:szCs w:val="24"/>
      <w:lang w:val="zh-CN"/>
    </w:rPr>
  </w:style>
  <w:style w:type="character" w:customStyle="1" w:styleId="686">
    <w:name w:val="正文Normal Char"/>
    <w:qFormat/>
    <w:uiPriority w:val="0"/>
    <w:rPr>
      <w:rFonts w:ascii="Arial" w:hAnsi="Arial" w:cs="Arial"/>
      <w:sz w:val="24"/>
      <w:szCs w:val="24"/>
    </w:rPr>
  </w:style>
  <w:style w:type="character" w:customStyle="1" w:styleId="687">
    <w:name w:val="定制正文 Arial 小四 首行缩进:  0.74 厘米 行距: 1.5 倍行距1 + 宋体 Char"/>
    <w:link w:val="688"/>
    <w:qFormat/>
    <w:uiPriority w:val="0"/>
    <w:rPr>
      <w:rFonts w:ascii="Arial" w:hAnsi="Arial" w:cs="宋体"/>
      <w:bCs/>
      <w:szCs w:val="21"/>
    </w:rPr>
  </w:style>
  <w:style w:type="paragraph" w:customStyle="1" w:styleId="688">
    <w:name w:val="定制正文 Arial 小四 首行缩进:  0.74 厘米 行距: 1.5 倍行距1 + 宋体"/>
    <w:basedOn w:val="1"/>
    <w:link w:val="687"/>
    <w:qFormat/>
    <w:uiPriority w:val="0"/>
    <w:pPr>
      <w:spacing w:line="360" w:lineRule="auto"/>
      <w:ind w:firstLine="420"/>
    </w:pPr>
    <w:rPr>
      <w:rFonts w:ascii="Arial" w:hAnsi="Arial"/>
      <w:bCs/>
      <w:sz w:val="20"/>
      <w:szCs w:val="21"/>
      <w:lang w:eastAsia="en-US"/>
    </w:rPr>
  </w:style>
  <w:style w:type="character" w:customStyle="1" w:styleId="689">
    <w:name w:val="WW8Num16z1"/>
    <w:qFormat/>
    <w:uiPriority w:val="0"/>
    <w:rPr>
      <w:rFonts w:ascii="Wingdings" w:hAnsi="Wingdings"/>
    </w:rPr>
  </w:style>
  <w:style w:type="character" w:customStyle="1" w:styleId="690">
    <w:name w:val="Indent Normal Char1"/>
    <w:link w:val="691"/>
    <w:qFormat/>
    <w:uiPriority w:val="0"/>
    <w:rPr>
      <w:sz w:val="24"/>
      <w:szCs w:val="24"/>
    </w:rPr>
  </w:style>
  <w:style w:type="paragraph" w:customStyle="1" w:styleId="691">
    <w:name w:val="Indent Normal"/>
    <w:basedOn w:val="1"/>
    <w:link w:val="690"/>
    <w:qFormat/>
    <w:uiPriority w:val="0"/>
    <w:pPr>
      <w:spacing w:line="360" w:lineRule="auto"/>
      <w:ind w:firstLine="150"/>
    </w:pPr>
    <w:rPr>
      <w:sz w:val="24"/>
      <w:lang w:eastAsia="en-US"/>
    </w:rPr>
  </w:style>
  <w:style w:type="character" w:customStyle="1" w:styleId="692">
    <w:name w:val="WW8Num7z2"/>
    <w:qFormat/>
    <w:uiPriority w:val="0"/>
    <w:rPr>
      <w:rFonts w:ascii="StarSymbol" w:hAnsi="StarSymbol" w:cs="StarSymbol"/>
      <w:sz w:val="18"/>
      <w:szCs w:val="18"/>
    </w:rPr>
  </w:style>
  <w:style w:type="character" w:customStyle="1" w:styleId="693">
    <w:name w:val="正文-new Char"/>
    <w:link w:val="694"/>
    <w:qFormat/>
    <w:uiPriority w:val="0"/>
    <w:rPr>
      <w:rFonts w:ascii="宋体" w:hAnsi="宋体" w:cs="宋体"/>
      <w:szCs w:val="21"/>
    </w:rPr>
  </w:style>
  <w:style w:type="paragraph" w:customStyle="1" w:styleId="694">
    <w:name w:val="正文-new"/>
    <w:basedOn w:val="1"/>
    <w:link w:val="693"/>
    <w:qFormat/>
    <w:uiPriority w:val="0"/>
    <w:pPr>
      <w:spacing w:line="360" w:lineRule="auto"/>
      <w:ind w:firstLine="425"/>
    </w:pPr>
    <w:rPr>
      <w:rFonts w:ascii="宋体" w:hAnsi="宋体"/>
      <w:sz w:val="20"/>
      <w:szCs w:val="21"/>
      <w:lang w:eastAsia="en-US"/>
    </w:rPr>
  </w:style>
  <w:style w:type="character" w:customStyle="1" w:styleId="695">
    <w:name w:val="WW8Num24z0"/>
    <w:qFormat/>
    <w:uiPriority w:val="0"/>
    <w:rPr>
      <w:rFonts w:ascii="Wingdings" w:hAnsi="Wingdings" w:cs="StarSymbol"/>
      <w:sz w:val="18"/>
      <w:szCs w:val="18"/>
    </w:rPr>
  </w:style>
  <w:style w:type="character" w:customStyle="1" w:styleId="696">
    <w:name w:val="_正文段落 Char"/>
    <w:qFormat/>
    <w:uiPriority w:val="0"/>
    <w:rPr>
      <w:sz w:val="24"/>
      <w:szCs w:val="24"/>
    </w:rPr>
  </w:style>
  <w:style w:type="character" w:customStyle="1" w:styleId="697">
    <w:name w:val="WW8Num33z2"/>
    <w:qFormat/>
    <w:uiPriority w:val="0"/>
    <w:rPr>
      <w:rFonts w:ascii="StarSymbol" w:hAnsi="StarSymbol" w:cs="StarSymbol"/>
      <w:sz w:val="18"/>
      <w:szCs w:val="18"/>
    </w:rPr>
  </w:style>
  <w:style w:type="character" w:customStyle="1" w:styleId="698">
    <w:name w:val="样式 宋体 小四 段前: 7.8 磅 行距: 1.5 倍行距 Char"/>
    <w:link w:val="699"/>
    <w:qFormat/>
    <w:uiPriority w:val="0"/>
    <w:rPr>
      <w:rFonts w:ascii="宋体" w:hAnsi="宋体"/>
      <w:szCs w:val="21"/>
    </w:rPr>
  </w:style>
  <w:style w:type="paragraph" w:customStyle="1" w:styleId="699">
    <w:name w:val="样式 宋体 小四 段前: 7.8 磅 行距: 1.5 倍行距"/>
    <w:basedOn w:val="1"/>
    <w:link w:val="698"/>
    <w:qFormat/>
    <w:uiPriority w:val="0"/>
    <w:pPr>
      <w:spacing w:line="360" w:lineRule="auto"/>
      <w:ind w:firstLine="420"/>
      <w:jc w:val="left"/>
    </w:pPr>
    <w:rPr>
      <w:rFonts w:ascii="宋体" w:hAnsi="宋体"/>
      <w:sz w:val="20"/>
      <w:szCs w:val="21"/>
      <w:lang w:eastAsia="en-US"/>
    </w:rPr>
  </w:style>
  <w:style w:type="character" w:customStyle="1" w:styleId="700">
    <w:name w:val="WW8Num38z1"/>
    <w:qFormat/>
    <w:uiPriority w:val="0"/>
    <w:rPr>
      <w:rFonts w:ascii="Wingdings 2" w:hAnsi="Wingdings 2" w:cs="StarSymbol"/>
      <w:sz w:val="18"/>
      <w:szCs w:val="18"/>
    </w:rPr>
  </w:style>
  <w:style w:type="character" w:customStyle="1" w:styleId="701">
    <w:name w:val="表格样式 宋体 5号 Char"/>
    <w:link w:val="702"/>
    <w:qFormat/>
    <w:uiPriority w:val="0"/>
    <w:rPr>
      <w:rFonts w:ascii="宋体" w:hAnsi="宋体"/>
      <w:szCs w:val="21"/>
      <w:lang w:val="zh-CN"/>
    </w:rPr>
  </w:style>
  <w:style w:type="paragraph" w:customStyle="1" w:styleId="702">
    <w:name w:val="表格样式 宋体 5号"/>
    <w:basedOn w:val="1"/>
    <w:link w:val="701"/>
    <w:qFormat/>
    <w:uiPriority w:val="0"/>
    <w:pPr>
      <w:jc w:val="left"/>
    </w:pPr>
    <w:rPr>
      <w:rFonts w:ascii="宋体" w:hAnsi="宋体"/>
      <w:sz w:val="20"/>
      <w:szCs w:val="21"/>
      <w:lang w:val="zh-CN" w:eastAsia="en-US"/>
    </w:rPr>
  </w:style>
  <w:style w:type="character" w:customStyle="1" w:styleId="703">
    <w:name w:val="WW8Num7z1"/>
    <w:qFormat/>
    <w:uiPriority w:val="0"/>
    <w:rPr>
      <w:rFonts w:ascii="Wingdings 2" w:hAnsi="Wingdings 2" w:cs="StarSymbol"/>
      <w:sz w:val="18"/>
      <w:szCs w:val="18"/>
    </w:rPr>
  </w:style>
  <w:style w:type="character" w:customStyle="1" w:styleId="704">
    <w:name w:val="样式 宋体 四号"/>
    <w:qFormat/>
    <w:uiPriority w:val="0"/>
    <w:rPr>
      <w:rFonts w:ascii="宋体" w:hAnsi="宋体" w:eastAsia="仿宋_GB2312"/>
      <w:sz w:val="28"/>
    </w:rPr>
  </w:style>
  <w:style w:type="character" w:customStyle="1" w:styleId="705">
    <w:name w:val="WW8Num17z2"/>
    <w:qFormat/>
    <w:uiPriority w:val="0"/>
    <w:rPr>
      <w:rFonts w:ascii="StarSymbol" w:hAnsi="StarSymbol" w:cs="StarSymbol"/>
      <w:sz w:val="18"/>
      <w:szCs w:val="18"/>
    </w:rPr>
  </w:style>
  <w:style w:type="character" w:customStyle="1" w:styleId="706">
    <w:name w:val="我的正文 Char"/>
    <w:link w:val="707"/>
    <w:qFormat/>
    <w:uiPriority w:val="0"/>
    <w:rPr>
      <w:rFonts w:ascii="Arial" w:hAnsi="Arial"/>
      <w:sz w:val="24"/>
      <w:szCs w:val="18"/>
    </w:rPr>
  </w:style>
  <w:style w:type="paragraph" w:customStyle="1" w:styleId="707">
    <w:name w:val="我的正文"/>
    <w:basedOn w:val="1"/>
    <w:link w:val="706"/>
    <w:qFormat/>
    <w:uiPriority w:val="0"/>
    <w:pPr>
      <w:widowControl/>
      <w:spacing w:line="360" w:lineRule="auto"/>
      <w:ind w:firstLine="200"/>
    </w:pPr>
    <w:rPr>
      <w:rFonts w:ascii="Arial" w:hAnsi="Arial"/>
      <w:sz w:val="24"/>
      <w:szCs w:val="18"/>
      <w:lang w:eastAsia="en-US"/>
    </w:rPr>
  </w:style>
  <w:style w:type="character" w:customStyle="1" w:styleId="708">
    <w:name w:val="WW8Num10z1"/>
    <w:qFormat/>
    <w:uiPriority w:val="0"/>
    <w:rPr>
      <w:rFonts w:ascii="Wingdings 2" w:hAnsi="Wingdings 2" w:cs="StarSymbol"/>
      <w:sz w:val="18"/>
      <w:szCs w:val="18"/>
    </w:rPr>
  </w:style>
  <w:style w:type="character" w:customStyle="1" w:styleId="709">
    <w:name w:val="脚注文本 字符"/>
    <w:qFormat/>
    <w:uiPriority w:val="0"/>
    <w:rPr>
      <w:rFonts w:ascii="Times New Roman" w:hAnsi="Times New Roman" w:eastAsia="宋体" w:cs="Times New Roman"/>
      <w:sz w:val="18"/>
      <w:szCs w:val="18"/>
    </w:rPr>
  </w:style>
  <w:style w:type="character" w:customStyle="1" w:styleId="710">
    <w:name w:val="WW8Num27z0"/>
    <w:qFormat/>
    <w:uiPriority w:val="0"/>
    <w:rPr>
      <w:rFonts w:ascii="Wingdings" w:hAnsi="Wingdings" w:cs="StarSymbol"/>
      <w:sz w:val="18"/>
      <w:szCs w:val="18"/>
    </w:rPr>
  </w:style>
  <w:style w:type="character" w:customStyle="1" w:styleId="711">
    <w:name w:val="脚注文本 Char2"/>
    <w:qFormat/>
    <w:uiPriority w:val="0"/>
    <w:rPr>
      <w:rFonts w:ascii="Times New Roman" w:hAnsi="Times New Roman" w:eastAsia="宋体" w:cs="Times New Roman"/>
      <w:sz w:val="18"/>
      <w:szCs w:val="18"/>
    </w:rPr>
  </w:style>
  <w:style w:type="character" w:customStyle="1" w:styleId="712">
    <w:name w:val="WW8Num10z2"/>
    <w:qFormat/>
    <w:uiPriority w:val="0"/>
    <w:rPr>
      <w:rFonts w:ascii="StarSymbol" w:hAnsi="StarSymbol" w:cs="StarSymbol"/>
      <w:sz w:val="18"/>
      <w:szCs w:val="18"/>
    </w:rPr>
  </w:style>
  <w:style w:type="character" w:customStyle="1" w:styleId="713">
    <w:name w:val="HTML 地址 字符"/>
    <w:qFormat/>
    <w:uiPriority w:val="0"/>
    <w:rPr>
      <w:rFonts w:ascii="Times New Roman" w:hAnsi="Times New Roman" w:eastAsia="宋体" w:cs="Times New Roman"/>
      <w:i/>
      <w:iCs/>
      <w:szCs w:val="24"/>
    </w:rPr>
  </w:style>
  <w:style w:type="character" w:customStyle="1" w:styleId="714">
    <w:name w:val="pi1"/>
    <w:qFormat/>
    <w:uiPriority w:val="0"/>
    <w:rPr>
      <w:color w:val="0000FF"/>
    </w:rPr>
  </w:style>
  <w:style w:type="character" w:customStyle="1" w:styleId="715">
    <w:name w:val="HTML 地址 Char2"/>
    <w:qFormat/>
    <w:uiPriority w:val="0"/>
    <w:rPr>
      <w:i/>
      <w:iCs/>
      <w:szCs w:val="24"/>
    </w:rPr>
  </w:style>
  <w:style w:type="character" w:customStyle="1" w:styleId="716">
    <w:name w:val="WW-Absatz-Standardschriftart"/>
    <w:qFormat/>
    <w:uiPriority w:val="0"/>
  </w:style>
  <w:style w:type="character" w:customStyle="1" w:styleId="717">
    <w:name w:val="HTML 预设格式 字符"/>
    <w:qFormat/>
    <w:uiPriority w:val="0"/>
    <w:rPr>
      <w:rFonts w:ascii="Courier New" w:hAnsi="Courier New" w:eastAsia="宋体" w:cs="Courier New"/>
      <w:sz w:val="20"/>
      <w:szCs w:val="20"/>
    </w:rPr>
  </w:style>
  <w:style w:type="character" w:customStyle="1" w:styleId="718">
    <w:name w:val="WW8Num27z1"/>
    <w:qFormat/>
    <w:uiPriority w:val="0"/>
    <w:rPr>
      <w:rFonts w:ascii="Wingdings 2" w:hAnsi="Wingdings 2" w:cs="StarSymbol"/>
      <w:sz w:val="18"/>
      <w:szCs w:val="18"/>
    </w:rPr>
  </w:style>
  <w:style w:type="character" w:customStyle="1" w:styleId="719">
    <w:name w:val="HTML 预设格式 Char2"/>
    <w:qFormat/>
    <w:uiPriority w:val="0"/>
    <w:rPr>
      <w:rFonts w:ascii="Courier New" w:hAnsi="Courier New" w:cs="Courier New"/>
    </w:rPr>
  </w:style>
  <w:style w:type="character" w:customStyle="1" w:styleId="720">
    <w:name w:val="WW8Num20z2"/>
    <w:qFormat/>
    <w:uiPriority w:val="0"/>
    <w:rPr>
      <w:rFonts w:ascii="StarSymbol" w:hAnsi="StarSymbol" w:cs="StarSymbol"/>
      <w:sz w:val="18"/>
      <w:szCs w:val="18"/>
    </w:rPr>
  </w:style>
  <w:style w:type="character" w:customStyle="1" w:styleId="721">
    <w:name w:val="发布"/>
    <w:qFormat/>
    <w:uiPriority w:val="0"/>
    <w:rPr>
      <w:rFonts w:ascii="黑体" w:eastAsia="黑体"/>
      <w:spacing w:val="22"/>
      <w:position w:val="3"/>
      <w:sz w:val="28"/>
    </w:rPr>
  </w:style>
  <w:style w:type="character" w:customStyle="1" w:styleId="722">
    <w:name w:val="WW8Num29z0"/>
    <w:qFormat/>
    <w:uiPriority w:val="0"/>
    <w:rPr>
      <w:rFonts w:ascii="Wingdings" w:hAnsi="Wingdings" w:cs="StarSymbol"/>
      <w:sz w:val="18"/>
      <w:szCs w:val="18"/>
    </w:rPr>
  </w:style>
  <w:style w:type="character" w:customStyle="1" w:styleId="723">
    <w:name w:val="EmailStyle87"/>
    <w:qFormat/>
    <w:uiPriority w:val="0"/>
    <w:rPr>
      <w:rFonts w:ascii="Arial" w:hAnsi="Arial" w:eastAsia="宋体" w:cs="Arial"/>
      <w:color w:val="000000"/>
      <w:sz w:val="20"/>
    </w:rPr>
  </w:style>
  <w:style w:type="character" w:customStyle="1" w:styleId="724">
    <w:name w:val="WW8Num24z2"/>
    <w:qFormat/>
    <w:uiPriority w:val="0"/>
    <w:rPr>
      <w:rFonts w:ascii="StarSymbol" w:hAnsi="StarSymbol" w:cs="StarSymbol"/>
      <w:sz w:val="18"/>
      <w:szCs w:val="18"/>
    </w:rPr>
  </w:style>
  <w:style w:type="character" w:customStyle="1" w:styleId="725">
    <w:name w:val="EmailStyle88"/>
    <w:qFormat/>
    <w:uiPriority w:val="0"/>
    <w:rPr>
      <w:rFonts w:ascii="Arial" w:hAnsi="Arial" w:eastAsia="宋体" w:cs="Arial"/>
      <w:color w:val="000000"/>
      <w:sz w:val="20"/>
    </w:rPr>
  </w:style>
  <w:style w:type="character" w:customStyle="1" w:styleId="726">
    <w:name w:val="称呼 字符1"/>
    <w:qFormat/>
    <w:uiPriority w:val="0"/>
    <w:rPr>
      <w:rFonts w:ascii="Times New Roman" w:hAnsi="Times New Roman" w:eastAsia="宋体" w:cs="Times New Roman"/>
      <w:szCs w:val="24"/>
    </w:rPr>
  </w:style>
  <w:style w:type="character" w:customStyle="1" w:styleId="727">
    <w:name w:val="FA正文 Char Char"/>
    <w:qFormat/>
    <w:uiPriority w:val="0"/>
    <w:rPr>
      <w:rFonts w:hAnsi="宋体" w:cs="宋体"/>
      <w:sz w:val="24"/>
      <w:szCs w:val="21"/>
    </w:rPr>
  </w:style>
  <w:style w:type="character" w:customStyle="1" w:styleId="728">
    <w:name w:val="副标题 字符1"/>
    <w:qFormat/>
    <w:uiPriority w:val="0"/>
    <w:rPr>
      <w:b/>
      <w:bCs/>
      <w:sz w:val="32"/>
      <w:szCs w:val="32"/>
    </w:rPr>
  </w:style>
  <w:style w:type="character" w:customStyle="1" w:styleId="729">
    <w:name w:val="注释标题 字符"/>
    <w:qFormat/>
    <w:uiPriority w:val="0"/>
    <w:rPr>
      <w:rFonts w:ascii="Times New Roman" w:hAnsi="Times New Roman" w:eastAsia="宋体" w:cs="Times New Roman"/>
      <w:szCs w:val="24"/>
    </w:rPr>
  </w:style>
  <w:style w:type="character" w:customStyle="1" w:styleId="730">
    <w:name w:val="正文文本首行缩进 2 字符1"/>
    <w:basedOn w:val="600"/>
    <w:qFormat/>
    <w:uiPriority w:val="0"/>
    <w:rPr>
      <w:rFonts w:ascii="Times New Roman" w:hAnsi="Times New Roman" w:eastAsia="宋体" w:cs="Times New Roman"/>
      <w:szCs w:val="24"/>
      <w:lang w:val="zh-CN" w:eastAsia="zh-CN"/>
    </w:rPr>
  </w:style>
  <w:style w:type="character" w:customStyle="1" w:styleId="731">
    <w:name w:val="注释标题 Char3"/>
    <w:qFormat/>
    <w:uiPriority w:val="0"/>
    <w:rPr>
      <w:szCs w:val="24"/>
    </w:rPr>
  </w:style>
  <w:style w:type="character" w:customStyle="1" w:styleId="732">
    <w:name w:val="Char Char312"/>
    <w:qFormat/>
    <w:uiPriority w:val="0"/>
    <w:rPr>
      <w:rFonts w:eastAsia="宋体"/>
      <w:sz w:val="21"/>
      <w:szCs w:val="24"/>
      <w:lang w:val="en-US" w:eastAsia="zh-CN" w:bidi="ar-SA"/>
    </w:rPr>
  </w:style>
  <w:style w:type="character" w:customStyle="1" w:styleId="733">
    <w:name w:val="EmailStyle127"/>
    <w:qFormat/>
    <w:uiPriority w:val="0"/>
    <w:rPr>
      <w:rFonts w:ascii="Arial" w:hAnsi="Arial" w:eastAsia="宋体" w:cs="Arial"/>
      <w:color w:val="000000"/>
      <w:sz w:val="20"/>
    </w:rPr>
  </w:style>
  <w:style w:type="character" w:customStyle="1" w:styleId="734">
    <w:name w:val="!BECC正文 Char"/>
    <w:link w:val="735"/>
    <w:qFormat/>
    <w:uiPriority w:val="0"/>
    <w:rPr>
      <w:sz w:val="24"/>
      <w:szCs w:val="24"/>
    </w:rPr>
  </w:style>
  <w:style w:type="paragraph" w:customStyle="1" w:styleId="735">
    <w:name w:val="!BECC正文"/>
    <w:basedOn w:val="1"/>
    <w:link w:val="734"/>
    <w:qFormat/>
    <w:uiPriority w:val="0"/>
    <w:pPr>
      <w:tabs>
        <w:tab w:val="left" w:pos="0"/>
      </w:tabs>
      <w:spacing w:line="360" w:lineRule="auto"/>
      <w:ind w:firstLine="200"/>
      <w:contextualSpacing/>
    </w:pPr>
    <w:rPr>
      <w:sz w:val="24"/>
      <w:lang w:eastAsia="en-US"/>
    </w:rPr>
  </w:style>
  <w:style w:type="character" w:customStyle="1" w:styleId="736">
    <w:name w:val="EmailStyle128"/>
    <w:qFormat/>
    <w:uiPriority w:val="0"/>
    <w:rPr>
      <w:rFonts w:ascii="Arial" w:hAnsi="Arial" w:eastAsia="宋体" w:cs="Arial"/>
      <w:color w:val="000000"/>
      <w:sz w:val="20"/>
    </w:rPr>
  </w:style>
  <w:style w:type="character" w:customStyle="1" w:styleId="737">
    <w:name w:val="ordinary-span-edit2"/>
    <w:qFormat/>
    <w:uiPriority w:val="0"/>
  </w:style>
  <w:style w:type="character" w:customStyle="1" w:styleId="738">
    <w:name w:val="标题 2 Char1"/>
    <w:qFormat/>
    <w:uiPriority w:val="0"/>
    <w:rPr>
      <w:b/>
      <w:bCs/>
      <w:sz w:val="30"/>
      <w:szCs w:val="32"/>
    </w:rPr>
  </w:style>
  <w:style w:type="character" w:customStyle="1" w:styleId="739">
    <w:name w:val="!RepPar_alt+p Char"/>
    <w:link w:val="740"/>
    <w:qFormat/>
    <w:uiPriority w:val="0"/>
    <w:rPr>
      <w:sz w:val="24"/>
      <w:szCs w:val="24"/>
      <w:lang w:val="zh-CN"/>
    </w:rPr>
  </w:style>
  <w:style w:type="paragraph" w:customStyle="1" w:styleId="740">
    <w:name w:val="!RepPar_alt+p"/>
    <w:basedOn w:val="1"/>
    <w:link w:val="739"/>
    <w:qFormat/>
    <w:uiPriority w:val="0"/>
    <w:pPr>
      <w:spacing w:line="360" w:lineRule="auto"/>
      <w:ind w:firstLine="200"/>
    </w:pPr>
    <w:rPr>
      <w:sz w:val="24"/>
      <w:lang w:val="zh-CN" w:eastAsia="en-US"/>
    </w:rPr>
  </w:style>
  <w:style w:type="character" w:customStyle="1" w:styleId="741">
    <w:name w:val="bz-content1"/>
    <w:qFormat/>
    <w:uiPriority w:val="0"/>
    <w:rPr>
      <w:sz w:val="20"/>
      <w:szCs w:val="20"/>
      <w:u w:val="none"/>
    </w:rPr>
  </w:style>
  <w:style w:type="character" w:customStyle="1" w:styleId="742">
    <w:name w:val="highlight1"/>
    <w:qFormat/>
    <w:uiPriority w:val="0"/>
    <w:rPr>
      <w:shd w:val="clear" w:color="auto" w:fill="FFFF00"/>
    </w:rPr>
  </w:style>
  <w:style w:type="character" w:customStyle="1" w:styleId="743">
    <w:name w:val="Char Char3"/>
    <w:qFormat/>
    <w:uiPriority w:val="0"/>
    <w:rPr>
      <w:rFonts w:eastAsia="宋体"/>
      <w:sz w:val="21"/>
      <w:szCs w:val="24"/>
      <w:lang w:val="en-US" w:eastAsia="zh-CN" w:bidi="ar-SA"/>
    </w:rPr>
  </w:style>
  <w:style w:type="character" w:customStyle="1" w:styleId="744">
    <w:name w:val="highlight"/>
    <w:qFormat/>
    <w:uiPriority w:val="0"/>
  </w:style>
  <w:style w:type="character" w:customStyle="1" w:styleId="745">
    <w:name w:val="style12"/>
    <w:qFormat/>
    <w:uiPriority w:val="0"/>
  </w:style>
  <w:style w:type="character" w:customStyle="1" w:styleId="746">
    <w:name w:val="样式1 Char"/>
    <w:link w:val="747"/>
    <w:qFormat/>
    <w:uiPriority w:val="0"/>
    <w:rPr>
      <w:sz w:val="24"/>
      <w:szCs w:val="24"/>
    </w:rPr>
  </w:style>
  <w:style w:type="paragraph" w:customStyle="1" w:styleId="747">
    <w:name w:val="样式1"/>
    <w:basedOn w:val="1"/>
    <w:link w:val="746"/>
    <w:qFormat/>
    <w:uiPriority w:val="0"/>
    <w:pPr>
      <w:spacing w:line="300" w:lineRule="auto"/>
      <w:ind w:firstLine="480"/>
    </w:pPr>
    <w:rPr>
      <w:sz w:val="24"/>
      <w:lang w:eastAsia="en-US"/>
    </w:rPr>
  </w:style>
  <w:style w:type="character" w:customStyle="1" w:styleId="748">
    <w:name w:val="font201"/>
    <w:qFormat/>
    <w:uiPriority w:val="0"/>
    <w:rPr>
      <w:spacing w:val="300"/>
    </w:rPr>
  </w:style>
  <w:style w:type="character" w:customStyle="1" w:styleId="749">
    <w:name w:val="明显强调1"/>
    <w:qFormat/>
    <w:uiPriority w:val="0"/>
    <w:rPr>
      <w:i/>
      <w:iCs/>
      <w:color w:val="5B9BD5"/>
    </w:rPr>
  </w:style>
  <w:style w:type="character" w:customStyle="1" w:styleId="750">
    <w:name w:val="lawsitemtext1"/>
    <w:qFormat/>
    <w:uiPriority w:val="0"/>
    <w:rPr>
      <w:color w:val="696969"/>
      <w:spacing w:val="280"/>
      <w:sz w:val="21"/>
      <w:szCs w:val="21"/>
    </w:rPr>
  </w:style>
  <w:style w:type="character" w:customStyle="1" w:styleId="751">
    <w:name w:val="文字 Char Char"/>
    <w:link w:val="752"/>
    <w:qFormat/>
    <w:uiPriority w:val="0"/>
    <w:rPr>
      <w:rFonts w:ascii="楷体_GB2312" w:eastAsia="楷体_GB2312"/>
      <w:sz w:val="28"/>
    </w:rPr>
  </w:style>
  <w:style w:type="paragraph" w:customStyle="1" w:styleId="752">
    <w:name w:val="文字"/>
    <w:basedOn w:val="1"/>
    <w:link w:val="751"/>
    <w:qFormat/>
    <w:uiPriority w:val="0"/>
    <w:pPr>
      <w:tabs>
        <w:tab w:val="left" w:pos="8520"/>
      </w:tabs>
      <w:spacing w:line="312" w:lineRule="auto"/>
      <w:ind w:right="-210" w:firstLine="556"/>
    </w:pPr>
    <w:rPr>
      <w:rFonts w:ascii="楷体_GB2312" w:eastAsia="楷体_GB2312"/>
      <w:sz w:val="28"/>
      <w:szCs w:val="20"/>
      <w:lang w:eastAsia="en-US"/>
    </w:rPr>
  </w:style>
  <w:style w:type="character" w:customStyle="1" w:styleId="753">
    <w:name w:val="l151"/>
    <w:qFormat/>
    <w:uiPriority w:val="0"/>
  </w:style>
  <w:style w:type="character" w:customStyle="1" w:styleId="754">
    <w:name w:val="Char Char31"/>
    <w:qFormat/>
    <w:uiPriority w:val="0"/>
    <w:rPr>
      <w:rFonts w:eastAsia="宋体"/>
      <w:sz w:val="21"/>
      <w:szCs w:val="24"/>
      <w:lang w:val="en-US" w:eastAsia="zh-CN" w:bidi="ar-SA"/>
    </w:rPr>
  </w:style>
  <w:style w:type="character" w:customStyle="1" w:styleId="755">
    <w:name w:val="EmailStyle891"/>
    <w:qFormat/>
    <w:uiPriority w:val="0"/>
    <w:rPr>
      <w:rFonts w:ascii="Arial" w:hAnsi="Arial" w:eastAsia="宋体" w:cs="Arial"/>
      <w:color w:val="000000"/>
      <w:sz w:val="20"/>
    </w:rPr>
  </w:style>
  <w:style w:type="character" w:customStyle="1" w:styleId="756">
    <w:name w:val="一级条标题 Char"/>
    <w:qFormat/>
    <w:uiPriority w:val="0"/>
    <w:rPr>
      <w:rFonts w:ascii="黑体" w:hAnsi="Times New Roman" w:eastAsia="黑体" w:cs="Times New Roman"/>
      <w:szCs w:val="20"/>
    </w:rPr>
  </w:style>
  <w:style w:type="character" w:customStyle="1" w:styleId="757">
    <w:name w:val="EmailStyle901"/>
    <w:qFormat/>
    <w:uiPriority w:val="0"/>
    <w:rPr>
      <w:rFonts w:ascii="Arial" w:hAnsi="Arial" w:eastAsia="宋体" w:cs="Arial"/>
      <w:color w:val="000000"/>
      <w:sz w:val="20"/>
    </w:rPr>
  </w:style>
  <w:style w:type="character" w:customStyle="1" w:styleId="758">
    <w:name w:val="small1"/>
    <w:qFormat/>
    <w:uiPriority w:val="0"/>
    <w:rPr>
      <w:rFonts w:ascii="Verdana" w:hAnsi="Verdana"/>
      <w:sz w:val="18"/>
      <w:szCs w:val="18"/>
    </w:rPr>
  </w:style>
  <w:style w:type="character" w:customStyle="1" w:styleId="759">
    <w:name w:val="二级条标题 Char"/>
    <w:qFormat/>
    <w:uiPriority w:val="0"/>
    <w:rPr>
      <w:rFonts w:ascii="黑体" w:hAnsi="Times New Roman" w:eastAsia="黑体" w:cs="Times New Roman"/>
      <w:szCs w:val="20"/>
    </w:rPr>
  </w:style>
  <w:style w:type="character" w:customStyle="1" w:styleId="760">
    <w:name w:val="fnt1"/>
    <w:qFormat/>
    <w:uiPriority w:val="0"/>
    <w:rPr>
      <w:rFonts w:ascii="Verdana" w:hAnsi="Verdana"/>
      <w:color w:val="666666"/>
      <w:sz w:val="18"/>
      <w:szCs w:val="18"/>
    </w:rPr>
  </w:style>
  <w:style w:type="character" w:customStyle="1" w:styleId="761">
    <w:name w:val="三级条标题 Char"/>
    <w:link w:val="762"/>
    <w:qFormat/>
    <w:uiPriority w:val="0"/>
    <w:rPr>
      <w:rFonts w:ascii="黑体" w:eastAsia="黑体"/>
    </w:rPr>
  </w:style>
  <w:style w:type="paragraph" w:customStyle="1" w:styleId="762">
    <w:name w:val="三级条标题"/>
    <w:basedOn w:val="438"/>
    <w:next w:val="64"/>
    <w:link w:val="761"/>
    <w:qFormat/>
    <w:uiPriority w:val="0"/>
    <w:pPr>
      <w:tabs>
        <w:tab w:val="left" w:pos="1440"/>
      </w:tabs>
      <w:ind w:left="780" w:hanging="360"/>
      <w:outlineLvl w:val="4"/>
    </w:pPr>
  </w:style>
  <w:style w:type="character" w:customStyle="1" w:styleId="763">
    <w:name w:val="paragraph1 Char"/>
    <w:link w:val="764"/>
    <w:qFormat/>
    <w:uiPriority w:val="0"/>
    <w:rPr>
      <w:rFonts w:ascii="仿宋_GB2312" w:eastAsia="仿宋_GB2312"/>
      <w:sz w:val="28"/>
      <w:szCs w:val="24"/>
    </w:rPr>
  </w:style>
  <w:style w:type="paragraph" w:customStyle="1" w:styleId="764">
    <w:name w:val="paragraph1"/>
    <w:basedOn w:val="1"/>
    <w:link w:val="763"/>
    <w:qFormat/>
    <w:uiPriority w:val="0"/>
    <w:pPr>
      <w:spacing w:line="360" w:lineRule="auto"/>
      <w:ind w:firstLine="200"/>
    </w:pPr>
    <w:rPr>
      <w:rFonts w:ascii="仿宋_GB2312" w:eastAsia="仿宋_GB2312"/>
      <w:sz w:val="28"/>
      <w:lang w:eastAsia="en-US"/>
    </w:rPr>
  </w:style>
  <w:style w:type="character" w:customStyle="1" w:styleId="765">
    <w:name w:val="注： Char"/>
    <w:link w:val="766"/>
    <w:qFormat/>
    <w:uiPriority w:val="0"/>
    <w:rPr>
      <w:rFonts w:ascii="宋体" w:hAnsi="等线" w:eastAsia="Arial" w:cs="Arial"/>
      <w:sz w:val="18"/>
      <w:szCs w:val="22"/>
      <w:lang w:val="en-US" w:eastAsia="zh-CN" w:bidi="ar-SA"/>
    </w:rPr>
  </w:style>
  <w:style w:type="paragraph" w:customStyle="1" w:styleId="766">
    <w:name w:val="注："/>
    <w:next w:val="64"/>
    <w:link w:val="765"/>
    <w:qFormat/>
    <w:uiPriority w:val="0"/>
    <w:pPr>
      <w:widowControl w:val="0"/>
      <w:tabs>
        <w:tab w:val="left" w:pos="1200"/>
      </w:tabs>
      <w:ind w:left="840" w:hanging="420"/>
      <w:jc w:val="both"/>
    </w:pPr>
    <w:rPr>
      <w:rFonts w:hint="default" w:ascii="宋体" w:hAnsi="等线" w:eastAsia="Arial" w:cs="Arial"/>
      <w:sz w:val="18"/>
      <w:szCs w:val="22"/>
      <w:lang w:val="en-US" w:eastAsia="zh-CN" w:bidi="ar-SA"/>
    </w:rPr>
  </w:style>
  <w:style w:type="character" w:customStyle="1" w:styleId="767">
    <w:name w:val="EmailStyle1271"/>
    <w:qFormat/>
    <w:uiPriority w:val="0"/>
    <w:rPr>
      <w:rFonts w:ascii="Arial" w:hAnsi="Arial" w:eastAsia="宋体" w:cs="Arial"/>
      <w:color w:val="000000"/>
      <w:sz w:val="20"/>
    </w:rPr>
  </w:style>
  <w:style w:type="character" w:customStyle="1" w:styleId="768">
    <w:name w:val="WW-Absatz-Standardschriftart1111"/>
    <w:qFormat/>
    <w:uiPriority w:val="0"/>
  </w:style>
  <w:style w:type="character" w:customStyle="1" w:styleId="769">
    <w:name w:val="EmailStyle1281"/>
    <w:qFormat/>
    <w:uiPriority w:val="0"/>
    <w:rPr>
      <w:rFonts w:ascii="Arial" w:hAnsi="Arial" w:eastAsia="宋体" w:cs="Arial"/>
      <w:color w:val="000000"/>
      <w:sz w:val="20"/>
    </w:rPr>
  </w:style>
  <w:style w:type="character" w:customStyle="1" w:styleId="770">
    <w:name w:val="WW8Num1z7"/>
    <w:qFormat/>
    <w:uiPriority w:val="0"/>
    <w:rPr>
      <w:rFonts w:ascii="Wingdings" w:hAnsi="Wingdings"/>
    </w:rPr>
  </w:style>
  <w:style w:type="character" w:customStyle="1" w:styleId="771">
    <w:name w:val="EmailStyle170"/>
    <w:qFormat/>
    <w:uiPriority w:val="0"/>
    <w:rPr>
      <w:rFonts w:ascii="Arial" w:hAnsi="Arial" w:eastAsia="宋体" w:cs="Arial"/>
      <w:color w:val="000000"/>
      <w:sz w:val="20"/>
    </w:rPr>
  </w:style>
  <w:style w:type="character" w:customStyle="1" w:styleId="772">
    <w:name w:val="WW8Num19z2"/>
    <w:qFormat/>
    <w:uiPriority w:val="0"/>
    <w:rPr>
      <w:rFonts w:ascii="StarSymbol" w:hAnsi="StarSymbol" w:cs="StarSymbol"/>
      <w:sz w:val="18"/>
      <w:szCs w:val="18"/>
    </w:rPr>
  </w:style>
  <w:style w:type="character" w:customStyle="1" w:styleId="773">
    <w:name w:val="EmailStyle171"/>
    <w:qFormat/>
    <w:uiPriority w:val="0"/>
    <w:rPr>
      <w:rFonts w:ascii="Arial" w:hAnsi="Arial" w:eastAsia="宋体" w:cs="Arial"/>
      <w:color w:val="000000"/>
      <w:sz w:val="20"/>
    </w:rPr>
  </w:style>
  <w:style w:type="character" w:customStyle="1" w:styleId="774">
    <w:name w:val="WW8Num7z0"/>
    <w:qFormat/>
    <w:uiPriority w:val="0"/>
    <w:rPr>
      <w:rFonts w:ascii="Wingdings" w:hAnsi="Wingdings"/>
    </w:rPr>
  </w:style>
  <w:style w:type="character" w:customStyle="1" w:styleId="775">
    <w:name w:val="Char Char311"/>
    <w:qFormat/>
    <w:uiPriority w:val="0"/>
    <w:rPr>
      <w:rFonts w:eastAsia="宋体"/>
      <w:sz w:val="21"/>
      <w:szCs w:val="24"/>
      <w:lang w:val="en-US" w:eastAsia="zh-CN" w:bidi="ar-SA"/>
    </w:rPr>
  </w:style>
  <w:style w:type="character" w:customStyle="1" w:styleId="776">
    <w:name w:val="WW8Num25z1"/>
    <w:qFormat/>
    <w:uiPriority w:val="0"/>
    <w:rPr>
      <w:rFonts w:ascii="Wingdings 2" w:hAnsi="Wingdings 2" w:cs="StarSymbol"/>
      <w:sz w:val="18"/>
      <w:szCs w:val="18"/>
    </w:rPr>
  </w:style>
  <w:style w:type="character" w:customStyle="1" w:styleId="777">
    <w:name w:val="EmailStyle200"/>
    <w:qFormat/>
    <w:uiPriority w:val="0"/>
    <w:rPr>
      <w:rFonts w:ascii="Arial" w:hAnsi="Arial" w:eastAsia="宋体" w:cs="Arial"/>
      <w:color w:val="000000"/>
      <w:sz w:val="20"/>
    </w:rPr>
  </w:style>
  <w:style w:type="character" w:customStyle="1" w:styleId="778">
    <w:name w:val="WW8Num11z0"/>
    <w:qFormat/>
    <w:uiPriority w:val="0"/>
    <w:rPr>
      <w:rFonts w:ascii="Wingdings" w:hAnsi="Wingdings" w:cs="StarSymbol"/>
      <w:sz w:val="18"/>
      <w:szCs w:val="18"/>
    </w:rPr>
  </w:style>
  <w:style w:type="character" w:customStyle="1" w:styleId="779">
    <w:name w:val="EmailStyle201"/>
    <w:qFormat/>
    <w:uiPriority w:val="0"/>
    <w:rPr>
      <w:rFonts w:ascii="Arial" w:hAnsi="Arial" w:eastAsia="宋体" w:cs="Arial"/>
      <w:color w:val="000000"/>
      <w:sz w:val="20"/>
    </w:rPr>
  </w:style>
  <w:style w:type="character" w:customStyle="1" w:styleId="780">
    <w:name w:val="个人撰写风格"/>
    <w:qFormat/>
    <w:uiPriority w:val="0"/>
    <w:rPr>
      <w:rFonts w:ascii="Arial" w:hAnsi="Arial" w:eastAsia="宋体" w:cs="Arial"/>
      <w:color w:val="000000"/>
      <w:sz w:val="20"/>
    </w:rPr>
  </w:style>
  <w:style w:type="character" w:customStyle="1" w:styleId="781">
    <w:name w:val="zn2 Char"/>
    <w:link w:val="782"/>
    <w:qFormat/>
    <w:uiPriority w:val="0"/>
    <w:rPr>
      <w:rFonts w:ascii="华文楷体" w:hAnsi="Cambria" w:eastAsia="仿宋_GB2312"/>
      <w:b/>
      <w:bCs/>
      <w:sz w:val="32"/>
      <w:szCs w:val="32"/>
    </w:rPr>
  </w:style>
  <w:style w:type="paragraph" w:customStyle="1" w:styleId="782">
    <w:name w:val="zn2"/>
    <w:basedOn w:val="4"/>
    <w:link w:val="781"/>
    <w:qFormat/>
    <w:uiPriority w:val="0"/>
    <w:pPr>
      <w:tabs>
        <w:tab w:val="left" w:pos="0"/>
        <w:tab w:val="left" w:pos="425"/>
        <w:tab w:val="left" w:pos="567"/>
        <w:tab w:val="left" w:pos="780"/>
      </w:tabs>
      <w:spacing w:before="0" w:after="0" w:line="560" w:lineRule="exact"/>
      <w:ind w:left="780" w:hanging="360"/>
      <w:jc w:val="left"/>
    </w:pPr>
    <w:rPr>
      <w:rFonts w:ascii="华文楷体" w:hAnsi="Cambria" w:eastAsia="仿宋_GB2312"/>
      <w:bCs/>
      <w:sz w:val="32"/>
      <w:szCs w:val="32"/>
      <w:lang w:eastAsia="en-US"/>
    </w:rPr>
  </w:style>
  <w:style w:type="character" w:customStyle="1" w:styleId="783">
    <w:name w:val="引用 字符1"/>
    <w:qFormat/>
    <w:uiPriority w:val="99"/>
    <w:rPr>
      <w:rFonts w:ascii="Times New Roman" w:hAnsi="Times New Roman" w:eastAsia="宋体" w:cs="Times New Roman"/>
      <w:i/>
      <w:iCs/>
      <w:color w:val="404040"/>
      <w:szCs w:val="24"/>
    </w:rPr>
  </w:style>
  <w:style w:type="character" w:customStyle="1" w:styleId="784">
    <w:name w:val="zn3 Char"/>
    <w:link w:val="785"/>
    <w:qFormat/>
    <w:uiPriority w:val="0"/>
    <w:rPr>
      <w:rFonts w:ascii="仿宋_GB2312" w:hAnsi="仿宋_GB2312" w:eastAsia="仿宋_GB2312"/>
      <w:b/>
      <w:bCs/>
      <w:sz w:val="32"/>
      <w:szCs w:val="32"/>
    </w:rPr>
  </w:style>
  <w:style w:type="paragraph" w:customStyle="1" w:styleId="785">
    <w:name w:val="zn3"/>
    <w:basedOn w:val="5"/>
    <w:next w:val="1"/>
    <w:link w:val="784"/>
    <w:qFormat/>
    <w:uiPriority w:val="0"/>
    <w:pPr>
      <w:tabs>
        <w:tab w:val="left" w:pos="0"/>
        <w:tab w:val="left" w:pos="425"/>
        <w:tab w:val="left" w:pos="780"/>
        <w:tab w:val="left" w:pos="1069"/>
      </w:tabs>
      <w:spacing w:before="0" w:after="0" w:line="560" w:lineRule="exact"/>
      <w:ind w:left="780" w:hanging="360"/>
      <w:jc w:val="left"/>
    </w:pPr>
    <w:rPr>
      <w:rFonts w:ascii="仿宋_GB2312" w:hAnsi="仿宋_GB2312" w:eastAsia="仿宋_GB2312"/>
      <w:bCs/>
      <w:szCs w:val="32"/>
    </w:rPr>
  </w:style>
  <w:style w:type="character" w:customStyle="1" w:styleId="786">
    <w:name w:val="明显引用 字符"/>
    <w:link w:val="787"/>
    <w:qFormat/>
    <w:uiPriority w:val="0"/>
    <w:rPr>
      <w:b/>
      <w:bCs/>
      <w:i/>
      <w:iCs/>
      <w:color w:val="4F81BD"/>
      <w:sz w:val="22"/>
      <w:lang w:eastAsia="en-US" w:bidi="en-US"/>
    </w:rPr>
  </w:style>
  <w:style w:type="paragraph" w:customStyle="1" w:styleId="787">
    <w:name w:val="明显引用11"/>
    <w:basedOn w:val="1"/>
    <w:next w:val="1"/>
    <w:link w:val="786"/>
    <w:qFormat/>
    <w:uiPriority w:val="0"/>
    <w:pPr>
      <w:widowControl/>
      <w:pBdr>
        <w:bottom w:val="single" w:color="4F81BD" w:sz="4" w:space="4"/>
      </w:pBdr>
      <w:spacing w:before="200" w:after="280" w:line="276" w:lineRule="auto"/>
      <w:ind w:left="936" w:right="936"/>
      <w:jc w:val="left"/>
    </w:pPr>
    <w:rPr>
      <w:b/>
      <w:bCs/>
      <w:i/>
      <w:iCs/>
      <w:color w:val="4F81BD"/>
      <w:sz w:val="22"/>
      <w:szCs w:val="20"/>
      <w:lang w:eastAsia="en-US" w:bidi="en-US"/>
    </w:rPr>
  </w:style>
  <w:style w:type="character" w:customStyle="1" w:styleId="788">
    <w:name w:val="标题 5 Char1"/>
    <w:qFormat/>
    <w:uiPriority w:val="0"/>
    <w:rPr>
      <w:b/>
      <w:bCs/>
      <w:sz w:val="28"/>
      <w:szCs w:val="28"/>
    </w:rPr>
  </w:style>
  <w:style w:type="character" w:customStyle="1" w:styleId="789">
    <w:name w:val="明显引用 字符1"/>
    <w:qFormat/>
    <w:uiPriority w:val="99"/>
    <w:rPr>
      <w:rFonts w:ascii="Times New Roman" w:hAnsi="Times New Roman" w:eastAsia="宋体" w:cs="Times New Roman"/>
      <w:i/>
      <w:iCs/>
      <w:color w:val="4F81BD"/>
      <w:szCs w:val="24"/>
    </w:rPr>
  </w:style>
  <w:style w:type="character" w:customStyle="1" w:styleId="790">
    <w:name w:val="标题 6 Char1"/>
    <w:qFormat/>
    <w:uiPriority w:val="0"/>
    <w:rPr>
      <w:rFonts w:ascii="Calibri Light" w:hAnsi="Calibri Light" w:eastAsia="宋体" w:cs="Times New Roman"/>
      <w:b/>
      <w:bCs/>
      <w:sz w:val="24"/>
      <w:szCs w:val="24"/>
    </w:rPr>
  </w:style>
  <w:style w:type="character" w:customStyle="1" w:styleId="791">
    <w:name w:val="明显引用 Char1"/>
    <w:qFormat/>
    <w:uiPriority w:val="30"/>
    <w:rPr>
      <w:i/>
      <w:iCs/>
      <w:color w:val="5B9BD5"/>
      <w:sz w:val="24"/>
    </w:rPr>
  </w:style>
  <w:style w:type="character" w:customStyle="1" w:styleId="792">
    <w:name w:val="标题 7 Char1"/>
    <w:qFormat/>
    <w:uiPriority w:val="0"/>
    <w:rPr>
      <w:b/>
      <w:bCs/>
      <w:sz w:val="24"/>
      <w:szCs w:val="24"/>
    </w:rPr>
  </w:style>
  <w:style w:type="character" w:customStyle="1" w:styleId="793">
    <w:name w:val="引用 字符"/>
    <w:link w:val="794"/>
    <w:qFormat/>
    <w:uiPriority w:val="0"/>
    <w:rPr>
      <w:i/>
      <w:iCs/>
      <w:color w:val="000000"/>
      <w:sz w:val="22"/>
      <w:lang w:eastAsia="en-US" w:bidi="en-US"/>
    </w:rPr>
  </w:style>
  <w:style w:type="paragraph" w:customStyle="1" w:styleId="794">
    <w:name w:val="引用11"/>
    <w:basedOn w:val="1"/>
    <w:next w:val="1"/>
    <w:link w:val="793"/>
    <w:qFormat/>
    <w:uiPriority w:val="0"/>
    <w:pPr>
      <w:widowControl/>
      <w:spacing w:after="200" w:line="276" w:lineRule="auto"/>
      <w:jc w:val="left"/>
    </w:pPr>
    <w:rPr>
      <w:i/>
      <w:iCs/>
      <w:color w:val="000000"/>
      <w:sz w:val="22"/>
      <w:szCs w:val="20"/>
      <w:lang w:eastAsia="en-US" w:bidi="en-US"/>
    </w:rPr>
  </w:style>
  <w:style w:type="character" w:customStyle="1" w:styleId="795">
    <w:name w:val="标题 8 Char1"/>
    <w:qFormat/>
    <w:uiPriority w:val="0"/>
    <w:rPr>
      <w:rFonts w:ascii="Calibri Light" w:hAnsi="Calibri Light" w:eastAsia="宋体" w:cs="Times New Roman"/>
      <w:sz w:val="24"/>
      <w:szCs w:val="24"/>
    </w:rPr>
  </w:style>
  <w:style w:type="character" w:customStyle="1" w:styleId="796">
    <w:name w:val="不明显参考1"/>
    <w:qFormat/>
    <w:uiPriority w:val="0"/>
    <w:rPr>
      <w:smallCaps/>
      <w:color w:val="C0504D"/>
      <w:u w:val="single"/>
    </w:rPr>
  </w:style>
  <w:style w:type="character" w:customStyle="1" w:styleId="797">
    <w:name w:val="标题 9 Char1"/>
    <w:qFormat/>
    <w:uiPriority w:val="0"/>
    <w:rPr>
      <w:rFonts w:ascii="Calibri Light" w:hAnsi="Calibri Light" w:eastAsia="宋体" w:cs="Times New Roman"/>
      <w:sz w:val="21"/>
      <w:szCs w:val="21"/>
    </w:rPr>
  </w:style>
  <w:style w:type="character" w:customStyle="1" w:styleId="798">
    <w:name w:val="明显参考1"/>
    <w:qFormat/>
    <w:uiPriority w:val="0"/>
    <w:rPr>
      <w:b/>
      <w:bCs/>
      <w:smallCaps/>
      <w:color w:val="C0504D"/>
      <w:spacing w:val="5"/>
      <w:u w:val="single"/>
    </w:rPr>
  </w:style>
  <w:style w:type="character" w:customStyle="1" w:styleId="799">
    <w:name w:val="脚注文本 Char1"/>
    <w:semiHidden/>
    <w:qFormat/>
    <w:uiPriority w:val="0"/>
    <w:rPr>
      <w:sz w:val="18"/>
      <w:szCs w:val="18"/>
    </w:rPr>
  </w:style>
  <w:style w:type="character" w:customStyle="1" w:styleId="800">
    <w:name w:val="tpc_content1"/>
    <w:qFormat/>
    <w:uiPriority w:val="0"/>
    <w:rPr>
      <w:sz w:val="19"/>
      <w:szCs w:val="19"/>
    </w:rPr>
  </w:style>
  <w:style w:type="character" w:customStyle="1" w:styleId="801">
    <w:name w:val="日期 Char1"/>
    <w:qFormat/>
    <w:uiPriority w:val="0"/>
    <w:rPr>
      <w:sz w:val="21"/>
      <w:szCs w:val="24"/>
    </w:rPr>
  </w:style>
  <w:style w:type="character" w:customStyle="1" w:styleId="802">
    <w:name w:val="书籍标题1"/>
    <w:qFormat/>
    <w:uiPriority w:val="0"/>
    <w:rPr>
      <w:b/>
      <w:bCs/>
      <w:smallCaps/>
      <w:spacing w:val="5"/>
    </w:rPr>
  </w:style>
  <w:style w:type="character" w:customStyle="1" w:styleId="803">
    <w:name w:val="正文文本 2 Char1"/>
    <w:qFormat/>
    <w:uiPriority w:val="99"/>
    <w:rPr>
      <w:sz w:val="21"/>
      <w:szCs w:val="24"/>
    </w:rPr>
  </w:style>
  <w:style w:type="character" w:customStyle="1" w:styleId="804">
    <w:name w:val="short_text1"/>
    <w:qFormat/>
    <w:uiPriority w:val="0"/>
    <w:rPr>
      <w:sz w:val="26"/>
      <w:szCs w:val="26"/>
    </w:rPr>
  </w:style>
  <w:style w:type="character" w:customStyle="1" w:styleId="805">
    <w:name w:val="正文文本 3 Char1"/>
    <w:qFormat/>
    <w:uiPriority w:val="0"/>
    <w:rPr>
      <w:sz w:val="16"/>
      <w:szCs w:val="16"/>
    </w:rPr>
  </w:style>
  <w:style w:type="character" w:customStyle="1" w:styleId="806">
    <w:name w:val="ABC标题下的小点 Char"/>
    <w:link w:val="807"/>
    <w:qFormat/>
    <w:uiPriority w:val="0"/>
    <w:rPr>
      <w:rFonts w:ascii="宋体" w:hAnsi="宋体"/>
    </w:rPr>
  </w:style>
  <w:style w:type="paragraph" w:customStyle="1" w:styleId="807">
    <w:name w:val="ABC标题下的小点"/>
    <w:basedOn w:val="1"/>
    <w:link w:val="806"/>
    <w:qFormat/>
    <w:uiPriority w:val="0"/>
    <w:pPr>
      <w:tabs>
        <w:tab w:val="left" w:pos="1260"/>
      </w:tabs>
      <w:spacing w:line="360" w:lineRule="auto"/>
      <w:ind w:left="1190" w:hanging="567"/>
    </w:pPr>
    <w:rPr>
      <w:rFonts w:ascii="宋体" w:hAnsi="宋体"/>
      <w:sz w:val="20"/>
      <w:szCs w:val="20"/>
      <w:lang w:eastAsia="en-US"/>
    </w:rPr>
  </w:style>
  <w:style w:type="character" w:customStyle="1" w:styleId="808">
    <w:name w:val="标题 Char1"/>
    <w:qFormat/>
    <w:uiPriority w:val="0"/>
    <w:rPr>
      <w:rFonts w:ascii="Calibri Light" w:hAnsi="Calibri Light" w:cs="Times New Roman"/>
      <w:b/>
      <w:bCs/>
      <w:sz w:val="32"/>
      <w:szCs w:val="32"/>
    </w:rPr>
  </w:style>
  <w:style w:type="character" w:customStyle="1" w:styleId="809">
    <w:name w:val="style21"/>
    <w:qFormat/>
    <w:uiPriority w:val="0"/>
    <w:rPr>
      <w:color w:val="000080"/>
    </w:rPr>
  </w:style>
  <w:style w:type="character" w:customStyle="1" w:styleId="810">
    <w:name w:val="注释标题 Char1"/>
    <w:qFormat/>
    <w:uiPriority w:val="0"/>
    <w:rPr>
      <w:sz w:val="21"/>
      <w:szCs w:val="24"/>
    </w:rPr>
  </w:style>
  <w:style w:type="character" w:customStyle="1" w:styleId="811">
    <w:name w:val="ns1"/>
    <w:qFormat/>
    <w:uiPriority w:val="0"/>
    <w:rPr>
      <w:color w:val="FF0000"/>
    </w:rPr>
  </w:style>
  <w:style w:type="character" w:customStyle="1" w:styleId="812">
    <w:name w:val="zn1 Char"/>
    <w:link w:val="813"/>
    <w:qFormat/>
    <w:uiPriority w:val="0"/>
    <w:rPr>
      <w:rFonts w:ascii="黑体" w:hAnsi="仿宋_GB2312" w:eastAsia="黑体"/>
      <w:bCs/>
      <w:sz w:val="36"/>
      <w:szCs w:val="32"/>
      <w:lang w:val="zh-CN"/>
    </w:rPr>
  </w:style>
  <w:style w:type="paragraph" w:customStyle="1" w:styleId="813">
    <w:name w:val="zn1"/>
    <w:basedOn w:val="3"/>
    <w:link w:val="812"/>
    <w:qFormat/>
    <w:uiPriority w:val="0"/>
    <w:pPr>
      <w:keepLines/>
      <w:tabs>
        <w:tab w:val="left" w:pos="0"/>
      </w:tabs>
      <w:spacing w:line="560" w:lineRule="exact"/>
      <w:jc w:val="left"/>
    </w:pPr>
    <w:rPr>
      <w:rFonts w:ascii="黑体" w:hAnsi="仿宋_GB2312" w:eastAsia="黑体"/>
      <w:bCs/>
      <w:sz w:val="36"/>
      <w:szCs w:val="32"/>
      <w:lang w:val="zh-CN"/>
    </w:rPr>
  </w:style>
  <w:style w:type="character" w:customStyle="1" w:styleId="814">
    <w:name w:val="hilite2"/>
    <w:qFormat/>
    <w:uiPriority w:val="0"/>
  </w:style>
  <w:style w:type="character" w:customStyle="1" w:styleId="815">
    <w:name w:val="WC三级 Char"/>
    <w:link w:val="816"/>
    <w:qFormat/>
    <w:uiPriority w:val="0"/>
    <w:rPr>
      <w:b/>
      <w:sz w:val="32"/>
      <w:lang w:val="zh-CN"/>
    </w:rPr>
  </w:style>
  <w:style w:type="paragraph" w:customStyle="1" w:styleId="816">
    <w:name w:val="WC三级"/>
    <w:basedOn w:val="5"/>
    <w:link w:val="815"/>
    <w:qFormat/>
    <w:uiPriority w:val="0"/>
    <w:pPr>
      <w:tabs>
        <w:tab w:val="left" w:pos="0"/>
        <w:tab w:val="left" w:pos="1069"/>
      </w:tabs>
      <w:spacing w:before="0" w:after="0" w:line="240" w:lineRule="auto"/>
      <w:ind w:left="1069" w:hanging="709"/>
    </w:pPr>
    <w:rPr>
      <w:lang w:val="zh-CN"/>
    </w:rPr>
  </w:style>
  <w:style w:type="character" w:customStyle="1" w:styleId="817">
    <w:name w:val="个人答复风格"/>
    <w:qFormat/>
    <w:uiPriority w:val="0"/>
    <w:rPr>
      <w:rFonts w:ascii="Arial" w:hAnsi="Arial" w:eastAsia="宋体" w:cs="Arial"/>
      <w:color w:val="000000"/>
      <w:sz w:val="20"/>
    </w:rPr>
  </w:style>
  <w:style w:type="character" w:customStyle="1" w:styleId="818">
    <w:name w:val="WC二级 Char"/>
    <w:link w:val="819"/>
    <w:qFormat/>
    <w:uiPriority w:val="0"/>
    <w:rPr>
      <w:rFonts w:ascii="Arial" w:hAnsi="Arial" w:eastAsia="黑体"/>
      <w:b/>
      <w:sz w:val="32"/>
      <w:lang w:val="zh-CN"/>
    </w:rPr>
  </w:style>
  <w:style w:type="paragraph" w:customStyle="1" w:styleId="819">
    <w:name w:val="WC二级"/>
    <w:basedOn w:val="4"/>
    <w:link w:val="818"/>
    <w:qFormat/>
    <w:uiPriority w:val="0"/>
    <w:pPr>
      <w:tabs>
        <w:tab w:val="left" w:pos="0"/>
        <w:tab w:val="left" w:pos="567"/>
      </w:tabs>
      <w:spacing w:line="240" w:lineRule="auto"/>
      <w:ind w:left="567" w:hanging="567"/>
      <w:jc w:val="both"/>
    </w:pPr>
    <w:rPr>
      <w:rFonts w:ascii="Arial" w:eastAsia="黑体"/>
      <w:sz w:val="32"/>
      <w:lang w:val="zh-CN" w:eastAsia="en-US"/>
    </w:rPr>
  </w:style>
  <w:style w:type="character" w:customStyle="1" w:styleId="820">
    <w:name w:val="b1"/>
    <w:qFormat/>
    <w:uiPriority w:val="0"/>
    <w:rPr>
      <w:rFonts w:ascii="Courier New" w:hAnsi="Courier New" w:cs="Courier New"/>
      <w:b/>
      <w:bCs/>
      <w:color w:val="FF0000"/>
      <w:u w:val="none"/>
    </w:rPr>
  </w:style>
  <w:style w:type="character" w:customStyle="1" w:styleId="821">
    <w:name w:val="样式sjw Char"/>
    <w:link w:val="822"/>
    <w:qFormat/>
    <w:uiPriority w:val="0"/>
    <w:rPr>
      <w:rFonts w:ascii="宋体" w:hAnsi="宋体"/>
      <w:caps/>
      <w:color w:val="000000"/>
      <w:sz w:val="18"/>
      <w:szCs w:val="18"/>
      <w:shd w:val="pct10" w:color="auto" w:fill="auto"/>
      <w:lang w:val="zh-CN"/>
    </w:rPr>
  </w:style>
  <w:style w:type="paragraph" w:customStyle="1" w:styleId="822">
    <w:name w:val="样式sjw"/>
    <w:basedOn w:val="1"/>
    <w:link w:val="821"/>
    <w:qFormat/>
    <w:uiPriority w:val="0"/>
    <w:pPr>
      <w:widowControl/>
      <w:shd w:val="pct10" w:color="auto" w:fill="auto"/>
      <w:jc w:val="left"/>
    </w:pPr>
    <w:rPr>
      <w:rFonts w:ascii="宋体" w:hAnsi="宋体"/>
      <w:caps/>
      <w:color w:val="000000"/>
      <w:sz w:val="18"/>
      <w:szCs w:val="18"/>
      <w:lang w:val="zh-CN" w:eastAsia="en-US"/>
    </w:rPr>
  </w:style>
  <w:style w:type="character" w:customStyle="1" w:styleId="823">
    <w:name w:val="myp1111"/>
    <w:qFormat/>
    <w:uiPriority w:val="0"/>
    <w:rPr>
      <w:rFonts w:ascii="ˎ̥" w:hAnsi="ˎ̥"/>
      <w:color w:val="000000"/>
      <w:sz w:val="20"/>
      <w:szCs w:val="20"/>
      <w:u w:val="none"/>
    </w:rPr>
  </w:style>
  <w:style w:type="character" w:customStyle="1" w:styleId="824">
    <w:name w:val="faqa1"/>
    <w:qFormat/>
    <w:uiPriority w:val="0"/>
    <w:rPr>
      <w:rFonts w:hint="eastAsia" w:ascii="微软雅黑" w:hAnsi="微软雅黑" w:eastAsia="微软雅黑"/>
      <w:b/>
      <w:bCs/>
      <w:sz w:val="27"/>
      <w:szCs w:val="27"/>
    </w:rPr>
  </w:style>
  <w:style w:type="character" w:customStyle="1" w:styleId="825">
    <w:name w:val="表头文字(同正文大小) Char"/>
    <w:link w:val="826"/>
    <w:qFormat/>
    <w:uiPriority w:val="0"/>
    <w:rPr>
      <w:rFonts w:eastAsia="黑体"/>
      <w:lang w:eastAsia="en-US"/>
    </w:rPr>
  </w:style>
  <w:style w:type="paragraph" w:customStyle="1" w:styleId="826">
    <w:name w:val="表头文字(同正文大小)"/>
    <w:basedOn w:val="1"/>
    <w:link w:val="825"/>
    <w:qFormat/>
    <w:uiPriority w:val="0"/>
    <w:pPr>
      <w:spacing w:line="264" w:lineRule="auto"/>
      <w:jc w:val="center"/>
    </w:pPr>
    <w:rPr>
      <w:rFonts w:eastAsia="黑体"/>
      <w:sz w:val="20"/>
      <w:szCs w:val="20"/>
      <w:lang w:eastAsia="en-US"/>
    </w:rPr>
  </w:style>
  <w:style w:type="character" w:customStyle="1" w:styleId="827">
    <w:name w:val="faqq1"/>
    <w:qFormat/>
    <w:uiPriority w:val="0"/>
    <w:rPr>
      <w:rFonts w:hint="eastAsia" w:ascii="微软雅黑" w:hAnsi="微软雅黑" w:eastAsia="微软雅黑"/>
      <w:sz w:val="24"/>
      <w:szCs w:val="24"/>
    </w:rPr>
  </w:style>
  <w:style w:type="character" w:customStyle="1" w:styleId="828">
    <w:name w:val="表格 Char"/>
    <w:qFormat/>
    <w:uiPriority w:val="0"/>
    <w:rPr>
      <w:rFonts w:ascii="Times New Roman" w:hAnsi="Times New Roman" w:eastAsia="宋体" w:cs="Times New Roman"/>
      <w:sz w:val="24"/>
      <w:szCs w:val="24"/>
    </w:rPr>
  </w:style>
  <w:style w:type="character" w:customStyle="1" w:styleId="829">
    <w:name w:val="题注 Char1"/>
    <w:qFormat/>
    <w:uiPriority w:val="0"/>
    <w:rPr>
      <w:rFonts w:ascii="Arial" w:hAnsi="Arial" w:eastAsia="黑体" w:cs="Arial"/>
      <w:sz w:val="20"/>
      <w:szCs w:val="20"/>
    </w:rPr>
  </w:style>
  <w:style w:type="character" w:customStyle="1" w:styleId="830">
    <w:name w:val="未处理的提及1"/>
    <w:unhideWhenUsed/>
    <w:qFormat/>
    <w:uiPriority w:val="99"/>
    <w:rPr>
      <w:color w:val="605E5C"/>
      <w:shd w:val="clear" w:color="auto" w:fill="E1DFDD"/>
    </w:rPr>
  </w:style>
  <w:style w:type="character" w:customStyle="1" w:styleId="831">
    <w:name w:val="Char Char32"/>
    <w:qFormat/>
    <w:uiPriority w:val="0"/>
    <w:rPr>
      <w:rFonts w:eastAsia="宋体"/>
      <w:sz w:val="21"/>
      <w:szCs w:val="24"/>
      <w:lang w:val="en-US" w:eastAsia="zh-CN" w:bidi="ar-SA"/>
    </w:rPr>
  </w:style>
  <w:style w:type="character" w:customStyle="1" w:styleId="832">
    <w:name w:val="WW8Num22z1"/>
    <w:qFormat/>
    <w:uiPriority w:val="0"/>
    <w:rPr>
      <w:rFonts w:ascii="Wingdings 2" w:hAnsi="Wingdings 2" w:cs="StarSymbol"/>
      <w:sz w:val="18"/>
      <w:szCs w:val="18"/>
    </w:rPr>
  </w:style>
  <w:style w:type="character" w:customStyle="1" w:styleId="833">
    <w:name w:val="正文文本缩进 字符1"/>
    <w:semiHidden/>
    <w:qFormat/>
    <w:uiPriority w:val="0"/>
    <w:rPr>
      <w:rFonts w:ascii="方正仿宋_GBK" w:hAnsi="Times New Roman" w:eastAsia="方正仿宋_GBK" w:cs="Times New Roman"/>
      <w:sz w:val="32"/>
      <w:szCs w:val="20"/>
    </w:rPr>
  </w:style>
  <w:style w:type="character" w:customStyle="1" w:styleId="834">
    <w:name w:val="WW8Num38z2"/>
    <w:qFormat/>
    <w:uiPriority w:val="0"/>
    <w:rPr>
      <w:rFonts w:ascii="StarSymbol" w:hAnsi="StarSymbol" w:cs="StarSymbol"/>
      <w:sz w:val="18"/>
      <w:szCs w:val="18"/>
    </w:rPr>
  </w:style>
  <w:style w:type="character" w:customStyle="1" w:styleId="835">
    <w:name w:val="样式 加粗"/>
    <w:qFormat/>
    <w:uiPriority w:val="0"/>
    <w:rPr>
      <w:rFonts w:hint="eastAsia" w:ascii="宋体" w:hAnsi="宋体" w:eastAsia="宋体"/>
      <w:b/>
      <w:bCs/>
      <w:lang w:val="en-US" w:eastAsia="zh-CN" w:bidi="ar-SA"/>
    </w:rPr>
  </w:style>
  <w:style w:type="character" w:customStyle="1" w:styleId="836">
    <w:name w:val="WW8Num18z2"/>
    <w:qFormat/>
    <w:uiPriority w:val="0"/>
    <w:rPr>
      <w:rFonts w:ascii="StarSymbol" w:hAnsi="StarSymbol" w:cs="StarSymbol"/>
      <w:sz w:val="18"/>
      <w:szCs w:val="18"/>
    </w:rPr>
  </w:style>
  <w:style w:type="character" w:customStyle="1" w:styleId="837">
    <w:name w:val="myp112"/>
    <w:qFormat/>
    <w:uiPriority w:val="0"/>
    <w:rPr>
      <w:color w:val="000000"/>
      <w:sz w:val="22"/>
      <w:szCs w:val="22"/>
      <w:u w:val="none"/>
    </w:rPr>
  </w:style>
  <w:style w:type="character" w:customStyle="1" w:styleId="838">
    <w:name w:val="fontstyle21"/>
    <w:qFormat/>
    <w:uiPriority w:val="0"/>
    <w:rPr>
      <w:rFonts w:ascii="Arial" w:hAnsi="Arial" w:cs="Arial"/>
      <w:color w:val="000000"/>
      <w:sz w:val="24"/>
      <w:szCs w:val="24"/>
    </w:rPr>
  </w:style>
  <w:style w:type="character" w:customStyle="1" w:styleId="839">
    <w:name w:val="WW8Num2z1"/>
    <w:qFormat/>
    <w:uiPriority w:val="0"/>
    <w:rPr>
      <w:rFonts w:ascii="Wingdings 2" w:hAnsi="Wingdings 2" w:cs="StarSymbol"/>
      <w:sz w:val="18"/>
      <w:szCs w:val="18"/>
    </w:rPr>
  </w:style>
  <w:style w:type="character" w:customStyle="1" w:styleId="840">
    <w:name w:val="日期 字符1"/>
    <w:semiHidden/>
    <w:qFormat/>
    <w:uiPriority w:val="0"/>
    <w:rPr>
      <w:rFonts w:ascii="Times New Roman" w:hAnsi="Times New Roman" w:eastAsia="方正仿宋_GBK" w:cs="Times New Roman"/>
      <w:szCs w:val="20"/>
    </w:rPr>
  </w:style>
  <w:style w:type="character" w:customStyle="1" w:styleId="841">
    <w:name w:val="正文首行缩进 2 Char1"/>
    <w:qFormat/>
    <w:uiPriority w:val="0"/>
    <w:rPr>
      <w:rFonts w:hint="eastAsia" w:ascii="方正仿宋_GBK" w:eastAsia="方正仿宋_GBK"/>
      <w:sz w:val="32"/>
      <w:szCs w:val="28"/>
    </w:rPr>
  </w:style>
  <w:style w:type="character" w:customStyle="1" w:styleId="842">
    <w:name w:val="WW8Num35z0"/>
    <w:qFormat/>
    <w:uiPriority w:val="0"/>
    <w:rPr>
      <w:rFonts w:ascii="Wingdings" w:hAnsi="Wingdings" w:cs="StarSymbol"/>
      <w:sz w:val="18"/>
      <w:szCs w:val="18"/>
    </w:rPr>
  </w:style>
  <w:style w:type="character" w:customStyle="1" w:styleId="843">
    <w:name w:val="WW8Num12z2"/>
    <w:qFormat/>
    <w:uiPriority w:val="0"/>
    <w:rPr>
      <w:rFonts w:ascii="StarSymbol" w:hAnsi="StarSymbol" w:cs="StarSymbol"/>
      <w:sz w:val="18"/>
      <w:szCs w:val="18"/>
    </w:rPr>
  </w:style>
  <w:style w:type="character" w:customStyle="1" w:styleId="844">
    <w:name w:val="WW8Num16z0"/>
    <w:qFormat/>
    <w:uiPriority w:val="0"/>
    <w:rPr>
      <w:rFonts w:ascii="Wingdings" w:hAnsi="Wingdings" w:cs="StarSymbol"/>
      <w:sz w:val="18"/>
      <w:szCs w:val="18"/>
    </w:rPr>
  </w:style>
  <w:style w:type="character" w:customStyle="1" w:styleId="845">
    <w:name w:val="Bid_正文 Char"/>
    <w:qFormat/>
    <w:uiPriority w:val="0"/>
    <w:rPr>
      <w:sz w:val="24"/>
    </w:rPr>
  </w:style>
  <w:style w:type="character" w:customStyle="1" w:styleId="846">
    <w:name w:val="WW8Num13z0"/>
    <w:qFormat/>
    <w:uiPriority w:val="0"/>
    <w:rPr>
      <w:rFonts w:ascii="Wingdings" w:hAnsi="Wingdings" w:cs="StarSymbol"/>
      <w:sz w:val="18"/>
      <w:szCs w:val="18"/>
    </w:rPr>
  </w:style>
  <w:style w:type="character" w:customStyle="1" w:styleId="847">
    <w:name w:val="WW8Num37z0"/>
    <w:qFormat/>
    <w:uiPriority w:val="0"/>
    <w:rPr>
      <w:rFonts w:ascii="Wingdings" w:hAnsi="Wingdings" w:cs="StarSymbol"/>
      <w:sz w:val="18"/>
      <w:szCs w:val="18"/>
    </w:rPr>
  </w:style>
  <w:style w:type="character" w:customStyle="1" w:styleId="848">
    <w:name w:val="WW8Num37z1"/>
    <w:qFormat/>
    <w:uiPriority w:val="0"/>
    <w:rPr>
      <w:rFonts w:ascii="Wingdings 2" w:hAnsi="Wingdings 2" w:cs="StarSymbol"/>
      <w:sz w:val="18"/>
      <w:szCs w:val="18"/>
    </w:rPr>
  </w:style>
  <w:style w:type="character" w:customStyle="1" w:styleId="849">
    <w:name w:val="WW8Num34z0"/>
    <w:qFormat/>
    <w:uiPriority w:val="0"/>
    <w:rPr>
      <w:rFonts w:ascii="Wingdings" w:hAnsi="Wingdings" w:cs="StarSymbol"/>
      <w:sz w:val="18"/>
      <w:szCs w:val="18"/>
    </w:rPr>
  </w:style>
  <w:style w:type="character" w:customStyle="1" w:styleId="850">
    <w:name w:val="WW8Num17z0"/>
    <w:qFormat/>
    <w:uiPriority w:val="0"/>
    <w:rPr>
      <w:rFonts w:ascii="Wingdings" w:hAnsi="Wingdings"/>
    </w:rPr>
  </w:style>
  <w:style w:type="character" w:customStyle="1" w:styleId="851">
    <w:name w:val="WW8Num15z0"/>
    <w:qFormat/>
    <w:uiPriority w:val="0"/>
    <w:rPr>
      <w:rFonts w:ascii="Wingdings" w:hAnsi="Wingdings" w:cs="StarSymbol"/>
      <w:sz w:val="18"/>
      <w:szCs w:val="18"/>
    </w:rPr>
  </w:style>
  <w:style w:type="character" w:customStyle="1" w:styleId="852">
    <w:name w:val="WW8Num28z1"/>
    <w:qFormat/>
    <w:uiPriority w:val="0"/>
    <w:rPr>
      <w:rFonts w:ascii="Wingdings 2" w:hAnsi="Wingdings 2" w:cs="StarSymbol"/>
      <w:sz w:val="18"/>
      <w:szCs w:val="18"/>
    </w:rPr>
  </w:style>
  <w:style w:type="character" w:customStyle="1" w:styleId="853">
    <w:name w:val="WW8Num4z0"/>
    <w:qFormat/>
    <w:uiPriority w:val="0"/>
    <w:rPr>
      <w:rFonts w:ascii="Wingdings" w:hAnsi="Wingdings" w:cs="StarSymbol"/>
      <w:sz w:val="18"/>
      <w:szCs w:val="18"/>
    </w:rPr>
  </w:style>
  <w:style w:type="character" w:customStyle="1" w:styleId="854">
    <w:name w:val="style101"/>
    <w:qFormat/>
    <w:uiPriority w:val="0"/>
    <w:rPr>
      <w:rFonts w:hint="eastAsia" w:ascii="宋体" w:hAnsi="宋体" w:eastAsia="宋体"/>
      <w:b/>
      <w:bCs/>
      <w:color w:val="FFFFFF"/>
      <w:sz w:val="21"/>
      <w:szCs w:val="21"/>
      <w:lang w:val="en-US" w:eastAsia="zh-CN" w:bidi="ar-SA"/>
    </w:rPr>
  </w:style>
  <w:style w:type="character" w:customStyle="1" w:styleId="855">
    <w:name w:val="WW8Num5z0"/>
    <w:qFormat/>
    <w:uiPriority w:val="0"/>
    <w:rPr>
      <w:rFonts w:ascii="Wingdings" w:hAnsi="Wingdings" w:cs="StarSymbol"/>
      <w:sz w:val="18"/>
      <w:szCs w:val="18"/>
    </w:rPr>
  </w:style>
  <w:style w:type="character" w:customStyle="1" w:styleId="856">
    <w:name w:val="无首行缩进正文 Char"/>
    <w:qFormat/>
    <w:uiPriority w:val="0"/>
  </w:style>
  <w:style w:type="character" w:customStyle="1" w:styleId="857">
    <w:name w:val="批注框文本 Char2"/>
    <w:qFormat/>
    <w:uiPriority w:val="0"/>
    <w:rPr>
      <w:rFonts w:ascii="Times New Roman" w:hAnsi="Times New Roman" w:eastAsia="方正仿宋_GBK" w:cs="Times New Roman"/>
      <w:sz w:val="18"/>
      <w:szCs w:val="18"/>
    </w:rPr>
  </w:style>
  <w:style w:type="character" w:customStyle="1" w:styleId="858">
    <w:name w:val="WW8Num29z2"/>
    <w:qFormat/>
    <w:uiPriority w:val="0"/>
    <w:rPr>
      <w:rFonts w:ascii="StarSymbol" w:hAnsi="StarSymbol" w:cs="StarSymbol"/>
      <w:sz w:val="18"/>
      <w:szCs w:val="18"/>
    </w:rPr>
  </w:style>
  <w:style w:type="character" w:customStyle="1" w:styleId="859">
    <w:name w:val="WW8Num23z2"/>
    <w:qFormat/>
    <w:uiPriority w:val="0"/>
    <w:rPr>
      <w:rFonts w:ascii="StarSymbol" w:hAnsi="StarSymbol" w:cs="StarSymbol"/>
      <w:sz w:val="18"/>
      <w:szCs w:val="18"/>
    </w:rPr>
  </w:style>
  <w:style w:type="character" w:customStyle="1" w:styleId="860">
    <w:name w:val="WW8Num19z0"/>
    <w:qFormat/>
    <w:uiPriority w:val="0"/>
    <w:rPr>
      <w:rFonts w:ascii="Wingdings" w:hAnsi="Wingdings" w:cs="StarSymbol"/>
      <w:sz w:val="18"/>
      <w:szCs w:val="18"/>
    </w:rPr>
  </w:style>
  <w:style w:type="character" w:customStyle="1" w:styleId="861">
    <w:name w:val="WW8Num22z2"/>
    <w:qFormat/>
    <w:uiPriority w:val="0"/>
    <w:rPr>
      <w:rFonts w:ascii="StarSymbol" w:hAnsi="StarSymbol" w:cs="StarSymbol"/>
      <w:sz w:val="18"/>
      <w:szCs w:val="18"/>
    </w:rPr>
  </w:style>
  <w:style w:type="character" w:customStyle="1" w:styleId="862">
    <w:name w:val="WW8Num24z1"/>
    <w:qFormat/>
    <w:uiPriority w:val="0"/>
    <w:rPr>
      <w:rFonts w:ascii="Wingdings 2" w:hAnsi="Wingdings 2" w:cs="StarSymbol"/>
      <w:sz w:val="18"/>
      <w:szCs w:val="18"/>
    </w:rPr>
  </w:style>
  <w:style w:type="character" w:customStyle="1" w:styleId="863">
    <w:name w:val="标题 7 字符1"/>
    <w:qFormat/>
    <w:uiPriority w:val="9"/>
    <w:rPr>
      <w:rFonts w:ascii="Times New Roman" w:hAnsi="Times New Roman" w:eastAsia="方正仿宋_GBK" w:cs="Times New Roman"/>
      <w:b/>
      <w:bCs/>
      <w:sz w:val="24"/>
      <w:szCs w:val="24"/>
    </w:rPr>
  </w:style>
  <w:style w:type="character" w:customStyle="1" w:styleId="864">
    <w:name w:val="标题 6 字符1"/>
    <w:qFormat/>
    <w:uiPriority w:val="9"/>
    <w:rPr>
      <w:rFonts w:ascii="仿宋" w:hAnsi="仿宋" w:eastAsia="仿宋"/>
      <w:bCs/>
      <w:sz w:val="32"/>
      <w:szCs w:val="32"/>
    </w:rPr>
  </w:style>
  <w:style w:type="character" w:customStyle="1" w:styleId="865">
    <w:name w:val="WW8Num39z1"/>
    <w:qFormat/>
    <w:uiPriority w:val="0"/>
    <w:rPr>
      <w:rFonts w:ascii="Wingdings 2" w:hAnsi="Wingdings 2" w:cs="StarSymbol"/>
      <w:sz w:val="18"/>
      <w:szCs w:val="18"/>
    </w:rPr>
  </w:style>
  <w:style w:type="character" w:customStyle="1" w:styleId="866">
    <w:name w:val="apple-style-span"/>
    <w:qFormat/>
    <w:uiPriority w:val="0"/>
  </w:style>
  <w:style w:type="character" w:customStyle="1" w:styleId="867">
    <w:name w:val="注×： Char"/>
    <w:link w:val="868"/>
    <w:qFormat/>
    <w:uiPriority w:val="0"/>
    <w:rPr>
      <w:rFonts w:ascii="宋体" w:hAnsi="等线" w:eastAsia="Arial" w:cs="Arial"/>
      <w:sz w:val="18"/>
      <w:szCs w:val="22"/>
      <w:lang w:val="en-US" w:eastAsia="zh-CN" w:bidi="ar-SA"/>
    </w:rPr>
  </w:style>
  <w:style w:type="paragraph" w:customStyle="1" w:styleId="868">
    <w:name w:val="注×："/>
    <w:link w:val="867"/>
    <w:qFormat/>
    <w:uiPriority w:val="0"/>
    <w:pPr>
      <w:widowControl w:val="0"/>
      <w:tabs>
        <w:tab w:val="left" w:pos="630"/>
        <w:tab w:val="left" w:pos="900"/>
      </w:tabs>
      <w:ind w:left="900" w:hanging="500"/>
      <w:jc w:val="both"/>
    </w:pPr>
    <w:rPr>
      <w:rFonts w:hint="default" w:ascii="宋体" w:hAnsi="等线" w:eastAsia="Arial" w:cs="Arial"/>
      <w:sz w:val="18"/>
      <w:szCs w:val="22"/>
      <w:lang w:val="en-US" w:eastAsia="zh-CN" w:bidi="ar-SA"/>
    </w:rPr>
  </w:style>
  <w:style w:type="character" w:customStyle="1" w:styleId="869">
    <w:name w:val="附录公式 Char"/>
    <w:link w:val="870"/>
    <w:qFormat/>
    <w:uiPriority w:val="0"/>
    <w:rPr>
      <w:rFonts w:ascii="宋体"/>
    </w:rPr>
  </w:style>
  <w:style w:type="paragraph" w:customStyle="1" w:styleId="870">
    <w:name w:val="附录公式"/>
    <w:basedOn w:val="64"/>
    <w:next w:val="64"/>
    <w:link w:val="869"/>
    <w:qFormat/>
    <w:uiPriority w:val="0"/>
    <w:pPr>
      <w:tabs>
        <w:tab w:val="center" w:pos="4201"/>
        <w:tab w:val="right" w:leader="dot" w:pos="9298"/>
      </w:tabs>
      <w:ind w:firstLine="420"/>
    </w:pPr>
    <w:rPr>
      <w:sz w:val="20"/>
      <w:lang w:eastAsia="en-US"/>
    </w:rPr>
  </w:style>
  <w:style w:type="character" w:customStyle="1" w:styleId="871">
    <w:name w:val="附录图标题 Char"/>
    <w:link w:val="872"/>
    <w:qFormat/>
    <w:uiPriority w:val="0"/>
    <w:rPr>
      <w:rFonts w:ascii="黑体" w:hAnsi="等线" w:eastAsia="黑体" w:cs="Arial"/>
      <w:sz w:val="21"/>
      <w:szCs w:val="22"/>
      <w:lang w:val="en-US" w:eastAsia="zh-CN" w:bidi="ar-SA"/>
    </w:rPr>
  </w:style>
  <w:style w:type="paragraph" w:customStyle="1" w:styleId="872">
    <w:name w:val="附录图标题"/>
    <w:next w:val="64"/>
    <w:link w:val="871"/>
    <w:qFormat/>
    <w:uiPriority w:val="0"/>
    <w:pPr>
      <w:jc w:val="center"/>
    </w:pPr>
    <w:rPr>
      <w:rFonts w:hint="default" w:ascii="黑体" w:hAnsi="等线" w:eastAsia="黑体" w:cs="Arial"/>
      <w:sz w:val="21"/>
      <w:szCs w:val="22"/>
      <w:lang w:val="en-US" w:eastAsia="zh-CN" w:bidi="ar-SA"/>
    </w:rPr>
  </w:style>
  <w:style w:type="character" w:customStyle="1" w:styleId="873">
    <w:name w:val="附录章标题 Char"/>
    <w:link w:val="874"/>
    <w:qFormat/>
    <w:uiPriority w:val="0"/>
    <w:rPr>
      <w:rFonts w:ascii="黑体" w:hAnsi="等线" w:eastAsia="黑体" w:cs="Arial"/>
      <w:sz w:val="21"/>
      <w:szCs w:val="22"/>
      <w:lang w:val="en-US" w:eastAsia="zh-CN" w:bidi="ar-SA"/>
    </w:rPr>
  </w:style>
  <w:style w:type="paragraph" w:customStyle="1" w:styleId="874">
    <w:name w:val="附录章标题"/>
    <w:next w:val="64"/>
    <w:link w:val="873"/>
    <w:qFormat/>
    <w:uiPriority w:val="0"/>
    <w:pPr>
      <w:tabs>
        <w:tab w:val="left" w:pos="567"/>
      </w:tabs>
      <w:ind w:left="567" w:hanging="567"/>
      <w:jc w:val="both"/>
      <w:outlineLvl w:val="1"/>
    </w:pPr>
    <w:rPr>
      <w:rFonts w:hint="default" w:ascii="黑体" w:hAnsi="等线" w:eastAsia="黑体" w:cs="Arial"/>
      <w:sz w:val="21"/>
      <w:szCs w:val="22"/>
      <w:lang w:val="en-US" w:eastAsia="zh-CN" w:bidi="ar-SA"/>
    </w:rPr>
  </w:style>
  <w:style w:type="character" w:customStyle="1" w:styleId="875">
    <w:name w:val="附录一级条标题 Char"/>
    <w:link w:val="876"/>
    <w:qFormat/>
    <w:uiPriority w:val="0"/>
    <w:rPr>
      <w:rFonts w:ascii="黑体" w:eastAsia="黑体"/>
    </w:rPr>
  </w:style>
  <w:style w:type="paragraph" w:customStyle="1" w:styleId="876">
    <w:name w:val="附录一级条标题"/>
    <w:basedOn w:val="874"/>
    <w:next w:val="64"/>
    <w:link w:val="875"/>
    <w:qFormat/>
    <w:uiPriority w:val="0"/>
    <w:pPr>
      <w:ind w:left="0" w:firstLine="0"/>
      <w:outlineLvl w:val="2"/>
    </w:pPr>
    <w:rPr>
      <w:rFonts w:hAnsi="Times New Roman" w:cs="Times New Roman"/>
      <w:sz w:val="20"/>
      <w:szCs w:val="20"/>
      <w:lang w:eastAsia="en-US"/>
    </w:rPr>
  </w:style>
  <w:style w:type="character" w:customStyle="1" w:styleId="877">
    <w:name w:val="首示例 Char"/>
    <w:link w:val="878"/>
    <w:qFormat/>
    <w:uiPriority w:val="0"/>
    <w:rPr>
      <w:rFonts w:ascii="宋体" w:hAnsi="宋体" w:eastAsia="Arial" w:cs="Arial"/>
      <w:sz w:val="18"/>
      <w:szCs w:val="18"/>
      <w:lang w:val="en-US" w:eastAsia="zh-CN" w:bidi="ar-SA"/>
    </w:rPr>
  </w:style>
  <w:style w:type="paragraph" w:customStyle="1" w:styleId="878">
    <w:name w:val="首示例"/>
    <w:next w:val="64"/>
    <w:link w:val="877"/>
    <w:qFormat/>
    <w:uiPriority w:val="0"/>
    <w:pPr>
      <w:tabs>
        <w:tab w:val="left" w:pos="360"/>
      </w:tabs>
      <w:ind w:left="900"/>
    </w:pPr>
    <w:rPr>
      <w:rFonts w:hint="default" w:ascii="宋体" w:hAnsi="宋体" w:eastAsia="Arial" w:cs="Arial"/>
      <w:sz w:val="18"/>
      <w:szCs w:val="18"/>
      <w:lang w:val="en-US" w:eastAsia="zh-CN" w:bidi="ar-SA"/>
    </w:rPr>
  </w:style>
  <w:style w:type="character" w:customStyle="1" w:styleId="879">
    <w:name w:val="无间隔 字符"/>
    <w:link w:val="880"/>
    <w:qFormat/>
    <w:uiPriority w:val="0"/>
    <w:rPr>
      <w:rFonts w:ascii="Calibri" w:hAnsi="Calibri" w:eastAsia="Arial" w:cs="Arial"/>
      <w:sz w:val="21"/>
      <w:szCs w:val="22"/>
      <w:lang w:val="en-US" w:eastAsia="zh-CN" w:bidi="ar-SA"/>
    </w:rPr>
  </w:style>
  <w:style w:type="paragraph" w:customStyle="1" w:styleId="880">
    <w:name w:val="无间隔111"/>
    <w:link w:val="879"/>
    <w:qFormat/>
    <w:uiPriority w:val="0"/>
    <w:pPr>
      <w:widowControl w:val="0"/>
      <w:jc w:val="both"/>
    </w:pPr>
    <w:rPr>
      <w:rFonts w:hint="default" w:ascii="Calibri" w:hAnsi="Calibri" w:eastAsia="Arial" w:cs="Arial"/>
      <w:sz w:val="21"/>
      <w:szCs w:val="22"/>
      <w:lang w:val="en-US" w:eastAsia="zh-CN" w:bidi="ar-SA"/>
    </w:rPr>
  </w:style>
  <w:style w:type="paragraph" w:customStyle="1" w:styleId="881">
    <w:name w:val="xl19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882">
    <w:name w:val="xl19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883">
    <w:name w:val="标准书眉一"/>
    <w:qFormat/>
    <w:uiPriority w:val="0"/>
    <w:pPr>
      <w:jc w:val="both"/>
    </w:pPr>
    <w:rPr>
      <w:rFonts w:hint="default" w:ascii="Times New Roman" w:hAnsi="Times New Roman" w:eastAsia="宋体" w:cs="Times New Roman"/>
      <w:lang w:val="en-US" w:eastAsia="zh-CN" w:bidi="ar-SA"/>
    </w:rPr>
  </w:style>
  <w:style w:type="paragraph" w:customStyle="1" w:styleId="884">
    <w:name w:val="xl25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885">
    <w:name w:val="hands-on正文"/>
    <w:basedOn w:val="1"/>
    <w:qFormat/>
    <w:uiPriority w:val="0"/>
    <w:pPr>
      <w:spacing w:before="40" w:after="80" w:line="320" w:lineRule="exact"/>
      <w:ind w:firstLine="420"/>
      <w:jc w:val="left"/>
    </w:pPr>
    <w:rPr>
      <w:rFonts w:ascii="宋体" w:hAnsi="宋体" w:cs="宋体"/>
      <w:color w:val="000000"/>
      <w:szCs w:val="20"/>
    </w:rPr>
  </w:style>
  <w:style w:type="paragraph" w:customStyle="1" w:styleId="886">
    <w:name w:val="标题3"/>
    <w:basedOn w:val="5"/>
    <w:qFormat/>
    <w:uiPriority w:val="0"/>
    <w:pPr>
      <w:keepNext w:val="0"/>
      <w:keepLines w:val="0"/>
      <w:spacing w:before="0" w:after="0" w:line="360" w:lineRule="auto"/>
    </w:pPr>
    <w:rPr>
      <w:rFonts w:eastAsia="仿宋_GB2312"/>
      <w:b w:val="0"/>
      <w:bCs/>
      <w:sz w:val="30"/>
      <w:szCs w:val="32"/>
    </w:rPr>
  </w:style>
  <w:style w:type="paragraph" w:customStyle="1" w:styleId="887">
    <w:name w:val="xl19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888">
    <w:name w:val="三级无标题条"/>
    <w:basedOn w:val="1"/>
    <w:qFormat/>
    <w:uiPriority w:val="0"/>
    <w:pPr>
      <w:ind w:hanging="420"/>
    </w:pPr>
  </w:style>
  <w:style w:type="paragraph" w:customStyle="1" w:styleId="889">
    <w:name w:val="列出段落3"/>
    <w:basedOn w:val="1"/>
    <w:qFormat/>
    <w:uiPriority w:val="99"/>
    <w:pPr>
      <w:ind w:firstLine="420"/>
    </w:pPr>
    <w:rPr>
      <w:rFonts w:ascii="Calibri" w:hAnsi="Calibri"/>
      <w:szCs w:val="22"/>
    </w:rPr>
  </w:style>
  <w:style w:type="paragraph" w:customStyle="1" w:styleId="890">
    <w:name w:val="参考文献、索引标题"/>
    <w:basedOn w:val="891"/>
    <w:next w:val="1"/>
    <w:qFormat/>
    <w:uiPriority w:val="0"/>
    <w:pPr>
      <w:tabs>
        <w:tab w:val="left" w:pos="425"/>
      </w:tabs>
      <w:spacing w:after="200"/>
    </w:pPr>
    <w:rPr>
      <w:sz w:val="21"/>
    </w:rPr>
  </w:style>
  <w:style w:type="paragraph" w:customStyle="1" w:styleId="891">
    <w:name w:val="前言、引言标题"/>
    <w:next w:val="1"/>
    <w:qFormat/>
    <w:uiPriority w:val="0"/>
    <w:pPr>
      <w:shd w:val="clear" w:color="FFFFFF" w:fill="FFFFFF"/>
      <w:tabs>
        <w:tab w:val="left" w:pos="425"/>
      </w:tabs>
      <w:spacing w:before="640" w:after="560"/>
      <w:jc w:val="center"/>
      <w:outlineLvl w:val="0"/>
    </w:pPr>
    <w:rPr>
      <w:rFonts w:hint="default" w:ascii="黑体" w:hAnsi="Times New Roman" w:eastAsia="黑体" w:cs="Times New Roman"/>
      <w:sz w:val="32"/>
      <w:lang w:val="en-US" w:eastAsia="zh-CN" w:bidi="ar-SA"/>
    </w:rPr>
  </w:style>
  <w:style w:type="paragraph" w:customStyle="1" w:styleId="892">
    <w:name w:val="xl28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893">
    <w:name w:val="小四缩进"/>
    <w:basedOn w:val="1"/>
    <w:qFormat/>
    <w:uiPriority w:val="0"/>
    <w:pPr>
      <w:spacing w:line="360" w:lineRule="auto"/>
      <w:ind w:firstLine="480"/>
    </w:pPr>
    <w:rPr>
      <w:sz w:val="24"/>
    </w:rPr>
  </w:style>
  <w:style w:type="paragraph" w:customStyle="1" w:styleId="894">
    <w:name w:val="xl15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895">
    <w:name w:val="示例"/>
    <w:next w:val="64"/>
    <w:qFormat/>
    <w:uiPriority w:val="0"/>
    <w:pPr>
      <w:tabs>
        <w:tab w:val="left" w:pos="425"/>
        <w:tab w:val="left" w:pos="816"/>
      </w:tabs>
      <w:ind w:left="425" w:firstLine="419"/>
      <w:jc w:val="both"/>
    </w:pPr>
    <w:rPr>
      <w:rFonts w:hint="default" w:ascii="宋体" w:hAnsi="Times New Roman" w:eastAsia="宋体" w:cs="Times New Roman"/>
      <w:sz w:val="18"/>
      <w:lang w:val="en-US" w:eastAsia="zh-CN" w:bidi="ar-SA"/>
    </w:rPr>
  </w:style>
  <w:style w:type="paragraph" w:customStyle="1" w:styleId="896">
    <w:name w:val="xl47"/>
    <w:basedOn w:val="1"/>
    <w:qFormat/>
    <w:uiPriority w:val="0"/>
    <w:pPr>
      <w:widowControl/>
      <w:spacing w:before="100" w:beforeAutospacing="1" w:after="100" w:afterAutospacing="1"/>
      <w:jc w:val="center"/>
    </w:pPr>
    <w:rPr>
      <w:rFonts w:hint="eastAsia" w:ascii="黑体" w:hAnsi="Arial Unicode MS" w:eastAsia="黑体"/>
      <w:b/>
      <w:bCs/>
      <w:sz w:val="24"/>
    </w:rPr>
  </w:style>
  <w:style w:type="paragraph" w:customStyle="1" w:styleId="897">
    <w:name w:val="xl16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898">
    <w:name w:val="xl18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899">
    <w:name w:val="xl5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olor w:val="000000"/>
      <w:sz w:val="20"/>
      <w:szCs w:val="20"/>
    </w:rPr>
  </w:style>
  <w:style w:type="paragraph" w:customStyle="1" w:styleId="900">
    <w:name w:val="xl21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901">
    <w:name w:val="可研正文"/>
    <w:basedOn w:val="1"/>
    <w:qFormat/>
    <w:uiPriority w:val="0"/>
    <w:pPr>
      <w:tabs>
        <w:tab w:val="left" w:pos="987"/>
      </w:tabs>
      <w:spacing w:line="360" w:lineRule="auto"/>
      <w:ind w:left="750" w:hanging="750"/>
    </w:pPr>
    <w:rPr>
      <w:rFonts w:ascii="仿宋_GB2312" w:hAnsi="宋体" w:eastAsia="仿宋_GB2312"/>
      <w:bCs/>
      <w:sz w:val="28"/>
      <w:szCs w:val="28"/>
      <w:lang w:eastAsia="en-US"/>
    </w:rPr>
  </w:style>
  <w:style w:type="paragraph" w:customStyle="1" w:styleId="902">
    <w:name w:val="正文文本 31"/>
    <w:basedOn w:val="1"/>
    <w:qFormat/>
    <w:uiPriority w:val="0"/>
    <w:rPr>
      <w:rFonts w:ascii="仿宋_GB2312" w:hAnsi="Arial" w:eastAsia="仿宋_GB2312"/>
      <w:sz w:val="32"/>
      <w:szCs w:val="20"/>
    </w:rPr>
  </w:style>
  <w:style w:type="paragraph" w:customStyle="1" w:styleId="903">
    <w:name w:val="xl17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904">
    <w:name w:val="实施日期"/>
    <w:basedOn w:val="905"/>
    <w:qFormat/>
    <w:uiPriority w:val="0"/>
    <w:pPr>
      <w:framePr w:hSpace="0" w:wrap="around" w:xAlign="right"/>
      <w:ind w:left="2580" w:hanging="420"/>
      <w:jc w:val="right"/>
    </w:pPr>
  </w:style>
  <w:style w:type="paragraph" w:customStyle="1" w:styleId="905">
    <w:name w:val="发布日期"/>
    <w:qFormat/>
    <w:uiPriority w:val="0"/>
    <w:pPr>
      <w:framePr w:w="4000" w:h="473" w:hRule="exact" w:hSpace="180" w:vSpace="180" w:wrap="around" w:vAnchor="margin" w:hAnchor="margin" w:y="13511"/>
    </w:pPr>
    <w:rPr>
      <w:rFonts w:hint="default" w:ascii="Times New Roman" w:hAnsi="Times New Roman" w:eastAsia="黑体" w:cs="Times New Roman"/>
      <w:sz w:val="28"/>
      <w:lang w:val="en-US" w:eastAsia="zh-CN" w:bidi="ar-SA"/>
    </w:rPr>
  </w:style>
  <w:style w:type="paragraph" w:customStyle="1" w:styleId="906">
    <w:name w:val="xl30"/>
    <w:basedOn w:val="1"/>
    <w:qFormat/>
    <w:uiPriority w:val="0"/>
    <w:pPr>
      <w:widowControl/>
      <w:spacing w:before="100" w:beforeAutospacing="1" w:after="100" w:afterAutospacing="1"/>
      <w:jc w:val="left"/>
    </w:pPr>
    <w:rPr>
      <w:rFonts w:ascii="Tahoma" w:hAnsi="Tahoma" w:eastAsia="Arial Unicode MS" w:cs="Tahoma"/>
      <w:sz w:val="16"/>
      <w:szCs w:val="16"/>
    </w:rPr>
  </w:style>
  <w:style w:type="paragraph" w:customStyle="1" w:styleId="907">
    <w:name w:val="xl309"/>
    <w:basedOn w:val="1"/>
    <w:qFormat/>
    <w:uiPriority w:val="0"/>
    <w:pPr>
      <w:widowControl/>
      <w:pBdr>
        <w:top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908">
    <w:name w:val="xl28"/>
    <w:basedOn w:val="1"/>
    <w:qFormat/>
    <w:uiPriority w:val="0"/>
    <w:pPr>
      <w:widowControl/>
      <w:spacing w:before="100" w:beforeAutospacing="1" w:after="100" w:afterAutospacing="1"/>
      <w:jc w:val="left"/>
    </w:pPr>
    <w:rPr>
      <w:rFonts w:ascii="Tahoma" w:hAnsi="Tahoma" w:eastAsia="Arial Unicode MS" w:cs="Tahoma"/>
      <w:sz w:val="16"/>
      <w:szCs w:val="16"/>
    </w:rPr>
  </w:style>
  <w:style w:type="paragraph" w:customStyle="1" w:styleId="909">
    <w:name w:val="xl28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910">
    <w:name w:val="我的标题1"/>
    <w:basedOn w:val="1"/>
    <w:qFormat/>
    <w:uiPriority w:val="99"/>
    <w:pPr>
      <w:tabs>
        <w:tab w:val="left" w:pos="425"/>
      </w:tabs>
      <w:spacing w:before="20" w:after="20"/>
      <w:ind w:left="425" w:right="80" w:hanging="425"/>
      <w:jc w:val="left"/>
    </w:pPr>
    <w:rPr>
      <w:rFonts w:ascii="宋体" w:hAnsi="宋体" w:cs="Microsoft Sans Serif"/>
      <w:b/>
      <w:bCs/>
      <w:sz w:val="24"/>
    </w:rPr>
  </w:style>
  <w:style w:type="paragraph" w:customStyle="1" w:styleId="911">
    <w:name w:val="无间隔11"/>
    <w:next w:val="880"/>
    <w:qFormat/>
    <w:uiPriority w:val="1"/>
    <w:rPr>
      <w:rFonts w:hint="default" w:ascii="Calibri" w:hAnsi="Calibri" w:eastAsia="宋体" w:cs="Times New Roman"/>
      <w:sz w:val="22"/>
      <w:szCs w:val="22"/>
      <w:lang w:val="en-US" w:eastAsia="zh-CN" w:bidi="ar-SA"/>
    </w:rPr>
  </w:style>
  <w:style w:type="paragraph" w:customStyle="1" w:styleId="912">
    <w:name w:val="标准"/>
    <w:basedOn w:val="1"/>
    <w:qFormat/>
    <w:uiPriority w:val="0"/>
    <w:pPr>
      <w:spacing w:line="240" w:lineRule="atLeast"/>
    </w:pPr>
    <w:rPr>
      <w:rFonts w:eastAsia="楷体_GB2312"/>
      <w:sz w:val="24"/>
      <w:szCs w:val="20"/>
    </w:rPr>
  </w:style>
  <w:style w:type="paragraph" w:customStyle="1" w:styleId="913">
    <w:name w:val="xl18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914">
    <w:name w:val="四级条标题"/>
    <w:basedOn w:val="762"/>
    <w:next w:val="64"/>
    <w:qFormat/>
    <w:uiPriority w:val="0"/>
    <w:pPr>
      <w:ind w:left="2520" w:hanging="420"/>
      <w:outlineLvl w:val="5"/>
    </w:pPr>
  </w:style>
  <w:style w:type="paragraph" w:customStyle="1" w:styleId="915">
    <w:name w:val="正文首行缩进两字"/>
    <w:qFormat/>
    <w:uiPriority w:val="0"/>
    <w:pPr>
      <w:spacing w:line="300" w:lineRule="auto"/>
      <w:ind w:left="710"/>
      <w:jc w:val="both"/>
    </w:pPr>
    <w:rPr>
      <w:rFonts w:hint="default" w:ascii="Times New Roman" w:hAnsi="Times New Roman" w:eastAsia="宋体" w:cs="Times New Roman"/>
      <w:szCs w:val="21"/>
      <w:lang w:val="en-US" w:eastAsia="zh-CN" w:bidi="ar-SA"/>
    </w:rPr>
  </w:style>
  <w:style w:type="paragraph" w:customStyle="1" w:styleId="916">
    <w:name w:val="xl27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917">
    <w:name w:val="xl31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sz w:val="20"/>
      <w:szCs w:val="20"/>
    </w:rPr>
  </w:style>
  <w:style w:type="paragraph" w:customStyle="1" w:styleId="918">
    <w:name w:val="xl7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w:hAnsi="Arial" w:eastAsia="Arial Unicode MS" w:cs="Arial"/>
      <w:sz w:val="20"/>
      <w:szCs w:val="20"/>
    </w:rPr>
  </w:style>
  <w:style w:type="paragraph" w:customStyle="1" w:styleId="919">
    <w:name w:val="xl24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920">
    <w:name w:val="xl4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hint="eastAsia" w:ascii="黑体" w:hAnsi="Arial Unicode MS" w:eastAsia="黑体"/>
      <w:sz w:val="20"/>
      <w:szCs w:val="20"/>
    </w:rPr>
  </w:style>
  <w:style w:type="paragraph" w:customStyle="1" w:styleId="921">
    <w:name w:val="数字编号列项（二级）"/>
    <w:qFormat/>
    <w:uiPriority w:val="0"/>
    <w:pPr>
      <w:tabs>
        <w:tab w:val="left" w:pos="360"/>
      </w:tabs>
      <w:ind w:left="1260" w:hanging="420"/>
      <w:jc w:val="both"/>
    </w:pPr>
    <w:rPr>
      <w:rFonts w:hint="default" w:ascii="宋体" w:hAnsi="Times New Roman" w:eastAsia="宋体" w:cs="Times New Roman"/>
      <w:sz w:val="21"/>
      <w:lang w:val="en-US" w:eastAsia="zh-CN" w:bidi="ar-SA"/>
    </w:rPr>
  </w:style>
  <w:style w:type="paragraph" w:customStyle="1" w:styleId="922">
    <w:name w:val="正文(首行缩进)"/>
    <w:basedOn w:val="1"/>
    <w:qFormat/>
    <w:uiPriority w:val="0"/>
    <w:pPr>
      <w:spacing w:line="360" w:lineRule="auto"/>
      <w:ind w:firstLine="480"/>
      <w:jc w:val="left"/>
    </w:pPr>
    <w:rPr>
      <w:rFonts w:ascii="楷体_GB2312" w:hAnsi="宋体" w:eastAsia="楷体_GB2312"/>
      <w:color w:val="000000"/>
      <w:sz w:val="24"/>
    </w:rPr>
  </w:style>
  <w:style w:type="paragraph" w:customStyle="1" w:styleId="923">
    <w:name w:val="批注主题2"/>
    <w:basedOn w:val="90"/>
    <w:next w:val="90"/>
    <w:qFormat/>
    <w:uiPriority w:val="0"/>
    <w:rPr>
      <w:b/>
      <w:bCs/>
    </w:rPr>
  </w:style>
  <w:style w:type="paragraph" w:customStyle="1" w:styleId="924">
    <w:name w:val="xl32"/>
    <w:basedOn w:val="1"/>
    <w:qFormat/>
    <w:uiPriority w:val="0"/>
    <w:pPr>
      <w:widowControl/>
      <w:spacing w:before="100" w:beforeAutospacing="1" w:after="100" w:afterAutospacing="1"/>
      <w:jc w:val="left"/>
    </w:pPr>
    <w:rPr>
      <w:rFonts w:ascii="Tahoma" w:hAnsi="Tahoma" w:eastAsia="Arial Unicode MS" w:cs="Tahoma"/>
      <w:sz w:val="16"/>
      <w:szCs w:val="16"/>
    </w:rPr>
  </w:style>
  <w:style w:type="paragraph" w:customStyle="1" w:styleId="925">
    <w:name w:val="普通(网站)2"/>
    <w:basedOn w:val="1"/>
    <w:qFormat/>
    <w:uiPriority w:val="0"/>
    <w:pPr>
      <w:widowControl/>
      <w:spacing w:before="100" w:beforeAutospacing="1" w:after="100" w:afterAutospacing="1"/>
      <w:jc w:val="left"/>
    </w:pPr>
    <w:rPr>
      <w:rFonts w:ascii="宋体" w:hAnsi="宋体" w:cs="宋体"/>
      <w:color w:val="000000"/>
      <w:sz w:val="24"/>
    </w:rPr>
  </w:style>
  <w:style w:type="paragraph" w:customStyle="1" w:styleId="926">
    <w:name w:val="xl22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927">
    <w:name w:val="条文脚注"/>
    <w:basedOn w:val="134"/>
    <w:qFormat/>
    <w:uiPriority w:val="0"/>
    <w:pPr>
      <w:ind w:left="780" w:hanging="360"/>
      <w:jc w:val="both"/>
    </w:pPr>
    <w:rPr>
      <w:rFonts w:ascii="宋体"/>
    </w:rPr>
  </w:style>
  <w:style w:type="paragraph" w:customStyle="1" w:styleId="928">
    <w:name w:val="22h222heading2hiddenhead"/>
    <w:basedOn w:val="1"/>
    <w:qFormat/>
    <w:uiPriority w:val="0"/>
    <w:pPr>
      <w:widowControl/>
      <w:spacing w:before="100" w:beforeAutospacing="1" w:after="100" w:afterAutospacing="1"/>
      <w:jc w:val="left"/>
    </w:pPr>
    <w:rPr>
      <w:rFonts w:ascii="宋体" w:hAnsi="宋体" w:cs="宋体"/>
      <w:sz w:val="24"/>
    </w:rPr>
  </w:style>
  <w:style w:type="paragraph" w:customStyle="1" w:styleId="929">
    <w:name w:val="xl24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930">
    <w:name w:val="xl28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931">
    <w:name w:val="xl23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932">
    <w:name w:val="正文·"/>
    <w:basedOn w:val="1"/>
    <w:qFormat/>
    <w:uiPriority w:val="0"/>
    <w:pPr>
      <w:keepNext/>
      <w:keepLines/>
      <w:tabs>
        <w:tab w:val="left" w:pos="360"/>
        <w:tab w:val="left" w:pos="1140"/>
        <w:tab w:val="left" w:pos="1200"/>
        <w:tab w:val="left" w:pos="1680"/>
      </w:tabs>
      <w:spacing w:after="290" w:line="0" w:lineRule="atLeast"/>
      <w:ind w:left="1679"/>
    </w:pPr>
    <w:rPr>
      <w:color w:val="000000"/>
      <w:sz w:val="24"/>
      <w:szCs w:val="20"/>
    </w:rPr>
  </w:style>
  <w:style w:type="paragraph" w:customStyle="1" w:styleId="933">
    <w:name w:val="标题4"/>
    <w:basedOn w:val="5"/>
    <w:qFormat/>
    <w:uiPriority w:val="0"/>
    <w:pPr>
      <w:spacing w:before="120" w:after="120" w:line="415" w:lineRule="auto"/>
      <w:jc w:val="center"/>
    </w:pPr>
    <w:rPr>
      <w:rFonts w:eastAsia="仿宋_GB2312"/>
    </w:rPr>
  </w:style>
  <w:style w:type="paragraph" w:customStyle="1" w:styleId="934">
    <w:name w:val="xl16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935">
    <w:name w:val="font0"/>
    <w:basedOn w:val="1"/>
    <w:qFormat/>
    <w:uiPriority w:val="0"/>
    <w:pPr>
      <w:widowControl/>
      <w:spacing w:before="100" w:beforeAutospacing="1" w:after="100" w:afterAutospacing="1"/>
      <w:jc w:val="left"/>
    </w:pPr>
    <w:rPr>
      <w:rFonts w:hint="eastAsia" w:ascii="宋体" w:hAnsi="宋体"/>
      <w:sz w:val="24"/>
    </w:rPr>
  </w:style>
  <w:style w:type="paragraph" w:customStyle="1" w:styleId="936">
    <w:name w:val="文献分类号"/>
    <w:qFormat/>
    <w:uiPriority w:val="0"/>
    <w:pPr>
      <w:framePr w:hSpace="180" w:vSpace="180" w:wrap="around" w:vAnchor="margin" w:hAnchor="margin" w:y="1"/>
      <w:widowControl w:val="0"/>
    </w:pPr>
    <w:rPr>
      <w:rFonts w:hint="default" w:ascii="Times New Roman" w:hAnsi="Times New Roman" w:eastAsia="黑体" w:cs="Times New Roman"/>
      <w:sz w:val="21"/>
      <w:lang w:val="en-US" w:eastAsia="zh-CN" w:bidi="ar-SA"/>
    </w:rPr>
  </w:style>
  <w:style w:type="paragraph" w:customStyle="1" w:styleId="937">
    <w:name w:val="xl23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938">
    <w:name w:val="xl16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939">
    <w:name w:val="封面标准号1"/>
    <w:qFormat/>
    <w:uiPriority w:val="0"/>
    <w:pPr>
      <w:widowControl w:val="0"/>
      <w:spacing w:before="308"/>
      <w:jc w:val="right"/>
    </w:pPr>
    <w:rPr>
      <w:rFonts w:hint="default" w:ascii="Times New Roman" w:hAnsi="Times New Roman" w:eastAsia="宋体" w:cs="Times New Roman"/>
      <w:sz w:val="28"/>
      <w:lang w:val="en-US" w:eastAsia="zh-CN" w:bidi="ar-SA"/>
    </w:rPr>
  </w:style>
  <w:style w:type="paragraph" w:customStyle="1" w:styleId="940">
    <w:name w:val="font13"/>
    <w:basedOn w:val="1"/>
    <w:qFormat/>
    <w:uiPriority w:val="0"/>
    <w:pPr>
      <w:widowControl/>
      <w:spacing w:before="100" w:beforeAutospacing="1" w:after="100" w:afterAutospacing="1"/>
      <w:jc w:val="left"/>
    </w:pPr>
    <w:rPr>
      <w:rFonts w:hint="eastAsia" w:ascii="宋体" w:hAnsi="宋体"/>
      <w:b/>
      <w:bCs/>
      <w:sz w:val="20"/>
      <w:szCs w:val="20"/>
    </w:rPr>
  </w:style>
  <w:style w:type="paragraph" w:customStyle="1" w:styleId="941">
    <w:name w:val="样式4"/>
    <w:basedOn w:val="1"/>
    <w:qFormat/>
    <w:uiPriority w:val="0"/>
    <w:pPr>
      <w:spacing w:line="440" w:lineRule="exact"/>
      <w:ind w:left="-2"/>
    </w:pPr>
    <w:rPr>
      <w:rFonts w:ascii="宋体" w:hAnsi="宋体"/>
      <w:sz w:val="28"/>
    </w:rPr>
  </w:style>
  <w:style w:type="paragraph" w:customStyle="1" w:styleId="942">
    <w:name w:val="Char2"/>
    <w:basedOn w:val="1"/>
    <w:qFormat/>
    <w:uiPriority w:val="0"/>
    <w:pPr>
      <w:tabs>
        <w:tab w:val="left" w:pos="360"/>
      </w:tabs>
    </w:pPr>
    <w:rPr>
      <w:sz w:val="24"/>
    </w:rPr>
  </w:style>
  <w:style w:type="paragraph" w:customStyle="1" w:styleId="943">
    <w:name w:val="xl25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944">
    <w:name w:val="xl24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945">
    <w:name w:val="列表2"/>
    <w:basedOn w:val="1"/>
    <w:qFormat/>
    <w:uiPriority w:val="0"/>
    <w:pPr>
      <w:ind w:left="200" w:hanging="200"/>
    </w:pPr>
  </w:style>
  <w:style w:type="paragraph" w:customStyle="1" w:styleId="946">
    <w:name w:val="Char Char1 Char Char Char Char Char Char Char Char"/>
    <w:basedOn w:val="1"/>
    <w:qFormat/>
    <w:uiPriority w:val="0"/>
    <w:pPr>
      <w:spacing w:line="360" w:lineRule="auto"/>
    </w:pPr>
  </w:style>
  <w:style w:type="paragraph" w:customStyle="1" w:styleId="947">
    <w:name w:val="正文4"/>
    <w:basedOn w:val="1"/>
    <w:qFormat/>
    <w:uiPriority w:val="0"/>
    <w:pPr>
      <w:spacing w:line="360" w:lineRule="auto"/>
      <w:ind w:firstLine="480"/>
    </w:pPr>
    <w:rPr>
      <w:rFonts w:ascii="楷体_GB2312" w:hAnsi="宋体" w:eastAsia="楷体_GB2312"/>
      <w:sz w:val="24"/>
      <w:szCs w:val="20"/>
    </w:rPr>
  </w:style>
  <w:style w:type="paragraph" w:customStyle="1" w:styleId="948">
    <w:name w:val="封面标准号2"/>
    <w:basedOn w:val="939"/>
    <w:qFormat/>
    <w:uiPriority w:val="0"/>
    <w:pPr>
      <w:framePr w:w="9138" w:h="1244" w:hRule="exact" w:wrap="around" w:vAnchor="page" w:hAnchor="margin" w:y="2908"/>
      <w:spacing w:before="357" w:line="280" w:lineRule="exact"/>
    </w:pPr>
  </w:style>
  <w:style w:type="paragraph" w:customStyle="1" w:styleId="949">
    <w:name w:val="xl26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950">
    <w:name w:val="日期3"/>
    <w:basedOn w:val="1"/>
    <w:next w:val="1"/>
    <w:qFormat/>
    <w:uiPriority w:val="0"/>
    <w:pPr>
      <w:ind w:left="100"/>
    </w:pPr>
    <w:rPr>
      <w:rFonts w:ascii="仿宋_GB2312" w:eastAsia="仿宋_GB2312"/>
      <w:b/>
      <w:sz w:val="36"/>
    </w:rPr>
  </w:style>
  <w:style w:type="paragraph" w:customStyle="1" w:styleId="951">
    <w:name w:val="xl21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952">
    <w:name w:val="xl26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953">
    <w:name w:val="批注主题1"/>
    <w:basedOn w:val="90"/>
    <w:next w:val="90"/>
    <w:qFormat/>
    <w:uiPriority w:val="0"/>
    <w:rPr>
      <w:b/>
      <w:bCs/>
    </w:rPr>
  </w:style>
  <w:style w:type="paragraph" w:customStyle="1" w:styleId="954">
    <w:name w:val="xl77"/>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Arial Unicode MS" w:hAnsi="Arial Unicode MS" w:eastAsia="Arial Unicode MS"/>
      <w:color w:val="000000"/>
      <w:sz w:val="20"/>
      <w:szCs w:val="20"/>
    </w:rPr>
  </w:style>
  <w:style w:type="paragraph" w:customStyle="1" w:styleId="955">
    <w:name w:val="封面标准英文名称"/>
    <w:qFormat/>
    <w:uiPriority w:val="0"/>
    <w:pPr>
      <w:widowControl w:val="0"/>
      <w:spacing w:before="370" w:line="400" w:lineRule="exact"/>
      <w:jc w:val="center"/>
    </w:pPr>
    <w:rPr>
      <w:rFonts w:hint="default" w:ascii="Times New Roman" w:hAnsi="Times New Roman" w:eastAsia="宋体" w:cs="Times New Roman"/>
      <w:sz w:val="28"/>
      <w:lang w:val="en-US" w:eastAsia="zh-CN" w:bidi="ar-SA"/>
    </w:rPr>
  </w:style>
  <w:style w:type="paragraph" w:customStyle="1" w:styleId="956">
    <w:name w:val="xl64"/>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center"/>
    </w:pPr>
    <w:rPr>
      <w:rFonts w:ascii="Arial Unicode MS" w:hAnsi="Arial Unicode MS" w:eastAsia="Arial Unicode MS"/>
      <w:sz w:val="20"/>
      <w:szCs w:val="20"/>
    </w:rPr>
  </w:style>
  <w:style w:type="paragraph" w:customStyle="1" w:styleId="957">
    <w:name w:val="xl22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958">
    <w:name w:val="列出段落11"/>
    <w:basedOn w:val="1"/>
    <w:qFormat/>
    <w:uiPriority w:val="0"/>
    <w:pPr>
      <w:ind w:firstLine="420"/>
    </w:pPr>
  </w:style>
  <w:style w:type="paragraph" w:customStyle="1" w:styleId="959">
    <w:name w:val="Style Heading 2 节 + Before:  0.35 line After:  0.35 line"/>
    <w:basedOn w:val="960"/>
    <w:qFormat/>
    <w:uiPriority w:val="0"/>
    <w:pPr>
      <w:tabs>
        <w:tab w:val="left" w:pos="576"/>
      </w:tabs>
      <w:ind w:left="0" w:firstLine="0"/>
    </w:pPr>
    <w:rPr>
      <w:szCs w:val="20"/>
    </w:rPr>
  </w:style>
  <w:style w:type="paragraph" w:customStyle="1" w:styleId="960">
    <w:name w:val="Heading 2 节"/>
    <w:next w:val="1"/>
    <w:qFormat/>
    <w:uiPriority w:val="0"/>
    <w:pPr>
      <w:tabs>
        <w:tab w:val="left" w:pos="576"/>
      </w:tabs>
      <w:spacing w:line="440" w:lineRule="exact"/>
      <w:ind w:left="576" w:hanging="576"/>
      <w:jc w:val="center"/>
    </w:pPr>
    <w:rPr>
      <w:rFonts w:hint="default" w:ascii="Times New Roman" w:hAnsi="Times New Roman" w:eastAsia="黑体" w:cs="Times New Roman"/>
      <w:b/>
      <w:bCs/>
      <w:sz w:val="28"/>
      <w:szCs w:val="28"/>
      <w:lang w:val="en-US" w:eastAsia="zh-CN" w:bidi="ar-SA"/>
    </w:rPr>
  </w:style>
  <w:style w:type="paragraph" w:customStyle="1" w:styleId="961">
    <w:name w:val="正文文本 32"/>
    <w:basedOn w:val="1"/>
    <w:qFormat/>
    <w:uiPriority w:val="0"/>
    <w:rPr>
      <w:rFonts w:ascii="仿宋_GB2312" w:hAnsi="Arial" w:eastAsia="仿宋_GB2312"/>
      <w:sz w:val="32"/>
      <w:szCs w:val="20"/>
    </w:rPr>
  </w:style>
  <w:style w:type="paragraph" w:customStyle="1" w:styleId="962">
    <w:name w:val="xl18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963">
    <w:name w:val="xl27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964">
    <w:name w:val="xl5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b/>
      <w:bCs/>
      <w:color w:val="000000"/>
      <w:sz w:val="20"/>
      <w:szCs w:val="20"/>
    </w:rPr>
  </w:style>
  <w:style w:type="paragraph" w:customStyle="1" w:styleId="965">
    <w:name w:val="xl16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966">
    <w:name w:val="TOC 标题11"/>
    <w:basedOn w:val="3"/>
    <w:next w:val="1"/>
    <w:qFormat/>
    <w:uiPriority w:val="39"/>
    <w:pPr>
      <w:keepLines/>
      <w:widowControl/>
      <w:tabs>
        <w:tab w:val="left" w:pos="0"/>
      </w:tabs>
      <w:spacing w:before="480" w:line="276" w:lineRule="auto"/>
      <w:jc w:val="left"/>
      <w:outlineLvl w:val="9"/>
    </w:pPr>
    <w:rPr>
      <w:rFonts w:ascii="Cambria" w:hAnsi="Cambria" w:eastAsia="宋体"/>
      <w:b/>
      <w:bCs/>
      <w:color w:val="365F91"/>
      <w:szCs w:val="28"/>
    </w:rPr>
  </w:style>
  <w:style w:type="paragraph" w:customStyle="1" w:styleId="967">
    <w:name w:val="xl14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968">
    <w:name w:val="xl20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969">
    <w:name w:val="GP正文(首行缩进)"/>
    <w:basedOn w:val="1"/>
    <w:qFormat/>
    <w:uiPriority w:val="0"/>
    <w:pPr>
      <w:spacing w:line="360" w:lineRule="auto"/>
      <w:ind w:firstLine="200"/>
      <w:jc w:val="left"/>
    </w:pPr>
    <w:rPr>
      <w:sz w:val="24"/>
      <w:szCs w:val="21"/>
    </w:rPr>
  </w:style>
  <w:style w:type="paragraph" w:customStyle="1" w:styleId="970">
    <w:name w:val="xl26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971">
    <w:name w:val="xl5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olor w:val="000000"/>
      <w:sz w:val="20"/>
      <w:szCs w:val="20"/>
    </w:rPr>
  </w:style>
  <w:style w:type="paragraph" w:customStyle="1" w:styleId="972">
    <w:name w:val="xl21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973">
    <w:name w:val="font9"/>
    <w:basedOn w:val="1"/>
    <w:qFormat/>
    <w:uiPriority w:val="0"/>
    <w:pPr>
      <w:widowControl/>
      <w:spacing w:before="100" w:beforeAutospacing="1" w:after="100" w:afterAutospacing="1"/>
      <w:jc w:val="left"/>
    </w:pPr>
    <w:rPr>
      <w:rFonts w:eastAsia="Arial Unicode MS"/>
      <w:sz w:val="20"/>
      <w:szCs w:val="20"/>
    </w:rPr>
  </w:style>
  <w:style w:type="paragraph" w:customStyle="1" w:styleId="974">
    <w:name w:val="xl3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22"/>
      <w:szCs w:val="22"/>
    </w:rPr>
  </w:style>
  <w:style w:type="paragraph" w:customStyle="1" w:styleId="975">
    <w:name w:val="正文文本 21"/>
    <w:basedOn w:val="1"/>
    <w:qFormat/>
    <w:uiPriority w:val="0"/>
    <w:pPr>
      <w:spacing w:after="120" w:line="480" w:lineRule="auto"/>
    </w:pPr>
  </w:style>
  <w:style w:type="paragraph" w:customStyle="1" w:styleId="976">
    <w:name w:val="五级条标题"/>
    <w:basedOn w:val="914"/>
    <w:next w:val="64"/>
    <w:qFormat/>
    <w:uiPriority w:val="0"/>
    <w:pPr>
      <w:tabs>
        <w:tab w:val="left" w:pos="1800"/>
      </w:tabs>
      <w:ind w:left="1276" w:hanging="1276"/>
      <w:outlineLvl w:val="6"/>
    </w:pPr>
  </w:style>
  <w:style w:type="paragraph" w:customStyle="1" w:styleId="977">
    <w:name w:val="xl303"/>
    <w:basedOn w:val="1"/>
    <w:qFormat/>
    <w:uiPriority w:val="0"/>
    <w:pPr>
      <w:widowControl/>
      <w:pBdr>
        <w:top w:val="single" w:color="000000" w:sz="4" w:space="0"/>
        <w:bottom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978">
    <w:name w:val="xl27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979">
    <w:name w:val="正文编号"/>
    <w:basedOn w:val="1"/>
    <w:qFormat/>
    <w:uiPriority w:val="0"/>
    <w:pPr>
      <w:tabs>
        <w:tab w:val="left" w:pos="0"/>
        <w:tab w:val="left" w:pos="1380"/>
      </w:tabs>
      <w:spacing w:line="360" w:lineRule="auto"/>
      <w:ind w:left="195" w:hanging="51"/>
    </w:pPr>
    <w:rPr>
      <w:rFonts w:ascii="Book Antiqua" w:hAnsi="Book Antiqua"/>
      <w:sz w:val="24"/>
      <w:szCs w:val="20"/>
    </w:rPr>
  </w:style>
  <w:style w:type="paragraph" w:customStyle="1" w:styleId="980">
    <w:name w:val="xl301"/>
    <w:basedOn w:val="1"/>
    <w:qFormat/>
    <w:uiPriority w:val="0"/>
    <w:pPr>
      <w:widowControl/>
      <w:pBdr>
        <w:top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981">
    <w:name w:val="xl61"/>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Arial Unicode MS" w:hAnsi="Arial Unicode MS" w:eastAsia="Arial Unicode MS"/>
      <w:sz w:val="20"/>
      <w:szCs w:val="20"/>
    </w:rPr>
  </w:style>
  <w:style w:type="paragraph" w:customStyle="1" w:styleId="982">
    <w:name w:val="xl28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983">
    <w:name w:val="xl28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984">
    <w:name w:val="封面正文"/>
    <w:qFormat/>
    <w:uiPriority w:val="0"/>
    <w:pPr>
      <w:jc w:val="both"/>
    </w:pPr>
    <w:rPr>
      <w:rFonts w:hint="default" w:ascii="Times New Roman" w:hAnsi="Times New Roman" w:eastAsia="宋体" w:cs="Times New Roman"/>
      <w:lang w:val="en-US" w:eastAsia="zh-CN" w:bidi="ar-SA"/>
    </w:rPr>
  </w:style>
  <w:style w:type="paragraph" w:customStyle="1" w:styleId="985">
    <w:name w:val="xl21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986">
    <w:name w:val="制作人文字"/>
    <w:basedOn w:val="1"/>
    <w:qFormat/>
    <w:uiPriority w:val="0"/>
    <w:rPr>
      <w:rFonts w:ascii="Arial" w:hAnsi="Arial" w:eastAsia="仿宋_GB2312"/>
      <w:bCs/>
      <w:sz w:val="28"/>
      <w:szCs w:val="20"/>
    </w:rPr>
  </w:style>
  <w:style w:type="paragraph" w:customStyle="1" w:styleId="987">
    <w:name w:val="xl5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eastAsia="Arial Unicode MS"/>
      <w:color w:val="000000"/>
      <w:sz w:val="20"/>
      <w:szCs w:val="20"/>
    </w:rPr>
  </w:style>
  <w:style w:type="paragraph" w:customStyle="1" w:styleId="988">
    <w:name w:val="xl25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b/>
      <w:bCs/>
      <w:sz w:val="20"/>
      <w:szCs w:val="20"/>
    </w:rPr>
  </w:style>
  <w:style w:type="paragraph" w:customStyle="1" w:styleId="989">
    <w:name w:val="xl3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olor w:val="000000"/>
      <w:sz w:val="22"/>
      <w:szCs w:val="22"/>
    </w:rPr>
  </w:style>
  <w:style w:type="paragraph" w:customStyle="1" w:styleId="990">
    <w:name w:val="font10"/>
    <w:basedOn w:val="1"/>
    <w:qFormat/>
    <w:uiPriority w:val="0"/>
    <w:pPr>
      <w:widowControl/>
      <w:spacing w:before="100" w:beforeAutospacing="1" w:after="100" w:afterAutospacing="1"/>
      <w:jc w:val="left"/>
    </w:pPr>
    <w:rPr>
      <w:rFonts w:eastAsia="Arial Unicode MS"/>
      <w:color w:val="000000"/>
      <w:sz w:val="20"/>
      <w:szCs w:val="20"/>
    </w:rPr>
  </w:style>
  <w:style w:type="paragraph" w:customStyle="1" w:styleId="991">
    <w:name w:val="纯文本2"/>
    <w:basedOn w:val="1"/>
    <w:qFormat/>
    <w:uiPriority w:val="0"/>
    <w:rPr>
      <w:rFonts w:ascii="宋体" w:hAnsi="Courier New"/>
      <w:szCs w:val="21"/>
    </w:rPr>
  </w:style>
  <w:style w:type="paragraph" w:customStyle="1" w:styleId="992">
    <w:name w:val="font12"/>
    <w:basedOn w:val="1"/>
    <w:qFormat/>
    <w:uiPriority w:val="0"/>
    <w:pPr>
      <w:widowControl/>
      <w:spacing w:before="100" w:beforeAutospacing="1" w:after="100" w:afterAutospacing="1"/>
      <w:jc w:val="left"/>
    </w:pPr>
    <w:rPr>
      <w:rFonts w:eastAsia="Arial Unicode MS"/>
      <w:b/>
      <w:bCs/>
      <w:sz w:val="20"/>
      <w:szCs w:val="20"/>
    </w:rPr>
  </w:style>
  <w:style w:type="paragraph" w:customStyle="1" w:styleId="993">
    <w:name w:val="xl31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sz w:val="20"/>
      <w:szCs w:val="20"/>
    </w:rPr>
  </w:style>
  <w:style w:type="paragraph" w:customStyle="1" w:styleId="994">
    <w:name w:val="xl6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20"/>
      <w:szCs w:val="20"/>
    </w:rPr>
  </w:style>
  <w:style w:type="paragraph" w:customStyle="1" w:styleId="995">
    <w:name w:val="xl31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996">
    <w:name w:val="xl6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20"/>
      <w:szCs w:val="20"/>
    </w:rPr>
  </w:style>
  <w:style w:type="paragraph" w:customStyle="1" w:styleId="997">
    <w:name w:val="xl29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998">
    <w:name w:val="附录标识"/>
    <w:basedOn w:val="891"/>
    <w:qFormat/>
    <w:uiPriority w:val="0"/>
    <w:pPr>
      <w:tabs>
        <w:tab w:val="left" w:pos="780"/>
        <w:tab w:val="left" w:pos="6405"/>
      </w:tabs>
      <w:spacing w:after="200"/>
      <w:ind w:left="780" w:hanging="360"/>
    </w:pPr>
    <w:rPr>
      <w:sz w:val="21"/>
    </w:rPr>
  </w:style>
  <w:style w:type="paragraph" w:customStyle="1" w:styleId="999">
    <w:name w:val="xl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22"/>
      <w:szCs w:val="22"/>
    </w:rPr>
  </w:style>
  <w:style w:type="paragraph" w:customStyle="1" w:styleId="1000">
    <w:name w:val="xl22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001">
    <w:name w:val="font5"/>
    <w:basedOn w:val="1"/>
    <w:qFormat/>
    <w:uiPriority w:val="0"/>
    <w:pPr>
      <w:widowControl/>
      <w:spacing w:before="100" w:beforeAutospacing="1" w:after="100" w:afterAutospacing="1"/>
      <w:jc w:val="left"/>
    </w:pPr>
    <w:rPr>
      <w:rFonts w:ascii="Tahoma" w:hAnsi="Tahoma" w:eastAsia="Arial Unicode MS" w:cs="Tahoma"/>
      <w:sz w:val="20"/>
      <w:szCs w:val="20"/>
    </w:rPr>
  </w:style>
  <w:style w:type="paragraph" w:customStyle="1" w:styleId="1002">
    <w:name w:val="xl19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003">
    <w:name w:val="xl7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20"/>
      <w:szCs w:val="20"/>
    </w:rPr>
  </w:style>
  <w:style w:type="paragraph" w:customStyle="1" w:styleId="1004">
    <w:name w:val="_Style 5"/>
    <w:basedOn w:val="1"/>
    <w:qFormat/>
    <w:uiPriority w:val="34"/>
  </w:style>
  <w:style w:type="paragraph" w:customStyle="1" w:styleId="1005">
    <w:name w:val="xl21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006">
    <w:name w:val="font6"/>
    <w:basedOn w:val="1"/>
    <w:qFormat/>
    <w:uiPriority w:val="0"/>
    <w:pPr>
      <w:widowControl/>
      <w:spacing w:before="100" w:beforeAutospacing="1" w:after="100" w:afterAutospacing="1"/>
      <w:jc w:val="left"/>
    </w:pPr>
    <w:rPr>
      <w:rFonts w:hint="eastAsia" w:ascii="黑体" w:hAnsi="Arial Unicode MS" w:eastAsia="黑体"/>
      <w:b/>
      <w:bCs/>
      <w:sz w:val="20"/>
      <w:szCs w:val="20"/>
    </w:rPr>
  </w:style>
  <w:style w:type="paragraph" w:customStyle="1" w:styleId="1007">
    <w:name w:val="xl300"/>
    <w:basedOn w:val="1"/>
    <w:qFormat/>
    <w:uiPriority w:val="0"/>
    <w:pPr>
      <w:widowControl/>
      <w:pBdr>
        <w:top w:val="single" w:color="000000" w:sz="4" w:space="0"/>
        <w:bottom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008">
    <w:name w:val="样式1111"/>
    <w:basedOn w:val="1"/>
    <w:qFormat/>
    <w:uiPriority w:val="0"/>
    <w:pPr>
      <w:spacing w:line="360" w:lineRule="auto"/>
      <w:ind w:firstLine="200"/>
      <w:jc w:val="left"/>
    </w:pPr>
    <w:rPr>
      <w:sz w:val="24"/>
    </w:rPr>
  </w:style>
  <w:style w:type="paragraph" w:customStyle="1" w:styleId="1009">
    <w:name w:val="xl7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20"/>
      <w:szCs w:val="20"/>
    </w:rPr>
  </w:style>
  <w:style w:type="paragraph" w:customStyle="1" w:styleId="1010">
    <w:name w:val="xl313"/>
    <w:basedOn w:val="1"/>
    <w:qFormat/>
    <w:uiPriority w:val="0"/>
    <w:pPr>
      <w:widowControl/>
      <w:pBdr>
        <w:top w:val="single" w:color="000000" w:sz="4" w:space="0"/>
        <w:left w:val="single" w:color="000000" w:sz="4" w:space="0"/>
        <w:bottom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011">
    <w:name w:val="xl24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012">
    <w:name w:val="xl3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22"/>
      <w:szCs w:val="22"/>
    </w:rPr>
  </w:style>
  <w:style w:type="paragraph" w:customStyle="1" w:styleId="1013">
    <w:name w:val="TOC 标题21"/>
    <w:basedOn w:val="3"/>
    <w:next w:val="1"/>
    <w:qFormat/>
    <w:uiPriority w:val="39"/>
    <w:pPr>
      <w:keepLines/>
      <w:widowControl/>
      <w:spacing w:before="240" w:line="259" w:lineRule="auto"/>
      <w:jc w:val="left"/>
      <w:outlineLvl w:val="9"/>
    </w:pPr>
    <w:rPr>
      <w:rFonts w:ascii="Cambria" w:hAnsi="Cambria" w:eastAsia="宋体" w:cs="黑体"/>
      <w:color w:val="365F90"/>
      <w:sz w:val="32"/>
      <w:szCs w:val="32"/>
    </w:rPr>
  </w:style>
  <w:style w:type="paragraph" w:customStyle="1" w:styleId="1014">
    <w:name w:val="样式 样式 标题 3H3Heading 3 - oldh3sect1.2.3BOD 0level_3PIM 3Leve... +..."/>
    <w:basedOn w:val="1"/>
    <w:qFormat/>
    <w:uiPriority w:val="0"/>
    <w:pPr>
      <w:tabs>
        <w:tab w:val="left" w:pos="709"/>
      </w:tabs>
      <w:spacing w:line="300" w:lineRule="auto"/>
      <w:ind w:left="709" w:hanging="709"/>
    </w:pPr>
  </w:style>
  <w:style w:type="paragraph" w:customStyle="1" w:styleId="1015">
    <w:name w:val="Char11"/>
    <w:basedOn w:val="1"/>
    <w:qFormat/>
    <w:uiPriority w:val="0"/>
    <w:rPr>
      <w:rFonts w:ascii="Tahoma" w:hAnsi="Tahoma"/>
      <w:sz w:val="24"/>
      <w:szCs w:val="20"/>
    </w:rPr>
  </w:style>
  <w:style w:type="paragraph" w:customStyle="1" w:styleId="1016">
    <w:name w:val="xl17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017">
    <w:name w:val="xl20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018">
    <w:name w:val="我的表格文字"/>
    <w:basedOn w:val="1"/>
    <w:qFormat/>
    <w:uiPriority w:val="0"/>
    <w:pPr>
      <w:widowControl/>
      <w:jc w:val="left"/>
    </w:pPr>
    <w:rPr>
      <w:rFonts w:ascii="Arial" w:hAnsi="Arial" w:cs="Microsoft Sans Serif"/>
      <w:sz w:val="24"/>
      <w:szCs w:val="18"/>
    </w:rPr>
  </w:style>
  <w:style w:type="paragraph" w:customStyle="1" w:styleId="1019">
    <w:name w:val="xl24"/>
    <w:basedOn w:val="1"/>
    <w:qFormat/>
    <w:uiPriority w:val="0"/>
    <w:pPr>
      <w:widowControl/>
      <w:shd w:val="clear" w:color="auto" w:fill="C0C0C0"/>
      <w:spacing w:before="100" w:beforeAutospacing="1" w:after="100" w:afterAutospacing="1"/>
      <w:jc w:val="center"/>
    </w:pPr>
    <w:rPr>
      <w:rFonts w:ascii="Tahoma" w:hAnsi="Tahoma" w:eastAsia="Arial Unicode MS" w:cs="Tahoma"/>
      <w:b/>
      <w:bCs/>
      <w:sz w:val="16"/>
      <w:szCs w:val="16"/>
    </w:rPr>
  </w:style>
  <w:style w:type="paragraph" w:customStyle="1" w:styleId="1020">
    <w:name w:val="正文文本 22"/>
    <w:basedOn w:val="1"/>
    <w:qFormat/>
    <w:uiPriority w:val="0"/>
    <w:pPr>
      <w:spacing w:after="120" w:line="480" w:lineRule="auto"/>
    </w:pPr>
  </w:style>
  <w:style w:type="paragraph" w:customStyle="1" w:styleId="1021">
    <w:name w:val="xl3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22"/>
      <w:szCs w:val="22"/>
    </w:rPr>
  </w:style>
  <w:style w:type="paragraph" w:customStyle="1" w:styleId="1022">
    <w:name w:val="xl29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023">
    <w:name w:val="xl296"/>
    <w:basedOn w:val="1"/>
    <w:qFormat/>
    <w:uiPriority w:val="0"/>
    <w:pPr>
      <w:widowControl/>
      <w:pBdr>
        <w:top w:val="single" w:color="000000" w:sz="4" w:space="0"/>
        <w:left w:val="single" w:color="000000" w:sz="4" w:space="0"/>
        <w:bottom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024">
    <w:name w:val="附录二级条标题"/>
    <w:basedOn w:val="876"/>
    <w:next w:val="64"/>
    <w:qFormat/>
    <w:uiPriority w:val="0"/>
    <w:pPr>
      <w:ind w:left="1779" w:hanging="1069"/>
      <w:outlineLvl w:val="3"/>
    </w:pPr>
  </w:style>
  <w:style w:type="paragraph" w:customStyle="1" w:styleId="1025">
    <w:name w:val="xl6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eastAsia="Arial Unicode MS"/>
      <w:szCs w:val="21"/>
    </w:rPr>
  </w:style>
  <w:style w:type="paragraph" w:customStyle="1" w:styleId="1026">
    <w:name w:val="xl18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027">
    <w:name w:val="FA正文+标号"/>
    <w:basedOn w:val="1"/>
    <w:qFormat/>
    <w:uiPriority w:val="0"/>
    <w:pPr>
      <w:tabs>
        <w:tab w:val="left" w:pos="907"/>
        <w:tab w:val="left" w:pos="987"/>
        <w:tab w:val="left" w:pos="3375"/>
      </w:tabs>
      <w:spacing w:line="400" w:lineRule="exact"/>
      <w:ind w:left="987" w:hanging="420"/>
    </w:pPr>
    <w:rPr>
      <w:rFonts w:ascii="仿宋_GB2312" w:hAnsi="宋体" w:eastAsia="仿宋_GB2312"/>
      <w:sz w:val="24"/>
    </w:rPr>
  </w:style>
  <w:style w:type="paragraph" w:customStyle="1" w:styleId="1028">
    <w:name w:val="xl6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eastAsia="Arial Unicode MS"/>
      <w:sz w:val="20"/>
      <w:szCs w:val="20"/>
    </w:rPr>
  </w:style>
  <w:style w:type="paragraph" w:customStyle="1" w:styleId="1029">
    <w:name w:val="xl15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030">
    <w:name w:val="附录三级条标题"/>
    <w:basedOn w:val="1024"/>
    <w:next w:val="64"/>
    <w:qFormat/>
    <w:uiPriority w:val="0"/>
    <w:pPr>
      <w:ind w:left="851" w:hanging="851"/>
      <w:outlineLvl w:val="4"/>
    </w:pPr>
  </w:style>
  <w:style w:type="paragraph" w:customStyle="1" w:styleId="1031">
    <w:name w:val="xl29"/>
    <w:basedOn w:val="1"/>
    <w:qFormat/>
    <w:uiPriority w:val="0"/>
    <w:pPr>
      <w:widowControl/>
      <w:spacing w:before="100" w:beforeAutospacing="1" w:after="100" w:afterAutospacing="1"/>
      <w:jc w:val="left"/>
    </w:pPr>
    <w:rPr>
      <w:rFonts w:ascii="Tahoma" w:hAnsi="Tahoma" w:eastAsia="Arial Unicode MS" w:cs="Tahoma"/>
      <w:sz w:val="16"/>
      <w:szCs w:val="16"/>
    </w:rPr>
  </w:style>
  <w:style w:type="paragraph" w:customStyle="1" w:styleId="1032">
    <w:name w:val="文档结构图2"/>
    <w:basedOn w:val="1"/>
    <w:qFormat/>
    <w:uiPriority w:val="0"/>
    <w:rPr>
      <w:rFonts w:ascii="宋体"/>
      <w:sz w:val="18"/>
      <w:szCs w:val="18"/>
    </w:rPr>
  </w:style>
  <w:style w:type="paragraph" w:customStyle="1" w:styleId="1033">
    <w:name w:val="xl5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eastAsia="Arial Unicode MS"/>
      <w:color w:val="000000"/>
      <w:sz w:val="20"/>
      <w:szCs w:val="20"/>
    </w:rPr>
  </w:style>
  <w:style w:type="paragraph" w:customStyle="1" w:styleId="1034">
    <w:name w:val="xl206"/>
    <w:basedOn w:val="1"/>
    <w:qFormat/>
    <w:uiPriority w:val="0"/>
    <w:pPr>
      <w:widowControl/>
      <w:shd w:val="clear" w:color="000000" w:fill="FFFFFF"/>
      <w:spacing w:before="100" w:beforeAutospacing="1" w:after="100" w:afterAutospacing="1"/>
      <w:jc w:val="left"/>
    </w:pPr>
    <w:rPr>
      <w:rFonts w:ascii="Arial" w:hAnsi="Arial" w:cs="Arial"/>
      <w:sz w:val="20"/>
      <w:szCs w:val="20"/>
    </w:rPr>
  </w:style>
  <w:style w:type="paragraph" w:customStyle="1" w:styleId="1035">
    <w:name w:val="xl32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b/>
      <w:bCs/>
      <w:sz w:val="20"/>
      <w:szCs w:val="20"/>
    </w:rPr>
  </w:style>
  <w:style w:type="paragraph" w:customStyle="1" w:styleId="1036">
    <w:name w:val="xl3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sz w:val="22"/>
      <w:szCs w:val="22"/>
    </w:rPr>
  </w:style>
  <w:style w:type="paragraph" w:customStyle="1" w:styleId="1037">
    <w:name w:val="附录四级条标题"/>
    <w:basedOn w:val="1030"/>
    <w:next w:val="64"/>
    <w:qFormat/>
    <w:uiPriority w:val="0"/>
    <w:pPr>
      <w:ind w:left="992" w:hanging="992"/>
      <w:outlineLvl w:val="5"/>
    </w:pPr>
  </w:style>
  <w:style w:type="paragraph" w:customStyle="1" w:styleId="1038">
    <w:name w:val="font8"/>
    <w:basedOn w:val="1"/>
    <w:qFormat/>
    <w:uiPriority w:val="0"/>
    <w:pPr>
      <w:widowControl/>
      <w:spacing w:before="100" w:beforeAutospacing="1" w:after="100" w:afterAutospacing="1"/>
      <w:jc w:val="left"/>
    </w:pPr>
    <w:rPr>
      <w:rFonts w:hint="eastAsia" w:ascii="宋体" w:hAnsi="宋体"/>
      <w:color w:val="000000"/>
      <w:sz w:val="20"/>
      <w:szCs w:val="20"/>
    </w:rPr>
  </w:style>
  <w:style w:type="paragraph" w:customStyle="1" w:styleId="1039">
    <w:name w:val="xl18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040">
    <w:name w:val="xl28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041">
    <w:name w:val="正文符号编号"/>
    <w:basedOn w:val="1"/>
    <w:qFormat/>
    <w:uiPriority w:val="0"/>
    <w:pPr>
      <w:tabs>
        <w:tab w:val="left" w:pos="1395"/>
      </w:tabs>
      <w:spacing w:line="360" w:lineRule="auto"/>
      <w:ind w:left="1395" w:hanging="600"/>
    </w:pPr>
    <w:rPr>
      <w:sz w:val="24"/>
      <w:szCs w:val="20"/>
    </w:rPr>
  </w:style>
  <w:style w:type="paragraph" w:customStyle="1" w:styleId="1042">
    <w:name w:val="xl31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043">
    <w:name w:val="xl25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044">
    <w:name w:val="正文 + 四号"/>
    <w:basedOn w:val="1"/>
    <w:qFormat/>
    <w:uiPriority w:val="0"/>
    <w:pPr>
      <w:spacing w:line="480" w:lineRule="exact"/>
    </w:pPr>
    <w:rPr>
      <w:sz w:val="28"/>
      <w:szCs w:val="20"/>
    </w:rPr>
  </w:style>
  <w:style w:type="paragraph" w:customStyle="1" w:styleId="1045">
    <w:name w:val="xl15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046">
    <w:name w:val="Char1 Char Char Char"/>
    <w:basedOn w:val="1"/>
    <w:qFormat/>
    <w:uiPriority w:val="99"/>
    <w:rPr>
      <w:rFonts w:ascii="Tahoma" w:hAnsi="Tahoma"/>
      <w:sz w:val="24"/>
      <w:szCs w:val="20"/>
    </w:rPr>
  </w:style>
  <w:style w:type="paragraph" w:customStyle="1" w:styleId="1047">
    <w:name w:val="xl5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b/>
      <w:bCs/>
      <w:color w:val="000000"/>
      <w:sz w:val="20"/>
      <w:szCs w:val="20"/>
    </w:rPr>
  </w:style>
  <w:style w:type="paragraph" w:customStyle="1" w:styleId="1048">
    <w:name w:val="xl29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049">
    <w:name w:val="附录五级条标题"/>
    <w:basedOn w:val="1037"/>
    <w:next w:val="64"/>
    <w:qFormat/>
    <w:uiPriority w:val="0"/>
    <w:pPr>
      <w:tabs>
        <w:tab w:val="left" w:pos="780"/>
        <w:tab w:val="left" w:pos="1800"/>
      </w:tabs>
      <w:ind w:left="2940" w:hanging="420"/>
      <w:outlineLvl w:val="6"/>
    </w:pPr>
  </w:style>
  <w:style w:type="paragraph" w:customStyle="1" w:styleId="1050">
    <w:name w:val="font11"/>
    <w:basedOn w:val="1"/>
    <w:qFormat/>
    <w:uiPriority w:val="0"/>
    <w:pPr>
      <w:widowControl/>
      <w:spacing w:before="100" w:beforeAutospacing="1" w:after="100" w:afterAutospacing="1"/>
      <w:jc w:val="left"/>
    </w:pPr>
    <w:rPr>
      <w:rFonts w:hint="eastAsia" w:ascii="宋体" w:hAnsi="宋体"/>
      <w:sz w:val="20"/>
      <w:szCs w:val="20"/>
    </w:rPr>
  </w:style>
  <w:style w:type="paragraph" w:customStyle="1" w:styleId="1051">
    <w:name w:val="xl17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pPr>
    <w:rPr>
      <w:rFonts w:ascii="Arial" w:hAnsi="Arial" w:cs="Arial"/>
      <w:sz w:val="20"/>
      <w:szCs w:val="20"/>
    </w:rPr>
  </w:style>
  <w:style w:type="paragraph" w:customStyle="1" w:styleId="1052">
    <w:name w:val="正文首行缩进1"/>
    <w:basedOn w:val="1"/>
    <w:qFormat/>
    <w:uiPriority w:val="0"/>
    <w:pPr>
      <w:spacing w:line="360" w:lineRule="auto"/>
      <w:ind w:firstLine="420"/>
    </w:pPr>
    <w:rPr>
      <w:rFonts w:ascii="Arial" w:hAnsi="Arial"/>
      <w:sz w:val="20"/>
      <w:szCs w:val="21"/>
    </w:rPr>
  </w:style>
  <w:style w:type="paragraph" w:customStyle="1" w:styleId="1053">
    <w:name w:val="图表目录1"/>
    <w:basedOn w:val="113"/>
    <w:qFormat/>
    <w:uiPriority w:val="0"/>
    <w:pPr>
      <w:spacing w:after="120" w:line="360" w:lineRule="auto"/>
      <w:jc w:val="center"/>
    </w:pPr>
    <w:rPr>
      <w:rFonts w:ascii="楷体"/>
      <w:sz w:val="28"/>
    </w:rPr>
  </w:style>
  <w:style w:type="paragraph" w:customStyle="1" w:styleId="1054">
    <w:name w:val="xl299"/>
    <w:basedOn w:val="1"/>
    <w:qFormat/>
    <w:uiPriority w:val="0"/>
    <w:pPr>
      <w:widowControl/>
      <w:pBdr>
        <w:top w:val="single" w:color="000000" w:sz="4" w:space="0"/>
        <w:left w:val="single" w:color="000000" w:sz="4" w:space="0"/>
        <w:bottom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055">
    <w:name w:val="xl25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056">
    <w:name w:val="xl46"/>
    <w:basedOn w:val="1"/>
    <w:qFormat/>
    <w:uiPriority w:val="0"/>
    <w:pPr>
      <w:widowControl/>
      <w:spacing w:before="100" w:beforeAutospacing="1" w:after="100" w:afterAutospacing="1"/>
      <w:jc w:val="left"/>
    </w:pPr>
    <w:rPr>
      <w:rFonts w:ascii="Arial Unicode MS" w:hAnsi="Arial Unicode MS" w:eastAsia="Arial Unicode MS"/>
      <w:sz w:val="24"/>
    </w:rPr>
  </w:style>
  <w:style w:type="paragraph" w:customStyle="1" w:styleId="1057">
    <w:name w:val="xl7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hint="eastAsia" w:ascii="黑体" w:hAnsi="Arial Unicode MS" w:eastAsia="黑体"/>
      <w:b/>
      <w:bCs/>
      <w:sz w:val="20"/>
      <w:szCs w:val="20"/>
    </w:rPr>
  </w:style>
  <w:style w:type="paragraph" w:customStyle="1" w:styleId="1058">
    <w:name w:val="xl22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059">
    <w:name w:val="xl21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060">
    <w:name w:val="表格1"/>
    <w:basedOn w:val="1"/>
    <w:qFormat/>
    <w:uiPriority w:val="0"/>
    <w:rPr>
      <w:rFonts w:ascii="宋体"/>
      <w:szCs w:val="21"/>
    </w:rPr>
  </w:style>
  <w:style w:type="paragraph" w:customStyle="1" w:styleId="1061">
    <w:name w:val="TOC 51"/>
    <w:basedOn w:val="1"/>
    <w:next w:val="1"/>
    <w:qFormat/>
    <w:uiPriority w:val="39"/>
    <w:pPr>
      <w:ind w:left="1680"/>
    </w:pPr>
    <w:rPr>
      <w:rFonts w:ascii="Calibri" w:hAnsi="Calibri"/>
      <w:szCs w:val="22"/>
    </w:rPr>
  </w:style>
  <w:style w:type="paragraph" w:customStyle="1" w:styleId="1062">
    <w:name w:val="xl17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063">
    <w:name w:val="Style Heading 3H31.1.1标题 3Level 3 Headlevel_3PIM 3h3sect1.2...."/>
    <w:basedOn w:val="5"/>
    <w:qFormat/>
    <w:uiPriority w:val="0"/>
    <w:pPr>
      <w:spacing w:before="120" w:after="120" w:line="360" w:lineRule="auto"/>
      <w:ind w:left="720" w:hanging="720"/>
    </w:pPr>
    <w:rPr>
      <w:rFonts w:eastAsia="黑体"/>
      <w:bCs/>
      <w:sz w:val="24"/>
    </w:rPr>
  </w:style>
  <w:style w:type="paragraph" w:customStyle="1" w:styleId="1064">
    <w:name w:val="xl25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065">
    <w:name w:val="xl26"/>
    <w:basedOn w:val="1"/>
    <w:qFormat/>
    <w:uiPriority w:val="0"/>
    <w:pPr>
      <w:widowControl/>
      <w:shd w:val="clear" w:color="auto" w:fill="C0C0C0"/>
      <w:spacing w:before="100" w:beforeAutospacing="1" w:after="100" w:afterAutospacing="1"/>
      <w:jc w:val="center"/>
    </w:pPr>
    <w:rPr>
      <w:rFonts w:ascii="Tahoma" w:hAnsi="Tahoma" w:eastAsia="Arial Unicode MS" w:cs="Tahoma"/>
      <w:b/>
      <w:bCs/>
      <w:sz w:val="16"/>
      <w:szCs w:val="16"/>
    </w:rPr>
  </w:style>
  <w:style w:type="paragraph" w:customStyle="1" w:styleId="1066">
    <w:name w:val="xl302"/>
    <w:basedOn w:val="1"/>
    <w:qFormat/>
    <w:uiPriority w:val="0"/>
    <w:pPr>
      <w:widowControl/>
      <w:pBdr>
        <w:top w:val="single" w:color="000000" w:sz="4" w:space="0"/>
        <w:left w:val="single" w:color="000000" w:sz="4" w:space="0"/>
        <w:bottom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067">
    <w:name w:val="列项——"/>
    <w:qFormat/>
    <w:uiPriority w:val="0"/>
    <w:pPr>
      <w:widowControl w:val="0"/>
      <w:tabs>
        <w:tab w:val="left" w:pos="1140"/>
      </w:tabs>
      <w:ind w:left="840" w:hanging="420"/>
      <w:jc w:val="both"/>
    </w:pPr>
    <w:rPr>
      <w:rFonts w:hint="default" w:ascii="宋体" w:hAnsi="Times New Roman" w:eastAsia="宋体" w:cs="Times New Roman"/>
      <w:sz w:val="21"/>
      <w:lang w:val="en-US" w:eastAsia="zh-CN" w:bidi="ar-SA"/>
    </w:rPr>
  </w:style>
  <w:style w:type="paragraph" w:customStyle="1" w:styleId="1068">
    <w:name w:val="Char1"/>
    <w:basedOn w:val="1"/>
    <w:qFormat/>
    <w:uiPriority w:val="0"/>
    <w:pPr>
      <w:tabs>
        <w:tab w:val="left" w:pos="840"/>
      </w:tabs>
      <w:ind w:left="840" w:hanging="420"/>
    </w:pPr>
    <w:rPr>
      <w:sz w:val="24"/>
    </w:rPr>
  </w:style>
  <w:style w:type="paragraph" w:customStyle="1" w:styleId="1069">
    <w:name w:val="xl25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070">
    <w:name w:val="font14"/>
    <w:basedOn w:val="1"/>
    <w:qFormat/>
    <w:uiPriority w:val="0"/>
    <w:pPr>
      <w:widowControl/>
      <w:spacing w:before="100" w:beforeAutospacing="1" w:after="100" w:afterAutospacing="1"/>
      <w:jc w:val="left"/>
    </w:pPr>
    <w:rPr>
      <w:rFonts w:ascii="宋体" w:hAnsi="宋体" w:cs="宋体"/>
      <w:sz w:val="20"/>
      <w:szCs w:val="20"/>
    </w:rPr>
  </w:style>
  <w:style w:type="paragraph" w:customStyle="1" w:styleId="1071">
    <w:name w:val="font7"/>
    <w:basedOn w:val="1"/>
    <w:qFormat/>
    <w:uiPriority w:val="0"/>
    <w:pPr>
      <w:widowControl/>
      <w:spacing w:before="100" w:beforeAutospacing="1" w:after="100" w:afterAutospacing="1"/>
      <w:jc w:val="left"/>
    </w:pPr>
    <w:rPr>
      <w:rFonts w:eastAsia="Arial Unicode MS"/>
      <w:b/>
      <w:bCs/>
      <w:color w:val="000000"/>
      <w:sz w:val="20"/>
      <w:szCs w:val="20"/>
    </w:rPr>
  </w:style>
  <w:style w:type="paragraph" w:customStyle="1" w:styleId="1072">
    <w:name w:val="xl22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073">
    <w:name w:val="xl23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074">
    <w:name w:val="TOC 81"/>
    <w:basedOn w:val="1"/>
    <w:next w:val="1"/>
    <w:qFormat/>
    <w:uiPriority w:val="39"/>
    <w:pPr>
      <w:ind w:left="2940"/>
    </w:pPr>
    <w:rPr>
      <w:rFonts w:ascii="Calibri" w:hAnsi="Calibri"/>
      <w:szCs w:val="22"/>
    </w:rPr>
  </w:style>
  <w:style w:type="paragraph" w:customStyle="1" w:styleId="1075">
    <w:name w:val="xl29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076">
    <w:name w:val="标准标志"/>
    <w:next w:val="1"/>
    <w:qFormat/>
    <w:uiPriority w:val="0"/>
    <w:pPr>
      <w:framePr w:w="2268" w:h="1392" w:hRule="exact" w:wrap="around" w:vAnchor="margin" w:hAnchor="margin" w:x="6748" w:y="171"/>
      <w:shd w:val="solid" w:color="FFFFFF" w:fill="FFFFFF"/>
      <w:spacing w:line="0" w:lineRule="atLeast"/>
      <w:jc w:val="right"/>
    </w:pPr>
    <w:rPr>
      <w:rFonts w:hint="default" w:ascii="Times New Roman" w:hAnsi="Times New Roman" w:eastAsia="宋体" w:cs="Times New Roman"/>
      <w:b/>
      <w:sz w:val="96"/>
      <w:lang w:val="en-US" w:eastAsia="zh-CN" w:bidi="ar-SA"/>
    </w:rPr>
  </w:style>
  <w:style w:type="paragraph" w:customStyle="1" w:styleId="1077">
    <w:name w:val="xl45"/>
    <w:basedOn w:val="1"/>
    <w:qFormat/>
    <w:uiPriority w:val="0"/>
    <w:pPr>
      <w:widowControl/>
      <w:spacing w:before="100" w:beforeAutospacing="1" w:after="100" w:afterAutospacing="1"/>
      <w:jc w:val="left"/>
    </w:pPr>
    <w:rPr>
      <w:rFonts w:hint="eastAsia" w:ascii="黑体" w:hAnsi="Arial Unicode MS" w:eastAsia="黑体"/>
      <w:b/>
      <w:bCs/>
      <w:sz w:val="24"/>
    </w:rPr>
  </w:style>
  <w:style w:type="paragraph" w:customStyle="1" w:styleId="1078">
    <w:name w:val="xl19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079">
    <w:name w:val="列项·"/>
    <w:qFormat/>
    <w:uiPriority w:val="0"/>
    <w:pPr>
      <w:tabs>
        <w:tab w:val="left" w:pos="425"/>
        <w:tab w:val="left" w:pos="840"/>
      </w:tabs>
      <w:ind w:left="840" w:hanging="425"/>
      <w:jc w:val="both"/>
    </w:pPr>
    <w:rPr>
      <w:rFonts w:hint="default" w:ascii="宋体" w:hAnsi="Times New Roman" w:eastAsia="宋体" w:cs="Times New Roman"/>
      <w:sz w:val="21"/>
      <w:lang w:val="en-US" w:eastAsia="zh-CN" w:bidi="ar-SA"/>
    </w:rPr>
  </w:style>
  <w:style w:type="paragraph" w:customStyle="1" w:styleId="1080">
    <w:name w:val="xl15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081">
    <w:name w:val="TOC 标题121"/>
    <w:basedOn w:val="3"/>
    <w:next w:val="1"/>
    <w:qFormat/>
    <w:uiPriority w:val="39"/>
    <w:pPr>
      <w:keepLines/>
      <w:widowControl/>
      <w:spacing w:before="240" w:line="259" w:lineRule="auto"/>
      <w:jc w:val="left"/>
      <w:outlineLvl w:val="9"/>
    </w:pPr>
    <w:rPr>
      <w:rFonts w:ascii="Cambria" w:hAnsi="Cambria" w:eastAsia="宋体"/>
      <w:color w:val="365F91"/>
      <w:sz w:val="32"/>
      <w:szCs w:val="32"/>
    </w:rPr>
  </w:style>
  <w:style w:type="paragraph" w:customStyle="1" w:styleId="1082">
    <w:name w:val="标准称谓"/>
    <w:next w:val="1"/>
    <w:qFormat/>
    <w:uiPriority w:val="0"/>
    <w:pPr>
      <w:framePr w:w="9638" w:h="754" w:hRule="exact" w:hSpace="180" w:vSpace="180" w:wrap="around" w:vAnchor="page" w:hAnchor="margin" w:xAlign="center" w:y="2128"/>
      <w:widowControl w:val="0"/>
      <w:spacing w:line="0" w:lineRule="atLeast"/>
      <w:jc w:val="both"/>
    </w:pPr>
    <w:rPr>
      <w:rFonts w:hint="default" w:ascii="宋体" w:hAnsi="Times New Roman" w:eastAsia="宋体" w:cs="Times New Roman"/>
      <w:b/>
      <w:bCs/>
      <w:spacing w:val="20"/>
      <w:sz w:val="52"/>
      <w:lang w:val="en-US" w:eastAsia="zh-CN" w:bidi="ar-SA"/>
    </w:rPr>
  </w:style>
  <w:style w:type="paragraph" w:customStyle="1" w:styleId="1083">
    <w:name w:val="xl17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084">
    <w:name w:val="文本块2"/>
    <w:basedOn w:val="1"/>
    <w:qFormat/>
    <w:uiPriority w:val="0"/>
    <w:pPr>
      <w:ind w:left="630" w:right="630"/>
      <w:jc w:val="center"/>
    </w:pPr>
    <w:rPr>
      <w:rFonts w:ascii="宋体"/>
      <w:b/>
      <w:sz w:val="32"/>
    </w:rPr>
  </w:style>
  <w:style w:type="paragraph" w:customStyle="1" w:styleId="1085">
    <w:name w:val="正文格式"/>
    <w:basedOn w:val="1"/>
    <w:qFormat/>
    <w:uiPriority w:val="0"/>
    <w:pPr>
      <w:widowControl/>
      <w:spacing w:line="400" w:lineRule="exact"/>
      <w:ind w:firstLine="482"/>
    </w:pPr>
    <w:rPr>
      <w:rFonts w:ascii="Arial" w:hAnsi="Arial" w:eastAsia="新宋体"/>
      <w:sz w:val="24"/>
      <w:szCs w:val="20"/>
    </w:rPr>
  </w:style>
  <w:style w:type="paragraph" w:customStyle="1" w:styleId="1086">
    <w:name w:val="xl19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087">
    <w:name w:val="xl19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088">
    <w:name w:val="TOC 41"/>
    <w:basedOn w:val="1"/>
    <w:next w:val="1"/>
    <w:qFormat/>
    <w:uiPriority w:val="39"/>
    <w:pPr>
      <w:ind w:left="1260"/>
    </w:pPr>
    <w:rPr>
      <w:rFonts w:ascii="Calibri" w:hAnsi="Calibri"/>
      <w:szCs w:val="22"/>
    </w:rPr>
  </w:style>
  <w:style w:type="paragraph" w:customStyle="1" w:styleId="1089">
    <w:name w:val="xl26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090">
    <w:name w:val="目次、标准名称标题"/>
    <w:basedOn w:val="891"/>
    <w:next w:val="64"/>
    <w:qFormat/>
    <w:uiPriority w:val="0"/>
    <w:pPr>
      <w:spacing w:line="460" w:lineRule="exact"/>
    </w:pPr>
  </w:style>
  <w:style w:type="paragraph" w:customStyle="1" w:styleId="1091">
    <w:name w:val="xl6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20"/>
      <w:szCs w:val="20"/>
    </w:rPr>
  </w:style>
  <w:style w:type="paragraph" w:customStyle="1" w:styleId="1092">
    <w:name w:val="xl16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093">
    <w:name w:val="xl18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094">
    <w:name w:val="段 Char"/>
    <w:qFormat/>
    <w:uiPriority w:val="0"/>
    <w:pPr>
      <w:ind w:firstLine="200"/>
      <w:jc w:val="both"/>
    </w:pPr>
    <w:rPr>
      <w:rFonts w:hint="default" w:ascii="宋体" w:hAnsi="Times New Roman" w:eastAsia="宋体" w:cs="Times New Roman"/>
      <w:sz w:val="21"/>
      <w:lang w:val="en-US" w:eastAsia="zh-CN" w:bidi="ar-SA"/>
    </w:rPr>
  </w:style>
  <w:style w:type="paragraph" w:customStyle="1" w:styleId="1095">
    <w:name w:val="xl4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hint="eastAsia" w:ascii="黑体" w:hAnsi="Arial Unicode MS" w:eastAsia="黑体"/>
      <w:sz w:val="20"/>
      <w:szCs w:val="20"/>
    </w:rPr>
  </w:style>
  <w:style w:type="paragraph" w:customStyle="1" w:styleId="1096">
    <w:name w:val="xl298"/>
    <w:basedOn w:val="1"/>
    <w:qFormat/>
    <w:uiPriority w:val="0"/>
    <w:pPr>
      <w:widowControl/>
      <w:pBdr>
        <w:top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097">
    <w:name w:val="xl22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098">
    <w:name w:val="普通正文"/>
    <w:basedOn w:val="1"/>
    <w:qFormat/>
    <w:uiPriority w:val="0"/>
    <w:pPr>
      <w:spacing w:before="120" w:after="120" w:line="360" w:lineRule="auto"/>
      <w:ind w:firstLine="480"/>
      <w:jc w:val="left"/>
    </w:pPr>
    <w:rPr>
      <w:rFonts w:ascii="Arial" w:hAnsi="Arial"/>
      <w:sz w:val="24"/>
    </w:rPr>
  </w:style>
  <w:style w:type="paragraph" w:customStyle="1" w:styleId="1099">
    <w:name w:val="TOC 61"/>
    <w:basedOn w:val="1"/>
    <w:next w:val="1"/>
    <w:qFormat/>
    <w:uiPriority w:val="39"/>
    <w:pPr>
      <w:ind w:left="2100"/>
    </w:pPr>
    <w:rPr>
      <w:rFonts w:ascii="Calibri" w:hAnsi="Calibri"/>
      <w:szCs w:val="22"/>
    </w:rPr>
  </w:style>
  <w:style w:type="paragraph" w:customStyle="1" w:styleId="1100">
    <w:name w:val="xl23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101">
    <w:name w:val="标准书脚_偶数页"/>
    <w:qFormat/>
    <w:uiPriority w:val="0"/>
    <w:pPr>
      <w:spacing w:before="120"/>
    </w:pPr>
    <w:rPr>
      <w:rFonts w:hint="default" w:ascii="Times New Roman" w:hAnsi="Times New Roman" w:eastAsia="宋体" w:cs="Times New Roman"/>
      <w:sz w:val="18"/>
      <w:lang w:val="en-US" w:eastAsia="zh-CN" w:bidi="ar-SA"/>
    </w:rPr>
  </w:style>
  <w:style w:type="paragraph" w:customStyle="1" w:styleId="1102">
    <w:name w:val="样式 标题 2市检方案标题2第一层条h22章标题节标题第一章 标题 2Heading 2 HiddenHead..."/>
    <w:basedOn w:val="4"/>
    <w:qFormat/>
    <w:uiPriority w:val="0"/>
    <w:pPr>
      <w:spacing w:before="120" w:after="120" w:line="264" w:lineRule="auto"/>
      <w:jc w:val="left"/>
    </w:pPr>
    <w:rPr>
      <w:rFonts w:ascii="楷体_GB2312" w:hAnsi="楷体" w:cs="宋体"/>
      <w:color w:val="000000"/>
      <w:sz w:val="28"/>
      <w:szCs w:val="28"/>
    </w:rPr>
  </w:style>
  <w:style w:type="paragraph" w:customStyle="1" w:styleId="1103">
    <w:name w:val="xl28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104">
    <w:name w:val="Item List in Table"/>
    <w:basedOn w:val="1"/>
    <w:qFormat/>
    <w:uiPriority w:val="0"/>
    <w:pPr>
      <w:widowControl/>
      <w:tabs>
        <w:tab w:val="left" w:pos="284"/>
        <w:tab w:val="left" w:pos="885"/>
      </w:tabs>
      <w:spacing w:before="80" w:after="80" w:line="240" w:lineRule="atLeast"/>
      <w:ind w:left="885" w:hanging="885"/>
      <w:jc w:val="left"/>
    </w:pPr>
    <w:rPr>
      <w:rFonts w:hint="eastAsia" w:cs="Arial"/>
      <w:szCs w:val="21"/>
    </w:rPr>
  </w:style>
  <w:style w:type="paragraph" w:customStyle="1" w:styleId="1105">
    <w:name w:val="Char Char1"/>
    <w:basedOn w:val="1"/>
    <w:semiHidden/>
    <w:qFormat/>
    <w:uiPriority w:val="99"/>
    <w:pPr>
      <w:widowControl/>
      <w:spacing w:after="160" w:line="240" w:lineRule="exact"/>
      <w:jc w:val="left"/>
    </w:pPr>
    <w:rPr>
      <w:rFonts w:ascii="Verdana" w:hAnsi="Verdana"/>
      <w:sz w:val="20"/>
      <w:lang w:eastAsia="en-US"/>
    </w:rPr>
  </w:style>
  <w:style w:type="paragraph" w:customStyle="1" w:styleId="1106">
    <w:name w:val="xl6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b/>
      <w:bCs/>
      <w:sz w:val="20"/>
      <w:szCs w:val="20"/>
    </w:rPr>
  </w:style>
  <w:style w:type="paragraph" w:customStyle="1" w:styleId="1107">
    <w:name w:val="日期2"/>
    <w:basedOn w:val="1"/>
    <w:next w:val="1"/>
    <w:qFormat/>
    <w:uiPriority w:val="0"/>
    <w:pPr>
      <w:ind w:left="100"/>
    </w:pPr>
    <w:rPr>
      <w:rFonts w:ascii="仿宋_GB2312" w:eastAsia="仿宋_GB2312"/>
      <w:b/>
      <w:sz w:val="36"/>
    </w:rPr>
  </w:style>
  <w:style w:type="paragraph" w:customStyle="1" w:styleId="1108">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22"/>
      <w:szCs w:val="22"/>
    </w:rPr>
  </w:style>
  <w:style w:type="paragraph" w:customStyle="1" w:styleId="1109">
    <w:name w:val="xl20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110">
    <w:name w:val="xl27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111">
    <w:name w:val="样式4 Char"/>
    <w:basedOn w:val="1"/>
    <w:qFormat/>
    <w:uiPriority w:val="0"/>
    <w:pPr>
      <w:widowControl/>
      <w:spacing w:line="360" w:lineRule="auto"/>
      <w:ind w:firstLine="480"/>
      <w:jc w:val="left"/>
    </w:pPr>
    <w:rPr>
      <w:color w:val="000000"/>
      <w:sz w:val="24"/>
    </w:rPr>
  </w:style>
  <w:style w:type="paragraph" w:customStyle="1" w:styleId="1112">
    <w:name w:val="xl5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olor w:val="000000"/>
      <w:sz w:val="20"/>
      <w:szCs w:val="20"/>
    </w:rPr>
  </w:style>
  <w:style w:type="paragraph" w:customStyle="1" w:styleId="1113">
    <w:name w:val="xl20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114">
    <w:name w:val="xl31"/>
    <w:basedOn w:val="1"/>
    <w:qFormat/>
    <w:uiPriority w:val="0"/>
    <w:pPr>
      <w:widowControl/>
      <w:spacing w:before="100" w:beforeAutospacing="1" w:after="100" w:afterAutospacing="1"/>
      <w:jc w:val="left"/>
    </w:pPr>
    <w:rPr>
      <w:rFonts w:ascii="Tahoma" w:hAnsi="Tahoma" w:eastAsia="Arial Unicode MS" w:cs="Tahoma"/>
      <w:sz w:val="16"/>
      <w:szCs w:val="16"/>
    </w:rPr>
  </w:style>
  <w:style w:type="paragraph" w:customStyle="1" w:styleId="1115">
    <w:name w:val="xl297"/>
    <w:basedOn w:val="1"/>
    <w:qFormat/>
    <w:uiPriority w:val="0"/>
    <w:pPr>
      <w:widowControl/>
      <w:pBdr>
        <w:top w:val="single" w:color="000000" w:sz="4" w:space="0"/>
        <w:bottom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116">
    <w:name w:val="xl15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117">
    <w:name w:val="xl225"/>
    <w:basedOn w:val="1"/>
    <w:qFormat/>
    <w:uiPriority w:val="0"/>
    <w:pPr>
      <w:widowControl/>
      <w:pBdr>
        <w:top w:val="single" w:color="000000" w:sz="4" w:space="0"/>
        <w:left w:val="single" w:color="000000" w:sz="4" w:space="0"/>
        <w:bottom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118">
    <w:name w:val="xl27"/>
    <w:basedOn w:val="1"/>
    <w:qFormat/>
    <w:uiPriority w:val="0"/>
    <w:pPr>
      <w:widowControl/>
      <w:spacing w:before="100" w:beforeAutospacing="1" w:after="100" w:afterAutospacing="1"/>
      <w:jc w:val="left"/>
    </w:pPr>
    <w:rPr>
      <w:rFonts w:ascii="Tahoma" w:hAnsi="Tahoma" w:eastAsia="Arial Unicode MS" w:cs="Tahoma"/>
      <w:sz w:val="16"/>
      <w:szCs w:val="16"/>
    </w:rPr>
  </w:style>
  <w:style w:type="paragraph" w:customStyle="1" w:styleId="1119">
    <w:name w:val="xl26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120">
    <w:name w:val="xl306"/>
    <w:basedOn w:val="1"/>
    <w:qFormat/>
    <w:uiPriority w:val="0"/>
    <w:pPr>
      <w:widowControl/>
      <w:pBdr>
        <w:top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121">
    <w:name w:val="标准书眉_偶数页"/>
    <w:basedOn w:val="1122"/>
    <w:next w:val="1"/>
    <w:qFormat/>
    <w:uiPriority w:val="0"/>
    <w:pPr>
      <w:tabs>
        <w:tab w:val="center" w:pos="4154"/>
        <w:tab w:val="right" w:pos="8306"/>
      </w:tabs>
      <w:jc w:val="left"/>
    </w:pPr>
  </w:style>
  <w:style w:type="paragraph" w:customStyle="1" w:styleId="1122">
    <w:name w:val="标准书眉_奇数页"/>
    <w:next w:val="1"/>
    <w:qFormat/>
    <w:uiPriority w:val="0"/>
    <w:pPr>
      <w:tabs>
        <w:tab w:val="center" w:pos="4154"/>
        <w:tab w:val="right" w:pos="8306"/>
      </w:tabs>
      <w:spacing w:after="120"/>
      <w:jc w:val="right"/>
    </w:pPr>
    <w:rPr>
      <w:rFonts w:hint="default" w:ascii="Times New Roman" w:hAnsi="Times New Roman" w:eastAsia="宋体" w:cs="Times New Roman"/>
      <w:sz w:val="21"/>
      <w:lang w:val="en-US" w:eastAsia="zh-CN" w:bidi="ar-SA"/>
    </w:rPr>
  </w:style>
  <w:style w:type="paragraph" w:customStyle="1" w:styleId="1123">
    <w:name w:val="xl5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eastAsia="Arial Unicode MS"/>
      <w:sz w:val="20"/>
      <w:szCs w:val="20"/>
    </w:rPr>
  </w:style>
  <w:style w:type="paragraph" w:customStyle="1" w:styleId="1124">
    <w:name w:val="xl19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125">
    <w:name w:val="xl15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126">
    <w:name w:val="内容标题"/>
    <w:basedOn w:val="1"/>
    <w:qFormat/>
    <w:uiPriority w:val="0"/>
    <w:pPr>
      <w:shd w:val="clear" w:color="auto" w:fill="000080"/>
    </w:pPr>
    <w:rPr>
      <w:rFonts w:ascii="Tahoma" w:hAnsi="Tahoma"/>
      <w:sz w:val="24"/>
      <w:shd w:val="clear" w:color="auto" w:fill="000080"/>
    </w:rPr>
  </w:style>
  <w:style w:type="paragraph" w:customStyle="1" w:styleId="1127">
    <w:name w:val="xl19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128">
    <w:name w:val="xl23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129">
    <w:name w:val="样式2"/>
    <w:basedOn w:val="1"/>
    <w:qFormat/>
    <w:uiPriority w:val="0"/>
    <w:pPr>
      <w:ind w:left="624" w:hanging="720"/>
    </w:pPr>
    <w:rPr>
      <w:rFonts w:ascii="黑体" w:eastAsia="黑体"/>
      <w:b/>
      <w:sz w:val="30"/>
    </w:rPr>
  </w:style>
  <w:style w:type="paragraph" w:customStyle="1" w:styleId="1130">
    <w:name w:val="xl16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131">
    <w:name w:val="xl14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132">
    <w:name w:val="默认段落字体 Para Char Char Char Char Char Char Char"/>
    <w:basedOn w:val="1"/>
    <w:qFormat/>
    <w:uiPriority w:val="0"/>
    <w:pPr>
      <w:spacing w:line="360" w:lineRule="auto"/>
      <w:ind w:left="200"/>
      <w:jc w:val="left"/>
    </w:pPr>
    <w:rPr>
      <w:rFonts w:ascii="宋体" w:hAnsi="宋体"/>
      <w:color w:val="000000"/>
      <w:sz w:val="24"/>
      <w:szCs w:val="20"/>
    </w:rPr>
  </w:style>
  <w:style w:type="paragraph" w:customStyle="1" w:styleId="1133">
    <w:name w:val="xl14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134">
    <w:name w:val="xl76"/>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Arial Unicode MS" w:hAnsi="Arial Unicode MS" w:eastAsia="Arial Unicode MS"/>
      <w:sz w:val="20"/>
      <w:szCs w:val="20"/>
    </w:rPr>
  </w:style>
  <w:style w:type="paragraph" w:customStyle="1" w:styleId="1135">
    <w:name w:val="xl18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136">
    <w:name w:val="表格文字"/>
    <w:basedOn w:val="1"/>
    <w:qFormat/>
    <w:uiPriority w:val="0"/>
    <w:pPr>
      <w:tabs>
        <w:tab w:val="left" w:pos="7740"/>
      </w:tabs>
      <w:jc w:val="center"/>
    </w:pPr>
    <w:rPr>
      <w:rFonts w:ascii="宋体" w:hAnsi="宋体"/>
      <w:sz w:val="24"/>
      <w:szCs w:val="20"/>
    </w:rPr>
  </w:style>
  <w:style w:type="paragraph" w:customStyle="1" w:styleId="1137">
    <w:name w:val="xl21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138">
    <w:name w:val="xl19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139">
    <w:name w:val="表格文本"/>
    <w:basedOn w:val="1"/>
    <w:qFormat/>
    <w:uiPriority w:val="0"/>
    <w:pPr>
      <w:tabs>
        <w:tab w:val="decimal" w:pos="0"/>
      </w:tabs>
      <w:jc w:val="left"/>
    </w:pPr>
    <w:rPr>
      <w:rFonts w:ascii="Arial" w:hAnsi="Arial"/>
      <w:szCs w:val="21"/>
    </w:rPr>
  </w:style>
  <w:style w:type="paragraph" w:customStyle="1" w:styleId="1140">
    <w:name w:val="xl307"/>
    <w:basedOn w:val="1"/>
    <w:qFormat/>
    <w:uiPriority w:val="0"/>
    <w:pPr>
      <w:widowControl/>
      <w:pBdr>
        <w:top w:val="single" w:color="000000" w:sz="4" w:space="0"/>
        <w:left w:val="single" w:color="000000" w:sz="4" w:space="0"/>
        <w:bottom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141">
    <w:name w:val="Default"/>
    <w:qFormat/>
    <w:uiPriority w:val="0"/>
    <w:pPr>
      <w:widowControl w:val="0"/>
    </w:pPr>
    <w:rPr>
      <w:rFonts w:hint="default" w:ascii="宋体" w:hAnsi="Times New Roman" w:eastAsia="宋体" w:cs="Times New Roman"/>
      <w:color w:val="000000"/>
      <w:sz w:val="24"/>
      <w:szCs w:val="24"/>
      <w:lang w:val="en-US" w:eastAsia="zh-CN" w:bidi="ar-SA"/>
    </w:rPr>
  </w:style>
  <w:style w:type="paragraph" w:customStyle="1" w:styleId="1142">
    <w:name w:val="xl17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143">
    <w:name w:val="tabletext"/>
    <w:basedOn w:val="1"/>
    <w:qFormat/>
    <w:uiPriority w:val="0"/>
    <w:pPr>
      <w:widowControl/>
      <w:spacing w:before="100" w:beforeAutospacing="1" w:after="100" w:afterAutospacing="1" w:line="284" w:lineRule="atLeast"/>
      <w:jc w:val="left"/>
    </w:pPr>
    <w:rPr>
      <w:rFonts w:ascii="宋体" w:hAnsi="宋体" w:cs="宋体"/>
      <w:szCs w:val="21"/>
    </w:rPr>
  </w:style>
  <w:style w:type="paragraph" w:customStyle="1" w:styleId="1144">
    <w:name w:val="xl24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145">
    <w:name w:val="Style First line:  2 ch"/>
    <w:basedOn w:val="1"/>
    <w:qFormat/>
    <w:uiPriority w:val="0"/>
    <w:pPr>
      <w:spacing w:line="440" w:lineRule="exact"/>
      <w:ind w:firstLine="200"/>
    </w:pPr>
    <w:rPr>
      <w:sz w:val="24"/>
    </w:rPr>
  </w:style>
  <w:style w:type="paragraph" w:customStyle="1" w:styleId="1146">
    <w:name w:val="xl16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147">
    <w:name w:val="正文４"/>
    <w:basedOn w:val="1"/>
    <w:qFormat/>
    <w:uiPriority w:val="0"/>
    <w:pPr>
      <w:spacing w:line="360" w:lineRule="auto"/>
      <w:ind w:firstLine="480"/>
    </w:pPr>
    <w:rPr>
      <w:sz w:val="24"/>
      <w:szCs w:val="20"/>
    </w:rPr>
  </w:style>
  <w:style w:type="paragraph" w:customStyle="1" w:styleId="1148">
    <w:name w:val="普通(网站)1"/>
    <w:basedOn w:val="1"/>
    <w:qFormat/>
    <w:uiPriority w:val="0"/>
    <w:pPr>
      <w:widowControl/>
      <w:spacing w:before="100" w:beforeAutospacing="1" w:after="100" w:afterAutospacing="1"/>
      <w:jc w:val="left"/>
    </w:pPr>
    <w:rPr>
      <w:rFonts w:ascii="宋体" w:hAnsi="宋体" w:cs="宋体"/>
      <w:color w:val="000000"/>
      <w:sz w:val="24"/>
    </w:rPr>
  </w:style>
  <w:style w:type="paragraph" w:customStyle="1" w:styleId="1149">
    <w:name w:val="图表脚注"/>
    <w:next w:val="64"/>
    <w:qFormat/>
    <w:uiPriority w:val="0"/>
    <w:pPr>
      <w:ind w:left="300" w:hanging="100"/>
      <w:jc w:val="both"/>
    </w:pPr>
    <w:rPr>
      <w:rFonts w:hint="default" w:ascii="宋体" w:hAnsi="Times New Roman" w:eastAsia="宋体" w:cs="Times New Roman"/>
      <w:sz w:val="18"/>
      <w:lang w:val="en-US" w:eastAsia="zh-CN" w:bidi="ar-SA"/>
    </w:rPr>
  </w:style>
  <w:style w:type="paragraph" w:customStyle="1" w:styleId="1150">
    <w:name w:val="列出段落121"/>
    <w:basedOn w:val="1"/>
    <w:qFormat/>
    <w:uiPriority w:val="0"/>
    <w:pPr>
      <w:ind w:firstLine="420"/>
    </w:pPr>
  </w:style>
  <w:style w:type="paragraph" w:customStyle="1" w:styleId="1151">
    <w:name w:val="无标题条"/>
    <w:next w:val="64"/>
    <w:qFormat/>
    <w:uiPriority w:val="0"/>
    <w:pPr>
      <w:jc w:val="both"/>
    </w:pPr>
    <w:rPr>
      <w:rFonts w:hint="default" w:ascii="Times New Roman" w:hAnsi="Times New Roman" w:eastAsia="宋体" w:cs="Times New Roman"/>
      <w:sz w:val="21"/>
      <w:lang w:val="en-US" w:eastAsia="zh-CN" w:bidi="ar-SA"/>
    </w:rPr>
  </w:style>
  <w:style w:type="paragraph" w:customStyle="1" w:styleId="1152">
    <w:name w:val="xl17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pPr>
    <w:rPr>
      <w:rFonts w:ascii="Arial" w:hAnsi="Arial" w:cs="Arial"/>
      <w:sz w:val="20"/>
      <w:szCs w:val="20"/>
    </w:rPr>
  </w:style>
  <w:style w:type="paragraph" w:customStyle="1" w:styleId="1153">
    <w:name w:val="注示头"/>
    <w:basedOn w:val="1"/>
    <w:qFormat/>
    <w:uiPriority w:val="0"/>
    <w:pPr>
      <w:pBdr>
        <w:top w:val="single" w:color="000000" w:sz="4" w:space="1"/>
      </w:pBdr>
    </w:pPr>
    <w:rPr>
      <w:rFonts w:ascii="Arial" w:hAnsi="Arial" w:eastAsia="黑体"/>
      <w:sz w:val="18"/>
      <w:szCs w:val="20"/>
    </w:rPr>
  </w:style>
  <w:style w:type="paragraph" w:customStyle="1" w:styleId="1154">
    <w:name w:val="xl20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155">
    <w:name w:val="封面标准名称"/>
    <w:qFormat/>
    <w:uiPriority w:val="0"/>
    <w:pPr>
      <w:framePr w:w="9638" w:h="6917" w:hRule="exact" w:wrap="around" w:vAnchor="margin" w:hAnchor="margin" w:xAlign="center" w:y="5955"/>
      <w:widowControl w:val="0"/>
      <w:spacing w:line="680" w:lineRule="exact"/>
      <w:jc w:val="center"/>
    </w:pPr>
    <w:rPr>
      <w:rFonts w:hint="default" w:ascii="黑体" w:hAnsi="Times New Roman" w:eastAsia="黑体" w:cs="Times New Roman"/>
      <w:sz w:val="52"/>
      <w:lang w:val="en-US" w:eastAsia="zh-CN" w:bidi="ar-SA"/>
    </w:rPr>
  </w:style>
  <w:style w:type="paragraph" w:customStyle="1" w:styleId="1156">
    <w:name w:val="xl25"/>
    <w:basedOn w:val="1"/>
    <w:qFormat/>
    <w:uiPriority w:val="0"/>
    <w:pPr>
      <w:widowControl/>
      <w:shd w:val="clear" w:color="auto" w:fill="C0C0C0"/>
      <w:spacing w:before="100" w:beforeAutospacing="1" w:after="100" w:afterAutospacing="1"/>
      <w:jc w:val="center"/>
    </w:pPr>
    <w:rPr>
      <w:rFonts w:ascii="Tahoma" w:hAnsi="Tahoma" w:eastAsia="Arial Unicode MS" w:cs="Tahoma"/>
      <w:b/>
      <w:bCs/>
      <w:sz w:val="16"/>
      <w:szCs w:val="16"/>
    </w:rPr>
  </w:style>
  <w:style w:type="paragraph" w:customStyle="1" w:styleId="1157">
    <w:name w:val="xl23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158">
    <w:name w:val="xl5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olor w:val="000000"/>
      <w:sz w:val="20"/>
      <w:szCs w:val="20"/>
    </w:rPr>
  </w:style>
  <w:style w:type="paragraph" w:customStyle="1" w:styleId="1159">
    <w:name w:val="DLP3.4.4"/>
    <w:basedOn w:val="1"/>
    <w:qFormat/>
    <w:uiPriority w:val="0"/>
    <w:pPr>
      <w:keepNext/>
      <w:keepLines/>
      <w:tabs>
        <w:tab w:val="left" w:pos="1069"/>
      </w:tabs>
      <w:spacing w:before="260" w:after="260" w:line="416" w:lineRule="auto"/>
      <w:ind w:left="1069" w:hanging="709"/>
      <w:outlineLvl w:val="2"/>
    </w:pPr>
    <w:rPr>
      <w:b/>
      <w:sz w:val="30"/>
    </w:rPr>
  </w:style>
  <w:style w:type="paragraph" w:customStyle="1" w:styleId="1160">
    <w:name w:val="标准书脚_奇数页"/>
    <w:qFormat/>
    <w:uiPriority w:val="0"/>
    <w:pPr>
      <w:spacing w:before="120"/>
      <w:jc w:val="right"/>
    </w:pPr>
    <w:rPr>
      <w:rFonts w:hint="default" w:ascii="Times New Roman" w:hAnsi="Times New Roman" w:eastAsia="宋体" w:cs="Times New Roman"/>
      <w:sz w:val="18"/>
      <w:lang w:val="en-US" w:eastAsia="zh-CN" w:bidi="ar-SA"/>
    </w:rPr>
  </w:style>
  <w:style w:type="paragraph" w:customStyle="1" w:styleId="1161">
    <w:name w:val="纯文本1"/>
    <w:basedOn w:val="1"/>
    <w:link w:val="1162"/>
    <w:qFormat/>
    <w:uiPriority w:val="0"/>
    <w:rPr>
      <w:rFonts w:ascii="宋体" w:hAnsi="Courier New"/>
      <w:szCs w:val="21"/>
      <w:lang w:eastAsia="en-US"/>
    </w:rPr>
  </w:style>
  <w:style w:type="character" w:customStyle="1" w:styleId="1162">
    <w:name w:val="纯文本 Char1"/>
    <w:link w:val="1161"/>
    <w:qFormat/>
    <w:uiPriority w:val="0"/>
    <w:rPr>
      <w:rFonts w:ascii="宋体" w:hAnsi="Courier New"/>
      <w:sz w:val="21"/>
      <w:szCs w:val="21"/>
    </w:rPr>
  </w:style>
  <w:style w:type="paragraph" w:customStyle="1" w:styleId="1163">
    <w:name w:val="列出段落2"/>
    <w:basedOn w:val="1"/>
    <w:qFormat/>
    <w:uiPriority w:val="0"/>
    <w:pPr>
      <w:ind w:firstLine="420"/>
    </w:pPr>
    <w:rPr>
      <w:rFonts w:ascii="Calibri" w:hAnsi="Calibri" w:eastAsia="仿宋_GB2312"/>
      <w:sz w:val="24"/>
      <w:szCs w:val="22"/>
    </w:rPr>
  </w:style>
  <w:style w:type="paragraph" w:customStyle="1" w:styleId="1164">
    <w:name w:val="图5"/>
    <w:basedOn w:val="1"/>
    <w:qFormat/>
    <w:uiPriority w:val="0"/>
    <w:pPr>
      <w:spacing w:line="220" w:lineRule="exact"/>
      <w:jc w:val="center"/>
    </w:pPr>
    <w:rPr>
      <w:rFonts w:ascii="仿宋_GB2312" w:eastAsia="仿宋_GB2312"/>
      <w:szCs w:val="20"/>
    </w:rPr>
  </w:style>
  <w:style w:type="paragraph" w:customStyle="1" w:styleId="1165">
    <w:name w:val="无间隔2"/>
    <w:qFormat/>
    <w:uiPriority w:val="0"/>
    <w:pPr>
      <w:widowControl w:val="0"/>
      <w:jc w:val="both"/>
    </w:pPr>
    <w:rPr>
      <w:rFonts w:hint="default" w:ascii="Calibri" w:hAnsi="Calibri" w:eastAsia="宋体" w:cs="黑体"/>
      <w:sz w:val="21"/>
      <w:szCs w:val="22"/>
      <w:lang w:val="en-US" w:eastAsia="zh-CN" w:bidi="ar-SA"/>
    </w:rPr>
  </w:style>
  <w:style w:type="paragraph" w:customStyle="1" w:styleId="1166">
    <w:name w:val="xl70"/>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eastAsia="Arial Unicode MS"/>
      <w:sz w:val="20"/>
      <w:szCs w:val="20"/>
    </w:rPr>
  </w:style>
  <w:style w:type="paragraph" w:customStyle="1" w:styleId="1167">
    <w:name w:val="xl16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168">
    <w:name w:val="正文缩进2"/>
    <w:basedOn w:val="1"/>
    <w:qFormat/>
    <w:uiPriority w:val="0"/>
    <w:pPr>
      <w:ind w:firstLine="420"/>
    </w:pPr>
    <w:rPr>
      <w:szCs w:val="20"/>
    </w:rPr>
  </w:style>
  <w:style w:type="paragraph" w:customStyle="1" w:styleId="1169">
    <w:name w:val="xl17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pPr>
    <w:rPr>
      <w:rFonts w:ascii="Arial" w:hAnsi="Arial" w:cs="Arial"/>
      <w:sz w:val="20"/>
      <w:szCs w:val="20"/>
    </w:rPr>
  </w:style>
  <w:style w:type="paragraph" w:customStyle="1" w:styleId="1170">
    <w:name w:val="xl15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171">
    <w:name w:val="xl15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172">
    <w:name w:val="xl6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20"/>
      <w:szCs w:val="20"/>
    </w:rPr>
  </w:style>
  <w:style w:type="paragraph" w:customStyle="1" w:styleId="1173">
    <w:name w:val="xl23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174">
    <w:name w:val="xl26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175">
    <w:name w:val="Heading 1 前言"/>
    <w:next w:val="1"/>
    <w:qFormat/>
    <w:uiPriority w:val="0"/>
    <w:pPr>
      <w:jc w:val="center"/>
    </w:pPr>
    <w:rPr>
      <w:rFonts w:hint="default" w:ascii="黑体" w:hAnsi="黑体" w:eastAsia="黑体" w:cs="Times New Roman"/>
      <w:b/>
      <w:bCs/>
      <w:sz w:val="32"/>
      <w:lang w:val="en-US" w:eastAsia="zh-CN" w:bidi="ar-SA"/>
    </w:rPr>
  </w:style>
  <w:style w:type="paragraph" w:customStyle="1" w:styleId="1176">
    <w:name w:val="xl28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177">
    <w:name w:val="xl7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w:hAnsi="Arial" w:eastAsia="Arial Unicode MS" w:cs="Arial"/>
      <w:sz w:val="20"/>
      <w:szCs w:val="20"/>
    </w:rPr>
  </w:style>
  <w:style w:type="paragraph" w:customStyle="1" w:styleId="1178">
    <w:name w:val="列表1"/>
    <w:basedOn w:val="1"/>
    <w:qFormat/>
    <w:uiPriority w:val="0"/>
    <w:pPr>
      <w:ind w:left="200" w:hanging="200"/>
    </w:pPr>
  </w:style>
  <w:style w:type="paragraph" w:customStyle="1" w:styleId="1179">
    <w:name w:val="xl28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180">
    <w:name w:val="xl26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181">
    <w:name w:val="Char1 Char Char Char11"/>
    <w:basedOn w:val="1"/>
    <w:qFormat/>
    <w:uiPriority w:val="0"/>
    <w:rPr>
      <w:rFonts w:ascii="Tahoma" w:hAnsi="Tahoma"/>
      <w:sz w:val="24"/>
      <w:szCs w:val="20"/>
    </w:rPr>
  </w:style>
  <w:style w:type="paragraph" w:customStyle="1" w:styleId="1182">
    <w:name w:val="xl308"/>
    <w:basedOn w:val="1"/>
    <w:qFormat/>
    <w:uiPriority w:val="0"/>
    <w:pPr>
      <w:widowControl/>
      <w:pBdr>
        <w:top w:val="single" w:color="000000" w:sz="4" w:space="0"/>
        <w:bottom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183">
    <w:name w:val="日期1"/>
    <w:basedOn w:val="1"/>
    <w:next w:val="1"/>
    <w:qFormat/>
    <w:uiPriority w:val="0"/>
    <w:pPr>
      <w:spacing w:line="312" w:lineRule="atLeast"/>
      <w:jc w:val="right"/>
    </w:pPr>
    <w:rPr>
      <w:rFonts w:ascii="黑体" w:eastAsia="黑体"/>
      <w:b/>
      <w:sz w:val="32"/>
      <w:szCs w:val="20"/>
    </w:rPr>
  </w:style>
  <w:style w:type="paragraph" w:customStyle="1" w:styleId="1184">
    <w:name w:val="xl31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sz w:val="20"/>
      <w:szCs w:val="20"/>
    </w:rPr>
  </w:style>
  <w:style w:type="paragraph" w:customStyle="1" w:styleId="1185">
    <w:name w:val="Char"/>
    <w:basedOn w:val="1"/>
    <w:qFormat/>
    <w:uiPriority w:val="99"/>
    <w:pPr>
      <w:spacing w:line="360" w:lineRule="auto"/>
    </w:pPr>
    <w:rPr>
      <w:sz w:val="24"/>
      <w:szCs w:val="20"/>
    </w:rPr>
  </w:style>
  <w:style w:type="paragraph" w:customStyle="1" w:styleId="1186">
    <w:name w:val="文档结构图1"/>
    <w:basedOn w:val="1"/>
    <w:qFormat/>
    <w:uiPriority w:val="0"/>
    <w:rPr>
      <w:rFonts w:ascii="宋体"/>
      <w:sz w:val="18"/>
      <w:szCs w:val="18"/>
    </w:rPr>
  </w:style>
  <w:style w:type="paragraph" w:customStyle="1" w:styleId="1187">
    <w:name w:val="表格正文"/>
    <w:basedOn w:val="1"/>
    <w:qFormat/>
    <w:uiPriority w:val="0"/>
    <w:pPr>
      <w:jc w:val="center"/>
    </w:pPr>
    <w:rPr>
      <w:rFonts w:eastAsia="仿宋_GB2312"/>
    </w:rPr>
  </w:style>
  <w:style w:type="paragraph" w:customStyle="1" w:styleId="1188">
    <w:name w:val="xl5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olor w:val="000000"/>
      <w:sz w:val="20"/>
      <w:szCs w:val="20"/>
    </w:rPr>
  </w:style>
  <w:style w:type="paragraph" w:customStyle="1" w:styleId="1189">
    <w:name w:val="xl205"/>
    <w:basedOn w:val="1"/>
    <w:qFormat/>
    <w:uiPriority w:val="0"/>
    <w:pPr>
      <w:widowControl/>
      <w:shd w:val="clear" w:color="000000" w:fill="FFFFFF"/>
      <w:spacing w:before="100" w:beforeAutospacing="1" w:after="100" w:afterAutospacing="1"/>
      <w:jc w:val="left"/>
    </w:pPr>
    <w:rPr>
      <w:rFonts w:ascii="Arial" w:hAnsi="Arial" w:cs="Arial"/>
      <w:sz w:val="20"/>
      <w:szCs w:val="20"/>
    </w:rPr>
  </w:style>
  <w:style w:type="paragraph" w:customStyle="1" w:styleId="1190">
    <w:name w:val="xl305"/>
    <w:basedOn w:val="1"/>
    <w:qFormat/>
    <w:uiPriority w:val="0"/>
    <w:pPr>
      <w:widowControl/>
      <w:pBdr>
        <w:top w:val="single" w:color="000000" w:sz="4" w:space="0"/>
        <w:left w:val="single" w:color="000000" w:sz="4" w:space="0"/>
        <w:bottom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191">
    <w:name w:val="Birdseed"/>
    <w:basedOn w:val="1"/>
    <w:qFormat/>
    <w:uiPriority w:val="0"/>
    <w:pPr>
      <w:widowControl/>
      <w:jc w:val="left"/>
    </w:pPr>
    <w:rPr>
      <w:rFonts w:ascii="Palatino Linotype" w:hAnsi="Palatino Linotype"/>
      <w:sz w:val="18"/>
      <w:szCs w:val="20"/>
    </w:rPr>
  </w:style>
  <w:style w:type="paragraph" w:customStyle="1" w:styleId="1192">
    <w:name w:val="TOC 91"/>
    <w:basedOn w:val="1"/>
    <w:next w:val="1"/>
    <w:qFormat/>
    <w:uiPriority w:val="39"/>
    <w:pPr>
      <w:ind w:left="3360"/>
    </w:pPr>
    <w:rPr>
      <w:rFonts w:ascii="Calibri" w:hAnsi="Calibri"/>
      <w:szCs w:val="22"/>
    </w:rPr>
  </w:style>
  <w:style w:type="paragraph" w:customStyle="1" w:styleId="1193">
    <w:name w:val="xl24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194">
    <w:name w:val="xl65"/>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eastAsia="Arial Unicode MS"/>
      <w:sz w:val="20"/>
      <w:szCs w:val="20"/>
    </w:rPr>
  </w:style>
  <w:style w:type="paragraph" w:customStyle="1" w:styleId="1195">
    <w:name w:val="xl15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196">
    <w:name w:val="正文--表格内正文"/>
    <w:basedOn w:val="1"/>
    <w:qFormat/>
    <w:uiPriority w:val="0"/>
    <w:pPr>
      <w:spacing w:line="0" w:lineRule="atLeast"/>
      <w:jc w:val="center"/>
    </w:pPr>
    <w:rPr>
      <w:rFonts w:ascii="宋体" w:hAnsi="宋体"/>
      <w:sz w:val="24"/>
    </w:rPr>
  </w:style>
  <w:style w:type="paragraph" w:customStyle="1" w:styleId="1197">
    <w:name w:val="xl26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198">
    <w:name w:val="样式 行距: 1.5 倍行距"/>
    <w:basedOn w:val="1"/>
    <w:qFormat/>
    <w:uiPriority w:val="0"/>
    <w:pPr>
      <w:spacing w:line="360" w:lineRule="auto"/>
    </w:pPr>
    <w:rPr>
      <w:rFonts w:ascii="宋体" w:hAnsi="宋体"/>
      <w:bCs/>
      <w:sz w:val="28"/>
      <w:szCs w:val="20"/>
    </w:rPr>
  </w:style>
  <w:style w:type="paragraph" w:customStyle="1" w:styleId="1199">
    <w:name w:val="正文首行缩进2"/>
    <w:basedOn w:val="1"/>
    <w:qFormat/>
    <w:uiPriority w:val="0"/>
    <w:pPr>
      <w:spacing w:line="360" w:lineRule="auto"/>
      <w:ind w:firstLine="420"/>
    </w:pPr>
    <w:rPr>
      <w:rFonts w:ascii="Arial" w:hAnsi="Arial"/>
      <w:sz w:val="20"/>
      <w:szCs w:val="21"/>
    </w:rPr>
  </w:style>
  <w:style w:type="paragraph" w:customStyle="1" w:styleId="1200">
    <w:name w:val="Table Paragraph"/>
    <w:basedOn w:val="1"/>
    <w:qFormat/>
    <w:uiPriority w:val="0"/>
    <w:pPr>
      <w:jc w:val="left"/>
    </w:pPr>
    <w:rPr>
      <w:rFonts w:ascii="Calibri" w:hAnsi="Calibri" w:cs="黑体"/>
      <w:sz w:val="22"/>
      <w:szCs w:val="22"/>
      <w:lang w:eastAsia="en-US"/>
    </w:rPr>
  </w:style>
  <w:style w:type="paragraph" w:customStyle="1" w:styleId="1201">
    <w:name w:val="列出段落4"/>
    <w:basedOn w:val="1"/>
    <w:qFormat/>
    <w:uiPriority w:val="0"/>
    <w:pPr>
      <w:ind w:firstLine="420"/>
    </w:pPr>
    <w:rPr>
      <w:rFonts w:ascii="Calibri" w:hAnsi="Calibri"/>
      <w:szCs w:val="22"/>
    </w:rPr>
  </w:style>
  <w:style w:type="paragraph" w:customStyle="1" w:styleId="1202">
    <w:name w:val="其他发布部门"/>
    <w:basedOn w:val="1203"/>
    <w:qFormat/>
    <w:uiPriority w:val="0"/>
    <w:pPr>
      <w:framePr w:wrap="around"/>
      <w:spacing w:line="0" w:lineRule="atLeast"/>
    </w:pPr>
    <w:rPr>
      <w:rFonts w:ascii="黑体" w:eastAsia="黑体"/>
      <w:b w:val="0"/>
    </w:rPr>
  </w:style>
  <w:style w:type="paragraph" w:customStyle="1" w:styleId="1203">
    <w:name w:val="发布部门"/>
    <w:next w:val="64"/>
    <w:qFormat/>
    <w:uiPriority w:val="0"/>
    <w:pPr>
      <w:framePr w:w="7433" w:h="585" w:hRule="exact" w:hSpace="180" w:vSpace="180" w:wrap="around" w:vAnchor="margin" w:hAnchor="margin" w:xAlign="center" w:y="14401"/>
      <w:jc w:val="center"/>
    </w:pPr>
    <w:rPr>
      <w:rFonts w:hint="default" w:ascii="宋体" w:hAnsi="Times New Roman" w:eastAsia="宋体" w:cs="Times New Roman"/>
      <w:b/>
      <w:spacing w:val="20"/>
      <w:sz w:val="36"/>
      <w:lang w:val="en-US" w:eastAsia="zh-CN" w:bidi="ar-SA"/>
    </w:rPr>
  </w:style>
  <w:style w:type="paragraph" w:customStyle="1" w:styleId="1204">
    <w:name w:val="xl10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C0C0C0"/>
      <w:spacing w:before="100" w:beforeAutospacing="1" w:after="100" w:afterAutospacing="1"/>
      <w:jc w:val="left"/>
    </w:pPr>
    <w:rPr>
      <w:rFonts w:ascii="宋体" w:hAnsi="宋体" w:cs="宋体"/>
      <w:b/>
      <w:bCs/>
      <w:szCs w:val="21"/>
    </w:rPr>
  </w:style>
  <w:style w:type="paragraph" w:customStyle="1" w:styleId="1205">
    <w:name w:val="二级无标题条"/>
    <w:basedOn w:val="1"/>
    <w:qFormat/>
    <w:uiPriority w:val="0"/>
    <w:pPr>
      <w:ind w:hanging="420"/>
    </w:pPr>
  </w:style>
  <w:style w:type="paragraph" w:customStyle="1" w:styleId="1206">
    <w:name w:val="表格文字1"/>
    <w:basedOn w:val="1"/>
    <w:qFormat/>
    <w:uiPriority w:val="0"/>
    <w:pPr>
      <w:jc w:val="center"/>
    </w:pPr>
    <w:rPr>
      <w:rFonts w:ascii="宋体" w:hAnsi="宋体"/>
      <w:szCs w:val="21"/>
      <w:shd w:val="clear" w:color="auto" w:fill="FFFFFF"/>
    </w:rPr>
  </w:style>
  <w:style w:type="paragraph" w:customStyle="1" w:styleId="1207">
    <w:name w:val="xl16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208">
    <w:name w:val="xl31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sz w:val="20"/>
      <w:szCs w:val="20"/>
    </w:rPr>
  </w:style>
  <w:style w:type="paragraph" w:customStyle="1" w:styleId="1209">
    <w:name w:val="正文文本缩进2"/>
    <w:basedOn w:val="1"/>
    <w:qFormat/>
    <w:uiPriority w:val="0"/>
    <w:pPr>
      <w:ind w:firstLine="645"/>
    </w:pPr>
    <w:rPr>
      <w:rFonts w:ascii="楷体_GB2312" w:eastAsia="楷体_GB2312"/>
      <w:sz w:val="32"/>
      <w:szCs w:val="20"/>
    </w:rPr>
  </w:style>
  <w:style w:type="paragraph" w:customStyle="1" w:styleId="1210">
    <w:name w:val="xl22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211">
    <w:name w:val="封面标准文稿类别"/>
    <w:qFormat/>
    <w:uiPriority w:val="0"/>
    <w:pPr>
      <w:spacing w:before="440" w:line="400" w:lineRule="exact"/>
      <w:jc w:val="center"/>
    </w:pPr>
    <w:rPr>
      <w:rFonts w:hint="default" w:ascii="宋体" w:hAnsi="Times New Roman" w:eastAsia="宋体" w:cs="Times New Roman"/>
      <w:sz w:val="24"/>
      <w:lang w:val="en-US" w:eastAsia="zh-CN" w:bidi="ar-SA"/>
    </w:rPr>
  </w:style>
  <w:style w:type="paragraph" w:customStyle="1" w:styleId="1212">
    <w:name w:val="xl31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213">
    <w:name w:val="xl14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214">
    <w:name w:val="一级无标题条"/>
    <w:basedOn w:val="1"/>
    <w:qFormat/>
    <w:uiPriority w:val="0"/>
    <w:pPr>
      <w:ind w:left="3420" w:hanging="420"/>
    </w:pPr>
  </w:style>
  <w:style w:type="paragraph" w:customStyle="1" w:styleId="1215">
    <w:name w:val="xl27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sz w:val="20"/>
      <w:szCs w:val="20"/>
    </w:rPr>
  </w:style>
  <w:style w:type="paragraph" w:customStyle="1" w:styleId="1216">
    <w:name w:val="_Style 6"/>
    <w:basedOn w:val="1"/>
    <w:qFormat/>
    <w:uiPriority w:val="34"/>
    <w:pPr>
      <w:ind w:firstLine="420"/>
    </w:pPr>
  </w:style>
  <w:style w:type="paragraph" w:customStyle="1" w:styleId="1217">
    <w:name w:val="列出段落12"/>
    <w:basedOn w:val="1"/>
    <w:qFormat/>
    <w:uiPriority w:val="0"/>
    <w:pPr>
      <w:ind w:firstLine="420"/>
    </w:pPr>
  </w:style>
  <w:style w:type="paragraph" w:customStyle="1" w:styleId="1218">
    <w:name w:val="样式 首行缩进:  0 字符"/>
    <w:basedOn w:val="1"/>
    <w:qFormat/>
    <w:uiPriority w:val="0"/>
    <w:pPr>
      <w:spacing w:line="360" w:lineRule="auto"/>
      <w:ind w:firstLine="200"/>
    </w:pPr>
    <w:rPr>
      <w:rFonts w:cs="宋体"/>
      <w:sz w:val="24"/>
      <w:szCs w:val="20"/>
    </w:rPr>
  </w:style>
  <w:style w:type="paragraph" w:customStyle="1" w:styleId="1219">
    <w:name w:val="xl13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99CCFF"/>
      <w:spacing w:before="100" w:beforeAutospacing="1" w:after="100" w:afterAutospacing="1"/>
      <w:jc w:val="center"/>
    </w:pPr>
    <w:rPr>
      <w:rFonts w:ascii="宋体" w:hAnsi="宋体" w:cs="宋体"/>
      <w:b/>
      <w:bCs/>
      <w:color w:val="000000"/>
      <w:sz w:val="32"/>
      <w:szCs w:val="32"/>
    </w:rPr>
  </w:style>
  <w:style w:type="paragraph" w:customStyle="1" w:styleId="1220">
    <w:name w:val="xl10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C0C0C0"/>
      <w:spacing w:before="100" w:beforeAutospacing="1" w:after="100" w:afterAutospacing="1"/>
      <w:jc w:val="left"/>
    </w:pPr>
    <w:rPr>
      <w:rFonts w:ascii="宋体" w:hAnsi="宋体" w:cs="宋体"/>
      <w:b/>
      <w:bCs/>
      <w:szCs w:val="21"/>
    </w:rPr>
  </w:style>
  <w:style w:type="paragraph" w:customStyle="1" w:styleId="1221">
    <w:name w:val="xl17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pPr>
    <w:rPr>
      <w:rFonts w:ascii="Arial" w:hAnsi="Arial" w:cs="Arial"/>
      <w:sz w:val="20"/>
      <w:szCs w:val="20"/>
    </w:rPr>
  </w:style>
  <w:style w:type="paragraph" w:customStyle="1" w:styleId="1222">
    <w:name w:val="xl13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CC99"/>
      <w:spacing w:before="100" w:beforeAutospacing="1" w:after="100" w:afterAutospacing="1"/>
      <w:jc w:val="left"/>
    </w:pPr>
    <w:rPr>
      <w:rFonts w:ascii="宋体" w:hAnsi="宋体" w:cs="宋体"/>
      <w:b/>
      <w:bCs/>
      <w:color w:val="000000"/>
      <w:sz w:val="20"/>
      <w:szCs w:val="20"/>
    </w:rPr>
  </w:style>
  <w:style w:type="paragraph" w:customStyle="1" w:styleId="1223">
    <w:name w:val="xl10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FF0000"/>
      <w:sz w:val="20"/>
      <w:szCs w:val="20"/>
    </w:rPr>
  </w:style>
  <w:style w:type="paragraph" w:customStyle="1" w:styleId="1224">
    <w:name w:val="正文段"/>
    <w:basedOn w:val="1"/>
    <w:qFormat/>
    <w:uiPriority w:val="0"/>
    <w:pPr>
      <w:widowControl/>
      <w:spacing w:after="240" w:line="360" w:lineRule="atLeast"/>
      <w:ind w:firstLine="454"/>
    </w:pPr>
    <w:rPr>
      <w:rFonts w:ascii="宋体"/>
      <w:sz w:val="24"/>
      <w:szCs w:val="20"/>
    </w:rPr>
  </w:style>
  <w:style w:type="paragraph" w:customStyle="1" w:styleId="1225">
    <w:name w:val="xl22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226">
    <w:name w:val="xl14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Cs w:val="21"/>
    </w:rPr>
  </w:style>
  <w:style w:type="paragraph" w:customStyle="1" w:styleId="1227">
    <w:name w:val="xl10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cs="宋体"/>
      <w:color w:val="000000"/>
      <w:sz w:val="20"/>
      <w:szCs w:val="20"/>
    </w:rPr>
  </w:style>
  <w:style w:type="paragraph" w:customStyle="1" w:styleId="1228">
    <w:name w:val="文档正文"/>
    <w:basedOn w:val="1"/>
    <w:qFormat/>
    <w:uiPriority w:val="99"/>
    <w:pPr>
      <w:spacing w:line="312" w:lineRule="atLeast"/>
      <w:ind w:firstLine="567"/>
    </w:pPr>
    <w:rPr>
      <w:rFonts w:ascii="长城仿宋" w:eastAsia="长城仿宋"/>
      <w:sz w:val="28"/>
      <w:szCs w:val="20"/>
    </w:rPr>
  </w:style>
  <w:style w:type="paragraph" w:customStyle="1" w:styleId="1229">
    <w:name w:val="Char Char 字元 字元 字元 Char Char Char Char"/>
    <w:basedOn w:val="1"/>
    <w:unhideWhenUsed/>
    <w:qFormat/>
    <w:uiPriority w:val="99"/>
    <w:pPr>
      <w:spacing w:line="360" w:lineRule="auto"/>
    </w:pPr>
    <w:rPr>
      <w:rFonts w:hint="eastAsia"/>
    </w:rPr>
  </w:style>
  <w:style w:type="paragraph" w:customStyle="1" w:styleId="1230">
    <w:name w:val="xl21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231">
    <w:name w:val="xl14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99CCFF"/>
      <w:spacing w:before="100" w:beforeAutospacing="1" w:after="100" w:afterAutospacing="1"/>
      <w:jc w:val="center"/>
    </w:pPr>
    <w:rPr>
      <w:rFonts w:ascii="宋体" w:hAnsi="宋体" w:cs="宋体"/>
      <w:b/>
      <w:bCs/>
      <w:sz w:val="32"/>
      <w:szCs w:val="32"/>
    </w:rPr>
  </w:style>
  <w:style w:type="paragraph" w:customStyle="1" w:styleId="1232">
    <w:name w:val="xl10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C0C0C0"/>
      <w:spacing w:before="100" w:beforeAutospacing="1" w:after="100" w:afterAutospacing="1"/>
      <w:jc w:val="left"/>
    </w:pPr>
    <w:rPr>
      <w:rFonts w:ascii="宋体" w:hAnsi="宋体" w:cs="宋体"/>
      <w:b/>
      <w:bCs/>
      <w:szCs w:val="21"/>
    </w:rPr>
  </w:style>
  <w:style w:type="paragraph" w:customStyle="1" w:styleId="1233">
    <w:name w:val="xl7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sz w:val="20"/>
      <w:szCs w:val="20"/>
    </w:rPr>
  </w:style>
  <w:style w:type="paragraph" w:customStyle="1" w:styleId="1234">
    <w:name w:val="xl11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1235">
    <w:name w:val="xl7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0"/>
      <w:szCs w:val="20"/>
    </w:rPr>
  </w:style>
  <w:style w:type="paragraph" w:customStyle="1" w:styleId="1236">
    <w:name w:val="xl11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w:hAnsi="Arial" w:cs="Arial"/>
      <w:sz w:val="20"/>
      <w:szCs w:val="20"/>
    </w:rPr>
  </w:style>
  <w:style w:type="paragraph" w:customStyle="1" w:styleId="1237">
    <w:name w:val="xl8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0"/>
      <w:szCs w:val="20"/>
    </w:rPr>
  </w:style>
  <w:style w:type="paragraph" w:customStyle="1" w:styleId="1238">
    <w:name w:val="xl11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w:hAnsi="Arial" w:cs="Arial"/>
      <w:sz w:val="20"/>
      <w:szCs w:val="20"/>
    </w:rPr>
  </w:style>
  <w:style w:type="paragraph" w:customStyle="1" w:styleId="1239">
    <w:name w:val="xl8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Cs w:val="21"/>
    </w:rPr>
  </w:style>
  <w:style w:type="paragraph" w:customStyle="1" w:styleId="1240">
    <w:name w:val="xl20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241">
    <w:name w:val="技术方案正文样式"/>
    <w:basedOn w:val="1"/>
    <w:qFormat/>
    <w:uiPriority w:val="0"/>
    <w:pPr>
      <w:spacing w:line="400" w:lineRule="exact"/>
      <w:ind w:firstLine="480"/>
    </w:pPr>
    <w:rPr>
      <w:rFonts w:ascii="宋体" w:hAnsi="宋体" w:cs="宋体"/>
      <w:sz w:val="24"/>
      <w:szCs w:val="21"/>
    </w:rPr>
  </w:style>
  <w:style w:type="paragraph" w:customStyle="1" w:styleId="1242">
    <w:name w:val="xl114"/>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Arial" w:hAnsi="Arial" w:cs="Arial"/>
      <w:sz w:val="20"/>
      <w:szCs w:val="20"/>
    </w:rPr>
  </w:style>
  <w:style w:type="paragraph" w:customStyle="1" w:styleId="1243">
    <w:name w:val="xl8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0"/>
      <w:szCs w:val="20"/>
    </w:rPr>
  </w:style>
  <w:style w:type="paragraph" w:customStyle="1" w:styleId="1244">
    <w:name w:val="xl231"/>
    <w:basedOn w:val="1"/>
    <w:qFormat/>
    <w:uiPriority w:val="0"/>
    <w:pPr>
      <w:widowControl/>
      <w:shd w:val="clear" w:color="000000" w:fill="FFFFFF"/>
      <w:spacing w:before="100" w:beforeAutospacing="1" w:after="100" w:afterAutospacing="1"/>
      <w:jc w:val="left"/>
    </w:pPr>
    <w:rPr>
      <w:rFonts w:ascii="Arial" w:hAnsi="Arial" w:cs="Arial"/>
      <w:sz w:val="20"/>
      <w:szCs w:val="20"/>
    </w:rPr>
  </w:style>
  <w:style w:type="paragraph" w:customStyle="1" w:styleId="1245">
    <w:name w:val="xl11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1246">
    <w:name w:val="xl8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C0C0C0"/>
      <w:spacing w:before="100" w:beforeAutospacing="1" w:after="100" w:afterAutospacing="1"/>
      <w:jc w:val="center"/>
    </w:pPr>
    <w:rPr>
      <w:rFonts w:ascii="宋体" w:hAnsi="宋体" w:cs="宋体"/>
      <w:b/>
      <w:bCs/>
      <w:color w:val="000000"/>
      <w:szCs w:val="21"/>
    </w:rPr>
  </w:style>
  <w:style w:type="paragraph" w:customStyle="1" w:styleId="1247">
    <w:name w:val="xl24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248">
    <w:name w:val="xl11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1249">
    <w:name w:val="xl8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0"/>
      <w:szCs w:val="20"/>
    </w:rPr>
  </w:style>
  <w:style w:type="paragraph" w:customStyle="1" w:styleId="1250">
    <w:name w:val="xl23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251">
    <w:name w:val="xl11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0"/>
      <w:szCs w:val="20"/>
    </w:rPr>
  </w:style>
  <w:style w:type="paragraph" w:customStyle="1" w:styleId="1252">
    <w:name w:val="xl8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Cs w:val="21"/>
    </w:rPr>
  </w:style>
  <w:style w:type="paragraph" w:customStyle="1" w:styleId="1253">
    <w:name w:val="xl18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254">
    <w:name w:val="Char Char2 Char"/>
    <w:basedOn w:val="1"/>
    <w:qFormat/>
    <w:uiPriority w:val="0"/>
    <w:pPr>
      <w:keepNext/>
      <w:keepLines/>
      <w:pageBreakBefore/>
      <w:tabs>
        <w:tab w:val="left" w:pos="390"/>
      </w:tabs>
      <w:ind w:left="390" w:hanging="390"/>
    </w:pPr>
    <w:rPr>
      <w:szCs w:val="20"/>
    </w:rPr>
  </w:style>
  <w:style w:type="paragraph" w:customStyle="1" w:styleId="1255">
    <w:name w:val="xl11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1256">
    <w:name w:val="xl8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color w:val="000000"/>
      <w:sz w:val="20"/>
      <w:szCs w:val="20"/>
    </w:rPr>
  </w:style>
  <w:style w:type="paragraph" w:customStyle="1" w:styleId="1257">
    <w:name w:val="xl27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258">
    <w:name w:val="xl11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1259">
    <w:name w:val="xl8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0"/>
      <w:szCs w:val="20"/>
    </w:rPr>
  </w:style>
  <w:style w:type="paragraph" w:customStyle="1" w:styleId="1260">
    <w:name w:val="xl21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261">
    <w:name w:val="样式 首行缩进:  2.25 字符"/>
    <w:basedOn w:val="1"/>
    <w:qFormat/>
    <w:uiPriority w:val="0"/>
    <w:pPr>
      <w:spacing w:line="360" w:lineRule="auto"/>
      <w:ind w:firstLine="225"/>
    </w:pPr>
    <w:rPr>
      <w:rFonts w:cs="宋体"/>
      <w:sz w:val="24"/>
      <w:szCs w:val="20"/>
    </w:rPr>
  </w:style>
  <w:style w:type="paragraph" w:customStyle="1" w:styleId="1262">
    <w:name w:val="xl12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1263">
    <w:name w:val="xl8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C0C0C0"/>
      <w:spacing w:before="100" w:beforeAutospacing="1" w:after="100" w:afterAutospacing="1"/>
      <w:jc w:val="center"/>
    </w:pPr>
    <w:rPr>
      <w:rFonts w:ascii="宋体" w:hAnsi="宋体" w:cs="宋体"/>
      <w:b/>
      <w:bCs/>
      <w:szCs w:val="21"/>
    </w:rPr>
  </w:style>
  <w:style w:type="paragraph" w:customStyle="1" w:styleId="1264">
    <w:name w:val="xl25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265">
    <w:name w:val="xl12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0"/>
      <w:szCs w:val="20"/>
    </w:rPr>
  </w:style>
  <w:style w:type="paragraph" w:customStyle="1" w:styleId="1266">
    <w:name w:val="xl8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0"/>
      <w:szCs w:val="20"/>
    </w:rPr>
  </w:style>
  <w:style w:type="paragraph" w:customStyle="1" w:styleId="1267">
    <w:name w:val="一级标题"/>
    <w:basedOn w:val="3"/>
    <w:qFormat/>
    <w:uiPriority w:val="0"/>
    <w:pPr>
      <w:keepNext w:val="0"/>
      <w:spacing w:line="360" w:lineRule="auto"/>
      <w:jc w:val="center"/>
    </w:pPr>
    <w:rPr>
      <w:rFonts w:ascii="宋体" w:hAnsi="宋体" w:eastAsia="宋体"/>
      <w:b/>
      <w:sz w:val="32"/>
      <w:szCs w:val="28"/>
    </w:rPr>
  </w:style>
  <w:style w:type="paragraph" w:customStyle="1" w:styleId="1268">
    <w:name w:val="xl12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1269">
    <w:name w:val="xl9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Cs w:val="21"/>
    </w:rPr>
  </w:style>
  <w:style w:type="paragraph" w:customStyle="1" w:styleId="1270">
    <w:name w:val="二级标题"/>
    <w:basedOn w:val="4"/>
    <w:qFormat/>
    <w:uiPriority w:val="0"/>
    <w:pPr>
      <w:keepNext w:val="0"/>
      <w:keepLines w:val="0"/>
      <w:tabs>
        <w:tab w:val="left" w:pos="0"/>
        <w:tab w:val="left" w:pos="1140"/>
      </w:tabs>
      <w:spacing w:before="0" w:after="0" w:line="360" w:lineRule="auto"/>
      <w:ind w:left="1140" w:hanging="720"/>
      <w:jc w:val="left"/>
    </w:pPr>
    <w:rPr>
      <w:rFonts w:ascii="宋体" w:hAnsi="宋体" w:eastAsia="宋体"/>
      <w:sz w:val="32"/>
      <w:szCs w:val="21"/>
    </w:rPr>
  </w:style>
  <w:style w:type="paragraph" w:customStyle="1" w:styleId="1271">
    <w:name w:val="xl12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0"/>
      <w:szCs w:val="20"/>
    </w:rPr>
  </w:style>
  <w:style w:type="paragraph" w:customStyle="1" w:styleId="1272">
    <w:name w:val="xl9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cs="宋体"/>
      <w:sz w:val="20"/>
      <w:szCs w:val="20"/>
    </w:rPr>
  </w:style>
  <w:style w:type="paragraph" w:customStyle="1" w:styleId="1273">
    <w:name w:val="04-标书-标题4"/>
    <w:basedOn w:val="1"/>
    <w:qFormat/>
    <w:uiPriority w:val="0"/>
    <w:pPr>
      <w:widowControl/>
      <w:tabs>
        <w:tab w:val="left" w:pos="360"/>
        <w:tab w:val="left" w:pos="1080"/>
      </w:tabs>
      <w:spacing w:line="360" w:lineRule="auto"/>
      <w:ind w:left="851" w:firstLine="480"/>
    </w:pPr>
    <w:rPr>
      <w:rFonts w:ascii="宋体" w:hAnsi="宋体" w:eastAsia="黑体"/>
      <w:color w:val="000000"/>
      <w:sz w:val="24"/>
      <w:szCs w:val="21"/>
    </w:rPr>
  </w:style>
  <w:style w:type="paragraph" w:customStyle="1" w:styleId="1274">
    <w:name w:val="xl12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1275">
    <w:name w:val="xl9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sz w:val="20"/>
      <w:szCs w:val="20"/>
    </w:rPr>
  </w:style>
  <w:style w:type="paragraph" w:customStyle="1" w:styleId="1276">
    <w:name w:val="xl12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Cs w:val="21"/>
    </w:rPr>
  </w:style>
  <w:style w:type="paragraph" w:customStyle="1" w:styleId="1277">
    <w:name w:val="xl9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cs="宋体"/>
      <w:sz w:val="20"/>
      <w:szCs w:val="20"/>
    </w:rPr>
  </w:style>
  <w:style w:type="paragraph" w:customStyle="1" w:styleId="1278">
    <w:name w:val="xl1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Cs w:val="21"/>
    </w:rPr>
  </w:style>
  <w:style w:type="paragraph" w:customStyle="1" w:styleId="1279">
    <w:name w:val="xl9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C0C0C0"/>
      <w:spacing w:before="100" w:beforeAutospacing="1" w:after="100" w:afterAutospacing="1"/>
      <w:jc w:val="center"/>
    </w:pPr>
    <w:rPr>
      <w:rFonts w:ascii="宋体" w:hAnsi="宋体" w:cs="宋体"/>
      <w:b/>
      <w:bCs/>
      <w:color w:val="000000"/>
      <w:szCs w:val="21"/>
    </w:rPr>
  </w:style>
  <w:style w:type="paragraph" w:customStyle="1" w:styleId="1280">
    <w:name w:val="xl1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Cs w:val="21"/>
    </w:rPr>
  </w:style>
  <w:style w:type="paragraph" w:customStyle="1" w:styleId="1281">
    <w:name w:val="xl9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color w:val="000000"/>
      <w:sz w:val="20"/>
      <w:szCs w:val="20"/>
    </w:rPr>
  </w:style>
  <w:style w:type="paragraph" w:customStyle="1" w:styleId="1282">
    <w:name w:val="xl1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1283">
    <w:name w:val="xl9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1284">
    <w:name w:val="xl1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1285">
    <w:name w:val="xl9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1286">
    <w:name w:val="缺省文本"/>
    <w:basedOn w:val="1"/>
    <w:qFormat/>
    <w:uiPriority w:val="0"/>
    <w:pPr>
      <w:spacing w:line="360" w:lineRule="auto"/>
      <w:ind w:firstLine="200"/>
      <w:jc w:val="left"/>
    </w:pPr>
    <w:rPr>
      <w:sz w:val="24"/>
    </w:rPr>
  </w:style>
  <w:style w:type="paragraph" w:customStyle="1" w:styleId="1287">
    <w:name w:val="xl13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sz w:val="20"/>
      <w:szCs w:val="20"/>
    </w:rPr>
  </w:style>
  <w:style w:type="paragraph" w:customStyle="1" w:styleId="1288">
    <w:name w:val="xl9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0"/>
      <w:szCs w:val="20"/>
    </w:rPr>
  </w:style>
  <w:style w:type="paragraph" w:customStyle="1" w:styleId="1289">
    <w:name w:val="reader-word-layer"/>
    <w:basedOn w:val="1"/>
    <w:qFormat/>
    <w:uiPriority w:val="0"/>
    <w:pPr>
      <w:widowControl/>
      <w:spacing w:before="100" w:beforeAutospacing="1" w:after="100" w:afterAutospacing="1"/>
      <w:jc w:val="left"/>
    </w:pPr>
    <w:rPr>
      <w:rFonts w:ascii="宋体" w:hAnsi="宋体" w:cs="宋体"/>
      <w:sz w:val="24"/>
    </w:rPr>
  </w:style>
  <w:style w:type="paragraph" w:customStyle="1" w:styleId="1290">
    <w:name w:val="xl131"/>
    <w:basedOn w:val="1"/>
    <w:qFormat/>
    <w:uiPriority w:val="0"/>
    <w:pPr>
      <w:widowControl/>
      <w:spacing w:before="100" w:beforeAutospacing="1" w:after="100" w:afterAutospacing="1"/>
      <w:jc w:val="left"/>
    </w:pPr>
    <w:rPr>
      <w:rFonts w:ascii="宋体" w:hAnsi="宋体" w:cs="宋体"/>
      <w:sz w:val="24"/>
    </w:rPr>
  </w:style>
  <w:style w:type="paragraph" w:customStyle="1" w:styleId="1291">
    <w:name w:val="xl9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0"/>
      <w:szCs w:val="20"/>
    </w:rPr>
  </w:style>
  <w:style w:type="paragraph" w:customStyle="1" w:styleId="1292">
    <w:name w:val="xl13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cs="宋体"/>
      <w:sz w:val="20"/>
      <w:szCs w:val="20"/>
    </w:rPr>
  </w:style>
  <w:style w:type="paragraph" w:customStyle="1" w:styleId="1293">
    <w:name w:val="xl10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C0C0C0"/>
      <w:spacing w:before="100" w:beforeAutospacing="1" w:after="100" w:afterAutospacing="1"/>
      <w:jc w:val="left"/>
    </w:pPr>
    <w:rPr>
      <w:rFonts w:ascii="宋体" w:hAnsi="宋体" w:cs="宋体"/>
      <w:b/>
      <w:bCs/>
      <w:szCs w:val="21"/>
    </w:rPr>
  </w:style>
  <w:style w:type="paragraph" w:customStyle="1" w:styleId="1294">
    <w:name w:val="xl133"/>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1295">
    <w:name w:val="xl10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1296">
    <w:name w:val="正文 首行缩进:  2 字符 Char"/>
    <w:basedOn w:val="1"/>
    <w:qFormat/>
    <w:uiPriority w:val="0"/>
    <w:pPr>
      <w:spacing w:line="360" w:lineRule="auto"/>
      <w:ind w:firstLine="480"/>
    </w:pPr>
    <w:rPr>
      <w:rFonts w:cs="宋体"/>
      <w:sz w:val="24"/>
      <w:szCs w:val="20"/>
    </w:rPr>
  </w:style>
  <w:style w:type="paragraph" w:customStyle="1" w:styleId="1297">
    <w:name w:val="xl13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CC99"/>
      <w:spacing w:before="100" w:beforeAutospacing="1" w:after="100" w:afterAutospacing="1"/>
      <w:jc w:val="left"/>
    </w:pPr>
    <w:rPr>
      <w:rFonts w:ascii="宋体" w:hAnsi="宋体" w:cs="宋体"/>
      <w:b/>
      <w:bCs/>
      <w:sz w:val="20"/>
      <w:szCs w:val="20"/>
    </w:rPr>
  </w:style>
  <w:style w:type="paragraph" w:customStyle="1" w:styleId="1298">
    <w:name w:val="xl10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C0C0C0"/>
      <w:spacing w:before="100" w:beforeAutospacing="1" w:after="100" w:afterAutospacing="1"/>
      <w:jc w:val="left"/>
    </w:pPr>
    <w:rPr>
      <w:rFonts w:ascii="宋体" w:hAnsi="宋体" w:cs="宋体"/>
      <w:b/>
      <w:bCs/>
      <w:color w:val="000000"/>
      <w:szCs w:val="21"/>
    </w:rPr>
  </w:style>
  <w:style w:type="paragraph" w:customStyle="1" w:styleId="1299">
    <w:name w:val="xl13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99CCFF"/>
      <w:spacing w:before="100" w:beforeAutospacing="1" w:after="100" w:afterAutospacing="1"/>
      <w:jc w:val="center"/>
    </w:pPr>
    <w:rPr>
      <w:rFonts w:ascii="宋体" w:hAnsi="宋体" w:cs="宋体"/>
      <w:b/>
      <w:bCs/>
      <w:sz w:val="32"/>
      <w:szCs w:val="32"/>
    </w:rPr>
  </w:style>
  <w:style w:type="paragraph" w:customStyle="1" w:styleId="1300">
    <w:name w:val="xl10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C0C0C0"/>
      <w:spacing w:before="100" w:beforeAutospacing="1" w:after="100" w:afterAutospacing="1"/>
      <w:jc w:val="left"/>
    </w:pPr>
    <w:rPr>
      <w:rFonts w:ascii="宋体" w:hAnsi="宋体" w:cs="宋体"/>
      <w:b/>
      <w:bCs/>
      <w:color w:val="000000"/>
      <w:szCs w:val="21"/>
    </w:rPr>
  </w:style>
  <w:style w:type="paragraph" w:customStyle="1" w:styleId="1301">
    <w:name w:val="xl24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302">
    <w:name w:val="xl13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99CCFF"/>
      <w:spacing w:before="100" w:beforeAutospacing="1" w:after="100" w:afterAutospacing="1"/>
      <w:jc w:val="center"/>
    </w:pPr>
    <w:rPr>
      <w:rFonts w:ascii="宋体" w:hAnsi="宋体" w:cs="宋体"/>
      <w:b/>
      <w:bCs/>
      <w:sz w:val="32"/>
      <w:szCs w:val="32"/>
    </w:rPr>
  </w:style>
  <w:style w:type="paragraph" w:customStyle="1" w:styleId="1303">
    <w:name w:val="xl10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1304">
    <w:name w:val="xl17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305">
    <w:name w:val="_Style 1"/>
    <w:basedOn w:val="1"/>
    <w:qFormat/>
    <w:uiPriority w:val="99"/>
    <w:pPr>
      <w:spacing w:line="400" w:lineRule="exact"/>
      <w:ind w:firstLine="420"/>
      <w:jc w:val="left"/>
    </w:pPr>
    <w:rPr>
      <w:rFonts w:ascii="Calibri" w:hAnsi="Calibri" w:eastAsia="仿宋_GB2312"/>
      <w:sz w:val="24"/>
      <w:szCs w:val="22"/>
    </w:rPr>
  </w:style>
  <w:style w:type="paragraph" w:customStyle="1" w:styleId="1306">
    <w:name w:val="xl11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cs="宋体"/>
      <w:sz w:val="20"/>
      <w:szCs w:val="20"/>
    </w:rPr>
  </w:style>
  <w:style w:type="paragraph" w:customStyle="1" w:styleId="1307">
    <w:name w:val="xl28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308">
    <w:name w:val="xl13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CC99"/>
      <w:spacing w:before="100" w:beforeAutospacing="1" w:after="100" w:afterAutospacing="1"/>
      <w:jc w:val="left"/>
    </w:pPr>
    <w:rPr>
      <w:rFonts w:ascii="宋体" w:hAnsi="宋体" w:cs="宋体"/>
      <w:b/>
      <w:bCs/>
      <w:sz w:val="20"/>
      <w:szCs w:val="20"/>
    </w:rPr>
  </w:style>
  <w:style w:type="paragraph" w:customStyle="1" w:styleId="1309">
    <w:name w:val="xl18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310">
    <w:name w:val="中等深浅网格 2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1311">
    <w:name w:val="表头"/>
    <w:basedOn w:val="1"/>
    <w:qFormat/>
    <w:uiPriority w:val="0"/>
    <w:pPr>
      <w:spacing w:line="360" w:lineRule="auto"/>
      <w:jc w:val="center"/>
    </w:pPr>
    <w:rPr>
      <w:rFonts w:ascii="Calibri" w:hAnsi="Calibri" w:cs="宋体"/>
      <w:b/>
      <w:bCs/>
      <w:color w:val="000000"/>
      <w:szCs w:val="20"/>
    </w:rPr>
  </w:style>
  <w:style w:type="paragraph" w:customStyle="1" w:styleId="1312">
    <w:name w:val="样式 标题 2标题 2 Char Char子子系统子系统1子系统2子系统3子系统4子系统11子系统21子系统..."/>
    <w:basedOn w:val="4"/>
    <w:qFormat/>
    <w:uiPriority w:val="0"/>
    <w:pPr>
      <w:tabs>
        <w:tab w:val="left" w:pos="360"/>
      </w:tabs>
      <w:spacing w:before="0" w:after="0" w:line="240" w:lineRule="auto"/>
      <w:ind w:left="786" w:hanging="360"/>
      <w:jc w:val="both"/>
    </w:pPr>
    <w:rPr>
      <w:rFonts w:ascii="Arial" w:eastAsia="黑体"/>
      <w:sz w:val="30"/>
    </w:rPr>
  </w:style>
  <w:style w:type="paragraph" w:customStyle="1" w:styleId="1313">
    <w:name w:val="居中图片"/>
    <w:basedOn w:val="1"/>
    <w:qFormat/>
    <w:uiPriority w:val="0"/>
    <w:pPr>
      <w:jc w:val="center"/>
    </w:pPr>
    <w:rPr>
      <w:rFonts w:ascii="Calibri" w:hAnsi="Calibri" w:eastAsia="仿宋"/>
      <w:sz w:val="28"/>
      <w:szCs w:val="21"/>
    </w:rPr>
  </w:style>
  <w:style w:type="paragraph" w:customStyle="1" w:styleId="1314">
    <w:name w:val="01-标书-标题1"/>
    <w:next w:val="1"/>
    <w:qFormat/>
    <w:uiPriority w:val="0"/>
    <w:pPr>
      <w:tabs>
        <w:tab w:val="left" w:pos="425"/>
      </w:tabs>
      <w:spacing w:line="360" w:lineRule="auto"/>
      <w:ind w:left="425" w:hanging="425"/>
      <w:outlineLvl w:val="0"/>
    </w:pPr>
    <w:rPr>
      <w:rFonts w:hint="default" w:ascii="黑体" w:hAnsi="宋体" w:eastAsia="黑体" w:cs="Times New Roman"/>
      <w:sz w:val="44"/>
      <w:szCs w:val="32"/>
      <w:lang w:val="en-US" w:eastAsia="zh-CN" w:bidi="ar-SA"/>
    </w:rPr>
  </w:style>
  <w:style w:type="paragraph" w:customStyle="1" w:styleId="1315">
    <w:name w:val="02-标书-标题2"/>
    <w:qFormat/>
    <w:uiPriority w:val="0"/>
    <w:pPr>
      <w:tabs>
        <w:tab w:val="left" w:pos="567"/>
      </w:tabs>
      <w:spacing w:line="360" w:lineRule="auto"/>
      <w:ind w:left="567" w:hanging="567"/>
      <w:outlineLvl w:val="1"/>
    </w:pPr>
    <w:rPr>
      <w:rFonts w:hint="default" w:ascii="黑体" w:hAnsi="宋体" w:eastAsia="黑体" w:cs="Times New Roman"/>
      <w:sz w:val="32"/>
      <w:szCs w:val="28"/>
      <w:lang w:val="en-US" w:eastAsia="zh-CN" w:bidi="ar-SA"/>
    </w:rPr>
  </w:style>
  <w:style w:type="paragraph" w:customStyle="1" w:styleId="1316">
    <w:name w:val="03-标书-标题3"/>
    <w:qFormat/>
    <w:uiPriority w:val="0"/>
    <w:pPr>
      <w:tabs>
        <w:tab w:val="left" w:pos="1069"/>
      </w:tabs>
      <w:spacing w:line="360" w:lineRule="auto"/>
      <w:ind w:left="1069" w:hanging="709"/>
      <w:outlineLvl w:val="2"/>
    </w:pPr>
    <w:rPr>
      <w:rFonts w:hint="default" w:ascii="黑体" w:hAnsi="宋体" w:eastAsia="黑体" w:cs="Times New Roman"/>
      <w:sz w:val="28"/>
      <w:szCs w:val="24"/>
      <w:lang w:val="en-US" w:eastAsia="zh-CN" w:bidi="ar-SA"/>
    </w:rPr>
  </w:style>
  <w:style w:type="paragraph" w:customStyle="1" w:styleId="1317">
    <w:name w:val="xl304"/>
    <w:basedOn w:val="1"/>
    <w:qFormat/>
    <w:uiPriority w:val="0"/>
    <w:pPr>
      <w:widowControl/>
      <w:pBdr>
        <w:top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318">
    <w:name w:val="正文文本缩进 32"/>
    <w:basedOn w:val="1"/>
    <w:qFormat/>
    <w:uiPriority w:val="0"/>
    <w:pPr>
      <w:ind w:left="520" w:firstLine="425"/>
      <w:jc w:val="center"/>
    </w:pPr>
    <w:rPr>
      <w:rFonts w:ascii="方正行楷简体" w:hAnsi="Arial" w:eastAsia="方正行楷简体"/>
      <w:sz w:val="36"/>
      <w:szCs w:val="20"/>
    </w:rPr>
  </w:style>
  <w:style w:type="paragraph" w:customStyle="1" w:styleId="1319">
    <w:name w:val="xl20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320">
    <w:name w:val="正文文本缩进 21"/>
    <w:basedOn w:val="1"/>
    <w:qFormat/>
    <w:uiPriority w:val="0"/>
    <w:pPr>
      <w:spacing w:line="520" w:lineRule="exact"/>
      <w:ind w:firstLine="560"/>
    </w:pPr>
    <w:rPr>
      <w:rFonts w:ascii="楷体_GB2312" w:eastAsia="楷体_GB2312"/>
      <w:sz w:val="28"/>
      <w:szCs w:val="28"/>
    </w:rPr>
  </w:style>
  <w:style w:type="paragraph" w:customStyle="1" w:styleId="1321">
    <w:name w:val="Char Char3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1322">
    <w:name w:val="目录标题"/>
    <w:next w:val="519"/>
    <w:qFormat/>
    <w:uiPriority w:val="0"/>
    <w:pPr>
      <w:spacing w:before="240" w:after="120"/>
      <w:jc w:val="center"/>
    </w:pPr>
    <w:rPr>
      <w:rFonts w:hint="default" w:ascii="Calibri" w:hAnsi="Calibri" w:eastAsia="华文新魏" w:cs="Times New Roman"/>
      <w:sz w:val="44"/>
      <w:szCs w:val="24"/>
      <w:lang w:val="en-US" w:eastAsia="zh-CN" w:bidi="ar-SA"/>
    </w:rPr>
  </w:style>
  <w:style w:type="paragraph" w:customStyle="1" w:styleId="1323">
    <w:name w:val="xl16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324">
    <w:name w:val="封面标准代替信息"/>
    <w:basedOn w:val="948"/>
    <w:qFormat/>
    <w:uiPriority w:val="0"/>
    <w:pPr>
      <w:framePr w:wrap="around"/>
      <w:spacing w:before="57"/>
    </w:pPr>
    <w:rPr>
      <w:rFonts w:ascii="宋体"/>
      <w:sz w:val="21"/>
    </w:rPr>
  </w:style>
  <w:style w:type="paragraph" w:customStyle="1" w:styleId="1325">
    <w:name w:val="xl24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326">
    <w:name w:val="DT T-Body"/>
    <w:qFormat/>
    <w:uiPriority w:val="0"/>
    <w:pPr>
      <w:spacing w:before="60" w:after="60" w:line="300" w:lineRule="auto"/>
    </w:pPr>
    <w:rPr>
      <w:rFonts w:hint="default" w:ascii="Trebuchet MS" w:hAnsi="Trebuchet MS" w:eastAsia="宋体" w:cs="Times New Roman"/>
      <w:szCs w:val="18"/>
      <w:lang w:val="en-GB" w:eastAsia="zh-CN" w:bidi="ar-SA"/>
    </w:rPr>
  </w:style>
  <w:style w:type="paragraph" w:customStyle="1" w:styleId="1327">
    <w:name w:val="xl25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328">
    <w:name w:val="xl18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329">
    <w:name w:val="xl29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330">
    <w:name w:val="样式 小四 首行缩进:  0.74 厘米"/>
    <w:basedOn w:val="1"/>
    <w:qFormat/>
    <w:uiPriority w:val="0"/>
    <w:pPr>
      <w:spacing w:line="360" w:lineRule="auto"/>
      <w:ind w:firstLine="420"/>
    </w:pPr>
    <w:rPr>
      <w:rFonts w:cs="宋体"/>
      <w:sz w:val="24"/>
      <w:szCs w:val="20"/>
    </w:rPr>
  </w:style>
  <w:style w:type="paragraph" w:customStyle="1" w:styleId="1331">
    <w:name w:val="正文文本缩进 22"/>
    <w:basedOn w:val="1"/>
    <w:qFormat/>
    <w:uiPriority w:val="0"/>
    <w:pPr>
      <w:spacing w:line="520" w:lineRule="exact"/>
      <w:ind w:firstLine="560"/>
    </w:pPr>
    <w:rPr>
      <w:rFonts w:ascii="楷体_GB2312" w:eastAsia="楷体_GB2312"/>
      <w:sz w:val="28"/>
      <w:szCs w:val="28"/>
    </w:rPr>
  </w:style>
  <w:style w:type="paragraph" w:customStyle="1" w:styleId="1332">
    <w:name w:val="xl26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333">
    <w:name w:val="正文文本缩进 31"/>
    <w:basedOn w:val="1"/>
    <w:qFormat/>
    <w:uiPriority w:val="0"/>
    <w:pPr>
      <w:ind w:left="520" w:firstLine="425"/>
      <w:jc w:val="center"/>
    </w:pPr>
    <w:rPr>
      <w:rFonts w:ascii="方正行楷简体" w:hAnsi="Arial" w:eastAsia="方正行楷简体"/>
      <w:sz w:val="36"/>
      <w:szCs w:val="20"/>
    </w:rPr>
  </w:style>
  <w:style w:type="paragraph" w:customStyle="1" w:styleId="1334">
    <w:name w:val="DLP正文"/>
    <w:basedOn w:val="1"/>
    <w:qFormat/>
    <w:uiPriority w:val="0"/>
    <w:pPr>
      <w:ind w:firstLine="473"/>
    </w:pPr>
    <w:rPr>
      <w:rFonts w:hAnsi="宋体"/>
      <w:szCs w:val="22"/>
    </w:rPr>
  </w:style>
  <w:style w:type="paragraph" w:customStyle="1" w:styleId="1335">
    <w:name w:val="xl14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336">
    <w:name w:val="xl14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337">
    <w:name w:val="封面一致性程度标识"/>
    <w:qFormat/>
    <w:uiPriority w:val="0"/>
    <w:pPr>
      <w:spacing w:before="440" w:line="400" w:lineRule="exact"/>
      <w:jc w:val="center"/>
    </w:pPr>
    <w:rPr>
      <w:rFonts w:hint="default" w:ascii="宋体" w:hAnsi="Times New Roman" w:eastAsia="宋体" w:cs="Times New Roman"/>
      <w:sz w:val="28"/>
      <w:lang w:val="en-US" w:eastAsia="zh-CN" w:bidi="ar-SA"/>
    </w:rPr>
  </w:style>
  <w:style w:type="paragraph" w:customStyle="1" w:styleId="1338">
    <w:name w:val="xl29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339">
    <w:name w:val="xl25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340">
    <w:name w:val="正文图标题"/>
    <w:next w:val="64"/>
    <w:qFormat/>
    <w:uiPriority w:val="0"/>
    <w:pPr>
      <w:jc w:val="center"/>
    </w:pPr>
    <w:rPr>
      <w:rFonts w:hint="default" w:ascii="黑体" w:hAnsi="Times New Roman" w:eastAsia="黑体" w:cs="Times New Roman"/>
      <w:sz w:val="21"/>
      <w:lang w:val="en-US" w:eastAsia="zh-CN" w:bidi="ar-SA"/>
    </w:rPr>
  </w:style>
  <w:style w:type="paragraph" w:customStyle="1" w:styleId="1341">
    <w:name w:val="xl27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342">
    <w:name w:val="xl26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343">
    <w:name w:val="xl24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344">
    <w:name w:val="xl22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345">
    <w:name w:val="_Style 2"/>
    <w:basedOn w:val="1"/>
    <w:qFormat/>
    <w:uiPriority w:val="34"/>
    <w:pPr>
      <w:ind w:firstLine="420"/>
    </w:pPr>
    <w:rPr>
      <w:rFonts w:ascii="Calibri" w:hAnsi="Calibri"/>
      <w:szCs w:val="22"/>
    </w:rPr>
  </w:style>
  <w:style w:type="paragraph" w:customStyle="1" w:styleId="1346">
    <w:name w:val="xl31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sz w:val="20"/>
      <w:szCs w:val="20"/>
    </w:rPr>
  </w:style>
  <w:style w:type="paragraph" w:customStyle="1" w:styleId="1347">
    <w:name w:val="li_正文"/>
    <w:basedOn w:val="1"/>
    <w:qFormat/>
    <w:uiPriority w:val="0"/>
    <w:pPr>
      <w:spacing w:line="360" w:lineRule="auto"/>
      <w:ind w:firstLine="560"/>
    </w:pPr>
    <w:rPr>
      <w:rFonts w:ascii="仿宋_GB2312" w:eastAsia="仿宋_GB2312"/>
      <w:sz w:val="28"/>
      <w:szCs w:val="28"/>
    </w:rPr>
  </w:style>
  <w:style w:type="paragraph" w:customStyle="1" w:styleId="1348">
    <w:name w:val="xl20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349">
    <w:name w:val="xl27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350">
    <w:name w:val="xl27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351">
    <w:name w:val="附录表标题"/>
    <w:next w:val="64"/>
    <w:qFormat/>
    <w:uiPriority w:val="0"/>
    <w:pPr>
      <w:jc w:val="center"/>
    </w:pPr>
    <w:rPr>
      <w:rFonts w:hint="default" w:ascii="黑体" w:hAnsi="Times New Roman" w:eastAsia="黑体" w:cs="Times New Roman"/>
      <w:sz w:val="21"/>
      <w:lang w:val="en-US" w:eastAsia="zh-CN" w:bidi="ar-SA"/>
    </w:rPr>
  </w:style>
  <w:style w:type="paragraph" w:customStyle="1" w:styleId="1352">
    <w:name w:val="xl14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353">
    <w:name w:val="xl15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354">
    <w:name w:val="xl210"/>
    <w:basedOn w:val="1"/>
    <w:qFormat/>
    <w:uiPriority w:val="0"/>
    <w:pPr>
      <w:widowControl/>
      <w:shd w:val="clear" w:color="000000" w:fill="FFFFFF"/>
      <w:spacing w:before="100" w:beforeAutospacing="1" w:after="100" w:afterAutospacing="1"/>
      <w:jc w:val="left"/>
    </w:pPr>
    <w:rPr>
      <w:rFonts w:ascii="Arial" w:hAnsi="Arial" w:cs="Arial"/>
      <w:sz w:val="20"/>
      <w:szCs w:val="20"/>
    </w:rPr>
  </w:style>
  <w:style w:type="paragraph" w:customStyle="1" w:styleId="1355">
    <w:name w:val="正文缩进1"/>
    <w:basedOn w:val="1"/>
    <w:qFormat/>
    <w:uiPriority w:val="0"/>
    <w:pPr>
      <w:ind w:firstLine="420"/>
    </w:pPr>
    <w:rPr>
      <w:szCs w:val="20"/>
    </w:rPr>
  </w:style>
  <w:style w:type="paragraph" w:customStyle="1" w:styleId="1356">
    <w:name w:val="xl27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sz w:val="20"/>
      <w:szCs w:val="20"/>
    </w:rPr>
  </w:style>
  <w:style w:type="paragraph" w:customStyle="1" w:styleId="1357">
    <w:name w:val="TOC 标题12"/>
    <w:basedOn w:val="3"/>
    <w:next w:val="1"/>
    <w:qFormat/>
    <w:uiPriority w:val="39"/>
    <w:pPr>
      <w:keepLines/>
      <w:widowControl/>
      <w:spacing w:before="240" w:line="259" w:lineRule="auto"/>
      <w:jc w:val="left"/>
      <w:outlineLvl w:val="9"/>
    </w:pPr>
    <w:rPr>
      <w:rFonts w:ascii="Cambria" w:hAnsi="Cambria" w:eastAsia="宋体" w:cs="黑体"/>
      <w:color w:val="365F90"/>
      <w:sz w:val="32"/>
      <w:szCs w:val="32"/>
    </w:rPr>
  </w:style>
  <w:style w:type="paragraph" w:customStyle="1" w:styleId="1358">
    <w:name w:val="xl14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359">
    <w:name w:val="xl314"/>
    <w:basedOn w:val="1"/>
    <w:qFormat/>
    <w:uiPriority w:val="0"/>
    <w:pPr>
      <w:widowControl/>
      <w:pBdr>
        <w:top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360">
    <w:name w:val="Char Char Char"/>
    <w:basedOn w:val="1"/>
    <w:qFormat/>
    <w:uiPriority w:val="0"/>
    <w:pPr>
      <w:keepNext/>
      <w:widowControl/>
      <w:tabs>
        <w:tab w:val="left" w:pos="425"/>
      </w:tabs>
      <w:spacing w:before="80" w:after="80"/>
      <w:ind w:hanging="425"/>
    </w:pPr>
    <w:rPr>
      <w:rFonts w:ascii="Arial" w:hAnsi="Arial" w:cs="Arial"/>
      <w:sz w:val="20"/>
      <w:szCs w:val="20"/>
    </w:rPr>
  </w:style>
  <w:style w:type="paragraph" w:customStyle="1" w:styleId="1361">
    <w:name w:val="xl23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362">
    <w:name w:val="四号正文"/>
    <w:basedOn w:val="1"/>
    <w:qFormat/>
    <w:uiPriority w:val="0"/>
    <w:pPr>
      <w:spacing w:line="360" w:lineRule="auto"/>
      <w:ind w:firstLine="560"/>
    </w:pPr>
    <w:rPr>
      <w:sz w:val="28"/>
      <w:szCs w:val="28"/>
    </w:rPr>
  </w:style>
  <w:style w:type="paragraph" w:customStyle="1" w:styleId="1363">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1364">
    <w:name w:val="五号字体"/>
    <w:basedOn w:val="1"/>
    <w:qFormat/>
    <w:uiPriority w:val="0"/>
    <w:pPr>
      <w:jc w:val="center"/>
    </w:pPr>
  </w:style>
  <w:style w:type="paragraph" w:customStyle="1" w:styleId="1365">
    <w:name w:val="字母编号列项（一级）"/>
    <w:qFormat/>
    <w:uiPriority w:val="0"/>
    <w:pPr>
      <w:ind w:left="840" w:hanging="420"/>
      <w:jc w:val="both"/>
    </w:pPr>
    <w:rPr>
      <w:rFonts w:hint="default" w:ascii="宋体" w:hAnsi="Times New Roman" w:eastAsia="宋体" w:cs="Times New Roman"/>
      <w:sz w:val="21"/>
      <w:lang w:val="en-US" w:eastAsia="zh-CN" w:bidi="ar-SA"/>
    </w:rPr>
  </w:style>
  <w:style w:type="paragraph" w:customStyle="1" w:styleId="1366">
    <w:name w:val="msonormal"/>
    <w:basedOn w:val="1"/>
    <w:qFormat/>
    <w:uiPriority w:val="0"/>
    <w:pPr>
      <w:widowControl/>
      <w:spacing w:before="100" w:beforeAutospacing="1" w:after="100" w:afterAutospacing="1" w:line="360" w:lineRule="auto"/>
      <w:jc w:val="left"/>
    </w:pPr>
    <w:rPr>
      <w:rFonts w:ascii="宋体" w:hAnsi="宋体" w:cs="宋体"/>
      <w:sz w:val="24"/>
    </w:rPr>
  </w:style>
  <w:style w:type="paragraph" w:customStyle="1" w:styleId="1367">
    <w:name w:val="简单回函地址"/>
    <w:basedOn w:val="1"/>
    <w:qFormat/>
    <w:uiPriority w:val="0"/>
    <w:pPr>
      <w:tabs>
        <w:tab w:val="left" w:pos="1140"/>
      </w:tabs>
    </w:pPr>
  </w:style>
  <w:style w:type="paragraph" w:customStyle="1" w:styleId="1368">
    <w:name w:val="TOC 标题111"/>
    <w:basedOn w:val="3"/>
    <w:next w:val="1"/>
    <w:qFormat/>
    <w:uiPriority w:val="39"/>
    <w:pPr>
      <w:keepLines/>
      <w:widowControl/>
      <w:tabs>
        <w:tab w:val="left" w:pos="0"/>
      </w:tabs>
      <w:spacing w:before="480" w:line="276" w:lineRule="auto"/>
      <w:jc w:val="left"/>
      <w:outlineLvl w:val="9"/>
    </w:pPr>
    <w:rPr>
      <w:rFonts w:ascii="Cambria" w:hAnsi="Cambria" w:eastAsia="宋体"/>
      <w:b/>
      <w:bCs/>
      <w:color w:val="365F91"/>
      <w:szCs w:val="28"/>
    </w:rPr>
  </w:style>
  <w:style w:type="paragraph" w:customStyle="1" w:styleId="1369">
    <w:name w:val="Char Char111"/>
    <w:basedOn w:val="1"/>
    <w:semiHidden/>
    <w:qFormat/>
    <w:uiPriority w:val="99"/>
    <w:pPr>
      <w:widowControl/>
      <w:spacing w:after="160" w:line="240" w:lineRule="exact"/>
      <w:jc w:val="left"/>
    </w:pPr>
    <w:rPr>
      <w:rFonts w:ascii="Verdana" w:hAnsi="Verdana"/>
      <w:sz w:val="20"/>
      <w:lang w:eastAsia="en-US"/>
    </w:rPr>
  </w:style>
  <w:style w:type="paragraph" w:customStyle="1" w:styleId="1370">
    <w:name w:val="TOC 71"/>
    <w:basedOn w:val="1"/>
    <w:next w:val="1"/>
    <w:qFormat/>
    <w:uiPriority w:val="39"/>
    <w:pPr>
      <w:ind w:left="2520"/>
    </w:pPr>
    <w:rPr>
      <w:rFonts w:ascii="Calibri" w:hAnsi="Calibri"/>
      <w:szCs w:val="22"/>
    </w:rPr>
  </w:style>
  <w:style w:type="paragraph" w:customStyle="1" w:styleId="1371">
    <w:name w:val="paragraphindent"/>
    <w:basedOn w:val="1"/>
    <w:qFormat/>
    <w:uiPriority w:val="0"/>
    <w:pPr>
      <w:widowControl/>
      <w:spacing w:before="100" w:beforeAutospacing="1" w:after="100" w:afterAutospacing="1"/>
      <w:ind w:firstLine="480"/>
      <w:jc w:val="left"/>
    </w:pPr>
    <w:rPr>
      <w:rFonts w:ascii="宋体" w:hAnsi="宋体" w:cs="宋体"/>
      <w:sz w:val="24"/>
    </w:rPr>
  </w:style>
  <w:style w:type="paragraph" w:customStyle="1" w:styleId="1372">
    <w:name w:val="助手文本"/>
    <w:basedOn w:val="1"/>
    <w:qFormat/>
    <w:uiPriority w:val="0"/>
    <w:pPr>
      <w:spacing w:line="360" w:lineRule="auto"/>
      <w:ind w:left="14" w:firstLine="434"/>
    </w:pPr>
    <w:rPr>
      <w:rFonts w:ascii="楷体_GB2312" w:eastAsia="楷体_GB2312"/>
      <w:sz w:val="24"/>
      <w:szCs w:val="20"/>
      <w:u w:val="single"/>
    </w:rPr>
  </w:style>
  <w:style w:type="paragraph" w:customStyle="1" w:styleId="1373">
    <w:name w:val="正文无缩进"/>
    <w:basedOn w:val="1"/>
    <w:qFormat/>
    <w:uiPriority w:val="0"/>
    <w:pPr>
      <w:spacing w:line="300" w:lineRule="auto"/>
      <w:jc w:val="center"/>
    </w:pPr>
    <w:rPr>
      <w:rFonts w:ascii="宋体" w:hAnsi="宋体"/>
      <w:sz w:val="24"/>
    </w:rPr>
  </w:style>
  <w:style w:type="paragraph" w:customStyle="1" w:styleId="1374">
    <w:name w:val="Char Char1 Char Char Char Char Char Char"/>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1375">
    <w:name w:val="È±Ê¡ÎÄ±¾"/>
    <w:basedOn w:val="1"/>
    <w:qFormat/>
    <w:uiPriority w:val="0"/>
    <w:pPr>
      <w:widowControl/>
      <w:jc w:val="left"/>
    </w:pPr>
    <w:rPr>
      <w:sz w:val="24"/>
      <w:szCs w:val="20"/>
    </w:rPr>
  </w:style>
  <w:style w:type="paragraph" w:customStyle="1" w:styleId="1376">
    <w:name w:val="14_black"/>
    <w:basedOn w:val="1"/>
    <w:qFormat/>
    <w:uiPriority w:val="0"/>
    <w:pPr>
      <w:widowControl/>
      <w:spacing w:before="100" w:beforeAutospacing="1" w:after="100" w:afterAutospacing="1"/>
      <w:jc w:val="left"/>
    </w:pPr>
    <w:rPr>
      <w:rFonts w:ascii="宋体" w:hAnsi="宋体" w:cs="宋体"/>
      <w:color w:val="000000"/>
      <w:sz w:val="23"/>
      <w:szCs w:val="23"/>
    </w:rPr>
  </w:style>
  <w:style w:type="paragraph" w:customStyle="1" w:styleId="1377">
    <w:name w:val="Char Char Char Char"/>
    <w:basedOn w:val="88"/>
    <w:qFormat/>
    <w:uiPriority w:val="0"/>
    <w:pPr>
      <w:widowControl/>
      <w:shd w:val="clear" w:color="auto" w:fill="000080"/>
      <w:ind w:firstLine="454"/>
      <w:jc w:val="left"/>
    </w:pPr>
    <w:rPr>
      <w:rFonts w:ascii="Tahoma" w:hAnsi="Tahoma" w:cs="宋体"/>
      <w:sz w:val="21"/>
      <w:szCs w:val="20"/>
    </w:rPr>
  </w:style>
  <w:style w:type="paragraph" w:customStyle="1" w:styleId="1378">
    <w:name w:val="封面标准文稿编辑信息"/>
    <w:qFormat/>
    <w:uiPriority w:val="0"/>
    <w:pPr>
      <w:spacing w:before="180" w:line="180" w:lineRule="exact"/>
      <w:jc w:val="center"/>
    </w:pPr>
    <w:rPr>
      <w:rFonts w:hint="default" w:ascii="宋体" w:hAnsi="Times New Roman" w:eastAsia="宋体" w:cs="Times New Roman"/>
      <w:sz w:val="21"/>
      <w:lang w:val="en-US" w:eastAsia="zh-CN" w:bidi="ar-SA"/>
    </w:rPr>
  </w:style>
  <w:style w:type="paragraph" w:customStyle="1" w:styleId="1379">
    <w:name w:val="目次、索引正文"/>
    <w:qFormat/>
    <w:uiPriority w:val="0"/>
    <w:pPr>
      <w:spacing w:line="320" w:lineRule="exact"/>
      <w:jc w:val="both"/>
    </w:pPr>
    <w:rPr>
      <w:rFonts w:hint="default" w:ascii="宋体" w:hAnsi="Times New Roman" w:eastAsia="宋体" w:cs="Times New Roman"/>
      <w:sz w:val="21"/>
      <w:lang w:val="en-US" w:eastAsia="zh-CN" w:bidi="ar-SA"/>
    </w:rPr>
  </w:style>
  <w:style w:type="paragraph" w:customStyle="1" w:styleId="1380">
    <w:name w:val="其他标准称谓"/>
    <w:qFormat/>
    <w:uiPriority w:val="0"/>
    <w:pPr>
      <w:spacing w:line="0" w:lineRule="atLeast"/>
      <w:jc w:val="both"/>
    </w:pPr>
    <w:rPr>
      <w:rFonts w:hint="default" w:ascii="黑体" w:hAnsi="宋体" w:eastAsia="黑体" w:cs="Times New Roman"/>
      <w:sz w:val="52"/>
      <w:lang w:val="en-US" w:eastAsia="zh-CN" w:bidi="ar-SA"/>
    </w:rPr>
  </w:style>
  <w:style w:type="paragraph" w:customStyle="1" w:styleId="1381">
    <w:name w:val="四级无标题条"/>
    <w:basedOn w:val="1"/>
    <w:qFormat/>
    <w:uiPriority w:val="0"/>
    <w:pPr>
      <w:ind w:left="2520" w:hanging="420"/>
    </w:pPr>
  </w:style>
  <w:style w:type="paragraph" w:customStyle="1" w:styleId="1382">
    <w:name w:val="五级无标题条"/>
    <w:basedOn w:val="1"/>
    <w:qFormat/>
    <w:uiPriority w:val="0"/>
    <w:pPr>
      <w:ind w:left="2940" w:hanging="420"/>
    </w:pPr>
  </w:style>
  <w:style w:type="paragraph" w:customStyle="1" w:styleId="1383">
    <w:name w:val="正文表标题"/>
    <w:next w:val="64"/>
    <w:qFormat/>
    <w:uiPriority w:val="0"/>
    <w:pPr>
      <w:ind w:left="1740" w:hanging="420"/>
      <w:jc w:val="center"/>
    </w:pPr>
    <w:rPr>
      <w:rFonts w:hint="default" w:ascii="黑体" w:hAnsi="Times New Roman" w:eastAsia="黑体" w:cs="Times New Roman"/>
      <w:sz w:val="21"/>
      <w:lang w:val="en-US" w:eastAsia="zh-CN" w:bidi="ar-SA"/>
    </w:rPr>
  </w:style>
  <w:style w:type="paragraph" w:customStyle="1" w:styleId="1384">
    <w:name w:val="我的图片"/>
    <w:basedOn w:val="1"/>
    <w:next w:val="707"/>
    <w:qFormat/>
    <w:uiPriority w:val="0"/>
    <w:pPr>
      <w:widowControl/>
      <w:spacing w:line="360" w:lineRule="auto"/>
      <w:jc w:val="center"/>
    </w:pPr>
    <w:rPr>
      <w:rFonts w:ascii="Arial" w:hAnsi="Arial" w:eastAsia="楷体_GB2312"/>
      <w:sz w:val="24"/>
    </w:rPr>
  </w:style>
  <w:style w:type="paragraph" w:customStyle="1" w:styleId="1385">
    <w:name w:val="1 Char Char Char Char"/>
    <w:basedOn w:val="1"/>
    <w:qFormat/>
    <w:uiPriority w:val="0"/>
    <w:rPr>
      <w:rFonts w:ascii="Tahoma" w:hAnsi="Tahoma"/>
      <w:sz w:val="24"/>
      <w:szCs w:val="20"/>
    </w:rPr>
  </w:style>
  <w:style w:type="paragraph" w:customStyle="1" w:styleId="1386">
    <w:name w:val="NAP Normal"/>
    <w:basedOn w:val="1"/>
    <w:qFormat/>
    <w:uiPriority w:val="0"/>
    <w:pPr>
      <w:spacing w:line="240" w:lineRule="exact"/>
    </w:pPr>
    <w:rPr>
      <w:sz w:val="22"/>
      <w:szCs w:val="20"/>
    </w:rPr>
  </w:style>
  <w:style w:type="paragraph" w:customStyle="1" w:styleId="1387">
    <w:name w:val="样式 标题 2第一章 标题 2Heading 2 HiddenHeading 2 CCBSH2h22nd level..."/>
    <w:basedOn w:val="4"/>
    <w:qFormat/>
    <w:uiPriority w:val="0"/>
    <w:pPr>
      <w:tabs>
        <w:tab w:val="left" w:pos="0"/>
        <w:tab w:val="left" w:pos="567"/>
      </w:tabs>
      <w:spacing w:line="240" w:lineRule="auto"/>
      <w:ind w:left="288" w:hanging="576"/>
      <w:jc w:val="both"/>
    </w:pPr>
    <w:rPr>
      <w:rFonts w:ascii="Arial" w:eastAsia="黑体" w:cs="宋体"/>
      <w:bCs/>
      <w:sz w:val="36"/>
    </w:rPr>
  </w:style>
  <w:style w:type="paragraph" w:customStyle="1" w:styleId="1388">
    <w:name w:val="Char Char Char Char Char Char Char Char Char Char"/>
    <w:basedOn w:val="8"/>
    <w:qFormat/>
    <w:uiPriority w:val="0"/>
    <w:pPr>
      <w:tabs>
        <w:tab w:val="left" w:pos="0"/>
      </w:tabs>
      <w:spacing w:before="120" w:after="120" w:line="360" w:lineRule="auto"/>
      <w:ind w:left="720" w:hanging="1009"/>
    </w:pPr>
    <w:rPr>
      <w:rFonts w:ascii="Tahoma" w:hAnsi="Tahoma"/>
      <w:bCs/>
      <w:spacing w:val="0"/>
      <w:position w:val="0"/>
      <w:sz w:val="24"/>
      <w:szCs w:val="24"/>
    </w:rPr>
  </w:style>
  <w:style w:type="paragraph" w:customStyle="1" w:styleId="1389">
    <w:name w:val="zn4"/>
    <w:basedOn w:val="785"/>
    <w:next w:val="7"/>
    <w:qFormat/>
    <w:uiPriority w:val="0"/>
    <w:pPr>
      <w:tabs>
        <w:tab w:val="left" w:pos="1080"/>
        <w:tab w:val="clear" w:pos="1069"/>
      </w:tabs>
      <w:ind w:left="851" w:hanging="851"/>
      <w:outlineLvl w:val="3"/>
    </w:pPr>
    <w:rPr>
      <w:lang w:val="zh-CN"/>
    </w:rPr>
  </w:style>
  <w:style w:type="paragraph" w:customStyle="1" w:styleId="1390">
    <w:name w:val="图表"/>
    <w:basedOn w:val="1"/>
    <w:qFormat/>
    <w:uiPriority w:val="99"/>
    <w:pPr>
      <w:spacing w:line="360" w:lineRule="auto"/>
      <w:ind w:firstLine="200"/>
      <w:jc w:val="center"/>
    </w:pPr>
    <w:rPr>
      <w:rFonts w:ascii="方正仿宋_GBK" w:hAnsi="方正仿宋_GBK" w:eastAsia="方正仿宋_GBK"/>
      <w:sz w:val="32"/>
      <w:szCs w:val="22"/>
    </w:rPr>
  </w:style>
  <w:style w:type="paragraph" w:customStyle="1" w:styleId="1391">
    <w:name w:val="图释"/>
    <w:basedOn w:val="1"/>
    <w:qFormat/>
    <w:uiPriority w:val="99"/>
    <w:pPr>
      <w:spacing w:line="560" w:lineRule="exact"/>
      <w:ind w:firstLine="200"/>
      <w:jc w:val="center"/>
    </w:pPr>
    <w:rPr>
      <w:rFonts w:ascii="方正仿宋_GBK" w:hAnsi="方正仿宋_GBK" w:eastAsia="方正楷体_GBK"/>
      <w:sz w:val="28"/>
      <w:szCs w:val="22"/>
    </w:rPr>
  </w:style>
  <w:style w:type="paragraph" w:customStyle="1" w:styleId="1392">
    <w:name w:val="修订1"/>
    <w:semiHidden/>
    <w:qFormat/>
    <w:uiPriority w:val="99"/>
    <w:rPr>
      <w:rFonts w:hint="default" w:ascii="Times New Roman" w:hAnsi="Times New Roman" w:eastAsia="仿宋" w:cs="Times New Roman"/>
      <w:sz w:val="28"/>
      <w:szCs w:val="24"/>
      <w:lang w:val="en-US" w:eastAsia="zh-CN" w:bidi="ar-SA"/>
    </w:rPr>
  </w:style>
  <w:style w:type="paragraph" w:customStyle="1" w:styleId="1393">
    <w:name w:val="五号正文项目（标准）"/>
    <w:basedOn w:val="1"/>
    <w:qFormat/>
    <w:uiPriority w:val="0"/>
    <w:pPr>
      <w:tabs>
        <w:tab w:val="left" w:pos="420"/>
        <w:tab w:val="left" w:pos="840"/>
      </w:tabs>
      <w:spacing w:line="400" w:lineRule="exact"/>
      <w:ind w:left="840" w:hanging="420"/>
      <w:jc w:val="left"/>
    </w:pPr>
    <w:rPr>
      <w:rFonts w:ascii="宋体" w:hAnsi="宋体"/>
      <w:color w:val="000000"/>
      <w:szCs w:val="20"/>
    </w:rPr>
  </w:style>
  <w:style w:type="paragraph" w:customStyle="1" w:styleId="1394">
    <w:name w:val="序列1"/>
    <w:basedOn w:val="1"/>
    <w:qFormat/>
    <w:uiPriority w:val="0"/>
    <w:pPr>
      <w:tabs>
        <w:tab w:val="left" w:pos="432"/>
        <w:tab w:val="left" w:pos="960"/>
        <w:tab w:val="left" w:pos="1260"/>
      </w:tabs>
      <w:spacing w:line="440" w:lineRule="atLeast"/>
      <w:ind w:left="432" w:hanging="432"/>
    </w:pPr>
    <w:rPr>
      <w:rFonts w:eastAsia="楷体_GB2312"/>
      <w:sz w:val="24"/>
    </w:rPr>
  </w:style>
  <w:style w:type="paragraph" w:customStyle="1" w:styleId="1395">
    <w:name w:val="标题8"/>
    <w:basedOn w:val="10"/>
    <w:qFormat/>
    <w:uiPriority w:val="0"/>
    <w:pPr>
      <w:tabs>
        <w:tab w:val="left" w:pos="0"/>
        <w:tab w:val="left" w:pos="1800"/>
      </w:tabs>
      <w:spacing w:before="120" w:after="120" w:line="360" w:lineRule="auto"/>
      <w:ind w:left="0" w:firstLine="300"/>
    </w:pPr>
    <w:rPr>
      <w:rFonts w:ascii="Cambria" w:hAnsi="Cambria" w:eastAsia="宋体"/>
      <w:bCs/>
      <w:spacing w:val="0"/>
      <w:position w:val="0"/>
      <w:szCs w:val="24"/>
    </w:rPr>
  </w:style>
  <w:style w:type="paragraph" w:customStyle="1" w:styleId="1396">
    <w:name w:val="wx正文+标号"/>
    <w:basedOn w:val="1"/>
    <w:semiHidden/>
    <w:qFormat/>
    <w:uiPriority w:val="0"/>
    <w:pPr>
      <w:tabs>
        <w:tab w:val="left" w:pos="510"/>
      </w:tabs>
      <w:spacing w:line="360" w:lineRule="auto"/>
      <w:ind w:left="510" w:hanging="340"/>
    </w:pPr>
    <w:rPr>
      <w:rFonts w:cs="宋体"/>
      <w:sz w:val="24"/>
      <w:szCs w:val="20"/>
    </w:rPr>
  </w:style>
  <w:style w:type="paragraph" w:customStyle="1" w:styleId="1397">
    <w:name w:val="text-center"/>
    <w:basedOn w:val="1"/>
    <w:qFormat/>
    <w:uiPriority w:val="0"/>
    <w:pPr>
      <w:widowControl/>
      <w:spacing w:after="150"/>
      <w:jc w:val="center"/>
    </w:pPr>
    <w:rPr>
      <w:rFonts w:ascii="宋体" w:hAnsi="宋体" w:cs="宋体"/>
      <w:sz w:val="24"/>
    </w:rPr>
  </w:style>
  <w:style w:type="paragraph" w:customStyle="1" w:styleId="1398">
    <w:name w:val="faqa"/>
    <w:basedOn w:val="1"/>
    <w:qFormat/>
    <w:uiPriority w:val="0"/>
    <w:pPr>
      <w:widowControl/>
      <w:spacing w:after="150"/>
      <w:jc w:val="left"/>
    </w:pPr>
    <w:rPr>
      <w:rFonts w:ascii="微软雅黑" w:hAnsi="微软雅黑" w:eastAsia="微软雅黑" w:cs="宋体"/>
      <w:b/>
      <w:bCs/>
      <w:sz w:val="27"/>
      <w:szCs w:val="27"/>
    </w:rPr>
  </w:style>
  <w:style w:type="paragraph" w:customStyle="1" w:styleId="1399">
    <w:name w:val="样式 标题 55l4H5h5Second Subheading + 段前: 0.5 行 段后: 0.5 行 行距:..."/>
    <w:basedOn w:val="8"/>
    <w:qFormat/>
    <w:uiPriority w:val="0"/>
    <w:pPr>
      <w:tabs>
        <w:tab w:val="left" w:pos="0"/>
        <w:tab w:val="left" w:pos="425"/>
        <w:tab w:val="left" w:pos="851"/>
        <w:tab w:val="left" w:pos="992"/>
        <w:tab w:val="left" w:pos="1276"/>
        <w:tab w:val="left" w:pos="1440"/>
        <w:tab w:val="clear" w:pos="1008"/>
      </w:tabs>
      <w:spacing w:after="0" w:line="360" w:lineRule="auto"/>
      <w:ind w:left="992" w:hanging="405"/>
    </w:pPr>
    <w:rPr>
      <w:rFonts w:ascii="Arial" w:hAnsi="Arial" w:eastAsia="楷体_GB2312" w:cs="宋体"/>
      <w:spacing w:val="0"/>
      <w:position w:val="0"/>
      <w:sz w:val="24"/>
    </w:rPr>
  </w:style>
  <w:style w:type="paragraph" w:customStyle="1" w:styleId="1400">
    <w:name w:val="Test2"/>
    <w:basedOn w:val="4"/>
    <w:qFormat/>
    <w:uiPriority w:val="0"/>
    <w:pPr>
      <w:widowControl/>
      <w:tabs>
        <w:tab w:val="left" w:pos="0"/>
        <w:tab w:val="left" w:pos="425"/>
        <w:tab w:val="left" w:pos="992"/>
      </w:tabs>
      <w:spacing w:line="480" w:lineRule="exact"/>
      <w:ind w:left="759" w:hanging="759"/>
    </w:pPr>
    <w:rPr>
      <w:rFonts w:ascii="黑体" w:hAnsi="黑体" w:eastAsia="黑体" w:cs="Arial"/>
      <w:bCs/>
      <w:sz w:val="24"/>
      <w:szCs w:val="24"/>
    </w:rPr>
  </w:style>
  <w:style w:type="paragraph" w:customStyle="1" w:styleId="1401">
    <w:name w:val="正文编号项"/>
    <w:basedOn w:val="98"/>
    <w:qFormat/>
    <w:uiPriority w:val="0"/>
    <w:pPr>
      <w:tabs>
        <w:tab w:val="left" w:pos="360"/>
      </w:tabs>
      <w:spacing w:line="360" w:lineRule="auto"/>
      <w:ind w:left="200" w:firstLine="200"/>
      <w:jc w:val="left"/>
    </w:pPr>
    <w:rPr>
      <w:rFonts w:ascii="Times New Roman" w:hAnsi="Times New Roman" w:eastAsia="宋体"/>
      <w:color w:val="000000"/>
      <w:sz w:val="24"/>
      <w:szCs w:val="24"/>
    </w:rPr>
  </w:style>
  <w:style w:type="paragraph" w:customStyle="1" w:styleId="1402">
    <w:name w:val="正文文本2"/>
    <w:basedOn w:val="1"/>
    <w:qFormat/>
    <w:uiPriority w:val="99"/>
    <w:pPr>
      <w:widowControl/>
      <w:spacing w:after="120" w:line="288" w:lineRule="auto"/>
      <w:jc w:val="left"/>
    </w:pPr>
    <w:rPr>
      <w:rFonts w:ascii="Verdana" w:hAnsi="Verdana"/>
      <w:sz w:val="24"/>
      <w:szCs w:val="20"/>
      <w:lang w:eastAsia="en-US"/>
    </w:rPr>
  </w:style>
  <w:style w:type="paragraph" w:customStyle="1" w:styleId="1403">
    <w:name w:val="Char21"/>
    <w:basedOn w:val="1"/>
    <w:qFormat/>
    <w:uiPriority w:val="0"/>
    <w:rPr>
      <w:rFonts w:ascii="仿宋_GB2312" w:eastAsia="仿宋_GB2312"/>
      <w:b/>
      <w:sz w:val="32"/>
      <w:szCs w:val="32"/>
    </w:rPr>
  </w:style>
  <w:style w:type="paragraph" w:customStyle="1" w:styleId="1404">
    <w:name w:val="Char1 Char Char Char21"/>
    <w:basedOn w:val="1"/>
    <w:qFormat/>
    <w:uiPriority w:val="0"/>
    <w:rPr>
      <w:rFonts w:ascii="Tahoma" w:hAnsi="Tahoma"/>
      <w:sz w:val="24"/>
      <w:szCs w:val="20"/>
    </w:rPr>
  </w:style>
  <w:style w:type="paragraph" w:customStyle="1" w:styleId="1405">
    <w:name w:val="Char Char12"/>
    <w:basedOn w:val="1"/>
    <w:qFormat/>
    <w:uiPriority w:val="0"/>
    <w:pPr>
      <w:widowControl/>
      <w:spacing w:after="160" w:line="240" w:lineRule="exact"/>
      <w:jc w:val="left"/>
    </w:pPr>
    <w:rPr>
      <w:rFonts w:ascii="Verdana" w:hAnsi="Verdana"/>
      <w:sz w:val="20"/>
      <w:lang w:eastAsia="en-US"/>
    </w:rPr>
  </w:style>
  <w:style w:type="paragraph" w:customStyle="1" w:styleId="1406">
    <w:name w:val="Normal (Web)1"/>
    <w:basedOn w:val="1"/>
    <w:qFormat/>
    <w:uiPriority w:val="0"/>
    <w:pPr>
      <w:widowControl/>
      <w:spacing w:before="100" w:beforeAutospacing="1" w:after="100" w:afterAutospacing="1"/>
      <w:jc w:val="left"/>
    </w:pPr>
    <w:rPr>
      <w:rFonts w:ascii="宋体" w:hAnsi="宋体" w:cs="宋体"/>
      <w:sz w:val="24"/>
    </w:rPr>
  </w:style>
  <w:style w:type="paragraph" w:customStyle="1" w:styleId="1407">
    <w:name w:val="_Style 171"/>
    <w:basedOn w:val="1"/>
    <w:next w:val="1"/>
    <w:qFormat/>
    <w:uiPriority w:val="0"/>
    <w:pPr>
      <w:spacing w:line="500" w:lineRule="exact"/>
      <w:ind w:firstLine="560"/>
    </w:pPr>
    <w:rPr>
      <w:rFonts w:ascii="Cambria" w:hAnsi="Cambria" w:eastAsia="仿宋"/>
      <w:color w:val="000000"/>
      <w:sz w:val="28"/>
      <w:szCs w:val="20"/>
    </w:rPr>
  </w:style>
  <w:style w:type="paragraph" w:customStyle="1" w:styleId="1408">
    <w:name w:val="中等深浅底纹 1 - 着色 11"/>
    <w:next w:val="1409"/>
    <w:qFormat/>
    <w:uiPriority w:val="0"/>
    <w:pPr>
      <w:widowControl w:val="0"/>
    </w:pPr>
    <w:rPr>
      <w:rFonts w:hint="default" w:ascii="宋体" w:hAnsi="Calibri" w:eastAsia="宋体" w:cs="Times New Roman"/>
      <w:sz w:val="21"/>
      <w:szCs w:val="22"/>
      <w:lang w:val="en-US" w:eastAsia="zh-CN" w:bidi="ar-SA"/>
    </w:rPr>
  </w:style>
  <w:style w:type="paragraph" w:customStyle="1" w:styleId="1409">
    <w:name w:val="D表"/>
    <w:basedOn w:val="1"/>
    <w:next w:val="88"/>
    <w:qFormat/>
    <w:uiPriority w:val="0"/>
    <w:pPr>
      <w:spacing w:line="500" w:lineRule="exact"/>
      <w:ind w:hanging="2"/>
    </w:pPr>
    <w:rPr>
      <w:rFonts w:ascii="Calibri" w:hAnsi="Calibri" w:eastAsia="仿宋"/>
      <w:sz w:val="18"/>
      <w:szCs w:val="18"/>
    </w:rPr>
  </w:style>
  <w:style w:type="paragraph" w:customStyle="1" w:styleId="1410">
    <w:name w:val="金宏发行正文 Char Char"/>
    <w:basedOn w:val="1"/>
    <w:next w:val="1381"/>
    <w:qFormat/>
    <w:uiPriority w:val="0"/>
    <w:pPr>
      <w:spacing w:line="500" w:lineRule="exact"/>
      <w:ind w:firstLine="560"/>
    </w:pPr>
    <w:rPr>
      <w:rFonts w:ascii="Calibri" w:hAnsi="Calibri" w:eastAsia="仿宋_GB2312" w:cs="宋体"/>
      <w:sz w:val="28"/>
      <w:szCs w:val="20"/>
    </w:rPr>
  </w:style>
  <w:style w:type="paragraph" w:customStyle="1" w:styleId="1411">
    <w:name w:val="Char1 Char Char Char2"/>
    <w:basedOn w:val="1"/>
    <w:qFormat/>
    <w:uiPriority w:val="0"/>
    <w:pPr>
      <w:spacing w:line="500" w:lineRule="exact"/>
      <w:ind w:firstLine="560"/>
    </w:pPr>
    <w:rPr>
      <w:rFonts w:ascii="Tahoma" w:hAnsi="Tahoma" w:eastAsia="仿宋"/>
      <w:sz w:val="28"/>
      <w:szCs w:val="20"/>
    </w:rPr>
  </w:style>
  <w:style w:type="paragraph" w:customStyle="1" w:styleId="1412">
    <w:name w:val="Char Char Char Char2"/>
    <w:basedOn w:val="1"/>
    <w:qFormat/>
    <w:uiPriority w:val="0"/>
    <w:pPr>
      <w:spacing w:line="500" w:lineRule="exact"/>
      <w:ind w:firstLine="560"/>
    </w:pPr>
    <w:rPr>
      <w:rFonts w:ascii="Calibri" w:hAnsi="Calibri" w:eastAsia="仿宋"/>
      <w:sz w:val="28"/>
    </w:rPr>
  </w:style>
  <w:style w:type="paragraph" w:customStyle="1" w:styleId="1413">
    <w:name w:val="Heading"/>
    <w:basedOn w:val="1"/>
    <w:next w:val="98"/>
    <w:qFormat/>
    <w:uiPriority w:val="0"/>
    <w:pPr>
      <w:keepNext/>
      <w:spacing w:before="240" w:after="120" w:line="360" w:lineRule="auto"/>
      <w:ind w:firstLine="720"/>
    </w:pPr>
    <w:rPr>
      <w:rFonts w:ascii="华文黑体" w:hAnsi="华文黑体" w:eastAsia="华文黑体" w:cs="华文黑体"/>
      <w:sz w:val="28"/>
      <w:szCs w:val="28"/>
      <w:lang w:eastAsia="ar-SA"/>
    </w:rPr>
  </w:style>
  <w:style w:type="paragraph" w:customStyle="1" w:styleId="1414">
    <w:name w:val="Char Char Char Char1"/>
    <w:basedOn w:val="1"/>
    <w:qFormat/>
    <w:uiPriority w:val="0"/>
    <w:pPr>
      <w:spacing w:line="500" w:lineRule="exact"/>
      <w:ind w:firstLine="560"/>
    </w:pPr>
    <w:rPr>
      <w:rFonts w:ascii="Calibri" w:hAnsi="Calibri" w:eastAsia="仿宋"/>
      <w:sz w:val="28"/>
    </w:rPr>
  </w:style>
  <w:style w:type="paragraph" w:customStyle="1" w:styleId="1415">
    <w:name w:val="Char Char Char Char Char Char Char Char Char Char Char Char Char Char Char Char Char Char Char Char"/>
    <w:basedOn w:val="1"/>
    <w:next w:val="1"/>
    <w:qFormat/>
    <w:uiPriority w:val="0"/>
    <w:pPr>
      <w:tabs>
        <w:tab w:val="left" w:pos="851"/>
      </w:tabs>
      <w:spacing w:line="360" w:lineRule="auto"/>
      <w:ind w:left="420" w:hanging="420"/>
    </w:pPr>
    <w:rPr>
      <w:rFonts w:ascii="Calibri" w:hAnsi="Calibri" w:eastAsia="仿宋"/>
      <w:sz w:val="28"/>
    </w:rPr>
  </w:style>
  <w:style w:type="paragraph" w:customStyle="1" w:styleId="1416">
    <w:name w:val="中等深浅网格 1 - 着色 21"/>
    <w:basedOn w:val="1"/>
    <w:qFormat/>
    <w:uiPriority w:val="34"/>
    <w:pPr>
      <w:ind w:firstLine="420"/>
    </w:pPr>
    <w:rPr>
      <w:rFonts w:ascii="Calibri" w:hAnsi="Calibri" w:eastAsia="仿宋"/>
      <w:sz w:val="28"/>
      <w:szCs w:val="22"/>
    </w:rPr>
  </w:style>
  <w:style w:type="paragraph" w:customStyle="1" w:styleId="1417">
    <w:name w:val="注意事项"/>
    <w:basedOn w:val="1"/>
    <w:qFormat/>
    <w:uiPriority w:val="0"/>
    <w:pPr>
      <w:spacing w:before="60" w:after="60" w:line="360" w:lineRule="auto"/>
      <w:ind w:firstLine="200"/>
    </w:pPr>
    <w:rPr>
      <w:rFonts w:ascii="仿宋" w:hAnsi="仿宋"/>
      <w:b/>
      <w:bCs/>
      <w:sz w:val="28"/>
      <w:lang w:eastAsia="ar-SA"/>
    </w:rPr>
  </w:style>
  <w:style w:type="paragraph" w:customStyle="1" w:styleId="1418">
    <w:name w:val="正常"/>
    <w:qFormat/>
    <w:uiPriority w:val="0"/>
    <w:pPr>
      <w:widowControl w:val="0"/>
      <w:jc w:val="both"/>
    </w:pPr>
    <w:rPr>
      <w:rFonts w:hint="default" w:ascii="Calibri" w:hAnsi="Calibri" w:eastAsia="宋体" w:cs="Times New Roman"/>
      <w:sz w:val="21"/>
      <w:szCs w:val="22"/>
      <w:lang w:val="en-US" w:eastAsia="zh-CN" w:bidi="ar-SA"/>
    </w:rPr>
  </w:style>
  <w:style w:type="paragraph" w:customStyle="1" w:styleId="1419">
    <w:name w:val="无编号标题"/>
    <w:basedOn w:val="1"/>
    <w:next w:val="939"/>
    <w:qFormat/>
    <w:uiPriority w:val="0"/>
    <w:pPr>
      <w:pageBreakBefore/>
      <w:suppressLineNumbers/>
      <w:spacing w:line="480" w:lineRule="auto"/>
      <w:ind w:firstLine="560"/>
      <w:jc w:val="center"/>
    </w:pPr>
    <w:rPr>
      <w:rFonts w:ascii="宋体" w:hAnsi="宋体" w:eastAsia="仿宋"/>
      <w:b/>
      <w:sz w:val="36"/>
      <w:szCs w:val="44"/>
    </w:rPr>
  </w:style>
  <w:style w:type="paragraph" w:customStyle="1" w:styleId="1420">
    <w:name w:val="Bid_正文"/>
    <w:basedOn w:val="9"/>
    <w:next w:val="1421"/>
    <w:qFormat/>
    <w:uiPriority w:val="0"/>
    <w:pPr>
      <w:widowControl/>
      <w:spacing w:line="590" w:lineRule="atLeast"/>
      <w:ind w:firstLine="200"/>
      <w:jc w:val="left"/>
    </w:pPr>
    <w:rPr>
      <w:rFonts w:ascii="方正仿宋_GBK" w:hAnsi="Calibri" w:eastAsia="仿宋"/>
      <w:spacing w:val="-25"/>
      <w:sz w:val="32"/>
      <w:szCs w:val="20"/>
    </w:rPr>
  </w:style>
  <w:style w:type="paragraph" w:customStyle="1" w:styleId="1421">
    <w:name w:val="p1"/>
    <w:basedOn w:val="1"/>
    <w:next w:val="79"/>
    <w:qFormat/>
    <w:uiPriority w:val="0"/>
    <w:pPr>
      <w:widowControl/>
      <w:spacing w:line="500" w:lineRule="exact"/>
      <w:ind w:firstLine="560"/>
      <w:jc w:val="left"/>
    </w:pPr>
    <w:rPr>
      <w:rFonts w:ascii="Lucida Grande" w:hAnsi="Lucida Grande" w:eastAsia="仿宋" w:cs="Lucida Grande"/>
      <w:color w:val="000000"/>
      <w:sz w:val="20"/>
      <w:szCs w:val="20"/>
    </w:rPr>
  </w:style>
  <w:style w:type="paragraph" w:customStyle="1" w:styleId="1422">
    <w:name w:val="正文首行缩进 Char3"/>
    <w:basedOn w:val="1"/>
    <w:qFormat/>
    <w:uiPriority w:val="0"/>
    <w:pPr>
      <w:spacing w:line="500" w:lineRule="exact"/>
      <w:ind w:firstLine="560"/>
    </w:pPr>
    <w:rPr>
      <w:rFonts w:ascii="Calibri" w:hAnsi="Calibri" w:eastAsia="仿宋"/>
      <w:sz w:val="28"/>
      <w:szCs w:val="20"/>
    </w:rPr>
  </w:style>
  <w:style w:type="paragraph" w:customStyle="1" w:styleId="1423">
    <w:name w:val="表格内容"/>
    <w:basedOn w:val="1"/>
    <w:next w:val="1203"/>
    <w:qFormat/>
    <w:uiPriority w:val="0"/>
    <w:pPr>
      <w:spacing w:line="360" w:lineRule="auto"/>
      <w:ind w:firstLine="560"/>
      <w:jc w:val="left"/>
    </w:pPr>
    <w:rPr>
      <w:rFonts w:ascii="微软雅黑" w:hAnsi="微软雅黑" w:eastAsia="微软雅黑"/>
      <w:sz w:val="18"/>
      <w:lang w:val="en-GB"/>
    </w:rPr>
  </w:style>
  <w:style w:type="paragraph" w:customStyle="1" w:styleId="1424">
    <w:name w:val="文章正文"/>
    <w:basedOn w:val="1"/>
    <w:next w:val="1425"/>
    <w:qFormat/>
    <w:uiPriority w:val="0"/>
    <w:pPr>
      <w:spacing w:line="360" w:lineRule="auto"/>
      <w:ind w:firstLine="482"/>
    </w:pPr>
    <w:rPr>
      <w:rFonts w:ascii="Calibri" w:hAnsi="Calibri" w:eastAsia="仿宋"/>
    </w:rPr>
  </w:style>
  <w:style w:type="paragraph" w:customStyle="1" w:styleId="1425">
    <w:name w:val="我的图表标题"/>
    <w:basedOn w:val="1"/>
    <w:next w:val="417"/>
    <w:qFormat/>
    <w:uiPriority w:val="0"/>
    <w:pPr>
      <w:spacing w:line="360" w:lineRule="auto"/>
      <w:ind w:firstLine="560"/>
      <w:jc w:val="center"/>
    </w:pPr>
    <w:rPr>
      <w:rFonts w:ascii="Cambria" w:hAnsi="Cambria" w:eastAsia="黑体" w:cs="宋体"/>
      <w:sz w:val="28"/>
      <w:szCs w:val="20"/>
    </w:rPr>
  </w:style>
  <w:style w:type="paragraph" w:customStyle="1" w:styleId="1426">
    <w:name w:val="11111"/>
    <w:basedOn w:val="1"/>
    <w:next w:val="1427"/>
    <w:qFormat/>
    <w:uiPriority w:val="0"/>
    <w:pPr>
      <w:spacing w:after="120" w:line="360" w:lineRule="auto"/>
      <w:ind w:firstLine="200"/>
    </w:pPr>
    <w:rPr>
      <w:rFonts w:ascii="宋体" w:hAnsi="Calibri" w:eastAsia="仿宋" w:cs="宋体"/>
      <w:color w:val="000000"/>
      <w:sz w:val="28"/>
      <w:lang w:val="zh-CN"/>
    </w:rPr>
  </w:style>
  <w:style w:type="paragraph" w:customStyle="1" w:styleId="1427">
    <w:name w:val="Char Char Char Char Char Char Char Char Char Char Char Char Char"/>
    <w:basedOn w:val="1"/>
    <w:next w:val="9"/>
    <w:qFormat/>
    <w:uiPriority w:val="0"/>
    <w:pPr>
      <w:widowControl/>
      <w:spacing w:after="160" w:line="240" w:lineRule="exact"/>
      <w:jc w:val="left"/>
    </w:pPr>
    <w:rPr>
      <w:rFonts w:ascii="Verdana" w:hAnsi="Verdana" w:eastAsia="仿宋_GB2312"/>
      <w:sz w:val="28"/>
      <w:szCs w:val="20"/>
      <w:lang w:eastAsia="en-US"/>
    </w:rPr>
  </w:style>
  <w:style w:type="paragraph" w:customStyle="1" w:styleId="1428">
    <w:name w:val="标题 41"/>
    <w:basedOn w:val="5"/>
    <w:next w:val="98"/>
    <w:qFormat/>
    <w:uiPriority w:val="0"/>
    <w:pPr>
      <w:keepNext w:val="0"/>
      <w:keepLines w:val="0"/>
      <w:tabs>
        <w:tab w:val="left" w:pos="0"/>
        <w:tab w:val="left" w:pos="432"/>
        <w:tab w:val="left" w:pos="720"/>
      </w:tabs>
      <w:spacing w:before="60" w:after="60" w:line="360" w:lineRule="auto"/>
      <w:ind w:left="720" w:hanging="720"/>
      <w:outlineLvl w:val="3"/>
    </w:pPr>
    <w:rPr>
      <w:rFonts w:ascii="仿宋" w:hAnsi="仿宋"/>
      <w:b w:val="0"/>
      <w:bCs/>
      <w:sz w:val="28"/>
      <w:szCs w:val="28"/>
      <w:lang w:eastAsia="ar-SA"/>
    </w:rPr>
  </w:style>
  <w:style w:type="paragraph" w:customStyle="1" w:styleId="1429">
    <w:name w:val="Char Char Char Char Char Char Char Char Char1 Char Char Char Char Char Char Char Char Char Char"/>
    <w:basedOn w:val="1"/>
    <w:next w:val="1430"/>
    <w:qFormat/>
    <w:uiPriority w:val="0"/>
    <w:pPr>
      <w:widowControl/>
      <w:spacing w:after="160" w:line="240" w:lineRule="exact"/>
      <w:ind w:firstLine="560"/>
      <w:jc w:val="left"/>
    </w:pPr>
    <w:rPr>
      <w:rFonts w:ascii="Verdana" w:hAnsi="Verdana" w:eastAsia="仿宋_GB2312"/>
      <w:sz w:val="28"/>
      <w:szCs w:val="20"/>
      <w:lang w:eastAsia="en-US"/>
    </w:rPr>
  </w:style>
  <w:style w:type="paragraph" w:customStyle="1" w:styleId="1430">
    <w:name w:val="样式3"/>
    <w:basedOn w:val="1"/>
    <w:qFormat/>
    <w:uiPriority w:val="0"/>
    <w:pPr>
      <w:tabs>
        <w:tab w:val="left" w:pos="695"/>
      </w:tabs>
      <w:spacing w:line="360" w:lineRule="auto"/>
      <w:ind w:firstLine="420"/>
    </w:pPr>
    <w:rPr>
      <w:rFonts w:ascii="Calibri" w:hAnsi="Calibri" w:eastAsia="仿宋"/>
      <w:sz w:val="28"/>
    </w:rPr>
  </w:style>
  <w:style w:type="paragraph" w:customStyle="1" w:styleId="1431">
    <w:name w:val="正文Normal"/>
    <w:basedOn w:val="1"/>
    <w:next w:val="340"/>
    <w:qFormat/>
    <w:uiPriority w:val="0"/>
    <w:pPr>
      <w:spacing w:after="120" w:line="360" w:lineRule="auto"/>
      <w:ind w:firstLine="480"/>
    </w:pPr>
    <w:rPr>
      <w:rFonts w:ascii="Arial" w:hAnsi="Arial" w:eastAsia="仿宋" w:cs="Arial"/>
      <w:sz w:val="28"/>
    </w:rPr>
  </w:style>
  <w:style w:type="paragraph" w:customStyle="1" w:styleId="1432">
    <w:name w:val="标准正文"/>
    <w:basedOn w:val="1"/>
    <w:next w:val="13"/>
    <w:qFormat/>
    <w:uiPriority w:val="0"/>
    <w:pPr>
      <w:spacing w:line="500" w:lineRule="exact"/>
      <w:ind w:firstLine="560"/>
    </w:pPr>
    <w:rPr>
      <w:rFonts w:ascii="Calibri" w:hAnsi="Calibri" w:eastAsia="仿宋"/>
      <w:sz w:val="28"/>
      <w:lang w:val="en-GB"/>
    </w:rPr>
  </w:style>
  <w:style w:type="paragraph" w:customStyle="1" w:styleId="1433">
    <w:name w:val="_Style 62"/>
    <w:next w:val="143"/>
    <w:qFormat/>
    <w:uiPriority w:val="0"/>
    <w:pPr>
      <w:widowControl w:val="0"/>
      <w:jc w:val="both"/>
    </w:pPr>
    <w:rPr>
      <w:rFonts w:hint="default" w:ascii="Calibri" w:hAnsi="Calibri" w:eastAsia="宋体" w:cs="Times New Roman"/>
      <w:sz w:val="21"/>
      <w:szCs w:val="22"/>
      <w:lang w:val="en-US" w:eastAsia="zh-CN" w:bidi="ar-SA"/>
    </w:rPr>
  </w:style>
  <w:style w:type="paragraph" w:customStyle="1" w:styleId="1434">
    <w:name w:val="_Style 54"/>
    <w:next w:val="872"/>
    <w:qFormat/>
    <w:uiPriority w:val="0"/>
    <w:rPr>
      <w:rFonts w:hint="default" w:ascii="Calibri" w:hAnsi="Calibri" w:eastAsia="宋体" w:cs="Times New Roman"/>
      <w:sz w:val="24"/>
      <w:szCs w:val="24"/>
      <w:lang w:val="en-US" w:eastAsia="zh-CN" w:bidi="ar-SA"/>
    </w:rPr>
  </w:style>
  <w:style w:type="paragraph" w:customStyle="1" w:styleId="1435">
    <w:name w:val="样式 标题 2 + 行距: 最小值 12 磅"/>
    <w:basedOn w:val="4"/>
    <w:next w:val="13"/>
    <w:qFormat/>
    <w:uiPriority w:val="0"/>
    <w:pPr>
      <w:tabs>
        <w:tab w:val="left" w:pos="0"/>
        <w:tab w:val="left" w:pos="840"/>
      </w:tabs>
      <w:spacing w:before="0" w:after="0" w:line="240" w:lineRule="atLeast"/>
      <w:ind w:left="1320" w:hanging="420"/>
      <w:jc w:val="left"/>
    </w:pPr>
    <w:rPr>
      <w:rFonts w:ascii="楷体" w:hAnsi="Calibri" w:eastAsia="宋体" w:cs="宋体"/>
      <w:bCs/>
      <w:color w:val="000000"/>
      <w:sz w:val="30"/>
      <w:szCs w:val="36"/>
    </w:rPr>
  </w:style>
  <w:style w:type="paragraph" w:customStyle="1" w:styleId="1436">
    <w:name w:val="ABC_正文"/>
    <w:basedOn w:val="1"/>
    <w:qFormat/>
    <w:uiPriority w:val="0"/>
    <w:pPr>
      <w:widowControl/>
      <w:ind w:firstLine="200"/>
    </w:pPr>
    <w:rPr>
      <w:rFonts w:ascii="Calibri" w:hAnsi="宋体" w:eastAsia="Times New Roman"/>
      <w:sz w:val="20"/>
      <w:szCs w:val="20"/>
    </w:rPr>
  </w:style>
  <w:style w:type="paragraph" w:customStyle="1" w:styleId="1437">
    <w:name w:val="InfoBlue"/>
    <w:basedOn w:val="1"/>
    <w:qFormat/>
    <w:uiPriority w:val="0"/>
    <w:pPr>
      <w:spacing w:after="120" w:line="360" w:lineRule="auto"/>
      <w:ind w:left="720" w:firstLine="560"/>
      <w:jc w:val="left"/>
    </w:pPr>
    <w:rPr>
      <w:rFonts w:ascii="Calibri" w:hAnsi="Calibri" w:eastAsia="仿宋"/>
      <w:color w:val="0000FF"/>
      <w:szCs w:val="20"/>
    </w:rPr>
  </w:style>
  <w:style w:type="paragraph" w:customStyle="1" w:styleId="1438">
    <w:name w:val="样式 标题 3"/>
    <w:basedOn w:val="5"/>
    <w:next w:val="103"/>
    <w:qFormat/>
    <w:uiPriority w:val="0"/>
    <w:pPr>
      <w:keepLines w:val="0"/>
      <w:tabs>
        <w:tab w:val="left" w:pos="0"/>
        <w:tab w:val="left" w:pos="1260"/>
      </w:tabs>
      <w:spacing w:before="0" w:after="60" w:line="240" w:lineRule="atLeast"/>
      <w:ind w:left="567" w:hanging="567"/>
      <w:jc w:val="left"/>
    </w:pPr>
    <w:rPr>
      <w:rFonts w:ascii="仿宋" w:hAnsi="Calibri" w:eastAsia="仿宋"/>
      <w:iCs/>
      <w:sz w:val="28"/>
      <w:szCs w:val="36"/>
    </w:rPr>
  </w:style>
  <w:style w:type="paragraph" w:customStyle="1" w:styleId="1439">
    <w:name w:val="正文文本21"/>
    <w:qFormat/>
    <w:uiPriority w:val="0"/>
    <w:pPr>
      <w:keepLines/>
      <w:spacing w:after="120" w:line="220" w:lineRule="atLeast"/>
    </w:pPr>
    <w:rPr>
      <w:rFonts w:hint="default" w:ascii="宋体" w:hAnsi="Calibri" w:eastAsia="宋体" w:cs="Times New Roman"/>
      <w:lang w:val="en-GB" w:eastAsia="zh-CN" w:bidi="ar-SA"/>
    </w:rPr>
  </w:style>
  <w:style w:type="paragraph" w:customStyle="1" w:styleId="1440">
    <w:name w:val="Char Char Char Char Char Char Char Char Char Char Char Char Char Char Char1 Char"/>
    <w:basedOn w:val="1"/>
    <w:next w:val="100"/>
    <w:qFormat/>
    <w:uiPriority w:val="0"/>
    <w:pPr>
      <w:widowControl/>
      <w:spacing w:after="160" w:line="240" w:lineRule="exact"/>
      <w:ind w:firstLine="560"/>
      <w:jc w:val="left"/>
    </w:pPr>
    <w:rPr>
      <w:rFonts w:ascii="Verdana" w:hAnsi="Verdana" w:eastAsia="仿宋"/>
      <w:sz w:val="20"/>
      <w:szCs w:val="20"/>
      <w:lang w:eastAsia="en-US"/>
    </w:rPr>
  </w:style>
  <w:style w:type="paragraph" w:customStyle="1" w:styleId="1441">
    <w:name w:val="无首行缩进正文"/>
    <w:basedOn w:val="1425"/>
    <w:next w:val="1377"/>
    <w:qFormat/>
    <w:uiPriority w:val="0"/>
    <w:pPr>
      <w:ind w:firstLine="0"/>
      <w:jc w:val="both"/>
    </w:pPr>
    <w:rPr>
      <w:rFonts w:ascii="Calibri" w:hAnsi="Calibri" w:eastAsia="方正仿宋_GBK" w:cs="Times New Roman"/>
      <w:sz w:val="21"/>
      <w:szCs w:val="24"/>
    </w:rPr>
  </w:style>
  <w:style w:type="paragraph" w:customStyle="1" w:styleId="1442">
    <w:name w:val="Plain Text1"/>
    <w:basedOn w:val="1"/>
    <w:next w:val="80"/>
    <w:qFormat/>
    <w:uiPriority w:val="0"/>
    <w:pPr>
      <w:spacing w:line="360" w:lineRule="auto"/>
      <w:ind w:firstLine="560"/>
    </w:pPr>
    <w:rPr>
      <w:rFonts w:ascii="宋体" w:hAnsi="宋体" w:eastAsia="仿宋"/>
      <w:sz w:val="28"/>
      <w:szCs w:val="20"/>
    </w:rPr>
  </w:style>
  <w:style w:type="paragraph" w:customStyle="1" w:styleId="1443">
    <w:name w:val="Char Char Char Char Char Char Char Char Char Char Char Char Char1"/>
    <w:basedOn w:val="1"/>
    <w:qFormat/>
    <w:uiPriority w:val="0"/>
    <w:pPr>
      <w:widowControl/>
      <w:spacing w:after="160" w:line="240" w:lineRule="exact"/>
      <w:ind w:firstLine="560"/>
      <w:jc w:val="left"/>
    </w:pPr>
    <w:rPr>
      <w:rFonts w:ascii="Verdana" w:hAnsi="Verdana" w:eastAsia="仿宋_GB2312"/>
      <w:sz w:val="28"/>
      <w:szCs w:val="20"/>
      <w:lang w:eastAsia="en-US"/>
    </w:rPr>
  </w:style>
  <w:style w:type="paragraph" w:customStyle="1" w:styleId="1444">
    <w:name w:val="样式 Tabletext + 五号 加粗 居中 段后: 0 磅 行距: 1.5 倍行距"/>
    <w:basedOn w:val="1"/>
    <w:qFormat/>
    <w:uiPriority w:val="0"/>
    <w:pPr>
      <w:spacing w:line="500" w:lineRule="exact"/>
      <w:ind w:firstLine="560"/>
    </w:pPr>
    <w:rPr>
      <w:rFonts w:ascii="Calibri" w:hAnsi="Calibri" w:eastAsia="仿宋"/>
      <w:sz w:val="28"/>
      <w:szCs w:val="20"/>
    </w:rPr>
  </w:style>
  <w:style w:type="paragraph" w:customStyle="1" w:styleId="1445">
    <w:name w:val="Subject"/>
    <w:basedOn w:val="1"/>
    <w:qFormat/>
    <w:uiPriority w:val="0"/>
    <w:pPr>
      <w:widowControl/>
      <w:jc w:val="center"/>
    </w:pPr>
    <w:rPr>
      <w:rFonts w:ascii="Calibri" w:hAnsi="Calibri" w:eastAsia="黑体"/>
      <w:b/>
      <w:sz w:val="48"/>
    </w:rPr>
  </w:style>
  <w:style w:type="paragraph" w:customStyle="1" w:styleId="1446">
    <w:name w:val="题注1"/>
    <w:basedOn w:val="1"/>
    <w:qFormat/>
    <w:uiPriority w:val="0"/>
    <w:pPr>
      <w:suppressLineNumbers/>
      <w:spacing w:before="120" w:after="120" w:line="360" w:lineRule="auto"/>
      <w:ind w:firstLine="720"/>
    </w:pPr>
    <w:rPr>
      <w:rFonts w:ascii="仿宋" w:hAnsi="仿宋"/>
      <w:i/>
      <w:iCs/>
      <w:sz w:val="28"/>
      <w:lang w:eastAsia="ar-SA"/>
    </w:rPr>
  </w:style>
  <w:style w:type="paragraph" w:customStyle="1" w:styleId="1447">
    <w:name w:val="默认段落字体 Para Char Char Char Char"/>
    <w:basedOn w:val="1"/>
    <w:next w:val="110"/>
    <w:qFormat/>
    <w:uiPriority w:val="0"/>
    <w:pPr>
      <w:spacing w:line="360" w:lineRule="auto"/>
      <w:ind w:firstLine="560"/>
    </w:pPr>
    <w:rPr>
      <w:rFonts w:ascii="Calibri" w:hAnsi="Calibri" w:eastAsia="仿宋"/>
      <w:sz w:val="28"/>
      <w:szCs w:val="20"/>
    </w:rPr>
  </w:style>
  <w:style w:type="paragraph" w:customStyle="1" w:styleId="1448">
    <w:name w:val="样式 标题 1 + 行距: 最小值 12 磅"/>
    <w:basedOn w:val="3"/>
    <w:next w:val="1437"/>
    <w:qFormat/>
    <w:uiPriority w:val="0"/>
    <w:pPr>
      <w:tabs>
        <w:tab w:val="left" w:pos="0"/>
        <w:tab w:val="left" w:pos="420"/>
      </w:tabs>
      <w:spacing w:line="240" w:lineRule="atLeast"/>
      <w:ind w:left="720" w:hanging="720"/>
      <w:jc w:val="left"/>
    </w:pPr>
    <w:rPr>
      <w:rFonts w:ascii="黑体" w:hAnsi="Calibri" w:eastAsia="黑体" w:cs="宋体"/>
      <w:bCs/>
      <w:sz w:val="36"/>
      <w:szCs w:val="36"/>
    </w:rPr>
  </w:style>
  <w:style w:type="paragraph" w:customStyle="1" w:styleId="1449">
    <w:name w:val="_Style 224"/>
    <w:basedOn w:val="1"/>
    <w:next w:val="1"/>
    <w:unhideWhenUsed/>
    <w:qFormat/>
    <w:uiPriority w:val="39"/>
    <w:pPr>
      <w:widowControl/>
      <w:ind w:left="2100"/>
      <w:jc w:val="left"/>
    </w:pPr>
    <w:rPr>
      <w:rFonts w:ascii="Calibri" w:hAnsi="Calibri"/>
      <w:szCs w:val="22"/>
    </w:rPr>
  </w:style>
  <w:style w:type="paragraph" w:customStyle="1" w:styleId="1450">
    <w:name w:val="图中文字"/>
    <w:basedOn w:val="1"/>
    <w:next w:val="874"/>
    <w:qFormat/>
    <w:uiPriority w:val="0"/>
    <w:pPr>
      <w:widowControl/>
      <w:spacing w:line="500" w:lineRule="exact"/>
      <w:ind w:firstLine="560"/>
      <w:jc w:val="center"/>
    </w:pPr>
    <w:rPr>
      <w:rFonts w:ascii="Calibri" w:hAnsi="Calibri" w:eastAsia="仿宋_GB2312"/>
      <w:sz w:val="28"/>
      <w:szCs w:val="20"/>
    </w:rPr>
  </w:style>
  <w:style w:type="paragraph" w:customStyle="1" w:styleId="1451">
    <w:name w:val="标题 11"/>
    <w:basedOn w:val="1"/>
    <w:next w:val="1"/>
    <w:qFormat/>
    <w:uiPriority w:val="0"/>
    <w:pPr>
      <w:keepNext/>
      <w:keepLines/>
      <w:spacing w:line="590" w:lineRule="exact"/>
      <w:outlineLvl w:val="0"/>
    </w:pPr>
    <w:rPr>
      <w:rFonts w:ascii="Calibri" w:hAnsi="Calibri" w:eastAsia="方正黑体_GBK"/>
      <w:bCs/>
      <w:sz w:val="32"/>
      <w:szCs w:val="44"/>
    </w:rPr>
  </w:style>
  <w:style w:type="paragraph" w:customStyle="1" w:styleId="1452">
    <w:name w:val="样式 标题 + 右"/>
    <w:basedOn w:val="84"/>
    <w:next w:val="1340"/>
    <w:qFormat/>
    <w:uiPriority w:val="0"/>
    <w:pPr>
      <w:spacing w:line="500" w:lineRule="exact"/>
      <w:ind w:left="0" w:firstLine="560"/>
      <w:jc w:val="right"/>
    </w:pPr>
    <w:rPr>
      <w:rFonts w:ascii="宋体" w:hAnsi="Calibri" w:eastAsia="方正小标宋_GBK" w:cs="宋体"/>
      <w:color w:val="000000"/>
      <w:sz w:val="28"/>
      <w:szCs w:val="20"/>
    </w:rPr>
  </w:style>
  <w:style w:type="paragraph" w:customStyle="1" w:styleId="1453">
    <w:name w:val="表号"/>
    <w:basedOn w:val="1"/>
    <w:next w:val="413"/>
    <w:qFormat/>
    <w:uiPriority w:val="0"/>
    <w:pPr>
      <w:keepNext/>
      <w:keepLines/>
      <w:tabs>
        <w:tab w:val="left" w:pos="5102"/>
      </w:tabs>
      <w:spacing w:line="360" w:lineRule="auto"/>
      <w:ind w:left="5102" w:hanging="1700"/>
      <w:jc w:val="center"/>
    </w:pPr>
    <w:rPr>
      <w:rFonts w:ascii="Arial" w:hAnsi="Arial" w:eastAsia="仿宋"/>
      <w:b/>
      <w:sz w:val="18"/>
      <w:szCs w:val="18"/>
    </w:rPr>
  </w:style>
  <w:style w:type="paragraph" w:customStyle="1" w:styleId="1454">
    <w:name w:val="表头样式"/>
    <w:basedOn w:val="1"/>
    <w:qFormat/>
    <w:uiPriority w:val="0"/>
    <w:pPr>
      <w:keepNext/>
      <w:spacing w:line="500" w:lineRule="exact"/>
      <w:ind w:firstLine="560"/>
      <w:jc w:val="center"/>
    </w:pPr>
    <w:rPr>
      <w:rFonts w:ascii="Arial" w:hAnsi="Arial" w:eastAsia="仿宋"/>
      <w:b/>
      <w:szCs w:val="21"/>
    </w:rPr>
  </w:style>
  <w:style w:type="paragraph" w:customStyle="1" w:styleId="1455">
    <w:name w:val="评估表"/>
    <w:basedOn w:val="1"/>
    <w:qFormat/>
    <w:uiPriority w:val="0"/>
    <w:pPr>
      <w:spacing w:line="240" w:lineRule="exact"/>
    </w:pPr>
    <w:rPr>
      <w:rFonts w:ascii="方正仿宋_GBK" w:hAnsi="方正仿宋_GBK" w:eastAsia="方正仿宋_GBK"/>
      <w:sz w:val="18"/>
      <w:szCs w:val="18"/>
    </w:rPr>
  </w:style>
  <w:style w:type="paragraph" w:customStyle="1" w:styleId="1456">
    <w:name w:val="Table Contents"/>
    <w:basedOn w:val="1"/>
    <w:qFormat/>
    <w:uiPriority w:val="0"/>
    <w:pPr>
      <w:suppressLineNumbers/>
      <w:spacing w:line="360" w:lineRule="auto"/>
      <w:ind w:firstLine="720"/>
    </w:pPr>
    <w:rPr>
      <w:rFonts w:ascii="仿宋" w:hAnsi="仿宋"/>
      <w:sz w:val="28"/>
      <w:lang w:eastAsia="ar-SA"/>
    </w:rPr>
  </w:style>
  <w:style w:type="paragraph" w:customStyle="1" w:styleId="1457">
    <w:name w:val="Paragraph1"/>
    <w:basedOn w:val="1"/>
    <w:next w:val="1101"/>
    <w:qFormat/>
    <w:uiPriority w:val="0"/>
    <w:pPr>
      <w:spacing w:before="80" w:line="500" w:lineRule="exact"/>
      <w:ind w:firstLine="560"/>
    </w:pPr>
    <w:rPr>
      <w:rFonts w:ascii="宋体" w:hAnsi="Calibri" w:eastAsia="仿宋"/>
      <w:sz w:val="20"/>
      <w:szCs w:val="20"/>
    </w:rPr>
  </w:style>
  <w:style w:type="paragraph" w:customStyle="1" w:styleId="1458">
    <w:name w:val="Tabletext"/>
    <w:basedOn w:val="1"/>
    <w:next w:val="1015"/>
    <w:qFormat/>
    <w:uiPriority w:val="0"/>
    <w:pPr>
      <w:keepLines/>
      <w:spacing w:after="120" w:line="240" w:lineRule="atLeast"/>
      <w:ind w:firstLine="560"/>
      <w:jc w:val="left"/>
    </w:pPr>
    <w:rPr>
      <w:rFonts w:ascii="Calibri" w:hAnsi="Calibri" w:eastAsia="仿宋"/>
      <w:sz w:val="28"/>
      <w:szCs w:val="20"/>
      <w:lang w:eastAsia="en-US"/>
    </w:rPr>
  </w:style>
  <w:style w:type="paragraph" w:customStyle="1" w:styleId="1459">
    <w:name w:val="编写建议"/>
    <w:basedOn w:val="1"/>
    <w:next w:val="98"/>
    <w:qFormat/>
    <w:uiPriority w:val="0"/>
    <w:pPr>
      <w:spacing w:line="360" w:lineRule="auto"/>
      <w:ind w:firstLine="420"/>
      <w:jc w:val="left"/>
    </w:pPr>
    <w:rPr>
      <w:rFonts w:ascii="Arial" w:hAnsi="Arial" w:cs="宋体"/>
      <w:i/>
      <w:iCs/>
      <w:color w:val="0000FF"/>
      <w:sz w:val="28"/>
      <w:lang w:eastAsia="ar-SA"/>
    </w:rPr>
  </w:style>
  <w:style w:type="paragraph" w:customStyle="1" w:styleId="1460">
    <w:name w:val="引用 Char2"/>
    <w:basedOn w:val="1"/>
    <w:qFormat/>
    <w:uiPriority w:val="0"/>
    <w:pPr>
      <w:spacing w:line="500" w:lineRule="exact"/>
      <w:ind w:firstLine="560"/>
    </w:pPr>
    <w:rPr>
      <w:rFonts w:ascii="Calibri" w:hAnsi="Calibri" w:eastAsia="仿宋"/>
      <w:sz w:val="28"/>
      <w:szCs w:val="20"/>
    </w:rPr>
  </w:style>
  <w:style w:type="paragraph" w:customStyle="1" w:styleId="1461">
    <w:name w:val="文档名称"/>
    <w:basedOn w:val="1"/>
    <w:qFormat/>
    <w:uiPriority w:val="0"/>
    <w:pPr>
      <w:spacing w:line="360" w:lineRule="auto"/>
      <w:ind w:firstLine="720"/>
      <w:jc w:val="center"/>
    </w:pPr>
    <w:rPr>
      <w:rFonts w:ascii="仿宋" w:hAnsi="仿宋" w:eastAsia="黑体"/>
      <w:b/>
      <w:sz w:val="48"/>
      <w:szCs w:val="48"/>
      <w:lang w:eastAsia="ar-SA"/>
    </w:rPr>
  </w:style>
  <w:style w:type="paragraph" w:customStyle="1" w:styleId="1462">
    <w:name w:val="explanation"/>
    <w:basedOn w:val="1"/>
    <w:next w:val="1071"/>
    <w:qFormat/>
    <w:uiPriority w:val="0"/>
    <w:pPr>
      <w:spacing w:line="500" w:lineRule="exact"/>
      <w:ind w:firstLine="560"/>
    </w:pPr>
    <w:rPr>
      <w:rFonts w:ascii="Calibri" w:hAnsi="Calibri" w:eastAsia="仿宋"/>
      <w:sz w:val="28"/>
    </w:rPr>
  </w:style>
  <w:style w:type="paragraph" w:customStyle="1" w:styleId="1463">
    <w:name w:val="左对齐的表内文字"/>
    <w:basedOn w:val="1"/>
    <w:next w:val="142"/>
    <w:qFormat/>
    <w:uiPriority w:val="0"/>
    <w:pPr>
      <w:spacing w:line="500" w:lineRule="exact"/>
      <w:ind w:firstLine="560"/>
    </w:pPr>
    <w:rPr>
      <w:rFonts w:ascii="Calibri" w:hAnsi="Calibri" w:eastAsia="仿宋_GB2312" w:cs="宋体"/>
      <w:sz w:val="28"/>
      <w:szCs w:val="20"/>
    </w:rPr>
  </w:style>
  <w:style w:type="paragraph" w:customStyle="1" w:styleId="1464">
    <w:name w:val="_Style 44"/>
    <w:next w:val="1"/>
    <w:qFormat/>
    <w:uiPriority w:val="0"/>
    <w:pPr>
      <w:widowControl w:val="0"/>
      <w:jc w:val="both"/>
    </w:pPr>
    <w:rPr>
      <w:rFonts w:hint="default" w:ascii="Calibri" w:hAnsi="Calibri" w:eastAsia="宋体" w:cs="Times New Roman"/>
      <w:sz w:val="24"/>
      <w:szCs w:val="24"/>
      <w:lang w:val="en-US" w:eastAsia="zh-CN" w:bidi="ar-SA"/>
    </w:rPr>
  </w:style>
  <w:style w:type="paragraph" w:customStyle="1" w:styleId="1465">
    <w:name w:val="样式 标题 3 + 非加粗 倾斜"/>
    <w:basedOn w:val="5"/>
    <w:next w:val="1466"/>
    <w:qFormat/>
    <w:uiPriority w:val="0"/>
    <w:pPr>
      <w:keepLines w:val="0"/>
      <w:tabs>
        <w:tab w:val="left" w:pos="0"/>
        <w:tab w:val="left" w:pos="1260"/>
      </w:tabs>
      <w:spacing w:before="0" w:after="0" w:line="240" w:lineRule="atLeast"/>
      <w:ind w:left="1740" w:hanging="420"/>
      <w:jc w:val="left"/>
    </w:pPr>
    <w:rPr>
      <w:rFonts w:ascii="仿宋" w:hAnsi="Calibri" w:eastAsia="仿宋"/>
      <w:bCs/>
      <w:iCs/>
      <w:sz w:val="28"/>
      <w:szCs w:val="36"/>
    </w:rPr>
  </w:style>
  <w:style w:type="paragraph" w:customStyle="1" w:styleId="1466">
    <w:name w:val="样式 标题 2 + 五号"/>
    <w:basedOn w:val="4"/>
    <w:next w:val="155"/>
    <w:qFormat/>
    <w:uiPriority w:val="0"/>
    <w:pPr>
      <w:keepLines w:val="0"/>
      <w:tabs>
        <w:tab w:val="left" w:pos="0"/>
        <w:tab w:val="left" w:pos="314"/>
      </w:tabs>
      <w:spacing w:before="60" w:after="60" w:line="360" w:lineRule="auto"/>
      <w:ind w:left="1035" w:hanging="720"/>
      <w:jc w:val="left"/>
    </w:pPr>
    <w:rPr>
      <w:rFonts w:ascii="楷体" w:hAnsi="Calibri" w:eastAsia="宋体"/>
      <w:bCs/>
      <w:color w:val="000000"/>
      <w:sz w:val="36"/>
    </w:rPr>
  </w:style>
  <w:style w:type="paragraph" w:customStyle="1" w:styleId="1467">
    <w:name w:val="版权申明"/>
    <w:basedOn w:val="1"/>
    <w:qFormat/>
    <w:uiPriority w:val="0"/>
    <w:pPr>
      <w:spacing w:line="360" w:lineRule="auto"/>
      <w:ind w:firstLine="720"/>
      <w:jc w:val="center"/>
    </w:pPr>
    <w:rPr>
      <w:rFonts w:ascii="宋体" w:hAnsi="宋体" w:cs="宋体"/>
      <w:b/>
      <w:bCs/>
      <w:color w:val="000000"/>
      <w:sz w:val="28"/>
      <w:szCs w:val="20"/>
      <w:lang w:eastAsia="ar-SA"/>
    </w:rPr>
  </w:style>
  <w:style w:type="paragraph" w:customStyle="1" w:styleId="1468">
    <w:name w:val="标题G"/>
    <w:basedOn w:val="84"/>
    <w:next w:val="1448"/>
    <w:qFormat/>
    <w:uiPriority w:val="0"/>
    <w:pPr>
      <w:spacing w:line="580" w:lineRule="exact"/>
      <w:ind w:left="0" w:firstLine="0"/>
      <w:jc w:val="center"/>
      <w:outlineLvl w:val="0"/>
    </w:pPr>
    <w:rPr>
      <w:rFonts w:ascii="宋体" w:hAnsi="宋体" w:eastAsia="方正小标宋_GBK"/>
      <w:color w:val="000000"/>
      <w:spacing w:val="-20"/>
      <w:sz w:val="44"/>
      <w:szCs w:val="52"/>
    </w:rPr>
  </w:style>
  <w:style w:type="paragraph" w:customStyle="1" w:styleId="1469">
    <w:name w:val="标题5"/>
    <w:basedOn w:val="1"/>
    <w:qFormat/>
    <w:uiPriority w:val="0"/>
    <w:pPr>
      <w:spacing w:line="500" w:lineRule="exact"/>
      <w:ind w:firstLine="560"/>
      <w:jc w:val="center"/>
    </w:pPr>
    <w:rPr>
      <w:rFonts w:ascii="宋体" w:hAnsi="宋体" w:eastAsia="仿宋"/>
      <w:b/>
      <w:sz w:val="52"/>
      <w:szCs w:val="22"/>
    </w:rPr>
  </w:style>
  <w:style w:type="paragraph" w:customStyle="1" w:styleId="1470">
    <w:name w:val="修订11"/>
    <w:qFormat/>
    <w:uiPriority w:val="99"/>
    <w:rPr>
      <w:rFonts w:hint="default" w:ascii="宋体" w:hAnsi="Calibri" w:eastAsia="宋体" w:cs="Times New Roman"/>
      <w:sz w:val="21"/>
      <w:lang w:val="en-US" w:eastAsia="zh-CN" w:bidi="ar-SA"/>
    </w:rPr>
  </w:style>
  <w:style w:type="paragraph" w:customStyle="1" w:styleId="1471">
    <w:name w:val="正文文本3"/>
    <w:qFormat/>
    <w:uiPriority w:val="0"/>
    <w:pPr>
      <w:keepLines/>
      <w:spacing w:after="120" w:line="220" w:lineRule="atLeast"/>
    </w:pPr>
    <w:rPr>
      <w:rFonts w:hint="default" w:ascii="宋体" w:hAnsi="Calibri" w:eastAsia="宋体" w:cs="Times New Roman"/>
      <w:lang w:val="en-GB" w:eastAsia="zh-CN" w:bidi="ar-SA"/>
    </w:rPr>
  </w:style>
  <w:style w:type="paragraph" w:customStyle="1" w:styleId="1472">
    <w:name w:val="目录标题2"/>
    <w:basedOn w:val="3"/>
    <w:next w:val="1"/>
    <w:unhideWhenUsed/>
    <w:qFormat/>
    <w:uiPriority w:val="39"/>
    <w:pPr>
      <w:keepLines/>
      <w:tabs>
        <w:tab w:val="left" w:pos="0"/>
      </w:tabs>
      <w:spacing w:before="480" w:line="276" w:lineRule="auto"/>
      <w:ind w:left="360" w:hanging="360"/>
      <w:outlineLvl w:val="9"/>
    </w:pPr>
    <w:rPr>
      <w:rFonts w:ascii="Calibri Light" w:hAnsi="Calibri Light" w:eastAsia="等线 Light" w:cs="等线 Light"/>
      <w:color w:val="2F5496"/>
      <w:szCs w:val="28"/>
    </w:rPr>
  </w:style>
  <w:style w:type="paragraph" w:customStyle="1" w:styleId="1473">
    <w:name w:val="Char1 Char Char Char1"/>
    <w:basedOn w:val="1"/>
    <w:qFormat/>
    <w:uiPriority w:val="0"/>
    <w:pPr>
      <w:spacing w:line="500" w:lineRule="exact"/>
      <w:ind w:firstLine="560"/>
    </w:pPr>
    <w:rPr>
      <w:rFonts w:ascii="Tahoma" w:hAnsi="Tahoma" w:eastAsia="仿宋"/>
      <w:sz w:val="28"/>
      <w:szCs w:val="20"/>
    </w:rPr>
  </w:style>
  <w:style w:type="paragraph" w:customStyle="1" w:styleId="1474">
    <w:name w:val="Bullet Text"/>
    <w:basedOn w:val="1"/>
    <w:next w:val="1438"/>
    <w:qFormat/>
    <w:uiPriority w:val="0"/>
    <w:pPr>
      <w:spacing w:after="60" w:line="500" w:lineRule="exact"/>
      <w:ind w:left="360" w:hanging="360"/>
      <w:jc w:val="left"/>
    </w:pPr>
    <w:rPr>
      <w:rFonts w:ascii="Arial" w:hAnsi="Arial" w:eastAsia="仿宋"/>
      <w:sz w:val="20"/>
      <w:szCs w:val="20"/>
    </w:rPr>
  </w:style>
  <w:style w:type="paragraph" w:customStyle="1" w:styleId="1475">
    <w:name w:val="_Style 47"/>
    <w:basedOn w:val="1"/>
    <w:next w:val="385"/>
    <w:qFormat/>
    <w:uiPriority w:val="0"/>
    <w:pPr>
      <w:spacing w:line="360" w:lineRule="auto"/>
      <w:ind w:firstLine="420"/>
      <w:jc w:val="left"/>
    </w:pPr>
    <w:rPr>
      <w:rFonts w:ascii="宋体" w:hAnsi="Calibri"/>
      <w:szCs w:val="20"/>
    </w:rPr>
  </w:style>
  <w:style w:type="paragraph" w:customStyle="1" w:styleId="1476">
    <w:name w:val="_Style 196"/>
    <w:basedOn w:val="1"/>
    <w:next w:val="1"/>
    <w:qFormat/>
    <w:uiPriority w:val="0"/>
    <w:pPr>
      <w:spacing w:line="500" w:lineRule="exact"/>
      <w:ind w:firstLine="560"/>
    </w:pPr>
    <w:rPr>
      <w:rFonts w:ascii="Calibri Light" w:hAnsi="Calibri Light" w:eastAsia="仿宋"/>
      <w:color w:val="000000"/>
      <w:sz w:val="28"/>
      <w:szCs w:val="20"/>
    </w:rPr>
  </w:style>
  <w:style w:type="paragraph" w:customStyle="1" w:styleId="1477">
    <w:name w:val="Contents 10"/>
    <w:basedOn w:val="1478"/>
    <w:qFormat/>
    <w:uiPriority w:val="0"/>
    <w:pPr>
      <w:tabs>
        <w:tab w:val="right" w:leader="dot" w:pos="24919"/>
      </w:tabs>
      <w:ind w:left="2547"/>
    </w:pPr>
  </w:style>
  <w:style w:type="paragraph" w:customStyle="1" w:styleId="1478">
    <w:name w:val="Index"/>
    <w:basedOn w:val="1"/>
    <w:qFormat/>
    <w:uiPriority w:val="0"/>
    <w:pPr>
      <w:suppressLineNumbers/>
      <w:spacing w:line="360" w:lineRule="auto"/>
      <w:ind w:firstLine="720"/>
    </w:pPr>
    <w:rPr>
      <w:rFonts w:ascii="仿宋" w:hAnsi="仿宋"/>
      <w:sz w:val="28"/>
      <w:lang w:eastAsia="ar-SA"/>
    </w:rPr>
  </w:style>
  <w:style w:type="paragraph" w:customStyle="1" w:styleId="1479">
    <w:name w:val="subhead1"/>
    <w:basedOn w:val="1"/>
    <w:next w:val="118"/>
    <w:qFormat/>
    <w:uiPriority w:val="0"/>
    <w:pPr>
      <w:spacing w:line="500" w:lineRule="exact"/>
      <w:ind w:firstLine="560"/>
      <w:jc w:val="left"/>
    </w:pPr>
    <w:rPr>
      <w:rFonts w:ascii="Arial" w:hAnsi="Arial" w:eastAsia="仿宋"/>
      <w:b/>
      <w:sz w:val="28"/>
      <w:szCs w:val="20"/>
    </w:rPr>
  </w:style>
  <w:style w:type="paragraph" w:customStyle="1" w:styleId="1480">
    <w:name w:val="txt"/>
    <w:basedOn w:val="1"/>
    <w:next w:val="984"/>
    <w:qFormat/>
    <w:uiPriority w:val="0"/>
    <w:pPr>
      <w:widowControl/>
      <w:spacing w:before="100" w:beforeAutospacing="1" w:after="100" w:afterAutospacing="1" w:line="390" w:lineRule="atLeast"/>
      <w:ind w:firstLine="560"/>
      <w:jc w:val="left"/>
    </w:pPr>
    <w:rPr>
      <w:rFonts w:ascii="宋体" w:hAnsi="宋体" w:eastAsia="仿宋" w:cs="宋体"/>
      <w:color w:val="000000"/>
      <w:sz w:val="28"/>
      <w:szCs w:val="21"/>
    </w:rPr>
  </w:style>
  <w:style w:type="paragraph" w:customStyle="1" w:styleId="1481">
    <w:name w:val="目录标题1"/>
    <w:basedOn w:val="3"/>
    <w:next w:val="1"/>
    <w:qFormat/>
    <w:uiPriority w:val="39"/>
    <w:pPr>
      <w:keepLines/>
      <w:tabs>
        <w:tab w:val="left" w:pos="0"/>
        <w:tab w:val="left" w:pos="432"/>
      </w:tabs>
      <w:spacing w:before="480" w:line="276" w:lineRule="auto"/>
      <w:ind w:left="360" w:hanging="360"/>
      <w:outlineLvl w:val="9"/>
    </w:pPr>
    <w:rPr>
      <w:rFonts w:ascii="Cambria" w:hAnsi="Cambria" w:eastAsia="宋体"/>
      <w:color w:val="365F91"/>
      <w:szCs w:val="28"/>
    </w:rPr>
  </w:style>
  <w:style w:type="paragraph" w:customStyle="1" w:styleId="1482">
    <w:name w:val="Header Odd"/>
    <w:basedOn w:val="1483"/>
    <w:next w:val="1037"/>
    <w:qFormat/>
    <w:uiPriority w:val="0"/>
    <w:pPr>
      <w:widowControl/>
      <w:pBdr>
        <w:bottom w:val="single" w:color="4F81BD" w:sz="4" w:space="1"/>
      </w:pBdr>
      <w:jc w:val="right"/>
    </w:pPr>
    <w:rPr>
      <w:b/>
      <w:bCs/>
      <w:color w:val="1F497D"/>
      <w:sz w:val="20"/>
      <w:szCs w:val="23"/>
    </w:rPr>
  </w:style>
  <w:style w:type="paragraph" w:customStyle="1" w:styleId="1483">
    <w:name w:val="中等深浅网格 2 - 着色 11"/>
    <w:qFormat/>
    <w:uiPriority w:val="99"/>
    <w:pPr>
      <w:widowControl w:val="0"/>
    </w:pPr>
    <w:rPr>
      <w:rFonts w:hint="default" w:ascii="宋体" w:hAnsi="Calibri" w:eastAsia="宋体" w:cs="Times New Roman"/>
      <w:sz w:val="21"/>
      <w:lang w:val="en-US" w:eastAsia="zh-CN" w:bidi="ar-SA"/>
    </w:rPr>
  </w:style>
  <w:style w:type="paragraph" w:customStyle="1" w:styleId="1484">
    <w:name w:val="样式 两端对齐"/>
    <w:basedOn w:val="1"/>
    <w:next w:val="1444"/>
    <w:qFormat/>
    <w:uiPriority w:val="0"/>
    <w:pPr>
      <w:spacing w:line="360" w:lineRule="auto"/>
      <w:ind w:firstLine="560"/>
    </w:pPr>
    <w:rPr>
      <w:rFonts w:ascii="宋体" w:hAnsi="Calibri" w:eastAsia="仿宋" w:cs="宋体"/>
      <w:sz w:val="28"/>
      <w:szCs w:val="20"/>
    </w:rPr>
  </w:style>
  <w:style w:type="paragraph" w:customStyle="1" w:styleId="1485">
    <w:name w:val="样式 行距: 固定值 20 磅 首行缩进:  2 字符"/>
    <w:basedOn w:val="1"/>
    <w:next w:val="1419"/>
    <w:qFormat/>
    <w:uiPriority w:val="0"/>
    <w:pPr>
      <w:spacing w:line="360" w:lineRule="auto"/>
      <w:ind w:firstLine="200"/>
      <w:jc w:val="left"/>
    </w:pPr>
    <w:rPr>
      <w:rFonts w:ascii="宋体" w:hAnsi="Calibri" w:eastAsia="仿宋" w:cs="宋体"/>
      <w:sz w:val="28"/>
      <w:szCs w:val="20"/>
    </w:rPr>
  </w:style>
  <w:style w:type="paragraph" w:customStyle="1" w:styleId="1486">
    <w:name w:val="_Style 3"/>
    <w:basedOn w:val="1"/>
    <w:qFormat/>
    <w:uiPriority w:val="34"/>
    <w:pPr>
      <w:widowControl/>
      <w:spacing w:before="100" w:beforeAutospacing="1" w:after="100" w:afterAutospacing="1"/>
      <w:jc w:val="left"/>
    </w:pPr>
    <w:rPr>
      <w:rFonts w:ascii="宋体" w:hAnsi="宋体" w:cs="宋体"/>
      <w:sz w:val="28"/>
    </w:rPr>
  </w:style>
  <w:style w:type="paragraph" w:customStyle="1" w:styleId="1487">
    <w:name w:val="文头"/>
    <w:basedOn w:val="1"/>
    <w:qFormat/>
    <w:uiPriority w:val="0"/>
    <w:pPr>
      <w:spacing w:before="120" w:line="227" w:lineRule="atLeast"/>
      <w:ind w:left="227" w:right="227"/>
    </w:pPr>
    <w:rPr>
      <w:rFonts w:ascii="Calibri" w:hAnsi="Calibri" w:eastAsia="方正小标宋_GBK" w:cs="Calibri"/>
      <w:color w:val="FF0000"/>
      <w:spacing w:val="36"/>
      <w:sz w:val="90"/>
      <w:szCs w:val="20"/>
    </w:rPr>
  </w:style>
  <w:style w:type="paragraph" w:customStyle="1" w:styleId="1488">
    <w:name w:val="日期 Char2"/>
    <w:basedOn w:val="1"/>
    <w:qFormat/>
    <w:uiPriority w:val="0"/>
    <w:pPr>
      <w:spacing w:line="500" w:lineRule="exact"/>
      <w:ind w:firstLine="560"/>
    </w:pPr>
    <w:rPr>
      <w:rFonts w:ascii="Calibri" w:hAnsi="Calibri" w:eastAsia="仿宋"/>
      <w:sz w:val="28"/>
      <w:szCs w:val="20"/>
    </w:rPr>
  </w:style>
  <w:style w:type="paragraph" w:customStyle="1" w:styleId="1489">
    <w:name w:val="样式 正文内容 + 左侧:  0.74 厘米 首行缩进:  0.85 厘米"/>
    <w:basedOn w:val="1"/>
    <w:qFormat/>
    <w:uiPriority w:val="0"/>
    <w:pPr>
      <w:spacing w:line="380" w:lineRule="exact"/>
      <w:ind w:left="420" w:firstLine="480"/>
    </w:pPr>
    <w:rPr>
      <w:rFonts w:ascii="宋体" w:hAnsi="宋体" w:cs="宋体"/>
      <w:sz w:val="28"/>
      <w:szCs w:val="20"/>
      <w:lang w:eastAsia="ar-SA"/>
    </w:rPr>
  </w:style>
  <w:style w:type="paragraph" w:customStyle="1" w:styleId="1490">
    <w:name w:val="标题11"/>
    <w:basedOn w:val="1"/>
    <w:next w:val="1"/>
    <w:qFormat/>
    <w:uiPriority w:val="0"/>
    <w:pPr>
      <w:tabs>
        <w:tab w:val="left" w:pos="9193"/>
        <w:tab w:val="left" w:pos="9827"/>
      </w:tabs>
      <w:spacing w:line="700" w:lineRule="atLeast"/>
      <w:ind w:firstLine="560"/>
      <w:jc w:val="center"/>
    </w:pPr>
    <w:rPr>
      <w:rFonts w:ascii="方正小标宋_GBK" w:hAnsi="Calibri" w:eastAsia="方正小标宋_GBK"/>
      <w:sz w:val="44"/>
      <w:szCs w:val="20"/>
    </w:rPr>
  </w:style>
  <w:style w:type="paragraph" w:customStyle="1" w:styleId="1491">
    <w:name w:val="正文3"/>
    <w:basedOn w:val="1"/>
    <w:qFormat/>
    <w:uiPriority w:val="0"/>
    <w:pPr>
      <w:widowControl/>
      <w:spacing w:line="500" w:lineRule="exact"/>
      <w:ind w:firstLine="560"/>
    </w:pPr>
    <w:rPr>
      <w:rFonts w:ascii="Calibri" w:hAnsi="Calibri" w:eastAsia="仿宋"/>
      <w:sz w:val="28"/>
      <w:szCs w:val="20"/>
    </w:rPr>
  </w:style>
  <w:style w:type="paragraph" w:customStyle="1" w:styleId="1492">
    <w:name w:val="正文文本 Char2"/>
    <w:basedOn w:val="1"/>
    <w:qFormat/>
    <w:uiPriority w:val="0"/>
    <w:pPr>
      <w:spacing w:line="500" w:lineRule="exact"/>
      <w:ind w:firstLine="560"/>
    </w:pPr>
    <w:rPr>
      <w:rFonts w:ascii="Calibri" w:hAnsi="Calibri" w:eastAsia="仿宋"/>
      <w:sz w:val="28"/>
      <w:szCs w:val="20"/>
    </w:rPr>
  </w:style>
  <w:style w:type="paragraph" w:customStyle="1" w:styleId="1493">
    <w:name w:val="彩色底纹 - 强调文字颜色 11"/>
    <w:semiHidden/>
    <w:qFormat/>
    <w:uiPriority w:val="99"/>
    <w:rPr>
      <w:rFonts w:hint="default" w:ascii="Calibri" w:hAnsi="Calibri" w:eastAsia="宋体" w:cs="Times New Roman"/>
      <w:sz w:val="21"/>
      <w:szCs w:val="22"/>
      <w:lang w:val="en-US" w:eastAsia="zh-CN" w:bidi="ar-SA"/>
    </w:rPr>
  </w:style>
  <w:style w:type="paragraph" w:customStyle="1" w:styleId="1494">
    <w:name w:val="样式 InfoBlue + 倾斜"/>
    <w:basedOn w:val="1465"/>
    <w:next w:val="1429"/>
    <w:qFormat/>
    <w:uiPriority w:val="0"/>
    <w:pPr>
      <w:keepNext w:val="0"/>
      <w:spacing w:after="120" w:line="360" w:lineRule="auto"/>
      <w:ind w:left="720" w:firstLine="560"/>
      <w:outlineLvl w:val="9"/>
    </w:pPr>
    <w:rPr>
      <w:bCs w:val="0"/>
      <w:iCs w:val="0"/>
      <w:color w:val="0000FF"/>
      <w:sz w:val="21"/>
      <w:szCs w:val="20"/>
    </w:rPr>
  </w:style>
  <w:style w:type="paragraph" w:customStyle="1" w:styleId="1495">
    <w:name w:val="Char Char Char Char Char Char Char Char Char Char Char Char Char2"/>
    <w:basedOn w:val="1"/>
    <w:qFormat/>
    <w:uiPriority w:val="0"/>
    <w:pPr>
      <w:widowControl/>
      <w:spacing w:after="160" w:line="240" w:lineRule="exact"/>
      <w:ind w:firstLine="560"/>
      <w:jc w:val="left"/>
    </w:pPr>
    <w:rPr>
      <w:rFonts w:ascii="Verdana" w:hAnsi="Verdana" w:eastAsia="仿宋_GB2312"/>
      <w:sz w:val="28"/>
      <w:szCs w:val="20"/>
      <w:lang w:eastAsia="en-US"/>
    </w:rPr>
  </w:style>
  <w:style w:type="paragraph" w:customStyle="1" w:styleId="1496">
    <w:name w:val="样式 正文文本缩进 + 左侧:  2 字符 行距: 固定值 20 磅 首行缩进:  2 字符"/>
    <w:basedOn w:val="90"/>
    <w:next w:val="883"/>
    <w:qFormat/>
    <w:uiPriority w:val="0"/>
    <w:pPr>
      <w:spacing w:line="360" w:lineRule="auto"/>
      <w:ind w:left="400" w:firstLine="400"/>
      <w:jc w:val="both"/>
    </w:pPr>
    <w:rPr>
      <w:rFonts w:cs="宋体"/>
      <w:szCs w:val="20"/>
    </w:rPr>
  </w:style>
  <w:style w:type="paragraph" w:customStyle="1" w:styleId="1497">
    <w:name w:val="正文文本4"/>
    <w:basedOn w:val="1"/>
    <w:qFormat/>
    <w:uiPriority w:val="99"/>
    <w:pPr>
      <w:widowControl/>
      <w:spacing w:after="120" w:line="288" w:lineRule="auto"/>
      <w:jc w:val="left"/>
    </w:pPr>
    <w:rPr>
      <w:rFonts w:ascii="Verdana" w:hAnsi="Verdana"/>
      <w:sz w:val="24"/>
      <w:szCs w:val="20"/>
      <w:lang w:eastAsia="en-US"/>
    </w:rPr>
  </w:style>
  <w:style w:type="paragraph" w:customStyle="1" w:styleId="1498">
    <w:name w:val="Char1 Char Char Char3"/>
    <w:basedOn w:val="1"/>
    <w:qFormat/>
    <w:uiPriority w:val="0"/>
    <w:rPr>
      <w:rFonts w:ascii="Tahoma" w:hAnsi="Tahoma"/>
      <w:sz w:val="24"/>
      <w:szCs w:val="20"/>
    </w:rPr>
  </w:style>
  <w:style w:type="paragraph" w:customStyle="1" w:styleId="1499">
    <w:name w:val="Char Char112"/>
    <w:basedOn w:val="1"/>
    <w:semiHidden/>
    <w:qFormat/>
    <w:uiPriority w:val="0"/>
    <w:pPr>
      <w:widowControl/>
      <w:spacing w:after="160" w:line="240" w:lineRule="exact"/>
      <w:jc w:val="left"/>
    </w:pPr>
    <w:rPr>
      <w:rFonts w:ascii="Verdana" w:hAnsi="Verdana"/>
      <w:sz w:val="20"/>
      <w:lang w:eastAsia="en-US"/>
    </w:rPr>
  </w:style>
  <w:style w:type="paragraph" w:customStyle="1" w:styleId="1500">
    <w:name w:val="TOC Heading1"/>
    <w:basedOn w:val="3"/>
    <w:next w:val="1"/>
    <w:qFormat/>
    <w:uiPriority w:val="39"/>
    <w:pPr>
      <w:keepLines/>
      <w:tabs>
        <w:tab w:val="left" w:pos="0"/>
      </w:tabs>
      <w:spacing w:before="340" w:after="330" w:line="578" w:lineRule="atLeast"/>
      <w:ind w:firstLine="560"/>
      <w:outlineLvl w:val="9"/>
    </w:pPr>
    <w:rPr>
      <w:rFonts w:ascii="黑体" w:hAnsi="Calibri" w:eastAsia="方正仿宋_GBK"/>
      <w:bCs/>
      <w:sz w:val="44"/>
      <w:szCs w:val="44"/>
    </w:rPr>
  </w:style>
  <w:style w:type="paragraph" w:customStyle="1" w:styleId="1501">
    <w:name w:val="一级项目符号"/>
    <w:basedOn w:val="1"/>
    <w:next w:val="1"/>
    <w:qFormat/>
    <w:uiPriority w:val="99"/>
    <w:pPr>
      <w:widowControl/>
      <w:tabs>
        <w:tab w:val="left" w:pos="0"/>
        <w:tab w:val="left" w:pos="1140"/>
      </w:tabs>
      <w:spacing w:before="60" w:after="60"/>
      <w:ind w:left="720"/>
    </w:pPr>
    <w:rPr>
      <w:rFonts w:ascii="微软雅黑" w:hAnsi="微软雅黑" w:eastAsia="微软雅黑"/>
      <w:sz w:val="18"/>
      <w:szCs w:val="20"/>
    </w:rPr>
  </w:style>
  <w:style w:type="paragraph" w:customStyle="1" w:styleId="1502">
    <w:name w:val="正文排列"/>
    <w:basedOn w:val="1"/>
    <w:qFormat/>
    <w:uiPriority w:val="0"/>
    <w:pPr>
      <w:tabs>
        <w:tab w:val="left" w:pos="902"/>
      </w:tabs>
      <w:ind w:left="902"/>
    </w:pPr>
    <w:rPr>
      <w:rFonts w:eastAsia="仿宋"/>
      <w:sz w:val="28"/>
      <w:szCs w:val="20"/>
    </w:rPr>
  </w:style>
  <w:style w:type="paragraph" w:customStyle="1" w:styleId="1503">
    <w:name w:val="H2 List Num cont"/>
    <w:basedOn w:val="1"/>
    <w:qFormat/>
    <w:uiPriority w:val="0"/>
    <w:pPr>
      <w:widowControl/>
      <w:tabs>
        <w:tab w:val="left" w:pos="900"/>
        <w:tab w:val="left" w:pos="1170"/>
        <w:tab w:val="left" w:pos="1701"/>
      </w:tabs>
      <w:spacing w:after="60"/>
      <w:ind w:left="1701" w:hanging="567"/>
      <w:jc w:val="left"/>
    </w:pPr>
    <w:rPr>
      <w:rFonts w:ascii="Times" w:hAnsi="Times" w:eastAsia="仿宋_GB2312"/>
      <w:bCs/>
      <w:iCs/>
      <w:sz w:val="22"/>
      <w:szCs w:val="20"/>
      <w:lang w:eastAsia="en-US"/>
    </w:rPr>
  </w:style>
  <w:style w:type="paragraph" w:customStyle="1" w:styleId="1504">
    <w:name w:val="number0"/>
    <w:basedOn w:val="98"/>
    <w:qFormat/>
    <w:uiPriority w:val="0"/>
    <w:pPr>
      <w:widowControl/>
      <w:tabs>
        <w:tab w:val="left" w:pos="1320"/>
        <w:tab w:val="left" w:pos="1440"/>
      </w:tabs>
      <w:spacing w:line="360" w:lineRule="auto"/>
      <w:ind w:left="1259"/>
    </w:pPr>
    <w:rPr>
      <w:rFonts w:ascii="Times New Roman" w:hAnsi="Times New Roman" w:eastAsia="宋体"/>
      <w:sz w:val="24"/>
      <w:szCs w:val="24"/>
    </w:rPr>
  </w:style>
  <w:style w:type="paragraph" w:customStyle="1" w:styleId="1505">
    <w:name w:val="文件标题1.1"/>
    <w:basedOn w:val="1"/>
    <w:qFormat/>
    <w:uiPriority w:val="0"/>
    <w:pPr>
      <w:tabs>
        <w:tab w:val="left" w:pos="840"/>
        <w:tab w:val="left" w:pos="1680"/>
      </w:tabs>
      <w:spacing w:line="360" w:lineRule="auto"/>
      <w:ind w:left="1680"/>
      <w:jc w:val="left"/>
      <w:outlineLvl w:val="1"/>
    </w:pPr>
    <w:rPr>
      <w:rFonts w:ascii="等线" w:hAnsi="等线" w:eastAsia="仿宋_GB2312"/>
      <w:b/>
      <w:sz w:val="24"/>
    </w:rPr>
  </w:style>
  <w:style w:type="paragraph" w:customStyle="1" w:styleId="1506">
    <w:name w:val="编号1-2"/>
    <w:basedOn w:val="1"/>
    <w:next w:val="1"/>
    <w:qFormat/>
    <w:uiPriority w:val="0"/>
    <w:pPr>
      <w:widowControl/>
      <w:tabs>
        <w:tab w:val="left" w:pos="720"/>
        <w:tab w:val="left" w:pos="1260"/>
      </w:tabs>
      <w:spacing w:line="360" w:lineRule="auto"/>
      <w:ind w:left="1260" w:firstLine="200"/>
    </w:pPr>
    <w:rPr>
      <w:rFonts w:eastAsia="仿宋_GB2312" w:cs="宋体"/>
      <w:sz w:val="28"/>
      <w:szCs w:val="20"/>
    </w:rPr>
  </w:style>
  <w:style w:type="paragraph" w:customStyle="1" w:styleId="1507">
    <w:name w:val="章正文 Char"/>
    <w:basedOn w:val="1"/>
    <w:qFormat/>
    <w:uiPriority w:val="0"/>
    <w:pPr>
      <w:widowControl/>
      <w:tabs>
        <w:tab w:val="left" w:pos="780"/>
      </w:tabs>
      <w:spacing w:line="380" w:lineRule="exact"/>
      <w:ind w:firstLine="504"/>
    </w:pPr>
    <w:rPr>
      <w:rFonts w:ascii="宋体" w:hAnsi="宋体" w:eastAsia="仿宋_GB2312"/>
      <w:spacing w:val="6"/>
      <w:sz w:val="24"/>
    </w:rPr>
  </w:style>
  <w:style w:type="paragraph" w:customStyle="1" w:styleId="1508">
    <w:name w:val="ordinary-output"/>
    <w:basedOn w:val="1"/>
    <w:qFormat/>
    <w:uiPriority w:val="0"/>
    <w:pPr>
      <w:widowControl/>
      <w:spacing w:before="100" w:beforeAutospacing="1" w:after="100" w:afterAutospacing="1" w:line="330" w:lineRule="atLeast"/>
      <w:jc w:val="left"/>
    </w:pPr>
    <w:rPr>
      <w:rFonts w:ascii="宋体" w:hAnsi="宋体" w:cs="宋体"/>
      <w:color w:val="333333"/>
      <w:sz w:val="24"/>
    </w:rPr>
  </w:style>
  <w:style w:type="paragraph" w:customStyle="1" w:styleId="1509">
    <w:name w:val="正文 New New"/>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1510">
    <w:name w:val="Char Char11"/>
    <w:basedOn w:val="1"/>
    <w:semiHidden/>
    <w:qFormat/>
    <w:uiPriority w:val="0"/>
    <w:pPr>
      <w:widowControl/>
      <w:spacing w:after="160" w:line="240" w:lineRule="exact"/>
      <w:jc w:val="left"/>
    </w:pPr>
    <w:rPr>
      <w:rFonts w:ascii="Verdana" w:hAnsi="Verdana"/>
      <w:sz w:val="20"/>
      <w:lang w:eastAsia="en-US"/>
    </w:rPr>
  </w:style>
  <w:style w:type="paragraph" w:customStyle="1" w:styleId="1511">
    <w:name w:val="列项——（一级）"/>
    <w:qFormat/>
    <w:uiPriority w:val="0"/>
    <w:pPr>
      <w:widowControl w:val="0"/>
      <w:ind w:left="833" w:hanging="408"/>
      <w:jc w:val="both"/>
    </w:pPr>
    <w:rPr>
      <w:rFonts w:hint="default" w:ascii="宋体" w:hAnsi="Times New Roman" w:eastAsia="宋体" w:cs="Times New Roman"/>
      <w:sz w:val="21"/>
      <w:lang w:val="en-US" w:eastAsia="zh-CN" w:bidi="ar-SA"/>
    </w:rPr>
  </w:style>
  <w:style w:type="paragraph" w:customStyle="1" w:styleId="1512">
    <w:name w:val="列项●（二级）"/>
    <w:qFormat/>
    <w:uiPriority w:val="0"/>
    <w:pPr>
      <w:tabs>
        <w:tab w:val="left" w:pos="760"/>
        <w:tab w:val="left" w:pos="840"/>
      </w:tabs>
      <w:ind w:left="1264" w:hanging="413"/>
      <w:jc w:val="both"/>
    </w:pPr>
    <w:rPr>
      <w:rFonts w:hint="default" w:ascii="宋体" w:hAnsi="Times New Roman" w:eastAsia="宋体" w:cs="Times New Roman"/>
      <w:sz w:val="21"/>
      <w:lang w:val="en-US" w:eastAsia="zh-CN" w:bidi="ar-SA"/>
    </w:rPr>
  </w:style>
  <w:style w:type="paragraph" w:customStyle="1" w:styleId="1513">
    <w:name w:val="示例内容"/>
    <w:qFormat/>
    <w:uiPriority w:val="0"/>
    <w:pPr>
      <w:tabs>
        <w:tab w:val="left" w:pos="1620"/>
      </w:tabs>
      <w:ind w:firstLine="200"/>
    </w:pPr>
    <w:rPr>
      <w:rFonts w:hint="default" w:ascii="宋体" w:hAnsi="Times New Roman" w:eastAsia="宋体" w:cs="Times New Roman"/>
      <w:sz w:val="18"/>
      <w:szCs w:val="18"/>
      <w:lang w:val="en-US" w:eastAsia="zh-CN" w:bidi="ar-SA"/>
    </w:rPr>
  </w:style>
  <w:style w:type="paragraph" w:customStyle="1" w:styleId="1514">
    <w:name w:val="列项◆（三级）"/>
    <w:basedOn w:val="1"/>
    <w:qFormat/>
    <w:uiPriority w:val="0"/>
    <w:pPr>
      <w:ind w:left="1680" w:hanging="420"/>
    </w:pPr>
    <w:rPr>
      <w:rFonts w:ascii="宋体"/>
      <w:szCs w:val="21"/>
    </w:rPr>
  </w:style>
  <w:style w:type="paragraph" w:customStyle="1" w:styleId="1515">
    <w:name w:val="编号列项（三级）"/>
    <w:qFormat/>
    <w:uiPriority w:val="0"/>
    <w:pPr>
      <w:ind w:left="1260" w:hanging="420"/>
    </w:pPr>
    <w:rPr>
      <w:rFonts w:hint="default" w:ascii="宋体" w:hAnsi="Times New Roman" w:eastAsia="宋体" w:cs="Times New Roman"/>
      <w:sz w:val="21"/>
      <w:lang w:val="en-US" w:eastAsia="zh-CN" w:bidi="ar-SA"/>
    </w:rPr>
  </w:style>
  <w:style w:type="paragraph" w:customStyle="1" w:styleId="1516">
    <w:name w:val="示例×："/>
    <w:basedOn w:val="63"/>
    <w:qFormat/>
    <w:uiPriority w:val="0"/>
    <w:pPr>
      <w:tabs>
        <w:tab w:val="left" w:pos="360"/>
      </w:tabs>
      <w:ind w:left="842" w:hanging="420"/>
      <w:outlineLvl w:val="9"/>
    </w:pPr>
    <w:rPr>
      <w:rFonts w:ascii="宋体" w:eastAsia="宋体"/>
      <w:sz w:val="18"/>
      <w:szCs w:val="18"/>
    </w:rPr>
  </w:style>
  <w:style w:type="paragraph" w:customStyle="1" w:styleId="1517">
    <w:name w:val="二级无"/>
    <w:basedOn w:val="438"/>
    <w:qFormat/>
    <w:uiPriority w:val="0"/>
    <w:pPr>
      <w:ind w:left="0" w:firstLine="0"/>
      <w:jc w:val="left"/>
    </w:pPr>
    <w:rPr>
      <w:rFonts w:ascii="宋体" w:eastAsia="宋体"/>
      <w:szCs w:val="21"/>
      <w:lang w:val="zh-CN"/>
    </w:rPr>
  </w:style>
  <w:style w:type="paragraph" w:customStyle="1" w:styleId="1518">
    <w:name w:val="注：（正文）"/>
    <w:basedOn w:val="766"/>
    <w:next w:val="64"/>
    <w:qFormat/>
    <w:uiPriority w:val="0"/>
    <w:pPr>
      <w:tabs>
        <w:tab w:val="left" w:pos="425"/>
      </w:tabs>
      <w:ind w:left="425" w:hanging="425"/>
    </w:pPr>
    <w:rPr>
      <w:szCs w:val="18"/>
    </w:rPr>
  </w:style>
  <w:style w:type="paragraph" w:customStyle="1" w:styleId="1519">
    <w:name w:val="注×：（正文）"/>
    <w:qFormat/>
    <w:uiPriority w:val="0"/>
    <w:pPr>
      <w:tabs>
        <w:tab w:val="left" w:pos="0"/>
      </w:tabs>
      <w:ind w:left="360" w:hanging="360"/>
      <w:jc w:val="both"/>
    </w:pPr>
    <w:rPr>
      <w:rFonts w:hint="default" w:ascii="宋体" w:hAnsi="Times New Roman" w:eastAsia="宋体" w:cs="Times New Roman"/>
      <w:sz w:val="18"/>
      <w:szCs w:val="18"/>
      <w:lang w:val="en-US" w:eastAsia="zh-CN" w:bidi="ar-SA"/>
    </w:rPr>
  </w:style>
  <w:style w:type="paragraph" w:customStyle="1" w:styleId="1520">
    <w:name w:val="参考文献"/>
    <w:basedOn w:val="1"/>
    <w:next w:val="64"/>
    <w:qFormat/>
    <w:uiPriority w:val="0"/>
    <w:pPr>
      <w:keepNext/>
      <w:pageBreakBefore/>
      <w:widowControl/>
      <w:shd w:val="clear" w:color="FFFFFF" w:fill="FFFFFF"/>
      <w:spacing w:before="640" w:after="200"/>
      <w:jc w:val="center"/>
      <w:outlineLvl w:val="0"/>
    </w:pPr>
    <w:rPr>
      <w:rFonts w:ascii="黑体" w:eastAsia="黑体"/>
      <w:szCs w:val="20"/>
    </w:rPr>
  </w:style>
  <w:style w:type="paragraph" w:customStyle="1" w:styleId="1521">
    <w:name w:val="附录标题"/>
    <w:basedOn w:val="64"/>
    <w:next w:val="64"/>
    <w:qFormat/>
    <w:uiPriority w:val="0"/>
    <w:pPr>
      <w:tabs>
        <w:tab w:val="center" w:pos="4201"/>
        <w:tab w:val="right" w:leader="dot" w:pos="9298"/>
      </w:tabs>
      <w:ind w:firstLine="0"/>
      <w:jc w:val="center"/>
    </w:pPr>
    <w:rPr>
      <w:rFonts w:ascii="黑体" w:eastAsia="黑体"/>
    </w:rPr>
  </w:style>
  <w:style w:type="paragraph" w:customStyle="1" w:styleId="1522">
    <w:name w:val="附录表标号"/>
    <w:basedOn w:val="1"/>
    <w:next w:val="64"/>
    <w:qFormat/>
    <w:uiPriority w:val="0"/>
    <w:pPr>
      <w:spacing w:line="14" w:lineRule="exact"/>
      <w:ind w:left="811" w:hanging="448"/>
      <w:jc w:val="center"/>
      <w:outlineLvl w:val="0"/>
    </w:pPr>
    <w:rPr>
      <w:color w:val="FFFFFF"/>
    </w:rPr>
  </w:style>
  <w:style w:type="paragraph" w:customStyle="1" w:styleId="1523">
    <w:name w:val="附录二级无"/>
    <w:basedOn w:val="1024"/>
    <w:qFormat/>
    <w:uiPriority w:val="0"/>
    <w:pPr>
      <w:tabs>
        <w:tab w:val="left" w:pos="360"/>
      </w:tabs>
      <w:ind w:left="851" w:hanging="851"/>
    </w:pPr>
    <w:rPr>
      <w:rFonts w:ascii="宋体" w:eastAsia="宋体"/>
      <w:szCs w:val="21"/>
    </w:rPr>
  </w:style>
  <w:style w:type="paragraph" w:customStyle="1" w:styleId="1524">
    <w:name w:val="附录公式编号制表符"/>
    <w:basedOn w:val="1"/>
    <w:next w:val="64"/>
    <w:qFormat/>
    <w:uiPriority w:val="0"/>
    <w:pPr>
      <w:widowControl/>
      <w:tabs>
        <w:tab w:val="center" w:pos="4201"/>
        <w:tab w:val="right" w:leader="dot" w:pos="9298"/>
      </w:tabs>
    </w:pPr>
    <w:rPr>
      <w:rFonts w:ascii="宋体"/>
      <w:szCs w:val="20"/>
    </w:rPr>
  </w:style>
  <w:style w:type="paragraph" w:customStyle="1" w:styleId="1525">
    <w:name w:val="附录三级无"/>
    <w:basedOn w:val="1030"/>
    <w:qFormat/>
    <w:uiPriority w:val="0"/>
    <w:pPr>
      <w:tabs>
        <w:tab w:val="left" w:pos="360"/>
      </w:tabs>
      <w:ind w:left="992" w:hanging="992"/>
    </w:pPr>
    <w:rPr>
      <w:rFonts w:ascii="宋体" w:eastAsia="宋体"/>
      <w:szCs w:val="21"/>
    </w:rPr>
  </w:style>
  <w:style w:type="paragraph" w:customStyle="1" w:styleId="1526">
    <w:name w:val="附录数字编号列项（二级）"/>
    <w:qFormat/>
    <w:uiPriority w:val="0"/>
    <w:pPr>
      <w:ind w:left="1320" w:hanging="420"/>
    </w:pPr>
    <w:rPr>
      <w:rFonts w:hint="default" w:ascii="宋体" w:hAnsi="Times New Roman" w:eastAsia="宋体" w:cs="Times New Roman"/>
      <w:sz w:val="21"/>
      <w:lang w:val="en-US" w:eastAsia="zh-CN" w:bidi="ar-SA"/>
    </w:rPr>
  </w:style>
  <w:style w:type="paragraph" w:customStyle="1" w:styleId="1527">
    <w:name w:val="附录四级无"/>
    <w:basedOn w:val="1037"/>
    <w:qFormat/>
    <w:uiPriority w:val="0"/>
    <w:pPr>
      <w:tabs>
        <w:tab w:val="left" w:pos="360"/>
      </w:tabs>
      <w:ind w:left="1134" w:hanging="1134"/>
    </w:pPr>
    <w:rPr>
      <w:rFonts w:ascii="宋体" w:eastAsia="宋体"/>
      <w:szCs w:val="21"/>
    </w:rPr>
  </w:style>
  <w:style w:type="paragraph" w:customStyle="1" w:styleId="1528">
    <w:name w:val="附录图标号"/>
    <w:basedOn w:val="1"/>
    <w:qFormat/>
    <w:uiPriority w:val="0"/>
    <w:pPr>
      <w:keepNext/>
      <w:pageBreakBefore/>
      <w:widowControl/>
      <w:spacing w:line="14" w:lineRule="exact"/>
      <w:ind w:firstLine="363"/>
      <w:jc w:val="center"/>
      <w:outlineLvl w:val="0"/>
    </w:pPr>
    <w:rPr>
      <w:color w:val="FFFFFF"/>
    </w:rPr>
  </w:style>
  <w:style w:type="paragraph" w:customStyle="1" w:styleId="1529">
    <w:name w:val="附录五级无"/>
    <w:basedOn w:val="1049"/>
    <w:qFormat/>
    <w:uiPriority w:val="0"/>
    <w:pPr>
      <w:tabs>
        <w:tab w:val="left" w:pos="360"/>
      </w:tabs>
      <w:ind w:left="980"/>
    </w:pPr>
    <w:rPr>
      <w:rFonts w:ascii="宋体" w:eastAsia="宋体"/>
      <w:szCs w:val="21"/>
    </w:rPr>
  </w:style>
  <w:style w:type="paragraph" w:customStyle="1" w:styleId="1530">
    <w:name w:val="附录一级无"/>
    <w:basedOn w:val="876"/>
    <w:qFormat/>
    <w:uiPriority w:val="0"/>
    <w:pPr>
      <w:tabs>
        <w:tab w:val="left" w:pos="360"/>
      </w:tabs>
      <w:ind w:left="1779" w:hanging="1069"/>
    </w:pPr>
    <w:rPr>
      <w:rFonts w:ascii="宋体" w:eastAsia="宋体"/>
      <w:szCs w:val="21"/>
    </w:rPr>
  </w:style>
  <w:style w:type="paragraph" w:customStyle="1" w:styleId="1531">
    <w:name w:val="附录字母编号列项（一级）"/>
    <w:qFormat/>
    <w:uiPriority w:val="0"/>
    <w:pPr>
      <w:ind w:left="900" w:hanging="420"/>
    </w:pPr>
    <w:rPr>
      <w:rFonts w:hint="default" w:ascii="宋体" w:hAnsi="Times New Roman" w:eastAsia="宋体" w:cs="Times New Roman"/>
      <w:sz w:val="21"/>
      <w:lang w:val="en-US" w:eastAsia="zh-CN" w:bidi="ar-SA"/>
    </w:rPr>
  </w:style>
  <w:style w:type="paragraph" w:customStyle="1" w:styleId="1532">
    <w:name w:val="列项说明"/>
    <w:basedOn w:val="1"/>
    <w:qFormat/>
    <w:uiPriority w:val="0"/>
    <w:pPr>
      <w:spacing w:line="320" w:lineRule="exact"/>
      <w:ind w:left="400" w:hanging="200"/>
      <w:jc w:val="left"/>
    </w:pPr>
    <w:rPr>
      <w:rFonts w:ascii="宋体"/>
      <w:szCs w:val="20"/>
    </w:rPr>
  </w:style>
  <w:style w:type="paragraph" w:customStyle="1" w:styleId="1533">
    <w:name w:val="列项说明数字编号"/>
    <w:qFormat/>
    <w:uiPriority w:val="0"/>
    <w:pPr>
      <w:ind w:left="600" w:hanging="200"/>
    </w:pPr>
    <w:rPr>
      <w:rFonts w:hint="default" w:ascii="宋体" w:hAnsi="Times New Roman" w:eastAsia="宋体" w:cs="Times New Roman"/>
      <w:sz w:val="21"/>
      <w:lang w:val="en-US" w:eastAsia="zh-CN" w:bidi="ar-SA"/>
    </w:rPr>
  </w:style>
  <w:style w:type="paragraph" w:customStyle="1" w:styleId="1534">
    <w:name w:val="其他标准标志"/>
    <w:basedOn w:val="1076"/>
    <w:qFormat/>
    <w:uiPriority w:val="0"/>
    <w:pPr>
      <w:framePr w:w="6101" w:h="1389" w:hRule="exact" w:hSpace="181" w:vSpace="181" w:wrap="around" w:vAnchor="page" w:hAnchor="page" w:x="4673" w:y="942"/>
    </w:pPr>
    <w:rPr>
      <w:szCs w:val="96"/>
    </w:rPr>
  </w:style>
  <w:style w:type="paragraph" w:customStyle="1" w:styleId="1535">
    <w:name w:val="三级无"/>
    <w:basedOn w:val="762"/>
    <w:qFormat/>
    <w:uiPriority w:val="0"/>
    <w:pPr>
      <w:jc w:val="left"/>
    </w:pPr>
    <w:rPr>
      <w:rFonts w:ascii="宋体" w:eastAsia="宋体"/>
      <w:szCs w:val="21"/>
      <w:lang w:val="zh-CN"/>
    </w:rPr>
  </w:style>
  <w:style w:type="paragraph" w:customStyle="1" w:styleId="1536">
    <w:name w:val="示例后文字"/>
    <w:basedOn w:val="64"/>
    <w:next w:val="64"/>
    <w:qFormat/>
    <w:uiPriority w:val="0"/>
    <w:pPr>
      <w:tabs>
        <w:tab w:val="center" w:pos="4201"/>
        <w:tab w:val="right" w:leader="dot" w:pos="9298"/>
      </w:tabs>
      <w:ind w:firstLine="360"/>
    </w:pPr>
    <w:rPr>
      <w:sz w:val="18"/>
    </w:rPr>
  </w:style>
  <w:style w:type="paragraph" w:customStyle="1" w:styleId="1537">
    <w:name w:val="四级无"/>
    <w:basedOn w:val="914"/>
    <w:qFormat/>
    <w:uiPriority w:val="0"/>
    <w:pPr>
      <w:jc w:val="left"/>
    </w:pPr>
    <w:rPr>
      <w:rFonts w:ascii="宋体" w:eastAsia="宋体"/>
      <w:szCs w:val="21"/>
      <w:lang w:val="zh-CN"/>
    </w:rPr>
  </w:style>
  <w:style w:type="paragraph" w:customStyle="1" w:styleId="1538">
    <w:name w:val="图标脚注说明"/>
    <w:basedOn w:val="64"/>
    <w:qFormat/>
    <w:uiPriority w:val="0"/>
    <w:pPr>
      <w:tabs>
        <w:tab w:val="center" w:pos="4201"/>
        <w:tab w:val="right" w:leader="dot" w:pos="9298"/>
      </w:tabs>
      <w:ind w:left="840" w:hanging="420"/>
    </w:pPr>
    <w:rPr>
      <w:sz w:val="18"/>
      <w:szCs w:val="18"/>
    </w:rPr>
  </w:style>
  <w:style w:type="paragraph" w:customStyle="1" w:styleId="1539">
    <w:name w:val="图表脚注说明"/>
    <w:basedOn w:val="1"/>
    <w:qFormat/>
    <w:uiPriority w:val="0"/>
    <w:pPr>
      <w:ind w:left="811" w:hanging="448"/>
    </w:pPr>
    <w:rPr>
      <w:rFonts w:ascii="宋体"/>
      <w:sz w:val="18"/>
      <w:szCs w:val="18"/>
    </w:rPr>
  </w:style>
  <w:style w:type="paragraph" w:customStyle="1" w:styleId="1540">
    <w:name w:val="图的脚注"/>
    <w:next w:val="64"/>
    <w:qFormat/>
    <w:uiPriority w:val="0"/>
    <w:pPr>
      <w:widowControl w:val="0"/>
      <w:ind w:left="840" w:hanging="420"/>
      <w:jc w:val="both"/>
    </w:pPr>
    <w:rPr>
      <w:rFonts w:hint="default" w:ascii="宋体" w:hAnsi="Times New Roman" w:eastAsia="宋体" w:cs="Times New Roman"/>
      <w:sz w:val="18"/>
      <w:lang w:val="en-US" w:eastAsia="zh-CN" w:bidi="ar-SA"/>
    </w:rPr>
  </w:style>
  <w:style w:type="paragraph" w:customStyle="1" w:styleId="1541">
    <w:name w:val="五级无"/>
    <w:basedOn w:val="976"/>
    <w:qFormat/>
    <w:uiPriority w:val="0"/>
    <w:pPr>
      <w:jc w:val="left"/>
    </w:pPr>
    <w:rPr>
      <w:rFonts w:ascii="宋体" w:eastAsia="宋体"/>
      <w:szCs w:val="21"/>
      <w:lang w:val="zh-CN"/>
    </w:rPr>
  </w:style>
  <w:style w:type="paragraph" w:customStyle="1" w:styleId="1542">
    <w:name w:val="一级无"/>
    <w:basedOn w:val="62"/>
    <w:qFormat/>
    <w:uiPriority w:val="0"/>
    <w:pPr>
      <w:ind w:left="0" w:firstLine="0"/>
      <w:jc w:val="left"/>
    </w:pPr>
    <w:rPr>
      <w:rFonts w:ascii="宋体" w:eastAsia="宋体"/>
      <w:szCs w:val="21"/>
    </w:rPr>
  </w:style>
  <w:style w:type="paragraph" w:customStyle="1" w:styleId="1543">
    <w:name w:val="正文公式编号制表符"/>
    <w:basedOn w:val="64"/>
    <w:next w:val="64"/>
    <w:qFormat/>
    <w:uiPriority w:val="0"/>
    <w:pPr>
      <w:tabs>
        <w:tab w:val="center" w:pos="4201"/>
        <w:tab w:val="right" w:leader="dot" w:pos="9298"/>
      </w:tabs>
      <w:ind w:firstLine="0"/>
    </w:pPr>
  </w:style>
  <w:style w:type="paragraph" w:customStyle="1" w:styleId="1544">
    <w:name w:val="终结线"/>
    <w:basedOn w:val="1"/>
    <w:qFormat/>
    <w:uiPriority w:val="0"/>
    <w:pPr>
      <w:framePr w:hSpace="181" w:vSpace="181" w:wrap="around" w:vAnchor="text" w:hAnchor="margin" w:xAlign="center" w:y="285"/>
    </w:pPr>
  </w:style>
  <w:style w:type="paragraph" w:customStyle="1" w:styleId="1545">
    <w:name w:val="其他发布日期"/>
    <w:basedOn w:val="905"/>
    <w:qFormat/>
    <w:uiPriority w:val="0"/>
    <w:pPr>
      <w:framePr w:w="3997" w:h="471" w:hRule="exact" w:hSpace="0" w:vSpace="181" w:wrap="around" w:vAnchor="page" w:hAnchor="page" w:x="1419" w:y="14097"/>
    </w:pPr>
  </w:style>
  <w:style w:type="paragraph" w:customStyle="1" w:styleId="1546">
    <w:name w:val="其他实施日期"/>
    <w:basedOn w:val="904"/>
    <w:qFormat/>
    <w:uiPriority w:val="0"/>
    <w:pPr>
      <w:framePr w:w="3997" w:h="471" w:hRule="exact" w:vSpace="181" w:wrap="around" w:vAnchor="page" w:hAnchor="page" w:x="7089" w:y="14097"/>
      <w:ind w:left="0" w:firstLine="0"/>
    </w:pPr>
  </w:style>
  <w:style w:type="paragraph" w:customStyle="1" w:styleId="1547">
    <w:name w:val="封面标准名称2"/>
    <w:basedOn w:val="1155"/>
    <w:qFormat/>
    <w:uiPriority w:val="0"/>
    <w:pPr>
      <w:framePr w:w="9639" w:wrap="around" w:vAnchor="page" w:hAnchor="page" w:y="4469"/>
    </w:pPr>
  </w:style>
  <w:style w:type="paragraph" w:customStyle="1" w:styleId="1548">
    <w:name w:val="封面标准英文名称2"/>
    <w:basedOn w:val="955"/>
    <w:qFormat/>
    <w:uiPriority w:val="0"/>
    <w:pPr>
      <w:framePr w:w="9639" w:h="6917" w:hRule="exact" w:wrap="around" w:vAnchor="page" w:hAnchor="page" w:xAlign="center" w:y="4469"/>
    </w:pPr>
    <w:rPr>
      <w:rFonts w:eastAsia="黑体"/>
      <w:szCs w:val="28"/>
    </w:rPr>
  </w:style>
  <w:style w:type="paragraph" w:customStyle="1" w:styleId="1549">
    <w:name w:val="封面一致性程度标识2"/>
    <w:basedOn w:val="1337"/>
    <w:qFormat/>
    <w:uiPriority w:val="0"/>
    <w:pPr>
      <w:framePr w:w="9639" w:h="6917" w:hRule="exact" w:wrap="around" w:vAnchor="page" w:hAnchor="page" w:xAlign="center" w:y="4469"/>
      <w:widowControl w:val="0"/>
    </w:pPr>
    <w:rPr>
      <w:szCs w:val="28"/>
    </w:rPr>
  </w:style>
  <w:style w:type="paragraph" w:customStyle="1" w:styleId="1550">
    <w:name w:val="封面标准文稿类别2"/>
    <w:basedOn w:val="1211"/>
    <w:qFormat/>
    <w:uiPriority w:val="0"/>
    <w:pPr>
      <w:framePr w:w="9639" w:h="6917" w:hRule="exact" w:wrap="around" w:vAnchor="page" w:hAnchor="page" w:xAlign="center" w:y="4469"/>
      <w:widowControl w:val="0"/>
      <w:spacing w:after="160" w:line="240" w:lineRule="auto"/>
    </w:pPr>
    <w:rPr>
      <w:szCs w:val="28"/>
    </w:rPr>
  </w:style>
  <w:style w:type="paragraph" w:customStyle="1" w:styleId="1551">
    <w:name w:val="封面标准文稿编辑信息2"/>
    <w:basedOn w:val="1378"/>
    <w:qFormat/>
    <w:uiPriority w:val="0"/>
    <w:pPr>
      <w:framePr w:w="9639" w:h="6917" w:hRule="exact" w:wrap="around" w:vAnchor="page" w:hAnchor="page" w:xAlign="center" w:y="4469"/>
      <w:widowControl w:val="0"/>
      <w:spacing w:after="160"/>
    </w:pPr>
    <w:rPr>
      <w:szCs w:val="28"/>
    </w:rPr>
  </w:style>
  <w:style w:type="paragraph" w:customStyle="1" w:styleId="1552">
    <w:name w:val="标准文件_段"/>
    <w:qFormat/>
    <w:uiPriority w:val="0"/>
    <w:pPr>
      <w:spacing w:line="276" w:lineRule="auto"/>
      <w:ind w:left="-50" w:right="-50" w:firstLine="428"/>
      <w:jc w:val="both"/>
    </w:pPr>
    <w:rPr>
      <w:rFonts w:hint="default" w:ascii="宋体" w:hAnsi="Times New Roman" w:eastAsia="宋体" w:cs="Times New Roman"/>
      <w:color w:val="000000"/>
      <w:spacing w:val="2"/>
      <w:sz w:val="21"/>
      <w:lang w:val="en-GB" w:eastAsia="zh-CN" w:bidi="ar-SA"/>
    </w:rPr>
  </w:style>
  <w:style w:type="paragraph" w:customStyle="1" w:styleId="1553">
    <w:name w:val="封面正文内容"/>
    <w:basedOn w:val="1"/>
    <w:next w:val="1"/>
    <w:qFormat/>
    <w:uiPriority w:val="0"/>
    <w:rPr>
      <w:rFonts w:ascii="宋体" w:hAnsi="宋体" w:cs="宋体"/>
      <w:sz w:val="30"/>
      <w:szCs w:val="30"/>
    </w:rPr>
  </w:style>
  <w:style w:type="paragraph" w:customStyle="1" w:styleId="1554">
    <w:name w:val="a"/>
    <w:basedOn w:val="1"/>
    <w:qFormat/>
    <w:uiPriority w:val="0"/>
    <w:pPr>
      <w:widowControl/>
      <w:spacing w:before="100" w:beforeAutospacing="1" w:after="100" w:afterAutospacing="1"/>
      <w:jc w:val="left"/>
    </w:pPr>
    <w:rPr>
      <w:rFonts w:ascii="宋体" w:hAnsi="宋体" w:cs="宋体"/>
      <w:sz w:val="24"/>
    </w:rPr>
  </w:style>
  <w:style w:type="paragraph" w:customStyle="1" w:styleId="1555">
    <w:name w:val="方框下的ABC标题"/>
    <w:basedOn w:val="1"/>
    <w:qFormat/>
    <w:uiPriority w:val="0"/>
    <w:pPr>
      <w:spacing w:line="360" w:lineRule="auto"/>
    </w:pPr>
    <w:rPr>
      <w:rFonts w:hAnsi="宋体"/>
    </w:rPr>
  </w:style>
  <w:style w:type="paragraph" w:customStyle="1" w:styleId="1556">
    <w:name w:val="SUR-方框下的ABC标题"/>
    <w:basedOn w:val="1"/>
    <w:qFormat/>
    <w:uiPriority w:val="0"/>
    <w:pPr>
      <w:tabs>
        <w:tab w:val="left" w:pos="1140"/>
      </w:tabs>
      <w:spacing w:line="360" w:lineRule="auto"/>
      <w:ind w:left="726" w:hanging="363"/>
      <w:jc w:val="left"/>
    </w:pPr>
    <w:rPr>
      <w:szCs w:val="20"/>
      <w:lang w:eastAsia="en-US"/>
    </w:rPr>
  </w:style>
  <w:style w:type="paragraph" w:customStyle="1" w:styleId="1557">
    <w:name w:val="D正文"/>
    <w:qFormat/>
    <w:uiPriority w:val="0"/>
    <w:pPr>
      <w:spacing w:line="360" w:lineRule="auto"/>
      <w:ind w:firstLine="200"/>
    </w:pPr>
    <w:rPr>
      <w:rFonts w:hint="default" w:ascii="Times New Roman" w:hAnsi="Times New Roman" w:eastAsia="楷体_GB2312" w:cs="Times New Roman"/>
      <w:sz w:val="24"/>
      <w:szCs w:val="24"/>
      <w:lang w:val="en-US" w:eastAsia="zh-CN" w:bidi="ar-SA"/>
    </w:rPr>
  </w:style>
  <w:style w:type="paragraph" w:customStyle="1" w:styleId="1558">
    <w:name w:val="D标题二"/>
    <w:basedOn w:val="1557"/>
    <w:next w:val="1557"/>
    <w:qFormat/>
    <w:uiPriority w:val="0"/>
    <w:rPr>
      <w:rFonts w:eastAsia="黑体"/>
    </w:rPr>
  </w:style>
  <w:style w:type="paragraph" w:customStyle="1" w:styleId="1559">
    <w:name w:val="点对点应答文字"/>
    <w:basedOn w:val="1"/>
    <w:qFormat/>
    <w:uiPriority w:val="0"/>
    <w:pPr>
      <w:spacing w:line="360" w:lineRule="auto"/>
      <w:jc w:val="left"/>
    </w:pPr>
    <w:rPr>
      <w:i/>
      <w:color w:val="0000FF"/>
      <w:szCs w:val="20"/>
      <w:lang w:eastAsia="en-US"/>
    </w:rPr>
  </w:style>
  <w:style w:type="paragraph" w:customStyle="1" w:styleId="1560">
    <w:name w:val="SUR-方框标题"/>
    <w:basedOn w:val="1"/>
    <w:qFormat/>
    <w:uiPriority w:val="0"/>
    <w:pPr>
      <w:spacing w:line="360" w:lineRule="auto"/>
      <w:jc w:val="left"/>
    </w:pPr>
    <w:rPr>
      <w:szCs w:val="20"/>
      <w:lang w:eastAsia="en-US"/>
    </w:rPr>
  </w:style>
  <w:style w:type="paragraph" w:customStyle="1" w:styleId="1561">
    <w:name w:val="表内文字"/>
    <w:qFormat/>
    <w:uiPriority w:val="0"/>
    <w:rPr>
      <w:rFonts w:hint="default" w:ascii="Times New Roman" w:hAnsi="Times New Roman" w:eastAsia="宋体" w:cs="Times New Roman"/>
      <w:sz w:val="21"/>
      <w:lang w:val="en-US" w:eastAsia="zh-CN" w:bidi="ar-SA"/>
    </w:rPr>
  </w:style>
  <w:style w:type="paragraph" w:customStyle="1" w:styleId="1562">
    <w:name w:val="示意图说明"/>
    <w:basedOn w:val="1"/>
    <w:next w:val="9"/>
    <w:qFormat/>
    <w:uiPriority w:val="0"/>
    <w:pPr>
      <w:spacing w:line="360" w:lineRule="auto"/>
      <w:jc w:val="center"/>
    </w:pPr>
    <w:rPr>
      <w:rFonts w:eastAsia="黑体"/>
      <w:szCs w:val="20"/>
      <w:lang w:eastAsia="en-US"/>
    </w:rPr>
  </w:style>
  <w:style w:type="paragraph" w:customStyle="1" w:styleId="1563">
    <w:name w:val="方框标题"/>
    <w:basedOn w:val="1"/>
    <w:next w:val="1"/>
    <w:qFormat/>
    <w:uiPriority w:val="0"/>
    <w:pPr>
      <w:tabs>
        <w:tab w:val="left" w:pos="420"/>
      </w:tabs>
      <w:spacing w:line="360" w:lineRule="auto"/>
      <w:ind w:firstLine="397"/>
    </w:pPr>
    <w:rPr>
      <w:rFonts w:eastAsia="黑体"/>
    </w:rPr>
  </w:style>
  <w:style w:type="paragraph" w:customStyle="1" w:styleId="1564">
    <w:name w:val="封面"/>
    <w:qFormat/>
    <w:uiPriority w:val="0"/>
    <w:pPr>
      <w:widowControl w:val="0"/>
      <w:spacing w:line="412" w:lineRule="atLeast"/>
      <w:jc w:val="both"/>
    </w:pPr>
    <w:rPr>
      <w:rFonts w:hint="default" w:ascii="Times New Roman" w:hAnsi="Times New Roman" w:eastAsia="宋体" w:cs="Times New Roman"/>
      <w:sz w:val="21"/>
      <w:lang w:val="en-US" w:eastAsia="zh-CN" w:bidi="ar-SA"/>
    </w:rPr>
  </w:style>
  <w:style w:type="paragraph" w:customStyle="1" w:styleId="1565">
    <w:name w:val="MM Topic 1"/>
    <w:basedOn w:val="3"/>
    <w:qFormat/>
    <w:uiPriority w:val="0"/>
    <w:pPr>
      <w:keepLines/>
      <w:tabs>
        <w:tab w:val="left" w:pos="0"/>
        <w:tab w:val="left" w:pos="420"/>
      </w:tabs>
      <w:spacing w:before="340" w:after="330" w:line="578" w:lineRule="auto"/>
      <w:ind w:left="420" w:hanging="420"/>
    </w:pPr>
    <w:rPr>
      <w:rFonts w:ascii="Calibri" w:hAnsi="Calibri" w:eastAsia="宋体"/>
      <w:b/>
      <w:bCs/>
      <w:sz w:val="44"/>
      <w:szCs w:val="44"/>
      <w:lang w:val="zh-CN"/>
    </w:rPr>
  </w:style>
  <w:style w:type="paragraph" w:customStyle="1" w:styleId="1566">
    <w:name w:val="MM Topic 3"/>
    <w:basedOn w:val="5"/>
    <w:qFormat/>
    <w:uiPriority w:val="0"/>
    <w:pPr>
      <w:tabs>
        <w:tab w:val="left" w:pos="0"/>
      </w:tabs>
      <w:ind w:left="420" w:hanging="420"/>
    </w:pPr>
    <w:rPr>
      <w:rFonts w:ascii="Calibri" w:hAnsi="Calibri"/>
      <w:bCs/>
      <w:szCs w:val="32"/>
      <w:lang w:val="zh-CN"/>
    </w:rPr>
  </w:style>
  <w:style w:type="paragraph" w:customStyle="1" w:styleId="1567">
    <w:name w:val="p15"/>
    <w:basedOn w:val="1"/>
    <w:qFormat/>
    <w:uiPriority w:val="0"/>
    <w:pPr>
      <w:widowControl/>
      <w:spacing w:before="156" w:after="156"/>
      <w:jc w:val="left"/>
    </w:pPr>
    <w:rPr>
      <w:rFonts w:ascii="黑体" w:hAnsi="黑体" w:eastAsia="黑体" w:cs="宋体"/>
      <w:szCs w:val="21"/>
    </w:rPr>
  </w:style>
  <w:style w:type="paragraph" w:customStyle="1" w:styleId="1568">
    <w:name w:val="p16"/>
    <w:basedOn w:val="1"/>
    <w:qFormat/>
    <w:uiPriority w:val="0"/>
    <w:pPr>
      <w:widowControl/>
      <w:ind w:firstLine="420"/>
    </w:pPr>
    <w:rPr>
      <w:rFonts w:ascii="宋体" w:hAnsi="宋体" w:cs="宋体"/>
      <w:sz w:val="20"/>
      <w:szCs w:val="20"/>
    </w:rPr>
  </w:style>
  <w:style w:type="paragraph" w:customStyle="1" w:styleId="1569">
    <w:name w:val="p17"/>
    <w:basedOn w:val="1"/>
    <w:qFormat/>
    <w:uiPriority w:val="0"/>
    <w:pPr>
      <w:widowControl/>
      <w:spacing w:before="156" w:after="156"/>
      <w:jc w:val="center"/>
    </w:pPr>
    <w:rPr>
      <w:rFonts w:ascii="黑体" w:hAnsi="黑体" w:eastAsia="黑体" w:cs="宋体"/>
      <w:szCs w:val="21"/>
    </w:rPr>
  </w:style>
  <w:style w:type="paragraph" w:customStyle="1" w:styleId="1570">
    <w:name w:val="0-投标正文"/>
    <w:basedOn w:val="3"/>
    <w:qFormat/>
    <w:uiPriority w:val="0"/>
    <w:pPr>
      <w:pageBreakBefore/>
      <w:tabs>
        <w:tab w:val="left" w:pos="432"/>
        <w:tab w:val="left" w:pos="1142"/>
      </w:tabs>
      <w:spacing w:before="200" w:after="160" w:line="360" w:lineRule="auto"/>
      <w:jc w:val="left"/>
    </w:pPr>
    <w:rPr>
      <w:rFonts w:ascii="黑体" w:hAnsi="黑体" w:eastAsia="黑体"/>
      <w:bCs/>
      <w:sz w:val="48"/>
      <w:szCs w:val="48"/>
    </w:rPr>
  </w:style>
  <w:style w:type="table" w:customStyle="1" w:styleId="1571">
    <w:name w:val="网格型1"/>
    <w:basedOn w:val="76"/>
    <w:qFormat/>
    <w:uiPriority w:val="39"/>
  </w:style>
  <w:style w:type="table" w:customStyle="1" w:styleId="1572">
    <w:name w:val="网格型2"/>
    <w:basedOn w:val="76"/>
    <w:qFormat/>
    <w:uiPriority w:val="39"/>
  </w:style>
  <w:style w:type="table" w:customStyle="1" w:styleId="1573">
    <w:name w:val="网格型11"/>
    <w:basedOn w:val="76"/>
    <w:qFormat/>
    <w:uiPriority w:val="39"/>
    <w:pPr>
      <w:widowControl w:val="0"/>
      <w:jc w:val="both"/>
    </w:pPr>
  </w:style>
  <w:style w:type="table" w:customStyle="1" w:styleId="1574">
    <w:name w:val="网格型21"/>
    <w:basedOn w:val="76"/>
    <w:qFormat/>
    <w:uiPriority w:val="39"/>
    <w:pPr>
      <w:widowControl w:val="0"/>
      <w:jc w:val="both"/>
    </w:pPr>
  </w:style>
  <w:style w:type="table" w:customStyle="1" w:styleId="1575">
    <w:name w:val="网格型3"/>
    <w:basedOn w:val="76"/>
    <w:qFormat/>
    <w:uiPriority w:val="59"/>
  </w:style>
  <w:style w:type="table" w:customStyle="1" w:styleId="1576">
    <w:name w:val="网格型12"/>
    <w:basedOn w:val="76"/>
    <w:qFormat/>
    <w:uiPriority w:val="39"/>
    <w:pPr>
      <w:widowControl w:val="0"/>
      <w:jc w:val="both"/>
    </w:pPr>
  </w:style>
  <w:style w:type="table" w:customStyle="1" w:styleId="1577">
    <w:name w:val="网格型22"/>
    <w:basedOn w:val="76"/>
    <w:qFormat/>
    <w:uiPriority w:val="39"/>
    <w:pPr>
      <w:widowControl w:val="0"/>
      <w:jc w:val="both"/>
    </w:pPr>
  </w:style>
  <w:style w:type="table" w:customStyle="1" w:styleId="1578">
    <w:name w:val="网格型4"/>
    <w:basedOn w:val="76"/>
    <w:qFormat/>
    <w:uiPriority w:val="59"/>
  </w:style>
  <w:style w:type="table" w:customStyle="1" w:styleId="1579">
    <w:name w:val="网格型13"/>
    <w:basedOn w:val="76"/>
    <w:qFormat/>
    <w:uiPriority w:val="39"/>
    <w:pPr>
      <w:widowControl w:val="0"/>
      <w:jc w:val="both"/>
    </w:pPr>
  </w:style>
  <w:style w:type="table" w:customStyle="1" w:styleId="1580">
    <w:name w:val="网格型23"/>
    <w:basedOn w:val="76"/>
    <w:qFormat/>
    <w:uiPriority w:val="39"/>
    <w:pPr>
      <w:widowControl w:val="0"/>
      <w:jc w:val="both"/>
    </w:pPr>
  </w:style>
  <w:style w:type="table" w:customStyle="1" w:styleId="1581">
    <w:name w:val="网格型5"/>
    <w:basedOn w:val="76"/>
    <w:qFormat/>
    <w:uiPriority w:val="59"/>
  </w:style>
  <w:style w:type="table" w:customStyle="1" w:styleId="1582">
    <w:name w:val="网格型6"/>
    <w:basedOn w:val="76"/>
    <w:qFormat/>
    <w:uiPriority w:val="59"/>
  </w:style>
  <w:style w:type="table" w:customStyle="1" w:styleId="1583">
    <w:name w:val="网格型14"/>
    <w:basedOn w:val="76"/>
    <w:qFormat/>
    <w:uiPriority w:val="39"/>
    <w:pPr>
      <w:widowControl w:val="0"/>
      <w:jc w:val="both"/>
    </w:pPr>
  </w:style>
  <w:style w:type="table" w:customStyle="1" w:styleId="1584">
    <w:name w:val="网格型24"/>
    <w:basedOn w:val="76"/>
    <w:qFormat/>
    <w:uiPriority w:val="39"/>
    <w:pPr>
      <w:widowControl w:val="0"/>
      <w:jc w:val="both"/>
    </w:pPr>
  </w:style>
  <w:style w:type="table" w:customStyle="1" w:styleId="1585">
    <w:name w:val="网格型7"/>
    <w:basedOn w:val="76"/>
    <w:qFormat/>
    <w:uiPriority w:val="59"/>
  </w:style>
  <w:style w:type="table" w:customStyle="1" w:styleId="1586">
    <w:name w:val="网格型8"/>
    <w:basedOn w:val="76"/>
    <w:qFormat/>
    <w:uiPriority w:val="59"/>
    <w:rPr>
      <w:rFonts w:ascii="Calibri" w:hAnsi="Calibri"/>
    </w:rPr>
  </w:style>
  <w:style w:type="character" w:customStyle="1" w:styleId="1587">
    <w:name w:val="普通(网站) Char"/>
    <w:qFormat/>
    <w:uiPriority w:val="0"/>
    <w:rPr>
      <w:rFonts w:ascii="宋体" w:hAnsi="宋体" w:cs="宋体"/>
      <w:color w:val="000000"/>
      <w:sz w:val="24"/>
      <w:szCs w:val="24"/>
    </w:rPr>
  </w:style>
  <w:style w:type="character" w:customStyle="1" w:styleId="1588">
    <w:name w:val="正文缩进 Char"/>
    <w:qFormat/>
    <w:uiPriority w:val="0"/>
    <w:rPr>
      <w:rFonts w:eastAsia="宋体"/>
      <w:sz w:val="21"/>
      <w:lang w:val="en-US" w:eastAsia="zh-CN" w:bidi="ar-SA"/>
    </w:rPr>
  </w:style>
  <w:style w:type="paragraph" w:customStyle="1" w:styleId="1589">
    <w:name w:val="Andy_正文格式"/>
    <w:basedOn w:val="1"/>
    <w:qFormat/>
    <w:uiPriority w:val="0"/>
    <w:pPr>
      <w:ind w:firstLine="560"/>
      <w:jc w:val="left"/>
    </w:pPr>
    <w:rPr>
      <w:rFonts w:ascii="仿宋_GB2312" w:eastAsia="仿宋_GB2312"/>
      <w:sz w:val="28"/>
      <w:szCs w:val="28"/>
    </w:rPr>
  </w:style>
  <w:style w:type="character" w:customStyle="1" w:styleId="1590">
    <w:name w:val="p141"/>
    <w:qFormat/>
    <w:uiPriority w:val="0"/>
    <w:rPr>
      <w:sz w:val="21"/>
      <w:szCs w:val="21"/>
    </w:rPr>
  </w:style>
  <w:style w:type="character" w:customStyle="1" w:styleId="1591">
    <w:name w:val="标题 3 字符"/>
    <w:qFormat/>
    <w:uiPriority w:val="0"/>
    <w:rPr>
      <w:b/>
      <w:sz w:val="32"/>
    </w:rPr>
  </w:style>
  <w:style w:type="paragraph" w:customStyle="1" w:styleId="1592">
    <w:name w:val="正文_4"/>
    <w:qFormat/>
    <w:uiPriority w:val="0"/>
    <w:pPr>
      <w:widowControl w:val="0"/>
      <w:jc w:val="both"/>
    </w:pPr>
    <w:rPr>
      <w:rFonts w:hint="default" w:ascii="Times New Roman" w:hAnsi="Times New Roman" w:eastAsia="宋体" w:cs="Times New Roman"/>
      <w:sz w:val="21"/>
      <w:szCs w:val="24"/>
      <w:lang w:val="en-US" w:eastAsia="zh-CN" w:bidi="ar-SA"/>
    </w:rPr>
  </w:style>
  <w:style w:type="character" w:customStyle="1" w:styleId="1593">
    <w:name w:val="px_10"/>
    <w:basedOn w:val="75"/>
    <w:qFormat/>
    <w:uiPriority w:val="0"/>
  </w:style>
  <w:style w:type="paragraph" w:customStyle="1" w:styleId="1594">
    <w:name w:val="正文_8"/>
    <w:qFormat/>
    <w:uiPriority w:val="0"/>
    <w:pPr>
      <w:widowControl w:val="0"/>
      <w:jc w:val="both"/>
    </w:pPr>
    <w:rPr>
      <w:rFonts w:hint="default" w:ascii="Calibri" w:hAnsi="Calibri" w:eastAsia="宋体" w:cs="Times New Roman"/>
      <w:sz w:val="21"/>
      <w:szCs w:val="22"/>
      <w:lang w:val="en-US" w:eastAsia="zh-CN" w:bidi="ar-SA"/>
    </w:rPr>
  </w:style>
  <w:style w:type="paragraph" w:customStyle="1" w:styleId="1595">
    <w:name w:val="text-tag"/>
    <w:basedOn w:val="1"/>
    <w:semiHidden/>
    <w:qFormat/>
    <w:uiPriority w:val="99"/>
    <w:pPr>
      <w:widowControl/>
      <w:spacing w:before="100" w:beforeAutospacing="1" w:after="100" w:afterAutospacing="1"/>
      <w:jc w:val="left"/>
    </w:pPr>
    <w:rPr>
      <w:rFonts w:ascii="宋体" w:hAnsi="宋体" w:cs="宋体"/>
      <w:sz w:val="24"/>
    </w:rPr>
  </w:style>
  <w:style w:type="paragraph" w:customStyle="1" w:styleId="1596">
    <w:name w:val="_Style 1379"/>
    <w:basedOn w:val="1"/>
    <w:next w:val="1"/>
    <w:qFormat/>
    <w:uiPriority w:val="0"/>
    <w:pPr>
      <w:pBdr>
        <w:bottom w:val="single" w:color="000000" w:sz="6" w:space="1"/>
      </w:pBdr>
      <w:jc w:val="center"/>
    </w:pPr>
    <w:rPr>
      <w:rFonts w:ascii="Arial"/>
      <w:vanish/>
      <w:sz w:val="16"/>
    </w:rPr>
  </w:style>
  <w:style w:type="paragraph" w:customStyle="1" w:styleId="1597">
    <w:name w:val="_Style 1380"/>
    <w:basedOn w:val="1"/>
    <w:next w:val="1"/>
    <w:qFormat/>
    <w:uiPriority w:val="0"/>
    <w:pPr>
      <w:pBdr>
        <w:top w:val="single" w:color="000000" w:sz="6" w:space="1"/>
      </w:pBdr>
      <w:jc w:val="center"/>
    </w:pPr>
    <w:rPr>
      <w:rFonts w:ascii="Arial"/>
      <w:vanish/>
      <w:sz w:val="16"/>
    </w:rPr>
  </w:style>
  <w:style w:type="paragraph" w:customStyle="1" w:styleId="1598">
    <w:name w:val="Normal_19"/>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1599">
    <w:name w:val="索引 11"/>
    <w:basedOn w:val="1"/>
    <w:next w:val="1"/>
    <w:qFormat/>
    <w:uiPriority w:val="99"/>
    <w:pPr>
      <w:spacing w:line="360" w:lineRule="auto"/>
    </w:pPr>
    <w:rPr>
      <w:rFonts w:ascii="仿宋_GB2312" w:eastAsia="仿宋_GB2312"/>
      <w:sz w:val="24"/>
      <w:szCs w:val="20"/>
    </w:rPr>
  </w:style>
  <w:style w:type="paragraph" w:customStyle="1" w:styleId="1600">
    <w:name w:val="修订2"/>
    <w:unhideWhenUsed/>
    <w:qFormat/>
    <w:uiPriority w:val="99"/>
    <w:rPr>
      <w:rFonts w:hint="default" w:ascii="Times New Roman" w:hAnsi="Times New Roman" w:eastAsia="宋体" w:cs="Times New Roman"/>
      <w:sz w:val="21"/>
      <w:szCs w:val="24"/>
      <w:lang w:val="en-US" w:eastAsia="zh-CN" w:bidi="ar-SA"/>
    </w:rPr>
  </w:style>
  <w:style w:type="paragraph" w:customStyle="1" w:styleId="1601">
    <w:name w:val="Normal_1"/>
    <w:qFormat/>
    <w:uiPriority w:val="0"/>
    <w:pPr>
      <w:widowControl w:val="0"/>
      <w:jc w:val="both"/>
    </w:pPr>
    <w:rPr>
      <w:rFonts w:hint="default" w:ascii="Calibri" w:hAnsi="Calibri" w:eastAsia="宋体" w:cs="Times New Roman"/>
      <w:lang w:val="en-US" w:eastAsia="zh-CN" w:bidi="ar-SA"/>
    </w:rPr>
  </w:style>
  <w:style w:type="paragraph" w:customStyle="1" w:styleId="1602">
    <w:name w:val="Normal_21"/>
    <w:qFormat/>
    <w:uiPriority w:val="0"/>
    <w:rPr>
      <w:rFonts w:hint="default" w:ascii="Times New Roman" w:hAnsi="Times New Roman" w:eastAsia="Times New Roman" w:cs="Times New Roman"/>
      <w:sz w:val="24"/>
      <w:szCs w:val="24"/>
      <w:lang w:val="en-US" w:eastAsia="zh-CN" w:bidi="ar-SA"/>
    </w:rPr>
  </w:style>
  <w:style w:type="table" w:customStyle="1" w:styleId="1603">
    <w:name w:val="网格型9"/>
    <w:basedOn w:val="76"/>
    <w:qFormat/>
    <w:uiPriority w:val="0"/>
    <w:pPr>
      <w:widowControl w:val="0"/>
      <w:jc w:val="both"/>
    </w:pPr>
  </w:style>
  <w:style w:type="paragraph" w:customStyle="1" w:styleId="1604">
    <w:name w:val="Normal_3"/>
    <w:qFormat/>
    <w:uiPriority w:val="0"/>
    <w:rPr>
      <w:rFonts w:hint="default" w:ascii="Times New Roman" w:hAnsi="Times New Roman" w:eastAsia="Times New Roman" w:cs="Times New Roman"/>
      <w:sz w:val="24"/>
      <w:szCs w:val="24"/>
      <w:lang w:val="en-US" w:eastAsia="zh-CN" w:bidi="ar-SA"/>
    </w:rPr>
  </w:style>
  <w:style w:type="paragraph" w:customStyle="1" w:styleId="1605">
    <w:name w:val="BodyText1I2"/>
    <w:basedOn w:val="1606"/>
    <w:qFormat/>
    <w:uiPriority w:val="0"/>
    <w:pPr>
      <w:spacing w:after="120" w:line="240" w:lineRule="auto"/>
      <w:ind w:left="420" w:firstLine="420"/>
    </w:pPr>
    <w:rPr>
      <w:sz w:val="21"/>
    </w:rPr>
  </w:style>
  <w:style w:type="paragraph" w:customStyle="1" w:styleId="1606">
    <w:name w:val="BodyTextIndent"/>
    <w:basedOn w:val="1"/>
    <w:qFormat/>
    <w:uiPriority w:val="0"/>
    <w:pPr>
      <w:spacing w:line="500" w:lineRule="exact"/>
      <w:ind w:left="1588" w:firstLine="433"/>
    </w:pPr>
    <w:rPr>
      <w:sz w:val="24"/>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95</Pages>
  <Words>13621</Words>
  <Characters>14907</Characters>
  <TotalTime>15</TotalTime>
  <ScaleCrop>false</ScaleCrop>
  <LinksUpToDate>false</LinksUpToDate>
  <CharactersWithSpaces>15195</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2023-12-14T07:47:00Z</dcterms:created>
  <dc:creator>Administrator</dc:creator>
  <cp:lastModifiedBy>-Silent John Doeゝ</cp:lastModifiedBy>
  <dcterms:modified xsi:type="dcterms:W3CDTF">2025-06-27T06:24:48Z</dcterms:modified>
  <cp:revision>26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D0E8A4B88F954E02BEFCAB4D833D626C_13</vt:lpwstr>
  </property>
  <property fmtid="{D5CDD505-2E9C-101B-9397-08002B2CF9AE}" pid="4" name="KSOTemplateDocerSaveRecord">
    <vt:lpwstr>eyJoZGlkIjoiNmYyYmZhOTc3MzZiODdlMzI1ZjNmYzAwNjIwNWNjMzkiLCJ1c2VySWQiOiI2NjYwOTE1MDAifQ==</vt:lpwstr>
  </property>
</Properties>
</file>