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1"/>
        <w:ind w:firstLine="0"/>
        <w:spacing w:before="0" w:after="0"/>
        <w:tabs>
          <w:tab w:val="left" w:pos="7642" w:leader="none"/>
        </w:tabs>
        <w:rPr>
          <w:rFonts w:ascii="Times New Roman" w:hAnsi="Times New Roman"/>
          <w:b/>
          <w:sz w:val="52"/>
          <w:szCs w:val="52"/>
          <w:highlight w:val="none"/>
        </w:rPr>
      </w:pPr>
      <w:r>
        <w:rPr>
          <w:rFonts w:ascii="Times New Roman" w:hAnsi="Times New Roman"/>
          <w:b/>
          <w:sz w:val="52"/>
          <w:szCs w:val="52"/>
          <w:highlight w:val="none"/>
        </w:rPr>
      </w:r>
      <w:r>
        <w:rPr>
          <w:highlight w:val="none"/>
        </w:rPr>
      </w:r>
      <w:r/>
    </w:p>
    <w:p>
      <w:pPr>
        <w:pStyle w:val="1111"/>
        <w:ind w:firstLine="0"/>
        <w:spacing w:before="0" w:after="0"/>
        <w:tabs>
          <w:tab w:val="left" w:pos="7642" w:leader="none"/>
        </w:tabs>
        <w:rPr>
          <w:rFonts w:ascii="Times New Roman" w:hAnsi="Times New Roman"/>
          <w:b/>
          <w:sz w:val="52"/>
          <w:szCs w:val="52"/>
          <w:highlight w:val="none"/>
        </w:rPr>
      </w:pPr>
      <w:r>
        <w:rPr>
          <w:rFonts w:ascii="Times New Roman" w:hAnsi="Times New Roman"/>
          <w:b/>
          <w:sz w:val="52"/>
          <w:szCs w:val="52"/>
          <w:highlight w:val="none"/>
        </w:rPr>
        <w:tab/>
      </w:r>
      <w:r>
        <w:rPr>
          <w:highlight w:val="none"/>
        </w:rPr>
      </w:r>
      <w:r/>
    </w:p>
    <w:p>
      <w:pPr>
        <w:pStyle w:val="1111"/>
        <w:ind w:firstLine="0"/>
        <w:jc w:val="center"/>
        <w:spacing w:before="0" w:after="0"/>
        <w:rPr>
          <w:rFonts w:ascii="Times New Roman" w:hAnsi="Times New Roman"/>
          <w:b/>
          <w:bCs/>
          <w:sz w:val="84"/>
          <w:highlight w:val="none"/>
        </w:rPr>
      </w:pPr>
      <w:r>
        <w:rPr>
          <w:rFonts w:ascii="Times New Roman" w:hAnsi="Times New Roman"/>
          <w:b/>
          <w:bCs/>
          <w:sz w:val="84"/>
          <w:highlight w:val="none"/>
        </w:rPr>
        <w:t xml:space="preserve"> 招</w:t>
      </w:r>
      <w:r>
        <w:rPr>
          <w:rFonts w:hint="eastAsia" w:ascii="Times New Roman" w:hAnsi="Times New Roman"/>
          <w:b/>
          <w:bCs/>
          <w:sz w:val="84"/>
          <w:highlight w:val="none"/>
        </w:rPr>
        <w:t xml:space="preserve"> </w:t>
      </w:r>
      <w:r>
        <w:rPr>
          <w:rFonts w:ascii="Times New Roman" w:hAnsi="Times New Roman"/>
          <w:b/>
          <w:bCs/>
          <w:sz w:val="84"/>
          <w:highlight w:val="none"/>
        </w:rPr>
        <w:t xml:space="preserve">标</w:t>
      </w:r>
      <w:r>
        <w:rPr>
          <w:rFonts w:hint="eastAsia" w:ascii="Times New Roman" w:hAnsi="Times New Roman"/>
          <w:b/>
          <w:bCs/>
          <w:sz w:val="84"/>
          <w:highlight w:val="none"/>
        </w:rPr>
        <w:t xml:space="preserve"> </w:t>
      </w:r>
      <w:r>
        <w:rPr>
          <w:rFonts w:ascii="Times New Roman" w:hAnsi="Times New Roman"/>
          <w:b/>
          <w:bCs/>
          <w:sz w:val="84"/>
          <w:highlight w:val="none"/>
        </w:rPr>
        <w:t xml:space="preserve">文</w:t>
      </w:r>
      <w:r>
        <w:rPr>
          <w:rFonts w:hint="eastAsia" w:ascii="Times New Roman" w:hAnsi="Times New Roman"/>
          <w:b/>
          <w:bCs/>
          <w:sz w:val="84"/>
          <w:highlight w:val="none"/>
        </w:rPr>
        <w:t xml:space="preserve"> </w:t>
      </w:r>
      <w:r>
        <w:rPr>
          <w:rFonts w:ascii="Times New Roman" w:hAnsi="Times New Roman"/>
          <w:b/>
          <w:bCs/>
          <w:sz w:val="84"/>
          <w:highlight w:val="none"/>
        </w:rPr>
        <w:t xml:space="preserve">件</w:t>
      </w:r>
      <w:r>
        <w:rPr>
          <w:highlight w:val="none"/>
        </w:rPr>
      </w:r>
      <w:r/>
    </w:p>
    <w:p>
      <w:pPr>
        <w:pStyle w:val="1111"/>
        <w:ind w:firstLine="0"/>
        <w:spacing w:before="0" w:after="0"/>
        <w:rPr>
          <w:rFonts w:ascii="Times New Roman" w:hAnsi="Times New Roman"/>
          <w:b/>
          <w:bCs/>
          <w:sz w:val="32"/>
          <w:szCs w:val="32"/>
          <w:highlight w:val="none"/>
        </w:rPr>
      </w:pPr>
      <w:r>
        <w:rPr>
          <w:rFonts w:ascii="Times New Roman" w:hAnsi="Times New Roman"/>
          <w:b/>
          <w:bCs/>
          <w:sz w:val="32"/>
          <w:szCs w:val="32"/>
          <w:highlight w:val="none"/>
        </w:rPr>
      </w:r>
      <w:r>
        <w:rPr>
          <w:highlight w:val="none"/>
        </w:rPr>
      </w:r>
      <w:r/>
    </w:p>
    <w:p>
      <w:pPr>
        <w:pStyle w:val="1111"/>
        <w:ind w:firstLine="0"/>
        <w:spacing w:before="0" w:after="0"/>
        <w:rPr>
          <w:rFonts w:ascii="Times New Roman" w:hAnsi="Times New Roman"/>
          <w:b/>
          <w:bCs/>
          <w:sz w:val="32"/>
          <w:szCs w:val="32"/>
          <w:highlight w:val="none"/>
        </w:rPr>
      </w:pPr>
      <w:r>
        <w:rPr>
          <w:rFonts w:ascii="Times New Roman" w:hAnsi="Times New Roman"/>
          <w:b/>
          <w:bCs/>
          <w:sz w:val="32"/>
          <w:szCs w:val="32"/>
          <w:highlight w:val="none"/>
        </w:rPr>
      </w:r>
      <w:r>
        <w:rPr>
          <w:highlight w:val="none"/>
        </w:rPr>
      </w:r>
      <w:r/>
    </w:p>
    <w:p>
      <w:pPr>
        <w:pStyle w:val="1111"/>
        <w:ind w:firstLine="0"/>
        <w:spacing w:before="0" w:after="0"/>
        <w:rPr>
          <w:rFonts w:ascii="Times New Roman" w:hAnsi="Times New Roman"/>
          <w:b/>
          <w:bCs/>
          <w:sz w:val="32"/>
          <w:szCs w:val="32"/>
          <w:highlight w:val="none"/>
        </w:rPr>
      </w:pPr>
      <w:r>
        <w:rPr>
          <w:rFonts w:ascii="Times New Roman" w:hAnsi="Times New Roman"/>
          <w:b/>
          <w:bCs/>
          <w:sz w:val="32"/>
          <w:szCs w:val="32"/>
          <w:highlight w:val="none"/>
        </w:rPr>
      </w:r>
      <w:r>
        <w:rPr>
          <w:highlight w:val="none"/>
        </w:rPr>
      </w:r>
      <w:r/>
    </w:p>
    <w:p>
      <w:pPr>
        <w:pStyle w:val="1111"/>
        <w:ind w:firstLine="0"/>
        <w:spacing w:before="0" w:after="0"/>
        <w:rPr>
          <w:rFonts w:ascii="Times New Roman" w:hAnsi="Times New Roman"/>
          <w:b/>
          <w:bCs/>
          <w:sz w:val="32"/>
          <w:szCs w:val="32"/>
          <w:highlight w:val="none"/>
        </w:rPr>
      </w:pPr>
      <w:r>
        <w:rPr>
          <w:rFonts w:ascii="Times New Roman" w:hAnsi="Times New Roman"/>
          <w:b/>
          <w:bCs/>
          <w:sz w:val="32"/>
          <w:szCs w:val="32"/>
          <w:highlight w:val="none"/>
        </w:rPr>
      </w:r>
      <w:r>
        <w:rPr>
          <w:highlight w:val="none"/>
        </w:rPr>
      </w:r>
      <w:r/>
    </w:p>
    <w:p>
      <w:pPr>
        <w:pStyle w:val="1111"/>
        <w:ind w:firstLine="0"/>
        <w:spacing w:before="0" w:after="0"/>
        <w:rPr>
          <w:rFonts w:ascii="Times New Roman" w:hAnsi="Times New Roman"/>
          <w:b/>
          <w:bCs/>
          <w:sz w:val="32"/>
          <w:szCs w:val="32"/>
          <w:highlight w:val="none"/>
        </w:rPr>
      </w:pPr>
      <w:r>
        <w:rPr>
          <w:rFonts w:ascii="Times New Roman" w:hAnsi="Times New Roman"/>
          <w:b/>
          <w:bCs/>
          <w:sz w:val="32"/>
          <w:szCs w:val="32"/>
          <w:highlight w:val="none"/>
        </w:rPr>
      </w:r>
      <w:r>
        <w:rPr>
          <w:highlight w:val="none"/>
        </w:rPr>
      </w:r>
      <w:r/>
    </w:p>
    <w:p>
      <w:pPr>
        <w:pStyle w:val="1111"/>
        <w:ind w:firstLine="1606"/>
        <w:spacing w:before="0" w:after="0"/>
        <w:rPr>
          <w:rFonts w:hint="eastAsia" w:ascii="Times New Roman" w:hAnsi="Times New Roman"/>
          <w:b/>
          <w:bCs/>
          <w:sz w:val="32"/>
          <w:highlight w:val="none"/>
        </w:rPr>
      </w:pPr>
      <w:r>
        <w:rPr>
          <w:rFonts w:hint="eastAsia" w:ascii="Times New Roman" w:hAnsi="Times New Roman"/>
          <w:b/>
          <w:bCs/>
          <w:sz w:val="32"/>
          <w:highlight w:val="none"/>
        </w:rPr>
        <w:t xml:space="preserve">项目编号：JSZC-320900-HTGC-G2024-0012</w:t>
      </w:r>
      <w:r>
        <w:rPr>
          <w:highlight w:val="none"/>
        </w:rPr>
      </w:r>
      <w:r/>
    </w:p>
    <w:p>
      <w:pPr>
        <w:pStyle w:val="1008"/>
        <w:jc w:val="center"/>
        <w:spacing w:line="360" w:lineRule="auto"/>
        <w:rPr>
          <w:rFonts w:hint="eastAsia"/>
          <w:b/>
          <w:bCs/>
          <w:sz w:val="32"/>
          <w:highlight w:val="none"/>
        </w:rPr>
      </w:pPr>
      <w:r>
        <w:rPr>
          <w:b/>
          <w:bCs/>
          <w:sz w:val="32"/>
          <w:highlight w:val="none"/>
        </w:rPr>
        <w:t xml:space="preserve">项目名称：</w:t>
      </w:r>
      <w:r>
        <w:rPr>
          <w:rFonts w:hint="eastAsia"/>
          <w:b/>
          <w:bCs/>
          <w:sz w:val="32"/>
          <w:highlight w:val="none"/>
        </w:rPr>
        <w:t xml:space="preserve">盐城市第Ⅲ防洪区范围内排水户水质监管检测</w:t>
      </w:r>
      <w:r>
        <w:rPr>
          <w:highlight w:val="none"/>
        </w:rPr>
      </w:r>
      <w:r/>
    </w:p>
    <w:p>
      <w:pPr>
        <w:pStyle w:val="1008"/>
        <w:ind w:firstLine="2249"/>
        <w:spacing w:line="360" w:lineRule="auto"/>
        <w:rPr>
          <w:rFonts w:hint="eastAsia"/>
          <w:b/>
          <w:bCs/>
          <w:sz w:val="32"/>
          <w:highlight w:val="none"/>
        </w:rPr>
      </w:pPr>
      <w:r>
        <w:rPr>
          <w:rFonts w:hint="eastAsia"/>
          <w:b/>
          <w:bCs/>
          <w:sz w:val="32"/>
          <w:highlight w:val="none"/>
        </w:rPr>
        <w:t xml:space="preserve">和大市区范围内城镇污水厂监管检测服务                            </w:t>
      </w:r>
      <w:r>
        <w:rPr>
          <w:highlight w:val="none"/>
        </w:rPr>
      </w:r>
      <w:r/>
    </w:p>
    <w:p>
      <w:pPr>
        <w:pStyle w:val="1008"/>
        <w:jc w:val="center"/>
        <w:spacing w:line="360" w:lineRule="auto"/>
        <w:rPr>
          <w:rFonts w:hint="eastAsia"/>
          <w:b/>
          <w:bCs/>
          <w:sz w:val="32"/>
          <w:highlight w:val="none"/>
        </w:rPr>
      </w:pPr>
      <w:r>
        <w:rPr>
          <w:rFonts w:hint="eastAsia"/>
          <w:b/>
          <w:bCs/>
          <w:sz w:val="32"/>
          <w:highlight w:val="none"/>
        </w:rPr>
      </w:r>
      <w:r>
        <w:rPr>
          <w:highlight w:val="none"/>
        </w:rPr>
      </w:r>
      <w:r/>
    </w:p>
    <w:p>
      <w:pPr>
        <w:pStyle w:val="1111"/>
        <w:ind w:firstLine="1606"/>
        <w:jc w:val="both"/>
        <w:spacing w:before="0" w:after="0"/>
        <w:rPr>
          <w:rFonts w:ascii="Times New Roman" w:hAnsi="Times New Roman"/>
          <w:b/>
          <w:bCs/>
          <w:sz w:val="32"/>
          <w:highlight w:val="none"/>
        </w:rPr>
      </w:pPr>
      <w:r>
        <w:rPr>
          <w:rFonts w:ascii="Times New Roman" w:hAnsi="Times New Roman"/>
          <w:b/>
          <w:bCs/>
          <w:sz w:val="32"/>
          <w:highlight w:val="none"/>
        </w:rPr>
        <w:t xml:space="preserve">   </w:t>
      </w:r>
      <w:r>
        <w:rPr>
          <w:highlight w:val="none"/>
        </w:rPr>
      </w:r>
      <w:r/>
    </w:p>
    <w:p>
      <w:pPr>
        <w:pStyle w:val="1111"/>
        <w:ind w:firstLine="1606"/>
        <w:jc w:val="both"/>
        <w:spacing w:before="0" w:after="0"/>
        <w:rPr>
          <w:rFonts w:ascii="Times New Roman" w:hAnsi="Times New Roman"/>
          <w:b/>
          <w:bCs/>
          <w:sz w:val="32"/>
          <w:highlight w:val="none"/>
        </w:rPr>
      </w:pPr>
      <w:r>
        <w:rPr>
          <w:rFonts w:ascii="Times New Roman" w:hAnsi="Times New Roman"/>
          <w:b/>
          <w:bCs/>
          <w:sz w:val="32"/>
          <w:highlight w:val="none"/>
        </w:rPr>
      </w:r>
      <w:r>
        <w:rPr>
          <w:highlight w:val="none"/>
        </w:rPr>
      </w:r>
      <w:r/>
    </w:p>
    <w:p>
      <w:pPr>
        <w:pStyle w:val="1111"/>
        <w:ind w:firstLine="0"/>
        <w:jc w:val="center"/>
        <w:spacing w:before="0" w:after="0"/>
        <w:rPr>
          <w:rFonts w:ascii="Times New Roman" w:hAnsi="Times New Roman"/>
          <w:b/>
          <w:bCs/>
          <w:sz w:val="32"/>
          <w:highlight w:val="none"/>
        </w:rPr>
      </w:pPr>
      <w:r>
        <w:rPr>
          <w:rFonts w:ascii="Times New Roman" w:hAnsi="Times New Roman"/>
          <w:b/>
          <w:bCs/>
          <w:sz w:val="32"/>
          <w:highlight w:val="none"/>
        </w:rPr>
      </w:r>
      <w:r>
        <w:rPr>
          <w:highlight w:val="none"/>
        </w:rPr>
      </w:r>
      <w:r/>
    </w:p>
    <w:p>
      <w:pPr>
        <w:pStyle w:val="1111"/>
        <w:ind w:firstLine="0"/>
        <w:jc w:val="both"/>
        <w:spacing w:before="0" w:after="0"/>
        <w:rPr>
          <w:rFonts w:ascii="Times New Roman" w:hAnsi="Times New Roman"/>
          <w:b/>
          <w:bCs/>
          <w:sz w:val="32"/>
          <w:highlight w:val="none"/>
        </w:rPr>
      </w:pPr>
      <w:r>
        <w:rPr>
          <w:rFonts w:ascii="Times New Roman" w:hAnsi="Times New Roman"/>
          <w:b/>
          <w:bCs/>
          <w:sz w:val="32"/>
          <w:highlight w:val="none"/>
        </w:rPr>
      </w:r>
      <w:r>
        <w:rPr>
          <w:highlight w:val="none"/>
        </w:rPr>
      </w:r>
      <w:r/>
    </w:p>
    <w:p>
      <w:pPr>
        <w:pStyle w:val="1111"/>
        <w:ind w:firstLine="0"/>
        <w:jc w:val="center"/>
        <w:spacing w:before="0" w:after="0"/>
        <w:rPr>
          <w:rFonts w:ascii="Times New Roman" w:hAnsi="Times New Roman"/>
          <w:b/>
          <w:bCs/>
          <w:sz w:val="32"/>
          <w:highlight w:val="none"/>
        </w:rPr>
      </w:pPr>
      <w:r>
        <w:rPr>
          <w:rFonts w:ascii="Times New Roman" w:hAnsi="Times New Roman"/>
          <w:b/>
          <w:bCs/>
          <w:sz w:val="32"/>
          <w:highlight w:val="none"/>
        </w:rPr>
        <w:t xml:space="preserve">盐城市城镇排水管理处</w:t>
      </w:r>
      <w:r>
        <w:rPr>
          <w:highlight w:val="none"/>
        </w:rPr>
      </w:r>
      <w:r/>
    </w:p>
    <w:p>
      <w:pPr>
        <w:pStyle w:val="1111"/>
        <w:ind w:firstLine="0"/>
        <w:jc w:val="center"/>
        <w:spacing w:before="0" w:after="0"/>
        <w:rPr>
          <w:rFonts w:ascii="Times New Roman" w:hAnsi="Times New Roman"/>
          <w:b/>
          <w:bCs/>
          <w:sz w:val="32"/>
          <w:highlight w:val="none"/>
        </w:rPr>
      </w:pPr>
      <w:r>
        <w:rPr>
          <w:rFonts w:hint="eastAsia" w:ascii="Times New Roman" w:hAnsi="Times New Roman"/>
          <w:b/>
          <w:bCs/>
          <w:sz w:val="32"/>
          <w:highlight w:val="none"/>
        </w:rPr>
        <w:t xml:space="preserve">江苏宏天工程管理有限公司</w:t>
      </w:r>
      <w:r>
        <w:rPr>
          <w:highlight w:val="none"/>
        </w:rPr>
      </w:r>
      <w:r/>
    </w:p>
    <w:p>
      <w:pPr>
        <w:pStyle w:val="1111"/>
        <w:ind w:firstLine="0"/>
        <w:jc w:val="center"/>
        <w:spacing w:before="0" w:after="0"/>
        <w:rPr>
          <w:rFonts w:ascii="Times New Roman" w:hAnsi="Times New Roman"/>
          <w:b/>
          <w:bCs/>
          <w:sz w:val="32"/>
          <w:highlight w:val="none"/>
        </w:rPr>
      </w:pPr>
      <w:r>
        <w:rPr>
          <w:rFonts w:ascii="Times New Roman" w:hAnsi="Times New Roman"/>
          <w:b/>
          <w:bCs/>
          <w:sz w:val="32"/>
          <w:highlight w:val="none"/>
        </w:rPr>
        <w:t xml:space="preserve">202</w:t>
      </w:r>
      <w:r>
        <w:rPr>
          <w:rFonts w:hint="eastAsia" w:ascii="Times New Roman" w:hAnsi="Times New Roman"/>
          <w:b/>
          <w:bCs/>
          <w:sz w:val="32"/>
          <w:highlight w:val="none"/>
        </w:rPr>
        <w:t xml:space="preserve">4</w:t>
      </w:r>
      <w:r>
        <w:rPr>
          <w:rFonts w:ascii="Times New Roman" w:hAnsi="Times New Roman"/>
          <w:b/>
          <w:bCs/>
          <w:sz w:val="32"/>
          <w:highlight w:val="none"/>
        </w:rPr>
        <w:t xml:space="preserve">年</w:t>
      </w:r>
      <w:r>
        <w:rPr>
          <w:rFonts w:hint="eastAsia" w:ascii="Times New Roman" w:hAnsi="Times New Roman"/>
          <w:b/>
          <w:bCs/>
          <w:sz w:val="32"/>
          <w:highlight w:val="none"/>
          <w:lang w:val="en-US" w:eastAsia="zh-CN"/>
        </w:rPr>
        <w:t xml:space="preserve">7</w:t>
      </w:r>
      <w:r>
        <w:rPr>
          <w:rFonts w:ascii="Times New Roman" w:hAnsi="Times New Roman"/>
          <w:b/>
          <w:bCs/>
          <w:sz w:val="32"/>
          <w:highlight w:val="none"/>
        </w:rPr>
        <w:t xml:space="preserve">月</w:t>
      </w:r>
      <w:r>
        <w:rPr>
          <w:rFonts w:hint="eastAsia" w:ascii="Times New Roman" w:hAnsi="Times New Roman"/>
          <w:b/>
          <w:bCs/>
          <w:sz w:val="32"/>
          <w:highlight w:val="none"/>
          <w:lang w:val="en-US" w:eastAsia="zh-CN"/>
        </w:rPr>
        <w:t xml:space="preserve">5</w:t>
      </w:r>
      <w:r>
        <w:rPr>
          <w:rFonts w:ascii="Times New Roman" w:hAnsi="Times New Roman"/>
          <w:b/>
          <w:bCs/>
          <w:sz w:val="32"/>
          <w:highlight w:val="none"/>
        </w:rPr>
        <w:t xml:space="preserve">日</w:t>
      </w:r>
      <w:r>
        <w:rPr>
          <w:highlight w:val="none"/>
        </w:rPr>
      </w:r>
      <w:r/>
    </w:p>
    <w:p>
      <w:pPr>
        <w:pStyle w:val="1111"/>
        <w:ind w:firstLine="0"/>
        <w:jc w:val="center"/>
        <w:spacing w:before="0" w:after="0"/>
        <w:rPr>
          <w:rFonts w:ascii="Times New Roman" w:hAnsi="Times New Roman"/>
          <w:b/>
          <w:bCs/>
          <w:sz w:val="32"/>
          <w:highlight w:val="none"/>
        </w:rPr>
      </w:pPr>
      <w:r>
        <w:rPr>
          <w:rFonts w:ascii="Times New Roman" w:hAnsi="Times New Roman"/>
          <w:b/>
          <w:bCs/>
          <w:sz w:val="32"/>
          <w:highlight w:val="none"/>
        </w:rPr>
      </w:r>
      <w:r>
        <w:rPr>
          <w:highlight w:val="none"/>
        </w:rPr>
      </w:r>
      <w:r/>
    </w:p>
    <w:p>
      <w:pPr>
        <w:pStyle w:val="1008"/>
        <w:ind w:firstLine="3313"/>
        <w:spacing w:line="360" w:lineRule="auto"/>
        <w:rPr>
          <w:b/>
          <w:sz w:val="44"/>
          <w:szCs w:val="21"/>
          <w:highlight w:val="none"/>
        </w:rPr>
        <w:sectPr>
          <w:footerReference w:type="even" r:id="rId10"/>
          <w:footerReference w:type="first" r:id="rId11"/>
          <w:footnotePr/>
          <w:endnotePr/>
          <w:type w:val="nextPage"/>
          <w:pgSz w:w="11906" w:h="16838" w:orient="portrait"/>
          <w:pgMar w:top="1015" w:right="1196" w:bottom="868" w:left="1259" w:header="851" w:footer="907" w:gutter="0"/>
          <w:pgNumType w:start="1"/>
          <w:cols w:num="1" w:sep="0" w:space="1701" w:equalWidth="1"/>
          <w:docGrid w:linePitch="360"/>
          <w:titlePg/>
        </w:sectPr>
      </w:pPr>
      <w:r>
        <w:rPr>
          <w:b/>
          <w:sz w:val="44"/>
          <w:szCs w:val="21"/>
          <w:highlight w:val="none"/>
        </w:rPr>
      </w:r>
      <w:r>
        <w:rPr>
          <w:highlight w:val="none"/>
        </w:rPr>
      </w:r>
      <w:r/>
    </w:p>
    <w:p>
      <w:pPr>
        <w:pStyle w:val="1008"/>
        <w:ind w:firstLine="3313"/>
        <w:spacing w:line="360" w:lineRule="auto"/>
        <w:rPr>
          <w:b/>
          <w:sz w:val="44"/>
          <w:szCs w:val="21"/>
          <w:highlight w:val="none"/>
        </w:rPr>
      </w:pPr>
      <w:r>
        <w:rPr>
          <w:b/>
          <w:sz w:val="44"/>
          <w:szCs w:val="21"/>
          <w:highlight w:val="none"/>
        </w:rPr>
      </w:r>
      <w:r>
        <w:rPr>
          <w:highlight w:val="none"/>
        </w:rPr>
      </w:r>
      <w:r/>
    </w:p>
    <w:p>
      <w:pPr>
        <w:pStyle w:val="1008"/>
        <w:jc w:val="center"/>
        <w:spacing w:line="360" w:lineRule="auto"/>
        <w:rPr>
          <w:b/>
          <w:sz w:val="44"/>
          <w:szCs w:val="21"/>
          <w:highlight w:val="none"/>
        </w:rPr>
      </w:pPr>
      <w:r>
        <w:rPr>
          <w:b/>
          <w:sz w:val="44"/>
          <w:szCs w:val="21"/>
          <w:highlight w:val="none"/>
        </w:rPr>
        <w:t xml:space="preserve">总 目 录</w:t>
      </w:r>
      <w:r>
        <w:rPr>
          <w:highlight w:val="none"/>
        </w:rPr>
      </w:r>
      <w:r/>
    </w:p>
    <w:p>
      <w:pPr>
        <w:pStyle w:val="1008"/>
        <w:ind w:firstLine="3313"/>
        <w:spacing w:line="360" w:lineRule="auto"/>
        <w:rPr>
          <w:b/>
          <w:sz w:val="44"/>
          <w:szCs w:val="21"/>
          <w:highlight w:val="none"/>
        </w:rPr>
      </w:pPr>
      <w:r>
        <w:rPr>
          <w:b/>
          <w:sz w:val="44"/>
          <w:szCs w:val="21"/>
          <w:highlight w:val="none"/>
        </w:rPr>
      </w:r>
      <w:r>
        <w:rPr>
          <w:highlight w:val="none"/>
        </w:rPr>
      </w:r>
      <w:r/>
    </w:p>
    <w:p>
      <w:pPr>
        <w:pStyle w:val="1008"/>
        <w:jc w:val="center"/>
        <w:spacing w:line="360" w:lineRule="auto"/>
        <w:rPr>
          <w:highlight w:val="none"/>
        </w:rPr>
      </w:pPr>
      <w:r>
        <w:rPr>
          <w:highlight w:val="none"/>
        </w:rPr>
      </w:r>
      <w:r>
        <w:rPr>
          <w:highlight w:val="none"/>
        </w:rPr>
      </w:r>
      <w:r/>
    </w:p>
    <w:p>
      <w:pPr>
        <w:pStyle w:val="1043"/>
        <w:spacing w:line="360" w:lineRule="auto"/>
        <w:tabs>
          <w:tab w:val="right" w:pos="9451" w:leader="dot"/>
        </w:tabs>
        <w:rPr>
          <w:rFonts w:ascii="Times New Roman"/>
          <w:b w:val="0"/>
          <w:sz w:val="32"/>
          <w:szCs w:val="144"/>
          <w:highlight w:val="none"/>
        </w:rPr>
      </w:pPr>
      <w:r>
        <w:rPr>
          <w:rFonts w:ascii="Times New Roman"/>
          <w:b w:val="0"/>
          <w:sz w:val="44"/>
          <w:szCs w:val="21"/>
          <w:highlight w:val="none"/>
        </w:rPr>
        <w:fldChar w:fldCharType="begin"/>
      </w:r>
      <w:r>
        <w:rPr>
          <w:rFonts w:ascii="Times New Roman"/>
          <w:b w:val="0"/>
          <w:sz w:val="44"/>
          <w:szCs w:val="21"/>
          <w:highlight w:val="none"/>
        </w:rPr>
        <w:instrText xml:space="preserve">TOC \o "1-3" \h \u </w:instrText>
      </w:r>
      <w:r>
        <w:rPr>
          <w:rFonts w:ascii="Times New Roman"/>
          <w:b w:val="0"/>
          <w:sz w:val="44"/>
          <w:szCs w:val="21"/>
          <w:highlight w:val="none"/>
        </w:rPr>
        <w:fldChar w:fldCharType="separate"/>
      </w:r>
      <w:r>
        <w:rPr>
          <w:rFonts w:ascii="Times New Roman"/>
          <w:b w:val="0"/>
          <w:sz w:val="32"/>
          <w:szCs w:val="40"/>
          <w:highlight w:val="none"/>
        </w:rPr>
        <w:fldChar w:fldCharType="begin"/>
      </w:r>
      <w:r>
        <w:rPr>
          <w:rFonts w:ascii="Times New Roman"/>
          <w:b w:val="0"/>
          <w:sz w:val="32"/>
          <w:szCs w:val="40"/>
          <w:highlight w:val="none"/>
        </w:rPr>
        <w:instrText xml:space="preserve"> HYPERLINK \l _Toc18157 </w:instrText>
      </w:r>
      <w:r>
        <w:rPr>
          <w:rFonts w:ascii="Times New Roman"/>
          <w:b w:val="0"/>
          <w:sz w:val="32"/>
          <w:szCs w:val="40"/>
          <w:highlight w:val="none"/>
        </w:rPr>
        <w:fldChar w:fldCharType="separate"/>
      </w:r>
      <w:r>
        <w:rPr>
          <w:rFonts w:ascii="Times New Roman"/>
          <w:b w:val="0"/>
          <w:sz w:val="32"/>
          <w:szCs w:val="144"/>
          <w:highlight w:val="none"/>
        </w:rPr>
        <w:t xml:space="preserve">第一章</w:t>
      </w:r>
      <w:r>
        <w:rPr>
          <w:rFonts w:ascii="Times New Roman"/>
          <w:b w:val="0"/>
          <w:sz w:val="32"/>
          <w:szCs w:val="144"/>
          <w:highlight w:val="none"/>
          <w:lang w:val="en-US" w:eastAsia="zh-CN"/>
        </w:rPr>
        <w:t xml:space="preserve"> </w:t>
      </w:r>
      <w:r>
        <w:rPr>
          <w:rFonts w:ascii="Times New Roman"/>
          <w:b w:val="0"/>
          <w:sz w:val="32"/>
          <w:szCs w:val="144"/>
          <w:highlight w:val="none"/>
        </w:rPr>
        <w:t xml:space="preserve"> </w:t>
      </w:r>
      <w:r>
        <w:rPr>
          <w:rFonts w:ascii="Times New Roman"/>
          <w:b w:val="0"/>
          <w:sz w:val="32"/>
          <w:szCs w:val="144"/>
          <w:highlight w:val="none"/>
          <w:lang w:eastAsia="zh-CN"/>
        </w:rPr>
        <w:t xml:space="preserve">招标</w:t>
      </w:r>
      <w:r>
        <w:rPr>
          <w:rFonts w:ascii="Times New Roman"/>
          <w:b w:val="0"/>
          <w:sz w:val="32"/>
          <w:szCs w:val="144"/>
          <w:highlight w:val="none"/>
        </w:rPr>
        <w:t xml:space="preserve">公告</w:t>
      </w:r>
      <w:r>
        <w:rPr>
          <w:rFonts w:ascii="Times New Roman"/>
          <w:b w:val="0"/>
          <w:sz w:val="32"/>
          <w:szCs w:val="144"/>
          <w:highlight w:val="none"/>
        </w:rPr>
        <w:tab/>
      </w:r>
      <w:r>
        <w:rPr>
          <w:rFonts w:ascii="Times New Roman"/>
          <w:b w:val="0"/>
          <w:sz w:val="32"/>
          <w:szCs w:val="144"/>
          <w:highlight w:val="none"/>
          <w:lang w:val="en-US" w:eastAsia="zh-CN"/>
        </w:rPr>
        <w:t xml:space="preserve">2</w:t>
      </w:r>
      <w:r>
        <w:rPr>
          <w:rFonts w:ascii="Times New Roman"/>
          <w:b w:val="0"/>
          <w:sz w:val="32"/>
          <w:szCs w:val="40"/>
          <w:highlight w:val="none"/>
        </w:rPr>
        <w:fldChar w:fldCharType="end"/>
      </w:r>
      <w:r>
        <w:rPr>
          <w:highlight w:val="none"/>
        </w:rPr>
      </w:r>
      <w:r/>
    </w:p>
    <w:p>
      <w:pPr>
        <w:pStyle w:val="1043"/>
        <w:spacing w:line="360" w:lineRule="auto"/>
        <w:tabs>
          <w:tab w:val="right" w:pos="9451" w:leader="dot"/>
        </w:tabs>
        <w:rPr>
          <w:rFonts w:ascii="Times New Roman"/>
          <w:b w:val="0"/>
          <w:sz w:val="32"/>
          <w:szCs w:val="144"/>
          <w:highlight w:val="none"/>
        </w:rPr>
      </w:pPr>
      <w:r>
        <w:rPr>
          <w:rFonts w:ascii="Times New Roman"/>
          <w:b w:val="0"/>
          <w:sz w:val="32"/>
          <w:szCs w:val="40"/>
          <w:highlight w:val="none"/>
        </w:rPr>
        <w:fldChar w:fldCharType="begin"/>
      </w:r>
      <w:r>
        <w:rPr>
          <w:rFonts w:ascii="Times New Roman"/>
          <w:b w:val="0"/>
          <w:sz w:val="32"/>
          <w:szCs w:val="40"/>
          <w:highlight w:val="none"/>
        </w:rPr>
        <w:instrText xml:space="preserve"> HYPERLINK \l _Toc1894 </w:instrText>
      </w:r>
      <w:r>
        <w:rPr>
          <w:rFonts w:ascii="Times New Roman"/>
          <w:b w:val="0"/>
          <w:sz w:val="32"/>
          <w:szCs w:val="40"/>
          <w:highlight w:val="none"/>
        </w:rPr>
        <w:fldChar w:fldCharType="separate"/>
      </w:r>
      <w:r>
        <w:rPr>
          <w:rFonts w:ascii="Times New Roman"/>
          <w:b w:val="0"/>
          <w:sz w:val="32"/>
          <w:szCs w:val="144"/>
          <w:highlight w:val="none"/>
        </w:rPr>
        <w:t xml:space="preserve">第二章  </w:t>
      </w:r>
      <w:r>
        <w:rPr>
          <w:rFonts w:ascii="Times New Roman"/>
          <w:b w:val="0"/>
          <w:sz w:val="32"/>
          <w:szCs w:val="144"/>
          <w:highlight w:val="none"/>
          <w:lang w:eastAsia="zh-CN"/>
        </w:rPr>
        <w:t xml:space="preserve">投标人</w:t>
      </w:r>
      <w:r>
        <w:rPr>
          <w:rFonts w:ascii="Times New Roman"/>
          <w:b w:val="0"/>
          <w:sz w:val="32"/>
          <w:szCs w:val="144"/>
          <w:highlight w:val="none"/>
        </w:rPr>
        <w:t xml:space="preserve">须知</w:t>
      </w:r>
      <w:r>
        <w:rPr>
          <w:rFonts w:ascii="Times New Roman"/>
          <w:b w:val="0"/>
          <w:sz w:val="32"/>
          <w:szCs w:val="144"/>
          <w:highlight w:val="none"/>
        </w:rPr>
        <w:tab/>
      </w:r>
      <w:r>
        <w:rPr>
          <w:rFonts w:ascii="Times New Roman"/>
          <w:b w:val="0"/>
          <w:sz w:val="32"/>
          <w:szCs w:val="144"/>
          <w:highlight w:val="none"/>
          <w:lang w:val="en-US" w:eastAsia="zh-CN"/>
        </w:rPr>
        <w:t xml:space="preserve">6</w:t>
      </w:r>
      <w:r>
        <w:rPr>
          <w:rFonts w:ascii="Times New Roman"/>
          <w:b w:val="0"/>
          <w:sz w:val="32"/>
          <w:szCs w:val="40"/>
          <w:highlight w:val="none"/>
        </w:rPr>
        <w:fldChar w:fldCharType="end"/>
      </w:r>
      <w:r>
        <w:rPr>
          <w:highlight w:val="none"/>
        </w:rPr>
      </w:r>
      <w:r/>
    </w:p>
    <w:p>
      <w:pPr>
        <w:pStyle w:val="1043"/>
        <w:spacing w:line="360" w:lineRule="auto"/>
        <w:tabs>
          <w:tab w:val="right" w:pos="9451" w:leader="dot"/>
        </w:tabs>
        <w:rPr>
          <w:rFonts w:ascii="Times New Roman"/>
          <w:b w:val="0"/>
          <w:sz w:val="32"/>
          <w:szCs w:val="144"/>
          <w:highlight w:val="none"/>
        </w:rPr>
      </w:pPr>
      <w:r>
        <w:rPr>
          <w:rFonts w:ascii="Times New Roman"/>
          <w:b w:val="0"/>
          <w:sz w:val="32"/>
          <w:szCs w:val="40"/>
          <w:highlight w:val="none"/>
        </w:rPr>
        <w:fldChar w:fldCharType="begin"/>
      </w:r>
      <w:r>
        <w:rPr>
          <w:rFonts w:ascii="Times New Roman"/>
          <w:b w:val="0"/>
          <w:sz w:val="32"/>
          <w:szCs w:val="40"/>
          <w:highlight w:val="none"/>
        </w:rPr>
        <w:instrText xml:space="preserve"> HYPERLINK \l _Toc24578 </w:instrText>
      </w:r>
      <w:r>
        <w:rPr>
          <w:rFonts w:ascii="Times New Roman"/>
          <w:b w:val="0"/>
          <w:sz w:val="32"/>
          <w:szCs w:val="40"/>
          <w:highlight w:val="none"/>
        </w:rPr>
        <w:fldChar w:fldCharType="separate"/>
      </w:r>
      <w:r>
        <w:rPr>
          <w:rFonts w:ascii="Times New Roman"/>
          <w:b w:val="0"/>
          <w:sz w:val="32"/>
          <w:szCs w:val="144"/>
          <w:highlight w:val="none"/>
        </w:rPr>
        <w:t xml:space="preserve">第三章  合同条款及格式</w:t>
      </w:r>
      <w:r>
        <w:rPr>
          <w:rFonts w:ascii="Times New Roman"/>
          <w:b w:val="0"/>
          <w:sz w:val="32"/>
          <w:szCs w:val="144"/>
          <w:highlight w:val="none"/>
        </w:rPr>
        <w:tab/>
      </w:r>
      <w:r>
        <w:rPr>
          <w:rFonts w:ascii="Times New Roman"/>
          <w:b w:val="0"/>
          <w:sz w:val="32"/>
          <w:szCs w:val="144"/>
          <w:highlight w:val="none"/>
          <w:lang w:val="en-US" w:eastAsia="zh-CN"/>
        </w:rPr>
        <w:t xml:space="preserve">2</w:t>
      </w:r>
      <w:r>
        <w:rPr>
          <w:rFonts w:ascii="Times New Roman"/>
          <w:b w:val="0"/>
          <w:sz w:val="32"/>
          <w:szCs w:val="40"/>
          <w:highlight w:val="none"/>
        </w:rPr>
        <w:fldChar w:fldCharType="end"/>
      </w:r>
      <w:r>
        <w:rPr>
          <w:rFonts w:ascii="Times New Roman"/>
          <w:b w:val="0"/>
          <w:sz w:val="32"/>
          <w:szCs w:val="40"/>
          <w:highlight w:val="none"/>
          <w:lang w:val="en-US" w:eastAsia="zh-CN"/>
        </w:rPr>
        <w:t xml:space="preserve">0</w:t>
      </w:r>
      <w:r>
        <w:rPr>
          <w:highlight w:val="none"/>
        </w:rPr>
      </w:r>
      <w:r/>
    </w:p>
    <w:p>
      <w:pPr>
        <w:pStyle w:val="1043"/>
        <w:spacing w:line="360" w:lineRule="auto"/>
        <w:tabs>
          <w:tab w:val="right" w:pos="9451" w:leader="dot"/>
        </w:tabs>
        <w:rPr>
          <w:rFonts w:ascii="Times New Roman"/>
          <w:b w:val="0"/>
          <w:sz w:val="32"/>
          <w:szCs w:val="144"/>
          <w:highlight w:val="none"/>
        </w:rPr>
      </w:pPr>
      <w:r>
        <w:rPr>
          <w:rFonts w:ascii="Times New Roman"/>
          <w:b w:val="0"/>
          <w:sz w:val="32"/>
          <w:szCs w:val="40"/>
          <w:highlight w:val="none"/>
        </w:rPr>
        <w:fldChar w:fldCharType="begin"/>
      </w:r>
      <w:r>
        <w:rPr>
          <w:rFonts w:ascii="Times New Roman"/>
          <w:b w:val="0"/>
          <w:sz w:val="32"/>
          <w:szCs w:val="40"/>
          <w:highlight w:val="none"/>
        </w:rPr>
        <w:instrText xml:space="preserve"> HYPERLINK \l _Toc901 </w:instrText>
      </w:r>
      <w:r>
        <w:rPr>
          <w:rFonts w:ascii="Times New Roman"/>
          <w:b w:val="0"/>
          <w:sz w:val="32"/>
          <w:szCs w:val="40"/>
          <w:highlight w:val="none"/>
        </w:rPr>
        <w:fldChar w:fldCharType="separate"/>
      </w:r>
      <w:r>
        <w:rPr>
          <w:rFonts w:ascii="Times New Roman"/>
          <w:b w:val="0"/>
          <w:sz w:val="32"/>
          <w:szCs w:val="144"/>
          <w:highlight w:val="none"/>
        </w:rPr>
        <w:t xml:space="preserve">第四章 </w:t>
      </w:r>
      <w:r>
        <w:rPr>
          <w:rFonts w:ascii="Times New Roman"/>
          <w:b w:val="0"/>
          <w:sz w:val="32"/>
          <w:szCs w:val="144"/>
          <w:highlight w:val="none"/>
          <w:lang w:val="en-US" w:eastAsia="zh-CN"/>
        </w:rPr>
        <w:t xml:space="preserve"> </w:t>
      </w:r>
      <w:r>
        <w:rPr>
          <w:rFonts w:ascii="Times New Roman"/>
          <w:b w:val="0"/>
          <w:sz w:val="32"/>
          <w:szCs w:val="144"/>
          <w:highlight w:val="none"/>
        </w:rPr>
        <w:t xml:space="preserve">项目需求</w:t>
      </w:r>
      <w:r>
        <w:rPr>
          <w:rFonts w:ascii="Times New Roman"/>
          <w:b w:val="0"/>
          <w:sz w:val="32"/>
          <w:szCs w:val="144"/>
          <w:highlight w:val="none"/>
        </w:rPr>
        <w:tab/>
      </w:r>
      <w:r>
        <w:rPr>
          <w:rFonts w:ascii="Times New Roman"/>
          <w:b w:val="0"/>
          <w:sz w:val="32"/>
          <w:szCs w:val="40"/>
          <w:highlight w:val="none"/>
        </w:rPr>
        <w:fldChar w:fldCharType="end"/>
      </w:r>
      <w:r>
        <w:rPr>
          <w:rFonts w:ascii="Times New Roman"/>
          <w:b w:val="0"/>
          <w:sz w:val="32"/>
          <w:szCs w:val="40"/>
          <w:highlight w:val="none"/>
          <w:lang w:val="en-US" w:eastAsia="zh-CN"/>
        </w:rPr>
        <w:t xml:space="preserve">24</w:t>
      </w:r>
      <w:r>
        <w:rPr>
          <w:highlight w:val="none"/>
        </w:rPr>
      </w:r>
      <w:r/>
    </w:p>
    <w:p>
      <w:pPr>
        <w:pStyle w:val="1043"/>
        <w:spacing w:line="360" w:lineRule="auto"/>
        <w:tabs>
          <w:tab w:val="right" w:pos="9451" w:leader="dot"/>
        </w:tabs>
        <w:rPr>
          <w:rFonts w:ascii="Times New Roman"/>
          <w:b w:val="0"/>
          <w:sz w:val="32"/>
          <w:szCs w:val="144"/>
          <w:highlight w:val="none"/>
        </w:rPr>
      </w:pPr>
      <w:r>
        <w:rPr>
          <w:rFonts w:ascii="Times New Roman"/>
          <w:b w:val="0"/>
          <w:sz w:val="32"/>
          <w:szCs w:val="40"/>
          <w:highlight w:val="none"/>
        </w:rPr>
        <w:fldChar w:fldCharType="begin"/>
      </w:r>
      <w:r>
        <w:rPr>
          <w:rFonts w:ascii="Times New Roman"/>
          <w:b w:val="0"/>
          <w:sz w:val="32"/>
          <w:szCs w:val="40"/>
          <w:highlight w:val="none"/>
        </w:rPr>
        <w:instrText xml:space="preserve"> HYPERLINK \l _Toc24229 </w:instrText>
      </w:r>
      <w:r>
        <w:rPr>
          <w:rFonts w:ascii="Times New Roman"/>
          <w:b w:val="0"/>
          <w:sz w:val="32"/>
          <w:szCs w:val="40"/>
          <w:highlight w:val="none"/>
        </w:rPr>
        <w:fldChar w:fldCharType="separate"/>
      </w:r>
      <w:r>
        <w:rPr>
          <w:rFonts w:ascii="Times New Roman"/>
          <w:b w:val="0"/>
          <w:sz w:val="32"/>
          <w:szCs w:val="144"/>
          <w:highlight w:val="none"/>
        </w:rPr>
        <w:t xml:space="preserve">第五章 </w:t>
      </w:r>
      <w:r>
        <w:rPr>
          <w:rFonts w:ascii="Times New Roman"/>
          <w:b w:val="0"/>
          <w:sz w:val="32"/>
          <w:szCs w:val="144"/>
          <w:highlight w:val="none"/>
          <w:lang w:val="en-US" w:eastAsia="zh-CN"/>
        </w:rPr>
        <w:t xml:space="preserve"> </w:t>
      </w:r>
      <w:r>
        <w:rPr>
          <w:rFonts w:ascii="Times New Roman"/>
          <w:b w:val="0"/>
          <w:sz w:val="32"/>
          <w:szCs w:val="144"/>
          <w:highlight w:val="none"/>
        </w:rPr>
        <w:t xml:space="preserve">评审方法和评审标准</w:t>
      </w:r>
      <w:r>
        <w:rPr>
          <w:rFonts w:ascii="Times New Roman"/>
          <w:b w:val="0"/>
          <w:sz w:val="32"/>
          <w:szCs w:val="144"/>
          <w:highlight w:val="none"/>
        </w:rPr>
        <w:tab/>
      </w:r>
      <w:r>
        <w:rPr>
          <w:rFonts w:ascii="Times New Roman"/>
          <w:b w:val="0"/>
          <w:sz w:val="32"/>
          <w:szCs w:val="40"/>
          <w:highlight w:val="none"/>
        </w:rPr>
        <w:fldChar w:fldCharType="end"/>
      </w:r>
      <w:r>
        <w:rPr>
          <w:rFonts w:ascii="Times New Roman"/>
          <w:b w:val="0"/>
          <w:sz w:val="32"/>
          <w:szCs w:val="40"/>
          <w:highlight w:val="none"/>
          <w:lang w:val="en-US" w:eastAsia="zh-CN"/>
        </w:rPr>
        <w:t xml:space="preserve">31</w:t>
      </w:r>
      <w:r>
        <w:rPr>
          <w:highlight w:val="none"/>
        </w:rPr>
      </w:r>
      <w:r/>
    </w:p>
    <w:p>
      <w:pPr>
        <w:pStyle w:val="1043"/>
        <w:spacing w:line="360" w:lineRule="auto"/>
        <w:tabs>
          <w:tab w:val="right" w:pos="9451" w:leader="dot"/>
        </w:tabs>
        <w:rPr>
          <w:rFonts w:ascii="Times New Roman"/>
          <w:b w:val="0"/>
          <w:highlight w:val="none"/>
        </w:rPr>
      </w:pPr>
      <w:r>
        <w:rPr>
          <w:rFonts w:ascii="Times New Roman"/>
          <w:b w:val="0"/>
          <w:sz w:val="32"/>
          <w:szCs w:val="40"/>
          <w:highlight w:val="none"/>
        </w:rPr>
        <w:fldChar w:fldCharType="begin"/>
      </w:r>
      <w:r>
        <w:rPr>
          <w:rFonts w:ascii="Times New Roman"/>
          <w:b w:val="0"/>
          <w:sz w:val="32"/>
          <w:szCs w:val="40"/>
          <w:highlight w:val="none"/>
        </w:rPr>
        <w:instrText xml:space="preserve"> HYPERLINK \l _Toc21306 </w:instrText>
      </w:r>
      <w:r>
        <w:rPr>
          <w:rFonts w:ascii="Times New Roman"/>
          <w:b w:val="0"/>
          <w:sz w:val="32"/>
          <w:szCs w:val="40"/>
          <w:highlight w:val="none"/>
        </w:rPr>
        <w:fldChar w:fldCharType="separate"/>
      </w:r>
      <w:r>
        <w:rPr>
          <w:rFonts w:ascii="Times New Roman"/>
          <w:b w:val="0"/>
          <w:sz w:val="32"/>
          <w:szCs w:val="144"/>
          <w:highlight w:val="none"/>
        </w:rPr>
        <w:t xml:space="preserve">第六章  </w:t>
      </w:r>
      <w:r>
        <w:rPr>
          <w:rFonts w:ascii="Times New Roman"/>
          <w:b w:val="0"/>
          <w:sz w:val="32"/>
          <w:szCs w:val="144"/>
          <w:highlight w:val="none"/>
          <w:lang w:eastAsia="zh-CN"/>
        </w:rPr>
        <w:t xml:space="preserve">投标</w:t>
      </w:r>
      <w:r>
        <w:rPr>
          <w:rFonts w:ascii="Times New Roman"/>
          <w:b w:val="0"/>
          <w:sz w:val="32"/>
          <w:szCs w:val="144"/>
          <w:highlight w:val="none"/>
        </w:rPr>
        <w:t xml:space="preserve">文件格式</w:t>
      </w:r>
      <w:r>
        <w:rPr>
          <w:rFonts w:ascii="Times New Roman"/>
          <w:b w:val="0"/>
          <w:sz w:val="32"/>
          <w:szCs w:val="144"/>
          <w:highlight w:val="none"/>
        </w:rPr>
        <w:tab/>
      </w:r>
      <w:r>
        <w:rPr>
          <w:rFonts w:ascii="Times New Roman"/>
          <w:b w:val="0"/>
          <w:sz w:val="32"/>
          <w:szCs w:val="144"/>
          <w:highlight w:val="none"/>
          <w:lang w:val="en-US" w:eastAsia="zh-CN"/>
        </w:rPr>
        <w:t xml:space="preserve">3</w:t>
      </w:r>
      <w:r>
        <w:rPr>
          <w:rFonts w:ascii="Times New Roman"/>
          <w:b w:val="0"/>
          <w:sz w:val="32"/>
          <w:szCs w:val="40"/>
          <w:highlight w:val="none"/>
        </w:rPr>
        <w:fldChar w:fldCharType="end"/>
      </w:r>
      <w:r>
        <w:rPr>
          <w:rFonts w:ascii="Times New Roman"/>
          <w:b w:val="0"/>
          <w:sz w:val="32"/>
          <w:szCs w:val="40"/>
          <w:highlight w:val="none"/>
          <w:lang w:val="en-US" w:eastAsia="zh-CN"/>
        </w:rPr>
        <w:t xml:space="preserve">6</w:t>
      </w:r>
      <w:r>
        <w:rPr>
          <w:highlight w:val="none"/>
        </w:rPr>
      </w:r>
      <w:r/>
    </w:p>
    <w:p>
      <w:pPr>
        <w:pStyle w:val="1008"/>
        <w:spacing w:line="360" w:lineRule="auto"/>
        <w:rPr>
          <w:b/>
          <w:sz w:val="44"/>
          <w:szCs w:val="21"/>
          <w:highlight w:val="none"/>
        </w:rPr>
        <w:sectPr>
          <w:footerReference w:type="default" r:id="rId12"/>
          <w:footerReference w:type="first" r:id="rId13"/>
          <w:footnotePr/>
          <w:endnotePr/>
          <w:type w:val="nextPage"/>
          <w:pgSz w:w="11906" w:h="16838" w:orient="portrait"/>
          <w:pgMar w:top="1015" w:right="1196" w:bottom="867" w:left="1259" w:header="851" w:footer="907" w:gutter="0"/>
          <w:pgNumType w:start="1"/>
          <w:cols w:num="1" w:sep="0" w:space="1701" w:equalWidth="1"/>
          <w:docGrid w:linePitch="360"/>
          <w:titlePg/>
        </w:sectPr>
      </w:pPr>
      <w:r>
        <w:rPr>
          <w:rFonts w:eastAsia="黑体"/>
          <w:szCs w:val="21"/>
          <w:highlight w:val="none"/>
        </w:rPr>
        <w:fldChar w:fldCharType="end"/>
      </w:r>
      <w:r>
        <w:rPr>
          <w:highlight w:val="none"/>
        </w:rPr>
      </w:r>
      <w:r/>
    </w:p>
    <w:p>
      <w:pPr>
        <w:pStyle w:val="1008"/>
        <w:numPr>
          <w:ilvl w:val="0"/>
          <w:numId w:val="3"/>
        </w:numPr>
        <w:jc w:val="center"/>
        <w:spacing w:line="360" w:lineRule="auto"/>
        <w:rPr>
          <w:b/>
          <w:bCs/>
          <w:sz w:val="44"/>
          <w:szCs w:val="44"/>
          <w:highlight w:val="none"/>
        </w:rPr>
        <w:outlineLvl w:val="1"/>
      </w:pPr>
      <w:r>
        <w:rPr>
          <w:highlight w:val="none"/>
        </w:rPr>
      </w:r>
      <w:bookmarkStart w:id="0" w:name="_Toc18157"/>
      <w:r>
        <w:rPr>
          <w:b/>
          <w:bCs/>
          <w:sz w:val="44"/>
          <w:szCs w:val="44"/>
          <w:highlight w:val="none"/>
        </w:rPr>
        <w:t xml:space="preserve"> 招标公告</w:t>
      </w:r>
      <w:bookmarkEnd w:id="0"/>
      <w:r>
        <w:rPr>
          <w:highlight w:val="none"/>
        </w:rPr>
      </w:r>
      <w:r/>
    </w:p>
    <w:p>
      <w:pPr>
        <w:pStyle w:val="1008"/>
        <w:spacing w:line="360" w:lineRule="auto"/>
        <w:rPr>
          <w:highlight w:val="none"/>
        </w:rPr>
      </w:pPr>
      <w:r>
        <w:rPr>
          <w:highlight w:val="none"/>
        </w:rPr>
      </w:r>
      <w:bookmarkStart w:id="1" w:name="_Toc14577347"/>
      <w:r>
        <w:rPr>
          <w:highlight w:val="none"/>
        </w:rPr>
      </w:r>
      <w:bookmarkStart w:id="2" w:name="_Toc513029209"/>
      <w:r>
        <w:rPr>
          <w:highlight w:val="none"/>
        </w:rPr>
      </w:r>
      <w:bookmarkStart w:id="3" w:name="_Toc61149549"/>
      <w:r>
        <w:rPr>
          <w:highlight w:val="none"/>
        </w:rPr>
      </w:r>
      <w:r/>
    </w:p>
    <w:p>
      <w:pPr>
        <w:pStyle w:val="1008"/>
        <w:ind w:firstLine="480"/>
        <w:spacing w:line="360" w:lineRule="auto"/>
        <w:rPr>
          <w:sz w:val="24"/>
          <w:highlight w:val="none"/>
        </w:rPr>
        <w:pBdr>
          <w:top w:val="single" w:color="000000" w:sz="4" w:space="1"/>
          <w:left w:val="single" w:color="000000" w:sz="4" w:space="4"/>
          <w:bottom w:val="single" w:color="000000" w:sz="4" w:space="1"/>
          <w:right w:val="single" w:color="000000" w:sz="4" w:space="4"/>
        </w:pBdr>
      </w:pPr>
      <w:r>
        <w:rPr>
          <w:sz w:val="24"/>
          <w:highlight w:val="none"/>
        </w:rPr>
        <w:t xml:space="preserve">项目概况</w:t>
      </w:r>
      <w:r>
        <w:rPr>
          <w:highlight w:val="none"/>
        </w:rPr>
      </w:r>
      <w:r/>
    </w:p>
    <w:p>
      <w:pPr>
        <w:pStyle w:val="1008"/>
        <w:ind w:firstLine="480"/>
        <w:spacing w:line="360" w:lineRule="auto"/>
        <w:rPr>
          <w:sz w:val="24"/>
          <w:highlight w:val="none"/>
        </w:rPr>
        <w:pBdr>
          <w:top w:val="single" w:color="000000" w:sz="4" w:space="1"/>
          <w:left w:val="single" w:color="000000" w:sz="4" w:space="4"/>
          <w:bottom w:val="single" w:color="000000" w:sz="4" w:space="1"/>
          <w:right w:val="single" w:color="000000" w:sz="4" w:space="4"/>
        </w:pBdr>
      </w:pPr>
      <w:r>
        <w:rPr>
          <w:rFonts w:hint="eastAsia"/>
          <w:sz w:val="24"/>
          <w:highlight w:val="none"/>
          <w:u w:val="single"/>
        </w:rPr>
        <w:t xml:space="preserve">盐城市第Ⅲ防洪区范围内排水户水质监管检测和大市区范围内城镇污水厂监管检测服务</w:t>
      </w:r>
      <w:r>
        <w:rPr>
          <w:sz w:val="24"/>
          <w:highlight w:val="none"/>
        </w:rPr>
        <w:t xml:space="preserve">的</w:t>
      </w:r>
      <w:r>
        <w:rPr>
          <w:rFonts w:hint="eastAsia" w:ascii="宋体" w:hAnsi="宋体" w:cs="宋体"/>
          <w:sz w:val="24"/>
          <w:highlight w:val="none"/>
        </w:rPr>
        <w:t xml:space="preserve">潜在供应商应向</w:t>
      </w:r>
      <w:r>
        <w:rPr>
          <w:rFonts w:ascii="宋体" w:hAnsi="宋体" w:cs="宋体"/>
          <w:color w:val="000000"/>
          <w:sz w:val="24"/>
          <w:highlight w:val="none"/>
          <w:u w:val="single"/>
        </w:rPr>
        <w:t xml:space="preserve">“中国政府采购网、江苏政府采购网、盐城市政府采购网”</w:t>
      </w:r>
      <w:r>
        <w:rPr>
          <w:rFonts w:hint="eastAsia" w:ascii="宋体" w:hAnsi="宋体" w:cs="宋体"/>
          <w:sz w:val="24"/>
          <w:highlight w:val="none"/>
        </w:rPr>
        <w:t xml:space="preserve">自行免费下载</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文件，并于</w:t>
      </w:r>
      <w:r>
        <w:rPr>
          <w:rFonts w:hint="eastAsia" w:ascii="宋体" w:hAnsi="宋体" w:cs="宋体"/>
          <w:sz w:val="24"/>
          <w:highlight w:val="none"/>
          <w:u w:val="single"/>
        </w:rPr>
        <w:t xml:space="preserve">2024</w:t>
      </w:r>
      <w:r>
        <w:rPr>
          <w:rFonts w:hint="eastAsia" w:ascii="宋体" w:hAnsi="宋体" w:cs="宋体"/>
          <w:bCs/>
          <w:sz w:val="24"/>
          <w:highlight w:val="none"/>
          <w:u w:val="single"/>
        </w:rPr>
        <w:t xml:space="preserve">年</w:t>
      </w:r>
      <w:r>
        <w:rPr>
          <w:rFonts w:hint="eastAsia" w:ascii="宋体" w:hAnsi="宋体" w:cs="宋体"/>
          <w:bCs/>
          <w:sz w:val="24"/>
          <w:highlight w:val="none"/>
          <w:u w:val="single"/>
          <w:lang w:val="en-US" w:eastAsia="zh-CN"/>
        </w:rPr>
        <w:t xml:space="preserve">7</w:t>
      </w:r>
      <w:r>
        <w:rPr>
          <w:rFonts w:hint="eastAsia" w:ascii="宋体" w:hAnsi="宋体" w:cs="宋体"/>
          <w:bCs/>
          <w:sz w:val="24"/>
          <w:highlight w:val="none"/>
          <w:u w:val="single"/>
        </w:rPr>
        <w:t xml:space="preserve">月</w:t>
      </w:r>
      <w:r>
        <w:rPr>
          <w:rFonts w:hint="eastAsia" w:ascii="宋体" w:hAnsi="宋体" w:cs="宋体"/>
          <w:bCs/>
          <w:sz w:val="24"/>
          <w:highlight w:val="none"/>
          <w:u w:val="single"/>
          <w:lang w:val="en-US" w:eastAsia="zh-CN"/>
        </w:rPr>
        <w:t xml:space="preserve">2</w:t>
      </w:r>
      <w:r>
        <w:rPr>
          <w:rFonts w:hint="eastAsia" w:ascii="宋体" w:hAnsi="宋体" w:cs="宋体"/>
          <w:bCs/>
          <w:sz w:val="24"/>
          <w:highlight w:val="none"/>
          <w:u w:val="single"/>
          <w:lang w:val="en-US" w:eastAsia="zh-CN"/>
        </w:rPr>
        <w:t xml:space="preserve">9</w:t>
      </w:r>
      <w:r>
        <w:rPr>
          <w:rFonts w:hint="eastAsia" w:ascii="宋体" w:hAnsi="宋体" w:cs="宋体"/>
          <w:bCs/>
          <w:sz w:val="24"/>
          <w:highlight w:val="none"/>
          <w:u w:val="single"/>
        </w:rPr>
        <w:t xml:space="preserve">日</w:t>
      </w:r>
      <w:r>
        <w:rPr>
          <w:rFonts w:hint="eastAsia" w:ascii="宋体" w:hAnsi="宋体" w:cs="宋体"/>
          <w:bCs/>
          <w:sz w:val="24"/>
          <w:highlight w:val="none"/>
          <w:u w:val="single"/>
          <w:lang w:val="en-US" w:eastAsia="zh-CN"/>
        </w:rPr>
        <w:t xml:space="preserve">1</w:t>
      </w:r>
      <w:r>
        <w:rPr>
          <w:rFonts w:hint="eastAsia" w:ascii="宋体" w:hAnsi="宋体" w:cs="宋体"/>
          <w:bCs/>
          <w:sz w:val="24"/>
          <w:highlight w:val="none"/>
          <w:u w:val="single"/>
          <w:lang w:val="en-US" w:eastAsia="zh-CN"/>
        </w:rPr>
        <w:t xml:space="preserve">5</w:t>
      </w:r>
      <w:r>
        <w:rPr>
          <w:rFonts w:hint="eastAsia" w:ascii="宋体" w:hAnsi="宋体" w:cs="宋体"/>
          <w:bCs/>
          <w:sz w:val="24"/>
          <w:highlight w:val="none"/>
          <w:u w:val="single"/>
        </w:rPr>
        <w:t xml:space="preserve">点00分</w:t>
      </w:r>
      <w:r>
        <w:rPr>
          <w:rFonts w:hint="eastAsia" w:ascii="宋体" w:hAnsi="宋体" w:cs="宋体"/>
          <w:bCs/>
          <w:sz w:val="24"/>
          <w:highlight w:val="none"/>
        </w:rPr>
        <w:t xml:space="preserve">（北京时间）前</w:t>
      </w:r>
      <w:r>
        <w:rPr>
          <w:rFonts w:hint="eastAsia" w:ascii="宋体" w:hAnsi="宋体" w:cs="宋体"/>
          <w:bCs/>
          <w:sz w:val="24"/>
          <w:highlight w:val="none"/>
          <w:lang w:val="en-US" w:eastAsia="zh-CN"/>
        </w:rPr>
        <w:t xml:space="preserve">递交</w:t>
      </w:r>
      <w:r>
        <w:rPr>
          <w:rFonts w:hint="eastAsia" w:ascii="宋体" w:hAnsi="宋体" w:cs="宋体"/>
          <w:bCs/>
          <w:sz w:val="24"/>
          <w:highlight w:val="none"/>
          <w:lang w:eastAsia="zh-CN"/>
        </w:rPr>
        <w:t xml:space="preserve">投标文件</w:t>
      </w:r>
      <w:r>
        <w:rPr>
          <w:rFonts w:hint="eastAsia" w:ascii="宋体" w:hAnsi="宋体" w:cs="宋体"/>
          <w:sz w:val="24"/>
          <w:highlight w:val="none"/>
        </w:rPr>
        <w:t xml:space="preserve">。</w:t>
      </w:r>
      <w:r>
        <w:rPr>
          <w:highlight w:val="none"/>
        </w:rPr>
      </w:r>
      <w:r/>
    </w:p>
    <w:p>
      <w:pPr>
        <w:pStyle w:val="1008"/>
        <w:numPr>
          <w:ilvl w:val="0"/>
          <w:numId w:val="4"/>
        </w:numPr>
        <w:ind w:firstLine="482"/>
        <w:spacing w:line="360" w:lineRule="auto"/>
        <w:rPr>
          <w:b/>
          <w:bCs/>
          <w:sz w:val="24"/>
          <w:highlight w:val="none"/>
        </w:rPr>
      </w:pPr>
      <w:r>
        <w:rPr>
          <w:highlight w:val="none"/>
        </w:rPr>
      </w:r>
      <w:bookmarkStart w:id="4" w:name="_Toc28359012"/>
      <w:r>
        <w:rPr>
          <w:highlight w:val="none"/>
        </w:rPr>
      </w:r>
      <w:bookmarkStart w:id="5" w:name="_Toc35393629"/>
      <w:r>
        <w:rPr>
          <w:highlight w:val="none"/>
        </w:rPr>
      </w:r>
      <w:bookmarkStart w:id="6" w:name="_Toc35393798"/>
      <w:r>
        <w:rPr>
          <w:highlight w:val="none"/>
        </w:rPr>
      </w:r>
      <w:bookmarkStart w:id="7" w:name="_Toc28359089"/>
      <w:r>
        <w:rPr>
          <w:b/>
          <w:bCs/>
          <w:sz w:val="24"/>
          <w:highlight w:val="none"/>
        </w:rPr>
        <w:t xml:space="preserve">项目基本情况</w:t>
      </w:r>
      <w:bookmarkEnd w:id="4"/>
      <w:r>
        <w:rPr>
          <w:highlight w:val="none"/>
        </w:rPr>
      </w:r>
      <w:bookmarkEnd w:id="5"/>
      <w:r>
        <w:rPr>
          <w:highlight w:val="none"/>
        </w:rPr>
      </w:r>
      <w:bookmarkEnd w:id="6"/>
      <w:r>
        <w:rPr>
          <w:highlight w:val="none"/>
        </w:rPr>
      </w:r>
      <w:bookmarkEnd w:id="7"/>
      <w:r>
        <w:rPr>
          <w:highlight w:val="none"/>
        </w:rPr>
      </w:r>
      <w:r/>
    </w:p>
    <w:p>
      <w:pPr>
        <w:pStyle w:val="1008"/>
        <w:ind w:firstLine="480"/>
        <w:jc w:val="left"/>
        <w:spacing w:line="440" w:lineRule="exact"/>
        <w:widowControl/>
        <w:rPr>
          <w:b/>
          <w:bCs/>
          <w:sz w:val="24"/>
          <w:highlight w:val="none"/>
        </w:rPr>
      </w:pPr>
      <w:r>
        <w:rPr>
          <w:rFonts w:hint="eastAsia" w:cs="宋体"/>
          <w:color w:val="333333"/>
          <w:sz w:val="24"/>
          <w:highlight w:val="none"/>
          <w:lang w:bidi="ar"/>
        </w:rPr>
        <w:t xml:space="preserve">1、项目编号</w:t>
      </w:r>
      <w:r>
        <w:rPr>
          <w:rFonts w:hint="eastAsia" w:cs="宋体"/>
          <w:color w:val="333333"/>
          <w:sz w:val="24"/>
          <w:highlight w:val="none"/>
          <w:shd w:val="clear" w:color="auto" w:fill="ffffff"/>
          <w:lang w:bidi="ar"/>
        </w:rPr>
        <w:t xml:space="preserve">：</w:t>
      </w:r>
      <w:r>
        <w:rPr>
          <w:rFonts w:hint="eastAsia"/>
          <w:sz w:val="24"/>
          <w:highlight w:val="none"/>
        </w:rPr>
        <w:t xml:space="preserve"> JSZC-320900-HTGC-G2024-0012</w:t>
      </w:r>
      <w:r>
        <w:rPr>
          <w:highlight w:val="none"/>
        </w:rPr>
      </w:r>
      <w:r/>
    </w:p>
    <w:p>
      <w:pPr>
        <w:pStyle w:val="1008"/>
        <w:ind w:firstLine="480"/>
        <w:spacing w:line="360" w:lineRule="auto"/>
        <w:rPr>
          <w:rFonts w:hint="eastAsia"/>
          <w:sz w:val="24"/>
          <w:highlight w:val="none"/>
        </w:rPr>
      </w:pPr>
      <w:r>
        <w:rPr>
          <w:rFonts w:hint="eastAsia"/>
          <w:sz w:val="24"/>
          <w:highlight w:val="none"/>
        </w:rPr>
        <w:t xml:space="preserve">2、项目名称：盐城市第Ⅲ防洪区范围内排水户水质监管检测和大市区范围内城镇污水厂监管检测服务。 </w:t>
      </w:r>
      <w:r>
        <w:rPr>
          <w:highlight w:val="none"/>
        </w:rPr>
      </w:r>
      <w:r/>
    </w:p>
    <w:p>
      <w:pPr>
        <w:pStyle w:val="1008"/>
        <w:ind w:firstLine="480"/>
        <w:spacing w:line="360" w:lineRule="auto"/>
        <w:widowControl/>
        <w:rPr>
          <w:rFonts w:ascii="宋体" w:hAnsi="宋体" w:cs="宋体"/>
          <w:color w:val="333333"/>
          <w:sz w:val="24"/>
          <w:highlight w:val="none"/>
        </w:rPr>
      </w:pPr>
      <w:r>
        <w:rPr>
          <w:rFonts w:hint="eastAsia" w:ascii="宋体" w:hAnsi="宋体" w:cs="宋体"/>
          <w:color w:val="333333"/>
          <w:sz w:val="24"/>
          <w:highlight w:val="none"/>
          <w:lang w:bidi="ar"/>
        </w:rPr>
        <w:t xml:space="preserve">3、采购方式：公开招标</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4、预算金额：</w:t>
      </w:r>
      <w:r>
        <w:rPr>
          <w:rFonts w:hint="eastAsia" w:ascii="宋体" w:hAnsi="宋体" w:cs="宋体"/>
          <w:sz w:val="24"/>
          <w:highlight w:val="none"/>
          <w:lang w:bidi="ar"/>
        </w:rPr>
        <w:t xml:space="preserve">52</w:t>
      </w:r>
      <w:r>
        <w:rPr>
          <w:rFonts w:ascii="宋体" w:hAnsi="宋体" w:cs="宋体"/>
          <w:sz w:val="24"/>
          <w:highlight w:val="none"/>
          <w:lang w:bidi="ar"/>
        </w:rPr>
        <w:t xml:space="preserve">万元</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5、最高限价：</w:t>
      </w:r>
      <w:r>
        <w:rPr>
          <w:rFonts w:hint="eastAsia" w:ascii="宋体" w:hAnsi="宋体" w:cs="宋体"/>
          <w:sz w:val="24"/>
          <w:highlight w:val="none"/>
          <w:lang w:bidi="ar"/>
        </w:rPr>
        <w:t xml:space="preserve">52</w:t>
      </w:r>
      <w:r>
        <w:rPr>
          <w:rFonts w:ascii="宋体" w:hAnsi="宋体" w:cs="宋体"/>
          <w:sz w:val="24"/>
          <w:highlight w:val="none"/>
          <w:lang w:bidi="ar"/>
        </w:rPr>
        <w:t xml:space="preserve">万元</w:t>
      </w:r>
      <w:r>
        <w:rPr>
          <w:rFonts w:hint="eastAsia" w:ascii="宋体" w:hAnsi="宋体" w:cs="宋体"/>
          <w:sz w:val="24"/>
          <w:highlight w:val="none"/>
        </w:rPr>
        <w:t xml:space="preserve"> </w:t>
      </w:r>
      <w:r>
        <w:rPr>
          <w:highlight w:val="none"/>
        </w:rPr>
      </w:r>
      <w:r/>
    </w:p>
    <w:p>
      <w:pPr>
        <w:pStyle w:val="1008"/>
        <w:ind w:firstLine="480"/>
        <w:spacing w:line="360" w:lineRule="auto"/>
        <w:rPr>
          <w:rFonts w:hint="eastAsia" w:ascii="宋体" w:hAnsi="宋体"/>
          <w:sz w:val="24"/>
          <w:highlight w:val="none"/>
        </w:rPr>
      </w:pPr>
      <w:r>
        <w:rPr>
          <w:rFonts w:hint="eastAsia"/>
          <w:sz w:val="24"/>
          <w:highlight w:val="none"/>
        </w:rPr>
        <w:t xml:space="preserve">6、</w:t>
      </w:r>
      <w:r>
        <w:rPr>
          <w:rFonts w:hint="eastAsia" w:ascii="宋体" w:hAnsi="宋体" w:cs="宋体"/>
          <w:sz w:val="24"/>
          <w:highlight w:val="none"/>
          <w:shd w:val="clear" w:color="auto" w:fill="ffffff"/>
          <w:lang w:bidi="ar"/>
        </w:rPr>
        <w:t xml:space="preserve">采购需求：（</w:t>
      </w:r>
      <w:r>
        <w:rPr>
          <w:rFonts w:hint="eastAsia" w:ascii="宋体" w:hAnsi="宋体"/>
          <w:sz w:val="24"/>
          <w:highlight w:val="none"/>
        </w:rPr>
        <w:t xml:space="preserve">1）对大市区范围内污水厂进、出水水质开展水质监管和信息系统在线仪表数据可靠性比对等工作。（2）对大市区范围内已发证排水户出水水质进行检测。</w:t>
      </w:r>
      <w:r>
        <w:rPr>
          <w:rFonts w:hint="eastAsia" w:ascii="宋体" w:hAnsi="宋体" w:cs="宋体"/>
          <w:highlight w:val="none"/>
        </w:rPr>
        <w:t xml:space="preserve">（详细内容见</w:t>
      </w:r>
      <w:r>
        <w:rPr>
          <w:rFonts w:hint="eastAsia" w:ascii="宋体" w:hAnsi="宋体"/>
          <w:sz w:val="24"/>
          <w:highlight w:val="none"/>
          <w:lang w:val="en-US" w:eastAsia="zh-CN"/>
        </w:rPr>
        <w:t xml:space="preserve">本</w:t>
      </w:r>
      <w:r>
        <w:rPr>
          <w:rFonts w:hint="eastAsia" w:ascii="宋体" w:hAnsi="宋体"/>
          <w:sz w:val="24"/>
          <w:highlight w:val="none"/>
        </w:rPr>
        <w:t xml:space="preserve">招标文件第四章项目需求</w:t>
      </w:r>
      <w:r>
        <w:rPr>
          <w:rFonts w:hint="eastAsia" w:ascii="宋体" w:hAnsi="宋体"/>
          <w:sz w:val="24"/>
          <w:highlight w:val="none"/>
          <w:lang w:eastAsia="zh-CN"/>
        </w:rPr>
        <w:t xml:space="preserve">）</w:t>
      </w:r>
      <w:r>
        <w:rPr>
          <w:highlight w:val="none"/>
        </w:rPr>
      </w:r>
      <w:r/>
    </w:p>
    <w:p>
      <w:pPr>
        <w:pStyle w:val="1008"/>
        <w:ind w:firstLine="480"/>
        <w:spacing w:line="360" w:lineRule="auto"/>
        <w:rPr>
          <w:rFonts w:hint="eastAsia" w:ascii="宋体" w:hAnsi="宋体" w:cs="宋体"/>
          <w:color w:val="000000"/>
          <w:sz w:val="24"/>
          <w:szCs w:val="20"/>
          <w:highlight w:val="none"/>
        </w:rPr>
      </w:pPr>
      <w:r>
        <w:rPr>
          <w:rFonts w:hint="eastAsia"/>
          <w:sz w:val="24"/>
          <w:highlight w:val="none"/>
        </w:rPr>
        <w:t xml:space="preserve">7、</w:t>
      </w:r>
      <w:r>
        <w:rPr>
          <w:rFonts w:hint="eastAsia"/>
          <w:sz w:val="24"/>
          <w:highlight w:val="none"/>
        </w:rPr>
        <w:t xml:space="preserve">服务期限：</w:t>
      </w:r>
      <w:r>
        <w:rPr>
          <w:rFonts w:hint="eastAsia" w:ascii="宋体" w:hAnsi="宋体" w:cs="宋体"/>
          <w:color w:val="000000"/>
          <w:sz w:val="24"/>
          <w:szCs w:val="20"/>
          <w:highlight w:val="none"/>
        </w:rPr>
        <w:t xml:space="preserve">1年</w:t>
      </w:r>
      <w:r>
        <w:rPr>
          <w:highlight w:val="none"/>
        </w:rPr>
      </w:r>
      <w:r/>
    </w:p>
    <w:p>
      <w:pPr>
        <w:pStyle w:val="1008"/>
        <w:ind w:firstLine="480"/>
        <w:spacing w:line="360" w:lineRule="auto"/>
        <w:rPr>
          <w:rFonts w:hint="eastAsia"/>
          <w:sz w:val="24"/>
          <w:highlight w:val="none"/>
        </w:rPr>
      </w:pPr>
      <w:r>
        <w:rPr>
          <w:rFonts w:hint="eastAsia"/>
          <w:sz w:val="24"/>
          <w:highlight w:val="none"/>
        </w:rPr>
        <w:t xml:space="preserve">8、质量：按国家现行的规范和标准提供服务并达到采购人要求，成果资料真实、及时、可靠。</w:t>
      </w:r>
      <w:r>
        <w:rPr>
          <w:highlight w:val="none"/>
        </w:rPr>
      </w:r>
      <w:r/>
    </w:p>
    <w:p>
      <w:pPr>
        <w:pStyle w:val="1008"/>
        <w:ind w:firstLine="480"/>
        <w:spacing w:line="360" w:lineRule="auto"/>
        <w:rPr>
          <w:sz w:val="24"/>
          <w:highlight w:val="none"/>
        </w:rPr>
      </w:pPr>
      <w:r>
        <w:rPr>
          <w:rFonts w:hint="eastAsia"/>
          <w:sz w:val="24"/>
          <w:highlight w:val="none"/>
        </w:rPr>
        <w:t xml:space="preserve">9</w:t>
      </w:r>
      <w:r>
        <w:rPr>
          <w:sz w:val="24"/>
          <w:highlight w:val="none"/>
        </w:rPr>
        <w:t xml:space="preserve">、本项目</w:t>
      </w:r>
      <w:r>
        <w:rPr>
          <w:sz w:val="24"/>
          <w:highlight w:val="none"/>
          <w:u w:val="single"/>
        </w:rPr>
        <w:t xml:space="preserve">不接受</w:t>
      </w:r>
      <w:r>
        <w:rPr>
          <w:sz w:val="24"/>
          <w:highlight w:val="none"/>
        </w:rPr>
        <w:t xml:space="preserve">联合体投标。</w:t>
      </w:r>
      <w:r>
        <w:rPr>
          <w:highlight w:val="none"/>
        </w:rPr>
      </w:r>
      <w:r/>
    </w:p>
    <w:p>
      <w:pPr>
        <w:pStyle w:val="1016"/>
        <w:ind w:firstLine="482"/>
        <w:spacing w:line="360" w:lineRule="auto"/>
        <w:rPr>
          <w:rFonts w:hint="eastAsia" w:ascii="Times New Roman" w:hAnsi="Times New Roman" w:eastAsia="宋体"/>
          <w:b/>
          <w:bCs/>
          <w:sz w:val="24"/>
          <w:szCs w:val="24"/>
          <w:highlight w:val="none"/>
        </w:rPr>
      </w:pPr>
      <w:r>
        <w:rPr>
          <w:highlight w:val="none"/>
        </w:rPr>
      </w:r>
      <w:bookmarkStart w:id="8" w:name="_Toc28359014"/>
      <w:r>
        <w:rPr>
          <w:highlight w:val="none"/>
        </w:rPr>
      </w:r>
      <w:bookmarkStart w:id="9" w:name="_Toc35393631"/>
      <w:r>
        <w:rPr>
          <w:highlight w:val="none"/>
        </w:rPr>
      </w:r>
      <w:bookmarkStart w:id="10" w:name="_Toc35393800"/>
      <w:r>
        <w:rPr>
          <w:highlight w:val="none"/>
        </w:rPr>
      </w:r>
      <w:bookmarkStart w:id="11" w:name="_Toc28359091"/>
      <w:r>
        <w:rPr>
          <w:rFonts w:ascii="Times New Roman" w:hAnsi="Times New Roman" w:eastAsia="宋体"/>
          <w:b/>
          <w:bCs/>
          <w:sz w:val="24"/>
          <w:szCs w:val="24"/>
          <w:highlight w:val="none"/>
        </w:rPr>
        <w:t xml:space="preserve">二、</w:t>
      </w:r>
      <w:r>
        <w:rPr>
          <w:rFonts w:hint="eastAsia" w:ascii="Times New Roman" w:hAnsi="Times New Roman" w:eastAsia="宋体"/>
          <w:b/>
          <w:bCs/>
          <w:sz w:val="24"/>
          <w:szCs w:val="24"/>
          <w:highlight w:val="none"/>
        </w:rPr>
        <w:t xml:space="preserve">投标人资格要求：</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1.满足《中华人民共和国政府采购法》第二十二条规定，并提供下列材料；</w:t>
      </w:r>
      <w:r>
        <w:rPr>
          <w:highlight w:val="none"/>
        </w:rPr>
      </w:r>
      <w:r/>
    </w:p>
    <w:p>
      <w:pPr>
        <w:pStyle w:val="1008"/>
        <w:ind w:firstLine="480"/>
        <w:spacing w:line="360" w:lineRule="auto"/>
        <w:rPr>
          <w:rFonts w:hint="eastAsia" w:ascii="宋体" w:hAnsi="宋体"/>
          <w:sz w:val="24"/>
          <w:highlight w:val="none"/>
        </w:rPr>
      </w:pPr>
      <w:r>
        <w:rPr>
          <w:rFonts w:hint="eastAsia" w:ascii="宋体" w:hAnsi="宋体"/>
          <w:sz w:val="24"/>
          <w:highlight w:val="none"/>
        </w:rPr>
        <w:t xml:space="preserve">（1）法人或者其他组织的营业执照等证明文件，自然人的身份证明；</w:t>
      </w:r>
      <w:r>
        <w:rPr>
          <w:highlight w:val="none"/>
        </w:rPr>
      </w:r>
      <w:r/>
    </w:p>
    <w:p>
      <w:pPr>
        <w:pStyle w:val="1008"/>
        <w:ind w:firstLine="480"/>
        <w:spacing w:line="360" w:lineRule="auto"/>
        <w:rPr>
          <w:rFonts w:hint="eastAsia" w:ascii="宋体" w:hAnsi="宋体"/>
          <w:sz w:val="24"/>
          <w:highlight w:val="none"/>
        </w:rPr>
      </w:pPr>
      <w:r>
        <w:rPr>
          <w:rFonts w:hint="eastAsia" w:ascii="宋体" w:hAnsi="宋体"/>
          <w:sz w:val="24"/>
          <w:highlight w:val="none"/>
        </w:rPr>
        <w:t xml:space="preserve">（2）上一年度的财务状况报表（成立不满一年无需提供）；</w:t>
      </w:r>
      <w:r>
        <w:rPr>
          <w:highlight w:val="none"/>
        </w:rPr>
      </w:r>
      <w:r/>
    </w:p>
    <w:p>
      <w:pPr>
        <w:pStyle w:val="1008"/>
        <w:ind w:firstLine="480"/>
        <w:spacing w:line="360" w:lineRule="auto"/>
        <w:rPr>
          <w:rFonts w:hint="eastAsia" w:ascii="宋体" w:hAnsi="宋体"/>
          <w:sz w:val="24"/>
          <w:highlight w:val="none"/>
        </w:rPr>
      </w:pPr>
      <w:r>
        <w:rPr>
          <w:rFonts w:hint="eastAsia" w:ascii="宋体" w:hAnsi="宋体"/>
          <w:sz w:val="24"/>
          <w:highlight w:val="none"/>
        </w:rPr>
        <w:t xml:space="preserve">（3）依法缴纳税收和社会保障资金的相关材料（提供提交</w:t>
      </w:r>
      <w:r>
        <w:rPr>
          <w:rFonts w:hint="eastAsia" w:ascii="宋体" w:hAnsi="宋体"/>
          <w:sz w:val="24"/>
          <w:highlight w:val="none"/>
          <w:lang w:eastAsia="zh-CN"/>
        </w:rPr>
        <w:t xml:space="preserve">投标文件</w:t>
      </w:r>
      <w:r>
        <w:rPr>
          <w:rFonts w:hint="eastAsia" w:ascii="宋体" w:hAnsi="宋体"/>
          <w:sz w:val="24"/>
          <w:highlight w:val="none"/>
        </w:rPr>
        <w:t xml:space="preserve">截止时间前一年内至少一个月依法缴纳税收及缴纳社会保障资金的证明材料。供应商依法享受缓缴、免缴税收、社会保障资金的提供证明材料）；</w:t>
      </w:r>
      <w:r>
        <w:rPr>
          <w:highlight w:val="none"/>
        </w:rPr>
      </w:r>
      <w:r/>
    </w:p>
    <w:p>
      <w:pPr>
        <w:pStyle w:val="1008"/>
        <w:ind w:firstLine="480"/>
        <w:spacing w:line="360" w:lineRule="auto"/>
        <w:rPr>
          <w:rFonts w:hint="eastAsia" w:ascii="宋体" w:hAnsi="宋体"/>
          <w:sz w:val="24"/>
          <w:highlight w:val="none"/>
        </w:rPr>
      </w:pPr>
      <w:r>
        <w:rPr>
          <w:rFonts w:hint="eastAsia" w:ascii="宋体" w:hAnsi="宋体"/>
          <w:sz w:val="24"/>
          <w:highlight w:val="none"/>
        </w:rPr>
        <w:t xml:space="preserve">（4）具备履行合同所必需的设备和专业技术能力的书面声明；</w:t>
      </w:r>
      <w:r>
        <w:rPr>
          <w:highlight w:val="none"/>
        </w:rPr>
      </w:r>
      <w:r/>
    </w:p>
    <w:p>
      <w:pPr>
        <w:pStyle w:val="1008"/>
        <w:ind w:firstLine="480"/>
        <w:spacing w:line="360" w:lineRule="auto"/>
        <w:rPr>
          <w:rFonts w:hint="eastAsia" w:ascii="宋体" w:hAnsi="宋体"/>
          <w:sz w:val="24"/>
          <w:highlight w:val="none"/>
        </w:rPr>
      </w:pPr>
      <w:r>
        <w:rPr>
          <w:rFonts w:hint="eastAsia" w:ascii="宋体" w:hAnsi="宋体"/>
          <w:sz w:val="24"/>
          <w:highlight w:val="none"/>
        </w:rPr>
        <w:t xml:space="preserve">（5）参加政府采购活动前3年内在经营活动中没有重大违法记录的书面声明；</w:t>
      </w:r>
      <w:r>
        <w:rPr>
          <w:highlight w:val="none"/>
        </w:rPr>
      </w:r>
      <w:r/>
    </w:p>
    <w:p>
      <w:pPr>
        <w:pStyle w:val="1008"/>
        <w:ind w:firstLine="480"/>
        <w:spacing w:line="360" w:lineRule="auto"/>
        <w:rPr>
          <w:rFonts w:hint="eastAsia" w:cs="宋体"/>
          <w:sz w:val="24"/>
          <w:highlight w:val="none"/>
        </w:rPr>
      </w:pPr>
      <w:r>
        <w:rPr>
          <w:rFonts w:hint="eastAsia" w:ascii="宋体" w:hAnsi="宋体"/>
          <w:sz w:val="24"/>
          <w:highlight w:val="none"/>
        </w:rPr>
        <w:t xml:space="preserve">（6）</w:t>
      </w:r>
      <w:r>
        <w:rPr>
          <w:rFonts w:hint="eastAsia" w:cs="宋体"/>
          <w:sz w:val="24"/>
          <w:highlight w:val="none"/>
        </w:rPr>
        <w:t xml:space="preserve">法律、行政法规规定的其他条件。</w:t>
      </w:r>
      <w:r>
        <w:rPr>
          <w:highlight w:val="none"/>
        </w:rPr>
      </w:r>
      <w:r/>
    </w:p>
    <w:p>
      <w:pPr>
        <w:pStyle w:val="1008"/>
        <w:ind w:firstLine="482"/>
        <w:spacing w:line="360" w:lineRule="auto"/>
        <w:rPr>
          <w:rFonts w:hint="eastAsia"/>
          <w:color w:val="ff0000"/>
          <w:sz w:val="24"/>
          <w:highlight w:val="none"/>
        </w:rPr>
      </w:pPr>
      <w:r>
        <w:rPr>
          <w:rFonts w:hint="eastAsia" w:ascii="宋体" w:hAnsi="宋体"/>
          <w:b/>
          <w:bCs/>
          <w:sz w:val="24"/>
          <w:highlight w:val="none"/>
        </w:rPr>
        <w:t xml:space="preserve">2.落实政府采购政策需满足的资格要求：</w:t>
      </w:r>
      <w:bookmarkStart w:id="12" w:name="_Toc523127445"/>
      <w:r>
        <w:rPr>
          <w:b/>
          <w:bCs/>
          <w:sz w:val="24"/>
          <w:highlight w:val="none"/>
        </w:rPr>
        <w:t xml:space="preserve">本</w:t>
      </w:r>
      <w:r>
        <w:rPr>
          <w:rFonts w:hint="eastAsia"/>
          <w:b/>
          <w:bCs/>
          <w:sz w:val="24"/>
          <w:highlight w:val="none"/>
        </w:rPr>
        <w:t xml:space="preserve">项目</w:t>
      </w:r>
      <w:r>
        <w:rPr>
          <w:b/>
          <w:bCs/>
          <w:sz w:val="24"/>
          <w:highlight w:val="none"/>
        </w:rPr>
        <w:t xml:space="preserve">专门面向中小微企业采购，只接受中小微企业投标</w:t>
      </w:r>
      <w:bookmarkEnd w:id="12"/>
      <w:r>
        <w:rPr>
          <w:b/>
          <w:bCs/>
          <w:sz w:val="24"/>
          <w:highlight w:val="none"/>
        </w:rPr>
        <w:t xml:space="preserve">（须提供中小企业声明函）</w:t>
      </w:r>
      <w:r>
        <w:rPr>
          <w:rFonts w:hint="eastAsia"/>
          <w:b/>
          <w:bCs/>
          <w:sz w:val="24"/>
          <w:highlight w:val="none"/>
        </w:rPr>
        <w:t xml:space="preserve">，</w:t>
      </w:r>
      <w:r>
        <w:rPr>
          <w:b/>
          <w:bCs/>
          <w:sz w:val="24"/>
          <w:highlight w:val="none"/>
        </w:rPr>
        <w:t xml:space="preserve">不接受非中小型企业参与本项目投标。</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 3.本项目的特定资格要求：</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（1）投标人具有省级及以上计量行政部门核发的检测单位具有CMA认证（中国计量认证）检测资质，认定的检测项目包含本项目检测内容。（投标文件中提供有效的证书复印件并加盖投标人公章）。</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（2）未被“信用中国”网站（www.creditchina.gov.cn）列入失信被执行人、重大税收违法案件当事人名单、政府采购严重失信行为记录名单。</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（3）单位负责人为同一人或者存在直接控股、管理关系的不同供应商，不得参加同一合同项下的政府采购活动。</w:t>
      </w:r>
      <w:r>
        <w:rPr>
          <w:highlight w:val="none"/>
        </w:rPr>
      </w:r>
      <w:r/>
    </w:p>
    <w:p>
      <w:pPr>
        <w:pStyle w:val="1126"/>
        <w:ind w:firstLine="482"/>
        <w:jc w:val="left"/>
        <w:spacing w:line="360" w:lineRule="auto"/>
        <w:tabs>
          <w:tab w:val="left" w:pos="0" w:leader="none"/>
          <w:tab w:val="left" w:pos="3165" w:leader="none"/>
          <w:tab w:val="center" w:pos="4153" w:leader="none"/>
        </w:tabs>
        <w:rPr>
          <w:rFonts w:hint="eastAsia" w:ascii="宋体" w:hAnsi="宋体" w:eastAsia="宋体" w:cs="宋体"/>
          <w:b/>
          <w:bCs/>
          <w:sz w:val="24"/>
          <w:szCs w:val="24"/>
          <w:highlight w:val="none"/>
        </w:rPr>
      </w:pPr>
      <w:r>
        <w:rPr>
          <w:highlight w:val="none"/>
        </w:rPr>
      </w:r>
      <w:bookmarkStart w:id="13" w:name="_Toc35393792"/>
      <w:r>
        <w:rPr>
          <w:highlight w:val="none"/>
        </w:rPr>
      </w:r>
      <w:bookmarkStart w:id="14" w:name="_Toc35393623"/>
      <w:r>
        <w:rPr>
          <w:rFonts w:hint="eastAsia" w:ascii="宋体" w:hAnsi="宋体" w:eastAsia="宋体" w:cs="宋体"/>
          <w:b/>
          <w:bCs/>
          <w:sz w:val="24"/>
          <w:szCs w:val="24"/>
          <w:highlight w:val="none"/>
          <w:lang w:eastAsia="zh-CN"/>
        </w:rPr>
        <w:t xml:space="preserve">三、获取招标文件</w:t>
      </w:r>
      <w:bookmarkEnd w:id="13"/>
      <w:r>
        <w:rPr>
          <w:highlight w:val="none"/>
        </w:rPr>
      </w:r>
      <w:bookmarkEnd w:id="14"/>
      <w:r>
        <w:rPr>
          <w:highlight w:val="none"/>
        </w:rPr>
      </w:r>
      <w:r/>
    </w:p>
    <w:p>
      <w:pPr>
        <w:pStyle w:val="1008"/>
        <w:ind w:firstLine="540"/>
        <w:spacing w:line="360" w:lineRule="auto"/>
        <w:rPr>
          <w:rFonts w:ascii="宋体" w:hAnsi="宋体" w:cs="宋体"/>
          <w:sz w:val="24"/>
          <w:highlight w:val="none"/>
        </w:rPr>
      </w:pPr>
      <w:r>
        <w:rPr>
          <w:highlight w:val="none"/>
        </w:rPr>
      </w:r>
      <w:bookmarkStart w:id="15" w:name="_Toc28359082"/>
      <w:r>
        <w:rPr>
          <w:highlight w:val="none"/>
        </w:rPr>
      </w:r>
      <w:bookmarkStart w:id="16" w:name="_Toc28359005"/>
      <w:r>
        <w:rPr>
          <w:highlight w:val="none"/>
        </w:rPr>
      </w:r>
      <w:bookmarkStart w:id="17" w:name="_Toc35393624"/>
      <w:r>
        <w:rPr>
          <w:highlight w:val="none"/>
        </w:rPr>
      </w:r>
      <w:bookmarkStart w:id="18" w:name="_Toc35393793"/>
      <w:r>
        <w:rPr>
          <w:rFonts w:hint="eastAsia" w:ascii="宋体" w:hAnsi="宋体" w:cs="宋体"/>
          <w:sz w:val="24"/>
          <w:highlight w:val="none"/>
        </w:rPr>
        <w:t xml:space="preserve">1、时间：</w:t>
      </w:r>
      <w:r>
        <w:rPr>
          <w:rFonts w:hint="eastAsia" w:ascii="宋体" w:hAnsi="宋体" w:cs="宋体"/>
          <w:sz w:val="24"/>
          <w:highlight w:val="none"/>
        </w:rPr>
        <w:t xml:space="preserve">2024年</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 月</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 日-2024年</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 日</w:t>
      </w:r>
      <w:r>
        <w:rPr>
          <w:rFonts w:hint="eastAsia" w:ascii="宋体" w:hAnsi="宋体" w:cs="宋体"/>
          <w:sz w:val="24"/>
          <w:highlight w:val="none"/>
        </w:rPr>
        <w:t xml:space="preserve">；每天上午8:30-11:30，下午2:30-18：00（北京时间，法定节假日除外）</w:t>
      </w:r>
      <w:r>
        <w:rPr>
          <w:highlight w:val="none"/>
        </w:rPr>
      </w:r>
      <w:r/>
    </w:p>
    <w:p>
      <w:pPr>
        <w:pStyle w:val="1008"/>
        <w:ind w:firstLine="540"/>
        <w:spacing w:line="360" w:lineRule="auto"/>
        <w:rPr>
          <w:rFonts w:ascii="宋体" w:hAnsi="宋体" w:cs="宋体"/>
          <w:sz w:val="24"/>
          <w:highlight w:val="none"/>
        </w:rPr>
      </w:pPr>
      <w:r>
        <w:rPr>
          <w:rFonts w:hint="eastAsia" w:ascii="宋体" w:hAnsi="宋体" w:cs="宋体"/>
          <w:sz w:val="24"/>
          <w:highlight w:val="none"/>
        </w:rPr>
        <w:t xml:space="preserve">2、地点：</w:t>
      </w:r>
      <w:r>
        <w:rPr>
          <w:rFonts w:ascii="宋体" w:hAnsi="宋体" w:eastAsia="宋体" w:cs="宋体"/>
          <w:color w:val="000000"/>
          <w:sz w:val="24"/>
          <w:highlight w:val="none"/>
        </w:rPr>
        <w:t xml:space="preserve">中国政府采购网、江苏政府采购网、盐城市政府采购网</w:t>
      </w:r>
      <w:r>
        <w:rPr>
          <w:highlight w:val="none"/>
        </w:rPr>
      </w:r>
      <w:r/>
    </w:p>
    <w:p>
      <w:pPr>
        <w:pStyle w:val="1008"/>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3、</w:t>
      </w:r>
      <w:r>
        <w:rPr>
          <w:rFonts w:hint="eastAsia" w:ascii="宋体" w:hAnsi="宋体" w:eastAsia="宋体" w:cs="宋体"/>
          <w:color w:val="000000"/>
          <w:sz w:val="24"/>
          <w:highlight w:val="none"/>
        </w:rPr>
        <w:t xml:space="preserve">方式：</w:t>
      </w:r>
      <w:r>
        <w:rPr>
          <w:rFonts w:ascii="宋体" w:hAnsi="宋体" w:eastAsia="宋体" w:cs="宋体"/>
          <w:color w:val="000000"/>
          <w:sz w:val="24"/>
          <w:highlight w:val="none"/>
        </w:rPr>
        <w:t xml:space="preserve">在“中国政府采购网”、“江苏政府采购网”、“盐城市政府采购网”自行免费下载招标文件。</w:t>
      </w:r>
      <w:r>
        <w:rPr>
          <w:highlight w:val="none"/>
        </w:rPr>
      </w:r>
      <w:r/>
    </w:p>
    <w:p>
      <w:pPr>
        <w:pStyle w:val="1008"/>
        <w:ind w:firstLine="540"/>
        <w:spacing w:line="360" w:lineRule="auto"/>
        <w:rPr>
          <w:rFonts w:ascii="宋体" w:hAnsi="宋体" w:cs="宋体"/>
          <w:sz w:val="24"/>
          <w:highlight w:val="none"/>
        </w:rPr>
      </w:pPr>
      <w:r>
        <w:rPr>
          <w:rFonts w:hint="eastAsia" w:ascii="宋体" w:hAnsi="宋体" w:cs="宋体"/>
          <w:sz w:val="24"/>
          <w:highlight w:val="none"/>
        </w:rPr>
        <w:t xml:space="preserve">4、售价：0元。</w:t>
      </w:r>
      <w:r>
        <w:rPr>
          <w:highlight w:val="none"/>
        </w:rPr>
      </w:r>
      <w:r/>
    </w:p>
    <w:p>
      <w:pPr>
        <w:pStyle w:val="1126"/>
        <w:ind w:firstLine="482"/>
        <w:jc w:val="left"/>
        <w:spacing w:line="360" w:lineRule="auto"/>
        <w:tabs>
          <w:tab w:val="left" w:pos="0" w:leader="none"/>
          <w:tab w:val="left" w:pos="3165" w:leader="none"/>
          <w:tab w:val="center" w:pos="4153"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四、提交投标文件</w:t>
      </w:r>
      <w:bookmarkEnd w:id="15"/>
      <w:r>
        <w:rPr>
          <w:highlight w:val="none"/>
        </w:rPr>
      </w:r>
      <w:bookmarkEnd w:id="16"/>
      <w:r>
        <w:rPr>
          <w:rFonts w:hint="eastAsia" w:ascii="宋体" w:hAnsi="宋体" w:eastAsia="宋体" w:cs="宋体"/>
          <w:b/>
          <w:bCs/>
          <w:sz w:val="24"/>
          <w:szCs w:val="24"/>
          <w:highlight w:val="none"/>
          <w:lang w:eastAsia="zh-CN"/>
        </w:rPr>
        <w:t xml:space="preserve">截止时间、开标时间和地点</w:t>
      </w:r>
      <w:bookmarkEnd w:id="17"/>
      <w:r>
        <w:rPr>
          <w:highlight w:val="none"/>
        </w:rPr>
      </w:r>
      <w:bookmarkEnd w:id="18"/>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截止时间：</w:t>
      </w:r>
      <w:r>
        <w:rPr>
          <w:rFonts w:hint="eastAsia" w:ascii="宋体" w:hAnsi="宋体" w:cs="宋体"/>
          <w:sz w:val="24"/>
          <w:highlight w:val="none"/>
          <w:u w:val="single"/>
        </w:rPr>
        <w:t xml:space="preserve">2024年 </w:t>
      </w:r>
      <w:r>
        <w:rPr>
          <w:rFonts w:hint="eastAsia" w:ascii="宋体" w:hAnsi="宋体" w:cs="宋体"/>
          <w:sz w:val="24"/>
          <w:highlight w:val="none"/>
          <w:u w:val="single"/>
          <w:lang w:val="en-US" w:eastAsia="zh-CN"/>
        </w:rPr>
        <w:t xml:space="preserve">7</w:t>
      </w:r>
      <w:r>
        <w:rPr>
          <w:rFonts w:hint="eastAsia" w:ascii="宋体" w:hAnsi="宋体" w:cs="宋体"/>
          <w:sz w:val="24"/>
          <w:highlight w:val="none"/>
          <w:u w:val="single"/>
        </w:rPr>
        <w:t xml:space="preserve"> 月</w:t>
      </w:r>
      <w:r>
        <w:rPr>
          <w:rFonts w:hint="eastAsia" w:ascii="宋体" w:hAnsi="宋体" w:cs="宋体"/>
          <w:sz w:val="24"/>
          <w:highlight w:val="none"/>
          <w:u w:val="single"/>
          <w:lang w:val="en-US" w:eastAsia="zh-CN"/>
        </w:rPr>
        <w:t xml:space="preserve">29</w:t>
      </w:r>
      <w:r>
        <w:rPr>
          <w:rFonts w:hint="eastAsia" w:ascii="宋体" w:hAnsi="宋体" w:cs="宋体"/>
          <w:sz w:val="24"/>
          <w:highlight w:val="none"/>
          <w:u w:val="single"/>
        </w:rPr>
        <w:t xml:space="preserve">日 </w:t>
      </w:r>
      <w:r>
        <w:rPr>
          <w:rFonts w:hint="eastAsia" w:ascii="宋体" w:hAnsi="宋体" w:cs="宋体"/>
          <w:sz w:val="24"/>
          <w:highlight w:val="none"/>
          <w:u w:val="single"/>
          <w:lang w:val="en-US" w:eastAsia="zh-CN"/>
        </w:rPr>
        <w:t xml:space="preserve">15</w:t>
      </w:r>
      <w:r>
        <w:rPr>
          <w:rFonts w:hint="eastAsia" w:ascii="宋体" w:hAnsi="宋体" w:cs="宋体"/>
          <w:sz w:val="24"/>
          <w:highlight w:val="none"/>
          <w:u w:val="single"/>
        </w:rPr>
        <w:t xml:space="preserve"> 点00分</w:t>
      </w:r>
      <w:r>
        <w:rPr>
          <w:rFonts w:hint="eastAsia" w:ascii="宋体" w:hAnsi="宋体" w:cs="宋体"/>
          <w:sz w:val="24"/>
          <w:highlight w:val="none"/>
        </w:rPr>
        <w:t xml:space="preserve">（</w:t>
      </w:r>
      <w:r>
        <w:rPr>
          <w:rFonts w:hint="eastAsia" w:ascii="宋体" w:hAnsi="宋体" w:cs="宋体"/>
          <w:bCs/>
          <w:sz w:val="24"/>
          <w:highlight w:val="none"/>
        </w:rPr>
        <w:t xml:space="preserve">北京时间）</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地点：盐城市第Ⅲ防洪区水环境综合治理项目管理办公室小会议室（盐城市世纪大道16号）。</w:t>
      </w:r>
      <w:r>
        <w:rPr>
          <w:highlight w:val="none"/>
        </w:rPr>
      </w:r>
      <w:r/>
    </w:p>
    <w:p>
      <w:pPr>
        <w:pStyle w:val="1008"/>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bookmarkStart w:id="19" w:name="_Toc35393625"/>
      <w:r>
        <w:rPr>
          <w:highlight w:val="none"/>
        </w:rPr>
      </w:r>
      <w:bookmarkStart w:id="20" w:name="_Toc28359084"/>
      <w:r>
        <w:rPr>
          <w:highlight w:val="none"/>
        </w:rPr>
      </w:r>
      <w:bookmarkStart w:id="21" w:name="_Toc35393794"/>
      <w:r>
        <w:rPr>
          <w:highlight w:val="none"/>
        </w:rPr>
      </w:r>
      <w:bookmarkStart w:id="22" w:name="_Toc28359007"/>
      <w:r>
        <w:rPr>
          <w:rFonts w:ascii="宋体" w:hAnsi="宋体" w:cs="宋体"/>
          <w:b/>
          <w:color w:val="000000"/>
          <w:sz w:val="24"/>
          <w:highlight w:val="none"/>
        </w:rPr>
        <w:t xml:space="preserve">五、开启</w:t>
      </w:r>
      <w:r>
        <w:rPr>
          <w:highlight w:val="none"/>
        </w:rPr>
      </w:r>
      <w:r/>
    </w:p>
    <w:p>
      <w:pPr>
        <w:pStyle w:val="1008"/>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1.时间：</w:t>
      </w:r>
      <w:r>
        <w:rPr>
          <w:rFonts w:hint="eastAsia" w:ascii="宋体" w:hAnsi="宋体" w:cs="宋体"/>
          <w:color w:val="000000"/>
          <w:sz w:val="24"/>
          <w:highlight w:val="none"/>
        </w:rPr>
        <w:t xml:space="preserve">同递交截止时间</w:t>
      </w:r>
      <w:r>
        <w:rPr>
          <w:highlight w:val="none"/>
        </w:rPr>
      </w:r>
      <w:r/>
    </w:p>
    <w:p>
      <w:pPr>
        <w:pStyle w:val="1008"/>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2.地点：</w:t>
      </w:r>
      <w:r>
        <w:rPr>
          <w:rFonts w:hint="eastAsia" w:ascii="宋体" w:hAnsi="宋体" w:cs="宋体"/>
          <w:color w:val="000000"/>
          <w:sz w:val="24"/>
          <w:highlight w:val="none"/>
        </w:rPr>
        <w:t xml:space="preserve">同递交截止地点</w:t>
      </w:r>
      <w:r>
        <w:rPr>
          <w:highlight w:val="none"/>
        </w:rPr>
      </w:r>
      <w:r/>
    </w:p>
    <w:p>
      <w:pPr>
        <w:pStyle w:val="1126"/>
        <w:ind w:firstLine="482"/>
        <w:jc w:val="left"/>
        <w:spacing w:line="360" w:lineRule="auto"/>
        <w:tabs>
          <w:tab w:val="left" w:pos="0" w:leader="none"/>
          <w:tab w:val="left" w:pos="3165" w:leader="none"/>
          <w:tab w:val="center" w:pos="4153"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六、公告期限</w:t>
      </w:r>
      <w:bookmarkEnd w:id="19"/>
      <w:r>
        <w:rPr>
          <w:highlight w:val="none"/>
        </w:rPr>
      </w:r>
      <w:bookmarkEnd w:id="20"/>
      <w:r>
        <w:rPr>
          <w:highlight w:val="none"/>
        </w:rPr>
      </w:r>
      <w:bookmarkEnd w:id="21"/>
      <w:r>
        <w:rPr>
          <w:highlight w:val="none"/>
        </w:rPr>
      </w:r>
      <w:bookmarkEnd w:id="22"/>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自本公告发布之日起5个工作日。</w:t>
      </w:r>
      <w:bookmarkStart w:id="23" w:name="_Toc35393795"/>
      <w:r>
        <w:rPr>
          <w:highlight w:val="none"/>
        </w:rPr>
      </w:r>
      <w:bookmarkStart w:id="24" w:name="_Toc35393626"/>
      <w:r>
        <w:rPr>
          <w:highlight w:val="none"/>
        </w:rPr>
      </w:r>
      <w:r/>
    </w:p>
    <w:p>
      <w:pPr>
        <w:pStyle w:val="1008"/>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七、其他补充事宜</w:t>
      </w:r>
      <w:bookmarkEnd w:id="23"/>
      <w:r>
        <w:rPr>
          <w:highlight w:val="none"/>
        </w:rPr>
      </w:r>
      <w:bookmarkEnd w:id="24"/>
      <w:r>
        <w:rPr>
          <w:highlight w:val="none"/>
        </w:rPr>
      </w:r>
      <w:r/>
    </w:p>
    <w:p>
      <w:pPr>
        <w:pStyle w:val="1008"/>
        <w:ind w:firstLine="480"/>
        <w:jc w:val="left"/>
        <w:spacing w:line="360" w:lineRule="auto"/>
        <w:widowControl/>
        <w:rPr>
          <w:rFonts w:cs="宋体"/>
          <w:color w:val="333333"/>
          <w:sz w:val="24"/>
          <w:highlight w:val="none"/>
        </w:rPr>
      </w:pPr>
      <w:r>
        <w:rPr>
          <w:highlight w:val="none"/>
        </w:rPr>
      </w:r>
      <w:bookmarkEnd w:id="8"/>
      <w:r>
        <w:rPr>
          <w:highlight w:val="none"/>
        </w:rPr>
      </w:r>
      <w:bookmarkEnd w:id="9"/>
      <w:r>
        <w:rPr>
          <w:highlight w:val="none"/>
        </w:rPr>
      </w:r>
      <w:bookmarkEnd w:id="10"/>
      <w:r>
        <w:rPr>
          <w:highlight w:val="none"/>
        </w:rPr>
      </w:r>
      <w:bookmarkEnd w:id="11"/>
      <w:r>
        <w:rPr>
          <w:highlight w:val="none"/>
        </w:rPr>
      </w:r>
      <w:bookmarkStart w:id="25" w:name="_Toc6462"/>
      <w:r>
        <w:rPr>
          <w:highlight w:val="none"/>
        </w:rPr>
      </w:r>
      <w:bookmarkStart w:id="26" w:name="_Toc1894"/>
      <w:r>
        <w:rPr>
          <w:rFonts w:hint="eastAsia" w:cs="宋体"/>
          <w:color w:val="333333"/>
          <w:sz w:val="24"/>
          <w:highlight w:val="none"/>
          <w:lang w:bidi="ar"/>
        </w:rPr>
        <w:t xml:space="preserve">1. 投标文件正本1份，副本3份，电子投标文件1份（内容：按要求签字盖章的正本彩色扫描件1份；格式：PDF；载体：U盘。）直接放入封袋中。</w:t>
      </w:r>
      <w:r>
        <w:rPr>
          <w:highlight w:val="none"/>
        </w:rPr>
      </w:r>
      <w:r/>
    </w:p>
    <w:p>
      <w:pPr>
        <w:pStyle w:val="1008"/>
        <w:ind w:firstLine="480"/>
        <w:jc w:val="left"/>
        <w:spacing w:line="360" w:lineRule="auto"/>
        <w:widowControl/>
        <w:rPr>
          <w:rFonts w:cs="宋体"/>
          <w:color w:val="333333"/>
          <w:sz w:val="24"/>
          <w:highlight w:val="none"/>
        </w:rPr>
      </w:pPr>
      <w:r>
        <w:rPr>
          <w:rFonts w:hint="eastAsia" w:cs="宋体"/>
          <w:color w:val="333333"/>
          <w:sz w:val="24"/>
          <w:highlight w:val="none"/>
          <w:lang w:bidi="ar"/>
        </w:rPr>
        <w:t xml:space="preserve">2. 投标人的法定代表人（或委托代理人）需携带其二代身份证原件准时出席开标会议，否则做无效标处理。</w:t>
      </w:r>
      <w:r>
        <w:rPr>
          <w:highlight w:val="none"/>
        </w:rPr>
      </w:r>
      <w:r/>
    </w:p>
    <w:p>
      <w:pPr>
        <w:pStyle w:val="1008"/>
        <w:ind w:firstLine="480"/>
        <w:jc w:val="left"/>
        <w:spacing w:line="360" w:lineRule="auto"/>
        <w:shd w:val="clear" w:color="auto" w:fill="ffffff"/>
        <w:widowControl/>
        <w:rPr>
          <w:rFonts w:cs="宋体"/>
          <w:color w:val="333333"/>
          <w:sz w:val="24"/>
          <w:highlight w:val="none"/>
        </w:rPr>
      </w:pPr>
      <w:r>
        <w:rPr>
          <w:highlight w:val="none"/>
        </w:rPr>
      </w:r>
      <w:bookmarkStart w:id="27" w:name="_Toc35393796"/>
      <w:r>
        <w:rPr>
          <w:highlight w:val="none"/>
        </w:rPr>
      </w:r>
      <w:bookmarkEnd w:id="27"/>
      <w:r>
        <w:rPr>
          <w:rFonts w:hint="eastAsia" w:cs="宋体"/>
          <w:color w:val="333333"/>
          <w:sz w:val="24"/>
          <w:highlight w:val="none"/>
          <w:shd w:val="clear" w:color="auto" w:fill="ffffff"/>
          <w:lang w:bidi="ar"/>
        </w:rPr>
        <w:t xml:space="preserve">3</w:t>
      </w:r>
      <w:r>
        <w:rPr>
          <w:rFonts w:hint="eastAsia" w:cs="宋体"/>
          <w:color w:val="333333"/>
          <w:sz w:val="24"/>
          <w:highlight w:val="none"/>
          <w:lang w:bidi="ar"/>
        </w:rPr>
        <w:t xml:space="preserve">. </w:t>
      </w:r>
      <w:r>
        <w:rPr>
          <w:rFonts w:hint="eastAsia" w:cs="宋体"/>
          <w:color w:val="333333"/>
          <w:sz w:val="24"/>
          <w:highlight w:val="none"/>
          <w:shd w:val="clear" w:color="auto" w:fill="ffffff"/>
          <w:lang w:bidi="ar"/>
        </w:rPr>
        <w:t xml:space="preserve">本次招标不收取投标保证金，不收取质保金。</w:t>
      </w:r>
      <w:r>
        <w:rPr>
          <w:highlight w:val="none"/>
        </w:rPr>
      </w:r>
      <w:r/>
    </w:p>
    <w:p>
      <w:pPr>
        <w:pStyle w:val="1008"/>
        <w:ind w:firstLine="480"/>
        <w:spacing w:line="360" w:lineRule="auto"/>
        <w:rPr>
          <w:rFonts w:hint="eastAsia"/>
          <w:sz w:val="24"/>
          <w:highlight w:val="none"/>
        </w:rPr>
      </w:pPr>
      <w:r>
        <w:rPr>
          <w:rFonts w:hint="eastAsia"/>
          <w:sz w:val="24"/>
          <w:highlight w:val="none"/>
        </w:rPr>
        <w:t xml:space="preserve">4.本工程严禁挂靠、转包，一经核实挂靠、转包的，将被取消投标、中标资格，并按相关规定进行处罚，直至建议有关部门吊销资质证书。  </w:t>
      </w:r>
      <w:r>
        <w:rPr>
          <w:highlight w:val="none"/>
        </w:rPr>
      </w:r>
      <w:r/>
    </w:p>
    <w:p>
      <w:pPr>
        <w:pStyle w:val="1008"/>
        <w:ind w:firstLine="480"/>
        <w:jc w:val="left"/>
        <w:spacing w:line="360" w:lineRule="auto"/>
        <w:shd w:val="clear" w:color="auto" w:fill="ffffff"/>
        <w:widowControl/>
        <w:rPr>
          <w:rFonts w:hint="eastAsia" w:cs="宋体"/>
          <w:color w:val="333333"/>
          <w:sz w:val="24"/>
          <w:highlight w:val="none"/>
          <w:shd w:val="clear" w:color="auto" w:fill="ffffff"/>
        </w:rPr>
      </w:pPr>
      <w:r>
        <w:rPr>
          <w:rFonts w:hint="eastAsia" w:cs="宋体"/>
          <w:color w:val="333333"/>
          <w:sz w:val="24"/>
          <w:highlight w:val="none"/>
          <w:shd w:val="clear" w:color="auto" w:fill="ffffff"/>
          <w:lang w:bidi="ar"/>
        </w:rPr>
        <w:t xml:space="preserve">5.注意事项：有关本次招标事项若存在变动或修改，敬请及时关注“中国政府采购网”、“江苏政府采购网”、“盐城市政府采购网”发布的更正公告信息。</w:t>
      </w:r>
      <w:r>
        <w:rPr>
          <w:highlight w:val="none"/>
        </w:rPr>
      </w:r>
      <w:r/>
    </w:p>
    <w:p>
      <w:pPr>
        <w:pStyle w:val="1008"/>
        <w:ind w:firstLine="482"/>
        <w:spacing w:line="360" w:lineRule="auto"/>
        <w:rPr>
          <w:highlight w:val="none"/>
        </w:rPr>
      </w:pPr>
      <w:r>
        <w:rPr>
          <w:highlight w:val="none"/>
        </w:rPr>
      </w:r>
      <w:bookmarkStart w:id="28" w:name="_Toc35393636"/>
      <w:r>
        <w:rPr>
          <w:highlight w:val="none"/>
        </w:rPr>
      </w:r>
      <w:bookmarkStart w:id="29" w:name="_Toc28359018"/>
      <w:r>
        <w:rPr>
          <w:highlight w:val="none"/>
        </w:rPr>
      </w:r>
      <w:bookmarkStart w:id="30" w:name="_Toc28359095"/>
      <w:r>
        <w:rPr>
          <w:highlight w:val="none"/>
        </w:rPr>
      </w:r>
      <w:bookmarkStart w:id="31" w:name="_Toc35393805"/>
      <w:r>
        <w:rPr>
          <w:rFonts w:hint="eastAsia"/>
          <w:b/>
          <w:sz w:val="24"/>
          <w:highlight w:val="none"/>
        </w:rPr>
        <w:t xml:space="preserve">八</w:t>
      </w:r>
      <w:r>
        <w:rPr>
          <w:b/>
          <w:sz w:val="24"/>
          <w:highlight w:val="none"/>
        </w:rPr>
        <w:t xml:space="preserve">、凡对本次</w:t>
      </w:r>
      <w:r>
        <w:rPr>
          <w:rFonts w:hint="eastAsia"/>
          <w:b/>
          <w:sz w:val="24"/>
          <w:highlight w:val="none"/>
        </w:rPr>
        <w:t xml:space="preserve">招标</w:t>
      </w:r>
      <w:r>
        <w:rPr>
          <w:b/>
          <w:sz w:val="24"/>
          <w:highlight w:val="none"/>
        </w:rPr>
        <w:t xml:space="preserve">提出询问，请按以下方式联系。</w:t>
      </w:r>
      <w:bookmarkEnd w:id="28"/>
      <w:r>
        <w:rPr>
          <w:highlight w:val="none"/>
        </w:rPr>
      </w:r>
      <w:bookmarkEnd w:id="29"/>
      <w:r>
        <w:rPr>
          <w:highlight w:val="none"/>
        </w:rPr>
      </w:r>
      <w:bookmarkEnd w:id="30"/>
      <w:r>
        <w:rPr>
          <w:highlight w:val="none"/>
        </w:rPr>
      </w:r>
      <w:bookmarkEnd w:id="31"/>
      <w:r>
        <w:rPr>
          <w:highlight w:val="none"/>
        </w:rPr>
      </w:r>
      <w:bookmarkStart w:id="32" w:name="_Toc35393806"/>
      <w:r>
        <w:rPr>
          <w:highlight w:val="none"/>
        </w:rPr>
      </w:r>
      <w:bookmarkStart w:id="33" w:name="_Toc28359019"/>
      <w:r>
        <w:rPr>
          <w:highlight w:val="none"/>
        </w:rPr>
      </w:r>
      <w:bookmarkStart w:id="34" w:name="_Toc28359096"/>
      <w:r>
        <w:rPr>
          <w:highlight w:val="none"/>
        </w:rPr>
      </w:r>
      <w:bookmarkStart w:id="35" w:name="_Toc35393637"/>
      <w:r>
        <w:rPr>
          <w:highlight w:val="none"/>
        </w:rPr>
      </w:r>
      <w:r/>
    </w:p>
    <w:p>
      <w:pPr>
        <w:pStyle w:val="1008"/>
        <w:ind w:firstLine="482"/>
        <w:spacing w:line="360" w:lineRule="auto"/>
        <w:rPr>
          <w:b/>
          <w:sz w:val="24"/>
          <w:highlight w:val="none"/>
        </w:rPr>
      </w:pPr>
      <w:r>
        <w:rPr>
          <w:b/>
          <w:sz w:val="24"/>
          <w:highlight w:val="none"/>
        </w:rPr>
        <w:t xml:space="preserve">1.</w:t>
      </w:r>
      <w:r>
        <w:rPr>
          <w:rFonts w:hint="eastAsia"/>
          <w:b/>
          <w:sz w:val="24"/>
          <w:highlight w:val="none"/>
        </w:rPr>
        <w:t xml:space="preserve">招标</w:t>
      </w:r>
      <w:r>
        <w:rPr>
          <w:b/>
          <w:sz w:val="24"/>
          <w:highlight w:val="none"/>
        </w:rPr>
        <w:t xml:space="preserve">人信息</w:t>
      </w:r>
      <w:bookmarkEnd w:id="32"/>
      <w:r>
        <w:rPr>
          <w:highlight w:val="none"/>
        </w:rPr>
      </w:r>
      <w:bookmarkEnd w:id="33"/>
      <w:r>
        <w:rPr>
          <w:highlight w:val="none"/>
        </w:rPr>
      </w:r>
      <w:bookmarkEnd w:id="34"/>
      <w:r>
        <w:rPr>
          <w:highlight w:val="none"/>
        </w:rPr>
      </w:r>
      <w:bookmarkEnd w:id="35"/>
      <w:r>
        <w:rPr>
          <w:highlight w:val="none"/>
        </w:rPr>
      </w:r>
      <w:r/>
    </w:p>
    <w:p>
      <w:pPr>
        <w:pStyle w:val="1008"/>
        <w:ind w:firstLine="480"/>
        <w:spacing w:line="360" w:lineRule="auto"/>
        <w:rPr>
          <w:sz w:val="24"/>
          <w:highlight w:val="none"/>
        </w:rPr>
      </w:pPr>
      <w:r>
        <w:rPr>
          <w:highlight w:val="none"/>
        </w:rPr>
      </w:r>
      <w:bookmarkStart w:id="36" w:name="_Toc28359020"/>
      <w:r>
        <w:rPr>
          <w:highlight w:val="none"/>
        </w:rPr>
      </w:r>
      <w:bookmarkStart w:id="37" w:name="_Toc35393638"/>
      <w:r>
        <w:rPr>
          <w:highlight w:val="none"/>
        </w:rPr>
      </w:r>
      <w:bookmarkStart w:id="38" w:name="_Toc35393807"/>
      <w:r>
        <w:rPr>
          <w:highlight w:val="none"/>
        </w:rPr>
      </w:r>
      <w:bookmarkStart w:id="39" w:name="_Toc28359097"/>
      <w:r>
        <w:rPr>
          <w:sz w:val="24"/>
          <w:highlight w:val="none"/>
        </w:rPr>
        <w:t xml:space="preserve">名    称：盐城市城镇排水管理处　　</w:t>
      </w:r>
      <w:r>
        <w:rPr>
          <w:highlight w:val="none"/>
        </w:rPr>
      </w:r>
      <w:r/>
    </w:p>
    <w:p>
      <w:pPr>
        <w:pStyle w:val="1008"/>
        <w:ind w:firstLine="480"/>
        <w:spacing w:line="360" w:lineRule="auto"/>
        <w:rPr>
          <w:sz w:val="24"/>
          <w:highlight w:val="none"/>
        </w:rPr>
      </w:pPr>
      <w:r>
        <w:rPr>
          <w:sz w:val="24"/>
          <w:highlight w:val="none"/>
        </w:rPr>
        <w:t xml:space="preserve">地    址：盐城市</w:t>
      </w:r>
      <w:r>
        <w:rPr>
          <w:rFonts w:hint="eastAsia"/>
          <w:sz w:val="24"/>
          <w:highlight w:val="none"/>
        </w:rPr>
        <w:t xml:space="preserve">世纪大道16号</w:t>
      </w:r>
      <w:r>
        <w:rPr>
          <w:sz w:val="24"/>
          <w:highlight w:val="none"/>
        </w:rPr>
        <w:t xml:space="preserve">　</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联 系 人：程女士</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联系电话： 0515-69086992</w:t>
      </w:r>
      <w:r>
        <w:rPr>
          <w:highlight w:val="none"/>
        </w:rPr>
      </w:r>
      <w:r/>
    </w:p>
    <w:p>
      <w:pPr>
        <w:pStyle w:val="1008"/>
        <w:ind w:firstLine="482"/>
        <w:jc w:val="left"/>
        <w:spacing w:line="360" w:lineRule="auto"/>
        <w:rPr>
          <w:b/>
          <w:sz w:val="24"/>
          <w:highlight w:val="none"/>
        </w:rPr>
      </w:pPr>
      <w:r>
        <w:rPr>
          <w:b/>
          <w:sz w:val="24"/>
          <w:highlight w:val="none"/>
        </w:rPr>
        <w:t xml:space="preserve">2.代理机构信息</w:t>
      </w:r>
      <w:bookmarkEnd w:id="36"/>
      <w:r>
        <w:rPr>
          <w:highlight w:val="none"/>
        </w:rPr>
      </w:r>
      <w:bookmarkEnd w:id="37"/>
      <w:r>
        <w:rPr>
          <w:highlight w:val="none"/>
        </w:rPr>
      </w:r>
      <w:bookmarkEnd w:id="38"/>
      <w:r>
        <w:rPr>
          <w:highlight w:val="none"/>
        </w:rPr>
      </w:r>
      <w:bookmarkEnd w:id="39"/>
      <w:r>
        <w:rPr>
          <w:highlight w:val="none"/>
        </w:rPr>
      </w:r>
      <w:r/>
    </w:p>
    <w:p>
      <w:pPr>
        <w:pStyle w:val="1008"/>
        <w:ind w:firstLine="480"/>
        <w:spacing w:line="360" w:lineRule="auto"/>
        <w:rPr>
          <w:sz w:val="24"/>
          <w:highlight w:val="none"/>
        </w:rPr>
      </w:pPr>
      <w:r>
        <w:rPr>
          <w:sz w:val="24"/>
          <w:highlight w:val="none"/>
        </w:rPr>
        <w:t xml:space="preserve">名    称：江苏宏天工程管理有限公司</w:t>
      </w:r>
      <w:r>
        <w:rPr>
          <w:highlight w:val="none"/>
        </w:rPr>
      </w:r>
      <w:r/>
    </w:p>
    <w:p>
      <w:pPr>
        <w:pStyle w:val="1008"/>
        <w:ind w:firstLine="480"/>
        <w:spacing w:line="360" w:lineRule="auto"/>
        <w:rPr>
          <w:sz w:val="24"/>
          <w:highlight w:val="none"/>
        </w:rPr>
      </w:pPr>
      <w:r>
        <w:rPr>
          <w:sz w:val="24"/>
          <w:highlight w:val="none"/>
        </w:rPr>
        <w:t xml:space="preserve">地　　址：</w:t>
      </w:r>
      <w:bookmarkStart w:id="40" w:name="_Toc35393639"/>
      <w:r>
        <w:rPr>
          <w:highlight w:val="none"/>
        </w:rPr>
      </w:r>
      <w:bookmarkStart w:id="41" w:name="_Toc28359021"/>
      <w:r>
        <w:rPr>
          <w:highlight w:val="none"/>
        </w:rPr>
      </w:r>
      <w:bookmarkStart w:id="42" w:name="_Toc35393808"/>
      <w:r>
        <w:rPr>
          <w:highlight w:val="none"/>
        </w:rPr>
      </w:r>
      <w:bookmarkStart w:id="43" w:name="_Toc28359098"/>
      <w:r>
        <w:rPr>
          <w:sz w:val="24"/>
          <w:highlight w:val="none"/>
        </w:rPr>
        <w:t xml:space="preserve">盐城市鹿鸣路988号金航财富大厦17楼</w:t>
      </w:r>
      <w:r>
        <w:rPr>
          <w:highlight w:val="none"/>
        </w:rPr>
      </w:r>
      <w:r/>
    </w:p>
    <w:p>
      <w:pPr>
        <w:pStyle w:val="1008"/>
        <w:ind w:firstLine="480"/>
        <w:spacing w:line="360" w:lineRule="auto"/>
        <w:rPr>
          <w:sz w:val="24"/>
          <w:highlight w:val="none"/>
        </w:rPr>
      </w:pPr>
      <w:r>
        <w:rPr>
          <w:sz w:val="24"/>
          <w:highlight w:val="none"/>
        </w:rPr>
        <w:t xml:space="preserve">联 系 人：郑艳        </w:t>
      </w:r>
      <w:r>
        <w:rPr>
          <w:highlight w:val="none"/>
        </w:rPr>
      </w:r>
      <w:r/>
    </w:p>
    <w:p>
      <w:pPr>
        <w:pStyle w:val="1008"/>
        <w:ind w:firstLine="480"/>
        <w:spacing w:line="360" w:lineRule="auto"/>
        <w:rPr>
          <w:sz w:val="24"/>
          <w:highlight w:val="none"/>
        </w:rPr>
      </w:pPr>
      <w:r>
        <w:rPr>
          <w:sz w:val="24"/>
          <w:highlight w:val="none"/>
        </w:rPr>
        <w:t xml:space="preserve">联系电话：18005108312</w:t>
      </w:r>
      <w:r>
        <w:rPr>
          <w:highlight w:val="none"/>
        </w:rPr>
      </w:r>
      <w:r/>
    </w:p>
    <w:p>
      <w:pPr>
        <w:pStyle w:val="1053"/>
        <w:ind w:left="0" w:firstLine="482"/>
        <w:spacing w:after="0" w:line="360" w:lineRule="auto"/>
        <w:rPr>
          <w:rFonts w:hint="eastAsia" w:ascii="Times New Roman" w:eastAsia="宋体"/>
          <w:b/>
          <w:sz w:val="24"/>
          <w:szCs w:val="24"/>
          <w:highlight w:val="none"/>
        </w:rPr>
      </w:pPr>
      <w:r>
        <w:rPr>
          <w:rFonts w:hint="eastAsia" w:ascii="Times New Roman" w:eastAsia="宋体"/>
          <w:b/>
          <w:sz w:val="24"/>
          <w:szCs w:val="24"/>
          <w:highlight w:val="none"/>
        </w:rPr>
        <w:t xml:space="preserve">3.项目联系方式</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联 系 人：程女士</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联系电话：  0515-69086992</w:t>
      </w:r>
      <w:r>
        <w:rPr>
          <w:highlight w:val="none"/>
        </w:rPr>
      </w:r>
      <w:r/>
    </w:p>
    <w:p>
      <w:pPr>
        <w:pStyle w:val="1008"/>
        <w:ind w:firstLine="480"/>
        <w:jc w:val="left"/>
        <w:spacing w:line="360" w:lineRule="auto"/>
        <w:rPr>
          <w:rFonts w:ascii="宋体" w:hAnsi="宋体" w:cs="宋体"/>
          <w:sz w:val="24"/>
          <w:highlight w:val="none"/>
        </w:rPr>
      </w:pPr>
      <w:r>
        <w:rPr>
          <w:rFonts w:ascii="宋体" w:hAnsi="宋体" w:cs="宋体"/>
          <w:sz w:val="24"/>
          <w:highlight w:val="none"/>
        </w:rPr>
      </w:r>
      <w:r>
        <w:rPr>
          <w:highlight w:val="none"/>
        </w:rPr>
      </w:r>
      <w:r/>
    </w:p>
    <w:p>
      <w:pPr>
        <w:pStyle w:val="1008"/>
        <w:ind w:firstLine="480"/>
        <w:spacing w:line="360" w:lineRule="auto"/>
        <w:rPr>
          <w:rFonts w:hint="eastAsia"/>
          <w:sz w:val="24"/>
          <w:highlight w:val="none"/>
        </w:rPr>
      </w:pPr>
      <w:r>
        <w:rPr>
          <w:sz w:val="24"/>
          <w:highlight w:val="none"/>
        </w:rPr>
        <w:t xml:space="preserve">　</w:t>
      </w:r>
      <w:r>
        <w:rPr>
          <w:highlight w:val="none"/>
        </w:rPr>
      </w:r>
      <w:r/>
    </w:p>
    <w:p>
      <w:pPr>
        <w:pStyle w:val="1026"/>
        <w:ind w:left="1470" w:right="1470"/>
        <w:spacing w:after="0" w:line="360" w:lineRule="auto"/>
        <w:tabs>
          <w:tab w:val="left" w:pos="9000" w:leader="none"/>
        </w:tabs>
        <w:rPr>
          <w:highlight w:val="none"/>
        </w:rPr>
      </w:pPr>
      <w:r>
        <w:rPr>
          <w:highlight w:val="none"/>
        </w:rPr>
      </w:r>
      <w:r>
        <w:rPr>
          <w:highlight w:val="none"/>
        </w:rPr>
      </w:r>
      <w:r/>
    </w:p>
    <w:p>
      <w:pPr>
        <w:pStyle w:val="1008"/>
        <w:ind w:firstLine="422"/>
        <w:spacing w:line="360" w:lineRule="auto"/>
        <w:rPr>
          <w:rFonts w:hint="eastAsia" w:ascii="宋体" w:hAnsi="宋体" w:cs="宋体"/>
          <w:highlight w:val="none"/>
        </w:rPr>
      </w:pPr>
      <w:r>
        <w:rPr>
          <w:highlight w:val="none"/>
        </w:rPr>
      </w:r>
      <w:bookmarkEnd w:id="40"/>
      <w:r>
        <w:rPr>
          <w:highlight w:val="none"/>
        </w:rPr>
      </w:r>
      <w:bookmarkEnd w:id="41"/>
      <w:r>
        <w:rPr>
          <w:highlight w:val="none"/>
        </w:rPr>
      </w:r>
      <w:bookmarkEnd w:id="42"/>
      <w:r>
        <w:rPr>
          <w:highlight w:val="none"/>
        </w:rPr>
      </w:r>
      <w:bookmarkEnd w:id="43"/>
      <w:r>
        <w:rPr>
          <w:b/>
          <w:bCs/>
          <w:szCs w:val="44"/>
          <w:highlight w:val="none"/>
        </w:rPr>
        <w:br w:type="page" w:clear="all"/>
      </w:r>
      <w:bookmarkEnd w:id="25"/>
      <w:r>
        <w:rPr>
          <w:highlight w:val="none"/>
        </w:rPr>
      </w:r>
      <w:bookmarkEnd w:id="26"/>
      <w:r>
        <w:rPr>
          <w:highlight w:val="none"/>
        </w:rPr>
      </w:r>
      <w:r/>
    </w:p>
    <w:p>
      <w:pPr>
        <w:pStyle w:val="1010"/>
        <w:ind w:firstLine="2871"/>
        <w:jc w:val="both"/>
        <w:spacing w:before="0" w:after="0" w:line="360" w:lineRule="auto"/>
        <w:rPr>
          <w:rFonts w:hint="eastAsia" w:ascii="宋体" w:hAnsi="宋体" w:eastAsia="宋体" w:cs="宋体"/>
          <w:szCs w:val="44"/>
          <w:highlight w:val="none"/>
        </w:rPr>
      </w:pPr>
      <w:r>
        <w:rPr>
          <w:rFonts w:hint="eastAsia" w:ascii="宋体" w:hAnsi="宋体" w:eastAsia="宋体" w:cs="宋体"/>
          <w:szCs w:val="44"/>
          <w:highlight w:val="none"/>
        </w:rPr>
        <w:t xml:space="preserve">第二章  投标人须知</w:t>
      </w:r>
      <w:r>
        <w:rPr>
          <w:highlight w:val="none"/>
        </w:rPr>
      </w:r>
      <w:r/>
    </w:p>
    <w:p>
      <w:pPr>
        <w:pStyle w:val="1011"/>
        <w:ind w:firstLine="321"/>
        <w:spacing w:before="0" w:after="0" w:line="360" w:lineRule="auto"/>
        <w:rPr>
          <w:rFonts w:hint="eastAsia"/>
          <w:highlight w:val="none"/>
        </w:rPr>
      </w:pPr>
      <w:r>
        <w:rPr>
          <w:highlight w:val="none"/>
        </w:rPr>
      </w:r>
      <w:bookmarkStart w:id="44" w:name="_Toc16938519"/>
      <w:r>
        <w:rPr>
          <w:highlight w:val="none"/>
        </w:rPr>
      </w:r>
      <w:bookmarkStart w:id="45" w:name="_Toc20823275"/>
      <w:r>
        <w:rPr>
          <w:highlight w:val="none"/>
        </w:rPr>
      </w:r>
      <w:bookmarkStart w:id="46" w:name="_Toc513029203"/>
      <w:r>
        <w:rPr>
          <w:highlight w:val="none"/>
        </w:rPr>
      </w:r>
      <w:bookmarkStart w:id="47" w:name="_Toc120614214"/>
      <w:r>
        <w:rPr>
          <w:rFonts w:hint="eastAsia"/>
          <w:highlight w:val="none"/>
        </w:rPr>
        <w:t xml:space="preserve">一、总则</w:t>
      </w:r>
      <w:bookmarkEnd w:id="44"/>
      <w:r>
        <w:rPr>
          <w:highlight w:val="none"/>
        </w:rPr>
      </w:r>
      <w:bookmarkEnd w:id="45"/>
      <w:r>
        <w:rPr>
          <w:highlight w:val="none"/>
        </w:rPr>
      </w:r>
      <w:bookmarkEnd w:id="46"/>
      <w:r>
        <w:rPr>
          <w:highlight w:val="none"/>
        </w:rPr>
      </w:r>
      <w:bookmarkEnd w:id="47"/>
      <w:r>
        <w:rPr>
          <w:highlight w:val="none"/>
        </w:rPr>
      </w:r>
      <w:r/>
    </w:p>
    <w:p>
      <w:pPr>
        <w:pStyle w:val="1012"/>
        <w:ind w:firstLine="420"/>
        <w:spacing w:before="0" w:after="0" w:line="360" w:lineRule="auto"/>
        <w:rPr>
          <w:rFonts w:hint="eastAsia"/>
          <w:b w:val="0"/>
          <w:bCs w:val="0"/>
          <w:highlight w:val="none"/>
        </w:rPr>
      </w:pPr>
      <w:r>
        <w:rPr>
          <w:highlight w:val="none"/>
        </w:rPr>
      </w:r>
      <w:bookmarkStart w:id="48" w:name="_Toc20823276"/>
      <w:r>
        <w:rPr>
          <w:highlight w:val="none"/>
        </w:rPr>
      </w:r>
      <w:bookmarkStart w:id="49" w:name="_Toc16938520"/>
      <w:r>
        <w:rPr>
          <w:highlight w:val="none"/>
        </w:rPr>
      </w:r>
      <w:bookmarkStart w:id="50" w:name="_Hlt16619475"/>
      <w:r>
        <w:rPr>
          <w:highlight w:val="none"/>
        </w:rPr>
      </w:r>
      <w:bookmarkEnd w:id="50"/>
      <w:r>
        <w:rPr>
          <w:highlight w:val="none"/>
        </w:rPr>
      </w:r>
      <w:bookmarkStart w:id="51" w:name="_Toc458694821"/>
      <w:r>
        <w:rPr>
          <w:highlight w:val="none"/>
        </w:rPr>
      </w:r>
      <w:bookmarkStart w:id="52" w:name="_Toc513029204"/>
      <w:r>
        <w:rPr>
          <w:rFonts w:hint="eastAsia"/>
          <w:b w:val="0"/>
          <w:bCs w:val="0"/>
          <w:highlight w:val="none"/>
        </w:rPr>
        <w:t xml:space="preserve">1</w:t>
      </w:r>
      <w:bookmarkEnd w:id="51"/>
      <w:r>
        <w:rPr>
          <w:rFonts w:hint="eastAsia"/>
          <w:b w:val="0"/>
          <w:bCs w:val="0"/>
          <w:highlight w:val="none"/>
        </w:rPr>
        <w:t xml:space="preserve">、招标方式</w:t>
      </w:r>
      <w:bookmarkEnd w:id="48"/>
      <w:r>
        <w:rPr>
          <w:highlight w:val="none"/>
        </w:rPr>
      </w:r>
      <w:bookmarkEnd w:id="49"/>
      <w:r>
        <w:rPr>
          <w:highlight w:val="none"/>
        </w:rPr>
      </w:r>
      <w:bookmarkEnd w:id="52"/>
      <w:r>
        <w:rPr>
          <w:highlight w:val="none"/>
        </w:rPr>
      </w:r>
      <w:r/>
    </w:p>
    <w:p>
      <w:pPr>
        <w:pStyle w:val="1008"/>
        <w:ind w:firstLine="480"/>
        <w:spacing w:line="360" w:lineRule="auto"/>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highlight w:val="none"/>
        </w:rPr>
      </w:r>
      <w:r/>
    </w:p>
    <w:p>
      <w:pPr>
        <w:pStyle w:val="1012"/>
        <w:ind w:firstLine="420"/>
        <w:spacing w:before="0" w:after="0" w:line="360" w:lineRule="auto"/>
        <w:rPr>
          <w:rFonts w:hint="eastAsia"/>
          <w:b w:val="0"/>
          <w:bCs w:val="0"/>
          <w:highlight w:val="none"/>
        </w:rPr>
      </w:pPr>
      <w:r>
        <w:rPr>
          <w:highlight w:val="none"/>
        </w:rPr>
      </w:r>
      <w:bookmarkStart w:id="53" w:name="_Toc20823277"/>
      <w:r>
        <w:rPr>
          <w:highlight w:val="none"/>
        </w:rPr>
      </w:r>
      <w:bookmarkStart w:id="54" w:name="_Toc513029205"/>
      <w:r>
        <w:rPr>
          <w:highlight w:val="none"/>
        </w:rPr>
      </w:r>
      <w:bookmarkStart w:id="55" w:name="_Toc16938521"/>
      <w:r>
        <w:rPr>
          <w:rFonts w:hint="eastAsia"/>
          <w:b w:val="0"/>
          <w:bCs w:val="0"/>
          <w:highlight w:val="none"/>
        </w:rPr>
        <w:t xml:space="preserve">2、合格的投标人</w:t>
      </w:r>
      <w:bookmarkEnd w:id="53"/>
      <w:r>
        <w:rPr>
          <w:highlight w:val="none"/>
        </w:rPr>
      </w:r>
      <w:bookmarkEnd w:id="54"/>
      <w:r>
        <w:rPr>
          <w:highlight w:val="none"/>
        </w:rPr>
      </w:r>
      <w:bookmarkEnd w:id="55"/>
      <w:r>
        <w:rPr>
          <w:highlight w:val="none"/>
        </w:rPr>
      </w:r>
      <w:r/>
    </w:p>
    <w:p>
      <w:pPr>
        <w:pStyle w:val="1008"/>
        <w:ind w:firstLine="480"/>
        <w:spacing w:line="360" w:lineRule="auto"/>
        <w:rPr>
          <w:rFonts w:hint="eastAsia" w:ascii="宋体" w:hAnsi="宋体"/>
          <w:sz w:val="24"/>
          <w:highlight w:val="none"/>
        </w:rPr>
      </w:pPr>
      <w:r>
        <w:rPr>
          <w:rFonts w:hint="eastAsia" w:ascii="宋体" w:hAnsi="宋体"/>
          <w:sz w:val="24"/>
          <w:highlight w:val="none"/>
        </w:rPr>
        <w:t xml:space="preserve">2.1满足招标公告中供应商的资格要求的规定。</w:t>
      </w:r>
      <w:r>
        <w:rPr>
          <w:highlight w:val="none"/>
        </w:rPr>
      </w:r>
      <w:r/>
    </w:p>
    <w:p>
      <w:pPr>
        <w:pStyle w:val="1008"/>
        <w:ind w:firstLine="480"/>
        <w:spacing w:line="360" w:lineRule="auto"/>
        <w:rPr>
          <w:rFonts w:hint="eastAsia" w:ascii="宋体" w:hAnsi="宋体"/>
          <w:sz w:val="24"/>
          <w:highlight w:val="none"/>
        </w:rPr>
      </w:pPr>
      <w:r>
        <w:rPr>
          <w:rFonts w:hint="eastAsia" w:ascii="宋体" w:hAnsi="宋体"/>
          <w:sz w:val="24"/>
          <w:highlight w:val="none"/>
        </w:rPr>
        <w:t xml:space="preserve">2.2 满足本文件实质性条款的规定。</w:t>
      </w:r>
      <w:r>
        <w:rPr>
          <w:highlight w:val="none"/>
        </w:rPr>
      </w:r>
      <w:r/>
    </w:p>
    <w:p>
      <w:pPr>
        <w:pStyle w:val="1012"/>
        <w:ind w:firstLine="420"/>
        <w:spacing w:before="0" w:after="0" w:line="360" w:lineRule="auto"/>
        <w:rPr>
          <w:rFonts w:hint="eastAsia"/>
          <w:b w:val="0"/>
          <w:bCs w:val="0"/>
          <w:highlight w:val="none"/>
        </w:rPr>
      </w:pPr>
      <w:r>
        <w:rPr>
          <w:highlight w:val="none"/>
        </w:rPr>
      </w:r>
      <w:bookmarkStart w:id="56" w:name="_Toc20823278"/>
      <w:r>
        <w:rPr>
          <w:highlight w:val="none"/>
        </w:rPr>
      </w:r>
      <w:bookmarkStart w:id="57" w:name="_Toc513029206"/>
      <w:r>
        <w:rPr>
          <w:highlight w:val="none"/>
        </w:rPr>
      </w:r>
      <w:bookmarkStart w:id="58" w:name="_Toc16938522"/>
      <w:r>
        <w:rPr>
          <w:rFonts w:hint="eastAsia"/>
          <w:b w:val="0"/>
          <w:bCs w:val="0"/>
          <w:highlight w:val="none"/>
        </w:rPr>
        <w:t xml:space="preserve">3、适用法律</w:t>
      </w:r>
      <w:bookmarkEnd w:id="56"/>
      <w:r>
        <w:rPr>
          <w:highlight w:val="none"/>
        </w:rPr>
      </w:r>
      <w:bookmarkEnd w:id="57"/>
      <w:r>
        <w:rPr>
          <w:highlight w:val="none"/>
        </w:rPr>
      </w:r>
      <w:bookmarkEnd w:id="58"/>
      <w:r>
        <w:rPr>
          <w:highlight w:val="none"/>
        </w:rPr>
      </w:r>
      <w:r/>
    </w:p>
    <w:p>
      <w:pPr>
        <w:pStyle w:val="1008"/>
        <w:ind w:firstLine="480"/>
        <w:spacing w:line="360" w:lineRule="auto"/>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highlight w:val="none"/>
        </w:rPr>
      </w:r>
      <w:r/>
    </w:p>
    <w:p>
      <w:pPr>
        <w:pStyle w:val="1012"/>
        <w:ind w:firstLine="420"/>
        <w:spacing w:before="0" w:after="0" w:line="360" w:lineRule="auto"/>
        <w:rPr>
          <w:rFonts w:hint="eastAsia"/>
          <w:b w:val="0"/>
          <w:bCs w:val="0"/>
          <w:highlight w:val="none"/>
        </w:rPr>
      </w:pPr>
      <w:r>
        <w:rPr>
          <w:highlight w:val="none"/>
        </w:rPr>
      </w:r>
      <w:bookmarkStart w:id="59" w:name="_Toc20823279"/>
      <w:r>
        <w:rPr>
          <w:highlight w:val="none"/>
        </w:rPr>
      </w:r>
      <w:bookmarkStart w:id="60" w:name="_Toc462564067"/>
      <w:r>
        <w:rPr>
          <w:highlight w:val="none"/>
        </w:rPr>
      </w:r>
      <w:bookmarkStart w:id="61" w:name="_Toc16938523"/>
      <w:r>
        <w:rPr>
          <w:highlight w:val="none"/>
        </w:rPr>
      </w:r>
      <w:bookmarkStart w:id="62" w:name="_Toc513029207"/>
      <w:r>
        <w:rPr>
          <w:rFonts w:hint="eastAsia"/>
          <w:b w:val="0"/>
          <w:bCs w:val="0"/>
          <w:highlight w:val="none"/>
        </w:rPr>
        <w:t xml:space="preserve">4、投标费用</w:t>
      </w:r>
      <w:bookmarkEnd w:id="59"/>
      <w:r>
        <w:rPr>
          <w:highlight w:val="none"/>
        </w:rPr>
      </w:r>
      <w:bookmarkEnd w:id="60"/>
      <w:r>
        <w:rPr>
          <w:highlight w:val="none"/>
        </w:rPr>
      </w:r>
      <w:bookmarkEnd w:id="61"/>
      <w:r>
        <w:rPr>
          <w:highlight w:val="none"/>
        </w:rPr>
      </w:r>
      <w:bookmarkEnd w:id="62"/>
      <w:r>
        <w:rPr>
          <w:highlight w:val="none"/>
        </w:rPr>
      </w:r>
      <w:r/>
    </w:p>
    <w:p>
      <w:pPr>
        <w:pStyle w:val="1008"/>
        <w:ind w:firstLine="48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w:t>
      </w:r>
      <w:r>
        <w:rPr>
          <w:rFonts w:hint="eastAsia" w:ascii="宋体" w:hAnsi="宋体" w:cs="宋体"/>
          <w:sz w:val="24"/>
          <w:highlight w:val="none"/>
        </w:rPr>
        <w:t xml:space="preserve">采购人或招标代理</w:t>
      </w:r>
      <w:r>
        <w:rPr>
          <w:rFonts w:hint="eastAsia" w:ascii="宋体" w:hAnsi="宋体"/>
          <w:sz w:val="24"/>
          <w:highlight w:val="none"/>
        </w:rPr>
        <w:t xml:space="preserve">在任何情况下均无义务和责任承担这些费用。</w:t>
      </w:r>
      <w:r>
        <w:rPr>
          <w:highlight w:val="none"/>
        </w:rPr>
      </w:r>
      <w:r/>
    </w:p>
    <w:p>
      <w:pPr>
        <w:pStyle w:val="1008"/>
        <w:ind w:firstLine="482"/>
        <w:spacing w:line="360" w:lineRule="auto"/>
        <w:rPr>
          <w:rFonts w:cs="宋体"/>
          <w:position w:val="2"/>
          <w:highlight w:val="none"/>
        </w:rPr>
      </w:pPr>
      <w:r>
        <w:rPr>
          <w:rFonts w:hint="eastAsia" w:ascii="宋体" w:hAnsi="宋体" w:cs="宋体"/>
          <w:b/>
          <w:bCs/>
          <w:sz w:val="24"/>
          <w:highlight w:val="none"/>
        </w:rPr>
        <w:t xml:space="preserve">4</w:t>
      </w:r>
      <w:r>
        <w:rPr>
          <w:rFonts w:hint="eastAsia" w:ascii="宋体" w:hAnsi="宋体" w:cs="宋体"/>
          <w:b/>
          <w:sz w:val="24"/>
          <w:highlight w:val="none"/>
          <w:u w:val="single"/>
        </w:rPr>
        <w:t xml:space="preserve">.2本项目招标代理费以中标价为基数，</w:t>
      </w:r>
      <w:r>
        <w:rPr>
          <w:b/>
          <w:sz w:val="24"/>
          <w:highlight w:val="none"/>
          <w:u w:val="single"/>
        </w:rPr>
        <w:t xml:space="preserve">执行《国家发展改革委调整招标代理服务收费标准》（发改价格[2011]534号文件》的取费标准计取的代理服务费×29.29%后结算，其中单项保底服务费不低于3000元。</w:t>
      </w:r>
      <w:r>
        <w:rPr>
          <w:rFonts w:hint="eastAsia" w:cs="宋体"/>
          <w:b/>
          <w:bCs/>
          <w:position w:val="2"/>
          <w:highlight w:val="none"/>
        </w:rPr>
        <w:t xml:space="preserve">由中标人在领取中标通知书前支付，投标人报价时综合考虑进报价中，不单列。</w:t>
      </w:r>
      <w:r>
        <w:rPr>
          <w:highlight w:val="none"/>
        </w:rPr>
      </w:r>
      <w:r/>
    </w:p>
    <w:p>
      <w:pPr>
        <w:pStyle w:val="1012"/>
        <w:ind w:firstLine="452"/>
        <w:spacing w:before="0" w:after="0" w:line="360" w:lineRule="auto"/>
        <w:rPr>
          <w:rFonts w:hint="eastAsia"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rPr>
          <w:highlight w:val="none"/>
        </w:rPr>
      </w:r>
      <w:r/>
    </w:p>
    <w:p>
      <w:pPr>
        <w:pStyle w:val="1008"/>
        <w:ind w:firstLine="480"/>
        <w:spacing w:line="360" w:lineRule="auto"/>
        <w:rPr>
          <w:rFonts w:hint="eastAsia"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 投标人一旦参加本项目采购活动，即被认为接受了本招标文件的规定和约束，并且视为自招标公告期限届满之日起知道或应当知道自身权益是否受到了损害。</w:t>
      </w:r>
      <w:r>
        <w:rPr>
          <w:highlight w:val="none"/>
        </w:rPr>
      </w:r>
      <w:r/>
    </w:p>
    <w:p>
      <w:pPr>
        <w:pStyle w:val="1012"/>
        <w:ind w:firstLine="420"/>
        <w:spacing w:before="0" w:after="0" w:line="360" w:lineRule="auto"/>
        <w:rPr>
          <w:rFonts w:hint="eastAsia" w:ascii="黑体" w:hAnsi="宋体"/>
          <w:b w:val="0"/>
          <w:bCs w:val="0"/>
          <w:highlight w:val="none"/>
        </w:rPr>
      </w:pPr>
      <w:r>
        <w:rPr>
          <w:rFonts w:hint="eastAsia" w:ascii="黑体" w:hAnsi="宋体"/>
          <w:b w:val="0"/>
          <w:bCs w:val="0"/>
          <w:highlight w:val="none"/>
        </w:rPr>
        <w:t xml:space="preserve">6、招标文件的解释</w:t>
      </w:r>
      <w:r>
        <w:rPr>
          <w:highlight w:val="none"/>
        </w:rPr>
      </w:r>
      <w:r/>
    </w:p>
    <w:p>
      <w:pPr>
        <w:pStyle w:val="1008"/>
        <w:ind w:firstLine="480"/>
        <w:spacing w:line="360" w:lineRule="auto"/>
        <w:rPr>
          <w:rFonts w:hint="eastAsia" w:ascii="宋体" w:hAnsi="宋体"/>
          <w:bCs/>
          <w:sz w:val="24"/>
          <w:highlight w:val="none"/>
        </w:rPr>
      </w:pPr>
      <w:r>
        <w:rPr>
          <w:rFonts w:hint="eastAsia" w:ascii="宋体" w:hAnsi="宋体"/>
          <w:bCs/>
          <w:sz w:val="24"/>
          <w:highlight w:val="none"/>
        </w:rPr>
        <w:t xml:space="preserve">6.1 本招标文件由</w:t>
      </w:r>
      <w:r>
        <w:rPr>
          <w:rFonts w:hint="eastAsia" w:ascii="宋体" w:hAnsi="宋体" w:cs="宋体"/>
          <w:bCs/>
          <w:sz w:val="24"/>
          <w:highlight w:val="none"/>
        </w:rPr>
        <w:t xml:space="preserve">盐城市城镇排水管理处、江苏宏天工程管理有限公司</w:t>
      </w:r>
      <w:r>
        <w:rPr>
          <w:rFonts w:hint="eastAsia" w:ascii="宋体" w:hAnsi="宋体"/>
          <w:bCs/>
          <w:sz w:val="24"/>
          <w:highlight w:val="none"/>
        </w:rPr>
        <w:t xml:space="preserve">负责解释。</w:t>
      </w:r>
      <w:r>
        <w:rPr>
          <w:highlight w:val="none"/>
        </w:rPr>
      </w:r>
      <w:r/>
    </w:p>
    <w:p>
      <w:pPr>
        <w:pStyle w:val="1011"/>
        <w:ind w:firstLine="321"/>
        <w:spacing w:before="0" w:after="0" w:line="360" w:lineRule="auto"/>
        <w:rPr>
          <w:rFonts w:hint="eastAsia"/>
          <w:highlight w:val="none"/>
        </w:rPr>
      </w:pPr>
      <w:r>
        <w:rPr>
          <w:highlight w:val="none"/>
        </w:rPr>
      </w:r>
      <w:bookmarkStart w:id="63" w:name="_Toc20823281"/>
      <w:r>
        <w:rPr>
          <w:highlight w:val="none"/>
        </w:rPr>
      </w:r>
      <w:bookmarkStart w:id="64" w:name="_Toc16938525"/>
      <w:r>
        <w:rPr>
          <w:highlight w:val="none"/>
        </w:rPr>
      </w:r>
      <w:bookmarkStart w:id="65" w:name="_Toc120614215"/>
      <w:r>
        <w:rPr>
          <w:rFonts w:hint="eastAsia"/>
          <w:highlight w:val="none"/>
        </w:rPr>
        <w:t xml:space="preserve">二、招标文件</w:t>
      </w:r>
      <w:bookmarkEnd w:id="63"/>
      <w:r>
        <w:rPr>
          <w:highlight w:val="none"/>
        </w:rPr>
      </w:r>
      <w:bookmarkEnd w:id="64"/>
      <w:r>
        <w:rPr>
          <w:highlight w:val="none"/>
        </w:rPr>
      </w:r>
      <w:bookmarkEnd w:id="65"/>
      <w:r>
        <w:rPr>
          <w:highlight w:val="none"/>
        </w:rPr>
      </w:r>
      <w:r/>
    </w:p>
    <w:p>
      <w:pPr>
        <w:pStyle w:val="1012"/>
        <w:ind w:firstLine="420"/>
        <w:spacing w:before="0" w:after="0" w:line="360" w:lineRule="auto"/>
        <w:rPr>
          <w:rFonts w:hint="eastAsia"/>
          <w:b w:val="0"/>
          <w:bCs w:val="0"/>
          <w:highlight w:val="none"/>
        </w:rPr>
      </w:pPr>
      <w:r>
        <w:rPr>
          <w:highlight w:val="none"/>
        </w:rPr>
      </w:r>
      <w:bookmarkStart w:id="66" w:name="_Toc16938526"/>
      <w:r>
        <w:rPr>
          <w:highlight w:val="none"/>
        </w:rPr>
      </w:r>
      <w:bookmarkStart w:id="67" w:name="_Toc20823282"/>
      <w:r>
        <w:rPr>
          <w:highlight w:val="none"/>
        </w:rPr>
      </w:r>
      <w:bookmarkStart w:id="68" w:name="_Toc513029210"/>
      <w:r>
        <w:rPr>
          <w:rFonts w:hint="eastAsia"/>
          <w:b w:val="0"/>
          <w:bCs w:val="0"/>
          <w:highlight w:val="none"/>
        </w:rPr>
        <w:t xml:space="preserve">7、招标文件构成</w:t>
      </w:r>
      <w:bookmarkEnd w:id="66"/>
      <w:r>
        <w:rPr>
          <w:highlight w:val="none"/>
        </w:rPr>
      </w:r>
      <w:bookmarkEnd w:id="67"/>
      <w:r>
        <w:rPr>
          <w:highlight w:val="none"/>
        </w:rPr>
      </w:r>
      <w:bookmarkEnd w:id="68"/>
      <w:r>
        <w:rPr>
          <w:highlight w:val="none"/>
        </w:rPr>
      </w:r>
      <w:r/>
    </w:p>
    <w:p>
      <w:pPr>
        <w:pStyle w:val="1008"/>
        <w:ind w:firstLine="480"/>
        <w:spacing w:line="360" w:lineRule="auto"/>
        <w:rPr>
          <w:rFonts w:hint="eastAsia" w:ascii="宋体" w:hAnsi="宋体"/>
          <w:sz w:val="24"/>
          <w:highlight w:val="none"/>
        </w:rPr>
      </w:pPr>
      <w:r>
        <w:rPr>
          <w:rFonts w:hint="eastAsia" w:ascii="宋体" w:hAnsi="宋体"/>
          <w:bCs/>
          <w:sz w:val="24"/>
          <w:highlight w:val="none"/>
        </w:rPr>
        <w:t xml:space="preserve">7.1</w:t>
      </w:r>
      <w:r>
        <w:rPr>
          <w:rFonts w:hint="eastAsia" w:ascii="宋体" w:hAnsi="宋体"/>
          <w:sz w:val="24"/>
          <w:highlight w:val="none"/>
        </w:rPr>
        <w:t xml:space="preserve"> 招标文件有以下部分组成：</w:t>
      </w:r>
      <w:r>
        <w:rPr>
          <w:highlight w:val="none"/>
        </w:rPr>
      </w:r>
      <w:r/>
    </w:p>
    <w:p>
      <w:pPr>
        <w:pStyle w:val="1008"/>
        <w:ind w:firstLine="360"/>
        <w:spacing w:line="360" w:lineRule="auto"/>
        <w:rPr>
          <w:rFonts w:hint="eastAsia" w:ascii="宋体" w:hAnsi="宋体"/>
          <w:sz w:val="24"/>
          <w:highlight w:val="none"/>
        </w:rPr>
      </w:pPr>
      <w:r>
        <w:rPr>
          <w:rFonts w:hint="eastAsia" w:ascii="宋体" w:hAnsi="宋体"/>
          <w:sz w:val="24"/>
          <w:highlight w:val="none"/>
        </w:rPr>
        <w:t xml:space="preserve">（1）招标公告</w:t>
      </w:r>
      <w:r>
        <w:rPr>
          <w:highlight w:val="none"/>
        </w:rPr>
      </w:r>
      <w:r/>
    </w:p>
    <w:p>
      <w:pPr>
        <w:pStyle w:val="1008"/>
        <w:ind w:firstLine="360"/>
        <w:spacing w:line="360" w:lineRule="auto"/>
        <w:rPr>
          <w:rFonts w:hint="eastAsia" w:ascii="宋体" w:hAnsi="宋体"/>
          <w:sz w:val="24"/>
          <w:highlight w:val="none"/>
        </w:rPr>
      </w:pPr>
      <w:r>
        <w:rPr>
          <w:rFonts w:hint="eastAsia" w:ascii="宋体" w:hAnsi="宋体"/>
          <w:sz w:val="24"/>
          <w:highlight w:val="none"/>
        </w:rPr>
        <w:t xml:space="preserve">（2）投标人须知</w:t>
      </w:r>
      <w:r>
        <w:rPr>
          <w:highlight w:val="none"/>
        </w:rPr>
      </w:r>
      <w:r/>
    </w:p>
    <w:p>
      <w:pPr>
        <w:pStyle w:val="1008"/>
        <w:ind w:firstLine="360"/>
        <w:spacing w:line="360" w:lineRule="auto"/>
        <w:rPr>
          <w:rFonts w:hint="eastAsia" w:ascii="宋体" w:hAnsi="宋体"/>
          <w:sz w:val="24"/>
          <w:highlight w:val="none"/>
        </w:rPr>
      </w:pPr>
      <w:r>
        <w:rPr>
          <w:rFonts w:hint="eastAsia" w:ascii="宋体" w:hAnsi="宋体"/>
          <w:sz w:val="24"/>
          <w:highlight w:val="none"/>
        </w:rPr>
        <w:t xml:space="preserve">（3）合同条款及格式</w:t>
      </w:r>
      <w:r>
        <w:rPr>
          <w:highlight w:val="none"/>
        </w:rPr>
      </w:r>
      <w:r/>
    </w:p>
    <w:p>
      <w:pPr>
        <w:pStyle w:val="1008"/>
        <w:ind w:firstLine="360"/>
        <w:spacing w:line="360" w:lineRule="auto"/>
        <w:rPr>
          <w:rFonts w:hint="eastAsia" w:ascii="宋体" w:hAnsi="宋体"/>
          <w:sz w:val="24"/>
          <w:highlight w:val="none"/>
        </w:rPr>
      </w:pPr>
      <w:r>
        <w:rPr>
          <w:rFonts w:hint="eastAsia" w:ascii="宋体" w:hAnsi="宋体"/>
          <w:sz w:val="24"/>
          <w:highlight w:val="none"/>
        </w:rPr>
        <w:t xml:space="preserve">（4）项目需求</w:t>
      </w:r>
      <w:r>
        <w:rPr>
          <w:highlight w:val="none"/>
        </w:rPr>
      </w:r>
      <w:r/>
    </w:p>
    <w:p>
      <w:pPr>
        <w:pStyle w:val="1008"/>
        <w:ind w:firstLine="360"/>
        <w:spacing w:line="360" w:lineRule="auto"/>
        <w:rPr>
          <w:rFonts w:hint="eastAsia"/>
          <w:sz w:val="24"/>
          <w:highlight w:val="none"/>
        </w:rPr>
      </w:pPr>
      <w:r>
        <w:rPr>
          <w:rFonts w:hint="eastAsia" w:ascii="宋体" w:hAnsi="宋体"/>
          <w:sz w:val="24"/>
          <w:highlight w:val="none"/>
        </w:rPr>
        <w:t xml:space="preserve">（5）</w:t>
      </w:r>
      <w:r>
        <w:rPr>
          <w:rFonts w:hint="eastAsia" w:hAnsi="宋体"/>
          <w:sz w:val="24"/>
          <w:highlight w:val="none"/>
        </w:rPr>
        <w:t xml:space="preserve">评标方法与评标标准</w:t>
      </w:r>
      <w:r>
        <w:rPr>
          <w:highlight w:val="none"/>
        </w:rPr>
      </w:r>
      <w:r/>
    </w:p>
    <w:p>
      <w:pPr>
        <w:pStyle w:val="1008"/>
        <w:ind w:firstLine="360"/>
        <w:spacing w:line="360" w:lineRule="auto"/>
        <w:rPr>
          <w:rFonts w:hint="eastAsia" w:ascii="宋体" w:hAnsi="宋体"/>
          <w:sz w:val="24"/>
          <w:highlight w:val="none"/>
        </w:rPr>
      </w:pPr>
      <w:r>
        <w:rPr>
          <w:rFonts w:hint="eastAsia" w:ascii="宋体" w:hAnsi="宋体"/>
          <w:sz w:val="24"/>
          <w:highlight w:val="none"/>
        </w:rPr>
        <w:t xml:space="preserve">（6）投标文件格式</w:t>
      </w:r>
      <w:r>
        <w:rPr>
          <w:highlight w:val="none"/>
        </w:rPr>
      </w:r>
      <w:r/>
    </w:p>
    <w:p>
      <w:pPr>
        <w:pStyle w:val="1008"/>
        <w:ind w:firstLine="480"/>
        <w:spacing w:line="360" w:lineRule="auto"/>
        <w:rPr>
          <w:rFonts w:hint="eastAsia" w:ascii="宋体" w:hAnsi="宋体"/>
          <w:sz w:val="24"/>
          <w:highlight w:val="none"/>
        </w:rPr>
      </w:pPr>
      <w:r>
        <w:rPr>
          <w:rFonts w:hint="eastAsia" w:ascii="宋体" w:hAnsi="宋体"/>
          <w:sz w:val="24"/>
          <w:highlight w:val="none"/>
        </w:rPr>
        <w:t xml:space="preserve">请仔细检查招标文件是否齐全，如有缺漏请立即与</w:t>
      </w:r>
      <w:r>
        <w:rPr>
          <w:rFonts w:hint="eastAsia" w:ascii="宋体" w:hAnsi="宋体" w:cs="宋体"/>
          <w:sz w:val="24"/>
          <w:highlight w:val="none"/>
        </w:rPr>
        <w:t xml:space="preserve">采购人或采购代理机构</w:t>
      </w:r>
      <w:r>
        <w:rPr>
          <w:rFonts w:hint="eastAsia" w:ascii="宋体" w:hAnsi="宋体"/>
          <w:sz w:val="24"/>
          <w:highlight w:val="none"/>
        </w:rPr>
        <w:t xml:space="preserve">联系解决。</w:t>
      </w:r>
      <w:r>
        <w:rPr>
          <w:highlight w:val="none"/>
        </w:rPr>
      </w:r>
      <w:r/>
    </w:p>
    <w:p>
      <w:pPr>
        <w:pStyle w:val="1008"/>
        <w:ind w:firstLine="480"/>
        <w:spacing w:line="360" w:lineRule="auto"/>
        <w:rPr>
          <w:rFonts w:hint="eastAsia" w:ascii="宋体" w:hAnsi="宋体"/>
          <w:sz w:val="24"/>
          <w:highlight w:val="none"/>
        </w:rPr>
      </w:pPr>
      <w:r>
        <w:rPr>
          <w:rFonts w:hint="eastAsia" w:ascii="宋体" w:hAnsi="宋体"/>
          <w:bCs/>
          <w:sz w:val="24"/>
          <w:highlight w:val="none"/>
        </w:rPr>
        <w:t xml:space="preserve">7.2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pStyle w:val="1012"/>
        <w:ind w:firstLine="420"/>
        <w:spacing w:before="0" w:after="0" w:line="360" w:lineRule="auto"/>
        <w:rPr>
          <w:rFonts w:hint="eastAsia"/>
          <w:b w:val="0"/>
          <w:bCs w:val="0"/>
          <w:highlight w:val="none"/>
        </w:rPr>
      </w:pPr>
      <w:r>
        <w:rPr>
          <w:rFonts w:hint="eastAsia"/>
          <w:b w:val="0"/>
          <w:bCs w:val="0"/>
          <w:highlight w:val="none"/>
        </w:rPr>
        <w:t xml:space="preserve">8、招标文件的询问</w:t>
      </w:r>
      <w:r>
        <w:rPr>
          <w:highlight w:val="none"/>
        </w:rPr>
      </w:r>
      <w:r/>
    </w:p>
    <w:p>
      <w:pPr>
        <w:pStyle w:val="1008"/>
        <w:ind w:firstLine="480"/>
        <w:spacing w:line="360" w:lineRule="auto"/>
        <w:rPr>
          <w:rFonts w:hint="eastAsia" w:ascii="宋体" w:hAnsi="宋体"/>
          <w:sz w:val="24"/>
          <w:highlight w:val="none"/>
        </w:rPr>
      </w:pPr>
      <w:r>
        <w:rPr>
          <w:rFonts w:hint="eastAsia" w:ascii="宋体" w:hAnsi="宋体"/>
          <w:bCs/>
          <w:sz w:val="24"/>
          <w:highlight w:val="none"/>
        </w:rPr>
        <w:t xml:space="preserve">8.1</w:t>
      </w:r>
      <w:r>
        <w:rPr>
          <w:rFonts w:hint="eastAsia" w:ascii="宋体" w:hAnsi="宋体"/>
          <w:sz w:val="24"/>
          <w:highlight w:val="none"/>
        </w:rPr>
        <w:t xml:space="preserve"> 任何要求对招标文件进行询问的投标人，应在投标截止日期</w:t>
      </w:r>
      <w:r>
        <w:rPr>
          <w:rFonts w:hint="eastAsia" w:ascii="仿宋_GB2312" w:hAnsi="仿宋_GB2312"/>
          <w:b/>
          <w:sz w:val="24"/>
          <w:highlight w:val="none"/>
        </w:rPr>
        <w:t xml:space="preserve">十日</w:t>
      </w:r>
      <w:r>
        <w:rPr>
          <w:rFonts w:hint="eastAsia" w:ascii="仿宋_GB2312" w:hAnsi="仿宋_GB2312"/>
          <w:sz w:val="24"/>
          <w:highlight w:val="none"/>
        </w:rPr>
        <w:t xml:space="preserve">前</w:t>
      </w:r>
      <w:r>
        <w:rPr>
          <w:rFonts w:hint="eastAsia" w:ascii="宋体" w:hAnsi="宋体"/>
          <w:sz w:val="24"/>
          <w:highlight w:val="none"/>
        </w:rPr>
        <w:t xml:space="preserve">按招标公告中的通讯地址，向采购人或代理机构提出。</w:t>
      </w:r>
      <w:r>
        <w:rPr>
          <w:highlight w:val="none"/>
        </w:rPr>
      </w:r>
      <w:r/>
    </w:p>
    <w:p>
      <w:pPr>
        <w:pStyle w:val="1012"/>
        <w:ind w:firstLine="420"/>
        <w:spacing w:before="0" w:after="0" w:line="360" w:lineRule="auto"/>
        <w:rPr>
          <w:rFonts w:hint="eastAsia"/>
          <w:b w:val="0"/>
          <w:bCs w:val="0"/>
          <w:highlight w:val="none"/>
        </w:rPr>
      </w:pPr>
      <w:r>
        <w:rPr>
          <w:highlight w:val="none"/>
        </w:rPr>
      </w:r>
      <w:bookmarkStart w:id="69" w:name="_Toc16938528"/>
      <w:r>
        <w:rPr>
          <w:highlight w:val="none"/>
        </w:rPr>
      </w:r>
      <w:bookmarkStart w:id="70" w:name="_Toc20823284"/>
      <w:r>
        <w:rPr>
          <w:highlight w:val="none"/>
        </w:rPr>
      </w:r>
      <w:bookmarkStart w:id="71" w:name="_Toc513029212"/>
      <w:r>
        <w:rPr>
          <w:highlight w:val="none"/>
        </w:rPr>
      </w:r>
      <w:bookmarkStart w:id="72" w:name="_Toc462564071"/>
      <w:r>
        <w:rPr>
          <w:rFonts w:hint="eastAsia"/>
          <w:b w:val="0"/>
          <w:bCs w:val="0"/>
          <w:highlight w:val="none"/>
        </w:rPr>
        <w:t xml:space="preserve">9、招标文件的修改</w:t>
      </w:r>
      <w:bookmarkEnd w:id="69"/>
      <w:r>
        <w:rPr>
          <w:highlight w:val="none"/>
        </w:rPr>
      </w:r>
      <w:bookmarkEnd w:id="70"/>
      <w:r>
        <w:rPr>
          <w:highlight w:val="none"/>
        </w:rPr>
      </w:r>
      <w:bookmarkEnd w:id="71"/>
      <w:r>
        <w:rPr>
          <w:highlight w:val="none"/>
        </w:rPr>
      </w:r>
      <w:bookmarkEnd w:id="72"/>
      <w:r>
        <w:rPr>
          <w:highlight w:val="none"/>
        </w:rPr>
      </w:r>
      <w:r/>
    </w:p>
    <w:p>
      <w:pPr>
        <w:pStyle w:val="1008"/>
        <w:ind w:firstLine="480"/>
        <w:spacing w:line="360" w:lineRule="auto"/>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 在投标截止时间</w:t>
      </w:r>
      <w:r>
        <w:rPr>
          <w:rFonts w:hint="eastAsia" w:ascii="仿宋_GB2312" w:hAnsi="仿宋_GB2312"/>
          <w:sz w:val="24"/>
          <w:highlight w:val="none"/>
        </w:rPr>
        <w:t xml:space="preserve">前</w:t>
      </w:r>
      <w:r>
        <w:rPr>
          <w:rFonts w:hint="eastAsia" w:ascii="宋体" w:hAnsi="宋体"/>
          <w:sz w:val="24"/>
          <w:highlight w:val="none"/>
        </w:rPr>
        <w:t xml:space="preserve">，采购人可以对招标文件进行修改。</w:t>
      </w:r>
      <w:r>
        <w:rPr>
          <w:highlight w:val="none"/>
        </w:rPr>
      </w:r>
      <w:r/>
    </w:p>
    <w:p>
      <w:pPr>
        <w:pStyle w:val="1008"/>
        <w:ind w:firstLine="480"/>
        <w:spacing w:line="360" w:lineRule="auto"/>
        <w:rPr>
          <w:rFonts w:hint="eastAsia" w:ascii="宋体" w:hAnsi="Arial"/>
          <w:sz w:val="28"/>
          <w:highlight w:val="none"/>
        </w:rPr>
      </w:pPr>
      <w:r>
        <w:rPr>
          <w:rFonts w:hint="eastAsia" w:ascii="宋体" w:hAnsi="宋体"/>
          <w:bCs/>
          <w:sz w:val="24"/>
          <w:highlight w:val="none"/>
        </w:rPr>
        <w:t xml:space="preserve">9.2</w:t>
      </w:r>
      <w:r>
        <w:rPr>
          <w:rFonts w:hint="eastAsia" w:ascii="宋体" w:hAnsi="宋体"/>
          <w:sz w:val="24"/>
          <w:highlight w:val="none"/>
        </w:rPr>
        <w:t xml:space="preserve">采购人有权依法推迟投标截止日期和开标日期。</w:t>
      </w:r>
      <w:r>
        <w:rPr>
          <w:highlight w:val="none"/>
        </w:rPr>
      </w:r>
      <w:r/>
    </w:p>
    <w:p>
      <w:pPr>
        <w:pStyle w:val="1008"/>
        <w:ind w:firstLine="480"/>
        <w:spacing w:line="360" w:lineRule="auto"/>
        <w:rPr>
          <w:rFonts w:hint="eastAsia" w:ascii="宋体" w:hAnsi="宋体"/>
          <w:sz w:val="24"/>
          <w:highlight w:val="none"/>
        </w:rPr>
      </w:pPr>
      <w:r>
        <w:rPr>
          <w:rFonts w:hint="eastAsia" w:ascii="宋体" w:hAnsi="宋体"/>
          <w:bCs/>
          <w:sz w:val="24"/>
          <w:highlight w:val="none"/>
        </w:rPr>
        <w:t xml:space="preserve">9.3</w:t>
      </w:r>
      <w:r>
        <w:rPr>
          <w:rFonts w:hint="eastAsia" w:ascii="宋体" w:hAnsi="宋体"/>
          <w:sz w:val="24"/>
          <w:highlight w:val="none"/>
        </w:rPr>
        <w:t xml:space="preserve">招标文件的修改将在</w:t>
      </w:r>
      <w:r>
        <w:rPr>
          <w:rFonts w:hint="eastAsia" w:ascii="宋体" w:hAnsi="宋体" w:cs="宋体"/>
          <w:color w:val="000000"/>
          <w:sz w:val="24"/>
          <w:szCs w:val="20"/>
          <w:highlight w:val="none"/>
        </w:rPr>
        <w:t xml:space="preserve">“中国政府采购网”、“江苏政府采购网”、“盐城市政府采购网”</w:t>
      </w:r>
      <w:r>
        <w:rPr>
          <w:rFonts w:hint="eastAsia" w:ascii="宋体" w:hAnsi="宋体"/>
          <w:sz w:val="24"/>
          <w:highlight w:val="none"/>
        </w:rPr>
        <w:t xml:space="preserve">公布，补充文件将作为招标文件的组成部分，并对投标人具有约束力。</w:t>
      </w:r>
      <w:r>
        <w:rPr>
          <w:highlight w:val="none"/>
        </w:rPr>
      </w:r>
      <w:r/>
    </w:p>
    <w:p>
      <w:pPr>
        <w:pStyle w:val="1011"/>
        <w:ind w:firstLine="321"/>
        <w:spacing w:before="0" w:after="0" w:line="360" w:lineRule="auto"/>
        <w:tabs>
          <w:tab w:val="left" w:pos="6103" w:leader="none"/>
        </w:tabs>
        <w:rPr>
          <w:rFonts w:hint="eastAsia"/>
          <w:highlight w:val="none"/>
        </w:rPr>
      </w:pPr>
      <w:r>
        <w:rPr>
          <w:highlight w:val="none"/>
        </w:rPr>
      </w:r>
      <w:bookmarkStart w:id="73" w:name="_Toc120614216"/>
      <w:r>
        <w:rPr>
          <w:highlight w:val="none"/>
        </w:rPr>
      </w:r>
      <w:bookmarkStart w:id="74" w:name="_Toc20823285"/>
      <w:r>
        <w:rPr>
          <w:highlight w:val="none"/>
        </w:rPr>
      </w:r>
      <w:bookmarkStart w:id="75" w:name="_Toc16938529"/>
      <w:r>
        <w:rPr>
          <w:rFonts w:hint="eastAsia"/>
          <w:highlight w:val="none"/>
        </w:rPr>
        <w:t xml:space="preserve">三、投标文件的编制</w:t>
      </w:r>
      <w:bookmarkEnd w:id="73"/>
      <w:r>
        <w:rPr>
          <w:highlight w:val="none"/>
        </w:rPr>
      </w:r>
      <w:bookmarkEnd w:id="74"/>
      <w:r>
        <w:rPr>
          <w:highlight w:val="none"/>
        </w:rPr>
      </w:r>
      <w:bookmarkEnd w:id="75"/>
      <w:r>
        <w:rPr>
          <w:rFonts w:hint="eastAsia"/>
          <w:highlight w:val="none"/>
        </w:rPr>
        <w:tab/>
      </w:r>
      <w:r>
        <w:rPr>
          <w:highlight w:val="none"/>
        </w:rPr>
      </w:r>
      <w:r/>
    </w:p>
    <w:p>
      <w:pPr>
        <w:pStyle w:val="1012"/>
        <w:ind w:firstLine="420"/>
        <w:spacing w:before="0" w:after="0" w:line="360" w:lineRule="auto"/>
        <w:rPr>
          <w:rFonts w:hint="eastAsia"/>
          <w:bCs w:val="0"/>
          <w:highlight w:val="none"/>
        </w:rPr>
      </w:pPr>
      <w:r>
        <w:rPr>
          <w:highlight w:val="none"/>
        </w:rPr>
      </w:r>
      <w:bookmarkStart w:id="76" w:name="_Toc20823286"/>
      <w:r>
        <w:rPr>
          <w:highlight w:val="none"/>
        </w:rPr>
      </w:r>
      <w:bookmarkStart w:id="77" w:name="_Toc16938530"/>
      <w:r>
        <w:rPr>
          <w:rFonts w:hint="eastAsia"/>
          <w:b w:val="0"/>
          <w:bCs w:val="0"/>
          <w:highlight w:val="none"/>
        </w:rPr>
        <w:t xml:space="preserve">10、投标文件的语言及度量衡单位</w:t>
      </w:r>
      <w:bookmarkEnd w:id="76"/>
      <w:r>
        <w:rPr>
          <w:highlight w:val="none"/>
        </w:rPr>
      </w:r>
      <w:bookmarkEnd w:id="77"/>
      <w:r>
        <w:rPr>
          <w:highlight w:val="none"/>
        </w:rPr>
      </w:r>
      <w:r/>
    </w:p>
    <w:p>
      <w:pPr>
        <w:pStyle w:val="1008"/>
        <w:ind w:firstLine="480"/>
        <w:spacing w:line="360" w:lineRule="auto"/>
        <w:rPr>
          <w:rFonts w:hint="eastAsia" w:ascii="宋体" w:hAnsi="宋体"/>
          <w:sz w:val="24"/>
          <w:highlight w:val="none"/>
        </w:rPr>
      </w:pPr>
      <w:r>
        <w:rPr>
          <w:rFonts w:hint="eastAsia" w:ascii="宋体" w:hAnsi="宋体"/>
          <w:bCs/>
          <w:sz w:val="24"/>
          <w:highlight w:val="none"/>
        </w:rPr>
        <w:t xml:space="preserve">10.1</w:t>
      </w:r>
      <w:r>
        <w:rPr>
          <w:rFonts w:hint="eastAsia" w:ascii="宋体" w:hAnsi="宋体"/>
          <w:sz w:val="24"/>
          <w:highlight w:val="none"/>
        </w:rPr>
        <w:t xml:space="preserve"> 投标人提交的投标文件以及投标人与采购人、代理机构就有关投标的所有来往通知、函件和文件均应使用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highlight w:val="none"/>
        </w:rPr>
      </w:r>
      <w:r/>
    </w:p>
    <w:p>
      <w:pPr>
        <w:pStyle w:val="1008"/>
        <w:ind w:firstLine="480"/>
        <w:spacing w:line="360" w:lineRule="auto"/>
        <w:rPr>
          <w:rFonts w:hint="eastAsia" w:ascii="宋体" w:hAnsi="宋体"/>
          <w:sz w:val="24"/>
          <w:highlight w:val="none"/>
        </w:rPr>
      </w:pPr>
      <w:r>
        <w:rPr>
          <w:rFonts w:hint="eastAsia" w:ascii="宋体" w:hAnsi="宋体"/>
          <w:bCs/>
          <w:sz w:val="24"/>
          <w:highlight w:val="none"/>
        </w:rPr>
        <w:t xml:space="preserve">10.2</w:t>
      </w:r>
      <w:r>
        <w:rPr>
          <w:rFonts w:hint="eastAsia" w:ascii="宋体" w:hAnsi="宋体"/>
          <w:sz w:val="24"/>
          <w:highlight w:val="none"/>
        </w:rPr>
        <w:t xml:space="preserve"> 除技术性能另有规定外，投标文件所使用的度量衡单位，均须采用国家法定计量单位。</w:t>
      </w:r>
      <w:r>
        <w:rPr>
          <w:highlight w:val="none"/>
        </w:rPr>
      </w:r>
      <w:r/>
    </w:p>
    <w:p>
      <w:pPr>
        <w:pStyle w:val="1012"/>
        <w:ind w:firstLine="420"/>
        <w:spacing w:before="0" w:after="0" w:line="360" w:lineRule="auto"/>
        <w:rPr>
          <w:rFonts w:hint="eastAsia"/>
          <w:b w:val="0"/>
          <w:bCs w:val="0"/>
          <w:highlight w:val="none"/>
        </w:rPr>
      </w:pPr>
      <w:r>
        <w:rPr>
          <w:highlight w:val="none"/>
        </w:rPr>
      </w:r>
      <w:bookmarkStart w:id="78" w:name="_Toc16938531"/>
      <w:r>
        <w:rPr>
          <w:highlight w:val="none"/>
        </w:rPr>
      </w:r>
      <w:bookmarkStart w:id="79" w:name="_Toc20823287"/>
      <w:r>
        <w:rPr>
          <w:rFonts w:hint="eastAsia"/>
          <w:b w:val="0"/>
          <w:bCs w:val="0"/>
          <w:highlight w:val="none"/>
        </w:rPr>
        <w:t xml:space="preserve">11、投标文件构成</w:t>
      </w:r>
      <w:bookmarkEnd w:id="78"/>
      <w:r>
        <w:rPr>
          <w:highlight w:val="none"/>
        </w:rPr>
      </w:r>
      <w:bookmarkEnd w:id="79"/>
      <w:r>
        <w:rPr>
          <w:highlight w:val="none"/>
        </w:rPr>
      </w:r>
      <w:r/>
    </w:p>
    <w:p>
      <w:pPr>
        <w:pStyle w:val="1008"/>
        <w:ind w:firstLine="480"/>
        <w:spacing w:line="360" w:lineRule="auto"/>
        <w:rPr>
          <w:rFonts w:ascii="宋体" w:hAnsi="宋体"/>
          <w:sz w:val="24"/>
          <w:highlight w:val="none"/>
        </w:rPr>
      </w:pPr>
      <w:r>
        <w:rPr>
          <w:rFonts w:hint="eastAsia" w:ascii="宋体" w:hAnsi="宋体"/>
          <w:sz w:val="24"/>
          <w:highlight w:val="none"/>
        </w:rPr>
        <w:t xml:space="preserve">11.1投标人编写的投标文件应包括资信证明文件要求、资格性审查响应对照表、符合性检查响应对照表、投标函、开标一览表</w:t>
      </w:r>
      <w:r>
        <w:rPr>
          <w:rFonts w:hint="eastAsia" w:ascii="宋体" w:hAnsi="宋体"/>
          <w:bCs/>
          <w:sz w:val="24"/>
          <w:highlight w:val="none"/>
        </w:rPr>
        <w:t xml:space="preserve">、</w:t>
      </w:r>
      <w:r>
        <w:rPr>
          <w:rFonts w:hint="eastAsia" w:ascii="宋体" w:hAnsi="宋体"/>
          <w:sz w:val="24"/>
          <w:highlight w:val="none"/>
        </w:rPr>
        <w:t xml:space="preserve">技术参数响应及偏离表、商务条款响应及偏离表等、盐城市政府采购事前信用承诺书等部分；</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sz w:val="24"/>
          <w:highlight w:val="none"/>
        </w:rPr>
        <w:t xml:space="preserve">11.2</w:t>
      </w:r>
      <w:r>
        <w:rPr>
          <w:rFonts w:hint="eastAsia" w:ascii="宋体" w:hAnsi="宋体"/>
          <w:b/>
          <w:sz w:val="24"/>
          <w:highlight w:val="none"/>
        </w:rPr>
        <w:t xml:space="preserve"> </w:t>
      </w:r>
      <w:r>
        <w:rPr>
          <w:rFonts w:hint="eastAsia" w:ascii="宋体" w:hAnsi="宋体"/>
          <w:sz w:val="24"/>
          <w:highlight w:val="none"/>
        </w:rPr>
        <w:t xml:space="preserve">投标人应将投标文件按顺序装订成册，并编制投标文件资料目录。</w:t>
      </w:r>
      <w:r>
        <w:rPr>
          <w:rFonts w:hint="eastAsia" w:ascii="宋体" w:hAnsi="宋体" w:cs="宋体"/>
          <w:sz w:val="24"/>
          <w:highlight w:val="none"/>
        </w:rPr>
        <w:t xml:space="preserve">投标文件中，招标文件要求提供的必须按照要求提供，文字材料需打印或用不褪色墨水书写，投标文件按要求经法定代表人或授权代表签字和加盖投标供应商公章。本招标文件所表述（指定）的公章是指刻有投标供应商法定名称的印章，不包括合同、财务、税务、发票等形式的业务专用章。</w:t>
      </w:r>
      <w:r>
        <w:rPr>
          <w:highlight w:val="none"/>
        </w:rPr>
      </w:r>
      <w:r/>
    </w:p>
    <w:p>
      <w:pPr>
        <w:pStyle w:val="1008"/>
        <w:ind w:firstLine="480"/>
        <w:spacing w:line="360" w:lineRule="auto"/>
        <w:rPr>
          <w:rFonts w:ascii="宋体" w:hAnsi="宋体"/>
          <w:bCs/>
          <w:sz w:val="24"/>
          <w:highlight w:val="none"/>
        </w:rPr>
      </w:pPr>
      <w:r>
        <w:rPr>
          <w:rFonts w:hint="eastAsia" w:ascii="宋体" w:hAnsi="宋体"/>
          <w:sz w:val="24"/>
          <w:highlight w:val="none"/>
        </w:rPr>
        <w:t xml:space="preserve">11.3</w:t>
      </w:r>
      <w:r>
        <w:rPr>
          <w:rFonts w:hint="eastAsia" w:ascii="宋体" w:hAnsi="宋体"/>
          <w:bCs/>
          <w:sz w:val="24"/>
          <w:highlight w:val="none"/>
        </w:rPr>
        <w:t xml:space="preserve"> 除投标人对错处做必要修改外，投标文件不得行间插字、涂改或增删。如有修改错漏处，必须由投标文件签署人签字或盖章。</w:t>
      </w:r>
      <w:r>
        <w:rPr>
          <w:highlight w:val="none"/>
        </w:rPr>
      </w:r>
      <w:r/>
    </w:p>
    <w:p>
      <w:pPr>
        <w:pStyle w:val="1012"/>
        <w:ind w:firstLine="420"/>
        <w:spacing w:before="0" w:after="0" w:line="360" w:lineRule="auto"/>
        <w:rPr>
          <w:rFonts w:hint="eastAsia"/>
          <w:b w:val="0"/>
          <w:bCs w:val="0"/>
          <w:highlight w:val="none"/>
        </w:rPr>
      </w:pPr>
      <w:r>
        <w:rPr>
          <w:highlight w:val="none"/>
        </w:rPr>
      </w:r>
      <w:bookmarkStart w:id="80" w:name="_Hlt26670360"/>
      <w:r>
        <w:rPr>
          <w:highlight w:val="none"/>
        </w:rPr>
      </w:r>
      <w:bookmarkEnd w:id="80"/>
      <w:r>
        <w:rPr>
          <w:highlight w:val="none"/>
        </w:rPr>
      </w:r>
      <w:bookmarkStart w:id="81" w:name="_Hlt26668975"/>
      <w:r>
        <w:rPr>
          <w:highlight w:val="none"/>
        </w:rPr>
      </w:r>
      <w:bookmarkEnd w:id="81"/>
      <w:r>
        <w:rPr>
          <w:highlight w:val="none"/>
        </w:rPr>
      </w:r>
      <w:bookmarkStart w:id="82" w:name="_Toc49090509"/>
      <w:r>
        <w:rPr>
          <w:highlight w:val="none"/>
        </w:rPr>
      </w:r>
      <w:bookmarkStart w:id="83" w:name="_Toc49090507"/>
      <w:r>
        <w:rPr>
          <w:highlight w:val="none"/>
        </w:rPr>
      </w:r>
      <w:bookmarkStart w:id="84" w:name="_Toc513029216"/>
      <w:r>
        <w:rPr>
          <w:highlight w:val="none"/>
        </w:rPr>
      </w:r>
      <w:bookmarkStart w:id="85" w:name="_Toc14577354"/>
      <w:r>
        <w:rPr>
          <w:highlight w:val="none"/>
        </w:rPr>
      </w:r>
      <w:bookmarkStart w:id="86" w:name="_Hlt26954838"/>
      <w:r>
        <w:rPr>
          <w:highlight w:val="none"/>
        </w:rPr>
      </w:r>
      <w:bookmarkEnd w:id="86"/>
      <w:r>
        <w:rPr>
          <w:rFonts w:hint="eastAsia"/>
          <w:b w:val="0"/>
          <w:bCs w:val="0"/>
          <w:highlight w:val="none"/>
        </w:rPr>
        <w:t xml:space="preserve">12、证明投标人资格及符合招标文件规定的文件</w:t>
      </w:r>
      <w:bookmarkEnd w:id="82"/>
      <w:r>
        <w:rPr>
          <w:highlight w:val="none"/>
        </w:rPr>
      </w:r>
      <w:r/>
    </w:p>
    <w:p>
      <w:pPr>
        <w:pStyle w:val="1008"/>
        <w:ind w:firstLine="480"/>
        <w:spacing w:line="360" w:lineRule="auto"/>
        <w:rPr>
          <w:rFonts w:ascii="宋体" w:hAnsi="宋体"/>
          <w:sz w:val="24"/>
          <w:highlight w:val="none"/>
        </w:rPr>
      </w:pPr>
      <w:r>
        <w:rPr>
          <w:highlight w:val="none"/>
        </w:rPr>
      </w:r>
      <w:bookmarkEnd w:id="83"/>
      <w:r>
        <w:rPr>
          <w:highlight w:val="none"/>
        </w:rPr>
      </w:r>
      <w:bookmarkEnd w:id="84"/>
      <w:r>
        <w:rPr>
          <w:highlight w:val="none"/>
        </w:rPr>
      </w:r>
      <w:bookmarkEnd w:id="85"/>
      <w:r>
        <w:rPr>
          <w:highlight w:val="none"/>
        </w:rPr>
      </w:r>
      <w:bookmarkStart w:id="87" w:name="_Toc49090508"/>
      <w:r>
        <w:rPr>
          <w:rFonts w:hint="eastAsia" w:ascii="宋体" w:hAnsi="宋体"/>
          <w:sz w:val="24"/>
          <w:highlight w:val="none"/>
        </w:rPr>
        <w:t xml:space="preserve">12.1投标人应按要求提交资格证明文件及符合招标文件规定的文件。</w:t>
      </w:r>
      <w:r>
        <w:rPr>
          <w:highlight w:val="none"/>
        </w:rPr>
      </w:r>
      <w:r/>
    </w:p>
    <w:p>
      <w:pPr>
        <w:pStyle w:val="1008"/>
        <w:ind w:firstLine="480"/>
        <w:spacing w:line="360" w:lineRule="auto"/>
        <w:rPr>
          <w:rFonts w:ascii="宋体" w:hAnsi="宋体"/>
          <w:sz w:val="24"/>
          <w:highlight w:val="none"/>
        </w:rPr>
      </w:pPr>
      <w:r>
        <w:rPr>
          <w:rFonts w:hint="eastAsia" w:ascii="宋体" w:hAnsi="宋体"/>
          <w:sz w:val="24"/>
          <w:highlight w:val="none"/>
        </w:rPr>
        <w:t xml:space="preserve">12.2投标人应提交证明其有资格参加投标和中标后有能力独立履行合同的文件。</w:t>
      </w:r>
      <w:r>
        <w:rPr>
          <w:highlight w:val="none"/>
        </w:rPr>
      </w:r>
      <w:r/>
    </w:p>
    <w:p>
      <w:pPr>
        <w:pStyle w:val="1008"/>
        <w:ind w:firstLine="480"/>
        <w:spacing w:line="360" w:lineRule="auto"/>
        <w:rPr>
          <w:rFonts w:ascii="宋体" w:hAnsi="宋体"/>
          <w:sz w:val="24"/>
          <w:highlight w:val="none"/>
        </w:rPr>
      </w:pPr>
      <w:r>
        <w:rPr>
          <w:rFonts w:hint="eastAsia" w:ascii="宋体" w:hAnsi="宋体"/>
          <w:sz w:val="24"/>
          <w:highlight w:val="none"/>
        </w:rPr>
        <w:t xml:space="preserve">12.3投标人除必须具有履行合同所需提供的货物以及服务的能力外，还必须具备相应的财务、技术方面的能力。</w:t>
      </w:r>
      <w:r>
        <w:rPr>
          <w:highlight w:val="none"/>
        </w:rPr>
      </w:r>
      <w:r/>
    </w:p>
    <w:p>
      <w:pPr>
        <w:pStyle w:val="1008"/>
        <w:spacing w:line="360" w:lineRule="auto"/>
        <w:rPr>
          <w:rFonts w:ascii="宋体" w:hAnsi="宋体"/>
          <w:sz w:val="24"/>
          <w:highlight w:val="none"/>
        </w:rPr>
      </w:pPr>
      <w:r>
        <w:rPr>
          <w:rFonts w:hint="eastAsia" w:ascii="宋体" w:hAnsi="宋体"/>
          <w:sz w:val="24"/>
          <w:highlight w:val="none"/>
        </w:rPr>
        <w:t xml:space="preserve">    12.4投标人应提交根据合同要求提供的证明产品质量合格以及符合招标文件规定的证明文件。</w:t>
      </w:r>
      <w:r>
        <w:rPr>
          <w:highlight w:val="none"/>
        </w:rPr>
      </w:r>
      <w:r/>
    </w:p>
    <w:p>
      <w:pPr>
        <w:pStyle w:val="1008"/>
        <w:spacing w:line="360" w:lineRule="auto"/>
        <w:rPr>
          <w:rFonts w:ascii="宋体"/>
          <w:sz w:val="24"/>
          <w:highlight w:val="none"/>
        </w:rPr>
      </w:pPr>
      <w:r>
        <w:rPr>
          <w:rFonts w:hint="eastAsia" w:ascii="宋体" w:hAnsi="宋体"/>
          <w:sz w:val="24"/>
          <w:highlight w:val="none"/>
        </w:rPr>
        <w:t xml:space="preserve">    12.5证明投标人所提供货物与招标文件的要求相一致的文件可以是手册、图纸、文字资料和数据。</w:t>
      </w:r>
      <w:r>
        <w:rPr>
          <w:highlight w:val="none"/>
        </w:rPr>
      </w:r>
      <w:r/>
    </w:p>
    <w:p>
      <w:pPr>
        <w:pStyle w:val="1012"/>
        <w:ind w:firstLine="420"/>
        <w:spacing w:before="0" w:after="0" w:line="360" w:lineRule="auto"/>
        <w:rPr>
          <w:rFonts w:hint="eastAsia"/>
          <w:b w:val="0"/>
          <w:bCs w:val="0"/>
          <w:highlight w:val="none"/>
        </w:rPr>
      </w:pPr>
      <w:r>
        <w:rPr>
          <w:rFonts w:hint="eastAsia"/>
          <w:b w:val="0"/>
          <w:bCs w:val="0"/>
          <w:highlight w:val="none"/>
        </w:rPr>
        <w:t xml:space="preserve">13、投标报价</w:t>
      </w:r>
      <w:bookmarkEnd w:id="87"/>
      <w:r>
        <w:rPr>
          <w:highlight w:val="none"/>
        </w:rPr>
      </w:r>
      <w:r/>
    </w:p>
    <w:p>
      <w:pPr>
        <w:pStyle w:val="1008"/>
        <w:ind w:firstLine="480"/>
        <w:spacing w:line="360" w:lineRule="auto"/>
        <w:rPr>
          <w:rFonts w:ascii="宋体" w:hAnsi="宋体"/>
          <w:bCs/>
          <w:sz w:val="24"/>
          <w:highlight w:val="none"/>
        </w:rPr>
      </w:pPr>
      <w:r>
        <w:rPr>
          <w:rFonts w:hint="eastAsia" w:ascii="宋体" w:hAnsi="宋体"/>
          <w:bCs/>
          <w:sz w:val="24"/>
          <w:highlight w:val="none"/>
        </w:rPr>
        <w:t xml:space="preserve">13.1 投标人应按照招标文件规定格式填报开标一览表。每项只允许有一个报价，任何有选择的报价将不予接受。</w:t>
      </w:r>
      <w:r>
        <w:rPr>
          <w:highlight w:val="none"/>
        </w:rPr>
      </w:r>
      <w:r/>
    </w:p>
    <w:p>
      <w:pPr>
        <w:pStyle w:val="1008"/>
        <w:ind w:firstLine="480"/>
        <w:spacing w:line="360" w:lineRule="auto"/>
        <w:rPr>
          <w:rFonts w:ascii="宋体" w:hAnsi="宋体"/>
          <w:bCs/>
          <w:sz w:val="24"/>
          <w:highlight w:val="none"/>
        </w:rPr>
      </w:pPr>
      <w:r>
        <w:rPr>
          <w:rFonts w:hint="eastAsia" w:ascii="宋体" w:hAnsi="宋体"/>
          <w:bCs/>
          <w:sz w:val="24"/>
          <w:highlight w:val="none"/>
        </w:rPr>
        <w:t xml:space="preserve">13.2 标的物</w:t>
      </w:r>
      <w:r>
        <w:rPr>
          <w:highlight w:val="none"/>
        </w:rPr>
      </w:r>
      <w:r/>
    </w:p>
    <w:p>
      <w:pPr>
        <w:pStyle w:val="1008"/>
        <w:ind w:firstLine="480"/>
        <w:spacing w:line="360" w:lineRule="auto"/>
        <w:rPr>
          <w:rFonts w:ascii="宋体" w:hAnsi="宋体"/>
          <w:bCs/>
          <w:sz w:val="24"/>
          <w:highlight w:val="none"/>
        </w:rPr>
      </w:pPr>
      <w:r>
        <w:rPr>
          <w:rFonts w:hint="eastAsia" w:ascii="宋体" w:hAnsi="宋体"/>
          <w:bCs/>
          <w:sz w:val="24"/>
          <w:highlight w:val="none"/>
        </w:rPr>
        <w:t xml:space="preserve">采购人需求的服务及有关技术咨询等。</w:t>
      </w:r>
      <w:r>
        <w:rPr>
          <w:highlight w:val="none"/>
        </w:rPr>
      </w:r>
      <w:r/>
    </w:p>
    <w:p>
      <w:pPr>
        <w:pStyle w:val="1008"/>
        <w:ind w:firstLine="480"/>
        <w:spacing w:line="360" w:lineRule="auto"/>
        <w:rPr>
          <w:rFonts w:ascii="宋体" w:hAnsi="宋体"/>
          <w:bCs/>
          <w:sz w:val="24"/>
          <w:highlight w:val="none"/>
        </w:rPr>
      </w:pPr>
      <w:r>
        <w:rPr>
          <w:rFonts w:hint="eastAsia" w:ascii="宋体" w:hAnsi="宋体"/>
          <w:bCs/>
          <w:sz w:val="24"/>
          <w:highlight w:val="none"/>
        </w:rPr>
        <w:t xml:space="preserve">13.3有关费用处理</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招标人除按约定的费种支付酬金外不再支付其它任何费用，投标人应综合考虑本合同约定的工作必须的成本。</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sz w:val="24"/>
          <w:highlight w:val="none"/>
        </w:rPr>
        <w:t xml:space="preserve">13.4</w:t>
      </w:r>
      <w:r>
        <w:rPr>
          <w:rFonts w:hint="eastAsia" w:ascii="宋体" w:hAnsi="宋体" w:cs="宋体"/>
          <w:bCs/>
          <w:sz w:val="24"/>
          <w:highlight w:val="none"/>
        </w:rPr>
        <w:t xml:space="preserve">其它费用处理</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bCs/>
          <w:sz w:val="24"/>
          <w:highlight w:val="none"/>
        </w:rPr>
        <w:t xml:space="preserve">招标文件未列明，而投标人认为必需的费用也需列入报价。</w:t>
      </w:r>
      <w:r>
        <w:rPr>
          <w:highlight w:val="none"/>
        </w:rPr>
      </w:r>
      <w:r/>
    </w:p>
    <w:p>
      <w:pPr>
        <w:pStyle w:val="1008"/>
        <w:ind w:firstLine="480"/>
        <w:spacing w:line="360" w:lineRule="auto"/>
        <w:rPr>
          <w:rFonts w:hint="eastAsia" w:ascii="宋体" w:hAnsi="宋体"/>
          <w:bCs/>
          <w:sz w:val="24"/>
          <w:highlight w:val="none"/>
        </w:rPr>
      </w:pPr>
      <w:r>
        <w:rPr>
          <w:rFonts w:hint="eastAsia" w:ascii="宋体" w:hAnsi="宋体"/>
          <w:sz w:val="24"/>
          <w:highlight w:val="none"/>
        </w:rPr>
        <w:t xml:space="preserve">13.5</w:t>
      </w:r>
      <w:r>
        <w:rPr>
          <w:rFonts w:hint="eastAsia" w:ascii="宋体" w:hAnsi="宋体"/>
          <w:bCs/>
          <w:sz w:val="24"/>
          <w:highlight w:val="none"/>
        </w:rPr>
        <w:t xml:space="preserve">投标货币</w:t>
      </w:r>
      <w:r>
        <w:rPr>
          <w:highlight w:val="none"/>
        </w:rPr>
      </w:r>
      <w:r/>
    </w:p>
    <w:p>
      <w:pPr>
        <w:pStyle w:val="1008"/>
        <w:ind w:firstLine="480"/>
        <w:spacing w:line="360" w:lineRule="auto"/>
        <w:rPr>
          <w:rFonts w:hint="eastAsia" w:ascii="宋体" w:hAnsi="宋体"/>
          <w:bCs/>
          <w:sz w:val="24"/>
          <w:highlight w:val="none"/>
        </w:rPr>
      </w:pPr>
      <w:r>
        <w:rPr>
          <w:rFonts w:hint="eastAsia" w:ascii="宋体" w:hAnsi="宋体"/>
          <w:bCs/>
          <w:sz w:val="24"/>
          <w:highlight w:val="none"/>
        </w:rPr>
        <w:t xml:space="preserve">投标文件中的货物单价和总价无特殊规定的采用人民币报价，以元为单位标注。</w:t>
      </w:r>
      <w:r>
        <w:rPr>
          <w:rFonts w:hint="eastAsia" w:ascii="宋体" w:hAnsi="宋体"/>
          <w:sz w:val="24"/>
          <w:highlight w:val="none"/>
        </w:rPr>
        <w:t xml:space="preserve">招标文件中另有规定的按规定执行。</w:t>
      </w:r>
      <w:r>
        <w:rPr>
          <w:highlight w:val="none"/>
        </w:rPr>
      </w:r>
      <w:r/>
    </w:p>
    <w:p>
      <w:pPr>
        <w:pStyle w:val="1008"/>
        <w:ind w:firstLine="480"/>
        <w:spacing w:line="360" w:lineRule="auto"/>
        <w:rPr>
          <w:rFonts w:hint="eastAsia" w:ascii="宋体" w:hAnsi="宋体"/>
          <w:bCs/>
          <w:sz w:val="24"/>
          <w:highlight w:val="none"/>
        </w:rPr>
      </w:pPr>
      <w:r>
        <w:rPr>
          <w:rFonts w:hint="eastAsia" w:ascii="宋体" w:hAnsi="宋体"/>
          <w:sz w:val="24"/>
          <w:highlight w:val="none"/>
        </w:rPr>
        <w:t xml:space="preserve">13.6</w:t>
      </w:r>
      <w:r>
        <w:rPr>
          <w:rFonts w:hint="eastAsia" w:ascii="宋体" w:hAnsi="宋体"/>
          <w:bCs/>
          <w:sz w:val="24"/>
          <w:highlight w:val="none"/>
        </w:rPr>
        <w:t xml:space="preserve">项目总价</w:t>
      </w:r>
      <w:r>
        <w:rPr>
          <w:highlight w:val="none"/>
        </w:rPr>
      </w:r>
      <w:r/>
    </w:p>
    <w:p>
      <w:pPr>
        <w:pStyle w:val="1008"/>
        <w:ind w:firstLine="360"/>
        <w:spacing w:line="360" w:lineRule="auto"/>
        <w:rPr>
          <w:rFonts w:hint="eastAsia" w:ascii="宋体" w:hAnsi="宋体"/>
          <w:bCs/>
          <w:sz w:val="24"/>
          <w:highlight w:val="none"/>
        </w:rPr>
      </w:pPr>
      <w:r>
        <w:rPr>
          <w:rFonts w:hint="eastAsia" w:ascii="宋体" w:hAnsi="宋体"/>
          <w:sz w:val="24"/>
          <w:highlight w:val="none"/>
        </w:rPr>
        <w:t xml:space="preserve">包括</w:t>
      </w:r>
      <w:r>
        <w:rPr>
          <w:rFonts w:hint="eastAsia"/>
          <w:sz w:val="24"/>
          <w:highlight w:val="none"/>
        </w:rPr>
        <w:t xml:space="preserve">招标范围内的全部服务工作内容</w:t>
      </w:r>
      <w:r>
        <w:rPr>
          <w:rFonts w:hint="eastAsia" w:ascii="宋体" w:hAnsi="宋体"/>
          <w:bCs/>
          <w:sz w:val="24"/>
          <w:highlight w:val="none"/>
        </w:rPr>
        <w:t xml:space="preserve">费用和所有</w:t>
      </w:r>
      <w:r>
        <w:rPr>
          <w:rFonts w:hint="eastAsia" w:ascii="宋体" w:hAnsi="宋体"/>
          <w:sz w:val="24"/>
          <w:highlight w:val="none"/>
        </w:rPr>
        <w:t xml:space="preserve">相关税金费用</w:t>
      </w:r>
      <w:r>
        <w:rPr>
          <w:rFonts w:hint="eastAsia" w:ascii="宋体" w:hAnsi="宋体"/>
          <w:bCs/>
          <w:sz w:val="24"/>
          <w:highlight w:val="none"/>
        </w:rPr>
        <w:t xml:space="preserve">及为完成整个项目所产生的其它所有费用。</w:t>
      </w:r>
      <w:r>
        <w:rPr>
          <w:highlight w:val="none"/>
        </w:rPr>
      </w:r>
      <w:r/>
    </w:p>
    <w:p>
      <w:pPr>
        <w:pStyle w:val="1008"/>
        <w:ind w:firstLine="361"/>
        <w:spacing w:line="360" w:lineRule="auto"/>
        <w:rPr>
          <w:rFonts w:ascii="宋体" w:hAnsi="宋体" w:cs="宋体"/>
          <w:bCs/>
          <w:sz w:val="24"/>
          <w:highlight w:val="none"/>
        </w:rPr>
      </w:pPr>
      <w:r>
        <w:rPr>
          <w:rFonts w:ascii="宋体" w:hAnsi="宋体"/>
          <w:b/>
          <w:sz w:val="24"/>
          <w:highlight w:val="none"/>
        </w:rPr>
        <w:t xml:space="preserve">14</w:t>
      </w:r>
      <w:r>
        <w:rPr>
          <w:rFonts w:hint="eastAsia" w:ascii="宋体" w:hAnsi="宋体"/>
          <w:b/>
          <w:sz w:val="24"/>
          <w:highlight w:val="none"/>
        </w:rPr>
        <w:t xml:space="preserve">、技术参数响应及偏离表、商务条款响应</w:t>
      </w:r>
      <w:r>
        <w:rPr>
          <w:rFonts w:hint="eastAsia" w:ascii="宋体" w:hAnsi="宋体" w:cs="宋体"/>
          <w:b/>
          <w:bCs/>
          <w:sz w:val="24"/>
          <w:highlight w:val="none"/>
        </w:rPr>
        <w:t xml:space="preserve">（如有）</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bCs/>
          <w:sz w:val="24"/>
          <w:highlight w:val="none"/>
          <w:lang w:val="zh-CN"/>
        </w:rPr>
        <w:t xml:space="preserve">14.1 对招标文件中的技术与商务条款要求逐项作出响应或偏离，并说明原因；</w:t>
      </w:r>
      <w:r>
        <w:rPr>
          <w:highlight w:val="none"/>
        </w:rPr>
      </w:r>
      <w:r/>
    </w:p>
    <w:p>
      <w:pPr>
        <w:pStyle w:val="1008"/>
        <w:ind w:firstLine="480"/>
        <w:spacing w:line="360" w:lineRule="auto"/>
        <w:rPr>
          <w:rFonts w:ascii="宋体" w:cs="宋体"/>
          <w:sz w:val="24"/>
          <w:highlight w:val="none"/>
        </w:rPr>
      </w:pPr>
      <w:r>
        <w:rPr>
          <w:rFonts w:hint="eastAsia" w:ascii="宋体" w:hAnsi="宋体" w:cs="宋体"/>
          <w:bCs/>
          <w:sz w:val="24"/>
          <w:highlight w:val="none"/>
        </w:rPr>
        <w:t xml:space="preserve">14.2</w:t>
      </w:r>
      <w:r>
        <w:rPr>
          <w:rFonts w:hint="eastAsia" w:ascii="宋体" w:hAnsi="宋体" w:cs="宋体"/>
          <w:bCs/>
          <w:sz w:val="24"/>
          <w:highlight w:val="none"/>
          <w:lang w:val="zh-CN"/>
        </w:rPr>
        <w:t xml:space="preserve"> 投标人认为需要的其他技术文件或说明。</w:t>
      </w:r>
      <w:r>
        <w:rPr>
          <w:highlight w:val="none"/>
        </w:rPr>
      </w:r>
      <w:r/>
    </w:p>
    <w:p>
      <w:pPr>
        <w:pStyle w:val="1008"/>
        <w:ind w:firstLine="482"/>
        <w:spacing w:line="360" w:lineRule="auto"/>
        <w:rPr>
          <w:rFonts w:ascii="宋体"/>
          <w:b/>
          <w:bCs/>
          <w:sz w:val="24"/>
          <w:highlight w:val="none"/>
        </w:rPr>
      </w:pPr>
      <w:r>
        <w:rPr>
          <w:rFonts w:ascii="宋体" w:hAnsi="宋体"/>
          <w:b/>
          <w:sz w:val="24"/>
          <w:highlight w:val="none"/>
        </w:rPr>
        <w:t xml:space="preserve">15</w:t>
      </w:r>
      <w:r>
        <w:rPr>
          <w:rFonts w:hint="eastAsia" w:ascii="宋体" w:hAnsi="宋体"/>
          <w:b/>
          <w:sz w:val="24"/>
          <w:highlight w:val="none"/>
        </w:rPr>
        <w:t xml:space="preserve">、服务承诺及售后服务机构、人员的情况介绍</w:t>
      </w:r>
      <w:r>
        <w:rPr>
          <w:rFonts w:hint="eastAsia" w:ascii="宋体" w:hAnsi="宋体" w:cs="宋体"/>
          <w:b/>
          <w:bCs/>
          <w:sz w:val="24"/>
          <w:highlight w:val="none"/>
        </w:rPr>
        <w:t xml:space="preserve">（如有）</w:t>
      </w:r>
      <w:r>
        <w:rPr>
          <w:highlight w:val="none"/>
        </w:rPr>
      </w:r>
      <w:r/>
    </w:p>
    <w:p>
      <w:pPr>
        <w:pStyle w:val="1008"/>
        <w:ind w:firstLine="480"/>
        <w:spacing w:line="360" w:lineRule="auto"/>
        <w:tabs>
          <w:tab w:val="left" w:pos="1035" w:leader="none"/>
        </w:tabs>
        <w:rPr>
          <w:rFonts w:ascii="宋体" w:hAnsi="宋体" w:cs="宋体"/>
          <w:sz w:val="24"/>
          <w:highlight w:val="none"/>
        </w:rPr>
      </w:pPr>
      <w:r>
        <w:rPr>
          <w:rFonts w:hint="eastAsia" w:ascii="宋体" w:hAnsi="宋体" w:cs="宋体"/>
          <w:sz w:val="24"/>
          <w:highlight w:val="none"/>
          <w:lang w:val="zh-CN"/>
        </w:rPr>
        <w:t xml:space="preserve">15.1投标人的服务承诺应按不低于招标文件中商务要求的标准。</w:t>
      </w:r>
      <w:r>
        <w:rPr>
          <w:highlight w:val="none"/>
        </w:rPr>
      </w:r>
      <w:r/>
    </w:p>
    <w:p>
      <w:pPr>
        <w:pStyle w:val="1008"/>
        <w:ind w:firstLine="480"/>
        <w:spacing w:line="360" w:lineRule="auto"/>
        <w:tabs>
          <w:tab w:val="left" w:pos="1035" w:leader="none"/>
        </w:tabs>
        <w:rPr>
          <w:rFonts w:ascii="宋体" w:cs="宋体"/>
          <w:sz w:val="24"/>
          <w:highlight w:val="none"/>
        </w:rPr>
      </w:pPr>
      <w:r>
        <w:rPr>
          <w:rFonts w:hint="eastAsia" w:ascii="宋体" w:hAnsi="宋体" w:cs="宋体"/>
          <w:sz w:val="24"/>
          <w:highlight w:val="none"/>
          <w:lang w:val="zh-CN"/>
        </w:rPr>
        <w:t xml:space="preserve">15.2提供投标人有关售后服务的管理制度、售后服务机构的分布情况、售后服务人员的数量、素质、技术水平及售后服务的反应能力。</w:t>
      </w:r>
      <w:r>
        <w:rPr>
          <w:highlight w:val="none"/>
        </w:rPr>
      </w:r>
      <w:r/>
    </w:p>
    <w:p>
      <w:pPr>
        <w:pStyle w:val="1012"/>
        <w:ind w:firstLine="482"/>
        <w:spacing w:before="0" w:after="0" w:line="360" w:lineRule="auto"/>
        <w:rPr>
          <w:rFonts w:ascii="宋体" w:hAnsi="宋体" w:eastAsia="宋体"/>
          <w:sz w:val="24"/>
          <w:szCs w:val="24"/>
          <w:highlight w:val="none"/>
        </w:rPr>
      </w:pPr>
      <w:r>
        <w:rPr>
          <w:highlight w:val="none"/>
        </w:rPr>
      </w:r>
      <w:bookmarkStart w:id="88" w:name="_Toc14577359"/>
      <w:r>
        <w:rPr>
          <w:rFonts w:ascii="宋体" w:hAnsi="宋体" w:eastAsia="宋体"/>
          <w:sz w:val="24"/>
          <w:szCs w:val="24"/>
          <w:highlight w:val="none"/>
        </w:rPr>
        <w:t xml:space="preserve">16</w:t>
      </w:r>
      <w:r>
        <w:rPr>
          <w:rFonts w:hint="eastAsia" w:ascii="宋体" w:hAnsi="宋体" w:eastAsia="宋体"/>
          <w:sz w:val="24"/>
          <w:szCs w:val="24"/>
          <w:highlight w:val="none"/>
        </w:rPr>
        <w:t xml:space="preserve">、投标函和开标一览表</w:t>
      </w:r>
      <w:r>
        <w:rPr>
          <w:highlight w:val="none"/>
        </w:rPr>
      </w:r>
      <w:r/>
    </w:p>
    <w:p>
      <w:pPr>
        <w:pStyle w:val="1008"/>
        <w:ind w:firstLine="480"/>
        <w:spacing w:line="360" w:lineRule="auto"/>
        <w:rPr>
          <w:rFonts w:ascii="宋体" w:hAnsi="宋体"/>
          <w:bCs/>
          <w:sz w:val="24"/>
          <w:highlight w:val="none"/>
        </w:rPr>
      </w:pPr>
      <w:r>
        <w:rPr>
          <w:highlight w:val="none"/>
        </w:rPr>
      </w:r>
      <w:bookmarkEnd w:id="88"/>
      <w:r>
        <w:rPr>
          <w:rFonts w:hint="eastAsia" w:ascii="宋体" w:hAnsi="宋体"/>
          <w:bCs/>
          <w:sz w:val="24"/>
          <w:highlight w:val="none"/>
        </w:rPr>
        <w:t xml:space="preserve">16.1 投标人应按照招标文件中提供的格式完整、正确填写投标函、开标一览表。</w:t>
      </w:r>
      <w:r>
        <w:rPr>
          <w:highlight w:val="none"/>
        </w:rPr>
      </w:r>
      <w:r/>
    </w:p>
    <w:p>
      <w:pPr>
        <w:pStyle w:val="1012"/>
        <w:ind w:firstLine="420"/>
        <w:spacing w:before="0" w:after="0" w:line="360" w:lineRule="auto"/>
        <w:rPr>
          <w:rFonts w:hint="eastAsia"/>
          <w:b w:val="0"/>
          <w:bCs w:val="0"/>
          <w:highlight w:val="none"/>
        </w:rPr>
      </w:pPr>
      <w:r>
        <w:rPr>
          <w:highlight w:val="none"/>
        </w:rPr>
      </w:r>
      <w:bookmarkStart w:id="89" w:name="_Toc14577360"/>
      <w:r>
        <w:rPr>
          <w:highlight w:val="none"/>
        </w:rPr>
      </w:r>
      <w:bookmarkStart w:id="90" w:name="_Toc49090511"/>
      <w:r>
        <w:rPr>
          <w:rFonts w:hint="eastAsia"/>
          <w:b w:val="0"/>
          <w:bCs w:val="0"/>
          <w:highlight w:val="none"/>
        </w:rPr>
        <w:t xml:space="preserve">17、投标有效期</w:t>
      </w:r>
      <w:bookmarkEnd w:id="89"/>
      <w:r>
        <w:rPr>
          <w:highlight w:val="none"/>
        </w:rPr>
      </w:r>
      <w:bookmarkEnd w:id="90"/>
      <w:r>
        <w:rPr>
          <w:highlight w:val="none"/>
        </w:rPr>
      </w:r>
      <w:r/>
    </w:p>
    <w:p>
      <w:pPr>
        <w:pStyle w:val="1008"/>
        <w:ind w:firstLine="480"/>
        <w:spacing w:line="360" w:lineRule="auto"/>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 投标有效期为开标之日后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。投标有效期比规定短的将被视为非响应性投标而予以拒绝。</w:t>
      </w:r>
      <w:r>
        <w:rPr>
          <w:highlight w:val="none"/>
        </w:rPr>
      </w:r>
      <w:r/>
    </w:p>
    <w:p>
      <w:pPr>
        <w:pStyle w:val="1008"/>
        <w:ind w:firstLine="480"/>
        <w:spacing w:line="360" w:lineRule="auto"/>
        <w:rPr>
          <w:rFonts w:hint="eastAsia" w:ascii="宋体" w:hAnsi="宋体"/>
          <w:bCs/>
          <w:sz w:val="24"/>
          <w:highlight w:val="none"/>
        </w:rPr>
      </w:pPr>
      <w:r>
        <w:rPr>
          <w:rFonts w:hint="eastAsia" w:ascii="宋体" w:hAnsi="宋体"/>
          <w:sz w:val="24"/>
          <w:highlight w:val="none"/>
        </w:rPr>
        <w:t xml:space="preserve">17.2</w:t>
      </w:r>
      <w:r>
        <w:rPr>
          <w:rFonts w:hint="eastAsia" w:ascii="宋体" w:hAnsi="宋体"/>
          <w:bCs/>
          <w:sz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highlight w:val="none"/>
        </w:rPr>
        <w:t xml:space="preserve">。</w:t>
      </w:r>
      <w:r>
        <w:rPr>
          <w:rFonts w:hint="eastAsia" w:ascii="宋体" w:hAnsi="宋体"/>
          <w:bCs/>
          <w:sz w:val="24"/>
          <w:highlight w:val="none"/>
        </w:rPr>
        <w:t xml:space="preserve">同意延长投标有效期的投标人既不能要求也不允许修改其投标文件。</w:t>
      </w:r>
      <w:r>
        <w:rPr>
          <w:highlight w:val="none"/>
        </w:rPr>
      </w:r>
      <w:r/>
    </w:p>
    <w:p>
      <w:pPr>
        <w:pStyle w:val="1012"/>
        <w:ind w:firstLine="420"/>
        <w:spacing w:before="0" w:after="0" w:line="360" w:lineRule="auto"/>
        <w:tabs>
          <w:tab w:val="left" w:pos="4123" w:leader="none"/>
        </w:tabs>
        <w:rPr>
          <w:rFonts w:hint="eastAsia"/>
          <w:b w:val="0"/>
          <w:bCs w:val="0"/>
          <w:highlight w:val="none"/>
        </w:rPr>
      </w:pPr>
      <w:r>
        <w:rPr>
          <w:highlight w:val="none"/>
        </w:rPr>
      </w:r>
      <w:bookmarkStart w:id="91" w:name="_Toc49090512"/>
      <w:r>
        <w:rPr>
          <w:rFonts w:hint="eastAsia"/>
          <w:b w:val="0"/>
          <w:bCs w:val="0"/>
          <w:highlight w:val="none"/>
        </w:rPr>
        <w:t xml:space="preserve">18、投标文件份数和签署</w:t>
      </w:r>
      <w:bookmarkEnd w:id="91"/>
      <w:r>
        <w:rPr>
          <w:highlight w:val="none"/>
        </w:rPr>
      </w:r>
      <w:bookmarkStart w:id="92" w:name="_Toc20823296"/>
      <w:r>
        <w:rPr>
          <w:highlight w:val="none"/>
        </w:rPr>
      </w:r>
      <w:bookmarkStart w:id="93" w:name="_Toc16938540"/>
      <w:r>
        <w:rPr>
          <w:highlight w:val="none"/>
        </w:rPr>
      </w:r>
      <w:bookmarkStart w:id="94" w:name="_Toc120614217"/>
      <w:r>
        <w:rPr>
          <w:rFonts w:hint="eastAsia"/>
          <w:b w:val="0"/>
          <w:bCs w:val="0"/>
          <w:highlight w:val="none"/>
        </w:rPr>
        <w:tab/>
      </w:r>
      <w:r>
        <w:rPr>
          <w:highlight w:val="none"/>
        </w:rPr>
      </w:r>
      <w:r/>
    </w:p>
    <w:p>
      <w:pPr>
        <w:pStyle w:val="1008"/>
        <w:ind w:firstLine="480"/>
        <w:spacing w:line="360" w:lineRule="auto"/>
        <w:rPr>
          <w:rFonts w:hint="eastAsia" w:ascii="宋体" w:hAnsi="宋体"/>
          <w:bCs/>
          <w:sz w:val="24"/>
          <w:highlight w:val="none"/>
        </w:rPr>
      </w:pPr>
      <w:r>
        <w:rPr>
          <w:rFonts w:hint="eastAsia"/>
          <w:color w:val="000000"/>
          <w:sz w:val="24"/>
          <w:highlight w:val="none"/>
        </w:rPr>
        <w:t xml:space="preserve">1</w:t>
      </w:r>
      <w:r>
        <w:rPr>
          <w:rFonts w:hint="eastAsia" w:ascii="宋体" w:hAnsi="宋体"/>
          <w:bCs/>
          <w:sz w:val="24"/>
          <w:highlight w:val="none"/>
        </w:rPr>
        <w:t xml:space="preserve">8.1 投标人应仔细阅读招标文件的所有内容，按招标文件的要求提供投标文件，并保证所提供的全部资料的真实性，以使其投标对招标文件作出实质性响应，否则，其投标可能被拒绝。</w:t>
      </w:r>
      <w:r>
        <w:rPr>
          <w:highlight w:val="none"/>
        </w:rPr>
      </w:r>
      <w:r/>
    </w:p>
    <w:p>
      <w:pPr>
        <w:pStyle w:val="1008"/>
        <w:ind w:firstLine="420"/>
        <w:spacing w:line="360" w:lineRule="auto"/>
        <w:rPr>
          <w:rFonts w:ascii="宋体" w:hAnsi="宋体" w:cs="宋体"/>
          <w:bCs/>
          <w:sz w:val="24"/>
          <w:highlight w:val="none"/>
        </w:rPr>
      </w:pPr>
      <w:r>
        <w:rPr>
          <w:rFonts w:hint="eastAsia"/>
          <w:bCs/>
          <w:highlight w:val="none"/>
        </w:rPr>
        <w:t xml:space="preserve">18.2</w:t>
      </w:r>
      <w:r>
        <w:rPr>
          <w:rFonts w:hint="eastAsia" w:ascii="宋体" w:hAnsi="宋体" w:cs="宋体"/>
          <w:b/>
          <w:sz w:val="24"/>
          <w:highlight w:val="none"/>
        </w:rPr>
        <w:t xml:space="preserve"> </w:t>
      </w:r>
      <w:r>
        <w:rPr>
          <w:rFonts w:hint="eastAsia" w:ascii="宋体" w:hAnsi="宋体" w:cs="宋体"/>
          <w:bCs/>
          <w:sz w:val="24"/>
          <w:highlight w:val="none"/>
        </w:rPr>
        <w:t xml:space="preserve">投标人应严格按照招标公告和招标文件要求的份数准备投标文件，每份投标文件须清楚地标明“正本”或“副本”字样。一旦正本和副本不符，以正本为准。</w:t>
      </w:r>
      <w:r>
        <w:rPr>
          <w:highlight w:val="none"/>
        </w:rPr>
      </w:r>
      <w:r/>
    </w:p>
    <w:p>
      <w:pPr>
        <w:pStyle w:val="1008"/>
        <w:ind w:firstLine="480"/>
        <w:spacing w:line="360" w:lineRule="auto"/>
        <w:rPr>
          <w:rFonts w:hint="eastAsia"/>
          <w:bCs/>
          <w:color w:val="000000"/>
          <w:sz w:val="24"/>
          <w:highlight w:val="none"/>
        </w:rPr>
      </w:pPr>
      <w:r>
        <w:rPr>
          <w:rFonts w:hint="eastAsia"/>
          <w:color w:val="000000"/>
          <w:sz w:val="24"/>
          <w:highlight w:val="none"/>
        </w:rPr>
        <w:t xml:space="preserve">18.3</w:t>
      </w:r>
      <w:r>
        <w:rPr>
          <w:rFonts w:hint="eastAsia"/>
          <w:bCs/>
          <w:color w:val="000000"/>
          <w:sz w:val="24"/>
          <w:highlight w:val="none"/>
        </w:rPr>
        <w:t xml:space="preserve"> 除投标人对错处做必要修改外，投标文件不得行间插字、涂改或增删。如有修改错漏处，必须由投标文件签署人签字或盖章。</w:t>
      </w:r>
      <w:r>
        <w:rPr>
          <w:highlight w:val="none"/>
        </w:rPr>
      </w:r>
      <w:r/>
    </w:p>
    <w:p>
      <w:pPr>
        <w:pStyle w:val="1012"/>
        <w:ind w:firstLine="422"/>
        <w:spacing w:before="0" w:after="0" w:line="360" w:lineRule="auto"/>
        <w:rPr>
          <w:rFonts w:hint="eastAsia"/>
          <w:highlight w:val="none"/>
        </w:rPr>
      </w:pPr>
      <w:r>
        <w:rPr>
          <w:rFonts w:hint="eastAsia"/>
          <w:highlight w:val="none"/>
        </w:rPr>
        <w:t xml:space="preserve">四、投标文件的递交</w:t>
      </w:r>
      <w:bookmarkEnd w:id="92"/>
      <w:r>
        <w:rPr>
          <w:highlight w:val="none"/>
        </w:rPr>
      </w:r>
      <w:bookmarkEnd w:id="93"/>
      <w:r>
        <w:rPr>
          <w:highlight w:val="none"/>
        </w:rPr>
      </w:r>
      <w:bookmarkEnd w:id="94"/>
      <w:r>
        <w:rPr>
          <w:highlight w:val="none"/>
        </w:rPr>
      </w:r>
      <w:r/>
    </w:p>
    <w:p>
      <w:pPr>
        <w:pStyle w:val="1012"/>
        <w:ind w:firstLine="360"/>
        <w:spacing w:before="0" w:after="0" w:line="360" w:lineRule="auto"/>
        <w:rPr>
          <w:rFonts w:ascii="宋体" w:hAnsi="宋体" w:eastAsia="宋体" w:cs="宋体"/>
          <w:b w:val="0"/>
          <w:bCs w:val="0"/>
          <w:sz w:val="24"/>
          <w:szCs w:val="24"/>
          <w:highlight w:val="none"/>
        </w:rPr>
      </w:pPr>
      <w:r>
        <w:rPr>
          <w:highlight w:val="none"/>
        </w:rPr>
      </w:r>
      <w:bookmarkStart w:id="95" w:name="_Toc462564084"/>
      <w:r>
        <w:rPr>
          <w:highlight w:val="none"/>
        </w:rPr>
      </w:r>
      <w:bookmarkStart w:id="96" w:name="_Toc16938541"/>
      <w:r>
        <w:rPr>
          <w:highlight w:val="none"/>
        </w:rPr>
      </w:r>
      <w:bookmarkStart w:id="97" w:name="_Toc20823297"/>
      <w:r>
        <w:rPr>
          <w:highlight w:val="none"/>
        </w:rPr>
      </w:r>
      <w:bookmarkStart w:id="98" w:name="_Toc513029225"/>
      <w:r>
        <w:rPr>
          <w:highlight w:val="none"/>
        </w:rPr>
      </w:r>
      <w:bookmarkStart w:id="99" w:name="_Toc20823298"/>
      <w:r>
        <w:rPr>
          <w:highlight w:val="none"/>
        </w:rPr>
      </w:r>
      <w:bookmarkStart w:id="100" w:name="_Toc16938542"/>
      <w:r>
        <w:rPr>
          <w:rFonts w:hint="eastAsia" w:ascii="宋体" w:hAnsi="宋体" w:eastAsia="宋体" w:cs="宋体"/>
          <w:b w:val="0"/>
          <w:bCs w:val="0"/>
          <w:sz w:val="24"/>
          <w:szCs w:val="24"/>
          <w:highlight w:val="none"/>
        </w:rPr>
        <w:t xml:space="preserve">19、投标文件的密封和标记</w:t>
      </w:r>
      <w:bookmarkEnd w:id="95"/>
      <w:r>
        <w:rPr>
          <w:highlight w:val="none"/>
        </w:rPr>
      </w:r>
      <w:bookmarkEnd w:id="96"/>
      <w:r>
        <w:rPr>
          <w:highlight w:val="none"/>
        </w:rPr>
      </w:r>
      <w:bookmarkEnd w:id="97"/>
      <w:r>
        <w:rPr>
          <w:highlight w:val="none"/>
        </w:rPr>
      </w:r>
      <w:bookmarkEnd w:id="98"/>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sz w:val="24"/>
          <w:highlight w:val="none"/>
        </w:rPr>
        <w:t xml:space="preserve">19.1</w:t>
      </w:r>
      <w:r>
        <w:rPr>
          <w:rFonts w:hint="eastAsia" w:ascii="宋体" w:hAnsi="宋体" w:cs="宋体"/>
          <w:bCs/>
          <w:sz w:val="24"/>
          <w:highlight w:val="none"/>
        </w:rPr>
        <w:t xml:space="preserve">投标人应将投标文件正本和所有副本密封，不论投标人中标与否，投标文件均不退回。</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sz w:val="24"/>
          <w:highlight w:val="none"/>
        </w:rPr>
        <w:t xml:space="preserve">19.2</w:t>
      </w:r>
      <w:r>
        <w:rPr>
          <w:rFonts w:hint="eastAsia" w:ascii="宋体" w:hAnsi="宋体" w:cs="宋体"/>
          <w:bCs/>
          <w:sz w:val="24"/>
          <w:highlight w:val="none"/>
        </w:rPr>
        <w:t xml:space="preserve"> 密封的投标文件应：</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bCs/>
          <w:sz w:val="24"/>
          <w:highlight w:val="none"/>
        </w:rPr>
        <w:t xml:space="preserve">19.2.1 注明投标人名称，如因标注不清而产生的后果由投标人自负。按招标公告中注明的地址送达；</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bCs/>
          <w:sz w:val="24"/>
          <w:highlight w:val="none"/>
        </w:rPr>
        <w:t xml:space="preserve">19.2.2  注明投标项目名称。</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sz w:val="24"/>
          <w:highlight w:val="none"/>
        </w:rPr>
        <w:t xml:space="preserve">19.2.3</w:t>
      </w:r>
      <w:r>
        <w:rPr>
          <w:rFonts w:hint="eastAsia" w:ascii="宋体" w:hAnsi="宋体" w:cs="宋体"/>
          <w:bCs/>
          <w:sz w:val="24"/>
          <w:highlight w:val="none"/>
        </w:rPr>
        <w:t xml:space="preserve">  未按要求密封和加写标记，采购人对误投或过早启封概不负责。对由此造成提前开封的投标文件，采购人将予以拒绝。</w:t>
      </w:r>
      <w:r>
        <w:rPr>
          <w:highlight w:val="none"/>
        </w:rPr>
      </w:r>
      <w:r/>
    </w:p>
    <w:p>
      <w:pPr>
        <w:pStyle w:val="1008"/>
        <w:ind w:firstLine="560"/>
        <w:spacing w:line="360" w:lineRule="auto"/>
        <w:tabs>
          <w:tab w:val="left" w:pos="508" w:leader="none"/>
        </w:tabs>
        <w:rPr>
          <w:rFonts w:hint="eastAsia" w:ascii="Arial" w:hAnsi="Arial" w:eastAsia="黑体"/>
          <w:sz w:val="28"/>
          <w:szCs w:val="28"/>
          <w:highlight w:val="none"/>
        </w:rPr>
      </w:pPr>
      <w:r>
        <w:rPr>
          <w:rFonts w:hint="eastAsia" w:ascii="Arial" w:hAnsi="Arial" w:eastAsia="黑体"/>
          <w:sz w:val="28"/>
          <w:szCs w:val="28"/>
          <w:highlight w:val="none"/>
        </w:rPr>
        <w:t xml:space="preserve">20、</w:t>
      </w:r>
      <w:bookmarkEnd w:id="99"/>
      <w:r>
        <w:rPr>
          <w:highlight w:val="none"/>
        </w:rPr>
      </w:r>
      <w:bookmarkEnd w:id="100"/>
      <w:r>
        <w:rPr>
          <w:rFonts w:hint="eastAsia" w:ascii="Arial" w:hAnsi="Arial" w:eastAsia="黑体"/>
          <w:sz w:val="28"/>
          <w:szCs w:val="28"/>
          <w:highlight w:val="none"/>
        </w:rPr>
        <w:t xml:space="preserve">投标文件开启时间</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20.1采购人或招标代理收到投标文件的时间不得迟于本招标文件规定的投标文件接收截止时间。</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20.2采购人或招标代理有权通过修改招标文件推迟招标文件接收截止时间，在此情况下，</w:t>
      </w:r>
      <w:bookmarkStart w:id="101" w:name="_Hlt26954860"/>
      <w:r>
        <w:rPr>
          <w:highlight w:val="none"/>
        </w:rPr>
      </w:r>
      <w:bookmarkEnd w:id="101"/>
      <w:r>
        <w:rPr>
          <w:rFonts w:hint="eastAsia" w:ascii="宋体" w:hAnsi="宋体" w:cs="宋体"/>
          <w:sz w:val="24"/>
          <w:highlight w:val="none"/>
        </w:rPr>
        <w:t xml:space="preserve">投标人的所有权利和义务以及投标人受制的截止日期均应以延长后新的截止日期为准。</w:t>
      </w:r>
      <w:r>
        <w:rPr>
          <w:highlight w:val="none"/>
        </w:rPr>
      </w:r>
      <w:r/>
    </w:p>
    <w:p>
      <w:pPr>
        <w:pStyle w:val="1012"/>
        <w:ind w:firstLine="420"/>
        <w:spacing w:before="0" w:after="0" w:line="360" w:lineRule="auto"/>
        <w:rPr>
          <w:rFonts w:hint="eastAsia"/>
          <w:b w:val="0"/>
          <w:bCs w:val="0"/>
          <w:highlight w:val="none"/>
        </w:rPr>
      </w:pPr>
      <w:r>
        <w:rPr>
          <w:highlight w:val="none"/>
        </w:rPr>
      </w:r>
      <w:bookmarkStart w:id="102" w:name="_Toc20823299"/>
      <w:r>
        <w:rPr>
          <w:highlight w:val="none"/>
        </w:rPr>
      </w:r>
      <w:bookmarkStart w:id="103" w:name="_Toc16938543"/>
      <w:r>
        <w:rPr>
          <w:rFonts w:hint="eastAsia"/>
          <w:b w:val="0"/>
          <w:bCs w:val="0"/>
          <w:highlight w:val="none"/>
        </w:rPr>
        <w:t xml:space="preserve">21、迟交的投标文件</w:t>
      </w:r>
      <w:bookmarkEnd w:id="102"/>
      <w:r>
        <w:rPr>
          <w:highlight w:val="none"/>
        </w:rPr>
      </w:r>
      <w:bookmarkEnd w:id="103"/>
      <w:r>
        <w:rPr>
          <w:highlight w:val="none"/>
        </w:rPr>
      </w:r>
      <w:r/>
    </w:p>
    <w:p>
      <w:pPr>
        <w:pStyle w:val="1008"/>
        <w:ind w:firstLine="480"/>
        <w:spacing w:line="360" w:lineRule="auto"/>
        <w:rPr>
          <w:rFonts w:hint="eastAsia"/>
          <w:bCs/>
          <w:color w:val="000000"/>
          <w:sz w:val="24"/>
          <w:highlight w:val="none"/>
        </w:rPr>
      </w:pPr>
      <w:r>
        <w:rPr>
          <w:rFonts w:hint="eastAsia" w:ascii="宋体" w:hAnsi="宋体"/>
          <w:sz w:val="24"/>
          <w:highlight w:val="none"/>
        </w:rPr>
        <w:t xml:space="preserve">21.1</w:t>
      </w:r>
      <w:bookmarkStart w:id="104" w:name="_Toc16938544"/>
      <w:r>
        <w:rPr>
          <w:highlight w:val="none"/>
        </w:rPr>
      </w:r>
      <w:bookmarkStart w:id="105" w:name="_Toc20823300"/>
      <w:r>
        <w:rPr>
          <w:rFonts w:hint="eastAsia"/>
          <w:bCs/>
          <w:color w:val="000000"/>
          <w:sz w:val="24"/>
          <w:highlight w:val="none"/>
        </w:rPr>
        <w:t xml:space="preserve">采购人拒绝接收在其规定的投标截止时间后递交的任何投标文件。</w:t>
      </w:r>
      <w:r>
        <w:rPr>
          <w:highlight w:val="none"/>
        </w:rPr>
      </w:r>
      <w:r/>
    </w:p>
    <w:p>
      <w:pPr>
        <w:pStyle w:val="1008"/>
        <w:ind w:firstLine="560"/>
        <w:spacing w:line="360" w:lineRule="auto"/>
        <w:rPr>
          <w:rFonts w:hint="eastAsia" w:ascii="Arial" w:hAnsi="Arial" w:eastAsia="黑体"/>
          <w:sz w:val="28"/>
          <w:szCs w:val="28"/>
          <w:highlight w:val="none"/>
        </w:rPr>
      </w:pPr>
      <w:r>
        <w:rPr>
          <w:rFonts w:hint="eastAsia" w:ascii="Arial" w:hAnsi="Arial" w:eastAsia="黑体"/>
          <w:sz w:val="28"/>
          <w:szCs w:val="28"/>
          <w:highlight w:val="none"/>
        </w:rPr>
        <w:t xml:space="preserve">22、投标文件的修改和撤回</w:t>
      </w:r>
      <w:bookmarkEnd w:id="104"/>
      <w:r>
        <w:rPr>
          <w:highlight w:val="none"/>
        </w:rPr>
      </w:r>
      <w:bookmarkEnd w:id="105"/>
      <w:r>
        <w:rPr>
          <w:highlight w:val="none"/>
        </w:rPr>
      </w:r>
      <w:bookmarkStart w:id="106" w:name="_Toc513029229"/>
      <w:r>
        <w:rPr>
          <w:highlight w:val="none"/>
        </w:rPr>
      </w:r>
      <w:bookmarkStart w:id="107" w:name="_Toc16938545"/>
      <w:r>
        <w:rPr>
          <w:highlight w:val="none"/>
        </w:rPr>
      </w:r>
      <w:bookmarkStart w:id="108" w:name="_Toc20823301"/>
      <w:r>
        <w:rPr>
          <w:highlight w:val="none"/>
        </w:rPr>
      </w:r>
      <w:bookmarkStart w:id="109" w:name="_Toc120614218"/>
      <w:r>
        <w:rPr>
          <w:highlight w:val="none"/>
        </w:rPr>
      </w:r>
      <w:r/>
    </w:p>
    <w:p>
      <w:pPr>
        <w:pStyle w:val="1008"/>
        <w:ind w:firstLine="480"/>
        <w:spacing w:line="360" w:lineRule="auto"/>
        <w:rPr>
          <w:rFonts w:hint="eastAsia"/>
          <w:color w:val="000000"/>
          <w:sz w:val="24"/>
          <w:highlight w:val="none"/>
        </w:rPr>
      </w:pPr>
      <w:r>
        <w:rPr>
          <w:rFonts w:hint="eastAsia"/>
          <w:color w:val="000000"/>
          <w:sz w:val="24"/>
          <w:highlight w:val="none"/>
        </w:rPr>
        <w:t xml:space="preserve">22.1</w:t>
      </w:r>
      <w:r>
        <w:rPr>
          <w:rFonts w:hint="eastAsia"/>
          <w:bCs/>
          <w:color w:val="000000"/>
          <w:sz w:val="24"/>
          <w:highlight w:val="none"/>
        </w:rPr>
        <w:t xml:space="preserve"> 投标人在发送投标文件后，可以修改其投标文件，但这种修改，必须在规定的投标截止时间前，须书面</w:t>
      </w:r>
      <w:r>
        <w:rPr>
          <w:rFonts w:hint="eastAsia"/>
          <w:color w:val="000000"/>
          <w:sz w:val="24"/>
          <w:highlight w:val="none"/>
        </w:rPr>
        <w:t xml:space="preserve">通知采购人，修改其投标文件重新发送。</w:t>
      </w:r>
      <w:r>
        <w:rPr>
          <w:highlight w:val="none"/>
        </w:rPr>
      </w:r>
      <w:r/>
    </w:p>
    <w:p>
      <w:pPr>
        <w:pStyle w:val="1008"/>
        <w:ind w:firstLine="480"/>
        <w:spacing w:line="360" w:lineRule="auto"/>
        <w:rPr>
          <w:rFonts w:hint="eastAsia"/>
          <w:color w:val="000000"/>
          <w:sz w:val="24"/>
          <w:highlight w:val="none"/>
        </w:rPr>
      </w:pPr>
      <w:r>
        <w:rPr>
          <w:rFonts w:hint="eastAsia"/>
          <w:color w:val="000000"/>
          <w:sz w:val="24"/>
          <w:highlight w:val="none"/>
        </w:rPr>
        <w:t xml:space="preserve">22.2</w:t>
      </w:r>
      <w:r>
        <w:rPr>
          <w:rFonts w:hint="eastAsia"/>
          <w:bCs/>
          <w:color w:val="000000"/>
          <w:sz w:val="24"/>
          <w:highlight w:val="none"/>
        </w:rPr>
        <w:t xml:space="preserve"> 投标人的修改或撤回文件应按规定进行编制、密封、标记和发送，并应在封套上加注“修改”或“撤回”字样。</w:t>
      </w:r>
      <w:r>
        <w:rPr>
          <w:rFonts w:hint="eastAsia"/>
          <w:color w:val="000000"/>
          <w:sz w:val="24"/>
          <w:highlight w:val="none"/>
        </w:rPr>
        <w:t xml:space="preserve">上述补充或修改若涉及投标报价，必须注明“最后唯一报价”字样，否则将视为有选择的报价。修改文件必须在投标截止时间前送达采购人或招标代理机构。</w:t>
      </w:r>
      <w:r>
        <w:rPr>
          <w:highlight w:val="none"/>
        </w:rPr>
      </w:r>
      <w:r/>
    </w:p>
    <w:p>
      <w:pPr>
        <w:pStyle w:val="1008"/>
        <w:ind w:firstLine="480"/>
        <w:spacing w:line="360" w:lineRule="auto"/>
        <w:rPr>
          <w:rFonts w:hint="eastAsia"/>
          <w:color w:val="000000"/>
          <w:sz w:val="24"/>
          <w:highlight w:val="none"/>
        </w:rPr>
      </w:pPr>
      <w:r>
        <w:rPr>
          <w:rFonts w:hint="eastAsia"/>
          <w:color w:val="000000"/>
          <w:sz w:val="24"/>
          <w:highlight w:val="none"/>
        </w:rPr>
        <w:t xml:space="preserve">22.3</w:t>
      </w:r>
      <w:r>
        <w:rPr>
          <w:rFonts w:hint="eastAsia"/>
          <w:bCs/>
          <w:color w:val="000000"/>
          <w:sz w:val="24"/>
          <w:highlight w:val="none"/>
        </w:rPr>
        <w:t xml:space="preserve"> 在投标截止时间之后，投标人不得对其投标文件作任何修改。</w:t>
      </w:r>
      <w:r>
        <w:rPr>
          <w:highlight w:val="none"/>
        </w:rPr>
      </w:r>
      <w:r/>
    </w:p>
    <w:p>
      <w:pPr>
        <w:pStyle w:val="1008"/>
        <w:ind w:firstLine="562"/>
        <w:spacing w:line="360" w:lineRule="auto"/>
        <w:rPr>
          <w:rFonts w:hint="eastAsia" w:ascii="Arial" w:hAnsi="Arial" w:eastAsia="黑体"/>
          <w:b/>
          <w:bCs/>
          <w:sz w:val="28"/>
          <w:szCs w:val="28"/>
          <w:highlight w:val="none"/>
        </w:rPr>
      </w:pPr>
      <w:r>
        <w:rPr>
          <w:rFonts w:hint="eastAsia" w:ascii="Arial" w:hAnsi="Arial" w:eastAsia="黑体"/>
          <w:b/>
          <w:bCs/>
          <w:sz w:val="28"/>
          <w:szCs w:val="28"/>
          <w:highlight w:val="none"/>
        </w:rPr>
        <w:t xml:space="preserve">五、开标与评标</w:t>
      </w:r>
      <w:bookmarkEnd w:id="106"/>
      <w:r>
        <w:rPr>
          <w:highlight w:val="none"/>
        </w:rPr>
      </w:r>
      <w:bookmarkEnd w:id="107"/>
      <w:r>
        <w:rPr>
          <w:highlight w:val="none"/>
        </w:rPr>
      </w:r>
      <w:bookmarkEnd w:id="108"/>
      <w:r>
        <w:rPr>
          <w:highlight w:val="none"/>
        </w:rPr>
      </w:r>
      <w:bookmarkEnd w:id="109"/>
      <w:r>
        <w:rPr>
          <w:highlight w:val="none"/>
        </w:rPr>
      </w:r>
      <w:r/>
    </w:p>
    <w:p>
      <w:pPr>
        <w:pStyle w:val="1008"/>
        <w:ind w:firstLine="560"/>
        <w:spacing w:line="360" w:lineRule="auto"/>
        <w:rPr>
          <w:rFonts w:hint="eastAsia" w:ascii="Arial" w:hAnsi="Arial" w:eastAsia="黑体"/>
          <w:sz w:val="28"/>
          <w:szCs w:val="28"/>
          <w:highlight w:val="none"/>
        </w:rPr>
      </w:pPr>
      <w:r>
        <w:rPr>
          <w:rFonts w:hint="eastAsia" w:ascii="Arial" w:hAnsi="Arial" w:eastAsia="黑体"/>
          <w:sz w:val="28"/>
          <w:szCs w:val="28"/>
          <w:highlight w:val="none"/>
        </w:rPr>
        <w:t xml:space="preserve">23、开标</w:t>
      </w:r>
      <w:r>
        <w:rPr>
          <w:highlight w:val="none"/>
        </w:rPr>
      </w:r>
      <w:r/>
    </w:p>
    <w:p>
      <w:pPr>
        <w:pStyle w:val="1008"/>
        <w:ind w:firstLine="480"/>
        <w:spacing w:line="360" w:lineRule="auto"/>
        <w:rPr>
          <w:rFonts w:hint="eastAsia"/>
          <w:color w:val="000000"/>
          <w:sz w:val="24"/>
          <w:highlight w:val="none"/>
        </w:rPr>
      </w:pPr>
      <w:r>
        <w:rPr>
          <w:rFonts w:hint="eastAsia"/>
          <w:color w:val="000000"/>
          <w:sz w:val="24"/>
          <w:highlight w:val="none"/>
        </w:rPr>
        <w:t xml:space="preserve">23.1</w:t>
      </w:r>
      <w:r>
        <w:rPr>
          <w:rFonts w:hint="eastAsia"/>
          <w:bCs/>
          <w:color w:val="000000"/>
          <w:sz w:val="24"/>
          <w:highlight w:val="none"/>
        </w:rPr>
        <w:t xml:space="preserve"> </w:t>
      </w:r>
      <w:r>
        <w:rPr>
          <w:rFonts w:hint="eastAsia"/>
          <w:color w:val="000000"/>
          <w:sz w:val="24"/>
          <w:highlight w:val="none"/>
        </w:rPr>
        <w:t xml:space="preserve">采购人或招标代理机构</w:t>
      </w:r>
      <w:r>
        <w:rPr>
          <w:rFonts w:hint="eastAsia"/>
          <w:bCs/>
          <w:color w:val="000000"/>
          <w:sz w:val="24"/>
          <w:highlight w:val="none"/>
        </w:rPr>
        <w:t xml:space="preserve">将在招标公告中规定的时间和地点组织公开开标</w:t>
      </w:r>
      <w:r>
        <w:rPr>
          <w:rFonts w:hint="eastAsia"/>
          <w:color w:val="000000"/>
          <w:sz w:val="24"/>
          <w:highlight w:val="none"/>
        </w:rPr>
        <w:t xml:space="preserve">。投标人应委派携带有效证件的代表准时参加，参加开标的代表需签名以证明其出席。</w:t>
      </w:r>
      <w:r>
        <w:rPr>
          <w:highlight w:val="none"/>
        </w:rPr>
      </w:r>
      <w:r/>
    </w:p>
    <w:p>
      <w:pPr>
        <w:pStyle w:val="1008"/>
        <w:ind w:firstLine="480"/>
        <w:spacing w:line="360" w:lineRule="auto"/>
        <w:rPr>
          <w:rFonts w:hint="eastAsia"/>
          <w:color w:val="000000"/>
          <w:sz w:val="24"/>
          <w:highlight w:val="none"/>
        </w:rPr>
      </w:pPr>
      <w:r>
        <w:rPr>
          <w:rFonts w:hint="eastAsia"/>
          <w:bCs/>
          <w:color w:val="000000"/>
          <w:sz w:val="24"/>
          <w:highlight w:val="none"/>
        </w:rPr>
        <w:t xml:space="preserve">23.2</w:t>
      </w:r>
      <w:r>
        <w:rPr>
          <w:rFonts w:hint="eastAsia"/>
          <w:color w:val="000000"/>
          <w:sz w:val="24"/>
          <w:highlight w:val="none"/>
        </w:rPr>
        <w:t xml:space="preserve">开标仪式由采购人或招标代理机构组织，采购人代表、公证员（必要时）、监管代表、投标人代表等参加。</w:t>
      </w:r>
      <w:r>
        <w:rPr>
          <w:highlight w:val="none"/>
        </w:rPr>
      </w:r>
      <w:r/>
    </w:p>
    <w:p>
      <w:pPr>
        <w:pStyle w:val="1008"/>
        <w:ind w:firstLine="480"/>
        <w:spacing w:line="360" w:lineRule="auto"/>
        <w:rPr>
          <w:rFonts w:hint="eastAsia"/>
          <w:bCs/>
          <w:color w:val="000000"/>
          <w:sz w:val="24"/>
          <w:highlight w:val="none"/>
        </w:rPr>
      </w:pPr>
      <w:r>
        <w:rPr>
          <w:rFonts w:hint="eastAsia"/>
          <w:color w:val="000000"/>
          <w:sz w:val="24"/>
          <w:highlight w:val="none"/>
        </w:rPr>
        <w:t xml:space="preserve">23.3</w:t>
      </w:r>
      <w:r>
        <w:rPr>
          <w:rFonts w:hint="eastAsia"/>
          <w:b/>
          <w:color w:val="000000"/>
          <w:sz w:val="24"/>
          <w:highlight w:val="none"/>
        </w:rPr>
        <w:t xml:space="preserve"> </w:t>
      </w:r>
      <w:r>
        <w:rPr>
          <w:rFonts w:hint="eastAsia"/>
          <w:bCs/>
          <w:color w:val="000000"/>
          <w:sz w:val="24"/>
          <w:highlight w:val="none"/>
        </w:rPr>
        <w:t xml:space="preserve">按照规定同意撤回的投标将不予开封。</w:t>
      </w:r>
      <w:r>
        <w:rPr>
          <w:highlight w:val="none"/>
        </w:rPr>
      </w:r>
      <w:r/>
    </w:p>
    <w:p>
      <w:pPr>
        <w:pStyle w:val="1008"/>
        <w:ind w:firstLine="480"/>
        <w:spacing w:line="360" w:lineRule="auto"/>
        <w:rPr>
          <w:rFonts w:hint="eastAsia"/>
          <w:color w:val="000000"/>
          <w:sz w:val="24"/>
          <w:highlight w:val="none"/>
        </w:rPr>
      </w:pPr>
      <w:r>
        <w:rPr>
          <w:rFonts w:hint="eastAsia"/>
          <w:color w:val="000000"/>
          <w:sz w:val="24"/>
          <w:highlight w:val="none"/>
        </w:rPr>
        <w:t xml:space="preserve">23.4 开标时请监委或投标人代表查验投标文件密封情况，确认无误后，招标代理机构当众拆封宣读每份投标文件中“开标一览表”的内容，未列入开标一览表的内容一律不在开标时宣读。开标时未宣读的投标报价信息，不得在评标时采用。</w:t>
      </w:r>
      <w:r>
        <w:rPr>
          <w:highlight w:val="none"/>
        </w:rPr>
      </w:r>
      <w:r/>
    </w:p>
    <w:p>
      <w:pPr>
        <w:pStyle w:val="1008"/>
        <w:ind w:firstLine="480"/>
        <w:spacing w:line="360" w:lineRule="auto"/>
        <w:rPr>
          <w:rFonts w:hint="eastAsia"/>
          <w:color w:val="000000"/>
          <w:sz w:val="24"/>
          <w:highlight w:val="none"/>
        </w:rPr>
      </w:pPr>
      <w:r>
        <w:rPr>
          <w:rFonts w:hint="eastAsia"/>
          <w:color w:val="000000"/>
          <w:sz w:val="24"/>
          <w:highlight w:val="none"/>
        </w:rPr>
        <w:t xml:space="preserve">23.5 采购人或招标代理机构将指定专人负责开标记录并存档备查。</w:t>
      </w:r>
      <w:r>
        <w:rPr>
          <w:highlight w:val="none"/>
        </w:rPr>
      </w:r>
      <w:r/>
    </w:p>
    <w:p>
      <w:pPr>
        <w:pStyle w:val="1012"/>
        <w:ind w:firstLine="360"/>
        <w:spacing w:before="0" w:after="0" w:line="360" w:lineRule="auto"/>
        <w:rPr>
          <w:rFonts w:hint="eastAsia" w:ascii="Times New Roman" w:hAnsi="Times New Roman" w:eastAsia="宋体"/>
          <w:b w:val="0"/>
          <w:bCs w:val="0"/>
          <w:color w:val="000000"/>
          <w:sz w:val="24"/>
          <w:szCs w:val="24"/>
          <w:highlight w:val="none"/>
        </w:rPr>
      </w:pPr>
      <w:r>
        <w:rPr>
          <w:rFonts w:hint="eastAsia" w:ascii="Times New Roman" w:hAnsi="Times New Roman" w:eastAsia="宋体"/>
          <w:b w:val="0"/>
          <w:bCs w:val="0"/>
          <w:color w:val="000000"/>
          <w:sz w:val="24"/>
          <w:szCs w:val="24"/>
          <w:highlight w:val="none"/>
        </w:rPr>
        <w:t xml:space="preserve">23.6 投标人在报价时不允许采用选择性报价，否则将被视为无效投标。</w:t>
      </w:r>
      <w:r>
        <w:rPr>
          <w:highlight w:val="none"/>
        </w:rPr>
      </w:r>
      <w:r/>
    </w:p>
    <w:p>
      <w:pPr>
        <w:pStyle w:val="1008"/>
        <w:ind w:firstLine="560"/>
        <w:spacing w:line="360" w:lineRule="auto"/>
        <w:rPr>
          <w:rFonts w:hint="eastAsia" w:ascii="Arial" w:hAnsi="Arial" w:eastAsia="黑体"/>
          <w:sz w:val="28"/>
          <w:szCs w:val="28"/>
          <w:highlight w:val="none"/>
        </w:rPr>
      </w:pPr>
      <w:r>
        <w:rPr>
          <w:rFonts w:hint="eastAsia" w:ascii="Arial" w:hAnsi="Arial" w:eastAsia="黑体"/>
          <w:sz w:val="28"/>
          <w:szCs w:val="28"/>
          <w:highlight w:val="none"/>
        </w:rPr>
        <w:t xml:space="preserve">24、资格审查</w:t>
      </w:r>
      <w:r>
        <w:rPr>
          <w:highlight w:val="none"/>
        </w:rPr>
      </w:r>
      <w:r/>
    </w:p>
    <w:p>
      <w:pPr>
        <w:pStyle w:val="1008"/>
        <w:ind w:firstLine="480"/>
        <w:spacing w:line="360" w:lineRule="auto"/>
        <w:rPr>
          <w:rFonts w:hint="eastAsia" w:ascii="宋体" w:hAnsi="宋体"/>
          <w:bCs/>
          <w:sz w:val="24"/>
          <w:highlight w:val="none"/>
        </w:rPr>
      </w:pPr>
      <w:r>
        <w:rPr>
          <w:rFonts w:hint="eastAsia" w:ascii="宋体" w:hAnsi="宋体"/>
          <w:sz w:val="24"/>
          <w:highlight w:val="none"/>
        </w:rPr>
        <w:t xml:space="preserve">22.1</w:t>
      </w:r>
      <w:r>
        <w:rPr>
          <w:rFonts w:hint="eastAsia" w:ascii="宋体" w:hAnsi="宋体"/>
          <w:bCs/>
          <w:sz w:val="24"/>
          <w:highlight w:val="none"/>
        </w:rPr>
        <w:t xml:space="preserve">依据法律法规和招标文件的约定，</w:t>
      </w:r>
      <w:r>
        <w:rPr>
          <w:rFonts w:ascii="宋体" w:hAnsi="宋体"/>
          <w:bCs/>
          <w:sz w:val="24"/>
          <w:highlight w:val="none"/>
        </w:rPr>
        <w:t xml:space="preserve">开标结束后，</w:t>
      </w:r>
      <w:r>
        <w:rPr>
          <w:rFonts w:hint="eastAsia" w:ascii="宋体" w:hAnsi="宋体"/>
          <w:bCs/>
          <w:sz w:val="24"/>
          <w:highlight w:val="none"/>
        </w:rPr>
        <w:t xml:space="preserve">由采购人对投标文件中的资格证明文件进行审查。资格审查的结论，采购人以书面形式向评委会进行反馈。未通过资格审查的投标人，由采购人告知未通过资格审查的原因。</w:t>
      </w:r>
      <w:r>
        <w:rPr>
          <w:highlight w:val="none"/>
        </w:rPr>
      </w:r>
      <w:r/>
    </w:p>
    <w:p>
      <w:pPr>
        <w:pStyle w:val="1008"/>
        <w:ind w:firstLine="480"/>
        <w:spacing w:line="360" w:lineRule="auto"/>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rPr>
          <w:highlight w:val="none"/>
        </w:rPr>
      </w:r>
      <w:r/>
    </w:p>
    <w:p>
      <w:pPr>
        <w:pStyle w:val="1008"/>
        <w:ind w:firstLine="480"/>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highlight w:val="none"/>
        </w:rPr>
      </w:r>
      <w:r/>
    </w:p>
    <w:p>
      <w:pPr>
        <w:pStyle w:val="1008"/>
        <w:jc w:val="left"/>
        <w:spacing w:line="360" w:lineRule="auto"/>
        <w:widowControl/>
        <w:rPr>
          <w:rFonts w:ascii="宋体" w:hAnsi="宋体"/>
          <w:sz w:val="24"/>
          <w:highlight w:val="none"/>
        </w:rPr>
      </w:pPr>
      <w:r>
        <w:rPr>
          <w:rFonts w:ascii="宋体" w:hAnsi="宋体"/>
          <w:sz w:val="24"/>
          <w:highlight w:val="none"/>
        </w:rPr>
        <w:t xml:space="preserve">　　合格投标人不足3家的，不得评标。</w:t>
      </w:r>
      <w:r>
        <w:rPr>
          <w:highlight w:val="none"/>
        </w:rPr>
      </w:r>
      <w:r/>
    </w:p>
    <w:p>
      <w:pPr>
        <w:pStyle w:val="1012"/>
        <w:ind w:firstLine="420"/>
        <w:spacing w:before="0" w:after="0" w:line="360" w:lineRule="auto"/>
        <w:rPr>
          <w:rFonts w:hint="eastAsia"/>
          <w:b w:val="0"/>
          <w:bCs w:val="0"/>
          <w:highlight w:val="none"/>
        </w:rPr>
      </w:pPr>
      <w:r>
        <w:rPr>
          <w:rFonts w:hint="eastAsia"/>
          <w:b w:val="0"/>
          <w:bCs w:val="0"/>
          <w:highlight w:val="none"/>
        </w:rPr>
        <w:t xml:space="preserve">25、评标委员会</w:t>
      </w:r>
      <w:r>
        <w:rPr>
          <w:highlight w:val="none"/>
        </w:rPr>
      </w:r>
      <w:r/>
    </w:p>
    <w:p>
      <w:pPr>
        <w:pStyle w:val="1008"/>
        <w:spacing w:line="360" w:lineRule="auto"/>
        <w:rPr>
          <w:rFonts w:hint="eastAsia" w:ascii="宋体" w:hAnsi="宋体"/>
          <w:b/>
          <w:sz w:val="24"/>
          <w:highlight w:val="none"/>
        </w:rPr>
      </w:pPr>
      <w:r>
        <w:rPr>
          <w:rFonts w:hint="eastAsia" w:ascii="宋体" w:hAnsi="宋体"/>
          <w:b/>
          <w:sz w:val="24"/>
          <w:highlight w:val="none"/>
        </w:rPr>
        <w:t xml:space="preserve">  </w:t>
      </w:r>
      <w:r>
        <w:rPr>
          <w:rFonts w:hint="eastAsia" w:ascii="宋体" w:hAnsi="宋体"/>
          <w:sz w:val="24"/>
          <w:highlight w:val="none"/>
        </w:rPr>
        <w:t xml:space="preserve">  25.1</w:t>
      </w:r>
      <w:r>
        <w:rPr>
          <w:rFonts w:hint="eastAsia" w:ascii="宋体" w:hAnsi="宋体"/>
          <w:b/>
          <w:sz w:val="24"/>
          <w:highlight w:val="none"/>
        </w:rPr>
        <w:t xml:space="preserve"> </w:t>
      </w:r>
      <w:r>
        <w:rPr>
          <w:rFonts w:hint="eastAsia" w:ascii="宋体" w:hAnsi="宋体"/>
          <w:sz w:val="24"/>
          <w:highlight w:val="none"/>
        </w:rPr>
        <w:t xml:space="preserve">资格审查通过后，采购人或采购代理机构将组织评标委员会（以下简称评委会）进行评标。</w:t>
      </w:r>
      <w:r>
        <w:rPr>
          <w:highlight w:val="none"/>
        </w:rPr>
      </w:r>
      <w:r/>
    </w:p>
    <w:p>
      <w:pPr>
        <w:pStyle w:val="1008"/>
        <w:spacing w:line="360" w:lineRule="auto"/>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25.2 评委会由采购人代表和有关技术、经济等方面的专家组成，且人员构成符合政府采购有关规定。</w:t>
      </w:r>
      <w:r>
        <w:rPr>
          <w:highlight w:val="none"/>
        </w:rPr>
      </w:r>
      <w:r/>
    </w:p>
    <w:p>
      <w:pPr>
        <w:pStyle w:val="1008"/>
        <w:spacing w:line="360" w:lineRule="auto"/>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25.3评委会独立工作，负责评审所有投标文件并确定中标侯选人。</w:t>
      </w:r>
      <w:r>
        <w:rPr>
          <w:highlight w:val="none"/>
        </w:rPr>
      </w:r>
      <w:r/>
    </w:p>
    <w:p>
      <w:pPr>
        <w:pStyle w:val="1012"/>
        <w:ind w:firstLine="420"/>
        <w:spacing w:before="0" w:after="0" w:line="360" w:lineRule="auto"/>
        <w:rPr>
          <w:rFonts w:hint="eastAsia" w:ascii="黑体"/>
          <w:b w:val="0"/>
          <w:bCs w:val="0"/>
          <w:highlight w:val="none"/>
        </w:rPr>
      </w:pPr>
      <w:r>
        <w:rPr>
          <w:rFonts w:hint="eastAsia" w:ascii="黑体"/>
          <w:b w:val="0"/>
          <w:bCs w:val="0"/>
          <w:highlight w:val="none"/>
        </w:rPr>
        <w:t xml:space="preserve">26、评标过程的保密与公正</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sz w:val="24"/>
          <w:highlight w:val="none"/>
        </w:rPr>
        <w:t xml:space="preserve">26.1</w:t>
      </w:r>
      <w:r>
        <w:rPr>
          <w:rFonts w:hint="eastAsia" w:ascii="宋体" w:hAnsi="宋体" w:cs="宋体"/>
          <w:bCs/>
          <w:sz w:val="24"/>
          <w:highlight w:val="none"/>
        </w:rPr>
        <w:t xml:space="preserve">公开开标后，直至签订合同之日止，凡是与审查、澄清、评价和比较投标的有关资料以及授标建议等，采购人、评委均不得向投标人或与评标无关的其他人员透露。</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26.2在评标过程中，投标人不得以任何行为影响评标过程，否则其投标文件将被作为无效投标文件。</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26.3在评标期间，采购人将设专门人员与投标人联系。</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26.4 采购人和评标委员会不向落标的投标人解释未中标原因，也不公布评标过程中的相关细节。</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26.5 采用综合评分法的项目，未中标的投标人如需了解自己的评审得分及排序情况，可向采购人提出申请。</w:t>
      </w:r>
      <w:r>
        <w:rPr>
          <w:highlight w:val="none"/>
        </w:rPr>
      </w:r>
      <w:r/>
    </w:p>
    <w:p>
      <w:pPr>
        <w:pStyle w:val="1012"/>
        <w:ind w:firstLine="422"/>
        <w:spacing w:before="0" w:after="0" w:line="360" w:lineRule="auto"/>
        <w:rPr>
          <w:rFonts w:hint="eastAsia" w:ascii="黑体"/>
          <w:highlight w:val="none"/>
        </w:rPr>
      </w:pPr>
      <w:r>
        <w:rPr>
          <w:highlight w:val="none"/>
        </w:rPr>
      </w:r>
      <w:bookmarkStart w:id="110" w:name="_Toc20823304"/>
      <w:r>
        <w:rPr>
          <w:highlight w:val="none"/>
        </w:rPr>
      </w:r>
      <w:bookmarkStart w:id="111" w:name="_Toc16938548"/>
      <w:r>
        <w:rPr>
          <w:highlight w:val="none"/>
        </w:rPr>
      </w:r>
      <w:bookmarkStart w:id="112" w:name="_Toc513029232"/>
      <w:r>
        <w:rPr>
          <w:rFonts w:hint="eastAsia" w:ascii="黑体"/>
          <w:highlight w:val="none"/>
        </w:rPr>
        <w:t xml:space="preserve">27、投标的澄清</w:t>
      </w:r>
      <w:bookmarkEnd w:id="110"/>
      <w:r>
        <w:rPr>
          <w:highlight w:val="none"/>
        </w:rPr>
      </w:r>
      <w:bookmarkEnd w:id="111"/>
      <w:r>
        <w:rPr>
          <w:highlight w:val="none"/>
        </w:rPr>
      </w:r>
      <w:bookmarkEnd w:id="112"/>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27.1评标期间，为有助于对投标文件的审查、评价和比较，评委会有权以书面形式要求投标人对其投标文件进行澄清，但并非对每个投标人都作澄清要求。</w:t>
      </w:r>
      <w:r>
        <w:rPr>
          <w:highlight w:val="none"/>
        </w:rPr>
      </w:r>
      <w:r/>
    </w:p>
    <w:p>
      <w:pPr>
        <w:pStyle w:val="1008"/>
        <w:spacing w:line="360" w:lineRule="auto"/>
        <w:rPr>
          <w:rFonts w:ascii="宋体" w:hAnsi="宋体" w:cs="宋体"/>
          <w:sz w:val="24"/>
          <w:highlight w:val="none"/>
        </w:rPr>
      </w:pPr>
      <w:r>
        <w:rPr>
          <w:rFonts w:hint="eastAsia" w:ascii="宋体" w:hAnsi="宋体" w:cs="宋体"/>
          <w:sz w:val="24"/>
          <w:highlight w:val="none"/>
        </w:rPr>
        <w:t xml:space="preserve">    27.2接到评委会澄清要求的投标人应派人按评委会通知的时间和地点做出书面澄清，书面澄清的内容须由投标人法人或授权代表签署，并作为投标文件的补充部分，但投标的价格和实质性的内容不得做任何更改。</w:t>
      </w:r>
      <w:r>
        <w:rPr>
          <w:highlight w:val="none"/>
        </w:rPr>
      </w:r>
      <w:r/>
    </w:p>
    <w:p>
      <w:pPr>
        <w:pStyle w:val="1008"/>
        <w:spacing w:line="360" w:lineRule="auto"/>
        <w:rPr>
          <w:rFonts w:ascii="宋体" w:hAnsi="宋体" w:cs="宋体"/>
          <w:sz w:val="24"/>
          <w:highlight w:val="none"/>
        </w:rPr>
      </w:pPr>
      <w:r>
        <w:rPr>
          <w:rFonts w:hint="eastAsia" w:ascii="宋体" w:hAnsi="宋体" w:cs="宋体"/>
          <w:sz w:val="24"/>
          <w:highlight w:val="none"/>
        </w:rPr>
        <w:t xml:space="preserve">    27.3 接到评委会澄清要求的投标人如未按规定做出澄清，其风险由投标人自行承担。</w:t>
      </w:r>
      <w:r>
        <w:rPr>
          <w:highlight w:val="none"/>
        </w:rPr>
      </w:r>
      <w:r/>
    </w:p>
    <w:p>
      <w:pPr>
        <w:pStyle w:val="1012"/>
        <w:ind w:firstLine="422"/>
        <w:spacing w:before="0" w:after="0" w:line="360" w:lineRule="auto"/>
        <w:rPr>
          <w:rFonts w:hint="eastAsia" w:ascii="黑体"/>
          <w:highlight w:val="none"/>
        </w:rPr>
      </w:pPr>
      <w:r>
        <w:rPr>
          <w:highlight w:val="none"/>
        </w:rPr>
      </w:r>
      <w:bookmarkStart w:id="113" w:name="_Toc20823305"/>
      <w:r>
        <w:rPr>
          <w:highlight w:val="none"/>
        </w:rPr>
      </w:r>
      <w:bookmarkStart w:id="114" w:name="_Toc16938549"/>
      <w:r>
        <w:rPr>
          <w:highlight w:val="none"/>
        </w:rPr>
      </w:r>
      <w:bookmarkStart w:id="115" w:name="_Toc513029233"/>
      <w:r>
        <w:rPr>
          <w:rFonts w:hint="eastAsia" w:ascii="黑体"/>
          <w:highlight w:val="none"/>
        </w:rPr>
        <w:t xml:space="preserve">28、对投标文件的评审</w:t>
      </w:r>
      <w:bookmarkEnd w:id="113"/>
      <w:r>
        <w:rPr>
          <w:highlight w:val="none"/>
        </w:rPr>
      </w:r>
      <w:bookmarkEnd w:id="114"/>
      <w:r>
        <w:rPr>
          <w:highlight w:val="none"/>
        </w:rPr>
      </w:r>
      <w:bookmarkEnd w:id="115"/>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sz w:val="24"/>
          <w:highlight w:val="none"/>
        </w:rPr>
        <w:t xml:space="preserve">28.1</w:t>
      </w:r>
      <w:r>
        <w:rPr>
          <w:rFonts w:hint="eastAsia" w:ascii="宋体" w:hAnsi="宋体" w:cs="宋体"/>
          <w:bCs/>
          <w:sz w:val="24"/>
          <w:highlight w:val="none"/>
        </w:rPr>
        <w:t xml:space="preserve">符合性检查：依据招标文件的规定，从投标文件的有效性、完整性和对招标文件的响应程度进行审查，以确定是否对招标文件的实质性要求作出响应。</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28.2在详细评标之前，评委会将首先审查每份投标文件是否实质性响应了招标文件的要求。实质性响应的投标应该是与招标文件要求的全部条款、条件和规格相符，没有重大偏离或保留的投标。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cs="宋体"/>
          <w:bCs/>
          <w:sz w:val="24"/>
          <w:highlight w:val="none"/>
        </w:rPr>
        <w:t xml:space="preserve">评委决定投标文件的响应性只根据投标文件本身的内容，而不寻求外部的证据。</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sz w:val="24"/>
          <w:highlight w:val="none"/>
        </w:rPr>
        <w:t xml:space="preserve">28.3</w:t>
      </w:r>
      <w:r>
        <w:rPr>
          <w:rFonts w:hint="eastAsia" w:ascii="宋体" w:hAnsi="宋体" w:cs="宋体"/>
          <w:bCs/>
          <w:sz w:val="24"/>
          <w:highlight w:val="none"/>
        </w:rPr>
        <w:t xml:space="preserve">如果投标文件实质上没有响应招标文件的要求，评委会将按无效投标处理，投标人不得通过修改或撤销不合要求的偏离或保留而使其投标成为实质性响应的投标。</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sz w:val="24"/>
          <w:highlight w:val="none"/>
        </w:rPr>
        <w:t xml:space="preserve">28.4</w:t>
      </w:r>
      <w:r>
        <w:rPr>
          <w:rFonts w:hint="eastAsia" w:ascii="宋体" w:hAnsi="宋体" w:cs="宋体"/>
          <w:bCs/>
          <w:sz w:val="24"/>
          <w:highlight w:val="none"/>
        </w:rPr>
        <w:t xml:space="preserve">评委会将对确定为实质性响应的投标进行进一步审核，看其是否有计算上或累加上的算术错误，修正错误的原则如下：</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bCs/>
          <w:sz w:val="24"/>
          <w:highlight w:val="none"/>
        </w:rPr>
        <w:t xml:space="preserve">（1）投标文件中开标一览表内容与投标文件中相应内容不一致的，以开标一览表为准。</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bCs/>
          <w:sz w:val="24"/>
          <w:highlight w:val="none"/>
        </w:rPr>
        <w:t xml:space="preserve">（2）大写金额和小写金额不一致的，以大写金额为准。</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bCs/>
          <w:sz w:val="24"/>
          <w:highlight w:val="none"/>
        </w:rPr>
        <w:t xml:space="preserve">（3）单价金额小数点或者百分比有明显错位的，以开标一览表的总价为准，并修改单价。</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bCs/>
          <w:sz w:val="24"/>
          <w:highlight w:val="none"/>
        </w:rPr>
        <w:t xml:space="preserve">（4）总价金额与按单价汇总金额不一致的，以单价金额计算结果为准。</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bCs/>
          <w:sz w:val="24"/>
          <w:highlight w:val="none"/>
        </w:rPr>
        <w:t xml:space="preserve">同时出现两种以上错误的，按照前款规定的顺序修正。</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sz w:val="24"/>
          <w:highlight w:val="none"/>
        </w:rPr>
        <w:t xml:space="preserve">28.5</w:t>
      </w:r>
      <w:r>
        <w:rPr>
          <w:rFonts w:hint="eastAsia" w:ascii="宋体" w:hAnsi="宋体" w:cs="宋体"/>
          <w:bCs/>
          <w:sz w:val="24"/>
          <w:highlight w:val="none"/>
        </w:rPr>
        <w:t xml:space="preserve">评委会将按上述修正错误的方法调整投标文件中的投标报价，调整后的价格应对投标人具有约束力。如果投标人不接受修正后的价格，则其投标将被拒绝。</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sz w:val="24"/>
          <w:highlight w:val="none"/>
        </w:rPr>
        <w:t xml:space="preserve">28.6</w:t>
      </w:r>
      <w:r>
        <w:rPr>
          <w:rFonts w:hint="eastAsia" w:ascii="宋体" w:hAnsi="宋体" w:cs="宋体"/>
          <w:bCs/>
          <w:sz w:val="24"/>
          <w:highlight w:val="none"/>
        </w:rPr>
        <w:t xml:space="preserve">评委会将允许修正投标文件中不构成重大偏离的、微小的、非正规的、不一致的或不规则的地方，但这些修改不能影响任何投标人相应的名次排列。</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28.7</w:t>
      </w:r>
      <w:r>
        <w:rPr>
          <w:rFonts w:hint="eastAsia" w:ascii="宋体" w:hAnsi="宋体" w:cs="宋体"/>
          <w:b/>
          <w:sz w:val="24"/>
          <w:highlight w:val="none"/>
        </w:rPr>
        <w:t xml:space="preserve">采用最低评标价法的采购项目，</w:t>
      </w:r>
      <w:r>
        <w:rPr>
          <w:rFonts w:hint="eastAsia" w:ascii="宋体" w:hAnsi="宋体" w:cs="宋体"/>
          <w:sz w:val="24"/>
          <w:highlight w:val="none"/>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highlight w:val="none"/>
        </w:rPr>
      </w:r>
      <w:r/>
    </w:p>
    <w:p>
      <w:pPr>
        <w:pStyle w:val="1008"/>
        <w:ind w:firstLine="482"/>
        <w:spacing w:line="360" w:lineRule="auto"/>
        <w:rPr>
          <w:rFonts w:ascii="宋体" w:hAnsi="宋体" w:cs="宋体"/>
          <w:sz w:val="24"/>
          <w:highlight w:val="none"/>
        </w:rPr>
      </w:pPr>
      <w:r>
        <w:rPr>
          <w:rFonts w:hint="eastAsia" w:ascii="宋体" w:hAnsi="宋体" w:cs="宋体"/>
          <w:b/>
          <w:sz w:val="24"/>
          <w:highlight w:val="none"/>
        </w:rPr>
        <w:t xml:space="preserve">使用综合评分法的采购项目，</w:t>
      </w:r>
      <w:r>
        <w:rPr>
          <w:rFonts w:hint="eastAsia" w:ascii="宋体" w:hAnsi="宋体" w:cs="宋体"/>
          <w:sz w:val="24"/>
          <w:highlight w:val="none"/>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highlight w:val="none"/>
        </w:rPr>
      </w:r>
      <w:r/>
    </w:p>
    <w:p>
      <w:pPr>
        <w:pStyle w:val="1008"/>
        <w:ind w:firstLine="120"/>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非单一产品采购项目，</w:t>
      </w:r>
      <w:r>
        <w:rPr>
          <w:rFonts w:hint="eastAsia" w:ascii="宋体" w:hAnsi="宋体" w:cs="宋体"/>
          <w:sz w:val="24"/>
          <w:highlight w:val="none"/>
        </w:rPr>
        <w:t xml:space="preserve">采购人应当根据采购项目技术构成、产品价格比重等合理确定核心产品，并在招标文件中载明。多家投标人提供的核心产品品牌相同的，按前两款规定处理。(87号令第31条)</w:t>
      </w:r>
      <w:r>
        <w:rPr>
          <w:highlight w:val="none"/>
        </w:rPr>
      </w:r>
      <w:r/>
    </w:p>
    <w:p>
      <w:pPr>
        <w:pStyle w:val="1012"/>
        <w:ind w:firstLine="422"/>
        <w:spacing w:before="0" w:after="0" w:line="360" w:lineRule="auto"/>
        <w:rPr>
          <w:rFonts w:hint="eastAsia" w:ascii="黑体"/>
          <w:highlight w:val="none"/>
        </w:rPr>
      </w:pPr>
      <w:r>
        <w:rPr>
          <w:highlight w:val="none"/>
        </w:rPr>
      </w:r>
      <w:bookmarkStart w:id="116" w:name="_Toc513029234"/>
      <w:r>
        <w:rPr>
          <w:highlight w:val="none"/>
        </w:rPr>
      </w:r>
      <w:bookmarkStart w:id="117" w:name="_Toc16938550"/>
      <w:r>
        <w:rPr>
          <w:highlight w:val="none"/>
        </w:rPr>
      </w:r>
      <w:bookmarkStart w:id="118" w:name="_Toc20823306"/>
      <w:r>
        <w:rPr>
          <w:rFonts w:hint="eastAsia" w:ascii="黑体"/>
          <w:highlight w:val="none"/>
        </w:rPr>
        <w:t xml:space="preserve">29、</w:t>
      </w:r>
      <w:bookmarkEnd w:id="116"/>
      <w:r>
        <w:rPr>
          <w:highlight w:val="none"/>
        </w:rPr>
      </w:r>
      <w:bookmarkEnd w:id="117"/>
      <w:r>
        <w:rPr>
          <w:highlight w:val="none"/>
        </w:rPr>
      </w:r>
      <w:bookmarkEnd w:id="118"/>
      <w:r>
        <w:rPr>
          <w:rFonts w:hint="eastAsia" w:ascii="黑体"/>
          <w:highlight w:val="none"/>
        </w:rPr>
        <w:t xml:space="preserve">无效投标条款和废标条款</w:t>
      </w:r>
      <w:r>
        <w:rPr>
          <w:highlight w:val="none"/>
        </w:rPr>
      </w:r>
      <w:r/>
    </w:p>
    <w:p>
      <w:pPr>
        <w:pStyle w:val="1008"/>
        <w:ind w:left="479"/>
        <w:spacing w:line="360" w:lineRule="auto"/>
        <w:rPr>
          <w:rFonts w:ascii="宋体" w:hAnsi="宋体" w:cs="宋体"/>
          <w:b/>
          <w:sz w:val="24"/>
          <w:highlight w:val="none"/>
        </w:rPr>
      </w:pPr>
      <w:r>
        <w:rPr>
          <w:highlight w:val="none"/>
        </w:rPr>
      </w:r>
      <w:bookmarkStart w:id="119" w:name="_Toc16938551"/>
      <w:r>
        <w:rPr>
          <w:highlight w:val="none"/>
        </w:rPr>
      </w:r>
      <w:bookmarkStart w:id="120" w:name="_Toc513029235"/>
      <w:r>
        <w:rPr>
          <w:highlight w:val="none"/>
        </w:rPr>
      </w:r>
      <w:bookmarkStart w:id="121" w:name="_Toc20823307"/>
      <w:r>
        <w:rPr>
          <w:rFonts w:hint="eastAsia" w:ascii="宋体" w:hAnsi="宋体" w:cs="宋体"/>
          <w:b/>
          <w:sz w:val="24"/>
          <w:highlight w:val="none"/>
        </w:rPr>
        <w:t xml:space="preserve">29.1无效投标条款</w:t>
      </w:r>
      <w:r>
        <w:rPr>
          <w:highlight w:val="none"/>
        </w:rPr>
      </w:r>
      <w:r/>
    </w:p>
    <w:p>
      <w:pPr>
        <w:pStyle w:val="1008"/>
        <w:ind w:firstLine="482"/>
        <w:spacing w:line="360" w:lineRule="auto"/>
        <w:rPr>
          <w:rFonts w:ascii="宋体" w:hAnsi="宋体" w:cs="宋体"/>
          <w:b/>
          <w:sz w:val="24"/>
          <w:highlight w:val="none"/>
        </w:rPr>
      </w:pPr>
      <w:r>
        <w:rPr>
          <w:rFonts w:hint="eastAsia" w:ascii="宋体" w:hAnsi="宋体" w:cs="宋体"/>
          <w:b/>
          <w:sz w:val="24"/>
          <w:highlight w:val="none"/>
        </w:rPr>
        <w:t xml:space="preserve">29.1.1未按照招标文件规定要求密封、签署、盖章的；</w:t>
      </w:r>
      <w:r>
        <w:rPr>
          <w:highlight w:val="none"/>
        </w:rPr>
      </w:r>
      <w:r/>
    </w:p>
    <w:p>
      <w:pPr>
        <w:pStyle w:val="1008"/>
        <w:ind w:left="479"/>
        <w:spacing w:line="360" w:lineRule="auto"/>
        <w:rPr>
          <w:rFonts w:ascii="宋体" w:hAnsi="宋体" w:cs="宋体"/>
          <w:b/>
          <w:sz w:val="24"/>
          <w:highlight w:val="none"/>
        </w:rPr>
      </w:pPr>
      <w:r>
        <w:rPr>
          <w:rFonts w:hint="eastAsia" w:ascii="宋体" w:hAnsi="宋体" w:cs="宋体"/>
          <w:b/>
          <w:sz w:val="24"/>
          <w:highlight w:val="none"/>
        </w:rPr>
        <w:t xml:space="preserve">29.1.2投标人在报价时采用选择性报价；</w:t>
      </w:r>
      <w:r>
        <w:rPr>
          <w:highlight w:val="none"/>
        </w:rPr>
      </w:r>
      <w:r/>
    </w:p>
    <w:p>
      <w:pPr>
        <w:pStyle w:val="1008"/>
        <w:ind w:left="479"/>
        <w:spacing w:line="360" w:lineRule="auto"/>
        <w:rPr>
          <w:rFonts w:ascii="宋体" w:hAnsi="宋体" w:cs="宋体"/>
          <w:b/>
          <w:sz w:val="24"/>
          <w:highlight w:val="none"/>
        </w:rPr>
      </w:pPr>
      <w:r>
        <w:rPr>
          <w:rFonts w:hint="eastAsia" w:ascii="宋体" w:hAnsi="宋体" w:cs="宋体"/>
          <w:b/>
          <w:sz w:val="24"/>
          <w:highlight w:val="none"/>
        </w:rPr>
        <w:t xml:space="preserve">29.1.3投标人不具备招标文件中规定资格要求的；</w:t>
      </w:r>
      <w:r>
        <w:rPr>
          <w:highlight w:val="none"/>
        </w:rPr>
      </w:r>
      <w:r/>
    </w:p>
    <w:p>
      <w:pPr>
        <w:pStyle w:val="1008"/>
        <w:ind w:firstLine="482"/>
        <w:spacing w:line="360" w:lineRule="auto"/>
        <w:rPr>
          <w:rFonts w:ascii="宋体" w:hAnsi="宋体" w:cs="宋体"/>
          <w:b/>
          <w:sz w:val="24"/>
          <w:highlight w:val="none"/>
        </w:rPr>
      </w:pPr>
      <w:r>
        <w:rPr>
          <w:rFonts w:hint="eastAsia" w:ascii="宋体" w:hAnsi="宋体" w:cs="宋体"/>
          <w:b/>
          <w:sz w:val="24"/>
          <w:highlight w:val="none"/>
        </w:rPr>
        <w:t xml:space="preserve">29.1.4投标人的报价超过了采购预算或最高限价的；</w:t>
      </w:r>
      <w:r>
        <w:rPr>
          <w:highlight w:val="none"/>
        </w:rPr>
      </w:r>
      <w:r/>
    </w:p>
    <w:p>
      <w:pPr>
        <w:pStyle w:val="1008"/>
        <w:ind w:firstLine="482"/>
        <w:spacing w:line="360" w:lineRule="auto"/>
        <w:rPr>
          <w:rFonts w:ascii="宋体" w:hAnsi="宋体" w:cs="宋体"/>
          <w:b/>
          <w:i/>
          <w:sz w:val="24"/>
          <w:highlight w:val="none"/>
          <w:u w:val="single"/>
        </w:rPr>
      </w:pPr>
      <w:r>
        <w:rPr>
          <w:rFonts w:hint="eastAsia" w:ascii="宋体" w:hAnsi="宋体" w:cs="宋体"/>
          <w:b/>
          <w:sz w:val="24"/>
          <w:highlight w:val="none"/>
        </w:rPr>
        <w:t xml:space="preserve">29.1.5未通过符合性检查的；</w:t>
      </w:r>
      <w:r>
        <w:rPr>
          <w:highlight w:val="none"/>
        </w:rPr>
      </w:r>
      <w:r/>
    </w:p>
    <w:p>
      <w:pPr>
        <w:pStyle w:val="1008"/>
        <w:ind w:firstLine="361"/>
        <w:spacing w:line="360" w:lineRule="auto"/>
        <w:rPr>
          <w:rFonts w:ascii="宋体" w:hAnsi="宋体" w:cs="宋体"/>
          <w:b/>
          <w:sz w:val="24"/>
          <w:highlight w:val="none"/>
        </w:rPr>
      </w:pPr>
      <w:r>
        <w:rPr>
          <w:rFonts w:hint="eastAsia" w:ascii="宋体" w:hAnsi="宋体" w:cs="宋体"/>
          <w:b/>
          <w:sz w:val="24"/>
          <w:highlight w:val="none"/>
        </w:rPr>
        <w:t xml:space="preserve"> 29.1.6不符合招标文件中规定的其他实质性要求和条件的；</w:t>
      </w:r>
      <w:r>
        <w:rPr>
          <w:highlight w:val="none"/>
        </w:rPr>
      </w:r>
      <w:r/>
    </w:p>
    <w:p>
      <w:pPr>
        <w:pStyle w:val="1008"/>
        <w:ind w:firstLine="482"/>
        <w:spacing w:line="360" w:lineRule="auto"/>
        <w:rPr>
          <w:rFonts w:ascii="宋体" w:hAnsi="宋体" w:cs="宋体"/>
          <w:b/>
          <w:sz w:val="24"/>
          <w:highlight w:val="none"/>
        </w:rPr>
      </w:pPr>
      <w:r>
        <w:rPr>
          <w:rFonts w:hint="eastAsia" w:ascii="宋体" w:hAnsi="宋体" w:cs="宋体"/>
          <w:b/>
          <w:sz w:val="24"/>
          <w:highlight w:val="none"/>
        </w:rPr>
        <w:t xml:space="preserve">29.1.7投标人串通投标；</w:t>
      </w:r>
      <w:r>
        <w:rPr>
          <w:highlight w:val="none"/>
        </w:rPr>
      </w:r>
      <w:r/>
    </w:p>
    <w:p>
      <w:pPr>
        <w:pStyle w:val="1008"/>
        <w:ind w:firstLine="482"/>
        <w:spacing w:line="360" w:lineRule="auto"/>
        <w:rPr>
          <w:rFonts w:ascii="宋体" w:hAnsi="宋体" w:cs="宋体"/>
          <w:b/>
          <w:sz w:val="24"/>
          <w:highlight w:val="none"/>
        </w:rPr>
      </w:pPr>
      <w:r>
        <w:rPr>
          <w:rFonts w:hint="eastAsia" w:ascii="宋体" w:hAnsi="宋体" w:cs="宋体"/>
          <w:b/>
          <w:sz w:val="24"/>
          <w:highlight w:val="none"/>
        </w:rPr>
        <w:t xml:space="preserve">29.1.8  投标文件含有采购人不能接受的附加条件的。</w:t>
      </w:r>
      <w:r>
        <w:rPr>
          <w:highlight w:val="none"/>
        </w:rPr>
      </w:r>
      <w:r/>
    </w:p>
    <w:p>
      <w:pPr>
        <w:pStyle w:val="1008"/>
        <w:ind w:firstLine="482"/>
        <w:spacing w:line="360" w:lineRule="auto"/>
        <w:rPr>
          <w:rFonts w:ascii="宋体" w:hAnsi="宋体" w:cs="宋体"/>
          <w:b/>
          <w:sz w:val="24"/>
          <w:highlight w:val="none"/>
        </w:rPr>
      </w:pPr>
      <w:r>
        <w:rPr>
          <w:rFonts w:hint="eastAsia" w:ascii="宋体" w:hAnsi="宋体" w:cs="宋体"/>
          <w:b/>
          <w:sz w:val="24"/>
          <w:highlight w:val="none"/>
        </w:rPr>
        <w:t xml:space="preserve">29.1.9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highlight w:val="none"/>
        </w:rPr>
      </w:r>
      <w:r/>
    </w:p>
    <w:p>
      <w:pPr>
        <w:pStyle w:val="1008"/>
        <w:ind w:firstLine="482"/>
        <w:spacing w:line="360" w:lineRule="auto"/>
        <w:rPr>
          <w:rFonts w:ascii="宋体" w:hAnsi="宋体" w:cs="宋体"/>
          <w:b/>
          <w:sz w:val="24"/>
          <w:highlight w:val="none"/>
        </w:rPr>
      </w:pPr>
      <w:r>
        <w:rPr>
          <w:rFonts w:hint="eastAsia" w:ascii="宋体" w:hAnsi="宋体" w:cs="宋体"/>
          <w:b/>
          <w:sz w:val="24"/>
          <w:highlight w:val="none"/>
        </w:rPr>
        <w:t xml:space="preserve">29.1.10其他法律、法规及本招标文件规定的属无效投标的情形。</w:t>
      </w:r>
      <w:r>
        <w:rPr>
          <w:highlight w:val="none"/>
        </w:rPr>
      </w:r>
      <w:r/>
    </w:p>
    <w:p>
      <w:pPr>
        <w:pStyle w:val="1008"/>
        <w:ind w:left="479"/>
        <w:spacing w:line="360" w:lineRule="auto"/>
        <w:rPr>
          <w:rFonts w:ascii="宋体" w:hAnsi="宋体" w:cs="宋体"/>
          <w:b/>
          <w:sz w:val="24"/>
          <w:highlight w:val="none"/>
        </w:rPr>
      </w:pPr>
      <w:r>
        <w:rPr>
          <w:rFonts w:hint="eastAsia" w:ascii="宋体" w:hAnsi="宋体" w:cs="宋体"/>
          <w:b/>
          <w:sz w:val="24"/>
          <w:highlight w:val="none"/>
        </w:rPr>
        <w:t xml:space="preserve">29.2废标条款：                                                                                                                                         </w:t>
      </w:r>
      <w:r>
        <w:rPr>
          <w:rFonts w:hint="eastAsia" w:ascii="宋体" w:hAnsi="宋体" w:cs="宋体"/>
          <w:b/>
          <w:sz w:val="24"/>
          <w:highlight w:val="none"/>
        </w:rPr>
        <w:t xml:space="preserve">                                                                                                                                                                                                                                                                </w:t>
      </w:r>
      <w:r>
        <w:rPr>
          <w:rFonts w:hint="eastAsia" w:ascii="宋体" w:hAnsi="宋体" w:cs="宋体"/>
          <w:b/>
          <w:sz w:val="24"/>
          <w:highlight w:val="none"/>
        </w:rPr>
        <w:t xml:space="preserve">                                                                                                                                                                                                                                                                </w:t>
      </w:r>
      <w:r>
        <w:rPr>
          <w:rFonts w:hint="eastAsia" w:ascii="宋体" w:hAnsi="宋体" w:cs="宋体"/>
          <w:b/>
          <w:sz w:val="24"/>
          <w:highlight w:val="none"/>
        </w:rPr>
        <w:t xml:space="preserve">                                                                                                                                                                                                                                                                </w:t>
      </w:r>
      <w:r>
        <w:rPr>
          <w:rFonts w:hint="eastAsia" w:ascii="宋体" w:hAnsi="宋体" w:cs="宋体"/>
          <w:b/>
          <w:sz w:val="24"/>
          <w:highlight w:val="none"/>
        </w:rPr>
        <w:t xml:space="preserve">                                                                                                                                                                                                                                                                </w:t>
      </w:r>
      <w:r>
        <w:rPr>
          <w:rFonts w:hint="eastAsia" w:ascii="宋体" w:hAnsi="宋体" w:cs="宋体"/>
          <w:b/>
          <w:sz w:val="24"/>
          <w:highlight w:val="none"/>
        </w:rPr>
        <w:t xml:space="preserve">                                                                                                                                                                                                                                                                </w:t>
      </w:r>
      <w:r>
        <w:rPr>
          <w:highlight w:val="none"/>
        </w:rPr>
      </w:r>
      <w:r/>
    </w:p>
    <w:p>
      <w:pPr>
        <w:pStyle w:val="1008"/>
        <w:ind w:left="479"/>
        <w:spacing w:line="360" w:lineRule="auto"/>
        <w:rPr>
          <w:rFonts w:ascii="宋体" w:hAnsi="宋体" w:cs="宋体"/>
          <w:b/>
          <w:sz w:val="24"/>
          <w:highlight w:val="none"/>
        </w:rPr>
      </w:pPr>
      <w:r>
        <w:rPr>
          <w:rFonts w:hint="eastAsia" w:ascii="宋体" w:hAnsi="宋体" w:cs="宋体"/>
          <w:b/>
          <w:sz w:val="24"/>
          <w:highlight w:val="none"/>
        </w:rPr>
        <w:t xml:space="preserve">29.2.1符合专业条件的供应商或者对招标文件作实质响应的供应商不足三家的；29.2.2出现影响采购公正的违法、违规行为的；</w:t>
      </w:r>
      <w:r>
        <w:rPr>
          <w:highlight w:val="none"/>
        </w:rPr>
      </w:r>
      <w:r/>
    </w:p>
    <w:p>
      <w:pPr>
        <w:pStyle w:val="1008"/>
        <w:ind w:left="479"/>
        <w:spacing w:line="360" w:lineRule="auto"/>
        <w:rPr>
          <w:rFonts w:ascii="宋体" w:hAnsi="宋体" w:cs="宋体"/>
          <w:b/>
          <w:sz w:val="24"/>
          <w:highlight w:val="none"/>
        </w:rPr>
      </w:pPr>
      <w:r>
        <w:rPr>
          <w:rFonts w:hint="eastAsia" w:ascii="宋体" w:hAnsi="宋体" w:cs="宋体"/>
          <w:b/>
          <w:sz w:val="24"/>
          <w:highlight w:val="none"/>
        </w:rPr>
        <w:t xml:space="preserve">29.2.3因重大变故，采购任务取消的；</w:t>
      </w:r>
      <w:r>
        <w:rPr>
          <w:highlight w:val="none"/>
        </w:rPr>
      </w:r>
      <w:r/>
    </w:p>
    <w:p>
      <w:pPr>
        <w:pStyle w:val="1008"/>
        <w:ind w:left="479"/>
        <w:spacing w:line="360" w:lineRule="auto"/>
        <w:rPr>
          <w:rFonts w:ascii="宋体" w:hAnsi="宋体" w:cs="宋体"/>
          <w:b/>
          <w:sz w:val="24"/>
          <w:highlight w:val="none"/>
        </w:rPr>
      </w:pPr>
      <w:r>
        <w:rPr>
          <w:rFonts w:hint="eastAsia" w:ascii="宋体" w:hAnsi="宋体" w:cs="宋体"/>
          <w:b/>
          <w:sz w:val="24"/>
          <w:highlight w:val="none"/>
        </w:rPr>
        <w:t xml:space="preserve">29.2.4评标委员会认定招标文件存在歧义、 重大缺陷导致评审工作无法进行。</w:t>
      </w:r>
      <w:r>
        <w:rPr>
          <w:highlight w:val="none"/>
        </w:rPr>
      </w:r>
      <w:r/>
    </w:p>
    <w:p>
      <w:pPr>
        <w:pStyle w:val="1008"/>
        <w:ind w:left="479"/>
        <w:spacing w:line="360" w:lineRule="auto"/>
        <w:rPr>
          <w:rFonts w:ascii="宋体" w:hAnsi="宋体" w:cs="宋体"/>
          <w:b/>
          <w:sz w:val="24"/>
          <w:highlight w:val="none"/>
        </w:rPr>
      </w:pPr>
      <w:r>
        <w:rPr>
          <w:rFonts w:hint="eastAsia" w:ascii="宋体" w:hAnsi="宋体" w:cs="宋体"/>
          <w:b/>
          <w:sz w:val="24"/>
          <w:highlight w:val="none"/>
        </w:rPr>
        <w:t xml:space="preserve">29.3 投标截止时间结束后参加投标的供应商不足三家的处理：</w:t>
      </w:r>
      <w:r>
        <w:rPr>
          <w:highlight w:val="none"/>
        </w:rPr>
      </w:r>
      <w:r/>
    </w:p>
    <w:p>
      <w:pPr>
        <w:pStyle w:val="1008"/>
        <w:ind w:firstLine="482"/>
        <w:spacing w:line="360" w:lineRule="auto"/>
        <w:rPr>
          <w:rFonts w:ascii="宋体" w:hAnsi="宋体" w:cs="宋体"/>
          <w:b/>
          <w:sz w:val="24"/>
          <w:highlight w:val="none"/>
        </w:rPr>
      </w:pPr>
      <w:r>
        <w:rPr>
          <w:rFonts w:hint="eastAsia" w:ascii="宋体" w:hAnsi="宋体" w:cs="宋体"/>
          <w:b/>
          <w:sz w:val="24"/>
          <w:highlight w:val="none"/>
        </w:rPr>
        <w:t xml:space="preserve">29.3.1如出现投标截止时间结束后参加投标的供应商或者在评标期间对招标文件做出实质响应的供应商不足三家情况，按财政部第八十七号令第四十三条的规定执行。</w:t>
      </w:r>
      <w:r>
        <w:rPr>
          <w:highlight w:val="none"/>
        </w:rPr>
      </w:r>
      <w:r/>
    </w:p>
    <w:p>
      <w:pPr>
        <w:pStyle w:val="1011"/>
        <w:ind w:firstLine="321"/>
        <w:spacing w:before="0" w:after="0" w:line="360" w:lineRule="auto"/>
        <w:rPr>
          <w:rFonts w:ascii="宋体" w:hAnsi="宋体" w:cs="宋体"/>
          <w:highlight w:val="none"/>
        </w:rPr>
      </w:pPr>
      <w:r>
        <w:rPr>
          <w:highlight w:val="none"/>
        </w:rPr>
      </w:r>
      <w:bookmarkStart w:id="122" w:name="_Toc120614219"/>
      <w:r>
        <w:rPr>
          <w:rFonts w:hint="eastAsia" w:ascii="宋体" w:hAnsi="宋体" w:cs="宋体"/>
          <w:highlight w:val="none"/>
        </w:rPr>
        <w:t xml:space="preserve">六、</w:t>
      </w:r>
      <w:bookmarkEnd w:id="119"/>
      <w:r>
        <w:rPr>
          <w:highlight w:val="none"/>
        </w:rPr>
      </w:r>
      <w:bookmarkEnd w:id="120"/>
      <w:r>
        <w:rPr>
          <w:highlight w:val="none"/>
        </w:rPr>
      </w:r>
      <w:bookmarkEnd w:id="121"/>
      <w:r>
        <w:rPr>
          <w:rFonts w:hint="eastAsia" w:ascii="宋体" w:hAnsi="宋体" w:cs="宋体"/>
          <w:highlight w:val="none"/>
        </w:rPr>
        <w:t xml:space="preserve">定标</w:t>
      </w:r>
      <w:bookmarkEnd w:id="122"/>
      <w:r>
        <w:rPr>
          <w:highlight w:val="none"/>
        </w:rPr>
      </w:r>
      <w:r/>
    </w:p>
    <w:p>
      <w:pPr>
        <w:pStyle w:val="1012"/>
        <w:ind w:firstLine="450"/>
        <w:spacing w:before="0" w:after="0" w:line="360" w:lineRule="auto"/>
        <w:rPr>
          <w:rFonts w:ascii="宋体" w:hAnsi="宋体" w:eastAsia="宋体" w:cs="宋体"/>
          <w:b w:val="0"/>
          <w:sz w:val="30"/>
          <w:szCs w:val="30"/>
          <w:highlight w:val="none"/>
        </w:rPr>
      </w:pPr>
      <w:r>
        <w:rPr>
          <w:highlight w:val="none"/>
        </w:rPr>
      </w:r>
      <w:bookmarkStart w:id="123" w:name="_Toc513029238"/>
      <w:r>
        <w:rPr>
          <w:highlight w:val="none"/>
        </w:rPr>
      </w:r>
      <w:bookmarkStart w:id="124" w:name="_Toc16938554"/>
      <w:r>
        <w:rPr>
          <w:highlight w:val="none"/>
        </w:rPr>
      </w:r>
      <w:bookmarkStart w:id="125" w:name="_Toc20823310"/>
      <w:r>
        <w:rPr>
          <w:rFonts w:hint="eastAsia" w:ascii="宋体" w:hAnsi="宋体" w:eastAsia="宋体" w:cs="宋体"/>
          <w:b w:val="0"/>
          <w:sz w:val="30"/>
          <w:szCs w:val="30"/>
          <w:highlight w:val="none"/>
        </w:rPr>
        <w:t xml:space="preserve">30、</w:t>
      </w:r>
      <w:bookmarkEnd w:id="123"/>
      <w:r>
        <w:rPr>
          <w:rFonts w:hint="eastAsia" w:ascii="宋体" w:hAnsi="宋体" w:eastAsia="宋体" w:cs="宋体"/>
          <w:b w:val="0"/>
          <w:sz w:val="30"/>
          <w:szCs w:val="30"/>
          <w:highlight w:val="none"/>
        </w:rPr>
        <w:t xml:space="preserve">确定</w:t>
      </w:r>
      <w:bookmarkEnd w:id="124"/>
      <w:r>
        <w:rPr>
          <w:highlight w:val="none"/>
        </w:rPr>
      </w:r>
      <w:bookmarkEnd w:id="125"/>
      <w:r>
        <w:rPr>
          <w:rFonts w:hint="eastAsia" w:ascii="宋体" w:hAnsi="宋体" w:eastAsia="宋体" w:cs="宋体"/>
          <w:b w:val="0"/>
          <w:sz w:val="30"/>
          <w:szCs w:val="30"/>
          <w:highlight w:val="none"/>
        </w:rPr>
        <w:t xml:space="preserve">中标单位</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bCs/>
          <w:sz w:val="24"/>
          <w:highlight w:val="none"/>
        </w:rPr>
        <w:t xml:space="preserve">30.1评委会根据本招标文件规定评标方法与评标标准向采购人推荐出中标候选人。</w:t>
      </w:r>
      <w:r>
        <w:rPr>
          <w:highlight w:val="none"/>
        </w:rPr>
      </w:r>
      <w:r/>
    </w:p>
    <w:p>
      <w:pPr>
        <w:pStyle w:val="1008"/>
        <w:ind w:firstLine="480"/>
        <w:spacing w:line="360" w:lineRule="auto"/>
        <w:rPr>
          <w:rFonts w:ascii="宋体" w:hAnsi="宋体" w:cs="宋体"/>
          <w:bCs/>
          <w:sz w:val="24"/>
          <w:highlight w:val="none"/>
        </w:rPr>
      </w:pPr>
      <w:r>
        <w:rPr>
          <w:rFonts w:hint="eastAsia" w:ascii="宋体" w:hAnsi="宋体" w:cs="宋体"/>
          <w:bCs/>
          <w:sz w:val="24"/>
          <w:highlight w:val="none"/>
        </w:rPr>
        <w:t xml:space="preserve">30.2 采购人应根据评委会推荐的中标候选人确定中标供应商。</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bCs/>
          <w:sz w:val="24"/>
          <w:highlight w:val="none"/>
        </w:rPr>
        <w:t xml:space="preserve">30.3</w:t>
      </w:r>
      <w:r>
        <w:rPr>
          <w:rFonts w:hint="eastAsia" w:ascii="宋体" w:hAnsi="宋体" w:cs="宋体"/>
          <w:sz w:val="24"/>
          <w:highlight w:val="none"/>
        </w:rPr>
        <w:t xml:space="preserve">采购人将在“</w:t>
      </w:r>
      <w:r>
        <w:rPr>
          <w:rFonts w:hint="eastAsia" w:ascii="宋体" w:hAnsi="宋体" w:cs="宋体"/>
          <w:color w:val="000000"/>
          <w:sz w:val="24"/>
          <w:szCs w:val="20"/>
          <w:highlight w:val="none"/>
        </w:rPr>
        <w:t xml:space="preserve">“中国政府采购网”、“江苏政府采购网”、“盐城市政府采购网</w:t>
      </w:r>
      <w:r>
        <w:rPr>
          <w:rFonts w:hint="eastAsia" w:ascii="宋体" w:hAnsi="宋体" w:cs="宋体"/>
          <w:sz w:val="24"/>
          <w:highlight w:val="none"/>
        </w:rPr>
        <w:t xml:space="preserve">”发布中标公告，公告期限为1个工作日。</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30.4若有充分证据证明，中标供应商出现下列情况之一的，一经查实，将被取消中标资格：</w:t>
      </w:r>
      <w:r>
        <w:rPr>
          <w:highlight w:val="none"/>
        </w:rPr>
      </w:r>
      <w:r/>
    </w:p>
    <w:p>
      <w:pPr>
        <w:pStyle w:val="100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30.4.1提供虚假材料谋取中标的；</w:t>
      </w:r>
      <w:r>
        <w:rPr>
          <w:highlight w:val="none"/>
        </w:rPr>
      </w:r>
      <w:r/>
    </w:p>
    <w:p>
      <w:pPr>
        <w:pStyle w:val="100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30.4.2向采购人行贿或者提供其他不正当利益的；</w:t>
      </w:r>
      <w:r>
        <w:rPr>
          <w:highlight w:val="none"/>
        </w:rPr>
      </w:r>
      <w:r/>
    </w:p>
    <w:p>
      <w:pPr>
        <w:pStyle w:val="100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30.4.3恶意竞争，投标总报价明显低于其自身合理成本且又无法提供证明的；</w:t>
      </w:r>
      <w:r>
        <w:rPr>
          <w:highlight w:val="none"/>
        </w:rPr>
      </w:r>
      <w:r/>
    </w:p>
    <w:p>
      <w:pPr>
        <w:pStyle w:val="100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30.4.4属于本文件规定的无效条件，但在评标过程中又未被评委会发现的；</w:t>
      </w:r>
      <w:r>
        <w:rPr>
          <w:highlight w:val="none"/>
        </w:rPr>
      </w:r>
      <w:r/>
    </w:p>
    <w:p>
      <w:pPr>
        <w:pStyle w:val="100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30.4.5与采购人或者其他供应商恶意串通的；</w:t>
      </w:r>
      <w:r>
        <w:rPr>
          <w:highlight w:val="none"/>
        </w:rPr>
      </w:r>
      <w:r/>
    </w:p>
    <w:p>
      <w:pPr>
        <w:pStyle w:val="100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30.4.6采取不正当手段诋毁、排挤其他供应商的；</w:t>
      </w:r>
      <w:r>
        <w:rPr>
          <w:highlight w:val="none"/>
        </w:rPr>
      </w:r>
      <w:r/>
    </w:p>
    <w:p>
      <w:pPr>
        <w:pStyle w:val="100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30.4.7不符合法律、法规的规定的。</w:t>
      </w:r>
      <w:bookmarkStart w:id="126" w:name="_Toc200451960"/>
      <w:r>
        <w:rPr>
          <w:highlight w:val="none"/>
        </w:rPr>
      </w:r>
      <w:r/>
    </w:p>
    <w:p>
      <w:pPr>
        <w:pStyle w:val="100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30.5.</w:t>
      </w:r>
      <w:r>
        <w:rPr>
          <w:rFonts w:hint="eastAsia" w:ascii="宋体" w:hAnsi="宋体" w:cs="宋体"/>
          <w:b/>
          <w:bCs/>
          <w:highlight w:val="none"/>
        </w:rPr>
        <w:t xml:space="preserve"> </w:t>
      </w:r>
      <w:r>
        <w:rPr>
          <w:rFonts w:hint="eastAsia" w:ascii="宋体" w:hAnsi="宋体" w:cs="宋体"/>
          <w:b/>
          <w:bCs/>
          <w:sz w:val="24"/>
          <w:highlight w:val="none"/>
        </w:rPr>
        <w:t xml:space="preserve">有下列情形之一的，视为投标人串通投标，投标无效：</w:t>
      </w:r>
      <w:r>
        <w:rPr>
          <w:highlight w:val="none"/>
        </w:rPr>
      </w:r>
      <w:r/>
    </w:p>
    <w:p>
      <w:pPr>
        <w:pStyle w:val="100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30.5.1不同投标人的投标文件由同一单位或者个人编制。</w:t>
      </w:r>
      <w:r>
        <w:rPr>
          <w:highlight w:val="none"/>
        </w:rPr>
      </w:r>
      <w:r/>
    </w:p>
    <w:p>
      <w:pPr>
        <w:pStyle w:val="100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30.5.2不同投标人委托同一单位或者个人办理投标事宜。</w:t>
      </w:r>
      <w:r>
        <w:rPr>
          <w:highlight w:val="none"/>
        </w:rPr>
      </w:r>
      <w:r/>
    </w:p>
    <w:p>
      <w:pPr>
        <w:pStyle w:val="100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30.5.3 不同投标人的投标文件载明的项目管理成员或者联系人员为同一人。</w:t>
      </w:r>
      <w:r>
        <w:rPr>
          <w:highlight w:val="none"/>
        </w:rPr>
      </w:r>
      <w:r/>
    </w:p>
    <w:p>
      <w:pPr>
        <w:pStyle w:val="100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30.5.4不同投标人的投标文件异常一致或者投标报价呈规律性差异。</w:t>
      </w:r>
      <w:r>
        <w:rPr>
          <w:highlight w:val="none"/>
        </w:rPr>
      </w:r>
      <w:r/>
    </w:p>
    <w:p>
      <w:pPr>
        <w:pStyle w:val="100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30.5.5不同投标人的投标文件相互混装。</w:t>
      </w:r>
      <w:r>
        <w:rPr>
          <w:highlight w:val="none"/>
        </w:rPr>
      </w:r>
      <w:r/>
    </w:p>
    <w:p>
      <w:pPr>
        <w:pStyle w:val="1012"/>
        <w:ind w:firstLine="450"/>
        <w:spacing w:before="0" w:after="0" w:line="360" w:lineRule="auto"/>
        <w:tabs>
          <w:tab w:val="left" w:pos="4120" w:leader="none"/>
        </w:tabs>
        <w:rPr>
          <w:rFonts w:ascii="宋体" w:hAnsi="宋体" w:eastAsia="宋体" w:cs="宋体"/>
          <w:b w:val="0"/>
          <w:sz w:val="30"/>
          <w:szCs w:val="30"/>
          <w:highlight w:val="none"/>
        </w:rPr>
      </w:pPr>
      <w:r>
        <w:rPr>
          <w:rFonts w:hint="eastAsia" w:ascii="宋体" w:hAnsi="宋体" w:eastAsia="宋体" w:cs="宋体"/>
          <w:b w:val="0"/>
          <w:sz w:val="30"/>
          <w:szCs w:val="30"/>
          <w:highlight w:val="none"/>
        </w:rPr>
        <w:t xml:space="preserve">31、质疑处理</w:t>
      </w:r>
      <w:bookmarkEnd w:id="126"/>
      <w:r>
        <w:rPr>
          <w:rFonts w:hint="eastAsia" w:ascii="宋体" w:hAnsi="宋体" w:eastAsia="宋体" w:cs="宋体"/>
          <w:b w:val="0"/>
          <w:sz w:val="30"/>
          <w:szCs w:val="30"/>
          <w:highlight w:val="none"/>
        </w:rPr>
        <w:tab/>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31.1参加投标供应商认为招标文件、采购过程和中标结果使自己的权益受到损害的，可以在知道或应知其权益受到损害之日起七个工作日内，以书面形式向采购人提出质疑。上述应知其权益受到损害之日，是指：</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31.1.1</w:t>
      </w:r>
      <w:r>
        <w:rPr>
          <w:rFonts w:hint="eastAsia" w:ascii="宋体" w:hAnsi="宋体" w:cs="宋体"/>
          <w:sz w:val="24"/>
          <w:highlight w:val="none"/>
        </w:rPr>
        <w:t xml:space="preserve">对可以质疑的招标文件提出质疑的，为收到招标文件之日或者招标文件公告期限届满之日；</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t xml:space="preserve">31.1.2</w:t>
      </w:r>
      <w:r>
        <w:rPr>
          <w:rFonts w:hint="eastAsia" w:ascii="宋体" w:hAnsi="宋体" w:cs="宋体"/>
          <w:sz w:val="24"/>
          <w:highlight w:val="none"/>
        </w:rPr>
        <w:t xml:space="preserve">对采购过程提出质疑的，为各采购程序环节结束之日；</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t xml:space="preserve">31.1.3</w:t>
      </w:r>
      <w:r>
        <w:rPr>
          <w:rFonts w:hint="eastAsia" w:ascii="宋体" w:hAnsi="宋体" w:cs="宋体"/>
          <w:sz w:val="24"/>
          <w:highlight w:val="none"/>
        </w:rPr>
        <w:t xml:space="preserve">对中标结果提出质疑的，为中标结果公告期限届满之日。</w:t>
      </w:r>
      <w:r>
        <w:rPr>
          <w:highlight w:val="none"/>
        </w:rPr>
      </w:r>
      <w:r/>
    </w:p>
    <w:p>
      <w:pPr>
        <w:pStyle w:val="1008"/>
        <w:ind w:firstLine="472"/>
        <w:spacing w:line="360" w:lineRule="auto"/>
        <w:rPr>
          <w:rFonts w:ascii="宋体" w:hAnsi="宋体" w:cs="宋体"/>
          <w:sz w:val="24"/>
          <w:highlight w:val="none"/>
        </w:rPr>
      </w:pPr>
      <w:r>
        <w:rPr>
          <w:rFonts w:hint="eastAsia" w:ascii="宋体" w:hAnsi="宋体" w:cs="宋体"/>
          <w:sz w:val="24"/>
          <w:highlight w:val="none"/>
        </w:rPr>
        <w:t xml:space="preserve">31.2质疑必须按《政府采购法》、《政府采购法实施条例》及《江苏省政府采购供应商监督管理暂行办法》的相关规定提交，未按上述要求提交的质疑函（含传真、电子邮件等）采购人有权不予受理。</w:t>
      </w:r>
      <w:r>
        <w:rPr>
          <w:highlight w:val="none"/>
        </w:rPr>
      </w:r>
      <w:r/>
    </w:p>
    <w:p>
      <w:pPr>
        <w:pStyle w:val="1008"/>
        <w:ind w:firstLine="468"/>
        <w:spacing w:line="360" w:lineRule="auto"/>
        <w:rPr>
          <w:rFonts w:ascii="宋体" w:hAnsi="宋体" w:cs="宋体"/>
          <w:sz w:val="24"/>
          <w:highlight w:val="none"/>
        </w:rPr>
      </w:pPr>
      <w:r>
        <w:rPr>
          <w:rFonts w:hint="eastAsia" w:ascii="宋体" w:hAnsi="宋体" w:cs="宋体"/>
          <w:sz w:val="24"/>
          <w:highlight w:val="none"/>
        </w:rPr>
        <w:t xml:space="preserve">31.3未参加投标活动的供应商或在投标活动中自身权益未受到损害的供应商所提出的质疑不予受理。</w:t>
      </w:r>
      <w:r>
        <w:rPr>
          <w:highlight w:val="none"/>
        </w:rPr>
      </w:r>
      <w:r/>
    </w:p>
    <w:p>
      <w:pPr>
        <w:pStyle w:val="1008"/>
        <w:ind w:firstLine="468"/>
        <w:spacing w:line="360" w:lineRule="auto"/>
        <w:rPr>
          <w:rFonts w:ascii="宋体" w:hAnsi="宋体" w:cs="宋体"/>
          <w:sz w:val="24"/>
          <w:highlight w:val="none"/>
        </w:rPr>
      </w:pPr>
      <w:r>
        <w:rPr>
          <w:rFonts w:hint="eastAsia" w:ascii="宋体" w:hAnsi="宋体" w:cs="宋体"/>
          <w:sz w:val="24"/>
          <w:highlight w:val="none"/>
        </w:rPr>
        <w:t xml:space="preserve">31.4质疑函应当包括下列内容：</w:t>
      </w:r>
      <w:r>
        <w:rPr>
          <w:highlight w:val="none"/>
        </w:rPr>
      </w:r>
      <w:r/>
    </w:p>
    <w:p>
      <w:pPr>
        <w:pStyle w:val="1008"/>
        <w:ind w:firstLine="468"/>
        <w:spacing w:line="360" w:lineRule="auto"/>
        <w:rPr>
          <w:rFonts w:ascii="宋体" w:hAnsi="宋体" w:cs="宋体"/>
          <w:sz w:val="24"/>
          <w:highlight w:val="none"/>
        </w:rPr>
      </w:pPr>
      <w:r>
        <w:rPr>
          <w:rFonts w:hint="eastAsia" w:ascii="宋体" w:hAnsi="宋体" w:cs="宋体"/>
          <w:sz w:val="24"/>
          <w:highlight w:val="none"/>
        </w:rPr>
        <w:t xml:space="preserve">31.4.1质疑投标人的名称、地址、邮编、联系人、联系电话；</w:t>
      </w:r>
      <w:r>
        <w:rPr>
          <w:highlight w:val="none"/>
        </w:rPr>
      </w:r>
      <w:r/>
    </w:p>
    <w:p>
      <w:pPr>
        <w:pStyle w:val="1008"/>
        <w:ind w:firstLine="468"/>
        <w:spacing w:line="360" w:lineRule="auto"/>
        <w:rPr>
          <w:rFonts w:ascii="宋体" w:hAnsi="宋体" w:cs="宋体"/>
          <w:sz w:val="24"/>
          <w:highlight w:val="none"/>
        </w:rPr>
      </w:pPr>
      <w:r>
        <w:rPr>
          <w:rFonts w:hint="eastAsia" w:ascii="宋体" w:hAnsi="宋体" w:cs="宋体"/>
          <w:sz w:val="24"/>
          <w:highlight w:val="none"/>
        </w:rPr>
        <w:t xml:space="preserve">31.4.2具体的质疑事项及明确的请求；</w:t>
      </w:r>
      <w:r>
        <w:rPr>
          <w:highlight w:val="none"/>
        </w:rPr>
      </w:r>
      <w:r/>
    </w:p>
    <w:p>
      <w:pPr>
        <w:pStyle w:val="1008"/>
        <w:ind w:firstLine="468"/>
        <w:spacing w:line="360" w:lineRule="auto"/>
        <w:rPr>
          <w:rFonts w:ascii="宋体" w:hAnsi="宋体" w:cs="宋体"/>
          <w:sz w:val="24"/>
          <w:highlight w:val="none"/>
        </w:rPr>
      </w:pPr>
      <w:r>
        <w:rPr>
          <w:rFonts w:hint="eastAsia" w:ascii="宋体" w:hAnsi="宋体" w:cs="宋体"/>
          <w:sz w:val="24"/>
          <w:highlight w:val="none"/>
        </w:rPr>
        <w:t xml:space="preserve">31.4.3认为自己合法权益受到损害或可能受到损害的相关证据材料；</w:t>
      </w:r>
      <w:r>
        <w:rPr>
          <w:highlight w:val="none"/>
        </w:rPr>
      </w:r>
      <w:r/>
    </w:p>
    <w:p>
      <w:pPr>
        <w:pStyle w:val="1008"/>
        <w:ind w:firstLine="468"/>
        <w:spacing w:line="360" w:lineRule="auto"/>
        <w:rPr>
          <w:rFonts w:ascii="宋体" w:hAnsi="宋体" w:cs="宋体"/>
          <w:sz w:val="24"/>
          <w:highlight w:val="none"/>
        </w:rPr>
      </w:pPr>
      <w:r>
        <w:rPr>
          <w:rFonts w:hint="eastAsia" w:ascii="宋体" w:hAnsi="宋体" w:cs="宋体"/>
          <w:sz w:val="24"/>
          <w:highlight w:val="none"/>
        </w:rPr>
        <w:t xml:space="preserve">31.4.4提起质疑的日期；</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31.4.5质疑函应当署名：质疑人为自然人的，应当由本人签字并附有效身份证</w:t>
      </w:r>
      <w:r>
        <w:rPr>
          <w:highlight w:val="none"/>
        </w:rPr>
      </w:r>
      <w:r/>
    </w:p>
    <w:p>
      <w:pPr>
        <w:pStyle w:val="1008"/>
        <w:spacing w:line="360" w:lineRule="auto"/>
        <w:rPr>
          <w:rFonts w:ascii="宋体" w:hAnsi="宋体" w:cs="宋体"/>
          <w:sz w:val="24"/>
          <w:highlight w:val="none"/>
        </w:rPr>
      </w:pPr>
      <w:r>
        <w:rPr>
          <w:rFonts w:hint="eastAsia" w:ascii="宋体" w:hAnsi="宋体" w:cs="宋体"/>
          <w:sz w:val="24"/>
          <w:highlight w:val="none"/>
        </w:rPr>
        <w:t xml:space="preserve">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31.5采购人收到质疑函后，将对质疑的形式和内容进行审查，如质疑函内容、格式不符合规定，采购人将告知质疑人进行补正。</w:t>
      </w:r>
      <w:r>
        <w:rPr>
          <w:highlight w:val="none"/>
        </w:rPr>
      </w:r>
      <w:r/>
    </w:p>
    <w:p>
      <w:pPr>
        <w:pStyle w:val="1008"/>
        <w:ind w:firstLine="468"/>
        <w:spacing w:line="360" w:lineRule="auto"/>
        <w:rPr>
          <w:rFonts w:ascii="宋体" w:hAnsi="宋体" w:cs="宋体"/>
          <w:sz w:val="24"/>
          <w:highlight w:val="none"/>
        </w:rPr>
      </w:pPr>
      <w:r>
        <w:rPr>
          <w:rFonts w:hint="eastAsia" w:ascii="宋体" w:hAnsi="宋体" w:cs="宋体"/>
          <w:sz w:val="24"/>
          <w:highlight w:val="none"/>
        </w:rPr>
        <w:t xml:space="preserve">31.6质疑人应当在法定质疑期限内进行补正并重新提交质疑函，拒不补正或者在法定期限内未重新提交质疑函的，为无效质疑，采购人将不予受理。</w:t>
      </w:r>
      <w:r>
        <w:rPr>
          <w:highlight w:val="none"/>
        </w:rPr>
      </w:r>
      <w:r/>
    </w:p>
    <w:p>
      <w:pPr>
        <w:pStyle w:val="1008"/>
        <w:ind w:firstLine="468"/>
        <w:spacing w:line="360" w:lineRule="auto"/>
        <w:rPr>
          <w:rFonts w:ascii="宋体" w:hAnsi="宋体" w:cs="宋体"/>
          <w:sz w:val="24"/>
          <w:highlight w:val="none"/>
        </w:rPr>
      </w:pPr>
      <w:r>
        <w:rPr>
          <w:rFonts w:hint="eastAsia" w:ascii="宋体" w:hAnsi="宋体" w:cs="宋体"/>
          <w:sz w:val="24"/>
          <w:highlight w:val="none"/>
        </w:rPr>
        <w:t xml:space="preserve">31.7对于内容、格式符合规定的质疑函，采购人应当在收到投标供应商的书面质疑后七个工作日内作出答复，并以书面形式通知质疑供应商和其他有关供应商，但答复的内容不得涉及商业秘密。</w:t>
      </w:r>
      <w:r>
        <w:rPr>
          <w:highlight w:val="none"/>
        </w:rPr>
      </w:r>
      <w:r/>
    </w:p>
    <w:p>
      <w:pPr>
        <w:pStyle w:val="1008"/>
        <w:ind w:firstLine="468"/>
        <w:spacing w:line="360" w:lineRule="auto"/>
        <w:rPr>
          <w:rFonts w:ascii="宋体" w:hAnsi="宋体" w:cs="宋体"/>
          <w:sz w:val="24"/>
          <w:highlight w:val="none"/>
        </w:rPr>
      </w:pPr>
      <w:r>
        <w:rPr>
          <w:rFonts w:hint="eastAsia" w:ascii="宋体" w:hAnsi="宋体" w:cs="宋体"/>
          <w:sz w:val="24"/>
          <w:highlight w:val="none"/>
        </w:rPr>
        <w:t xml:space="preserve">31.8投标人提出书面质疑必须有理、有据，不得恶意质疑或提交虚假质疑。否则，一经查实，采购人有权依据政府采购的有关规定，报请政府采购监管部门对该投标人进行相应的行政处罚，并扣减其诚信记录分。</w:t>
      </w:r>
      <w:r>
        <w:rPr>
          <w:highlight w:val="none"/>
        </w:rPr>
      </w:r>
      <w:r/>
    </w:p>
    <w:p>
      <w:pPr>
        <w:pStyle w:val="1012"/>
        <w:ind w:firstLine="450"/>
        <w:spacing w:before="0" w:after="0" w:line="360" w:lineRule="auto"/>
        <w:rPr>
          <w:rFonts w:ascii="宋体" w:hAnsi="宋体" w:eastAsia="宋体" w:cs="宋体"/>
          <w:b w:val="0"/>
          <w:sz w:val="30"/>
          <w:szCs w:val="30"/>
          <w:highlight w:val="none"/>
        </w:rPr>
      </w:pPr>
      <w:r>
        <w:rPr>
          <w:rFonts w:hint="eastAsia" w:ascii="宋体" w:hAnsi="宋体" w:eastAsia="宋体" w:cs="宋体"/>
          <w:b w:val="0"/>
          <w:sz w:val="30"/>
          <w:szCs w:val="30"/>
          <w:highlight w:val="none"/>
        </w:rPr>
        <w:t xml:space="preserve">32、中标通知书</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32.l</w:t>
      </w:r>
      <w:r>
        <w:rPr>
          <w:rFonts w:hint="eastAsia" w:ascii="宋体" w:hAnsi="宋体" w:cs="宋体"/>
          <w:b/>
          <w:sz w:val="24"/>
          <w:highlight w:val="none"/>
        </w:rPr>
        <w:t xml:space="preserve"> </w:t>
      </w:r>
      <w:r>
        <w:rPr>
          <w:rFonts w:hint="eastAsia" w:ascii="宋体" w:hAnsi="宋体" w:cs="宋体"/>
          <w:sz w:val="24"/>
          <w:highlight w:val="none"/>
        </w:rPr>
        <w:t xml:space="preserve">中标结果确定后，采购人将向中标供应商发出中标通知书。</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32.2中标通知书将是合同的一个组成部分。对采购人和中标供应商均具有法律效力。中标通知书发出后，采购人改变中标结果的，或者中标供应商放弃中标项目的，应当依法承担法律责任。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pStyle w:val="1011"/>
        <w:ind w:firstLine="321"/>
        <w:spacing w:before="0" w:after="0" w:line="360" w:lineRule="auto"/>
        <w:rPr>
          <w:rFonts w:ascii="宋体" w:hAnsi="宋体" w:cs="宋体"/>
          <w:highlight w:val="none"/>
        </w:rPr>
      </w:pPr>
      <w:r>
        <w:rPr>
          <w:highlight w:val="none"/>
        </w:rPr>
      </w:r>
      <w:bookmarkStart w:id="127" w:name="_Toc120614220"/>
      <w:r>
        <w:rPr>
          <w:highlight w:val="none"/>
        </w:rPr>
      </w:r>
      <w:bookmarkStart w:id="128" w:name="_Toc513029236"/>
      <w:r>
        <w:rPr>
          <w:highlight w:val="none"/>
        </w:rPr>
      </w:r>
      <w:bookmarkStart w:id="129" w:name="_Toc16938552"/>
      <w:r>
        <w:rPr>
          <w:highlight w:val="none"/>
        </w:rPr>
      </w:r>
      <w:bookmarkStart w:id="130" w:name="_Toc20823308"/>
      <w:r>
        <w:rPr>
          <w:rFonts w:hint="eastAsia" w:ascii="宋体" w:hAnsi="宋体" w:cs="宋体"/>
          <w:highlight w:val="none"/>
        </w:rPr>
        <w:t xml:space="preserve">七、合同</w:t>
      </w:r>
      <w:bookmarkEnd w:id="127"/>
      <w:r>
        <w:rPr>
          <w:rFonts w:hint="eastAsia" w:ascii="宋体" w:hAnsi="宋体" w:cs="宋体"/>
          <w:highlight w:val="none"/>
        </w:rPr>
        <w:t xml:space="preserve">签订相关事项</w:t>
      </w:r>
      <w:r>
        <w:rPr>
          <w:highlight w:val="none"/>
        </w:rPr>
      </w:r>
      <w:r/>
    </w:p>
    <w:p>
      <w:pPr>
        <w:pStyle w:val="1012"/>
        <w:ind w:firstLine="450"/>
        <w:spacing w:before="0" w:after="0" w:line="360" w:lineRule="auto"/>
        <w:rPr>
          <w:rFonts w:ascii="宋体" w:hAnsi="宋体" w:eastAsia="宋体" w:cs="宋体"/>
          <w:b w:val="0"/>
          <w:sz w:val="30"/>
          <w:szCs w:val="30"/>
          <w:highlight w:val="none"/>
        </w:rPr>
      </w:pPr>
      <w:r>
        <w:rPr>
          <w:highlight w:val="none"/>
        </w:rPr>
      </w:r>
      <w:bookmarkEnd w:id="128"/>
      <w:r>
        <w:rPr>
          <w:highlight w:val="none"/>
        </w:rPr>
      </w:r>
      <w:bookmarkEnd w:id="129"/>
      <w:r>
        <w:rPr>
          <w:highlight w:val="none"/>
        </w:rPr>
      </w:r>
      <w:bookmarkEnd w:id="130"/>
      <w:r>
        <w:rPr>
          <w:highlight w:val="none"/>
        </w:rPr>
      </w:r>
      <w:bookmarkStart w:id="131" w:name="_Toc513029237"/>
      <w:r>
        <w:rPr>
          <w:highlight w:val="none"/>
        </w:rPr>
      </w:r>
      <w:bookmarkStart w:id="132" w:name="_Toc20823309"/>
      <w:r>
        <w:rPr>
          <w:highlight w:val="none"/>
        </w:rPr>
      </w:r>
      <w:bookmarkStart w:id="133" w:name="_Toc16938553"/>
      <w:r>
        <w:rPr>
          <w:rFonts w:hint="eastAsia" w:ascii="宋体" w:hAnsi="宋体" w:eastAsia="宋体" w:cs="宋体"/>
          <w:b w:val="0"/>
          <w:sz w:val="30"/>
          <w:szCs w:val="30"/>
          <w:highlight w:val="none"/>
        </w:rPr>
        <w:t xml:space="preserve">33. 签订合同</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bCs/>
          <w:sz w:val="24"/>
          <w:highlight w:val="none"/>
        </w:rPr>
        <w:t xml:space="preserve">33</w:t>
      </w:r>
      <w:r>
        <w:rPr>
          <w:rFonts w:hint="eastAsia" w:ascii="宋体" w:hAnsi="宋体" w:cs="宋体"/>
          <w:sz w:val="24"/>
          <w:highlight w:val="none"/>
        </w:rPr>
        <w:t xml:space="preserve">.l中标供应商应按中标通知书规定的时间、地点,按照招标文件确定的事项与采购人签订政府采购合同，且不得迟于中标通知书发出之日起</w:t>
      </w:r>
      <w:r>
        <w:rPr>
          <w:rFonts w:hint="eastAsia" w:ascii="宋体" w:hAnsi="宋体" w:cs="宋体"/>
          <w:b/>
          <w:bCs/>
          <w:sz w:val="24"/>
          <w:highlight w:val="none"/>
        </w:rPr>
        <w:t xml:space="preserve">十五</w:t>
      </w:r>
      <w:r>
        <w:rPr>
          <w:rFonts w:hint="eastAsia" w:ascii="宋体" w:hAnsi="宋体" w:cs="宋体"/>
          <w:sz w:val="24"/>
          <w:highlight w:val="none"/>
        </w:rPr>
        <w:t xml:space="preserve">日内，由此给采购人造成损失的，中标供应商还应承担赔偿责任。</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33.2</w:t>
      </w:r>
      <w:r>
        <w:rPr>
          <w:rFonts w:hint="eastAsia" w:ascii="宋体" w:hAnsi="宋体" w:cs="宋体"/>
          <w:b/>
          <w:sz w:val="24"/>
          <w:highlight w:val="none"/>
        </w:rPr>
        <w:t xml:space="preserve"> </w:t>
      </w:r>
      <w:r>
        <w:rPr>
          <w:rFonts w:hint="eastAsia" w:ascii="宋体" w:hAnsi="宋体" w:cs="宋体"/>
          <w:sz w:val="24"/>
          <w:highlight w:val="none"/>
        </w:rPr>
        <w:t xml:space="preserve">招标文件、中标供应商的投标文件及招标过程中有关澄清、承诺文件均应作为合同附件。</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33.3 签订合同后，中标供应商不得将服务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rPr>
          <w:highlight w:val="none"/>
        </w:rPr>
      </w:r>
      <w:r/>
    </w:p>
    <w:p>
      <w:pPr>
        <w:pStyle w:val="1012"/>
        <w:ind w:firstLine="450"/>
        <w:spacing w:before="0" w:after="0" w:line="360" w:lineRule="auto"/>
        <w:rPr>
          <w:rFonts w:ascii="宋体" w:hAnsi="宋体" w:eastAsia="宋体" w:cs="宋体"/>
          <w:b w:val="0"/>
          <w:sz w:val="30"/>
          <w:szCs w:val="30"/>
          <w:highlight w:val="none"/>
        </w:rPr>
      </w:pPr>
      <w:r>
        <w:rPr>
          <w:rFonts w:hint="eastAsia" w:ascii="宋体" w:hAnsi="宋体" w:eastAsia="宋体" w:cs="宋体"/>
          <w:b w:val="0"/>
          <w:sz w:val="30"/>
          <w:szCs w:val="30"/>
          <w:highlight w:val="none"/>
        </w:rPr>
        <w:t xml:space="preserve">34、货物和服务的追加、减少和添购。</w:t>
      </w:r>
      <w:r>
        <w:rPr>
          <w:highlight w:val="none"/>
        </w:rPr>
      </w:r>
      <w:r/>
    </w:p>
    <w:p>
      <w:pPr>
        <w:pStyle w:val="1008"/>
        <w:ind w:firstLine="480"/>
        <w:spacing w:line="360" w:lineRule="auto"/>
        <w:rPr>
          <w:rFonts w:ascii="宋体" w:hAnsi="宋体" w:cs="宋体"/>
          <w:sz w:val="24"/>
          <w:highlight w:val="none"/>
        </w:rPr>
      </w:pPr>
      <w:r>
        <w:rPr>
          <w:rFonts w:hint="eastAsia" w:ascii="宋体" w:hAnsi="宋体" w:cs="宋体"/>
          <w:sz w:val="24"/>
          <w:highlight w:val="none"/>
        </w:rPr>
        <w:t xml:space="preserve">34.1政府采购合同履行中，采购人需追加与合同标的相同的货物和服务的，在不改变合同其他条款的前提下，可以与中标供应商协商签订补充合同，但所有补充合同的采购金额不超过原合同金额10%。</w:t>
      </w:r>
      <w:r>
        <w:rPr>
          <w:highlight w:val="none"/>
        </w:rPr>
      </w:r>
      <w:r/>
    </w:p>
    <w:p>
      <w:pPr>
        <w:pStyle w:val="1008"/>
        <w:ind w:firstLine="600"/>
        <w:spacing w:line="360" w:lineRule="auto"/>
        <w:rPr>
          <w:rFonts w:ascii="宋体" w:hAnsi="宋体" w:cs="宋体"/>
          <w:b/>
          <w:sz w:val="24"/>
          <w:highlight w:val="none"/>
        </w:rPr>
      </w:pPr>
      <w:r>
        <w:rPr>
          <w:rFonts w:hint="eastAsia" w:ascii="宋体" w:hAnsi="宋体" w:cs="宋体"/>
          <w:sz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rPr>
          <w:highlight w:val="none"/>
        </w:rPr>
      </w:r>
      <w:r/>
    </w:p>
    <w:p>
      <w:pPr>
        <w:pStyle w:val="1008"/>
        <w:ind w:firstLine="480"/>
        <w:jc w:val="left"/>
        <w:spacing w:line="520" w:lineRule="exact"/>
        <w:widowControl/>
        <w:rPr>
          <w:rFonts w:ascii="宋体" w:hAnsi="宋体" w:eastAsia="Arial" w:cs="宋体"/>
          <w:b/>
          <w:bCs/>
          <w:color w:val="000000"/>
          <w:sz w:val="24"/>
          <w:szCs w:val="20"/>
          <w:highlight w:val="none"/>
        </w:rPr>
      </w:pPr>
      <w:r>
        <w:rPr>
          <w:highlight w:val="none"/>
        </w:rPr>
      </w:r>
      <w:bookmarkEnd w:id="1"/>
      <w:r>
        <w:rPr>
          <w:highlight w:val="none"/>
        </w:rPr>
      </w:r>
      <w:bookmarkEnd w:id="2"/>
      <w:r>
        <w:rPr>
          <w:highlight w:val="none"/>
        </w:rPr>
      </w:r>
      <w:bookmarkEnd w:id="3"/>
      <w:r>
        <w:rPr>
          <w:highlight w:val="none"/>
        </w:rPr>
      </w:r>
      <w:bookmarkEnd w:id="131"/>
      <w:r>
        <w:rPr>
          <w:highlight w:val="none"/>
        </w:rPr>
      </w:r>
      <w:bookmarkEnd w:id="132"/>
      <w:r>
        <w:rPr>
          <w:highlight w:val="none"/>
        </w:rPr>
      </w:r>
      <w:bookmarkEnd w:id="133"/>
      <w:r>
        <w:rPr>
          <w:highlight w:val="none"/>
        </w:rPr>
      </w:r>
      <w:bookmarkStart w:id="134" w:name="_Toc513029242"/>
      <w:r>
        <w:rPr>
          <w:highlight w:val="none"/>
        </w:rPr>
      </w:r>
      <w:bookmarkStart w:id="135" w:name="_Toc120614221"/>
      <w:r>
        <w:rPr>
          <w:highlight w:val="none"/>
        </w:rPr>
      </w:r>
      <w:bookmarkStart w:id="136" w:name="_Toc20823314"/>
      <w:r>
        <w:rPr>
          <w:highlight w:val="none"/>
        </w:rPr>
      </w:r>
      <w:bookmarkStart w:id="137" w:name="_Toc16938558"/>
      <w:r>
        <w:rPr>
          <w:highlight w:val="none"/>
        </w:rPr>
      </w:r>
      <w:bookmarkStart w:id="138" w:name="_Toc479757207"/>
      <w:r>
        <w:rPr>
          <w:highlight w:val="none"/>
        </w:rPr>
      </w:r>
      <w:bookmarkStart w:id="139" w:name="_Toc24229"/>
      <w:r>
        <w:rPr>
          <w:highlight w:val="none"/>
        </w:rPr>
      </w:r>
      <w:bookmarkStart w:id="140" w:name="_Toc21306"/>
      <w:r>
        <w:rPr>
          <w:highlight w:val="none"/>
        </w:rPr>
      </w:r>
      <w:bookmarkStart w:id="141" w:name="_Toc61149622"/>
      <w:r>
        <w:rPr>
          <w:highlight w:val="none"/>
        </w:rPr>
      </w:r>
      <w:bookmarkStart w:id="142" w:name="_Toc26554097"/>
      <w:r>
        <w:rPr>
          <w:highlight w:val="none"/>
        </w:rPr>
      </w:r>
      <w:bookmarkStart w:id="143" w:name="_Toc23828480"/>
      <w:r>
        <w:rPr>
          <w:rFonts w:hint="eastAsia" w:ascii="宋体" w:hAnsi="宋体" w:eastAsia="Arial" w:cs="宋体"/>
          <w:b/>
          <w:bCs/>
          <w:color w:val="000000"/>
          <w:sz w:val="24"/>
          <w:szCs w:val="20"/>
          <w:highlight w:val="none"/>
        </w:rPr>
        <w:t xml:space="preserve">3</w:t>
      </w:r>
      <w:r>
        <w:rPr>
          <w:rFonts w:hint="eastAsia" w:ascii="宋体" w:hAnsi="宋体" w:cs="宋体"/>
          <w:b/>
          <w:bCs/>
          <w:color w:val="000000"/>
          <w:sz w:val="24"/>
          <w:szCs w:val="20"/>
          <w:highlight w:val="none"/>
        </w:rPr>
        <w:t xml:space="preserve">5</w:t>
      </w:r>
      <w:r>
        <w:rPr>
          <w:rFonts w:hint="eastAsia" w:ascii="宋体" w:hAnsi="宋体" w:eastAsia="Arial" w:cs="宋体"/>
          <w:b/>
          <w:bCs/>
          <w:color w:val="000000"/>
          <w:sz w:val="24"/>
          <w:szCs w:val="20"/>
          <w:highlight w:val="none"/>
        </w:rPr>
        <w:t xml:space="preserve">、政府采购履约资金扶持政策</w:t>
      </w:r>
      <w:bookmarkEnd w:id="134"/>
      <w:r>
        <w:rPr>
          <w:highlight w:val="none"/>
        </w:rPr>
      </w:r>
      <w:bookmarkEnd w:id="135"/>
      <w:r>
        <w:rPr>
          <w:highlight w:val="none"/>
        </w:rPr>
      </w:r>
      <w:bookmarkEnd w:id="136"/>
      <w:r>
        <w:rPr>
          <w:highlight w:val="none"/>
        </w:rPr>
      </w:r>
      <w:bookmarkEnd w:id="137"/>
      <w:r>
        <w:rPr>
          <w:highlight w:val="none"/>
        </w:rPr>
      </w:r>
      <w:bookmarkEnd w:id="138"/>
      <w:r>
        <w:rPr>
          <w:highlight w:val="none"/>
        </w:rPr>
      </w:r>
      <w:r/>
    </w:p>
    <w:p>
      <w:pPr>
        <w:pStyle w:val="1008"/>
        <w:ind w:firstLine="480"/>
        <w:jc w:val="left"/>
        <w:spacing w:line="520" w:lineRule="exact"/>
        <w:widowControl/>
        <w:rPr>
          <w:rFonts w:ascii="宋体" w:hAnsi="宋体" w:eastAsia="Arial" w:cs="宋体"/>
          <w:color w:val="000000"/>
          <w:sz w:val="24"/>
          <w:szCs w:val="20"/>
          <w:highlight w:val="none"/>
        </w:rPr>
      </w:pPr>
      <w:r>
        <w:rPr>
          <w:rFonts w:hint="eastAsia" w:ascii="宋体" w:hAnsi="宋体" w:eastAsia="Arial" w:cs="宋体"/>
          <w:color w:val="000000"/>
          <w:sz w:val="24"/>
          <w:szCs w:val="20"/>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rPr>
          <w:highlight w:val="none"/>
        </w:rPr>
      </w:r>
      <w:r/>
    </w:p>
    <w:p>
      <w:pPr>
        <w:pStyle w:val="1008"/>
        <w:numPr>
          <w:ilvl w:val="0"/>
          <w:numId w:val="5"/>
        </w:numPr>
        <w:ind w:firstLine="478"/>
        <w:spacing w:line="439" w:lineRule="atLeast"/>
        <w:tabs>
          <w:tab w:val="left" w:pos="900" w:leader="none"/>
        </w:tabs>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电子履约保函（保险）</w:t>
      </w:r>
      <w:r>
        <w:rPr>
          <w:rFonts w:ascii="宋体" w:hAnsi="宋体" w:cs="宋体"/>
          <w:b/>
          <w:bCs/>
          <w:color w:val="000000"/>
          <w:sz w:val="24"/>
          <w:highlight w:val="none"/>
        </w:rPr>
        <w:t xml:space="preserve">政策</w:t>
      </w:r>
      <w:r>
        <w:rPr>
          <w:highlight w:val="none"/>
        </w:rPr>
      </w:r>
      <w:r/>
    </w:p>
    <w:p>
      <w:pPr>
        <w:pStyle w:val="1008"/>
        <w:ind w:left="478"/>
        <w:spacing w:line="439" w:lineRule="atLeast"/>
        <w:tabs>
          <w:tab w:val="left" w:pos="900" w:leader="none"/>
        </w:tabs>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供应商在签订政府采购合同后，登录“政府采购电子履约保函（保险）平台”，选择</w:t>
      </w:r>
      <w:r>
        <w:rPr>
          <w:highlight w:val="none"/>
        </w:rPr>
      </w:r>
      <w:r/>
    </w:p>
    <w:p>
      <w:pPr>
        <w:pStyle w:val="1008"/>
        <w:spacing w:line="439" w:lineRule="atLeast"/>
        <w:tabs>
          <w:tab w:val="left" w:pos="900" w:leader="none"/>
        </w:tabs>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第三方机构并提交保函（保险）申请，经审核通过后支付相关费用即可。供应商可通过上述平台查询相关保函（保单）信息、理赔信息和开具发票。</w:t>
      </w:r>
      <w:r>
        <w:rPr>
          <w:highlight w:val="none"/>
        </w:rPr>
      </w:r>
      <w:r/>
    </w:p>
    <w:p>
      <w:pPr>
        <w:pStyle w:val="1053"/>
        <w:ind w:left="0" w:firstLine="0"/>
        <w:spacing w:after="0" w:line="360" w:lineRule="auto"/>
        <w:rPr>
          <w:rFonts w:hint="eastAsia" w:eastAsia="楷体_GB2312"/>
          <w:b/>
          <w:bCs/>
          <w:sz w:val="44"/>
          <w:szCs w:val="44"/>
          <w:highlight w:val="none"/>
        </w:rPr>
      </w:pPr>
      <w:r>
        <w:rPr>
          <w:rFonts w:hint="eastAsia"/>
          <w:b/>
          <w:bCs/>
          <w:sz w:val="44"/>
          <w:szCs w:val="44"/>
          <w:highlight w:val="none"/>
          <w:lang w:val="en-US" w:eastAsia="zh-CN"/>
        </w:rPr>
        <w:t xml:space="preserve"> </w:t>
      </w:r>
      <w:r>
        <w:rPr>
          <w:highlight w:val="none"/>
        </w:rPr>
      </w:r>
      <w:r/>
    </w:p>
    <w:p>
      <w:pPr>
        <w:pStyle w:val="1008"/>
        <w:rPr>
          <w:b/>
          <w:bCs/>
          <w:sz w:val="44"/>
          <w:szCs w:val="44"/>
          <w:highlight w:val="none"/>
        </w:rPr>
      </w:pPr>
      <w:r>
        <w:rPr>
          <w:b/>
          <w:bCs/>
          <w:sz w:val="44"/>
          <w:szCs w:val="44"/>
          <w:highlight w:val="none"/>
        </w:rPr>
      </w:r>
      <w:r>
        <w:rPr>
          <w:highlight w:val="none"/>
        </w:rPr>
      </w:r>
      <w:r/>
    </w:p>
    <w:p>
      <w:pPr>
        <w:pStyle w:val="1008"/>
        <w:rPr>
          <w:b/>
          <w:bCs/>
          <w:sz w:val="44"/>
          <w:szCs w:val="44"/>
          <w:highlight w:val="none"/>
        </w:rPr>
      </w:pPr>
      <w:r>
        <w:rPr>
          <w:b/>
          <w:bCs/>
          <w:sz w:val="44"/>
          <w:szCs w:val="44"/>
          <w:highlight w:val="none"/>
        </w:rPr>
      </w:r>
      <w:r>
        <w:rPr>
          <w:highlight w:val="none"/>
        </w:rPr>
      </w:r>
      <w:r/>
    </w:p>
    <w:p>
      <w:pPr>
        <w:pStyle w:val="1008"/>
        <w:rPr>
          <w:b/>
          <w:bCs/>
          <w:sz w:val="44"/>
          <w:szCs w:val="44"/>
          <w:highlight w:val="none"/>
        </w:rPr>
      </w:pPr>
      <w:r>
        <w:rPr>
          <w:b/>
          <w:bCs/>
          <w:sz w:val="44"/>
          <w:szCs w:val="44"/>
          <w:highlight w:val="none"/>
        </w:rPr>
      </w:r>
      <w:r>
        <w:rPr>
          <w:highlight w:val="none"/>
        </w:rPr>
      </w:r>
      <w:r/>
    </w:p>
    <w:p>
      <w:pPr>
        <w:pStyle w:val="1008"/>
        <w:rPr>
          <w:b/>
          <w:bCs/>
          <w:sz w:val="44"/>
          <w:szCs w:val="44"/>
          <w:highlight w:val="none"/>
        </w:rPr>
      </w:pPr>
      <w:r>
        <w:rPr>
          <w:b/>
          <w:bCs/>
          <w:sz w:val="44"/>
          <w:szCs w:val="44"/>
          <w:highlight w:val="none"/>
        </w:rPr>
      </w:r>
      <w:r>
        <w:rPr>
          <w:highlight w:val="none"/>
        </w:rPr>
      </w:r>
      <w:r/>
    </w:p>
    <w:p>
      <w:pPr>
        <w:pStyle w:val="1008"/>
        <w:rPr>
          <w:b/>
          <w:bCs/>
          <w:sz w:val="44"/>
          <w:szCs w:val="44"/>
          <w:highlight w:val="none"/>
        </w:rPr>
      </w:pPr>
      <w:r>
        <w:rPr>
          <w:b/>
          <w:bCs/>
          <w:sz w:val="44"/>
          <w:szCs w:val="44"/>
          <w:highlight w:val="none"/>
        </w:rPr>
      </w:r>
      <w:r>
        <w:rPr>
          <w:highlight w:val="none"/>
        </w:rPr>
      </w:r>
      <w:r/>
    </w:p>
    <w:p>
      <w:pPr>
        <w:pStyle w:val="1008"/>
        <w:rPr>
          <w:b/>
          <w:bCs/>
          <w:sz w:val="44"/>
          <w:szCs w:val="44"/>
          <w:highlight w:val="none"/>
        </w:rPr>
      </w:pPr>
      <w:r>
        <w:rPr>
          <w:b/>
          <w:bCs/>
          <w:sz w:val="44"/>
          <w:szCs w:val="44"/>
          <w:highlight w:val="none"/>
        </w:rPr>
      </w:r>
      <w:r>
        <w:rPr>
          <w:highlight w:val="none"/>
        </w:rPr>
      </w:r>
      <w:r/>
    </w:p>
    <w:p>
      <w:pPr>
        <w:pStyle w:val="1008"/>
        <w:rPr>
          <w:b/>
          <w:bCs/>
          <w:sz w:val="44"/>
          <w:szCs w:val="44"/>
          <w:highlight w:val="none"/>
        </w:rPr>
      </w:pPr>
      <w:r>
        <w:rPr>
          <w:b/>
          <w:bCs/>
          <w:sz w:val="44"/>
          <w:szCs w:val="44"/>
          <w:highlight w:val="none"/>
        </w:rPr>
      </w:r>
      <w:r>
        <w:rPr>
          <w:highlight w:val="none"/>
        </w:rPr>
      </w:r>
      <w:r/>
    </w:p>
    <w:p>
      <w:pPr>
        <w:pStyle w:val="1008"/>
        <w:jc w:val="center"/>
        <w:spacing w:line="360" w:lineRule="auto"/>
        <w:rPr>
          <w:position w:val="2"/>
          <w:sz w:val="24"/>
          <w:highlight w:val="none"/>
        </w:rPr>
      </w:pPr>
      <w:r>
        <w:rPr>
          <w:b/>
          <w:bCs/>
          <w:sz w:val="44"/>
          <w:szCs w:val="44"/>
          <w:highlight w:val="none"/>
        </w:rPr>
        <w:t xml:space="preserve">第三章  合同条款及格式</w:t>
      </w:r>
      <w:bookmarkStart w:id="144" w:name="_Toc20823315"/>
      <w:r>
        <w:rPr>
          <w:highlight w:val="none"/>
        </w:rPr>
      </w:r>
      <w:bookmarkStart w:id="145" w:name="_Toc513029243"/>
      <w:r>
        <w:rPr>
          <w:highlight w:val="none"/>
        </w:rPr>
      </w:r>
      <w:bookmarkStart w:id="146" w:name="_Toc16938559"/>
      <w:r>
        <w:rPr>
          <w:highlight w:val="none"/>
        </w:rPr>
      </w:r>
      <w:r/>
    </w:p>
    <w:p>
      <w:pPr>
        <w:pStyle w:val="1008"/>
        <w:ind w:firstLine="480"/>
        <w:spacing w:line="360" w:lineRule="auto"/>
        <w:rPr>
          <w:sz w:val="24"/>
          <w:highlight w:val="none"/>
        </w:rPr>
      </w:pPr>
      <w:r>
        <w:rPr>
          <w:highlight w:val="none"/>
        </w:rPr>
      </w:r>
      <w:bookmarkEnd w:id="144"/>
      <w:r>
        <w:rPr>
          <w:highlight w:val="none"/>
        </w:rPr>
      </w:r>
      <w:bookmarkEnd w:id="145"/>
      <w:r>
        <w:rPr>
          <w:highlight w:val="none"/>
        </w:rPr>
      </w:r>
      <w:bookmarkEnd w:id="146"/>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以下为中标后签定本项目合同的通用条款，中标供应商不得提出实质性的修改。</w:t>
      </w:r>
      <w:r>
        <w:rPr>
          <w:highlight w:val="none"/>
        </w:rPr>
      </w:r>
      <w:r/>
    </w:p>
    <w:p>
      <w:pPr>
        <w:pStyle w:val="1064"/>
        <w:spacing w:after="0"/>
        <w:rPr>
          <w:rFonts w:hint="eastAsia" w:cs="宋体"/>
          <w:sz w:val="24"/>
          <w:szCs w:val="24"/>
          <w:highlight w:val="none"/>
        </w:rPr>
      </w:pPr>
      <w:r>
        <w:rPr>
          <w:rFonts w:hint="eastAsia" w:cs="宋体"/>
          <w:sz w:val="24"/>
          <w:szCs w:val="24"/>
          <w:highlight w:val="none"/>
        </w:rPr>
      </w:r>
      <w:r>
        <w:rPr>
          <w:highlight w:val="none"/>
        </w:rPr>
      </w:r>
      <w:r/>
    </w:p>
    <w:p>
      <w:pPr>
        <w:pStyle w:val="1029"/>
        <w:contextualSpacing/>
        <w:ind w:firstLine="482"/>
        <w:jc w:val="left"/>
        <w:spacing w:line="360" w:lineRule="auto"/>
        <w:rPr>
          <w:rFonts w:hint="eastAsia" w:hAnsi="宋体" w:cs="宋体"/>
          <w:sz w:val="24"/>
          <w:szCs w:val="24"/>
          <w:highlight w:val="none"/>
        </w:rPr>
      </w:pPr>
      <w:r>
        <w:rPr>
          <w:rFonts w:hint="eastAsia" w:hAnsi="宋体" w:cs="宋体"/>
          <w:b/>
          <w:bCs/>
          <w:sz w:val="24"/>
          <w:szCs w:val="24"/>
          <w:highlight w:val="none"/>
          <w:u w:val="single"/>
        </w:rPr>
        <w:t xml:space="preserve">项目名称：</w:t>
      </w:r>
      <w:r>
        <w:rPr>
          <w:rFonts w:hint="eastAsia" w:hAnsi="宋体" w:cs="宋体"/>
          <w:b/>
          <w:bCs/>
          <w:sz w:val="24"/>
          <w:szCs w:val="24"/>
          <w:highlight w:val="none"/>
          <w:u w:val="single"/>
          <w:lang w:eastAsia="zh-CN"/>
        </w:rPr>
        <w:t xml:space="preserve">盐城市第Ⅲ防洪区范围内排水户水质监管检测和大市区范围内城镇污水厂监管检测服务</w:t>
      </w:r>
      <w:r>
        <w:rPr>
          <w:rFonts w:hint="eastAsia" w:hAnsi="宋体" w:cs="宋体"/>
          <w:b/>
          <w:bCs/>
          <w:sz w:val="24"/>
          <w:szCs w:val="24"/>
          <w:highlight w:val="none"/>
          <w:u w:val="single"/>
        </w:rPr>
        <w:t xml:space="preserve">   </w:t>
      </w:r>
      <w:r>
        <w:rPr>
          <w:rFonts w:hint="eastAsia" w:hAnsi="宋体" w:cs="宋体"/>
          <w:sz w:val="24"/>
          <w:szCs w:val="24"/>
          <w:highlight w:val="none"/>
        </w:rPr>
        <w:t xml:space="preserve">                                   </w:t>
      </w:r>
      <w:r>
        <w:rPr>
          <w:highlight w:val="none"/>
        </w:rPr>
      </w:r>
      <w:r/>
    </w:p>
    <w:p>
      <w:pPr>
        <w:pStyle w:val="1029"/>
        <w:contextualSpacing/>
        <w:ind w:firstLine="482"/>
        <w:spacing w:line="360" w:lineRule="auto"/>
        <w:rPr>
          <w:rFonts w:hint="eastAsia" w:hAnsi="宋体" w:cs="宋体"/>
          <w:b/>
          <w:bCs/>
          <w:sz w:val="24"/>
          <w:szCs w:val="24"/>
          <w:highlight w:val="none"/>
        </w:rPr>
      </w:pPr>
      <w:r>
        <w:rPr>
          <w:rFonts w:hint="eastAsia" w:hAnsi="宋体" w:cs="宋体"/>
          <w:b/>
          <w:bCs/>
          <w:sz w:val="24"/>
          <w:szCs w:val="24"/>
          <w:highlight w:val="none"/>
        </w:rPr>
        <w:t xml:space="preserve">甲方：（买方）</w:t>
      </w:r>
      <w:r>
        <w:rPr>
          <w:rFonts w:hint="eastAsia" w:hAnsi="宋体" w:cs="宋体"/>
          <w:b/>
          <w:bCs/>
          <w:sz w:val="24"/>
          <w:szCs w:val="24"/>
          <w:highlight w:val="none"/>
          <w:u w:val="single"/>
        </w:rPr>
        <w:t xml:space="preserve">盐城市城镇排水管理处</w:t>
      </w:r>
      <w:r>
        <w:rPr>
          <w:highlight w:val="none"/>
        </w:rPr>
      </w:r>
      <w:r/>
    </w:p>
    <w:p>
      <w:pPr>
        <w:pStyle w:val="1029"/>
        <w:contextualSpacing/>
        <w:ind w:firstLine="482"/>
        <w:spacing w:line="360" w:lineRule="auto"/>
        <w:rPr>
          <w:rFonts w:hint="eastAsia" w:hAnsi="宋体" w:cs="宋体"/>
          <w:b/>
          <w:bCs/>
          <w:sz w:val="24"/>
          <w:szCs w:val="24"/>
          <w:highlight w:val="none"/>
        </w:rPr>
      </w:pPr>
      <w:r>
        <w:rPr>
          <w:rFonts w:hint="eastAsia" w:hAnsi="宋体" w:cs="宋体"/>
          <w:b/>
          <w:bCs/>
          <w:sz w:val="24"/>
          <w:szCs w:val="24"/>
          <w:highlight w:val="none"/>
        </w:rPr>
        <w:t xml:space="preserve">乙方：（卖方）</w:t>
      </w:r>
      <w:r>
        <w:rPr>
          <w:rFonts w:hint="eastAsia" w:hAnsi="宋体" w:cs="宋体"/>
          <w:b/>
          <w:bCs/>
          <w:sz w:val="24"/>
          <w:szCs w:val="24"/>
          <w:highlight w:val="none"/>
          <w:u w:val="single"/>
          <w:lang w:val="en-US" w:eastAsia="zh-CN"/>
        </w:rPr>
        <w:t xml:space="preserve">                    </w:t>
      </w:r>
      <w:r>
        <w:rPr>
          <w:rFonts w:hint="eastAsia" w:hAnsi="宋体" w:cs="宋体"/>
          <w:b/>
          <w:bCs/>
          <w:sz w:val="24"/>
          <w:szCs w:val="24"/>
          <w:highlight w:val="none"/>
          <w:lang w:val="en-US" w:eastAsia="zh-CN"/>
        </w:rPr>
        <w:t xml:space="preserve"> </w:t>
      </w:r>
      <w:r>
        <w:rPr>
          <w:highlight w:val="none"/>
        </w:rPr>
      </w:r>
      <w:r/>
    </w:p>
    <w:p>
      <w:pPr>
        <w:pStyle w:val="1029"/>
        <w:contextualSpacing/>
        <w:spacing w:line="360" w:lineRule="auto"/>
        <w:rPr>
          <w:rFonts w:hint="eastAsia" w:hAnsi="宋体" w:cs="宋体"/>
          <w:sz w:val="24"/>
          <w:szCs w:val="24"/>
          <w:highlight w:val="none"/>
        </w:rPr>
      </w:pPr>
      <w:r>
        <w:rPr>
          <w:rFonts w:hint="eastAsia" w:hAnsi="宋体" w:cs="宋体"/>
          <w:sz w:val="24"/>
          <w:szCs w:val="24"/>
          <w:highlight w:val="none"/>
          <w:lang w:val="en-US" w:eastAsia="zh-CN"/>
        </w:rPr>
        <w:t xml:space="preserve">                      </w:t>
      </w:r>
      <w:r>
        <w:rPr>
          <w:highlight w:val="none"/>
        </w:rPr>
      </w:r>
      <w:r/>
    </w:p>
    <w:p>
      <w:pPr>
        <w:pStyle w:val="1008"/>
        <w:ind w:firstLine="480"/>
        <w:jc w:val="left"/>
        <w:spacing w:line="360" w:lineRule="auto"/>
        <w:widowControl/>
        <w:rPr>
          <w:rFonts w:hint="eastAsia" w:ascii="宋体" w:hAnsi="宋体" w:cs="宋体"/>
          <w:b/>
          <w:sz w:val="24"/>
          <w:highlight w:val="none"/>
        </w:rPr>
      </w:pPr>
      <w:r>
        <w:rPr>
          <w:rFonts w:hint="eastAsia" w:ascii="宋体" w:hAnsi="宋体" w:cs="宋体"/>
          <w:sz w:val="24"/>
          <w:highlight w:val="none"/>
        </w:rPr>
        <w:t xml:space="preserve">甲、乙双方根据</w:t>
      </w:r>
      <w:r>
        <w:rPr>
          <w:rFonts w:hint="eastAsia" w:ascii="宋体" w:hAnsi="宋体" w:cs="宋体"/>
          <w:sz w:val="24"/>
          <w:highlight w:val="none"/>
          <w:u w:val="single"/>
        </w:rPr>
        <w:t xml:space="preserve">盐城市第Ⅲ防洪区范围内排水户水质监管检测和大市区范围内城镇污水厂监管检测服务项目</w:t>
      </w:r>
      <w:r>
        <w:rPr>
          <w:rFonts w:hint="eastAsia" w:ascii="宋体" w:hAnsi="宋体" w:cs="宋体"/>
          <w:sz w:val="24"/>
          <w:highlight w:val="none"/>
        </w:rPr>
        <w:t xml:space="preserve">公开招标</w:t>
      </w:r>
      <w:r>
        <w:rPr>
          <w:rFonts w:hint="eastAsia" w:ascii="宋体" w:hAnsi="宋体" w:cs="宋体"/>
          <w:color w:val="000000"/>
          <w:sz w:val="24"/>
          <w:szCs w:val="20"/>
          <w:highlight w:val="none"/>
        </w:rPr>
        <w:t xml:space="preserve">的结果，签署本合同。</w:t>
      </w:r>
      <w:r>
        <w:rPr>
          <w:highlight w:val="none"/>
        </w:rPr>
      </w:r>
      <w:r/>
    </w:p>
    <w:p>
      <w:pPr>
        <w:pStyle w:val="1029"/>
        <w:contextualSpacing/>
        <w:ind w:firstLine="354"/>
        <w:spacing w:line="360" w:lineRule="auto"/>
        <w:rPr>
          <w:rFonts w:hint="eastAsia" w:hAnsi="宋体" w:cs="宋体"/>
          <w:b/>
          <w:sz w:val="24"/>
          <w:szCs w:val="24"/>
          <w:highlight w:val="none"/>
        </w:rPr>
      </w:pPr>
      <w:r>
        <w:rPr>
          <w:rFonts w:hint="eastAsia" w:hAnsi="宋体" w:cs="宋体"/>
          <w:b/>
          <w:sz w:val="24"/>
          <w:szCs w:val="24"/>
          <w:highlight w:val="none"/>
        </w:rPr>
        <w:t xml:space="preserve">一、采购标的</w:t>
      </w:r>
      <w:r>
        <w:rPr>
          <w:highlight w:val="none"/>
        </w:rPr>
      </w:r>
      <w:r/>
    </w:p>
    <w:p>
      <w:pPr>
        <w:pStyle w:val="1029"/>
        <w:contextualSpacing/>
        <w:ind w:firstLine="480"/>
        <w:spacing w:line="360" w:lineRule="auto"/>
        <w:rPr>
          <w:rFonts w:hint="eastAsia" w:hAnsi="宋体" w:cs="宋体"/>
          <w:sz w:val="24"/>
          <w:szCs w:val="24"/>
          <w:highlight w:val="none"/>
          <w:u w:val="single"/>
        </w:rPr>
      </w:pPr>
      <w:r>
        <w:rPr>
          <w:rFonts w:hint="eastAsia" w:hAnsi="宋体" w:cs="宋体"/>
          <w:sz w:val="24"/>
          <w:szCs w:val="24"/>
          <w:highlight w:val="none"/>
        </w:rPr>
        <w:t xml:space="preserve">1.1 服务内容：</w:t>
      </w:r>
      <w:r>
        <w:rPr>
          <w:rFonts w:hint="eastAsia" w:hAnsi="宋体" w:cs="宋体"/>
          <w:sz w:val="24"/>
          <w:szCs w:val="24"/>
          <w:highlight w:val="none"/>
          <w:u w:val="single"/>
          <w:shd w:val="clear" w:color="auto" w:fill="ffffff"/>
          <w:lang w:eastAsia="zh-CN" w:bidi="ar"/>
        </w:rPr>
        <w:t xml:space="preserve">（</w:t>
      </w:r>
      <w:r>
        <w:rPr>
          <w:rFonts w:hint="eastAsia" w:hAnsi="宋体" w:cs="宋体"/>
          <w:sz w:val="24"/>
          <w:szCs w:val="24"/>
          <w:highlight w:val="none"/>
          <w:u w:val="single"/>
          <w:lang w:val="en-US" w:eastAsia="zh-CN"/>
        </w:rPr>
        <w:t xml:space="preserve">1</w:t>
      </w:r>
      <w:r>
        <w:rPr>
          <w:rFonts w:hint="eastAsia" w:hAnsi="宋体" w:cs="宋体"/>
          <w:sz w:val="24"/>
          <w:szCs w:val="24"/>
          <w:highlight w:val="none"/>
          <w:u w:val="single"/>
          <w:lang w:eastAsia="zh-CN"/>
        </w:rPr>
        <w:t xml:space="preserve">）</w:t>
      </w:r>
      <w:r>
        <w:rPr>
          <w:rFonts w:hint="eastAsia" w:hAnsi="宋体" w:cs="宋体"/>
          <w:sz w:val="24"/>
          <w:szCs w:val="24"/>
          <w:highlight w:val="none"/>
          <w:u w:val="single"/>
        </w:rPr>
        <w:t xml:space="preserve">对大市区范围内污水厂进、出水水质开展水质监管和</w:t>
      </w:r>
      <w:r>
        <w:rPr>
          <w:rFonts w:hint="eastAsia" w:hAnsi="宋体" w:cs="宋体"/>
          <w:sz w:val="24"/>
          <w:szCs w:val="24"/>
          <w:highlight w:val="none"/>
          <w:u w:val="single"/>
          <w:lang w:eastAsia="zh-CN"/>
        </w:rPr>
        <w:t xml:space="preserve">信息系统</w:t>
      </w:r>
      <w:r>
        <w:rPr>
          <w:rFonts w:hint="eastAsia" w:hAnsi="宋体" w:cs="宋体"/>
          <w:sz w:val="24"/>
          <w:szCs w:val="24"/>
          <w:highlight w:val="none"/>
          <w:u w:val="single"/>
        </w:rPr>
        <w:t xml:space="preserve">在线仪表数据可靠性比对等工作。</w:t>
      </w:r>
      <w:r>
        <w:rPr>
          <w:rFonts w:hint="eastAsia" w:hAnsi="宋体" w:cs="宋体"/>
          <w:sz w:val="24"/>
          <w:szCs w:val="24"/>
          <w:highlight w:val="none"/>
          <w:u w:val="single"/>
          <w:lang w:eastAsia="zh-CN"/>
        </w:rPr>
        <w:t xml:space="preserve">（</w:t>
      </w:r>
      <w:r>
        <w:rPr>
          <w:rFonts w:hint="eastAsia" w:hAnsi="宋体" w:cs="宋体"/>
          <w:sz w:val="24"/>
          <w:szCs w:val="24"/>
          <w:highlight w:val="none"/>
          <w:u w:val="single"/>
          <w:lang w:val="en-US" w:eastAsia="zh-CN"/>
        </w:rPr>
        <w:t xml:space="preserve">2</w:t>
      </w:r>
      <w:r>
        <w:rPr>
          <w:rFonts w:hint="eastAsia" w:hAnsi="宋体" w:cs="宋体"/>
          <w:sz w:val="24"/>
          <w:szCs w:val="24"/>
          <w:highlight w:val="none"/>
          <w:u w:val="single"/>
          <w:lang w:eastAsia="zh-CN"/>
        </w:rPr>
        <w:t xml:space="preserve">）</w:t>
      </w:r>
      <w:r>
        <w:rPr>
          <w:rFonts w:hint="eastAsia" w:hAnsi="宋体" w:cs="宋体"/>
          <w:sz w:val="24"/>
          <w:szCs w:val="24"/>
          <w:highlight w:val="none"/>
          <w:u w:val="single"/>
        </w:rPr>
        <w:t xml:space="preserve">对大市区范围内已发证排水户出水水质进行检测</w:t>
      </w:r>
      <w:r>
        <w:rPr>
          <w:rFonts w:hint="eastAsia" w:hAnsi="宋体" w:cs="宋体"/>
          <w:sz w:val="24"/>
          <w:szCs w:val="24"/>
          <w:highlight w:val="none"/>
          <w:u w:val="single"/>
          <w:lang w:eastAsia="zh-CN"/>
        </w:rPr>
        <w:t xml:space="preserve">。</w:t>
      </w:r>
      <w:r>
        <w:rPr>
          <w:rFonts w:hint="eastAsia" w:hAnsi="宋体" w:cs="宋体"/>
          <w:sz w:val="24"/>
          <w:szCs w:val="24"/>
          <w:highlight w:val="none"/>
          <w:u w:val="single"/>
        </w:rPr>
        <w:t xml:space="preserve">详见招标文件</w:t>
      </w:r>
      <w:r>
        <w:rPr>
          <w:rFonts w:hint="eastAsia" w:hAnsi="宋体" w:cs="宋体"/>
          <w:sz w:val="24"/>
          <w:szCs w:val="24"/>
          <w:highlight w:val="none"/>
          <w:u w:val="single"/>
          <w:lang w:val="en-US" w:eastAsia="zh-CN"/>
        </w:rPr>
        <w:t xml:space="preserve">项目</w:t>
      </w:r>
      <w:r>
        <w:rPr>
          <w:rFonts w:hint="eastAsia" w:hAnsi="宋体" w:cs="宋体"/>
          <w:sz w:val="24"/>
          <w:szCs w:val="24"/>
          <w:highlight w:val="none"/>
          <w:u w:val="single"/>
        </w:rPr>
        <w:t xml:space="preserve">需求部分。</w:t>
      </w:r>
      <w:r>
        <w:rPr>
          <w:highlight w:val="none"/>
        </w:rPr>
      </w:r>
      <w:r/>
    </w:p>
    <w:p>
      <w:pPr>
        <w:pStyle w:val="1029"/>
        <w:contextualSpacing/>
        <w:ind w:firstLine="480"/>
        <w:spacing w:line="360" w:lineRule="auto"/>
        <w:rPr>
          <w:rFonts w:hint="eastAsia" w:hAnsi="宋体" w:eastAsia="宋体" w:cs="宋体"/>
          <w:sz w:val="24"/>
          <w:szCs w:val="24"/>
          <w:highlight w:val="none"/>
        </w:rPr>
      </w:pPr>
      <w:r>
        <w:rPr>
          <w:rFonts w:hint="eastAsia" w:hAnsi="宋体" w:cs="宋体"/>
          <w:sz w:val="24"/>
          <w:szCs w:val="24"/>
          <w:highlight w:val="none"/>
        </w:rPr>
        <w:t xml:space="preserve">1.2 服务期限：</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年</w:t>
      </w:r>
      <w:r>
        <w:rPr>
          <w:rFonts w:hint="eastAsia" w:hAnsi="宋体" w:cs="宋体"/>
          <w:sz w:val="24"/>
          <w:szCs w:val="24"/>
          <w:highlight w:val="none"/>
          <w:lang w:eastAsia="zh-CN"/>
        </w:rPr>
        <w:t xml:space="preserve">。</w:t>
      </w:r>
      <w:r>
        <w:rPr>
          <w:highlight w:val="none"/>
        </w:rPr>
      </w:r>
      <w:r/>
    </w:p>
    <w:p>
      <w:pPr>
        <w:pStyle w:val="1029"/>
        <w:ind w:firstLine="480"/>
        <w:spacing w:line="360" w:lineRule="auto"/>
        <w:rPr>
          <w:rFonts w:hint="eastAsia" w:hAnsi="宋体" w:cs="宋体"/>
          <w:b/>
          <w:sz w:val="24"/>
          <w:szCs w:val="24"/>
          <w:highlight w:val="none"/>
        </w:rPr>
      </w:pPr>
      <w:r>
        <w:rPr>
          <w:rFonts w:hint="eastAsia" w:hAnsi="宋体" w:cs="宋体"/>
          <w:sz w:val="24"/>
          <w:szCs w:val="24"/>
          <w:highlight w:val="none"/>
        </w:rPr>
        <w:t xml:space="preserve">1.3</w:t>
      </w:r>
      <w:r>
        <w:rPr>
          <w:rFonts w:hint="eastAsia" w:hAnsi="宋体" w:cs="宋体"/>
          <w:b/>
          <w:sz w:val="24"/>
          <w:szCs w:val="24"/>
          <w:highlight w:val="none"/>
        </w:rPr>
        <w:t xml:space="preserve">服务质量</w:t>
      </w:r>
      <w:r>
        <w:rPr>
          <w:highlight w:val="none"/>
        </w:rPr>
      </w:r>
      <w:r/>
    </w:p>
    <w:p>
      <w:pPr>
        <w:pStyle w:val="1029"/>
        <w:ind w:firstLine="482"/>
        <w:spacing w:line="360" w:lineRule="auto"/>
        <w:rPr>
          <w:rFonts w:hint="eastAsia" w:hAnsi="宋体"/>
          <w:sz w:val="24"/>
          <w:highlight w:val="none"/>
        </w:rPr>
      </w:pPr>
      <w:r>
        <w:rPr>
          <w:rFonts w:hint="eastAsia" w:hAnsi="宋体"/>
          <w:sz w:val="24"/>
          <w:highlight w:val="none"/>
          <w:lang w:eastAsia="zh-CN"/>
        </w:rPr>
        <w:t xml:space="preserve">（</w:t>
      </w:r>
      <w:r>
        <w:rPr>
          <w:rFonts w:hint="eastAsia" w:hAnsi="宋体"/>
          <w:sz w:val="24"/>
          <w:highlight w:val="none"/>
          <w:lang w:val="en-US" w:eastAsia="zh-CN"/>
        </w:rPr>
        <w:t xml:space="preserve">1</w:t>
      </w:r>
      <w:r>
        <w:rPr>
          <w:rFonts w:hint="eastAsia" w:hAnsi="宋体"/>
          <w:sz w:val="24"/>
          <w:highlight w:val="none"/>
          <w:lang w:eastAsia="zh-CN"/>
        </w:rPr>
        <w:t xml:space="preserve">）</w:t>
      </w:r>
      <w:r>
        <w:rPr>
          <w:rFonts w:hint="eastAsia" w:hAnsi="宋体"/>
          <w:sz w:val="24"/>
          <w:highlight w:val="none"/>
        </w:rPr>
        <w:t xml:space="preserve">乙方所提供服务必须符合国家标准；取样过程和水质检测报告等须</w:t>
      </w:r>
      <w:r>
        <w:rPr>
          <w:rFonts w:hint="eastAsia" w:hAnsi="宋体"/>
          <w:bCs/>
          <w:sz w:val="24"/>
          <w:highlight w:val="none"/>
        </w:rPr>
        <w:t xml:space="preserve">满足行政执法需求</w:t>
      </w:r>
      <w:r>
        <w:rPr>
          <w:rFonts w:hint="eastAsia" w:hAnsi="宋体"/>
          <w:sz w:val="24"/>
          <w:highlight w:val="none"/>
        </w:rPr>
        <w:t xml:space="preserve">。</w:t>
      </w:r>
      <w:r>
        <w:rPr>
          <w:highlight w:val="none"/>
        </w:rPr>
      </w:r>
      <w:r/>
    </w:p>
    <w:p>
      <w:pPr>
        <w:pStyle w:val="1029"/>
        <w:ind w:firstLine="482"/>
        <w:spacing w:line="360" w:lineRule="auto"/>
        <w:rPr>
          <w:rFonts w:hAnsi="宋体"/>
          <w:sz w:val="24"/>
          <w:highlight w:val="none"/>
        </w:rPr>
      </w:pPr>
      <w:r>
        <w:rPr>
          <w:rFonts w:hint="eastAsia" w:hAnsi="宋体"/>
          <w:sz w:val="24"/>
          <w:highlight w:val="none"/>
        </w:rPr>
        <w:t xml:space="preserve">（2）乙方须具备招标文件报价表中检测项目的《</w:t>
      </w:r>
      <w:r>
        <w:rPr>
          <w:rFonts w:hAnsi="宋体"/>
          <w:sz w:val="24"/>
          <w:highlight w:val="none"/>
        </w:rPr>
        <w:t xml:space="preserve">水污染物测定方法</w:t>
      </w:r>
      <w:r>
        <w:rPr>
          <w:rFonts w:hint="eastAsia" w:hAnsi="宋体"/>
          <w:sz w:val="24"/>
          <w:highlight w:val="none"/>
        </w:rPr>
        <w:t xml:space="preserve">》的国标检测方法。</w:t>
      </w:r>
      <w:r>
        <w:rPr>
          <w:highlight w:val="none"/>
        </w:rPr>
      </w:r>
      <w:r/>
    </w:p>
    <w:p>
      <w:pPr>
        <w:pStyle w:val="1029"/>
        <w:ind w:firstLine="482"/>
        <w:spacing w:line="360" w:lineRule="auto"/>
        <w:rPr>
          <w:rFonts w:hAnsi="宋体"/>
          <w:sz w:val="24"/>
          <w:highlight w:val="none"/>
        </w:rPr>
      </w:pPr>
      <w:r>
        <w:rPr>
          <w:rFonts w:hint="eastAsia" w:hAnsi="宋体"/>
          <w:sz w:val="24"/>
          <w:highlight w:val="none"/>
          <w:lang w:eastAsia="zh-CN"/>
        </w:rPr>
        <w:t xml:space="preserve">（</w:t>
      </w:r>
      <w:r>
        <w:rPr>
          <w:rFonts w:hint="eastAsia" w:hAnsi="宋体"/>
          <w:sz w:val="24"/>
          <w:highlight w:val="none"/>
          <w:lang w:val="en-US" w:eastAsia="zh-CN"/>
        </w:rPr>
        <w:t xml:space="preserve">3</w:t>
      </w:r>
      <w:r>
        <w:rPr>
          <w:rFonts w:hint="eastAsia" w:hAnsi="宋体"/>
          <w:sz w:val="24"/>
          <w:highlight w:val="none"/>
          <w:lang w:eastAsia="zh-CN"/>
        </w:rPr>
        <w:t xml:space="preserve">）</w:t>
      </w:r>
      <w:r>
        <w:rPr>
          <w:rFonts w:hint="eastAsia" w:hAnsi="宋体"/>
          <w:sz w:val="24"/>
          <w:highlight w:val="none"/>
        </w:rPr>
        <w:t xml:space="preserve">根据当地相关部门检验结果，如果乙方提供的服务与合同不符，存在潜在缺陷的，甲方可以书面形式向乙方提出索赔。乙方在收到通知后，应在48小时内弥补缺陷。</w:t>
      </w:r>
      <w:r>
        <w:rPr>
          <w:highlight w:val="none"/>
        </w:rPr>
      </w:r>
      <w:r/>
    </w:p>
    <w:p>
      <w:pPr>
        <w:pStyle w:val="1029"/>
        <w:ind w:firstLine="482"/>
        <w:spacing w:line="360" w:lineRule="auto"/>
        <w:rPr>
          <w:rFonts w:hAnsi="宋体"/>
          <w:sz w:val="24"/>
          <w:highlight w:val="none"/>
        </w:rPr>
      </w:pPr>
      <w:r>
        <w:rPr>
          <w:rFonts w:hint="eastAsia" w:hAnsi="宋体"/>
          <w:sz w:val="24"/>
          <w:highlight w:val="none"/>
          <w:lang w:eastAsia="zh-CN"/>
        </w:rPr>
        <w:t xml:space="preserve">（</w:t>
      </w:r>
      <w:r>
        <w:rPr>
          <w:rFonts w:hint="eastAsia" w:hAnsi="宋体"/>
          <w:sz w:val="24"/>
          <w:highlight w:val="none"/>
          <w:lang w:val="en-US" w:eastAsia="zh-CN"/>
        </w:rPr>
        <w:t xml:space="preserve">4</w:t>
      </w:r>
      <w:r>
        <w:rPr>
          <w:rFonts w:hint="eastAsia" w:hAnsi="宋体"/>
          <w:sz w:val="24"/>
          <w:highlight w:val="none"/>
          <w:lang w:eastAsia="zh-CN"/>
        </w:rPr>
        <w:t xml:space="preserve">）</w:t>
      </w:r>
      <w:r>
        <w:rPr>
          <w:rFonts w:hint="eastAsia" w:hAnsi="宋体"/>
          <w:sz w:val="24"/>
          <w:highlight w:val="none"/>
        </w:rPr>
        <w:t xml:space="preserve">如果乙方在收到通知后，未在约定的时间内没有弥补缺陷，甲方可自行采取必要的补救措施，但风险和费用将由乙方承担。</w:t>
      </w:r>
      <w:r>
        <w:rPr>
          <w:highlight w:val="none"/>
        </w:rPr>
      </w:r>
      <w:r/>
    </w:p>
    <w:p>
      <w:pPr>
        <w:pStyle w:val="1029"/>
        <w:contextualSpacing/>
        <w:ind w:firstLine="482"/>
        <w:spacing w:line="360" w:lineRule="auto"/>
        <w:rPr>
          <w:rFonts w:hint="eastAsia" w:hAnsi="宋体" w:cs="宋体"/>
          <w:b/>
          <w:sz w:val="24"/>
          <w:szCs w:val="24"/>
          <w:highlight w:val="none"/>
        </w:rPr>
      </w:pPr>
      <w:r>
        <w:rPr>
          <w:rFonts w:hint="eastAsia" w:hAnsi="宋体" w:cs="宋体"/>
          <w:b/>
          <w:sz w:val="24"/>
          <w:szCs w:val="24"/>
          <w:highlight w:val="none"/>
          <w:lang w:val="en-US" w:eastAsia="zh-CN"/>
        </w:rPr>
        <w:t xml:space="preserve">1.4 </w:t>
      </w:r>
      <w:r>
        <w:rPr>
          <w:rFonts w:hint="eastAsia" w:hAnsi="宋体" w:cs="宋体"/>
          <w:b/>
          <w:sz w:val="24"/>
          <w:szCs w:val="24"/>
          <w:highlight w:val="none"/>
        </w:rPr>
        <w:t xml:space="preserve">服务要求</w:t>
      </w:r>
      <w:r>
        <w:rPr>
          <w:highlight w:val="none"/>
        </w:rPr>
      </w:r>
      <w:r/>
    </w:p>
    <w:p>
      <w:pPr>
        <w:pStyle w:val="1029"/>
        <w:contextualSpacing/>
        <w:ind w:firstLine="482"/>
        <w:spacing w:line="360" w:lineRule="auto"/>
        <w:rPr>
          <w:rFonts w:hint="eastAsia" w:hAnsi="宋体" w:cs="宋体"/>
          <w:b/>
          <w:bCs/>
          <w:sz w:val="24"/>
          <w:szCs w:val="24"/>
          <w:highlight w:val="none"/>
        </w:rPr>
      </w:pPr>
      <w:r>
        <w:rPr>
          <w:rFonts w:hint="eastAsia" w:hAnsi="宋体" w:cs="宋体"/>
          <w:b/>
          <w:bCs/>
          <w:sz w:val="24"/>
          <w:szCs w:val="24"/>
          <w:highlight w:val="none"/>
        </w:rPr>
        <w:t xml:space="preserve">污水厂进、出水水质</w:t>
      </w:r>
      <w:r>
        <w:rPr>
          <w:rFonts w:hint="eastAsia" w:hAnsi="宋体" w:cs="宋体"/>
          <w:b/>
          <w:bCs/>
          <w:sz w:val="24"/>
          <w:szCs w:val="24"/>
          <w:highlight w:val="none"/>
          <w:lang w:eastAsia="zh-CN"/>
        </w:rPr>
        <w:t xml:space="preserve">和排水户</w:t>
      </w:r>
      <w:r>
        <w:rPr>
          <w:rFonts w:hint="eastAsia" w:hAnsi="宋体" w:cs="宋体"/>
          <w:b/>
          <w:bCs/>
          <w:sz w:val="24"/>
          <w:szCs w:val="24"/>
          <w:highlight w:val="none"/>
          <w:lang w:val="en-US" w:eastAsia="zh-CN"/>
        </w:rPr>
        <w:t xml:space="preserve">检测服务要求：</w:t>
      </w:r>
      <w:r>
        <w:rPr>
          <w:highlight w:val="none"/>
        </w:rPr>
      </w:r>
      <w:r/>
    </w:p>
    <w:p>
      <w:pPr>
        <w:pStyle w:val="1029"/>
        <w:contextualSpacing/>
        <w:ind w:firstLine="480"/>
        <w:spacing w:line="360" w:lineRule="auto"/>
        <w:rPr>
          <w:rFonts w:hint="eastAsia" w:hAnsi="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1</w:t>
      </w:r>
      <w:r>
        <w:rPr>
          <w:rFonts w:hint="eastAsia" w:hAnsi="宋体" w:cs="宋体"/>
          <w:sz w:val="24"/>
          <w:szCs w:val="24"/>
          <w:highlight w:val="none"/>
          <w:lang w:eastAsia="zh-CN"/>
        </w:rPr>
        <w:t xml:space="preserve">）</w:t>
      </w:r>
      <w:r>
        <w:rPr>
          <w:rFonts w:hint="eastAsia" w:hAnsi="宋体" w:cs="宋体"/>
          <w:sz w:val="24"/>
          <w:szCs w:val="24"/>
          <w:highlight w:val="none"/>
        </w:rPr>
        <w:t xml:space="preserve">乙方按照招标文件的检测频次及时到采样地点按有关规定进行现场采样、保存、传送、处置及现场采样照片和视频。每次采样后要做好水样封存工作，封存时间不少于报告送达后7天；现场采样照片和视频须按（</w:t>
      </w:r>
      <w:r>
        <w:rPr>
          <w:rFonts w:hint="eastAsia" w:hAnsi="宋体" w:cs="宋体"/>
          <w:bCs/>
          <w:sz w:val="24"/>
          <w:szCs w:val="24"/>
          <w:highlight w:val="none"/>
        </w:rPr>
        <w:t xml:space="preserve">取样</w:t>
      </w:r>
      <w:r>
        <w:rPr>
          <w:rFonts w:hint="eastAsia" w:hAnsi="宋体" w:cs="宋体"/>
          <w:sz w:val="24"/>
          <w:szCs w:val="24"/>
          <w:highlight w:val="none"/>
        </w:rPr>
        <w:t xml:space="preserve">时间+污水厂</w:t>
      </w:r>
      <w:r>
        <w:rPr>
          <w:rFonts w:hint="eastAsia" w:hAnsi="宋体" w:cs="宋体"/>
          <w:sz w:val="24"/>
          <w:szCs w:val="24"/>
          <w:highlight w:val="none"/>
          <w:lang w:eastAsia="zh-CN"/>
        </w:rPr>
        <w:t xml:space="preserve">或排水户</w:t>
      </w:r>
      <w:r>
        <w:rPr>
          <w:rFonts w:hint="eastAsia" w:hAnsi="宋体" w:cs="宋体"/>
          <w:sz w:val="24"/>
          <w:szCs w:val="24"/>
          <w:highlight w:val="none"/>
        </w:rPr>
        <w:t xml:space="preserve">名称）每月打包后移动硬盘拷贝</w:t>
      </w:r>
      <w:r>
        <w:rPr>
          <w:rFonts w:hint="eastAsia" w:hAnsi="宋体" w:cs="宋体"/>
          <w:sz w:val="24"/>
          <w:szCs w:val="24"/>
          <w:highlight w:val="none"/>
          <w:lang w:eastAsia="zh-CN"/>
        </w:rPr>
        <w:t xml:space="preserve">给甲方</w:t>
      </w:r>
      <w:r>
        <w:rPr>
          <w:rFonts w:hint="eastAsia" w:hAnsi="宋体" w:cs="宋体"/>
          <w:sz w:val="24"/>
          <w:szCs w:val="24"/>
          <w:highlight w:val="none"/>
        </w:rPr>
        <w:t xml:space="preserve">。乙方须在接到甲方的采样通知后，须在规定时间内完成采样任务，出现污水厂</w:t>
      </w:r>
      <w:r>
        <w:rPr>
          <w:rFonts w:hint="eastAsia" w:hAnsi="宋体" w:cs="宋体"/>
          <w:sz w:val="24"/>
          <w:szCs w:val="24"/>
          <w:highlight w:val="none"/>
          <w:lang w:eastAsia="zh-CN"/>
        </w:rPr>
        <w:t xml:space="preserve">或排水户</w:t>
      </w:r>
      <w:r>
        <w:rPr>
          <w:rFonts w:hint="eastAsia" w:hAnsi="宋体" w:cs="宋体"/>
          <w:sz w:val="24"/>
          <w:szCs w:val="24"/>
          <w:highlight w:val="none"/>
        </w:rPr>
        <w:t xml:space="preserve">不配合检测或污水厂出水口未排水的，须立即电话告知甲方并在2日内书面告知甲方。采样完毕后</w:t>
      </w:r>
      <w:r>
        <w:rPr>
          <w:rFonts w:hint="eastAsia" w:hAnsi="宋体" w:cs="宋体"/>
          <w:bCs/>
          <w:sz w:val="24"/>
          <w:szCs w:val="24"/>
          <w:highlight w:val="none"/>
        </w:rPr>
        <w:t xml:space="preserve">7个工作日内提交水质检测报告（报告须为纸质盖章版，报告内须有现场采样照片）。</w:t>
      </w:r>
      <w:r>
        <w:rPr>
          <w:highlight w:val="none"/>
        </w:rPr>
      </w:r>
      <w:r/>
    </w:p>
    <w:p>
      <w:pPr>
        <w:pStyle w:val="1029"/>
        <w:contextualSpacing/>
        <w:spacing w:line="360" w:lineRule="auto"/>
        <w:rPr>
          <w:rFonts w:hint="eastAsia" w:hAnsi="宋体" w:cs="宋体"/>
          <w:sz w:val="24"/>
          <w:szCs w:val="24"/>
          <w:highlight w:val="none"/>
        </w:rPr>
      </w:pPr>
      <w:r>
        <w:rPr>
          <w:rFonts w:hint="eastAsia" w:hAnsi="宋体" w:cs="宋体"/>
          <w:sz w:val="24"/>
          <w:szCs w:val="24"/>
          <w:highlight w:val="none"/>
        </w:rPr>
        <w:t xml:space="preserve">   （2)遇到甲方需要紧急采样的，乙方须在接到甲方通知后</w:t>
      </w:r>
      <w:r>
        <w:rPr>
          <w:rFonts w:hint="eastAsia" w:hAnsi="宋体" w:cs="宋体"/>
          <w:bCs/>
          <w:sz w:val="24"/>
          <w:szCs w:val="24"/>
          <w:highlight w:val="none"/>
        </w:rPr>
        <w:t xml:space="preserve">2小时内</w:t>
      </w:r>
      <w:r>
        <w:rPr>
          <w:rFonts w:hint="eastAsia" w:hAnsi="宋体" w:cs="宋体"/>
          <w:sz w:val="24"/>
          <w:szCs w:val="24"/>
          <w:highlight w:val="none"/>
        </w:rPr>
        <w:t xml:space="preserve">完成采样；每次采样后要做好水样封存工作（同步封存水样三份，分别为检测水样、平行水样、监管水样），</w:t>
      </w:r>
      <w:r>
        <w:rPr>
          <w:rFonts w:hint="eastAsia" w:hAnsi="宋体" w:cs="宋体"/>
          <w:bCs/>
          <w:sz w:val="24"/>
          <w:szCs w:val="24"/>
          <w:highlight w:val="none"/>
        </w:rPr>
        <w:t xml:space="preserve">其中监管水样由甲方留存</w:t>
      </w:r>
      <w:r>
        <w:rPr>
          <w:rFonts w:hint="eastAsia" w:hAnsi="宋体" w:cs="宋体"/>
          <w:sz w:val="24"/>
          <w:szCs w:val="24"/>
          <w:highlight w:val="none"/>
        </w:rPr>
        <w:t xml:space="preserve">；乙方不得推诿、拖延。</w:t>
      </w:r>
      <w:r>
        <w:rPr>
          <w:rFonts w:hint="eastAsia" w:hAnsi="宋体" w:cs="宋体"/>
          <w:b/>
          <w:bCs/>
          <w:sz w:val="24"/>
          <w:szCs w:val="24"/>
          <w:highlight w:val="none"/>
          <w:lang w:eastAsia="zh-CN"/>
        </w:rPr>
        <w:t xml:space="preserve">乙方须</w:t>
      </w:r>
      <w:r>
        <w:rPr>
          <w:rFonts w:hint="eastAsia" w:hAnsi="宋体" w:cs="宋体"/>
          <w:b/>
          <w:bCs/>
          <w:sz w:val="24"/>
          <w:szCs w:val="24"/>
          <w:highlight w:val="none"/>
        </w:rPr>
        <w:t xml:space="preserve">无偿为</w:t>
      </w:r>
      <w:r>
        <w:rPr>
          <w:rFonts w:hint="eastAsia" w:hAnsi="宋体" w:cs="宋体"/>
          <w:b/>
          <w:bCs/>
          <w:sz w:val="24"/>
          <w:szCs w:val="24"/>
          <w:highlight w:val="none"/>
          <w:lang w:eastAsia="zh-CN"/>
        </w:rPr>
        <w:t xml:space="preserve">甲方</w:t>
      </w:r>
      <w:r>
        <w:rPr>
          <w:rFonts w:hint="eastAsia" w:hAnsi="宋体" w:cs="宋体"/>
          <w:b/>
          <w:bCs/>
          <w:sz w:val="24"/>
          <w:szCs w:val="24"/>
          <w:highlight w:val="none"/>
        </w:rPr>
        <w:t xml:space="preserve">做好应急检测</w:t>
      </w:r>
      <w:r>
        <w:rPr>
          <w:rFonts w:hint="eastAsia" w:hAnsi="宋体" w:cs="宋体"/>
          <w:b/>
          <w:bCs/>
          <w:sz w:val="24"/>
          <w:szCs w:val="24"/>
          <w:highlight w:val="none"/>
          <w:lang w:eastAsia="zh-CN"/>
        </w:rPr>
        <w:t xml:space="preserve">、上级交办的事项等。</w:t>
      </w:r>
      <w:r>
        <w:rPr>
          <w:highlight w:val="none"/>
        </w:rPr>
      </w:r>
      <w:r/>
    </w:p>
    <w:p>
      <w:pPr>
        <w:pStyle w:val="1029"/>
        <w:contextualSpacing/>
        <w:spacing w:line="360" w:lineRule="auto"/>
        <w:rPr>
          <w:rFonts w:hint="eastAsia" w:hAnsi="宋体" w:cs="宋体"/>
          <w:sz w:val="24"/>
          <w:szCs w:val="24"/>
          <w:highlight w:val="none"/>
        </w:rPr>
      </w:pPr>
      <w:r>
        <w:rPr>
          <w:rFonts w:hint="eastAsia" w:hAnsi="宋体" w:cs="宋体"/>
          <w:sz w:val="24"/>
          <w:szCs w:val="24"/>
          <w:highlight w:val="none"/>
        </w:rPr>
        <w:t xml:space="preserve">   （3）乙方在每个月检测完毕后，须在检测报告送达后3天内将本月的检测数据分析表盖章后送达甲方（数据分析表包含每月检测</w:t>
      </w:r>
      <w:r>
        <w:rPr>
          <w:rFonts w:hint="eastAsia" w:hAnsi="宋体" w:cs="宋体"/>
          <w:sz w:val="24"/>
          <w:szCs w:val="24"/>
          <w:highlight w:val="none"/>
          <w:lang w:eastAsia="zh-CN"/>
        </w:rPr>
        <w:t xml:space="preserve">污水厂或</w:t>
      </w:r>
      <w:r>
        <w:rPr>
          <w:rFonts w:hint="eastAsia" w:hAnsi="宋体" w:cs="宋体"/>
          <w:sz w:val="24"/>
          <w:szCs w:val="24"/>
          <w:highlight w:val="none"/>
        </w:rPr>
        <w:t xml:space="preserve">排水户名单、检测指标、超标的详细指标、超标率、每月检测产生总费用等），当出现累计实际检测费用超出中标价格总价时，乙方须及时提醒甲方，不得继续开展检测工作。</w:t>
      </w:r>
      <w:r>
        <w:rPr>
          <w:highlight w:val="none"/>
        </w:rPr>
      </w:r>
      <w:r/>
    </w:p>
    <w:p>
      <w:pPr>
        <w:pStyle w:val="1029"/>
        <w:contextualSpacing/>
        <w:spacing w:line="360" w:lineRule="auto"/>
        <w:rPr>
          <w:rFonts w:hint="eastAsia" w:hAnsi="宋体" w:cs="宋体"/>
          <w:b/>
          <w:bCs/>
          <w:sz w:val="24"/>
          <w:szCs w:val="24"/>
          <w:highlight w:val="none"/>
        </w:rPr>
      </w:pPr>
      <w:r>
        <w:rPr>
          <w:rFonts w:hint="eastAsia" w:hAnsi="宋体" w:cs="宋体"/>
          <w:bCs/>
          <w:sz w:val="24"/>
          <w:szCs w:val="24"/>
          <w:highlight w:val="none"/>
        </w:rPr>
        <w:t xml:space="preserve">  </w:t>
      </w:r>
      <w:r>
        <w:rPr>
          <w:rFonts w:hint="eastAsia" w:hAnsi="宋体" w:cs="宋体"/>
          <w:b/>
          <w:bCs/>
          <w:sz w:val="24"/>
          <w:szCs w:val="24"/>
          <w:highlight w:val="none"/>
        </w:rPr>
        <w:t xml:space="preserve">（4）乙方须配合甲方开展污水厂水质检测类的培训或比赛工作并免费提供实验室作为培训或比赛场地。</w:t>
      </w:r>
      <w:r>
        <w:rPr>
          <w:highlight w:val="none"/>
        </w:rPr>
      </w:r>
      <w:r/>
    </w:p>
    <w:p>
      <w:pPr>
        <w:pStyle w:val="1029"/>
        <w:contextualSpacing/>
        <w:spacing w:line="360" w:lineRule="auto"/>
        <w:rPr>
          <w:rFonts w:hint="eastAsia" w:hAnsi="宋体" w:cs="宋体"/>
          <w:bCs/>
          <w:sz w:val="24"/>
          <w:szCs w:val="24"/>
          <w:highlight w:val="none"/>
        </w:rPr>
      </w:pPr>
      <w:r>
        <w:rPr>
          <w:rFonts w:hint="eastAsia" w:hAnsi="宋体" w:cs="宋体"/>
          <w:bCs/>
          <w:sz w:val="24"/>
          <w:szCs w:val="24"/>
          <w:highlight w:val="none"/>
        </w:rPr>
        <w:t xml:space="preserve">   (</w:t>
      </w:r>
      <w:r>
        <w:rPr>
          <w:rFonts w:hint="eastAsia" w:hAnsi="宋体" w:cs="宋体"/>
          <w:bCs/>
          <w:sz w:val="24"/>
          <w:szCs w:val="24"/>
          <w:highlight w:val="none"/>
          <w:lang w:val="en-US" w:eastAsia="zh-CN"/>
        </w:rPr>
        <w:t xml:space="preserve">5</w:t>
      </w:r>
      <w:r>
        <w:rPr>
          <w:rFonts w:hint="eastAsia" w:hAnsi="宋体" w:cs="宋体"/>
          <w:bCs/>
          <w:sz w:val="24"/>
          <w:szCs w:val="24"/>
          <w:highlight w:val="none"/>
        </w:rPr>
        <w:t xml:space="preserve">)乙方在服务期间，不得将承担的检测服务转包、分包给他人；且须接受甲方对检测项目任意工作段的随机、随时抽检。</w:t>
      </w:r>
      <w:r>
        <w:rPr>
          <w:highlight w:val="none"/>
        </w:rPr>
      </w:r>
      <w:r/>
    </w:p>
    <w:p>
      <w:pPr>
        <w:pStyle w:val="1029"/>
        <w:contextualSpacing/>
        <w:spacing w:line="360" w:lineRule="auto"/>
        <w:rPr>
          <w:rFonts w:hAnsi="宋体" w:cs="宋体"/>
          <w:bCs/>
          <w:sz w:val="24"/>
          <w:szCs w:val="24"/>
          <w:highlight w:val="none"/>
        </w:rPr>
      </w:pPr>
      <w:r>
        <w:rPr>
          <w:rFonts w:hint="eastAsia" w:hAnsi="宋体" w:cs="宋体"/>
          <w:bCs/>
          <w:sz w:val="24"/>
          <w:szCs w:val="24"/>
          <w:highlight w:val="none"/>
        </w:rPr>
        <w:t xml:space="preserve">  （</w:t>
      </w:r>
      <w:r>
        <w:rPr>
          <w:rFonts w:hint="eastAsia" w:hAnsi="宋体" w:cs="宋体"/>
          <w:bCs/>
          <w:sz w:val="24"/>
          <w:szCs w:val="24"/>
          <w:highlight w:val="none"/>
          <w:lang w:val="en-US" w:eastAsia="zh-CN"/>
        </w:rPr>
        <w:t xml:space="preserve">6</w:t>
      </w:r>
      <w:r>
        <w:rPr>
          <w:rFonts w:hint="eastAsia" w:hAnsi="宋体" w:cs="宋体"/>
          <w:bCs/>
          <w:sz w:val="24"/>
          <w:szCs w:val="24"/>
          <w:highlight w:val="none"/>
        </w:rPr>
        <w:t xml:space="preserve">）乙方须保证检测结果的准确性。不得出现经准确性校核，出水水质不合格的检测为水质合格的</w:t>
      </w:r>
      <w:r>
        <w:rPr>
          <w:rFonts w:hint="eastAsia" w:hAnsi="宋体" w:cs="宋体"/>
          <w:bCs/>
          <w:sz w:val="24"/>
          <w:szCs w:val="24"/>
          <w:highlight w:val="none"/>
          <w:lang w:eastAsia="zh-CN"/>
        </w:rPr>
        <w:t xml:space="preserve">，</w:t>
      </w:r>
      <w:r>
        <w:rPr>
          <w:rFonts w:hint="eastAsia" w:hAnsi="宋体" w:cs="宋体"/>
          <w:bCs/>
          <w:sz w:val="24"/>
          <w:szCs w:val="24"/>
          <w:highlight w:val="none"/>
        </w:rPr>
        <w:t xml:space="preserve">或者出水水质合格的检测为水质不合格的情形。</w:t>
      </w:r>
      <w:r>
        <w:rPr>
          <w:highlight w:val="none"/>
        </w:rPr>
      </w:r>
      <w:r/>
    </w:p>
    <w:p>
      <w:pPr>
        <w:pStyle w:val="100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1.5技术支持工作内容</w:t>
      </w:r>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（1）采样和分析方法</w:t>
      </w:r>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样品的采集及保存按照《水质 采样技术指导（HJ494-2009）》及《样品的保存和管理技术规定 HJ 493-2009》执行。样品检测方法按照《检测项目明细表》中所列现行有效的标准方法执行且所列检测方法需经过资质认证。</w:t>
      </w:r>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（2）质控要求</w:t>
      </w:r>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分析工作的质量控制必须按《城镇污水水质标准检验方法》（CJ/T 51-2018）的要求进行，精密度和准确度的控制指标按《城镇污水水质检验方法标准》（CJ/T 51-2018）进行。</w:t>
      </w:r>
      <w:r>
        <w:rPr>
          <w:highlight w:val="none"/>
        </w:rPr>
      </w:r>
      <w:r/>
    </w:p>
    <w:p>
      <w:pPr>
        <w:pStyle w:val="1008"/>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    （3）大市区范围内污水厂和排水户监管水质检测项目水污染测定方法水污染物测定方法</w:t>
      </w:r>
      <w:r>
        <w:rPr>
          <w:highlight w:val="none"/>
        </w:rPr>
      </w:r>
      <w:r/>
    </w:p>
    <w:p>
      <w:pPr>
        <w:pStyle w:val="1008"/>
        <w:spacing w:line="360" w:lineRule="auto"/>
        <w:rPr>
          <w:highlight w:val="none"/>
        </w:rPr>
      </w:pPr>
      <w:r>
        <w:rPr>
          <w:highlight w:val="none"/>
        </w:rPr>
      </w:r>
      <w:r>
        <w:rPr>
          <w:highlight w:val="none"/>
        </w:rPr>
      </w:r>
      <w:r/>
    </w:p>
    <w:tbl>
      <w:tblPr>
        <w:tblW w:w="922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8"/>
        <w:gridCol w:w="1622"/>
        <w:gridCol w:w="5766"/>
        <w:gridCol w:w="1286"/>
      </w:tblGrid>
      <w:tr>
        <w:trPr>
          <w:trHeight w:val="363"/>
        </w:trPr>
        <w:tc>
          <w:tcPr>
            <w:tcW w:w="548" w:type="dxa"/>
            <w:vAlign w:val="top"/>
            <w:textDirection w:val="lrTb"/>
            <w:noWrap w:val="false"/>
          </w:tcPr>
          <w:p>
            <w:pPr>
              <w:pStyle w:val="1008"/>
              <w:ind w:left="93"/>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1"/>
                <w:sz w:val="16"/>
                <w:szCs w:val="16"/>
                <w:highlight w:val="none"/>
              </w:rPr>
              <w:t xml:space="preserve">序</w:t>
            </w:r>
            <w:r>
              <w:rPr>
                <w:rFonts w:ascii="微软雅黑" w:hAnsi="微软雅黑" w:eastAsia="微软雅黑" w:cs="微软雅黑"/>
                <w:spacing w:val="10"/>
                <w:sz w:val="16"/>
                <w:szCs w:val="16"/>
                <w:highlight w:val="none"/>
              </w:rPr>
              <w:t xml:space="preserve">号</w:t>
            </w:r>
            <w:r>
              <w:rPr>
                <w:highlight w:val="none"/>
              </w:rPr>
            </w:r>
            <w:r/>
          </w:p>
        </w:tc>
        <w:tc>
          <w:tcPr>
            <w:tcW w:w="1622" w:type="dxa"/>
            <w:vAlign w:val="top"/>
            <w:textDirection w:val="lrTb"/>
            <w:noWrap w:val="false"/>
          </w:tcPr>
          <w:p>
            <w:pPr>
              <w:pStyle w:val="1008"/>
              <w:ind w:left="632"/>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
                <w:sz w:val="16"/>
                <w:szCs w:val="16"/>
                <w:highlight w:val="none"/>
              </w:rPr>
              <w:t xml:space="preserve">项</w:t>
            </w:r>
            <w:r>
              <w:rPr>
                <w:rFonts w:ascii="微软雅黑" w:hAnsi="微软雅黑" w:eastAsia="微软雅黑" w:cs="微软雅黑"/>
                <w:spacing w:val="1"/>
                <w:sz w:val="16"/>
                <w:szCs w:val="16"/>
                <w:highlight w:val="none"/>
              </w:rPr>
              <w:t xml:space="preserve"> 目</w:t>
            </w:r>
            <w:r>
              <w:rPr>
                <w:highlight w:val="none"/>
              </w:rPr>
            </w:r>
            <w:r/>
          </w:p>
        </w:tc>
        <w:tc>
          <w:tcPr>
            <w:tcW w:w="5766" w:type="dxa"/>
            <w:vAlign w:val="top"/>
            <w:textDirection w:val="lrTb"/>
            <w:noWrap w:val="false"/>
          </w:tcPr>
          <w:p>
            <w:pPr>
              <w:pStyle w:val="1008"/>
              <w:ind w:left="2530"/>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6"/>
                <w:sz w:val="16"/>
                <w:szCs w:val="16"/>
                <w:highlight w:val="none"/>
              </w:rPr>
              <w:t xml:space="preserve">标准名</w:t>
            </w:r>
            <w:r>
              <w:rPr>
                <w:rFonts w:ascii="微软雅黑" w:hAnsi="微软雅黑" w:eastAsia="微软雅黑" w:cs="微软雅黑"/>
                <w:spacing w:val="15"/>
                <w:sz w:val="16"/>
                <w:szCs w:val="16"/>
                <w:highlight w:val="none"/>
              </w:rPr>
              <w:t xml:space="preserve">称</w:t>
            </w:r>
            <w:r>
              <w:rPr>
                <w:highlight w:val="none"/>
              </w:rPr>
            </w:r>
            <w:r/>
          </w:p>
        </w:tc>
        <w:tc>
          <w:tcPr>
            <w:tcW w:w="1286" w:type="dxa"/>
            <w:vAlign w:val="top"/>
            <w:textDirection w:val="lrTb"/>
            <w:noWrap w:val="false"/>
          </w:tcPr>
          <w:p>
            <w:pPr>
              <w:pStyle w:val="1008"/>
              <w:ind w:left="292"/>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6"/>
                <w:sz w:val="16"/>
                <w:szCs w:val="16"/>
                <w:highlight w:val="none"/>
              </w:rPr>
              <w:t xml:space="preserve">标准编</w:t>
            </w:r>
            <w:r>
              <w:rPr>
                <w:rFonts w:ascii="微软雅黑" w:hAnsi="微软雅黑" w:eastAsia="微软雅黑" w:cs="微软雅黑"/>
                <w:spacing w:val="15"/>
                <w:sz w:val="16"/>
                <w:szCs w:val="16"/>
                <w:highlight w:val="none"/>
              </w:rPr>
              <w:t xml:space="preserve">号</w:t>
            </w:r>
            <w:r>
              <w:rPr>
                <w:highlight w:val="none"/>
              </w:rPr>
            </w:r>
            <w:r/>
          </w:p>
        </w:tc>
      </w:tr>
      <w:tr>
        <w:trPr>
          <w:trHeight w:val="355"/>
        </w:trPr>
        <w:tc>
          <w:tcPr>
            <w:tcW w:w="548" w:type="dxa"/>
            <w:vAlign w:val="top"/>
            <w:vMerge w:val="restart"/>
            <w:textDirection w:val="lrTb"/>
            <w:noWrap w:val="false"/>
          </w:tcPr>
          <w:p>
            <w:pPr>
              <w:pStyle w:val="1008"/>
              <w:spacing w:line="360" w:lineRule="auto"/>
              <w:rPr>
                <w:rFonts w:ascii="Arial"/>
                <w:highlight w:val="none"/>
              </w:rPr>
            </w:pPr>
            <w:r>
              <w:rPr>
                <w:rFonts w:ascii="Arial"/>
                <w:highlight w:val="none"/>
              </w:rPr>
            </w:r>
            <w:r>
              <w:rPr>
                <w:highlight w:val="none"/>
              </w:rPr>
            </w:r>
            <w:r/>
          </w:p>
          <w:p>
            <w:pPr>
              <w:pStyle w:val="1008"/>
              <w:ind w:left="234"/>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7"/>
                <w:sz w:val="16"/>
                <w:szCs w:val="16"/>
                <w:highlight w:val="none"/>
              </w:rPr>
              <w:t xml:space="preserve">1</w:t>
            </w:r>
            <w:r>
              <w:rPr>
                <w:highlight w:val="none"/>
              </w:rPr>
            </w:r>
            <w:r/>
          </w:p>
        </w:tc>
        <w:tc>
          <w:tcPr>
            <w:tcW w:w="1622" w:type="dxa"/>
            <w:vAlign w:val="top"/>
            <w:vMerge w:val="restart"/>
            <w:textDirection w:val="lrTb"/>
            <w:noWrap w:val="false"/>
          </w:tcPr>
          <w:p>
            <w:pPr>
              <w:pStyle w:val="1008"/>
              <w:jc w:val="center"/>
              <w:spacing w:line="360" w:lineRule="auto"/>
              <w:rPr>
                <w:rFonts w:ascii="Arial"/>
                <w:highlight w:val="none"/>
              </w:rPr>
            </w:pPr>
            <w:r>
              <w:rPr>
                <w:rFonts w:ascii="Arial"/>
                <w:highlight w:val="none"/>
              </w:rPr>
            </w:r>
            <w:r>
              <w:rPr>
                <w:highlight w:val="none"/>
              </w:rPr>
            </w:r>
            <w:r/>
          </w:p>
          <w:p>
            <w:pPr>
              <w:pStyle w:val="1008"/>
              <w:ind w:left="22"/>
              <w:jc w:val="center"/>
              <w:spacing w:line="360" w:lineRule="auto"/>
              <w:rPr>
                <w:rFonts w:ascii="微软雅黑" w:hAnsi="微软雅黑" w:eastAsia="微软雅黑" w:cs="微软雅黑"/>
                <w:sz w:val="15"/>
                <w:szCs w:val="15"/>
                <w:highlight w:val="none"/>
              </w:rPr>
            </w:pPr>
            <w:r>
              <w:rPr>
                <w:rFonts w:ascii="微软雅黑" w:hAnsi="微软雅黑" w:eastAsia="微软雅黑" w:cs="微软雅黑"/>
                <w:spacing w:val="47"/>
                <w:sz w:val="15"/>
                <w:szCs w:val="15"/>
                <w:highlight w:val="none"/>
              </w:rPr>
              <w:t xml:space="preserve">化</w:t>
            </w:r>
            <w:r>
              <w:rPr>
                <w:rFonts w:ascii="微软雅黑" w:hAnsi="微软雅黑" w:eastAsia="微软雅黑" w:cs="微软雅黑"/>
                <w:spacing w:val="46"/>
                <w:sz w:val="15"/>
                <w:szCs w:val="15"/>
                <w:highlight w:val="none"/>
              </w:rPr>
              <w:t xml:space="preserve">学需氧量(</w:t>
            </w:r>
            <w:r>
              <w:rPr>
                <w:rFonts w:ascii="微软雅黑" w:hAnsi="微软雅黑" w:eastAsia="微软雅黑" w:cs="微软雅黑"/>
                <w:sz w:val="15"/>
                <w:szCs w:val="15"/>
                <w:highlight w:val="none"/>
              </w:rPr>
              <w:t xml:space="preserve">COD</w:t>
            </w:r>
            <w:r>
              <w:rPr>
                <w:rFonts w:ascii="微软雅黑" w:hAnsi="微软雅黑" w:eastAsia="微软雅黑" w:cs="微软雅黑"/>
                <w:position w:val="-2"/>
                <w:sz w:val="8"/>
                <w:szCs w:val="8"/>
                <w:highlight w:val="none"/>
              </w:rPr>
              <w:t xml:space="preserve">Cr</w:t>
            </w:r>
            <w:r>
              <w:rPr>
                <w:rFonts w:ascii="微软雅黑" w:hAnsi="微软雅黑" w:eastAsia="微软雅黑" w:cs="微软雅黑"/>
                <w:spacing w:val="46"/>
                <w:position w:val="1"/>
                <w:sz w:val="15"/>
                <w:szCs w:val="15"/>
                <w:highlight w:val="none"/>
              </w:rPr>
              <w:t xml:space="preserve">)</w:t>
            </w:r>
            <w:r>
              <w:rPr>
                <w:highlight w:val="none"/>
              </w:rPr>
            </w:r>
            <w:r/>
          </w:p>
        </w:tc>
        <w:tc>
          <w:tcPr>
            <w:tcW w:w="5766" w:type="dxa"/>
            <w:vAlign w:val="top"/>
            <w:textDirection w:val="lrTb"/>
            <w:noWrap w:val="false"/>
          </w:tcPr>
          <w:p>
            <w:pPr>
              <w:pStyle w:val="1008"/>
              <w:ind w:left="1179"/>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0"/>
                <w:sz w:val="16"/>
                <w:szCs w:val="16"/>
                <w:highlight w:val="none"/>
              </w:rPr>
              <w:t xml:space="preserve">高</w:t>
            </w:r>
            <w:r>
              <w:rPr>
                <w:rFonts w:ascii="微软雅黑" w:hAnsi="微软雅黑" w:eastAsia="微软雅黑" w:cs="微软雅黑"/>
                <w:spacing w:val="12"/>
                <w:sz w:val="16"/>
                <w:szCs w:val="16"/>
                <w:highlight w:val="none"/>
              </w:rPr>
              <w:t xml:space="preserve">氯废水    化学需氧量的测和    氯气校正法</w:t>
            </w:r>
            <w:r>
              <w:rPr>
                <w:highlight w:val="none"/>
              </w:rPr>
            </w:r>
            <w:r/>
          </w:p>
        </w:tc>
        <w:tc>
          <w:tcPr>
            <w:tcW w:w="1286" w:type="dxa"/>
            <w:vAlign w:val="top"/>
            <w:textDirection w:val="lrTb"/>
            <w:noWrap w:val="false"/>
          </w:tcPr>
          <w:p>
            <w:pPr>
              <w:pStyle w:val="1008"/>
              <w:ind w:left="322"/>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1"/>
                <w:sz w:val="16"/>
                <w:szCs w:val="16"/>
                <w:highlight w:val="none"/>
              </w:rPr>
              <w:t xml:space="preserve">/</w:t>
            </w:r>
            <w:r>
              <w:rPr>
                <w:rFonts w:ascii="微软雅黑" w:hAnsi="微软雅黑" w:eastAsia="微软雅黑" w:cs="微软雅黑"/>
                <w:sz w:val="16"/>
                <w:szCs w:val="16"/>
                <w:highlight w:val="none"/>
              </w:rPr>
              <w:t xml:space="preserve">T</w:t>
            </w:r>
            <w:r>
              <w:rPr>
                <w:rFonts w:ascii="微软雅黑" w:hAnsi="微软雅黑" w:eastAsia="微软雅黑" w:cs="微软雅黑"/>
                <w:spacing w:val="30"/>
                <w:sz w:val="16"/>
                <w:szCs w:val="16"/>
                <w:highlight w:val="none"/>
              </w:rPr>
              <w:t xml:space="preserve"> 70</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995"/>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5"/>
                <w:sz w:val="16"/>
                <w:szCs w:val="16"/>
                <w:highlight w:val="none"/>
              </w:rPr>
              <w:t xml:space="preserve">水</w:t>
            </w:r>
            <w:r>
              <w:rPr>
                <w:rFonts w:ascii="微软雅黑" w:hAnsi="微软雅黑" w:eastAsia="微软雅黑" w:cs="微软雅黑"/>
                <w:spacing w:val="13"/>
                <w:sz w:val="16"/>
                <w:szCs w:val="16"/>
                <w:highlight w:val="none"/>
              </w:rPr>
              <w:t xml:space="preserve">质    化学需氧量的测和    快速消解分光光度法</w:t>
            </w:r>
            <w:r>
              <w:rPr>
                <w:highlight w:val="none"/>
              </w:rPr>
            </w:r>
            <w:r/>
          </w:p>
        </w:tc>
        <w:tc>
          <w:tcPr>
            <w:tcW w:w="1286" w:type="dxa"/>
            <w:vAlign w:val="top"/>
            <w:textDirection w:val="lrTb"/>
            <w:noWrap w:val="false"/>
          </w:tcPr>
          <w:p>
            <w:pPr>
              <w:pStyle w:val="1008"/>
              <w:ind w:left="277"/>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41"/>
                <w:sz w:val="16"/>
                <w:szCs w:val="16"/>
                <w:highlight w:val="none"/>
              </w:rPr>
              <w:t xml:space="preserve">/</w:t>
            </w:r>
            <w:r>
              <w:rPr>
                <w:rFonts w:ascii="微软雅黑" w:hAnsi="微软雅黑" w:eastAsia="微软雅黑" w:cs="微软雅黑"/>
                <w:sz w:val="16"/>
                <w:szCs w:val="16"/>
                <w:highlight w:val="none"/>
              </w:rPr>
              <w:t xml:space="preserve">T</w:t>
            </w:r>
            <w:r>
              <w:rPr>
                <w:rFonts w:ascii="微软雅黑" w:hAnsi="微软雅黑" w:eastAsia="微软雅黑" w:cs="微软雅黑"/>
                <w:spacing w:val="41"/>
                <w:sz w:val="16"/>
                <w:szCs w:val="16"/>
                <w:highlight w:val="none"/>
              </w:rPr>
              <w:t xml:space="preserve">399</w:t>
            </w:r>
            <w:r>
              <w:rPr>
                <w:highlight w:val="none"/>
              </w:rPr>
            </w:r>
            <w:r/>
          </w:p>
        </w:tc>
      </w:tr>
      <w:tr>
        <w:trPr>
          <w:trHeight w:val="355"/>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1356"/>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2"/>
                <w:sz w:val="16"/>
                <w:szCs w:val="16"/>
                <w:highlight w:val="none"/>
              </w:rPr>
              <w:t xml:space="preserve">水</w:t>
            </w:r>
            <w:r>
              <w:rPr>
                <w:rFonts w:ascii="微软雅黑" w:hAnsi="微软雅黑" w:eastAsia="微软雅黑" w:cs="微软雅黑"/>
                <w:spacing w:val="18"/>
                <w:sz w:val="16"/>
                <w:szCs w:val="16"/>
                <w:highlight w:val="none"/>
              </w:rPr>
              <w:t xml:space="preserve">质</w:t>
            </w:r>
            <w:r>
              <w:rPr>
                <w:rFonts w:ascii="微软雅黑" w:hAnsi="微软雅黑" w:eastAsia="微软雅黑" w:cs="微软雅黑"/>
                <w:spacing w:val="11"/>
                <w:sz w:val="16"/>
                <w:szCs w:val="16"/>
                <w:highlight w:val="none"/>
              </w:rPr>
              <w:t xml:space="preserve">    化学需氧量的测和    重铬酸盐法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8</w:t>
            </w:r>
            <w:r>
              <w:rPr>
                <w:rFonts w:ascii="微软雅黑" w:hAnsi="微软雅黑" w:eastAsia="微软雅黑" w:cs="微软雅黑"/>
                <w:spacing w:val="36"/>
                <w:sz w:val="16"/>
                <w:szCs w:val="16"/>
                <w:highlight w:val="none"/>
              </w:rPr>
              <w:t xml:space="preserve">28</w:t>
            </w:r>
            <w:r>
              <w:rPr>
                <w:highlight w:val="none"/>
              </w:rPr>
            </w:r>
            <w:r/>
          </w:p>
        </w:tc>
      </w:tr>
      <w:tr>
        <w:trPr>
          <w:trHeight w:val="356"/>
        </w:trPr>
        <w:tc>
          <w:tcPr>
            <w:tcW w:w="548" w:type="dxa"/>
            <w:vAlign w:val="top"/>
            <w:vMerge w:val="restart"/>
            <w:textDirection w:val="lrTb"/>
            <w:noWrap w:val="false"/>
          </w:tcPr>
          <w:p>
            <w:pPr>
              <w:pStyle w:val="1008"/>
              <w:spacing w:line="360" w:lineRule="auto"/>
              <w:rPr>
                <w:rFonts w:ascii="Arial"/>
                <w:highlight w:val="none"/>
              </w:rPr>
            </w:pPr>
            <w:r>
              <w:rPr>
                <w:rFonts w:ascii="Arial"/>
                <w:highlight w:val="none"/>
              </w:rPr>
            </w:r>
            <w:r>
              <w:rPr>
                <w:highlight w:val="none"/>
              </w:rPr>
            </w:r>
            <w:r/>
          </w:p>
          <w:p>
            <w:pPr>
              <w:pStyle w:val="1008"/>
              <w:spacing w:line="360" w:lineRule="auto"/>
              <w:rPr>
                <w:rFonts w:ascii="Arial"/>
                <w:highlight w:val="none"/>
              </w:rPr>
            </w:pPr>
            <w:r>
              <w:rPr>
                <w:rFonts w:ascii="Arial"/>
                <w:highlight w:val="none"/>
              </w:rPr>
            </w:r>
            <w:r>
              <w:rPr>
                <w:highlight w:val="none"/>
              </w:rPr>
            </w:r>
            <w:r/>
          </w:p>
          <w:p>
            <w:pPr>
              <w:pStyle w:val="1008"/>
              <w:spacing w:line="360" w:lineRule="auto"/>
              <w:rPr>
                <w:rFonts w:ascii="Arial"/>
                <w:highlight w:val="none"/>
              </w:rPr>
            </w:pPr>
            <w:r>
              <w:rPr>
                <w:rFonts w:ascii="Arial"/>
                <w:highlight w:val="none"/>
              </w:rPr>
            </w:r>
            <w:r>
              <w:rPr>
                <w:highlight w:val="none"/>
              </w:rPr>
            </w:r>
            <w:r/>
          </w:p>
          <w:p>
            <w:pPr>
              <w:pStyle w:val="1008"/>
              <w:ind w:left="230"/>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1"/>
                <w:sz w:val="16"/>
                <w:szCs w:val="16"/>
                <w:highlight w:val="none"/>
              </w:rPr>
              <w:t xml:space="preserve">2</w:t>
            </w:r>
            <w:r>
              <w:rPr>
                <w:highlight w:val="none"/>
              </w:rPr>
            </w:r>
            <w:r/>
          </w:p>
        </w:tc>
        <w:tc>
          <w:tcPr>
            <w:tcW w:w="1622" w:type="dxa"/>
            <w:vAlign w:val="top"/>
            <w:vMerge w:val="restart"/>
            <w:textDirection w:val="lrTb"/>
            <w:noWrap w:val="false"/>
          </w:tcPr>
          <w:p>
            <w:pPr>
              <w:pStyle w:val="1008"/>
              <w:jc w:val="center"/>
              <w:spacing w:line="360" w:lineRule="auto"/>
              <w:rPr>
                <w:rFonts w:ascii="Arial"/>
                <w:highlight w:val="none"/>
              </w:rPr>
            </w:pPr>
            <w:r>
              <w:rPr>
                <w:rFonts w:ascii="Arial"/>
                <w:highlight w:val="none"/>
              </w:rPr>
            </w:r>
            <w:r>
              <w:rPr>
                <w:highlight w:val="none"/>
              </w:rPr>
            </w:r>
            <w:r/>
          </w:p>
          <w:p>
            <w:pPr>
              <w:pStyle w:val="1008"/>
              <w:jc w:val="center"/>
              <w:spacing w:line="360" w:lineRule="auto"/>
              <w:rPr>
                <w:rFonts w:ascii="Arial"/>
                <w:highlight w:val="none"/>
              </w:rPr>
            </w:pPr>
            <w:r>
              <w:rPr>
                <w:rFonts w:ascii="Arial"/>
                <w:highlight w:val="none"/>
              </w:rPr>
            </w:r>
            <w:r>
              <w:rPr>
                <w:highlight w:val="none"/>
              </w:rPr>
            </w:r>
            <w:r/>
          </w:p>
          <w:p>
            <w:pPr>
              <w:pStyle w:val="1008"/>
              <w:jc w:val="center"/>
              <w:spacing w:line="360" w:lineRule="auto"/>
              <w:rPr>
                <w:rFonts w:ascii="Arial"/>
                <w:highlight w:val="none"/>
              </w:rPr>
            </w:pPr>
            <w:r>
              <w:rPr>
                <w:rFonts w:ascii="Arial"/>
                <w:highlight w:val="none"/>
              </w:rPr>
            </w:r>
            <w:r>
              <w:rPr>
                <w:highlight w:val="none"/>
              </w:rPr>
            </w:r>
            <w:r/>
          </w:p>
          <w:p>
            <w:pPr>
              <w:pStyle w:val="1008"/>
              <w:ind w:left="636"/>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9"/>
                <w:sz w:val="16"/>
                <w:szCs w:val="16"/>
                <w:highlight w:val="none"/>
              </w:rPr>
              <w:t xml:space="preserve">氨氮</w:t>
            </w:r>
            <w:r>
              <w:rPr>
                <w:highlight w:val="none"/>
              </w:rPr>
            </w:r>
            <w:r/>
          </w:p>
        </w:tc>
        <w:tc>
          <w:tcPr>
            <w:tcW w:w="5766" w:type="dxa"/>
            <w:vAlign w:val="top"/>
            <w:textDirection w:val="lrTb"/>
            <w:noWrap w:val="false"/>
          </w:tcPr>
          <w:p>
            <w:pPr>
              <w:pStyle w:val="1008"/>
              <w:ind w:left="1267"/>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5"/>
                <w:sz w:val="16"/>
                <w:szCs w:val="16"/>
                <w:highlight w:val="none"/>
              </w:rPr>
              <w:t xml:space="preserve">水</w:t>
            </w:r>
            <w:r>
              <w:rPr>
                <w:rFonts w:ascii="微软雅黑" w:hAnsi="微软雅黑" w:eastAsia="微软雅黑" w:cs="微软雅黑"/>
                <w:spacing w:val="12"/>
                <w:sz w:val="16"/>
                <w:szCs w:val="16"/>
                <w:highlight w:val="none"/>
              </w:rPr>
              <w:t xml:space="preserve">质    氨氮的测和    气相分子吸收光谱法</w:t>
            </w:r>
            <w:r>
              <w:rPr>
                <w:highlight w:val="none"/>
              </w:rPr>
            </w:r>
            <w:r/>
          </w:p>
        </w:tc>
        <w:tc>
          <w:tcPr>
            <w:tcW w:w="1286" w:type="dxa"/>
            <w:vAlign w:val="top"/>
            <w:textDirection w:val="lrTb"/>
            <w:noWrap w:val="false"/>
          </w:tcPr>
          <w:p>
            <w:pPr>
              <w:pStyle w:val="1008"/>
              <w:ind w:left="277"/>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25"/>
                <w:sz w:val="16"/>
                <w:szCs w:val="16"/>
                <w:highlight w:val="none"/>
              </w:rPr>
              <w:t xml:space="preserve">/</w:t>
            </w:r>
            <w:r>
              <w:rPr>
                <w:rFonts w:ascii="微软雅黑" w:hAnsi="微软雅黑" w:eastAsia="微软雅黑" w:cs="微软雅黑"/>
                <w:sz w:val="16"/>
                <w:szCs w:val="16"/>
                <w:highlight w:val="none"/>
              </w:rPr>
              <w:t xml:space="preserve">T</w:t>
            </w:r>
            <w:r>
              <w:rPr>
                <w:rFonts w:ascii="微软雅黑" w:hAnsi="微软雅黑" w:eastAsia="微软雅黑" w:cs="微软雅黑"/>
                <w:spacing w:val="23"/>
                <w:sz w:val="16"/>
                <w:szCs w:val="16"/>
                <w:highlight w:val="none"/>
              </w:rPr>
              <w:t xml:space="preserve"> 195</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1267"/>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5"/>
                <w:sz w:val="16"/>
                <w:szCs w:val="16"/>
                <w:highlight w:val="none"/>
              </w:rPr>
              <w:t xml:space="preserve">水</w:t>
            </w:r>
            <w:r>
              <w:rPr>
                <w:rFonts w:ascii="微软雅黑" w:hAnsi="微软雅黑" w:eastAsia="微软雅黑" w:cs="微软雅黑"/>
                <w:spacing w:val="12"/>
                <w:sz w:val="16"/>
                <w:szCs w:val="16"/>
                <w:highlight w:val="none"/>
              </w:rPr>
              <w:t xml:space="preserve">质    氨氮的测和    纳氏试剂分光光度法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5</w:t>
            </w:r>
            <w:r>
              <w:rPr>
                <w:rFonts w:ascii="微软雅黑" w:hAnsi="微软雅黑" w:eastAsia="微软雅黑" w:cs="微软雅黑"/>
                <w:spacing w:val="36"/>
                <w:sz w:val="16"/>
                <w:szCs w:val="16"/>
                <w:highlight w:val="none"/>
              </w:rPr>
              <w:t xml:space="preserve">35</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1356"/>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2"/>
                <w:sz w:val="16"/>
                <w:szCs w:val="16"/>
                <w:highlight w:val="none"/>
              </w:rPr>
              <w:t xml:space="preserve">水</w:t>
            </w:r>
            <w:r>
              <w:rPr>
                <w:rFonts w:ascii="微软雅黑" w:hAnsi="微软雅黑" w:eastAsia="微软雅黑" w:cs="微软雅黑"/>
                <w:spacing w:val="18"/>
                <w:sz w:val="16"/>
                <w:szCs w:val="16"/>
                <w:highlight w:val="none"/>
              </w:rPr>
              <w:t xml:space="preserve">质</w:t>
            </w:r>
            <w:r>
              <w:rPr>
                <w:rFonts w:ascii="微软雅黑" w:hAnsi="微软雅黑" w:eastAsia="微软雅黑" w:cs="微软雅黑"/>
                <w:spacing w:val="11"/>
                <w:sz w:val="16"/>
                <w:szCs w:val="16"/>
                <w:highlight w:val="none"/>
              </w:rPr>
              <w:t xml:space="preserve">    氨氮的测和    水杨酸分光光度法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5</w:t>
            </w:r>
            <w:r>
              <w:rPr>
                <w:rFonts w:ascii="微软雅黑" w:hAnsi="微软雅黑" w:eastAsia="微软雅黑" w:cs="微软雅黑"/>
                <w:spacing w:val="36"/>
                <w:sz w:val="16"/>
                <w:szCs w:val="16"/>
                <w:highlight w:val="none"/>
              </w:rPr>
              <w:t xml:space="preserve">36</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966"/>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0"/>
                <w:sz w:val="16"/>
                <w:szCs w:val="16"/>
                <w:highlight w:val="none"/>
              </w:rPr>
              <w:t xml:space="preserve">水</w:t>
            </w:r>
            <w:r>
              <w:rPr>
                <w:rFonts w:ascii="微软雅黑" w:hAnsi="微软雅黑" w:eastAsia="微软雅黑" w:cs="微软雅黑"/>
                <w:spacing w:val="12"/>
                <w:sz w:val="16"/>
                <w:szCs w:val="16"/>
                <w:highlight w:val="none"/>
              </w:rPr>
              <w:t xml:space="preserve">质    氨氮的测和    连续流动</w:t>
            </w:r>
            <w:r>
              <w:rPr>
                <w:rFonts w:ascii="微软雅黑" w:hAnsi="微软雅黑" w:eastAsia="微软雅黑" w:cs="微软雅黑"/>
                <w:spacing w:val="12"/>
                <w:position w:val="-1"/>
                <w:sz w:val="16"/>
                <w:szCs w:val="16"/>
                <w:highlight w:val="none"/>
              </w:rPr>
              <w:t xml:space="preserve">-</w:t>
            </w:r>
            <w:r>
              <w:rPr>
                <w:rFonts w:ascii="微软雅黑" w:hAnsi="微软雅黑" w:eastAsia="微软雅黑" w:cs="微软雅黑"/>
                <w:spacing w:val="12"/>
                <w:sz w:val="16"/>
                <w:szCs w:val="16"/>
                <w:highlight w:val="none"/>
              </w:rPr>
              <w:t xml:space="preserve">水杨酸分光光度法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65</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966"/>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0"/>
                <w:sz w:val="16"/>
                <w:szCs w:val="16"/>
                <w:highlight w:val="none"/>
              </w:rPr>
              <w:t xml:space="preserve">水</w:t>
            </w:r>
            <w:r>
              <w:rPr>
                <w:rFonts w:ascii="微软雅黑" w:hAnsi="微软雅黑" w:eastAsia="微软雅黑" w:cs="微软雅黑"/>
                <w:spacing w:val="12"/>
                <w:sz w:val="16"/>
                <w:szCs w:val="16"/>
                <w:highlight w:val="none"/>
              </w:rPr>
              <w:t xml:space="preserve">质    氨氮的测和    流动注射</w:t>
            </w:r>
            <w:r>
              <w:rPr>
                <w:rFonts w:ascii="微软雅黑" w:hAnsi="微软雅黑" w:eastAsia="微软雅黑" w:cs="微软雅黑"/>
                <w:spacing w:val="12"/>
                <w:position w:val="-1"/>
                <w:sz w:val="16"/>
                <w:szCs w:val="16"/>
                <w:highlight w:val="none"/>
              </w:rPr>
              <w:t xml:space="preserve">-</w:t>
            </w:r>
            <w:r>
              <w:rPr>
                <w:rFonts w:ascii="微软雅黑" w:hAnsi="微软雅黑" w:eastAsia="微软雅黑" w:cs="微软雅黑"/>
                <w:spacing w:val="12"/>
                <w:sz w:val="16"/>
                <w:szCs w:val="16"/>
                <w:highlight w:val="none"/>
              </w:rPr>
              <w:t xml:space="preserve">水杨酸分光光度法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66</w:t>
            </w:r>
            <w:r>
              <w:rPr>
                <w:highlight w:val="none"/>
              </w:rPr>
            </w:r>
            <w:r/>
          </w:p>
        </w:tc>
      </w:tr>
      <w:tr>
        <w:trPr>
          <w:trHeight w:val="356"/>
        </w:trPr>
        <w:tc>
          <w:tcPr>
            <w:tcW w:w="548" w:type="dxa"/>
            <w:vAlign w:val="top"/>
            <w:vMerge w:val="restart"/>
            <w:textDirection w:val="lrTb"/>
            <w:noWrap w:val="false"/>
          </w:tcPr>
          <w:p>
            <w:pPr>
              <w:pStyle w:val="1008"/>
              <w:spacing w:line="360" w:lineRule="auto"/>
              <w:rPr>
                <w:rFonts w:ascii="Arial"/>
                <w:highlight w:val="none"/>
              </w:rPr>
            </w:pPr>
            <w:r>
              <w:rPr>
                <w:rFonts w:ascii="Arial"/>
                <w:highlight w:val="none"/>
              </w:rPr>
            </w:r>
            <w:r>
              <w:rPr>
                <w:highlight w:val="none"/>
              </w:rPr>
            </w:r>
            <w:r/>
          </w:p>
          <w:p>
            <w:pPr>
              <w:pStyle w:val="1008"/>
              <w:spacing w:line="360" w:lineRule="auto"/>
              <w:rPr>
                <w:rFonts w:ascii="Arial"/>
                <w:highlight w:val="none"/>
              </w:rPr>
            </w:pPr>
            <w:r>
              <w:rPr>
                <w:rFonts w:ascii="Arial"/>
                <w:highlight w:val="none"/>
              </w:rPr>
            </w:r>
            <w:r>
              <w:rPr>
                <w:highlight w:val="none"/>
              </w:rPr>
            </w:r>
            <w:r/>
          </w:p>
          <w:p>
            <w:pPr>
              <w:pStyle w:val="1008"/>
              <w:ind w:left="231"/>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0"/>
                <w:sz w:val="16"/>
                <w:szCs w:val="16"/>
                <w:highlight w:val="none"/>
              </w:rPr>
              <w:t xml:space="preserve">3</w:t>
            </w:r>
            <w:r>
              <w:rPr>
                <w:highlight w:val="none"/>
              </w:rPr>
            </w:r>
            <w:r/>
          </w:p>
        </w:tc>
        <w:tc>
          <w:tcPr>
            <w:tcW w:w="1622" w:type="dxa"/>
            <w:vAlign w:val="top"/>
            <w:vMerge w:val="restart"/>
            <w:textDirection w:val="lrTb"/>
            <w:noWrap w:val="false"/>
          </w:tcPr>
          <w:p>
            <w:pPr>
              <w:pStyle w:val="1008"/>
              <w:jc w:val="center"/>
              <w:spacing w:line="360" w:lineRule="auto"/>
              <w:rPr>
                <w:rFonts w:ascii="Arial"/>
                <w:highlight w:val="none"/>
              </w:rPr>
            </w:pPr>
            <w:r>
              <w:rPr>
                <w:rFonts w:ascii="Arial"/>
                <w:highlight w:val="none"/>
              </w:rPr>
            </w:r>
            <w:r>
              <w:rPr>
                <w:highlight w:val="none"/>
              </w:rPr>
            </w:r>
            <w:r/>
          </w:p>
          <w:p>
            <w:pPr>
              <w:pStyle w:val="1008"/>
              <w:jc w:val="center"/>
              <w:spacing w:line="360" w:lineRule="auto"/>
              <w:rPr>
                <w:rFonts w:ascii="Arial"/>
                <w:highlight w:val="none"/>
              </w:rPr>
            </w:pPr>
            <w:r>
              <w:rPr>
                <w:rFonts w:ascii="Arial"/>
                <w:highlight w:val="none"/>
              </w:rPr>
            </w:r>
            <w:r>
              <w:rPr>
                <w:highlight w:val="none"/>
              </w:rPr>
            </w:r>
            <w:r/>
          </w:p>
          <w:p>
            <w:pPr>
              <w:pStyle w:val="1008"/>
              <w:ind w:left="256"/>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41"/>
                <w:sz w:val="16"/>
                <w:szCs w:val="16"/>
                <w:highlight w:val="none"/>
              </w:rPr>
              <w:t xml:space="preserve">总</w:t>
            </w:r>
            <w:r>
              <w:rPr>
                <w:rFonts w:ascii="微软雅黑" w:hAnsi="微软雅黑" w:eastAsia="微软雅黑" w:cs="微软雅黑"/>
                <w:spacing w:val="37"/>
                <w:sz w:val="16"/>
                <w:szCs w:val="16"/>
                <w:highlight w:val="none"/>
              </w:rPr>
              <w:t xml:space="preserve">氮(以</w:t>
            </w:r>
            <w:r>
              <w:rPr>
                <w:rFonts w:ascii="微软雅黑" w:hAnsi="微软雅黑" w:eastAsia="微软雅黑" w:cs="微软雅黑"/>
                <w:sz w:val="16"/>
                <w:szCs w:val="16"/>
                <w:highlight w:val="none"/>
              </w:rPr>
              <w:t xml:space="preserve">N</w:t>
            </w:r>
            <w:r>
              <w:rPr>
                <w:rFonts w:ascii="微软雅黑" w:hAnsi="微软雅黑" w:eastAsia="微软雅黑" w:cs="微软雅黑"/>
                <w:spacing w:val="37"/>
                <w:sz w:val="16"/>
                <w:szCs w:val="16"/>
                <w:highlight w:val="none"/>
              </w:rPr>
              <w:t xml:space="preserve">计)</w:t>
            </w:r>
            <w:r>
              <w:rPr>
                <w:highlight w:val="none"/>
              </w:rPr>
            </w:r>
            <w:r/>
          </w:p>
        </w:tc>
        <w:tc>
          <w:tcPr>
            <w:tcW w:w="5766" w:type="dxa"/>
            <w:vAlign w:val="top"/>
            <w:textDirection w:val="lrTb"/>
            <w:noWrap w:val="false"/>
          </w:tcPr>
          <w:p>
            <w:pPr>
              <w:pStyle w:val="1008"/>
              <w:ind w:left="1267"/>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5"/>
                <w:sz w:val="16"/>
                <w:szCs w:val="16"/>
                <w:highlight w:val="none"/>
              </w:rPr>
              <w:t xml:space="preserve">水</w:t>
            </w:r>
            <w:r>
              <w:rPr>
                <w:rFonts w:ascii="微软雅黑" w:hAnsi="微软雅黑" w:eastAsia="微软雅黑" w:cs="微软雅黑"/>
                <w:spacing w:val="12"/>
                <w:sz w:val="16"/>
                <w:szCs w:val="16"/>
                <w:highlight w:val="none"/>
              </w:rPr>
              <w:t xml:space="preserve">质    总氮的测和    气相分子吸收光谱法</w:t>
            </w:r>
            <w:r>
              <w:rPr>
                <w:highlight w:val="none"/>
              </w:rPr>
            </w:r>
            <w:r/>
          </w:p>
        </w:tc>
        <w:tc>
          <w:tcPr>
            <w:tcW w:w="1286" w:type="dxa"/>
            <w:vAlign w:val="top"/>
            <w:textDirection w:val="lrTb"/>
            <w:noWrap w:val="false"/>
          </w:tcPr>
          <w:p>
            <w:pPr>
              <w:pStyle w:val="1008"/>
              <w:ind w:left="277"/>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25"/>
                <w:sz w:val="16"/>
                <w:szCs w:val="16"/>
                <w:highlight w:val="none"/>
              </w:rPr>
              <w:t xml:space="preserve">/</w:t>
            </w:r>
            <w:r>
              <w:rPr>
                <w:rFonts w:ascii="微软雅黑" w:hAnsi="微软雅黑" w:eastAsia="微软雅黑" w:cs="微软雅黑"/>
                <w:sz w:val="16"/>
                <w:szCs w:val="16"/>
                <w:highlight w:val="none"/>
              </w:rPr>
              <w:t xml:space="preserve">T</w:t>
            </w:r>
            <w:r>
              <w:rPr>
                <w:rFonts w:ascii="微软雅黑" w:hAnsi="微软雅黑" w:eastAsia="微软雅黑" w:cs="微软雅黑"/>
                <w:spacing w:val="23"/>
                <w:sz w:val="16"/>
                <w:szCs w:val="16"/>
                <w:highlight w:val="none"/>
              </w:rPr>
              <w:t xml:space="preserve"> 199</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725"/>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4"/>
                <w:sz w:val="16"/>
                <w:szCs w:val="16"/>
                <w:highlight w:val="none"/>
              </w:rPr>
              <w:t xml:space="preserve">水质    总氮的测和    碱性过硫酸钾消解紫外分光光度</w:t>
            </w:r>
            <w:r>
              <w:rPr>
                <w:rFonts w:ascii="微软雅黑" w:hAnsi="微软雅黑" w:eastAsia="微软雅黑" w:cs="微软雅黑"/>
                <w:spacing w:val="8"/>
                <w:sz w:val="16"/>
                <w:szCs w:val="16"/>
                <w:highlight w:val="none"/>
              </w:rPr>
              <w:t xml:space="preserve">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36</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694"/>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5"/>
                <w:sz w:val="16"/>
                <w:szCs w:val="16"/>
                <w:highlight w:val="none"/>
              </w:rPr>
              <w:t xml:space="preserve">水</w:t>
            </w:r>
            <w:r>
              <w:rPr>
                <w:rFonts w:ascii="微软雅黑" w:hAnsi="微软雅黑" w:eastAsia="微软雅黑" w:cs="微软雅黑"/>
                <w:spacing w:val="13"/>
                <w:sz w:val="16"/>
                <w:szCs w:val="16"/>
                <w:highlight w:val="none"/>
              </w:rPr>
              <w:t xml:space="preserve">质    总氮的测和    连续流动</w:t>
            </w:r>
            <w:r>
              <w:rPr>
                <w:rFonts w:ascii="微软雅黑" w:hAnsi="微软雅黑" w:eastAsia="微软雅黑" w:cs="微软雅黑"/>
                <w:spacing w:val="13"/>
                <w:position w:val="-1"/>
                <w:sz w:val="16"/>
                <w:szCs w:val="16"/>
                <w:highlight w:val="none"/>
              </w:rPr>
              <w:t xml:space="preserve">-</w:t>
            </w:r>
            <w:r>
              <w:rPr>
                <w:rFonts w:ascii="微软雅黑" w:hAnsi="微软雅黑" w:eastAsia="微软雅黑" w:cs="微软雅黑"/>
                <w:spacing w:val="13"/>
                <w:sz w:val="16"/>
                <w:szCs w:val="16"/>
                <w:highlight w:val="none"/>
              </w:rPr>
              <w:t xml:space="preserve">盐酸蔡乙二胺分光光度法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67</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694"/>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5"/>
                <w:sz w:val="16"/>
                <w:szCs w:val="16"/>
                <w:highlight w:val="none"/>
              </w:rPr>
              <w:t xml:space="preserve">水</w:t>
            </w:r>
            <w:r>
              <w:rPr>
                <w:rFonts w:ascii="微软雅黑" w:hAnsi="微软雅黑" w:eastAsia="微软雅黑" w:cs="微软雅黑"/>
                <w:spacing w:val="13"/>
                <w:sz w:val="16"/>
                <w:szCs w:val="16"/>
                <w:highlight w:val="none"/>
              </w:rPr>
              <w:t xml:space="preserve">质    总氮的测和    流动注射</w:t>
            </w:r>
            <w:r>
              <w:rPr>
                <w:rFonts w:ascii="微软雅黑" w:hAnsi="微软雅黑" w:eastAsia="微软雅黑" w:cs="微软雅黑"/>
                <w:spacing w:val="13"/>
                <w:position w:val="-1"/>
                <w:sz w:val="16"/>
                <w:szCs w:val="16"/>
                <w:highlight w:val="none"/>
              </w:rPr>
              <w:t xml:space="preserve">-</w:t>
            </w:r>
            <w:r>
              <w:rPr>
                <w:rFonts w:ascii="微软雅黑" w:hAnsi="微软雅黑" w:eastAsia="微软雅黑" w:cs="微软雅黑"/>
                <w:spacing w:val="13"/>
                <w:sz w:val="16"/>
                <w:szCs w:val="16"/>
                <w:highlight w:val="none"/>
              </w:rPr>
              <w:t xml:space="preserve">盐酸蔡乙二胺分光光度法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68</w:t>
            </w:r>
            <w:r>
              <w:rPr>
                <w:highlight w:val="none"/>
              </w:rPr>
            </w:r>
            <w:r/>
          </w:p>
        </w:tc>
      </w:tr>
      <w:tr>
        <w:trPr>
          <w:trHeight w:val="356"/>
        </w:trPr>
        <w:tc>
          <w:tcPr>
            <w:tcW w:w="548" w:type="dxa"/>
            <w:vAlign w:val="top"/>
            <w:vMerge w:val="restart"/>
            <w:textDirection w:val="lrTb"/>
            <w:noWrap w:val="false"/>
          </w:tcPr>
          <w:p>
            <w:pPr>
              <w:pStyle w:val="1008"/>
              <w:spacing w:line="360" w:lineRule="auto"/>
              <w:rPr>
                <w:rFonts w:ascii="Arial"/>
                <w:highlight w:val="none"/>
              </w:rPr>
            </w:pPr>
            <w:r>
              <w:rPr>
                <w:rFonts w:ascii="Arial"/>
                <w:highlight w:val="none"/>
              </w:rPr>
            </w:r>
            <w:r>
              <w:rPr>
                <w:highlight w:val="none"/>
              </w:rPr>
            </w:r>
            <w:r/>
          </w:p>
          <w:p>
            <w:pPr>
              <w:pStyle w:val="1008"/>
              <w:ind w:left="229"/>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2"/>
                <w:sz w:val="16"/>
                <w:szCs w:val="16"/>
                <w:highlight w:val="none"/>
              </w:rPr>
              <w:t xml:space="preserve">4</w:t>
            </w:r>
            <w:r>
              <w:rPr>
                <w:highlight w:val="none"/>
              </w:rPr>
            </w:r>
            <w:r/>
          </w:p>
        </w:tc>
        <w:tc>
          <w:tcPr>
            <w:tcW w:w="1622" w:type="dxa"/>
            <w:vAlign w:val="top"/>
            <w:vMerge w:val="restart"/>
            <w:textDirection w:val="lrTb"/>
            <w:noWrap w:val="false"/>
          </w:tcPr>
          <w:p>
            <w:pPr>
              <w:pStyle w:val="1008"/>
              <w:jc w:val="center"/>
              <w:spacing w:line="360" w:lineRule="auto"/>
              <w:rPr>
                <w:rFonts w:ascii="Arial"/>
                <w:highlight w:val="none"/>
              </w:rPr>
            </w:pPr>
            <w:r>
              <w:rPr>
                <w:rFonts w:ascii="Arial"/>
                <w:highlight w:val="none"/>
              </w:rPr>
            </w:r>
            <w:r>
              <w:rPr>
                <w:highlight w:val="none"/>
              </w:rPr>
            </w:r>
            <w:r/>
          </w:p>
          <w:p>
            <w:pPr>
              <w:pStyle w:val="1008"/>
              <w:ind w:left="270"/>
              <w:jc w:val="center"/>
              <w:spacing w:line="360" w:lineRule="auto"/>
              <w:rPr>
                <w:rFonts w:ascii="微软雅黑" w:hAnsi="微软雅黑" w:eastAsia="微软雅黑" w:cs="微软雅黑"/>
                <w:spacing w:val="38"/>
                <w:sz w:val="16"/>
                <w:szCs w:val="16"/>
                <w:highlight w:val="none"/>
              </w:rPr>
            </w:pPr>
            <w:r>
              <w:rPr>
                <w:rFonts w:ascii="微软雅黑" w:hAnsi="微软雅黑" w:eastAsia="微软雅黑" w:cs="微软雅黑"/>
                <w:spacing w:val="40"/>
                <w:sz w:val="16"/>
                <w:szCs w:val="16"/>
                <w:highlight w:val="none"/>
              </w:rPr>
              <w:t xml:space="preserve">总</w:t>
            </w:r>
            <w:r>
              <w:rPr>
                <w:rFonts w:ascii="微软雅黑" w:hAnsi="微软雅黑" w:eastAsia="微软雅黑" w:cs="微软雅黑"/>
                <w:spacing w:val="38"/>
                <w:sz w:val="16"/>
                <w:szCs w:val="16"/>
                <w:highlight w:val="none"/>
              </w:rPr>
              <w:t xml:space="preserve">磷</w:t>
            </w:r>
            <w:r>
              <w:rPr>
                <w:highlight w:val="none"/>
              </w:rPr>
            </w:r>
            <w:r/>
          </w:p>
          <w:p>
            <w:pPr>
              <w:pStyle w:val="1008"/>
              <w:ind w:left="270"/>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38"/>
                <w:sz w:val="16"/>
                <w:szCs w:val="16"/>
                <w:highlight w:val="none"/>
              </w:rPr>
              <w:t xml:space="preserve">(以 </w:t>
            </w:r>
            <w:r>
              <w:rPr>
                <w:rFonts w:ascii="微软雅黑" w:hAnsi="微软雅黑" w:eastAsia="微软雅黑" w:cs="微软雅黑"/>
                <w:sz w:val="16"/>
                <w:szCs w:val="16"/>
                <w:highlight w:val="none"/>
              </w:rPr>
              <w:t xml:space="preserve">P</w:t>
            </w:r>
            <w:r>
              <w:rPr>
                <w:rFonts w:ascii="微软雅黑" w:hAnsi="微软雅黑" w:eastAsia="微软雅黑" w:cs="微软雅黑"/>
                <w:spacing w:val="38"/>
                <w:sz w:val="16"/>
                <w:szCs w:val="16"/>
                <w:highlight w:val="none"/>
              </w:rPr>
              <w:t xml:space="preserve">计)</w:t>
            </w:r>
            <w:r>
              <w:rPr>
                <w:highlight w:val="none"/>
              </w:rPr>
            </w:r>
            <w:r/>
          </w:p>
        </w:tc>
        <w:tc>
          <w:tcPr>
            <w:tcW w:w="5766" w:type="dxa"/>
            <w:vAlign w:val="top"/>
            <w:textDirection w:val="lrTb"/>
            <w:noWrap w:val="false"/>
          </w:tcPr>
          <w:p>
            <w:pPr>
              <w:pStyle w:val="1008"/>
              <w:ind w:left="1356"/>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2"/>
                <w:sz w:val="16"/>
                <w:szCs w:val="16"/>
                <w:highlight w:val="none"/>
              </w:rPr>
              <w:t xml:space="preserve">水</w:t>
            </w:r>
            <w:r>
              <w:rPr>
                <w:rFonts w:ascii="微软雅黑" w:hAnsi="微软雅黑" w:eastAsia="微软雅黑" w:cs="微软雅黑"/>
                <w:spacing w:val="18"/>
                <w:sz w:val="16"/>
                <w:szCs w:val="16"/>
                <w:highlight w:val="none"/>
              </w:rPr>
              <w:t xml:space="preserve">质</w:t>
            </w:r>
            <w:r>
              <w:rPr>
                <w:rFonts w:ascii="微软雅黑" w:hAnsi="微软雅黑" w:eastAsia="微软雅黑" w:cs="微软雅黑"/>
                <w:spacing w:val="11"/>
                <w:sz w:val="16"/>
                <w:szCs w:val="16"/>
                <w:highlight w:val="none"/>
              </w:rPr>
              <w:t xml:space="preserve">    总磷的测和    钼酸铵分光光度法</w:t>
            </w:r>
            <w:r>
              <w:rPr>
                <w:highlight w:val="none"/>
              </w:rPr>
            </w:r>
            <w:r/>
          </w:p>
        </w:tc>
        <w:tc>
          <w:tcPr>
            <w:tcW w:w="1286" w:type="dxa"/>
            <w:vAlign w:val="top"/>
            <w:textDirection w:val="lrTb"/>
            <w:noWrap w:val="false"/>
          </w:tcPr>
          <w:p>
            <w:pPr>
              <w:pStyle w:val="1008"/>
              <w:ind w:left="17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GB</w:t>
            </w:r>
            <w:r>
              <w:rPr>
                <w:rFonts w:ascii="微软雅黑" w:hAnsi="微软雅黑" w:eastAsia="微软雅黑" w:cs="微软雅黑"/>
                <w:spacing w:val="15"/>
                <w:sz w:val="16"/>
                <w:szCs w:val="16"/>
                <w:highlight w:val="none"/>
              </w:rPr>
              <w:t xml:space="preserve">/</w:t>
            </w:r>
            <w:r>
              <w:rPr>
                <w:rFonts w:ascii="微软雅黑" w:hAnsi="微软雅黑" w:eastAsia="微软雅黑" w:cs="微软雅黑"/>
                <w:sz w:val="16"/>
                <w:szCs w:val="16"/>
                <w:highlight w:val="none"/>
              </w:rPr>
              <w:t xml:space="preserve">T</w:t>
            </w:r>
            <w:r>
              <w:rPr>
                <w:rFonts w:ascii="微软雅黑" w:hAnsi="微软雅黑" w:eastAsia="微软雅黑" w:cs="微软雅黑"/>
                <w:spacing w:val="13"/>
                <w:sz w:val="16"/>
                <w:szCs w:val="16"/>
                <w:highlight w:val="none"/>
              </w:rPr>
              <w:t xml:space="preserve"> 11893</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605"/>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2"/>
                <w:sz w:val="16"/>
                <w:szCs w:val="16"/>
                <w:highlight w:val="none"/>
              </w:rPr>
              <w:t xml:space="preserve">水</w:t>
            </w:r>
            <w:r>
              <w:rPr>
                <w:rFonts w:ascii="微软雅黑" w:hAnsi="微软雅黑" w:eastAsia="微软雅黑" w:cs="微软雅黑"/>
                <w:spacing w:val="13"/>
                <w:sz w:val="16"/>
                <w:szCs w:val="16"/>
                <w:highlight w:val="none"/>
              </w:rPr>
              <w:t xml:space="preserve">质    磷酸盐件总磷的测和   连续流动</w:t>
            </w:r>
            <w:r>
              <w:rPr>
                <w:rFonts w:ascii="微软雅黑" w:hAnsi="微软雅黑" w:eastAsia="微软雅黑" w:cs="微软雅黑"/>
                <w:spacing w:val="13"/>
                <w:position w:val="-1"/>
                <w:sz w:val="16"/>
                <w:szCs w:val="16"/>
                <w:highlight w:val="none"/>
              </w:rPr>
              <w:t xml:space="preserve">-</w:t>
            </w:r>
            <w:r>
              <w:rPr>
                <w:rFonts w:ascii="微软雅黑" w:hAnsi="微软雅黑" w:eastAsia="微软雅黑" w:cs="微软雅黑"/>
                <w:spacing w:val="13"/>
                <w:sz w:val="16"/>
                <w:szCs w:val="16"/>
                <w:highlight w:val="none"/>
              </w:rPr>
              <w:t xml:space="preserve">钼酸铵分光光度法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70</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966"/>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0"/>
                <w:sz w:val="16"/>
                <w:szCs w:val="16"/>
                <w:highlight w:val="none"/>
              </w:rPr>
              <w:t xml:space="preserve">水</w:t>
            </w:r>
            <w:r>
              <w:rPr>
                <w:rFonts w:ascii="微软雅黑" w:hAnsi="微软雅黑" w:eastAsia="微软雅黑" w:cs="微软雅黑"/>
                <w:spacing w:val="12"/>
                <w:sz w:val="16"/>
                <w:szCs w:val="16"/>
                <w:highlight w:val="none"/>
              </w:rPr>
              <w:t xml:space="preserve">质    总磷的测和    流动注射</w:t>
            </w:r>
            <w:r>
              <w:rPr>
                <w:rFonts w:ascii="微软雅黑" w:hAnsi="微软雅黑" w:eastAsia="微软雅黑" w:cs="微软雅黑"/>
                <w:spacing w:val="12"/>
                <w:position w:val="-1"/>
                <w:sz w:val="16"/>
                <w:szCs w:val="16"/>
                <w:highlight w:val="none"/>
              </w:rPr>
              <w:t xml:space="preserve">-</w:t>
            </w:r>
            <w:r>
              <w:rPr>
                <w:rFonts w:ascii="微软雅黑" w:hAnsi="微软雅黑" w:eastAsia="微软雅黑" w:cs="微软雅黑"/>
                <w:spacing w:val="12"/>
                <w:sz w:val="16"/>
                <w:szCs w:val="16"/>
                <w:highlight w:val="none"/>
              </w:rPr>
              <w:t xml:space="preserve">钼酸铵分光光度法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71</w:t>
            </w:r>
            <w:r>
              <w:rPr>
                <w:highlight w:val="none"/>
              </w:rPr>
            </w:r>
            <w:r/>
          </w:p>
        </w:tc>
      </w:tr>
      <w:tr>
        <w:trPr>
          <w:trHeight w:val="354"/>
        </w:trPr>
        <w:tc>
          <w:tcPr>
            <w:tcW w:w="548" w:type="dxa"/>
            <w:vAlign w:val="top"/>
            <w:textDirection w:val="lrTb"/>
            <w:noWrap w:val="false"/>
          </w:tcPr>
          <w:p>
            <w:pPr>
              <w:pStyle w:val="1008"/>
              <w:ind w:left="232"/>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9"/>
                <w:sz w:val="16"/>
                <w:szCs w:val="16"/>
                <w:highlight w:val="none"/>
              </w:rPr>
              <w:t xml:space="preserve">5</w:t>
            </w:r>
            <w:r>
              <w:rPr>
                <w:highlight w:val="none"/>
              </w:rPr>
            </w:r>
            <w:r/>
          </w:p>
        </w:tc>
        <w:tc>
          <w:tcPr>
            <w:tcW w:w="1622" w:type="dxa"/>
            <w:vAlign w:val="top"/>
            <w:textDirection w:val="lrTb"/>
            <w:noWrap w:val="false"/>
          </w:tcPr>
          <w:p>
            <w:pPr>
              <w:pStyle w:val="1008"/>
              <w:ind w:left="356"/>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43"/>
                <w:sz w:val="16"/>
                <w:szCs w:val="16"/>
                <w:highlight w:val="none"/>
              </w:rPr>
              <w:t xml:space="preserve">悬</w:t>
            </w:r>
            <w:r>
              <w:rPr>
                <w:rFonts w:ascii="微软雅黑" w:hAnsi="微软雅黑" w:eastAsia="微软雅黑" w:cs="微软雅黑"/>
                <w:spacing w:val="42"/>
                <w:sz w:val="16"/>
                <w:szCs w:val="16"/>
                <w:highlight w:val="none"/>
              </w:rPr>
              <w:t xml:space="preserve">浮物(</w:t>
            </w:r>
            <w:r>
              <w:rPr>
                <w:rFonts w:ascii="微软雅黑" w:hAnsi="微软雅黑" w:eastAsia="微软雅黑" w:cs="微软雅黑"/>
                <w:sz w:val="16"/>
                <w:szCs w:val="16"/>
                <w:highlight w:val="none"/>
              </w:rPr>
              <w:t xml:space="preserve">SS</w:t>
            </w:r>
            <w:r>
              <w:rPr>
                <w:rFonts w:ascii="微软雅黑" w:hAnsi="微软雅黑" w:eastAsia="微软雅黑" w:cs="微软雅黑"/>
                <w:spacing w:val="42"/>
                <w:sz w:val="16"/>
                <w:szCs w:val="16"/>
                <w:highlight w:val="none"/>
              </w:rPr>
              <w:t xml:space="preserve">)</w:t>
            </w:r>
            <w:r>
              <w:rPr>
                <w:highlight w:val="none"/>
              </w:rPr>
            </w:r>
            <w:r/>
          </w:p>
        </w:tc>
        <w:tc>
          <w:tcPr>
            <w:tcW w:w="5766" w:type="dxa"/>
            <w:vAlign w:val="top"/>
            <w:textDirection w:val="lrTb"/>
            <w:noWrap w:val="false"/>
          </w:tcPr>
          <w:p>
            <w:pPr>
              <w:pStyle w:val="1008"/>
              <w:ind w:left="1717"/>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0"/>
                <w:sz w:val="16"/>
                <w:szCs w:val="16"/>
                <w:highlight w:val="none"/>
              </w:rPr>
              <w:t xml:space="preserve">水质    悬浮物的测和    重量</w:t>
            </w:r>
            <w:r>
              <w:rPr>
                <w:rFonts w:ascii="微软雅黑" w:hAnsi="微软雅黑" w:eastAsia="微软雅黑" w:cs="微软雅黑"/>
                <w:spacing w:val="9"/>
                <w:sz w:val="16"/>
                <w:szCs w:val="16"/>
                <w:highlight w:val="none"/>
              </w:rPr>
              <w:t xml:space="preserve">法</w:t>
            </w:r>
            <w:r>
              <w:rPr>
                <w:highlight w:val="none"/>
              </w:rPr>
            </w:r>
            <w:r/>
          </w:p>
        </w:tc>
        <w:tc>
          <w:tcPr>
            <w:tcW w:w="1286" w:type="dxa"/>
            <w:vAlign w:val="top"/>
            <w:textDirection w:val="lrTb"/>
            <w:noWrap w:val="false"/>
          </w:tcPr>
          <w:p>
            <w:pPr>
              <w:pStyle w:val="1008"/>
              <w:ind w:left="17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GB</w:t>
            </w:r>
            <w:r>
              <w:rPr>
                <w:rFonts w:ascii="微软雅黑" w:hAnsi="微软雅黑" w:eastAsia="微软雅黑" w:cs="微软雅黑"/>
                <w:spacing w:val="15"/>
                <w:sz w:val="16"/>
                <w:szCs w:val="16"/>
                <w:highlight w:val="none"/>
              </w:rPr>
              <w:t xml:space="preserve">/</w:t>
            </w:r>
            <w:r>
              <w:rPr>
                <w:rFonts w:ascii="微软雅黑" w:hAnsi="微软雅黑" w:eastAsia="微软雅黑" w:cs="微软雅黑"/>
                <w:sz w:val="16"/>
                <w:szCs w:val="16"/>
                <w:highlight w:val="none"/>
              </w:rPr>
              <w:t xml:space="preserve">T</w:t>
            </w:r>
            <w:r>
              <w:rPr>
                <w:rFonts w:ascii="微软雅黑" w:hAnsi="微软雅黑" w:eastAsia="微软雅黑" w:cs="微软雅黑"/>
                <w:spacing w:val="13"/>
                <w:sz w:val="16"/>
                <w:szCs w:val="16"/>
                <w:highlight w:val="none"/>
              </w:rPr>
              <w:t xml:space="preserve"> 11901</w:t>
            </w:r>
            <w:r>
              <w:rPr>
                <w:highlight w:val="none"/>
              </w:rPr>
            </w:r>
            <w:r/>
          </w:p>
        </w:tc>
      </w:tr>
      <w:tr>
        <w:trPr>
          <w:trHeight w:val="359"/>
        </w:trPr>
        <w:tc>
          <w:tcPr>
            <w:tcW w:w="548" w:type="dxa"/>
            <w:vAlign w:val="top"/>
            <w:textDirection w:val="lrTb"/>
            <w:noWrap w:val="false"/>
          </w:tcPr>
          <w:p>
            <w:pPr>
              <w:pStyle w:val="1008"/>
              <w:ind w:left="233"/>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8"/>
                <w:sz w:val="16"/>
                <w:szCs w:val="16"/>
                <w:highlight w:val="none"/>
              </w:rPr>
              <w:t xml:space="preserve">6</w:t>
            </w:r>
            <w:r>
              <w:rPr>
                <w:highlight w:val="none"/>
              </w:rPr>
            </w:r>
            <w:r/>
          </w:p>
        </w:tc>
        <w:tc>
          <w:tcPr>
            <w:tcW w:w="1622" w:type="dxa"/>
            <w:vAlign w:val="top"/>
            <w:textDirection w:val="lrTb"/>
            <w:noWrap w:val="false"/>
          </w:tcPr>
          <w:p>
            <w:pPr>
              <w:pStyle w:val="1008"/>
              <w:ind w:left="52"/>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5"/>
                <w:sz w:val="16"/>
                <w:szCs w:val="16"/>
                <w:highlight w:val="none"/>
              </w:rPr>
              <w:t xml:space="preserve">生化需氧量(</w:t>
            </w:r>
            <w:r>
              <w:rPr>
                <w:rFonts w:ascii="微软雅黑" w:hAnsi="微软雅黑" w:eastAsia="微软雅黑" w:cs="微软雅黑"/>
                <w:sz w:val="16"/>
                <w:szCs w:val="16"/>
                <w:highlight w:val="none"/>
              </w:rPr>
              <w:t xml:space="preserve">BOD</w:t>
            </w:r>
            <w:r>
              <w:rPr>
                <w:rFonts w:ascii="微软雅黑" w:hAnsi="微软雅黑" w:eastAsia="微软雅黑" w:cs="微软雅黑"/>
                <w:spacing w:val="25"/>
                <w:position w:val="-2"/>
                <w:sz w:val="9"/>
                <w:szCs w:val="9"/>
                <w:highlight w:val="none"/>
              </w:rPr>
              <w:t xml:space="preserve"> </w:t>
            </w:r>
            <w:r>
              <w:rPr>
                <w:rFonts w:ascii="微软雅黑" w:hAnsi="微软雅黑" w:eastAsia="微软雅黑" w:cs="微软雅黑"/>
                <w:spacing w:val="25"/>
                <w:position w:val="1"/>
                <w:sz w:val="16"/>
                <w:szCs w:val="16"/>
                <w:highlight w:val="none"/>
              </w:rPr>
              <w:t xml:space="preserve">)</w:t>
            </w:r>
            <w:r>
              <w:rPr>
                <w:highlight w:val="none"/>
              </w:rPr>
            </w:r>
            <w:r/>
          </w:p>
        </w:tc>
        <w:tc>
          <w:tcPr>
            <w:tcW w:w="5766" w:type="dxa"/>
            <w:vAlign w:val="top"/>
            <w:textDirection w:val="lrTb"/>
            <w:noWrap w:val="false"/>
          </w:tcPr>
          <w:p>
            <w:pPr>
              <w:pStyle w:val="1008"/>
              <w:ind w:left="774"/>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4"/>
                <w:sz w:val="16"/>
                <w:szCs w:val="16"/>
                <w:highlight w:val="none"/>
              </w:rPr>
              <w:t xml:space="preserve">水质    五日生化需氧量(</w:t>
            </w:r>
            <w:r>
              <w:rPr>
                <w:rFonts w:ascii="微软雅黑" w:hAnsi="微软雅黑" w:eastAsia="微软雅黑" w:cs="微软雅黑"/>
                <w:sz w:val="16"/>
                <w:szCs w:val="16"/>
                <w:highlight w:val="none"/>
              </w:rPr>
              <w:t xml:space="preserve">BOD</w:t>
            </w:r>
            <w:r>
              <w:rPr>
                <w:rFonts w:ascii="微软雅黑" w:hAnsi="微软雅黑" w:eastAsia="微软雅黑" w:cs="微软雅黑"/>
                <w:spacing w:val="14"/>
                <w:position w:val="-2"/>
                <w:sz w:val="9"/>
                <w:szCs w:val="9"/>
                <w:highlight w:val="none"/>
              </w:rPr>
              <w:t xml:space="preserve"> </w:t>
            </w:r>
            <w:r>
              <w:rPr>
                <w:rFonts w:ascii="微软雅黑" w:hAnsi="微软雅黑" w:eastAsia="微软雅黑" w:cs="微软雅黑"/>
                <w:spacing w:val="14"/>
                <w:sz w:val="16"/>
                <w:szCs w:val="16"/>
                <w:highlight w:val="none"/>
              </w:rPr>
              <w:t xml:space="preserve">)的测和    稀释与接种</w:t>
            </w:r>
            <w:r>
              <w:rPr>
                <w:rFonts w:ascii="微软雅黑" w:hAnsi="微软雅黑" w:eastAsia="微软雅黑" w:cs="微软雅黑"/>
                <w:spacing w:val="12"/>
                <w:sz w:val="16"/>
                <w:szCs w:val="16"/>
                <w:highlight w:val="none"/>
              </w:rPr>
              <w:t xml:space="preserve">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5</w:t>
            </w:r>
            <w:r>
              <w:rPr>
                <w:rFonts w:ascii="微软雅黑" w:hAnsi="微软雅黑" w:eastAsia="微软雅黑" w:cs="微软雅黑"/>
                <w:spacing w:val="36"/>
                <w:sz w:val="16"/>
                <w:szCs w:val="16"/>
                <w:highlight w:val="none"/>
              </w:rPr>
              <w:t xml:space="preserve">05</w:t>
            </w:r>
            <w:r>
              <w:rPr>
                <w:highlight w:val="none"/>
              </w:rPr>
            </w:r>
            <w:r/>
          </w:p>
        </w:tc>
      </w:tr>
      <w:tr>
        <w:trPr>
          <w:trHeight w:val="604"/>
        </w:trPr>
        <w:tc>
          <w:tcPr>
            <w:tcW w:w="548" w:type="dxa"/>
            <w:vAlign w:val="top"/>
            <w:textDirection w:val="lrTb"/>
            <w:noWrap w:val="false"/>
          </w:tcPr>
          <w:p>
            <w:pPr>
              <w:pStyle w:val="1008"/>
              <w:ind w:left="232"/>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9"/>
                <w:sz w:val="16"/>
                <w:szCs w:val="16"/>
                <w:highlight w:val="none"/>
              </w:rPr>
              <w:t xml:space="preserve">7</w:t>
            </w:r>
            <w:r>
              <w:rPr>
                <w:highlight w:val="none"/>
              </w:rPr>
            </w:r>
            <w:r/>
          </w:p>
        </w:tc>
        <w:tc>
          <w:tcPr>
            <w:tcW w:w="1622" w:type="dxa"/>
            <w:vAlign w:val="top"/>
            <w:textDirection w:val="lrTb"/>
            <w:noWrap w:val="false"/>
          </w:tcPr>
          <w:p>
            <w:pPr>
              <w:pStyle w:val="1008"/>
              <w:ind w:left="365"/>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6"/>
                <w:sz w:val="16"/>
                <w:szCs w:val="16"/>
                <w:highlight w:val="none"/>
              </w:rPr>
              <w:t xml:space="preserve">动植物油类</w:t>
            </w:r>
            <w:r>
              <w:rPr>
                <w:highlight w:val="none"/>
              </w:rPr>
            </w:r>
            <w:r/>
          </w:p>
        </w:tc>
        <w:tc>
          <w:tcPr>
            <w:tcW w:w="5766" w:type="dxa"/>
            <w:vAlign w:val="top"/>
            <w:textDirection w:val="lrTb"/>
            <w:noWrap w:val="false"/>
          </w:tcPr>
          <w:p>
            <w:pPr>
              <w:pStyle w:val="1008"/>
              <w:ind w:left="815"/>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6"/>
                <w:sz w:val="16"/>
                <w:szCs w:val="16"/>
                <w:highlight w:val="none"/>
              </w:rPr>
              <w:t xml:space="preserve">水</w:t>
            </w:r>
            <w:r>
              <w:rPr>
                <w:rFonts w:ascii="微软雅黑" w:hAnsi="微软雅黑" w:eastAsia="微软雅黑" w:cs="微软雅黑"/>
                <w:spacing w:val="17"/>
                <w:sz w:val="16"/>
                <w:szCs w:val="16"/>
                <w:highlight w:val="none"/>
              </w:rPr>
              <w:t xml:space="preserve">质</w:t>
            </w:r>
            <w:r>
              <w:rPr>
                <w:rFonts w:ascii="微软雅黑" w:hAnsi="微软雅黑" w:eastAsia="微软雅黑" w:cs="微软雅黑"/>
                <w:spacing w:val="13"/>
                <w:sz w:val="16"/>
                <w:szCs w:val="16"/>
                <w:highlight w:val="none"/>
              </w:rPr>
              <w:t xml:space="preserve">    石油类件动植物油类的测和    红外分光光度法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37</w:t>
            </w:r>
            <w:r>
              <w:rPr>
                <w:highlight w:val="none"/>
              </w:rPr>
            </w:r>
            <w:r/>
          </w:p>
        </w:tc>
      </w:tr>
      <w:tr>
        <w:trPr>
          <w:trHeight w:val="544"/>
        </w:trPr>
        <w:tc>
          <w:tcPr>
            <w:tcW w:w="548" w:type="dxa"/>
            <w:vAlign w:val="top"/>
            <w:textDirection w:val="lrTb"/>
            <w:noWrap w:val="false"/>
          </w:tcPr>
          <w:p>
            <w:pPr>
              <w:pStyle w:val="1008"/>
              <w:ind w:left="230"/>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1"/>
                <w:sz w:val="16"/>
                <w:szCs w:val="16"/>
                <w:highlight w:val="none"/>
              </w:rPr>
              <w:t xml:space="preserve">8</w:t>
            </w:r>
            <w:r>
              <w:rPr>
                <w:highlight w:val="none"/>
              </w:rPr>
            </w:r>
            <w:r/>
          </w:p>
        </w:tc>
        <w:tc>
          <w:tcPr>
            <w:tcW w:w="1622" w:type="dxa"/>
            <w:vAlign w:val="top"/>
            <w:textDirection w:val="lrTb"/>
            <w:noWrap w:val="false"/>
          </w:tcPr>
          <w:p>
            <w:pPr>
              <w:pStyle w:val="1008"/>
              <w:ind w:left="544"/>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4"/>
                <w:sz w:val="16"/>
                <w:szCs w:val="16"/>
                <w:highlight w:val="none"/>
              </w:rPr>
              <w:t xml:space="preserve">石油</w:t>
            </w:r>
            <w:r>
              <w:rPr>
                <w:rFonts w:ascii="微软雅黑" w:hAnsi="微软雅黑" w:eastAsia="微软雅黑" w:cs="微软雅黑"/>
                <w:spacing w:val="13"/>
                <w:sz w:val="16"/>
                <w:szCs w:val="16"/>
                <w:highlight w:val="none"/>
              </w:rPr>
              <w:t xml:space="preserve">类</w:t>
            </w:r>
            <w:r>
              <w:rPr>
                <w:highlight w:val="none"/>
              </w:rPr>
            </w:r>
            <w:r/>
          </w:p>
        </w:tc>
        <w:tc>
          <w:tcPr>
            <w:tcW w:w="5766" w:type="dxa"/>
            <w:vAlign w:val="top"/>
            <w:textDirection w:val="lrTb"/>
            <w:noWrap w:val="false"/>
          </w:tcPr>
          <w:p>
            <w:pPr>
              <w:pStyle w:val="1008"/>
              <w:ind w:left="815"/>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6"/>
                <w:sz w:val="16"/>
                <w:szCs w:val="16"/>
                <w:highlight w:val="none"/>
              </w:rPr>
              <w:t xml:space="preserve">水</w:t>
            </w:r>
            <w:r>
              <w:rPr>
                <w:rFonts w:ascii="微软雅黑" w:hAnsi="微软雅黑" w:eastAsia="微软雅黑" w:cs="微软雅黑"/>
                <w:spacing w:val="17"/>
                <w:sz w:val="16"/>
                <w:szCs w:val="16"/>
                <w:highlight w:val="none"/>
              </w:rPr>
              <w:t xml:space="preserve">质</w:t>
            </w:r>
            <w:r>
              <w:rPr>
                <w:rFonts w:ascii="微软雅黑" w:hAnsi="微软雅黑" w:eastAsia="微软雅黑" w:cs="微软雅黑"/>
                <w:spacing w:val="13"/>
                <w:sz w:val="16"/>
                <w:szCs w:val="16"/>
                <w:highlight w:val="none"/>
              </w:rPr>
              <w:t xml:space="preserve">    石油类件动植物油类的测和    红外分光光度法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37</w:t>
            </w:r>
            <w:r>
              <w:rPr>
                <w:highlight w:val="none"/>
              </w:rPr>
            </w:r>
            <w:r/>
          </w:p>
        </w:tc>
      </w:tr>
      <w:tr>
        <w:trPr>
          <w:trHeight w:val="355"/>
        </w:trPr>
        <w:tc>
          <w:tcPr>
            <w:tcW w:w="548" w:type="dxa"/>
            <w:vAlign w:val="top"/>
            <w:vMerge w:val="restart"/>
            <w:textDirection w:val="lrTb"/>
            <w:noWrap w:val="false"/>
          </w:tcPr>
          <w:p>
            <w:pPr>
              <w:pStyle w:val="1008"/>
              <w:ind w:left="233"/>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8"/>
                <w:sz w:val="16"/>
                <w:szCs w:val="16"/>
                <w:highlight w:val="none"/>
              </w:rPr>
              <w:t xml:space="preserve">9</w:t>
            </w:r>
            <w:r>
              <w:rPr>
                <w:highlight w:val="none"/>
              </w:rPr>
            </w:r>
            <w:r/>
          </w:p>
        </w:tc>
        <w:tc>
          <w:tcPr>
            <w:tcW w:w="1622" w:type="dxa"/>
            <w:vAlign w:val="top"/>
            <w:vMerge w:val="restart"/>
            <w:textDirection w:val="lrTb"/>
            <w:noWrap w:val="false"/>
          </w:tcPr>
          <w:p>
            <w:pPr>
              <w:pStyle w:val="1008"/>
              <w:ind w:left="104"/>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9"/>
                <w:sz w:val="16"/>
                <w:szCs w:val="16"/>
                <w:highlight w:val="none"/>
              </w:rPr>
              <w:t xml:space="preserve">阴</w:t>
            </w:r>
            <w:r>
              <w:rPr>
                <w:rFonts w:ascii="微软雅黑" w:hAnsi="微软雅黑" w:eastAsia="微软雅黑" w:cs="微软雅黑"/>
                <w:spacing w:val="16"/>
                <w:sz w:val="16"/>
                <w:szCs w:val="16"/>
                <w:highlight w:val="none"/>
              </w:rPr>
              <w:t xml:space="preserve">离子表面活性剂</w:t>
            </w:r>
            <w:r>
              <w:rPr>
                <w:highlight w:val="none"/>
              </w:rPr>
            </w:r>
            <w:r/>
          </w:p>
        </w:tc>
        <w:tc>
          <w:tcPr>
            <w:tcW w:w="5766" w:type="dxa"/>
            <w:vAlign w:val="top"/>
            <w:textDirection w:val="lrTb"/>
            <w:noWrap w:val="false"/>
          </w:tcPr>
          <w:p>
            <w:pPr>
              <w:pStyle w:val="1008"/>
              <w:ind w:left="815"/>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6"/>
                <w:sz w:val="16"/>
                <w:szCs w:val="16"/>
                <w:highlight w:val="none"/>
              </w:rPr>
              <w:t xml:space="preserve">水</w:t>
            </w:r>
            <w:r>
              <w:rPr>
                <w:rFonts w:ascii="微软雅黑" w:hAnsi="微软雅黑" w:eastAsia="微软雅黑" w:cs="微软雅黑"/>
                <w:spacing w:val="17"/>
                <w:sz w:val="16"/>
                <w:szCs w:val="16"/>
                <w:highlight w:val="none"/>
              </w:rPr>
              <w:t xml:space="preserve">质</w:t>
            </w:r>
            <w:r>
              <w:rPr>
                <w:rFonts w:ascii="微软雅黑" w:hAnsi="微软雅黑" w:eastAsia="微软雅黑" w:cs="微软雅黑"/>
                <w:spacing w:val="13"/>
                <w:sz w:val="16"/>
                <w:szCs w:val="16"/>
                <w:highlight w:val="none"/>
              </w:rPr>
              <w:t xml:space="preserve">    阴离子表面活性剂的测和    亚甲蓝分光光度法</w:t>
            </w:r>
            <w:r>
              <w:rPr>
                <w:highlight w:val="none"/>
              </w:rPr>
            </w:r>
            <w:r/>
          </w:p>
        </w:tc>
        <w:tc>
          <w:tcPr>
            <w:tcW w:w="1286" w:type="dxa"/>
            <w:vAlign w:val="top"/>
            <w:textDirection w:val="lrTb"/>
            <w:noWrap w:val="false"/>
          </w:tcPr>
          <w:p>
            <w:pPr>
              <w:pStyle w:val="1008"/>
              <w:ind w:left="221"/>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GB</w:t>
            </w:r>
            <w:r>
              <w:rPr>
                <w:rFonts w:ascii="微软雅黑" w:hAnsi="微软雅黑" w:eastAsia="微软雅黑" w:cs="微软雅黑"/>
                <w:spacing w:val="18"/>
                <w:sz w:val="16"/>
                <w:szCs w:val="16"/>
                <w:highlight w:val="none"/>
              </w:rPr>
              <w:t xml:space="preserve">/</w:t>
            </w:r>
            <w:r>
              <w:rPr>
                <w:rFonts w:ascii="微软雅黑" w:hAnsi="微软雅黑" w:eastAsia="微软雅黑" w:cs="微软雅黑"/>
                <w:sz w:val="16"/>
                <w:szCs w:val="16"/>
                <w:highlight w:val="none"/>
              </w:rPr>
              <w:t xml:space="preserve">T</w:t>
            </w:r>
            <w:r>
              <w:rPr>
                <w:rFonts w:ascii="微软雅黑" w:hAnsi="微软雅黑" w:eastAsia="微软雅黑" w:cs="微软雅黑"/>
                <w:spacing w:val="16"/>
                <w:sz w:val="16"/>
                <w:szCs w:val="16"/>
                <w:highlight w:val="none"/>
              </w:rPr>
              <w:t xml:space="preserve"> 7494</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333"/>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4"/>
                <w:sz w:val="16"/>
                <w:szCs w:val="16"/>
                <w:highlight w:val="none"/>
              </w:rPr>
              <w:t xml:space="preserve">水质  阴离子表面活性剂的测和  流动注射</w:t>
            </w:r>
            <w:r>
              <w:rPr>
                <w:rFonts w:ascii="微软雅黑" w:hAnsi="微软雅黑" w:eastAsia="微软雅黑" w:cs="微软雅黑"/>
                <w:spacing w:val="14"/>
                <w:position w:val="-1"/>
                <w:sz w:val="16"/>
                <w:szCs w:val="16"/>
                <w:highlight w:val="none"/>
              </w:rPr>
              <w:t xml:space="preserve">-</w:t>
            </w:r>
            <w:r>
              <w:rPr>
                <w:rFonts w:ascii="微软雅黑" w:hAnsi="微软雅黑" w:eastAsia="微软雅黑" w:cs="微软雅黑"/>
                <w:spacing w:val="14"/>
                <w:sz w:val="16"/>
                <w:szCs w:val="16"/>
                <w:highlight w:val="none"/>
              </w:rPr>
              <w:t xml:space="preserve">亚甲基蓝分光光度</w:t>
            </w:r>
            <w:r>
              <w:rPr>
                <w:rFonts w:ascii="微软雅黑" w:hAnsi="微软雅黑" w:eastAsia="微软雅黑" w:cs="微软雅黑"/>
                <w:spacing w:val="11"/>
                <w:sz w:val="16"/>
                <w:szCs w:val="16"/>
                <w:highlight w:val="none"/>
              </w:rPr>
              <w:t xml:space="preserve">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8</w:t>
            </w:r>
            <w:r>
              <w:rPr>
                <w:rFonts w:ascii="微软雅黑" w:hAnsi="微软雅黑" w:eastAsia="微软雅黑" w:cs="微软雅黑"/>
                <w:spacing w:val="36"/>
                <w:sz w:val="16"/>
                <w:szCs w:val="16"/>
                <w:highlight w:val="none"/>
              </w:rPr>
              <w:t xml:space="preserve">26</w:t>
            </w:r>
            <w:r>
              <w:rPr>
                <w:highlight w:val="none"/>
              </w:rPr>
            </w:r>
            <w:r/>
          </w:p>
        </w:tc>
      </w:tr>
      <w:tr>
        <w:trPr>
          <w:trHeight w:val="355"/>
        </w:trPr>
        <w:tc>
          <w:tcPr>
            <w:tcW w:w="548" w:type="dxa"/>
            <w:vAlign w:val="top"/>
            <w:textDirection w:val="lrTb"/>
            <w:noWrap w:val="false"/>
          </w:tcPr>
          <w:p>
            <w:pPr>
              <w:pStyle w:val="1008"/>
              <w:ind w:left="189"/>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9"/>
                <w:sz w:val="16"/>
                <w:szCs w:val="16"/>
                <w:highlight w:val="none"/>
              </w:rPr>
              <w:t xml:space="preserve">1</w:t>
            </w:r>
            <w:r>
              <w:rPr>
                <w:rFonts w:ascii="微软雅黑" w:hAnsi="微软雅黑" w:eastAsia="微软雅黑" w:cs="微软雅黑"/>
                <w:spacing w:val="8"/>
                <w:sz w:val="16"/>
                <w:szCs w:val="16"/>
                <w:highlight w:val="none"/>
              </w:rPr>
              <w:t xml:space="preserve">0</w:t>
            </w:r>
            <w:r>
              <w:rPr>
                <w:highlight w:val="none"/>
              </w:rPr>
            </w:r>
            <w:r/>
          </w:p>
        </w:tc>
        <w:tc>
          <w:tcPr>
            <w:tcW w:w="1622" w:type="dxa"/>
            <w:vAlign w:val="top"/>
            <w:textDirection w:val="lrTb"/>
            <w:noWrap w:val="false"/>
          </w:tcPr>
          <w:p>
            <w:pPr>
              <w:pStyle w:val="1008"/>
              <w:ind w:left="636"/>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9"/>
                <w:sz w:val="16"/>
                <w:szCs w:val="16"/>
                <w:highlight w:val="none"/>
              </w:rPr>
              <w:t xml:space="preserve">色度</w:t>
            </w:r>
            <w:r>
              <w:rPr>
                <w:highlight w:val="none"/>
              </w:rPr>
            </w:r>
            <w:r/>
          </w:p>
        </w:tc>
        <w:tc>
          <w:tcPr>
            <w:tcW w:w="5766" w:type="dxa"/>
            <w:vAlign w:val="top"/>
            <w:textDirection w:val="lrTb"/>
            <w:noWrap w:val="false"/>
          </w:tcPr>
          <w:p>
            <w:pPr>
              <w:pStyle w:val="1008"/>
              <w:ind w:left="1628"/>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9"/>
                <w:sz w:val="16"/>
                <w:szCs w:val="16"/>
                <w:highlight w:val="none"/>
              </w:rPr>
              <w:t xml:space="preserve">水</w:t>
            </w:r>
            <w:r>
              <w:rPr>
                <w:rFonts w:ascii="微软雅黑" w:hAnsi="微软雅黑" w:eastAsia="微软雅黑" w:cs="微软雅黑"/>
                <w:spacing w:val="10"/>
                <w:sz w:val="16"/>
                <w:szCs w:val="16"/>
                <w:highlight w:val="none"/>
              </w:rPr>
              <w:t xml:space="preserve">质    色度的测和    稀释倍数法</w:t>
            </w:r>
            <w:r>
              <w:rPr>
                <w:highlight w:val="none"/>
              </w:rPr>
            </w:r>
            <w:r/>
          </w:p>
        </w:tc>
        <w:tc>
          <w:tcPr>
            <w:tcW w:w="1286" w:type="dxa"/>
            <w:vAlign w:val="top"/>
            <w:textDirection w:val="lrTb"/>
            <w:noWrap w:val="false"/>
          </w:tcPr>
          <w:p>
            <w:pPr>
              <w:pStyle w:val="1008"/>
              <w:ind w:left="341"/>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26"/>
                <w:sz w:val="16"/>
                <w:szCs w:val="16"/>
                <w:highlight w:val="none"/>
              </w:rPr>
              <w:t xml:space="preserve">1182</w:t>
            </w:r>
            <w:r>
              <w:rPr>
                <w:highlight w:val="none"/>
              </w:rPr>
            </w:r>
            <w:r/>
          </w:p>
        </w:tc>
      </w:tr>
      <w:tr>
        <w:trPr>
          <w:trHeight w:val="356"/>
        </w:trPr>
        <w:tc>
          <w:tcPr>
            <w:tcW w:w="548" w:type="dxa"/>
            <w:vAlign w:val="top"/>
            <w:textDirection w:val="lrTb"/>
            <w:noWrap w:val="false"/>
          </w:tcPr>
          <w:p>
            <w:pPr>
              <w:pStyle w:val="1008"/>
              <w:ind w:left="189"/>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9"/>
                <w:sz w:val="16"/>
                <w:szCs w:val="16"/>
                <w:highlight w:val="none"/>
              </w:rPr>
              <w:t xml:space="preserve">1</w:t>
            </w:r>
            <w:r>
              <w:rPr>
                <w:rFonts w:ascii="微软雅黑" w:hAnsi="微软雅黑" w:eastAsia="微软雅黑" w:cs="微软雅黑"/>
                <w:spacing w:val="8"/>
                <w:sz w:val="16"/>
                <w:szCs w:val="16"/>
                <w:highlight w:val="none"/>
              </w:rPr>
              <w:t xml:space="preserve">1</w:t>
            </w:r>
            <w:r>
              <w:rPr>
                <w:highlight w:val="none"/>
              </w:rPr>
            </w:r>
            <w:r/>
          </w:p>
        </w:tc>
        <w:tc>
          <w:tcPr>
            <w:tcW w:w="1622" w:type="dxa"/>
            <w:vAlign w:val="top"/>
            <w:textDirection w:val="lrTb"/>
            <w:noWrap w:val="false"/>
          </w:tcPr>
          <w:p>
            <w:pPr>
              <w:pStyle w:val="1008"/>
              <w:ind w:left="694"/>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0"/>
                <w:sz w:val="16"/>
                <w:szCs w:val="16"/>
                <w:highlight w:val="none"/>
              </w:rPr>
              <w:t xml:space="preserve">p</w:t>
            </w:r>
            <w:r>
              <w:rPr>
                <w:rFonts w:ascii="微软雅黑" w:hAnsi="微软雅黑" w:eastAsia="微软雅黑" w:cs="微软雅黑"/>
                <w:spacing w:val="9"/>
                <w:sz w:val="16"/>
                <w:szCs w:val="16"/>
                <w:highlight w:val="none"/>
              </w:rPr>
              <w:t xml:space="preserve">H</w:t>
            </w:r>
            <w:r>
              <w:rPr>
                <w:highlight w:val="none"/>
              </w:rPr>
            </w:r>
            <w:r/>
          </w:p>
        </w:tc>
        <w:tc>
          <w:tcPr>
            <w:tcW w:w="5766" w:type="dxa"/>
            <w:vAlign w:val="top"/>
            <w:textDirection w:val="lrTb"/>
            <w:noWrap w:val="false"/>
          </w:tcPr>
          <w:p>
            <w:pPr>
              <w:pStyle w:val="1008"/>
              <w:ind w:left="1752"/>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1"/>
                <w:sz w:val="16"/>
                <w:szCs w:val="16"/>
                <w:highlight w:val="none"/>
              </w:rPr>
              <w:t xml:space="preserve">水</w:t>
            </w:r>
            <w:r>
              <w:rPr>
                <w:rFonts w:ascii="微软雅黑" w:hAnsi="微软雅黑" w:eastAsia="微软雅黑" w:cs="微软雅黑"/>
                <w:spacing w:val="12"/>
                <w:sz w:val="16"/>
                <w:szCs w:val="16"/>
                <w:highlight w:val="none"/>
              </w:rPr>
              <w:t xml:space="preserve">质    </w:t>
            </w:r>
            <w:r>
              <w:rPr>
                <w:rFonts w:ascii="微软雅黑" w:hAnsi="微软雅黑" w:eastAsia="微软雅黑" w:cs="微软雅黑"/>
                <w:position w:val="-1"/>
                <w:sz w:val="16"/>
                <w:szCs w:val="16"/>
                <w:highlight w:val="none"/>
              </w:rPr>
              <w:t xml:space="preserve">pH</w:t>
            </w:r>
            <w:r>
              <w:rPr>
                <w:rFonts w:ascii="微软雅黑" w:hAnsi="微软雅黑" w:eastAsia="微软雅黑" w:cs="微软雅黑"/>
                <w:spacing w:val="12"/>
                <w:sz w:val="16"/>
                <w:szCs w:val="16"/>
                <w:highlight w:val="none"/>
              </w:rPr>
              <w:t xml:space="preserve">值的测和    电极法</w:t>
            </w:r>
            <w:r>
              <w:rPr>
                <w:highlight w:val="none"/>
              </w:rPr>
            </w:r>
            <w:r/>
          </w:p>
        </w:tc>
        <w:tc>
          <w:tcPr>
            <w:tcW w:w="1286" w:type="dxa"/>
            <w:vAlign w:val="top"/>
            <w:textDirection w:val="lrTb"/>
            <w:noWrap w:val="false"/>
          </w:tcPr>
          <w:p>
            <w:pPr>
              <w:pStyle w:val="1008"/>
              <w:ind w:left="341"/>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26"/>
                <w:sz w:val="16"/>
                <w:szCs w:val="16"/>
                <w:highlight w:val="none"/>
              </w:rPr>
              <w:t xml:space="preserve">1147</w:t>
            </w:r>
            <w:r>
              <w:rPr>
                <w:highlight w:val="none"/>
              </w:rPr>
            </w:r>
            <w:r/>
          </w:p>
        </w:tc>
      </w:tr>
      <w:tr>
        <w:trPr>
          <w:trHeight w:val="356"/>
        </w:trPr>
        <w:tc>
          <w:tcPr>
            <w:tcW w:w="548" w:type="dxa"/>
            <w:vAlign w:val="top"/>
            <w:vMerge w:val="restart"/>
            <w:textDirection w:val="lrTb"/>
            <w:noWrap w:val="false"/>
          </w:tcPr>
          <w:p>
            <w:pPr>
              <w:pStyle w:val="1008"/>
              <w:spacing w:line="360" w:lineRule="auto"/>
              <w:rPr>
                <w:rFonts w:ascii="Arial"/>
                <w:highlight w:val="none"/>
              </w:rPr>
            </w:pPr>
            <w:r>
              <w:rPr>
                <w:rFonts w:ascii="Arial"/>
                <w:highlight w:val="none"/>
              </w:rPr>
            </w:r>
            <w:r>
              <w:rPr>
                <w:highlight w:val="none"/>
              </w:rPr>
            </w:r>
            <w:r/>
          </w:p>
          <w:p>
            <w:pPr>
              <w:pStyle w:val="1008"/>
              <w:spacing w:line="360" w:lineRule="auto"/>
              <w:rPr>
                <w:rFonts w:ascii="Arial"/>
                <w:highlight w:val="none"/>
              </w:rPr>
            </w:pPr>
            <w:r>
              <w:rPr>
                <w:rFonts w:ascii="Arial"/>
                <w:highlight w:val="none"/>
              </w:rPr>
            </w:r>
            <w:r>
              <w:rPr>
                <w:highlight w:val="none"/>
              </w:rPr>
            </w:r>
            <w:r/>
          </w:p>
          <w:p>
            <w:pPr>
              <w:pStyle w:val="1008"/>
              <w:ind w:left="189"/>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9"/>
                <w:sz w:val="16"/>
                <w:szCs w:val="16"/>
                <w:highlight w:val="none"/>
              </w:rPr>
              <w:t xml:space="preserve">1</w:t>
            </w:r>
            <w:r>
              <w:rPr>
                <w:rFonts w:ascii="微软雅黑" w:hAnsi="微软雅黑" w:eastAsia="微软雅黑" w:cs="微软雅黑"/>
                <w:spacing w:val="8"/>
                <w:sz w:val="16"/>
                <w:szCs w:val="16"/>
                <w:highlight w:val="none"/>
              </w:rPr>
              <w:t xml:space="preserve">2</w:t>
            </w:r>
            <w:r>
              <w:rPr>
                <w:highlight w:val="none"/>
              </w:rPr>
            </w:r>
            <w:r/>
          </w:p>
        </w:tc>
        <w:tc>
          <w:tcPr>
            <w:tcW w:w="1622" w:type="dxa"/>
            <w:vAlign w:val="top"/>
            <w:vMerge w:val="restart"/>
            <w:textDirection w:val="lrTb"/>
            <w:noWrap w:val="false"/>
          </w:tcPr>
          <w:p>
            <w:pPr>
              <w:pStyle w:val="1008"/>
              <w:spacing w:line="360" w:lineRule="auto"/>
              <w:rPr>
                <w:rFonts w:ascii="Arial"/>
                <w:highlight w:val="none"/>
              </w:rPr>
            </w:pPr>
            <w:r>
              <w:rPr>
                <w:rFonts w:ascii="Arial"/>
                <w:highlight w:val="none"/>
              </w:rPr>
            </w:r>
            <w:r>
              <w:rPr>
                <w:highlight w:val="none"/>
              </w:rPr>
            </w:r>
            <w:r/>
          </w:p>
          <w:p>
            <w:pPr>
              <w:pStyle w:val="1008"/>
              <w:spacing w:line="360" w:lineRule="auto"/>
              <w:rPr>
                <w:rFonts w:ascii="Arial"/>
                <w:highlight w:val="none"/>
              </w:rPr>
            </w:pPr>
            <w:r>
              <w:rPr>
                <w:rFonts w:ascii="Arial"/>
                <w:highlight w:val="none"/>
              </w:rPr>
            </w:r>
            <w:r>
              <w:rPr>
                <w:highlight w:val="none"/>
              </w:rPr>
            </w:r>
            <w:r/>
          </w:p>
          <w:p>
            <w:pPr>
              <w:pStyle w:val="1008"/>
              <w:ind w:left="271"/>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9"/>
                <w:sz w:val="16"/>
                <w:szCs w:val="16"/>
                <w:highlight w:val="none"/>
              </w:rPr>
              <w:t xml:space="preserve">粪</w:t>
            </w:r>
            <w:r>
              <w:rPr>
                <w:rFonts w:ascii="微软雅黑" w:hAnsi="微软雅黑" w:eastAsia="微软雅黑" w:cs="微软雅黑"/>
                <w:spacing w:val="17"/>
                <w:sz w:val="16"/>
                <w:szCs w:val="16"/>
                <w:highlight w:val="none"/>
              </w:rPr>
              <w:t xml:space="preserve">大肠菌群数</w:t>
            </w:r>
            <w:r>
              <w:rPr>
                <w:highlight w:val="none"/>
              </w:rPr>
            </w:r>
            <w:r/>
          </w:p>
        </w:tc>
        <w:tc>
          <w:tcPr>
            <w:tcW w:w="5766" w:type="dxa"/>
            <w:vAlign w:val="top"/>
            <w:textDirection w:val="lrTb"/>
            <w:noWrap w:val="false"/>
          </w:tcPr>
          <w:p>
            <w:pPr>
              <w:pStyle w:val="1008"/>
              <w:ind w:left="1537"/>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1"/>
                <w:sz w:val="16"/>
                <w:szCs w:val="16"/>
                <w:highlight w:val="none"/>
              </w:rPr>
              <w:t xml:space="preserve">水质    粪大肠菌群的测和    滤膜</w:t>
            </w:r>
            <w:r>
              <w:rPr>
                <w:rFonts w:ascii="微软雅黑" w:hAnsi="微软雅黑" w:eastAsia="微软雅黑" w:cs="微软雅黑"/>
                <w:spacing w:val="10"/>
                <w:sz w:val="16"/>
                <w:szCs w:val="16"/>
                <w:highlight w:val="none"/>
              </w:rPr>
              <w:t xml:space="preserve">法</w:t>
            </w:r>
            <w:r>
              <w:rPr>
                <w:highlight w:val="none"/>
              </w:rPr>
            </w:r>
            <w:r/>
          </w:p>
        </w:tc>
        <w:tc>
          <w:tcPr>
            <w:tcW w:w="1286" w:type="dxa"/>
            <w:vAlign w:val="top"/>
            <w:textDirection w:val="lrTb"/>
            <w:noWrap w:val="false"/>
          </w:tcPr>
          <w:p>
            <w:pPr>
              <w:pStyle w:val="1008"/>
              <w:ind w:left="314"/>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40"/>
                <w:sz w:val="16"/>
                <w:szCs w:val="16"/>
                <w:highlight w:val="none"/>
              </w:rPr>
              <w:t xml:space="preserve">347.</w:t>
            </w:r>
            <w:r>
              <w:rPr>
                <w:rFonts w:ascii="微软雅黑" w:hAnsi="微软雅黑" w:eastAsia="微软雅黑" w:cs="微软雅黑"/>
                <w:spacing w:val="39"/>
                <w:sz w:val="16"/>
                <w:szCs w:val="16"/>
                <w:highlight w:val="none"/>
              </w:rPr>
              <w:t xml:space="preserve">1</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1356"/>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2"/>
                <w:sz w:val="16"/>
                <w:szCs w:val="16"/>
                <w:highlight w:val="none"/>
              </w:rPr>
              <w:t xml:space="preserve">水</w:t>
            </w:r>
            <w:r>
              <w:rPr>
                <w:rFonts w:ascii="微软雅黑" w:hAnsi="微软雅黑" w:eastAsia="微软雅黑" w:cs="微软雅黑"/>
                <w:spacing w:val="18"/>
                <w:sz w:val="16"/>
                <w:szCs w:val="16"/>
                <w:highlight w:val="none"/>
              </w:rPr>
              <w:t xml:space="preserve">质</w:t>
            </w:r>
            <w:r>
              <w:rPr>
                <w:rFonts w:ascii="微软雅黑" w:hAnsi="微软雅黑" w:eastAsia="微软雅黑" w:cs="微软雅黑"/>
                <w:spacing w:val="11"/>
                <w:sz w:val="16"/>
                <w:szCs w:val="16"/>
                <w:highlight w:val="none"/>
              </w:rPr>
              <w:t xml:space="preserve">    粪大肠菌群的测和    多管发酵法</w:t>
            </w:r>
            <w:r>
              <w:rPr>
                <w:highlight w:val="none"/>
              </w:rPr>
            </w:r>
            <w:r/>
          </w:p>
        </w:tc>
        <w:tc>
          <w:tcPr>
            <w:tcW w:w="1286" w:type="dxa"/>
            <w:vAlign w:val="top"/>
            <w:textDirection w:val="lrTb"/>
            <w:noWrap w:val="false"/>
          </w:tcPr>
          <w:p>
            <w:pPr>
              <w:pStyle w:val="1008"/>
              <w:ind w:left="314"/>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40"/>
                <w:sz w:val="16"/>
                <w:szCs w:val="16"/>
                <w:highlight w:val="none"/>
              </w:rPr>
              <w:t xml:space="preserve">347.</w:t>
            </w:r>
            <w:r>
              <w:rPr>
                <w:rFonts w:ascii="微软雅黑" w:hAnsi="微软雅黑" w:eastAsia="微软雅黑" w:cs="微软雅黑"/>
                <w:spacing w:val="39"/>
                <w:sz w:val="16"/>
                <w:szCs w:val="16"/>
                <w:highlight w:val="none"/>
              </w:rPr>
              <w:t xml:space="preserve">2</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815"/>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6"/>
                <w:sz w:val="16"/>
                <w:szCs w:val="16"/>
                <w:highlight w:val="none"/>
              </w:rPr>
              <w:t xml:space="preserve">水</w:t>
            </w:r>
            <w:r>
              <w:rPr>
                <w:rFonts w:ascii="微软雅黑" w:hAnsi="微软雅黑" w:eastAsia="微软雅黑" w:cs="微软雅黑"/>
                <w:spacing w:val="17"/>
                <w:sz w:val="16"/>
                <w:szCs w:val="16"/>
                <w:highlight w:val="none"/>
              </w:rPr>
              <w:t xml:space="preserve">质</w:t>
            </w:r>
            <w:r>
              <w:rPr>
                <w:rFonts w:ascii="微软雅黑" w:hAnsi="微软雅黑" w:eastAsia="微软雅黑" w:cs="微软雅黑"/>
                <w:spacing w:val="13"/>
                <w:sz w:val="16"/>
                <w:szCs w:val="16"/>
                <w:highlight w:val="none"/>
              </w:rPr>
              <w:t xml:space="preserve">    总大肠菌群件粪大肠菌群的测和    纸片快速法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7</w:t>
            </w:r>
            <w:r>
              <w:rPr>
                <w:rFonts w:ascii="微软雅黑" w:hAnsi="微软雅黑" w:eastAsia="微软雅黑" w:cs="微软雅黑"/>
                <w:spacing w:val="36"/>
                <w:sz w:val="16"/>
                <w:szCs w:val="16"/>
                <w:highlight w:val="none"/>
              </w:rPr>
              <w:t xml:space="preserve">55</w:t>
            </w:r>
            <w:r>
              <w:rPr>
                <w:highlight w:val="none"/>
              </w:rPr>
            </w:r>
            <w:r/>
          </w:p>
        </w:tc>
      </w:tr>
      <w:tr>
        <w:trPr>
          <w:trHeight w:val="359"/>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320"/>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0"/>
                <w:sz w:val="16"/>
                <w:szCs w:val="16"/>
                <w:highlight w:val="none"/>
              </w:rPr>
              <w:t xml:space="preserve">水</w:t>
            </w:r>
            <w:r>
              <w:rPr>
                <w:rFonts w:ascii="微软雅黑" w:hAnsi="微软雅黑" w:eastAsia="微软雅黑" w:cs="微软雅黑"/>
                <w:spacing w:val="18"/>
                <w:sz w:val="16"/>
                <w:szCs w:val="16"/>
                <w:highlight w:val="none"/>
              </w:rPr>
              <w:t xml:space="preserve">质</w:t>
            </w:r>
            <w:r>
              <w:rPr>
                <w:rFonts w:ascii="微软雅黑" w:hAnsi="微软雅黑" w:eastAsia="微软雅黑" w:cs="微软雅黑"/>
                <w:spacing w:val="10"/>
                <w:sz w:val="16"/>
                <w:szCs w:val="16"/>
                <w:highlight w:val="none"/>
              </w:rPr>
              <w:t xml:space="preserve">   总大肠菌群 、粪大肠菌群件大肠埃希氏菌的测和  酶底物法</w:t>
            </w:r>
            <w:r>
              <w:rPr>
                <w:highlight w:val="none"/>
              </w:rPr>
            </w:r>
            <w:r/>
          </w:p>
        </w:tc>
        <w:tc>
          <w:tcPr>
            <w:tcW w:w="1286" w:type="dxa"/>
            <w:vAlign w:val="top"/>
            <w:textDirection w:val="lrTb"/>
            <w:noWrap w:val="false"/>
          </w:tcPr>
          <w:p>
            <w:pPr>
              <w:pStyle w:val="1008"/>
              <w:ind w:left="341"/>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26"/>
                <w:sz w:val="16"/>
                <w:szCs w:val="16"/>
                <w:highlight w:val="none"/>
              </w:rPr>
              <w:t xml:space="preserve">1001</w:t>
            </w:r>
            <w:r>
              <w:rPr>
                <w:highlight w:val="none"/>
              </w:rPr>
            </w:r>
            <w:r/>
          </w:p>
        </w:tc>
      </w:tr>
    </w:tbl>
    <w:p>
      <w:pPr>
        <w:pStyle w:val="1029"/>
        <w:contextualSpacing/>
        <w:spacing w:line="360" w:lineRule="auto"/>
        <w:rPr>
          <w:rFonts w:hAnsi="宋体" w:cs="宋体"/>
          <w:bCs/>
          <w:sz w:val="24"/>
          <w:szCs w:val="24"/>
          <w:highlight w:val="none"/>
        </w:rPr>
      </w:pPr>
      <w:r>
        <w:rPr>
          <w:rFonts w:hAnsi="宋体" w:cs="宋体"/>
          <w:bCs/>
          <w:sz w:val="24"/>
          <w:szCs w:val="24"/>
          <w:highlight w:val="none"/>
          <w:lang w:val="en-US" w:eastAsia="zh-CN"/>
        </w:rPr>
      </w:r>
      <w:r>
        <w:rPr>
          <w:highlight w:val="none"/>
        </w:rPr>
      </w:r>
      <w:r/>
    </w:p>
    <w:p>
      <w:pPr>
        <w:pStyle w:val="1029"/>
        <w:contextualSpacing/>
        <w:ind w:firstLine="482"/>
        <w:spacing w:line="360" w:lineRule="auto"/>
        <w:rPr>
          <w:rFonts w:hint="eastAsia" w:hAnsi="宋体" w:cs="宋体"/>
          <w:b/>
          <w:sz w:val="24"/>
          <w:szCs w:val="24"/>
          <w:highlight w:val="none"/>
        </w:rPr>
      </w:pPr>
      <w:r>
        <w:rPr>
          <w:rFonts w:hint="eastAsia" w:hAnsi="宋体" w:cs="宋体"/>
          <w:b/>
          <w:sz w:val="24"/>
          <w:szCs w:val="24"/>
          <w:highlight w:val="none"/>
        </w:rPr>
        <w:t xml:space="preserve">二、合同金额</w:t>
      </w:r>
      <w:r>
        <w:rPr>
          <w:highlight w:val="none"/>
        </w:rPr>
      </w:r>
      <w:r/>
    </w:p>
    <w:p>
      <w:pPr>
        <w:pStyle w:val="1029"/>
        <w:contextualSpacing/>
        <w:ind w:firstLine="480"/>
        <w:spacing w:line="360" w:lineRule="auto"/>
        <w:rPr>
          <w:rFonts w:hint="eastAsia" w:hAnsi="宋体" w:cs="宋体"/>
          <w:sz w:val="24"/>
          <w:szCs w:val="24"/>
          <w:highlight w:val="none"/>
        </w:rPr>
      </w:pPr>
      <w:r>
        <w:rPr>
          <w:rFonts w:hint="eastAsia" w:hAnsi="宋体" w:cs="宋体"/>
          <w:sz w:val="24"/>
          <w:szCs w:val="24"/>
          <w:highlight w:val="none"/>
        </w:rPr>
        <w:t xml:space="preserve">2.1 本合同金额为（大写）：_________________元整（￥__________元）人民币。</w:t>
      </w:r>
      <w:r>
        <w:rPr>
          <w:highlight w:val="none"/>
        </w:rPr>
      </w:r>
      <w:r/>
    </w:p>
    <w:p>
      <w:pPr>
        <w:pStyle w:val="1029"/>
        <w:contextualSpacing/>
        <w:ind w:firstLine="480"/>
        <w:spacing w:line="360" w:lineRule="auto"/>
        <w:rPr>
          <w:rFonts w:hint="eastAsia" w:hAnsi="宋体" w:cs="宋体"/>
          <w:sz w:val="24"/>
          <w:szCs w:val="24"/>
          <w:highlight w:val="none"/>
        </w:rPr>
      </w:pPr>
      <w:r>
        <w:rPr>
          <w:rFonts w:hint="eastAsia" w:hAnsi="宋体" w:cs="宋体"/>
          <w:sz w:val="24"/>
          <w:szCs w:val="24"/>
          <w:highlight w:val="none"/>
        </w:rPr>
        <w:t xml:space="preserve">本合同价款包含所有乙方提供合同约定服务的报酬及乙方提供合同中服务所支出的必要费用，</w:t>
      </w:r>
      <w:r>
        <w:rPr>
          <w:rFonts w:hint="eastAsia" w:hAnsi="宋体" w:cs="宋体"/>
          <w:sz w:val="24"/>
          <w:szCs w:val="24"/>
          <w:highlight w:val="none"/>
          <w:lang w:val="en-US" w:eastAsia="zh-CN"/>
        </w:rPr>
        <w:t xml:space="preserve">排水户的检测次数以甲方任务单为准，</w:t>
      </w:r>
      <w:r>
        <w:rPr>
          <w:rFonts w:hint="eastAsia" w:hAnsi="宋体" w:cs="宋体"/>
          <w:sz w:val="24"/>
          <w:szCs w:val="24"/>
          <w:highlight w:val="none"/>
        </w:rPr>
        <w:t xml:space="preserve">甲方在上述合同价款之外不再向乙方支付其他任何费用。</w:t>
      </w:r>
      <w:r>
        <w:rPr>
          <w:highlight w:val="none"/>
        </w:rPr>
      </w:r>
      <w:r/>
    </w:p>
    <w:p>
      <w:pPr>
        <w:pStyle w:val="1029"/>
        <w:contextualSpacing/>
        <w:ind w:firstLine="354"/>
        <w:spacing w:line="360" w:lineRule="auto"/>
        <w:rPr>
          <w:rFonts w:hint="eastAsia" w:hAnsi="宋体" w:cs="宋体"/>
          <w:b/>
          <w:sz w:val="24"/>
          <w:szCs w:val="24"/>
          <w:highlight w:val="none"/>
        </w:rPr>
      </w:pPr>
      <w:r>
        <w:rPr>
          <w:rFonts w:hint="eastAsia" w:hAnsi="宋体" w:cs="宋体"/>
          <w:b/>
          <w:sz w:val="24"/>
          <w:szCs w:val="24"/>
          <w:highlight w:val="none"/>
        </w:rPr>
        <w:t xml:space="preserve">三、技术资料</w:t>
      </w:r>
      <w:r>
        <w:rPr>
          <w:highlight w:val="none"/>
        </w:rPr>
      </w:r>
      <w:r/>
    </w:p>
    <w:p>
      <w:pPr>
        <w:pStyle w:val="1029"/>
        <w:contextualSpacing/>
        <w:ind w:firstLine="480"/>
        <w:spacing w:line="360" w:lineRule="auto"/>
        <w:rPr>
          <w:rFonts w:hint="eastAsia" w:hAnsi="宋体" w:cs="宋体"/>
          <w:sz w:val="24"/>
          <w:szCs w:val="24"/>
          <w:highlight w:val="none"/>
        </w:rPr>
      </w:pPr>
      <w:r>
        <w:rPr>
          <w:rFonts w:hint="eastAsia" w:hAnsi="宋体" w:cs="宋体"/>
          <w:sz w:val="24"/>
          <w:szCs w:val="24"/>
          <w:highlight w:val="none"/>
        </w:rPr>
        <w:t xml:space="preserve">3.1乙方应按</w:t>
      </w:r>
      <w:r>
        <w:rPr>
          <w:rFonts w:hint="eastAsia" w:hAnsi="宋体" w:cs="宋体"/>
          <w:sz w:val="24"/>
          <w:szCs w:val="24"/>
          <w:highlight w:val="none"/>
          <w:lang w:eastAsia="zh-CN"/>
        </w:rPr>
        <w:t xml:space="preserve">招标</w:t>
      </w:r>
      <w:r>
        <w:rPr>
          <w:rFonts w:hint="eastAsia" w:hAnsi="宋体" w:cs="宋体"/>
          <w:sz w:val="24"/>
          <w:szCs w:val="24"/>
          <w:highlight w:val="none"/>
        </w:rPr>
        <w:t xml:space="preserve">文件规定的时间向甲方提供有关技术资料。</w:t>
      </w:r>
      <w:r>
        <w:rPr>
          <w:highlight w:val="none"/>
        </w:rPr>
      </w:r>
      <w:r/>
    </w:p>
    <w:p>
      <w:pPr>
        <w:pStyle w:val="1029"/>
        <w:contextualSpacing/>
        <w:ind w:firstLine="480"/>
        <w:spacing w:line="360" w:lineRule="auto"/>
        <w:rPr>
          <w:rFonts w:hint="eastAsia" w:hAnsi="宋体" w:cs="宋体"/>
          <w:sz w:val="24"/>
          <w:szCs w:val="24"/>
          <w:highlight w:val="none"/>
        </w:rPr>
      </w:pPr>
      <w:r>
        <w:rPr>
          <w:rFonts w:hint="eastAsia" w:hAnsi="宋体" w:cs="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1029"/>
        <w:contextualSpacing/>
        <w:ind w:firstLine="475"/>
        <w:spacing w:line="360" w:lineRule="auto"/>
        <w:rPr>
          <w:rFonts w:hint="eastAsia" w:hAnsi="宋体" w:cs="宋体"/>
          <w:b/>
          <w:sz w:val="24"/>
          <w:szCs w:val="24"/>
          <w:highlight w:val="none"/>
        </w:rPr>
      </w:pPr>
      <w:r>
        <w:rPr>
          <w:rFonts w:hint="eastAsia" w:hAnsi="宋体" w:cs="宋体"/>
          <w:b/>
          <w:bCs/>
          <w:sz w:val="24"/>
          <w:szCs w:val="24"/>
          <w:highlight w:val="none"/>
        </w:rPr>
        <w:t xml:space="preserve">四</w:t>
      </w:r>
      <w:r>
        <w:rPr>
          <w:rFonts w:hint="eastAsia" w:hAnsi="宋体" w:cs="宋体"/>
          <w:b/>
          <w:sz w:val="24"/>
          <w:szCs w:val="24"/>
          <w:highlight w:val="none"/>
        </w:rPr>
        <w:t xml:space="preserve">、保密条款</w:t>
      </w:r>
      <w:r>
        <w:rPr>
          <w:highlight w:val="none"/>
        </w:rPr>
      </w:r>
      <w:r/>
    </w:p>
    <w:p>
      <w:pPr>
        <w:pStyle w:val="1029"/>
        <w:contextualSpacing/>
        <w:ind w:firstLine="480"/>
        <w:spacing w:line="360" w:lineRule="auto"/>
        <w:rPr>
          <w:rFonts w:hint="eastAsia" w:hAnsi="宋体" w:cs="宋体"/>
          <w:sz w:val="24"/>
          <w:szCs w:val="24"/>
          <w:highlight w:val="none"/>
        </w:rPr>
      </w:pPr>
      <w:r>
        <w:rPr>
          <w:rFonts w:hint="eastAsia" w:hAnsi="宋体" w:cs="宋体"/>
          <w:sz w:val="24"/>
          <w:szCs w:val="24"/>
          <w:highlight w:val="none"/>
        </w:rPr>
        <w:t xml:space="preserve">检（监）测涉及的图纸数据系保密资料，甲方提供的图片、数据以及检（监）测过程中所产生的数据和结果乙方应当履行保密责任，未经甲方许可不得向外泄露。</w:t>
      </w:r>
      <w:r>
        <w:rPr>
          <w:highlight w:val="none"/>
        </w:rPr>
      </w:r>
      <w:r/>
    </w:p>
    <w:p>
      <w:pPr>
        <w:pStyle w:val="1029"/>
        <w:contextualSpacing/>
        <w:ind w:firstLine="482"/>
        <w:spacing w:line="360" w:lineRule="auto"/>
        <w:rPr>
          <w:rFonts w:hint="eastAsia" w:hAnsi="宋体" w:cs="宋体"/>
          <w:b/>
          <w:sz w:val="24"/>
          <w:szCs w:val="24"/>
          <w:highlight w:val="none"/>
        </w:rPr>
      </w:pPr>
      <w:r>
        <w:rPr>
          <w:rFonts w:hint="eastAsia" w:hAnsi="宋体" w:cs="宋体"/>
          <w:b/>
          <w:sz w:val="24"/>
          <w:szCs w:val="24"/>
          <w:highlight w:val="none"/>
        </w:rPr>
        <w:t xml:space="preserve">五、知识产权</w:t>
      </w:r>
      <w:r>
        <w:rPr>
          <w:highlight w:val="none"/>
        </w:rPr>
      </w:r>
      <w:r/>
    </w:p>
    <w:p>
      <w:pPr>
        <w:pStyle w:val="1029"/>
        <w:contextualSpacing/>
        <w:ind w:firstLine="352"/>
        <w:spacing w:line="360" w:lineRule="auto"/>
        <w:rPr>
          <w:rFonts w:hint="eastAsia" w:hAnsi="宋体" w:cs="宋体"/>
          <w:sz w:val="24"/>
          <w:szCs w:val="24"/>
          <w:highlight w:val="none"/>
        </w:rPr>
      </w:pPr>
      <w:r>
        <w:rPr>
          <w:rFonts w:hint="eastAsia" w:hAnsi="宋体" w:cs="宋体"/>
          <w:sz w:val="24"/>
          <w:szCs w:val="24"/>
          <w:highlight w:val="none"/>
        </w:rPr>
        <w:t xml:space="preserve">乙方应保证所提供的服务不受第三方提出侵犯其专利权、商标权和工业设计权的起诉。一旦出现专利侵权，乙方应负全部责任。研究开发项目，其研发成果的知识产权属于甲方所有，包括但不限于系统设计文档、系统开发指南、软件源代码等技术成果。</w:t>
      </w:r>
      <w:r>
        <w:rPr>
          <w:highlight w:val="none"/>
        </w:rPr>
      </w:r>
      <w:r/>
    </w:p>
    <w:p>
      <w:pPr>
        <w:pStyle w:val="1029"/>
        <w:contextualSpacing/>
        <w:ind w:firstLine="475"/>
        <w:spacing w:line="360" w:lineRule="auto"/>
        <w:rPr>
          <w:rFonts w:hint="eastAsia" w:hAnsi="宋体" w:cs="宋体"/>
          <w:sz w:val="24"/>
          <w:szCs w:val="24"/>
          <w:highlight w:val="none"/>
          <w:u w:val="single"/>
        </w:rPr>
      </w:pPr>
      <w:r>
        <w:rPr>
          <w:rFonts w:hint="eastAsia" w:hAnsi="宋体" w:cs="宋体"/>
          <w:b/>
          <w:sz w:val="24"/>
          <w:szCs w:val="24"/>
          <w:highlight w:val="none"/>
        </w:rPr>
        <w:t xml:space="preserve">六、产权担保</w:t>
      </w:r>
      <w:r>
        <w:rPr>
          <w:highlight w:val="none"/>
        </w:rPr>
      </w:r>
      <w:r/>
    </w:p>
    <w:p>
      <w:pPr>
        <w:pStyle w:val="1008"/>
        <w:contextualSpacing/>
        <w:ind w:firstLine="480"/>
        <w:spacing w:line="360" w:lineRule="auto"/>
        <w:rPr>
          <w:rFonts w:hint="eastAsia" w:ascii="宋体" w:hAnsi="宋体" w:cs="宋体"/>
          <w:sz w:val="24"/>
          <w:highlight w:val="none"/>
        </w:rPr>
      </w:pPr>
      <w:r>
        <w:rPr>
          <w:rFonts w:hint="eastAsia" w:ascii="宋体" w:hAnsi="宋体" w:cs="宋体"/>
          <w:sz w:val="24"/>
          <w:highlight w:val="none"/>
        </w:rPr>
        <w:t xml:space="preserve">乙方保证所交付标的的所有权完全属于乙方且无任何抵押、查封等产权瑕疵。</w:t>
      </w:r>
      <w:r>
        <w:rPr>
          <w:highlight w:val="none"/>
        </w:rPr>
      </w:r>
      <w:r/>
    </w:p>
    <w:p>
      <w:pPr>
        <w:pStyle w:val="1029"/>
        <w:contextualSpacing/>
        <w:ind w:left="48" w:firstLine="241"/>
        <w:spacing w:line="360" w:lineRule="auto"/>
        <w:rPr>
          <w:rFonts w:hint="eastAsia" w:hAnsi="宋体" w:cs="宋体"/>
          <w:b/>
          <w:sz w:val="24"/>
          <w:szCs w:val="24"/>
          <w:highlight w:val="none"/>
        </w:rPr>
      </w:pPr>
      <w:r>
        <w:rPr>
          <w:rFonts w:hint="eastAsia" w:hAnsi="宋体" w:cs="宋体"/>
          <w:b/>
          <w:sz w:val="24"/>
          <w:szCs w:val="24"/>
          <w:highlight w:val="none"/>
          <w:lang w:val="en-US" w:eastAsia="zh-CN"/>
        </w:rPr>
        <w:t xml:space="preserve">七、</w:t>
      </w:r>
      <w:r>
        <w:rPr>
          <w:rFonts w:hint="eastAsia" w:hAnsi="宋体" w:cs="宋体"/>
          <w:b/>
          <w:sz w:val="24"/>
          <w:szCs w:val="24"/>
          <w:highlight w:val="none"/>
        </w:rPr>
        <w:t xml:space="preserve">履约保证金</w:t>
      </w:r>
      <w:r>
        <w:rPr>
          <w:highlight w:val="none"/>
        </w:rPr>
      </w:r>
      <w:r/>
    </w:p>
    <w:p>
      <w:pPr>
        <w:pStyle w:val="1029"/>
        <w:contextualSpacing/>
        <w:ind w:left="210" w:firstLine="241"/>
        <w:spacing w:line="360" w:lineRule="auto"/>
        <w:rPr>
          <w:rFonts w:hint="eastAsia" w:hAnsi="宋体" w:cs="宋体"/>
          <w:b/>
          <w:sz w:val="24"/>
          <w:szCs w:val="24"/>
          <w:highlight w:val="none"/>
        </w:rPr>
      </w:pPr>
      <w:r>
        <w:rPr>
          <w:rFonts w:hint="eastAsia" w:hAnsi="宋体" w:cs="宋体"/>
          <w:b/>
          <w:sz w:val="24"/>
          <w:szCs w:val="24"/>
          <w:highlight w:val="none"/>
          <w:lang w:val="en-US" w:eastAsia="zh-CN"/>
        </w:rPr>
        <w:t xml:space="preserve">1、履约保证金的缴纳</w:t>
      </w:r>
      <w:r>
        <w:rPr>
          <w:highlight w:val="none"/>
        </w:rPr>
      </w:r>
      <w:r/>
    </w:p>
    <w:p>
      <w:pPr>
        <w:pStyle w:val="1008"/>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1.1缴纳时间：</w:t>
      </w:r>
      <w:r>
        <w:rPr>
          <w:rFonts w:hint="eastAsia" w:ascii="宋体" w:hAnsi="宋体" w:eastAsia="宋体" w:cs="Times New Roman"/>
          <w:sz w:val="24"/>
          <w:highlight w:val="none"/>
        </w:rPr>
        <w:t xml:space="preserve">中标人在收到中标通知书后，须在合同签订前</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向招标人足额提交履约保证金或者保函，否则招标人可以取消中标资格</w:t>
      </w:r>
      <w:r>
        <w:rPr>
          <w:rFonts w:hint="eastAsia" w:ascii="宋体" w:hAnsi="宋体" w:eastAsia="宋体" w:cs="Times New Roman"/>
          <w:sz w:val="24"/>
          <w:highlight w:val="none"/>
          <w:lang w:eastAsia="zh-CN"/>
        </w:rPr>
        <w:t xml:space="preserve">；</w:t>
      </w:r>
      <w:r>
        <w:rPr>
          <w:highlight w:val="none"/>
        </w:rPr>
      </w:r>
      <w:r/>
    </w:p>
    <w:p>
      <w:pPr>
        <w:pStyle w:val="1008"/>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rPr>
        <w:t xml:space="preserve">缴纳金额：乙方交纳合同价的10%（按四舍五入取整至百元）作为本项目的履约保证金；</w:t>
      </w:r>
      <w:r>
        <w:rPr>
          <w:highlight w:val="none"/>
        </w:rPr>
      </w:r>
      <w:r/>
    </w:p>
    <w:p>
      <w:pPr>
        <w:pStyle w:val="1008"/>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1.3缴纳方式：</w:t>
      </w:r>
      <w:r>
        <w:rPr>
          <w:rFonts w:hint="eastAsia" w:ascii="宋体" w:hAnsi="宋体" w:eastAsia="宋体" w:cs="Times New Roman"/>
          <w:sz w:val="24"/>
          <w:highlight w:val="none"/>
        </w:rPr>
        <w:t xml:space="preserve">供应商应当以转账、支票、汇票、本票或者金融机构、担保机构出具的保函、保险公司保险单等形式提交。</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本项目</w:t>
      </w:r>
      <w:r>
        <w:rPr>
          <w:rFonts w:hint="eastAsia" w:ascii="宋体" w:hAnsi="宋体" w:cs="宋体"/>
          <w:color w:val="000000"/>
          <w:sz w:val="24"/>
          <w:szCs w:val="20"/>
          <w:highlight w:val="none"/>
        </w:rPr>
        <w:t xml:space="preserve">对AA评级及以上政府采购供应商（需提供信用管理部门备案的第三方信用报告）免收履约保证金。</w:t>
      </w:r>
      <w:r>
        <w:rPr>
          <w:highlight w:val="none"/>
        </w:rPr>
      </w:r>
      <w:r/>
    </w:p>
    <w:p>
      <w:pPr>
        <w:pStyle w:val="1008"/>
        <w:ind w:firstLine="480"/>
        <w:jc w:val="left"/>
        <w:spacing w:line="520" w:lineRule="exact"/>
        <w:widowControl/>
        <w:rPr>
          <w:rFonts w:hint="eastAsia" w:ascii="宋体" w:hAnsi="宋体" w:cs="宋体"/>
          <w:sz w:val="24"/>
          <w:highlight w:val="none"/>
        </w:rPr>
      </w:pPr>
      <w:r>
        <w:rPr>
          <w:rFonts w:hint="eastAsia" w:ascii="宋体" w:hAnsi="宋体" w:cs="宋体"/>
          <w:color w:val="000000"/>
          <w:sz w:val="24"/>
          <w:szCs w:val="20"/>
          <w:highlight w:val="none"/>
        </w:rPr>
        <w:t xml:space="preserve">（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2、履约保证金的退还</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2.1方式：无息退还至乙方缴纳履约保证金的账户。如为保函，乙方需提供保函至项目验收合格结束，验收合格结束后保函自动失效。</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2.2时间：项目全部完成并验收合格。</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2.3条件：由乙方提出申请，30个工作日内无息退还履约保证金。</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2.4不予退还情形：</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除不可抗力情况外，乙方出现下列情形之一的，将视情节决定履约保证金是否不予退还。</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（1）乙方无正当理由拒绝签订合同的，或者在签订合同时向甲方提出附加条件或者更改合同实质性内容要求的；</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（2）乙方不履行与甲方订立的合同的；</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（3）乙方所供货物或服务不符合招标文件规定要求的；</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（4）乙方采取欺骗、弄虚作假方式投标的或与其它投标人串通投标的；</w:t>
      </w:r>
      <w:r>
        <w:rPr>
          <w:highlight w:val="none"/>
        </w:rPr>
      </w:r>
      <w:r/>
    </w:p>
    <w:p>
      <w:pPr>
        <w:pStyle w:val="100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（5）乙方故意捏造事实或伪造证明材料，进行虚假恶意投诉或反映的。</w:t>
      </w:r>
      <w:r>
        <w:rPr>
          <w:highlight w:val="none"/>
        </w:rPr>
      </w:r>
      <w:r/>
    </w:p>
    <w:p>
      <w:pPr>
        <w:pStyle w:val="1008"/>
        <w:ind w:firstLine="480"/>
        <w:jc w:val="left"/>
        <w:spacing w:line="360" w:lineRule="auto"/>
        <w:rPr>
          <w:rFonts w:hint="eastAsia" w:ascii="宋体" w:hAnsi="宋体" w:cs="宋体"/>
          <w:b/>
          <w:sz w:val="24"/>
          <w:highlight w:val="none"/>
        </w:rPr>
      </w:pPr>
      <w:r>
        <w:rPr>
          <w:rFonts w:hint="eastAsia" w:ascii="宋体" w:hAnsi="宋体" w:cs="宋体"/>
          <w:sz w:val="24"/>
          <w:highlight w:val="none"/>
        </w:rPr>
        <w:t xml:space="preserve">2.5逾期退还的违约责任：甲方逾期无故未退还履约保证金的，按中国人民银行同期存款基准利率支付超期资金占用费，但因乙方自身原因导致无法及时退还的除外。</w:t>
      </w:r>
      <w:r>
        <w:rPr>
          <w:highlight w:val="none"/>
        </w:rPr>
      </w:r>
      <w:r/>
    </w:p>
    <w:p>
      <w:pPr>
        <w:pStyle w:val="1029"/>
        <w:contextualSpacing/>
        <w:ind w:firstLine="241"/>
        <w:spacing w:line="360" w:lineRule="auto"/>
        <w:rPr>
          <w:rFonts w:hint="eastAsia" w:hAnsi="宋体" w:cs="宋体"/>
          <w:sz w:val="24"/>
          <w:szCs w:val="24"/>
          <w:highlight w:val="none"/>
        </w:rPr>
      </w:pPr>
      <w:r>
        <w:rPr>
          <w:rFonts w:hint="eastAsia" w:hAnsi="宋体" w:cs="宋体"/>
          <w:b/>
          <w:sz w:val="24"/>
          <w:szCs w:val="24"/>
          <w:highlight w:val="none"/>
        </w:rPr>
        <w:t xml:space="preserve">八、转包或分包</w:t>
      </w:r>
      <w:r>
        <w:rPr>
          <w:highlight w:val="none"/>
        </w:rPr>
      </w:r>
      <w:r/>
    </w:p>
    <w:p>
      <w:pPr>
        <w:pStyle w:val="1008"/>
        <w:contextualSpacing/>
        <w:ind w:firstLine="480"/>
        <w:spacing w:line="360" w:lineRule="auto"/>
        <w:rPr>
          <w:rFonts w:hint="eastAsia" w:ascii="宋体" w:hAnsi="宋体" w:cs="宋体"/>
          <w:sz w:val="24"/>
          <w:highlight w:val="none"/>
        </w:rPr>
      </w:pPr>
      <w:r>
        <w:rPr>
          <w:rFonts w:hint="eastAsia" w:ascii="宋体" w:hAnsi="宋体"/>
          <w:sz w:val="24"/>
          <w:highlight w:val="none"/>
        </w:rPr>
        <w:t xml:space="preserve">8.1</w:t>
      </w:r>
      <w:r>
        <w:rPr>
          <w:rFonts w:hint="eastAsia" w:ascii="宋体" w:hAnsi="宋体"/>
          <w:sz w:val="24"/>
          <w:highlight w:val="none"/>
          <w:lang w:val="zh-CN"/>
        </w:rPr>
        <w:t xml:space="preserve">中标人在服务期间，将承担的检测服务转包、分包他人，或者出现数据弄虚作假，将被解除服务合同，停止支付服务费</w:t>
      </w:r>
      <w:r>
        <w:rPr>
          <w:rFonts w:hint="eastAsia" w:ascii="宋体" w:hAnsi="宋体"/>
          <w:sz w:val="24"/>
          <w:highlight w:val="none"/>
        </w:rPr>
        <w:t xml:space="preserve">，情节严重的，</w:t>
      </w:r>
      <w:r>
        <w:rPr>
          <w:rFonts w:hint="eastAsia" w:ascii="宋体" w:hAnsi="宋体"/>
          <w:bCs/>
          <w:sz w:val="24"/>
          <w:highlight w:val="none"/>
        </w:rPr>
        <w:t xml:space="preserve">推送至信用平台</w:t>
      </w:r>
      <w:r>
        <w:rPr>
          <w:highlight w:val="none"/>
        </w:rPr>
      </w:r>
      <w:r/>
    </w:p>
    <w:p>
      <w:pPr>
        <w:pStyle w:val="1029"/>
        <w:contextualSpacing/>
        <w:ind w:firstLine="354"/>
        <w:spacing w:line="360" w:lineRule="auto"/>
        <w:rPr>
          <w:rFonts w:hint="eastAsia" w:hAnsi="宋体" w:cs="宋体"/>
          <w:b/>
          <w:sz w:val="24"/>
          <w:szCs w:val="24"/>
          <w:highlight w:val="none"/>
        </w:rPr>
      </w:pPr>
      <w:r>
        <w:rPr>
          <w:rFonts w:hint="eastAsia" w:hAnsi="宋体" w:cs="宋体"/>
          <w:b/>
          <w:sz w:val="24"/>
          <w:szCs w:val="24"/>
          <w:highlight w:val="none"/>
        </w:rPr>
        <w:t xml:space="preserve">九、交付期、交付方式及交付地点</w:t>
      </w:r>
      <w:r>
        <w:rPr>
          <w:highlight w:val="none"/>
        </w:rPr>
      </w:r>
      <w:r/>
    </w:p>
    <w:p>
      <w:pPr>
        <w:pStyle w:val="1029"/>
        <w:contextualSpacing/>
        <w:ind w:firstLine="360"/>
        <w:spacing w:line="360" w:lineRule="auto"/>
        <w:rPr>
          <w:rFonts w:hint="eastAsia" w:hAnsi="宋体" w:cs="宋体"/>
          <w:sz w:val="24"/>
          <w:szCs w:val="24"/>
          <w:highlight w:val="none"/>
        </w:rPr>
      </w:pPr>
      <w:r>
        <w:rPr>
          <w:rFonts w:hint="eastAsia" w:hAnsi="宋体" w:cs="宋体"/>
          <w:sz w:val="24"/>
          <w:szCs w:val="24"/>
          <w:highlight w:val="none"/>
        </w:rPr>
        <w:t xml:space="preserve">9.1交付期：</w:t>
      </w:r>
      <w:r>
        <w:rPr>
          <w:rFonts w:hint="eastAsia" w:hAnsi="宋体" w:cs="宋体"/>
          <w:sz w:val="24"/>
          <w:szCs w:val="24"/>
          <w:highlight w:val="none"/>
          <w:u w:val="single"/>
        </w:rPr>
        <w:t xml:space="preserve">按甲方要求执行</w:t>
      </w:r>
      <w:r>
        <w:rPr>
          <w:rFonts w:hint="eastAsia" w:hAnsi="宋体" w:cs="宋体"/>
          <w:sz w:val="24"/>
          <w:szCs w:val="24"/>
          <w:highlight w:val="none"/>
        </w:rPr>
        <w:t xml:space="preserve">。   </w:t>
      </w:r>
      <w:r>
        <w:rPr>
          <w:highlight w:val="none"/>
        </w:rPr>
      </w:r>
      <w:r/>
    </w:p>
    <w:p>
      <w:pPr>
        <w:pStyle w:val="1029"/>
        <w:contextualSpacing/>
        <w:ind w:firstLine="360"/>
        <w:spacing w:line="360" w:lineRule="auto"/>
        <w:rPr>
          <w:rFonts w:hint="eastAsia" w:hAnsi="宋体" w:cs="宋体"/>
          <w:sz w:val="24"/>
          <w:szCs w:val="24"/>
          <w:highlight w:val="none"/>
        </w:rPr>
      </w:pPr>
      <w:r>
        <w:rPr>
          <w:rFonts w:hint="eastAsia" w:hAnsi="宋体" w:cs="宋体"/>
          <w:sz w:val="24"/>
          <w:szCs w:val="24"/>
          <w:highlight w:val="none"/>
        </w:rPr>
        <w:t xml:space="preserve">9.2交付方式：</w:t>
      </w:r>
      <w:r>
        <w:rPr>
          <w:rFonts w:hint="eastAsia" w:hAnsi="宋体" w:cs="宋体"/>
          <w:sz w:val="24"/>
          <w:szCs w:val="24"/>
          <w:highlight w:val="none"/>
          <w:u w:val="single"/>
        </w:rPr>
        <w:t xml:space="preserve">在采样完毕后</w:t>
      </w:r>
      <w:r>
        <w:rPr>
          <w:rFonts w:hint="eastAsia" w:hAnsi="宋体" w:cs="宋体"/>
          <w:bCs/>
          <w:sz w:val="24"/>
          <w:szCs w:val="24"/>
          <w:highlight w:val="none"/>
          <w:u w:val="single"/>
        </w:rPr>
        <w:t xml:space="preserve">7个工作日</w:t>
      </w:r>
      <w:r>
        <w:rPr>
          <w:rFonts w:hint="eastAsia" w:hAnsi="宋体" w:cs="宋体"/>
          <w:sz w:val="24"/>
          <w:szCs w:val="24"/>
          <w:highlight w:val="none"/>
          <w:u w:val="single"/>
        </w:rPr>
        <w:t xml:space="preserve">内向采购人提供正式报告一式四份（纸质版），其中乙方留存2份一份做为付款台账整理后集中提交给甲方。</w:t>
      </w:r>
      <w:r>
        <w:rPr>
          <w:highlight w:val="none"/>
        </w:rPr>
      </w:r>
      <w:r/>
    </w:p>
    <w:p>
      <w:pPr>
        <w:pStyle w:val="1029"/>
        <w:contextualSpacing/>
        <w:ind w:firstLine="360"/>
        <w:spacing w:line="360" w:lineRule="auto"/>
        <w:rPr>
          <w:rFonts w:hint="eastAsia" w:hAnsi="宋体" w:cs="宋体"/>
          <w:sz w:val="24"/>
          <w:szCs w:val="24"/>
          <w:highlight w:val="none"/>
          <w:u w:val="single"/>
        </w:rPr>
      </w:pPr>
      <w:r>
        <w:rPr>
          <w:rFonts w:hint="eastAsia" w:hAnsi="宋体" w:cs="宋体"/>
          <w:sz w:val="24"/>
          <w:szCs w:val="24"/>
          <w:highlight w:val="none"/>
        </w:rPr>
        <w:t xml:space="preserve">9.3交付地点：</w:t>
      </w:r>
      <w:r>
        <w:rPr>
          <w:rFonts w:hint="eastAsia" w:hAnsi="宋体" w:cs="宋体"/>
          <w:sz w:val="24"/>
          <w:szCs w:val="24"/>
          <w:highlight w:val="none"/>
          <w:u w:val="single"/>
        </w:rPr>
        <w:t xml:space="preserve">  盐城市城镇排水管理处。</w:t>
      </w:r>
      <w:r>
        <w:rPr>
          <w:highlight w:val="none"/>
        </w:rPr>
      </w:r>
      <w:r/>
    </w:p>
    <w:p>
      <w:pPr>
        <w:pStyle w:val="1029"/>
        <w:contextualSpacing/>
        <w:ind w:firstLine="354"/>
        <w:spacing w:line="360" w:lineRule="auto"/>
        <w:rPr>
          <w:rFonts w:hint="eastAsia" w:hAnsi="宋体" w:cs="宋体"/>
          <w:b/>
          <w:sz w:val="24"/>
          <w:szCs w:val="24"/>
          <w:highlight w:val="none"/>
        </w:rPr>
      </w:pPr>
      <w:r>
        <w:rPr>
          <w:rFonts w:hint="eastAsia" w:hAnsi="宋体" w:cs="宋体"/>
          <w:b/>
          <w:sz w:val="24"/>
          <w:szCs w:val="24"/>
          <w:highlight w:val="none"/>
        </w:rPr>
        <w:t xml:space="preserve">十、收费标准及合同款支付</w:t>
      </w:r>
      <w:r>
        <w:rPr>
          <w:highlight w:val="none"/>
        </w:rPr>
      </w:r>
      <w:r/>
    </w:p>
    <w:p>
      <w:pPr>
        <w:pStyle w:val="1029"/>
        <w:contextualSpacing/>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10.1按投标文件报价执行。</w:t>
      </w:r>
      <w:r>
        <w:rPr>
          <w:highlight w:val="none"/>
        </w:rPr>
      </w:r>
      <w:r/>
    </w:p>
    <w:p>
      <w:pPr>
        <w:pStyle w:val="1029"/>
        <w:contextualSpacing/>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10.2付款</w:t>
      </w:r>
      <w:r>
        <w:rPr>
          <w:highlight w:val="none"/>
        </w:rPr>
      </w:r>
      <w:r/>
    </w:p>
    <w:p>
      <w:pPr>
        <w:pStyle w:val="1029"/>
        <w:contextualSpacing/>
        <w:ind w:firstLine="480"/>
        <w:spacing w:line="360" w:lineRule="auto"/>
        <w:rPr>
          <w:rFonts w:hint="eastAsia" w:hAnsi="宋体" w:cs="宋体"/>
          <w:bCs/>
          <w:sz w:val="24"/>
          <w:szCs w:val="24"/>
          <w:highlight w:val="none"/>
        </w:rPr>
      </w:pPr>
      <w:r>
        <w:rPr>
          <w:rFonts w:hint="eastAsia" w:hAnsi="宋体" w:cs="宋体"/>
          <w:bCs/>
          <w:sz w:val="24"/>
          <w:szCs w:val="24"/>
          <w:highlight w:val="none"/>
        </w:rPr>
        <w:t xml:space="preserve">10.2.1付款条件：</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(1)本合同以人民币付款。</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(2)乙方应按照与甲方签订的合同1.4条“服务要求”规定提供服务。服务完成后乙方应向甲方提供下列单据：</w:t>
      </w:r>
      <w:r>
        <w:rPr>
          <w:highlight w:val="none"/>
        </w:rPr>
      </w:r>
      <w:r/>
    </w:p>
    <w:p>
      <w:pPr>
        <w:pStyle w:val="1029"/>
        <w:contextualSpacing/>
        <w:ind w:firstLine="600"/>
        <w:spacing w:line="360" w:lineRule="auto"/>
        <w:rPr>
          <w:rFonts w:hint="eastAsia" w:hAnsi="宋体" w:cs="宋体"/>
          <w:sz w:val="24"/>
          <w:szCs w:val="24"/>
          <w:highlight w:val="none"/>
        </w:rPr>
      </w:pPr>
      <w:r>
        <w:rPr>
          <w:rFonts w:hint="eastAsia" w:hAnsi="宋体" w:cs="宋体"/>
          <w:sz w:val="24"/>
          <w:szCs w:val="24"/>
          <w:highlight w:val="none"/>
        </w:rPr>
        <w:fldChar w:fldCharType="begin"/>
      </w:r>
      <w:r>
        <w:rPr>
          <w:rFonts w:hint="eastAsia" w:hAnsi="宋体" w:cs="宋体"/>
          <w:sz w:val="24"/>
          <w:szCs w:val="24"/>
          <w:highlight w:val="none"/>
        </w:rPr>
        <w:instrText xml:space="preserve"> = 1 \* GB3 </w:instrText>
      </w:r>
      <w:r>
        <w:rPr>
          <w:rFonts w:hint="eastAsia" w:hAnsi="宋体" w:cs="宋体"/>
          <w:sz w:val="24"/>
          <w:szCs w:val="24"/>
          <w:highlight w:val="none"/>
        </w:rPr>
        <w:fldChar w:fldCharType="separate"/>
      </w:r>
      <w:r>
        <w:rPr>
          <w:rFonts w:hint="eastAsia" w:hAnsi="宋体" w:cs="宋体"/>
          <w:sz w:val="24"/>
          <w:szCs w:val="24"/>
          <w:highlight w:val="none"/>
        </w:rPr>
        <w:t xml:space="preserve">①</w:t>
      </w:r>
      <w:r>
        <w:rPr>
          <w:rFonts w:hint="eastAsia" w:hAnsi="宋体" w:cs="宋体"/>
          <w:sz w:val="24"/>
          <w:szCs w:val="24"/>
          <w:highlight w:val="none"/>
        </w:rPr>
        <w:fldChar w:fldCharType="end"/>
      </w:r>
      <w:r>
        <w:rPr>
          <w:rFonts w:hint="eastAsia" w:hAnsi="宋体" w:cs="宋体"/>
          <w:sz w:val="24"/>
          <w:szCs w:val="24"/>
          <w:highlight w:val="none"/>
        </w:rPr>
        <w:t xml:space="preserve"> 发票；</w:t>
      </w:r>
      <w:r>
        <w:rPr>
          <w:rFonts w:hint="eastAsia" w:hAnsi="宋体" w:cs="宋体"/>
          <w:sz w:val="24"/>
          <w:szCs w:val="24"/>
          <w:highlight w:val="none"/>
        </w:rPr>
        <w:fldChar w:fldCharType="begin"/>
      </w:r>
      <w:r>
        <w:rPr>
          <w:rFonts w:hint="eastAsia" w:hAnsi="宋体" w:cs="宋体"/>
          <w:sz w:val="24"/>
          <w:szCs w:val="24"/>
          <w:highlight w:val="none"/>
        </w:rPr>
        <w:instrText xml:space="preserve"> = 2 \* GB3 </w:instrText>
      </w:r>
      <w:r>
        <w:rPr>
          <w:rFonts w:hint="eastAsia" w:hAnsi="宋体" w:cs="宋体"/>
          <w:sz w:val="24"/>
          <w:szCs w:val="24"/>
          <w:highlight w:val="none"/>
        </w:rPr>
        <w:fldChar w:fldCharType="separate"/>
      </w:r>
      <w:r>
        <w:rPr>
          <w:rFonts w:hint="eastAsia" w:hAnsi="宋体" w:cs="宋体"/>
          <w:sz w:val="24"/>
          <w:szCs w:val="24"/>
          <w:highlight w:val="none"/>
        </w:rPr>
        <w:t xml:space="preserve">②</w:t>
      </w:r>
      <w:r>
        <w:rPr>
          <w:rFonts w:hint="eastAsia" w:hAnsi="宋体" w:cs="宋体"/>
          <w:sz w:val="24"/>
          <w:szCs w:val="24"/>
          <w:highlight w:val="none"/>
        </w:rPr>
        <w:fldChar w:fldCharType="end"/>
      </w:r>
      <w:r>
        <w:rPr>
          <w:rFonts w:hint="eastAsia" w:hAnsi="宋体" w:cs="宋体"/>
          <w:sz w:val="24"/>
          <w:szCs w:val="24"/>
          <w:highlight w:val="none"/>
        </w:rPr>
        <w:t xml:space="preserve"> 合同复印件；③每月检测分析表（数据分析表包含每月检测污水厂</w:t>
      </w:r>
      <w:r>
        <w:rPr>
          <w:rFonts w:hint="eastAsia" w:hAnsi="宋体" w:cs="宋体"/>
          <w:sz w:val="24"/>
          <w:szCs w:val="24"/>
          <w:highlight w:val="none"/>
          <w:lang w:eastAsia="zh-CN"/>
        </w:rPr>
        <w:t xml:space="preserve">或排水户</w:t>
      </w:r>
      <w:r>
        <w:rPr>
          <w:rFonts w:hint="eastAsia" w:hAnsi="宋体" w:cs="宋体"/>
          <w:sz w:val="24"/>
          <w:szCs w:val="24"/>
          <w:highlight w:val="none"/>
        </w:rPr>
        <w:t xml:space="preserve">名单、检测指标、超标的详细指标、超标率、每月检测产生总费用）；④ 检测报告（原件）。</w:t>
      </w:r>
      <w:r>
        <w:rPr>
          <w:highlight w:val="none"/>
        </w:rPr>
      </w:r>
      <w:r/>
    </w:p>
    <w:p>
      <w:pPr>
        <w:pStyle w:val="1029"/>
        <w:contextualSpacing/>
        <w:ind w:firstLine="600"/>
        <w:spacing w:line="360" w:lineRule="auto"/>
        <w:rPr>
          <w:rFonts w:hint="eastAsia" w:hAnsi="宋体" w:cs="宋体"/>
          <w:sz w:val="24"/>
          <w:szCs w:val="24"/>
          <w:highlight w:val="none"/>
        </w:rPr>
      </w:pPr>
      <w:r>
        <w:rPr>
          <w:rFonts w:hint="eastAsia" w:hAnsi="宋体" w:cs="宋体"/>
          <w:sz w:val="24"/>
          <w:szCs w:val="24"/>
          <w:highlight w:val="none"/>
        </w:rPr>
        <w:t xml:space="preserve">10.2.2 付款方式：</w:t>
      </w:r>
      <w:r>
        <w:rPr>
          <w:highlight w:val="none"/>
        </w:rPr>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根据市财政局《关于进一步优化政府采购营商环境的通知》文件要求</w:t>
      </w:r>
      <w:r>
        <w:rPr>
          <w:rFonts w:ascii="SimSun" w:hAnsi="SimSun" w:eastAsia="SimSun" w:cs="SimSun"/>
          <w:color w:val="000000"/>
          <w:sz w:val="24"/>
          <w:highlight w:val="white"/>
        </w:rPr>
        <w:t xml:space="preserve">，合同签订后30日内，甲方收到发票10个工作日内支付预付款，预付款支付比例：合同金额的30%。签订合同时，乙方明确表示无需预付款或者主动要求降低预付款比例金额，甲方可不适用该条款</w:t>
      </w:r>
      <w:r>
        <w:rPr>
          <w:rFonts w:ascii="SimSun" w:hAnsi="SimSun" w:eastAsia="SimSun" w:cs="SimSun"/>
          <w:color w:val="000000"/>
          <w:sz w:val="24"/>
        </w:rPr>
        <w:t xml:space="preserve">，项目期满后支付合同周期内实际完成检测量产生费用的80%；项目政府审计结束后，支付合同周期内实际完成检测量产生费用的20%。</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10.3当采购数量与实际使用数量不一致时，乙方根据实际使用量提供产品和服务，合同的最终结算金额按实际使用量乘以成交单价进行计算。</w:t>
      </w:r>
      <w:r>
        <w:rPr>
          <w:rFonts w:ascii="SimSun" w:hAnsi="SimSun" w:eastAsia="SimSun" w:cs="SimSun"/>
          <w:sz w:val="21"/>
        </w:rPr>
      </w:r>
      <w:r/>
    </w:p>
    <w:p>
      <w:pPr>
        <w:pStyle w:val="100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十一、税费</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本合同执行中相关的一切税费均由乙方负担。</w:t>
      </w:r>
      <w:r>
        <w:rPr>
          <w:highlight w:val="none"/>
        </w:rPr>
      </w:r>
      <w:r/>
    </w:p>
    <w:p>
      <w:pPr>
        <w:pStyle w:val="100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十二、违约终止合同</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12.1</w:t>
      </w:r>
      <w:r>
        <w:rPr>
          <w:rFonts w:hint="eastAsia" w:ascii="宋体" w:hAnsi="宋体" w:cs="宋体"/>
          <w:bCs/>
          <w:sz w:val="24"/>
          <w:highlight w:val="none"/>
        </w:rPr>
        <w:t xml:space="preserve">如乙方未按规定履行1.4条服务要求的，初次扣服务费人民币5000元整，第二次扣除服务费（人民币10000元整）；仍不能正常履行服务要求的，推送至信用平台并终止合同，费用按照乙方实际完成的检测量扣除违约应罚款及履约保证金进行核算。</w:t>
      </w:r>
      <w:r>
        <w:rPr>
          <w:highlight w:val="none"/>
        </w:rPr>
      </w:r>
      <w:r/>
    </w:p>
    <w:p>
      <w:pPr>
        <w:pStyle w:val="1008"/>
        <w:ind w:firstLine="480"/>
        <w:spacing w:line="360" w:lineRule="auto"/>
        <w:rPr>
          <w:rFonts w:hint="eastAsia" w:ascii="宋体" w:hAnsi="宋体" w:cs="宋体"/>
          <w:sz w:val="24"/>
          <w:highlight w:val="none"/>
        </w:rPr>
      </w:pPr>
      <w:r>
        <w:rPr>
          <w:rFonts w:hint="eastAsia" w:ascii="宋体" w:hAnsi="宋体" w:cs="宋体"/>
          <w:sz w:val="24"/>
          <w:highlight w:val="none"/>
        </w:rPr>
        <w:t xml:space="preserve">12.2如果乙方未能履行合同规定的其他义务。</w:t>
      </w:r>
      <w:r>
        <w:rPr>
          <w:highlight w:val="none"/>
        </w:rPr>
      </w:r>
      <w:r/>
    </w:p>
    <w:p>
      <w:pPr>
        <w:pStyle w:val="1029"/>
        <w:contextualSpacing/>
        <w:ind w:firstLine="482"/>
        <w:spacing w:line="360" w:lineRule="auto"/>
        <w:rPr>
          <w:rFonts w:hAnsi="宋体" w:cs="宋体"/>
          <w:b/>
          <w:sz w:val="24"/>
          <w:szCs w:val="24"/>
          <w:highlight w:val="none"/>
        </w:rPr>
      </w:pPr>
      <w:r>
        <w:rPr>
          <w:rFonts w:hAnsi="宋体" w:cs="宋体"/>
          <w:b/>
          <w:sz w:val="24"/>
          <w:szCs w:val="24"/>
          <w:highlight w:val="none"/>
        </w:rPr>
        <w:t xml:space="preserve">十三、不可抗力事件处理</w:t>
      </w:r>
      <w:r>
        <w:rPr>
          <w:highlight w:val="none"/>
        </w:rPr>
      </w:r>
      <w:r/>
    </w:p>
    <w:p>
      <w:pPr>
        <w:pStyle w:val="1029"/>
        <w:contextualSpacing/>
        <w:spacing w:line="360" w:lineRule="auto"/>
        <w:rPr>
          <w:rFonts w:hAnsi="宋体" w:cs="宋体"/>
          <w:sz w:val="24"/>
          <w:szCs w:val="24"/>
          <w:highlight w:val="none"/>
        </w:rPr>
      </w:pPr>
      <w:r>
        <w:rPr>
          <w:rFonts w:hAnsi="宋体" w:cs="宋体"/>
          <w:sz w:val="24"/>
          <w:szCs w:val="24"/>
          <w:highlight w:val="none"/>
        </w:rPr>
        <w:t xml:space="preserve">    13.1 在合同有效期内，任何一方因不可抗力事件导致不能履行合同，则合同履行期延长，其延长期与不可抗力影响期相同。</w:t>
      </w:r>
      <w:r>
        <w:rPr>
          <w:highlight w:val="none"/>
        </w:rPr>
      </w:r>
      <w:r/>
    </w:p>
    <w:p>
      <w:pPr>
        <w:pStyle w:val="1029"/>
        <w:contextualSpacing/>
        <w:spacing w:line="360" w:lineRule="auto"/>
        <w:rPr>
          <w:rFonts w:hAnsi="宋体" w:cs="宋体"/>
          <w:sz w:val="24"/>
          <w:szCs w:val="24"/>
          <w:highlight w:val="none"/>
        </w:rPr>
      </w:pPr>
      <w:r>
        <w:rPr>
          <w:rFonts w:hAnsi="宋体" w:cs="宋体"/>
          <w:sz w:val="24"/>
          <w:szCs w:val="24"/>
          <w:highlight w:val="none"/>
        </w:rPr>
        <w:t xml:space="preserve">    13.2 不可抗力事件发生后，应立即通知对方，并寄送有关权威机构出具的证明。</w:t>
      </w:r>
      <w:r>
        <w:rPr>
          <w:highlight w:val="none"/>
        </w:rPr>
      </w:r>
      <w:r/>
    </w:p>
    <w:p>
      <w:pPr>
        <w:pStyle w:val="1029"/>
        <w:contextualSpacing/>
        <w:spacing w:line="360" w:lineRule="auto"/>
        <w:rPr>
          <w:rFonts w:hAnsi="宋体" w:cs="宋体"/>
          <w:sz w:val="24"/>
          <w:szCs w:val="24"/>
          <w:highlight w:val="none"/>
        </w:rPr>
      </w:pPr>
      <w:r>
        <w:rPr>
          <w:rFonts w:hAnsi="宋体" w:cs="宋体"/>
          <w:sz w:val="24"/>
          <w:szCs w:val="24"/>
          <w:highlight w:val="none"/>
        </w:rPr>
        <w:t xml:space="preserve">    13.3 不可抗力事件延续120天以上，双方应通过友好协商，确定是否继续履行合同。</w:t>
      </w:r>
      <w:r>
        <w:rPr>
          <w:highlight w:val="none"/>
        </w:rPr>
      </w:r>
      <w:r/>
    </w:p>
    <w:p>
      <w:pPr>
        <w:pStyle w:val="1029"/>
        <w:contextualSpacing/>
        <w:ind w:firstLine="482"/>
        <w:spacing w:line="360" w:lineRule="auto"/>
        <w:rPr>
          <w:rFonts w:hAnsi="宋体" w:cs="宋体"/>
          <w:b/>
          <w:sz w:val="24"/>
          <w:szCs w:val="24"/>
          <w:highlight w:val="none"/>
        </w:rPr>
      </w:pPr>
      <w:r>
        <w:rPr>
          <w:rFonts w:hAnsi="宋体" w:cs="宋体"/>
          <w:b/>
          <w:sz w:val="24"/>
          <w:szCs w:val="24"/>
          <w:highlight w:val="none"/>
        </w:rPr>
        <w:t xml:space="preserve">十四、诉讼</w:t>
      </w:r>
      <w:r>
        <w:rPr>
          <w:highlight w:val="none"/>
        </w:rPr>
      </w:r>
      <w:r/>
    </w:p>
    <w:p>
      <w:pPr>
        <w:pStyle w:val="1029"/>
        <w:contextualSpacing/>
        <w:ind w:firstLine="480"/>
        <w:spacing w:line="360" w:lineRule="auto"/>
        <w:rPr>
          <w:rFonts w:hAnsi="宋体" w:cs="宋体"/>
          <w:sz w:val="24"/>
          <w:szCs w:val="24"/>
          <w:highlight w:val="none"/>
        </w:rPr>
      </w:pPr>
      <w:r>
        <w:rPr>
          <w:rFonts w:hAnsi="宋体" w:cs="宋体"/>
          <w:sz w:val="24"/>
          <w:szCs w:val="24"/>
          <w:highlight w:val="none"/>
        </w:rPr>
        <w:t xml:space="preserve">双方在执行合同中所发生的一切争议，应通过协商解决。如协商不成，可向合同签订地法院起诉，合同签订地在此约定为盐城市。</w:t>
      </w:r>
      <w:r>
        <w:rPr>
          <w:highlight w:val="none"/>
        </w:rPr>
      </w:r>
      <w:r/>
    </w:p>
    <w:p>
      <w:pPr>
        <w:pStyle w:val="1029"/>
        <w:contextualSpacing/>
        <w:ind w:firstLine="482"/>
        <w:spacing w:line="360" w:lineRule="auto"/>
        <w:rPr>
          <w:rFonts w:hAnsi="宋体" w:cs="宋体"/>
          <w:b/>
          <w:sz w:val="24"/>
          <w:szCs w:val="24"/>
          <w:highlight w:val="none"/>
        </w:rPr>
      </w:pPr>
      <w:r>
        <w:rPr>
          <w:rFonts w:hAnsi="宋体" w:cs="宋体"/>
          <w:b/>
          <w:sz w:val="24"/>
          <w:szCs w:val="24"/>
          <w:highlight w:val="none"/>
        </w:rPr>
        <w:t xml:space="preserve">十五、合同生效及其它</w:t>
      </w:r>
      <w:r>
        <w:rPr>
          <w:highlight w:val="none"/>
        </w:rPr>
      </w:r>
      <w:r/>
    </w:p>
    <w:p>
      <w:pPr>
        <w:pStyle w:val="1029"/>
        <w:contextualSpacing/>
        <w:ind w:firstLine="480"/>
        <w:spacing w:line="360" w:lineRule="auto"/>
        <w:rPr>
          <w:rFonts w:hAnsi="宋体" w:cs="宋体"/>
          <w:sz w:val="24"/>
          <w:szCs w:val="24"/>
          <w:highlight w:val="none"/>
        </w:rPr>
      </w:pPr>
      <w:r>
        <w:rPr>
          <w:rFonts w:hAnsi="宋体" w:cs="宋体"/>
          <w:sz w:val="24"/>
          <w:szCs w:val="24"/>
          <w:highlight w:val="none"/>
        </w:rPr>
        <w:t xml:space="preserve">15.1 合同经双方法定代表人或授权委托代表人签字并加盖单位公章，并经盐城市政府采购中心见证盖章后生效。</w:t>
      </w:r>
      <w:r>
        <w:rPr>
          <w:highlight w:val="none"/>
        </w:rPr>
      </w:r>
      <w:r/>
    </w:p>
    <w:p>
      <w:pPr>
        <w:pStyle w:val="1029"/>
        <w:contextualSpacing/>
        <w:ind w:firstLine="480"/>
        <w:spacing w:line="360" w:lineRule="auto"/>
        <w:rPr>
          <w:rFonts w:hAnsi="宋体" w:cs="宋体"/>
          <w:sz w:val="24"/>
          <w:szCs w:val="24"/>
          <w:highlight w:val="none"/>
        </w:rPr>
      </w:pPr>
      <w:r>
        <w:rPr>
          <w:rFonts w:hAnsi="宋体" w:cs="宋体"/>
          <w:sz w:val="24"/>
          <w:szCs w:val="24"/>
          <w:highlight w:val="none"/>
        </w:rPr>
        <w:t xml:space="preserve">15.2本合同未尽事宜，遵照《中华人民共和国民法典》有关条文执行。</w:t>
      </w:r>
      <w:r>
        <w:rPr>
          <w:highlight w:val="none"/>
        </w:rPr>
      </w:r>
      <w:r/>
    </w:p>
    <w:p>
      <w:pPr>
        <w:pStyle w:val="1029"/>
        <w:contextualSpacing/>
        <w:ind w:firstLine="480"/>
        <w:spacing w:line="360" w:lineRule="auto"/>
        <w:rPr>
          <w:rFonts w:hAnsi="宋体" w:cs="宋体"/>
          <w:sz w:val="24"/>
          <w:szCs w:val="24"/>
          <w:highlight w:val="none"/>
        </w:rPr>
      </w:pPr>
      <w:r>
        <w:rPr>
          <w:rFonts w:hAnsi="宋体" w:cs="宋体"/>
          <w:sz w:val="24"/>
          <w:szCs w:val="24"/>
          <w:highlight w:val="none"/>
        </w:rPr>
        <w:t xml:space="preserve">15.3本合同正本一式二份，具有同等法律效力，甲方、乙方各执一份。副本按双方需求执行。</w:t>
      </w:r>
      <w:r>
        <w:rPr>
          <w:highlight w:val="none"/>
        </w:rPr>
      </w:r>
      <w:r/>
    </w:p>
    <w:p>
      <w:pPr>
        <w:pStyle w:val="1029"/>
        <w:contextualSpacing/>
        <w:ind w:firstLine="480"/>
        <w:spacing w:line="360" w:lineRule="auto"/>
        <w:rPr>
          <w:rFonts w:hAnsi="宋体" w:cs="宋体"/>
          <w:sz w:val="24"/>
          <w:szCs w:val="24"/>
          <w:highlight w:val="none"/>
        </w:rPr>
      </w:pPr>
      <w:r>
        <w:rPr>
          <w:rFonts w:hAnsi="宋体" w:cs="宋体"/>
          <w:sz w:val="24"/>
          <w:szCs w:val="24"/>
          <w:highlight w:val="none"/>
        </w:rPr>
        <w:t xml:space="preserve">附件1：盐城市大市区范围内污水厂水质监管检测项目报价表</w:t>
      </w:r>
      <w:r>
        <w:rPr>
          <w:highlight w:val="none"/>
        </w:rPr>
      </w:r>
      <w:r/>
    </w:p>
    <w:p>
      <w:pPr>
        <w:pStyle w:val="1029"/>
        <w:contextualSpacing/>
        <w:ind w:firstLine="480"/>
        <w:spacing w:line="360" w:lineRule="auto"/>
        <w:rPr>
          <w:rFonts w:hAnsi="宋体" w:cs="宋体"/>
          <w:sz w:val="24"/>
          <w:szCs w:val="24"/>
          <w:highlight w:val="none"/>
        </w:rPr>
      </w:pPr>
      <w:r>
        <w:rPr>
          <w:rFonts w:hAnsi="宋体" w:cs="宋体"/>
          <w:sz w:val="24"/>
          <w:szCs w:val="24"/>
          <w:highlight w:val="none"/>
        </w:rPr>
        <w:t xml:space="preserve">附件2：大市区范围内污水厂水质复测项目报价表</w:t>
      </w:r>
      <w:r>
        <w:rPr>
          <w:highlight w:val="none"/>
        </w:rPr>
      </w:r>
      <w:r/>
    </w:p>
    <w:p>
      <w:pPr>
        <w:pStyle w:val="1029"/>
        <w:contextualSpacing/>
        <w:ind w:firstLine="480"/>
        <w:spacing w:line="360" w:lineRule="auto"/>
        <w:rPr>
          <w:rFonts w:hAnsi="宋体" w:cs="宋体"/>
          <w:sz w:val="24"/>
          <w:szCs w:val="24"/>
          <w:highlight w:val="none"/>
        </w:rPr>
      </w:pPr>
      <w:r>
        <w:rPr>
          <w:rFonts w:hAnsi="宋体" w:cs="宋体"/>
          <w:sz w:val="24"/>
          <w:szCs w:val="24"/>
          <w:highlight w:val="none"/>
        </w:rPr>
      </w:r>
      <w:r>
        <w:rPr>
          <w:highlight w:val="none"/>
        </w:rPr>
      </w:r>
      <w:r/>
    </w:p>
    <w:p>
      <w:pPr>
        <w:pStyle w:val="1029"/>
        <w:contextualSpacing/>
        <w:ind w:firstLine="480"/>
        <w:spacing w:line="360" w:lineRule="auto"/>
        <w:rPr>
          <w:rFonts w:hAnsi="宋体" w:cs="宋体"/>
          <w:sz w:val="24"/>
          <w:szCs w:val="24"/>
          <w:highlight w:val="none"/>
        </w:rPr>
      </w:pPr>
      <w:r>
        <w:rPr>
          <w:rFonts w:hAnsi="宋体" w:cs="宋体"/>
          <w:sz w:val="24"/>
          <w:szCs w:val="24"/>
          <w:highlight w:val="none"/>
        </w:rPr>
      </w:r>
      <w:r>
        <w:rPr>
          <w:highlight w:val="none"/>
        </w:rPr>
      </w:r>
      <w:r/>
    </w:p>
    <w:p>
      <w:pPr>
        <w:pStyle w:val="1029"/>
        <w:contextualSpacing/>
        <w:ind w:firstLine="480"/>
        <w:spacing w:line="360" w:lineRule="auto"/>
        <w:rPr>
          <w:rFonts w:hAnsi="宋体" w:cs="宋体"/>
          <w:sz w:val="24"/>
          <w:szCs w:val="24"/>
          <w:highlight w:val="none"/>
        </w:rPr>
      </w:pPr>
      <w:r>
        <w:rPr>
          <w:rFonts w:hAnsi="宋体" w:cs="宋体"/>
          <w:sz w:val="24"/>
          <w:szCs w:val="24"/>
          <w:highlight w:val="none"/>
        </w:rPr>
      </w:r>
      <w:r>
        <w:rPr>
          <w:highlight w:val="none"/>
        </w:rPr>
      </w:r>
      <w:r/>
    </w:p>
    <w:p>
      <w:pPr>
        <w:pStyle w:val="1029"/>
        <w:contextualSpacing/>
        <w:ind w:left="210" w:firstLine="720"/>
        <w:spacing w:line="360" w:lineRule="auto"/>
        <w:rPr>
          <w:rFonts w:hAnsi="宋体" w:cs="宋体"/>
          <w:sz w:val="24"/>
          <w:szCs w:val="24"/>
          <w:highlight w:val="none"/>
        </w:rPr>
      </w:pPr>
      <w:r>
        <w:rPr>
          <w:rFonts w:hAnsi="宋体" w:cs="宋体"/>
          <w:sz w:val="24"/>
          <w:szCs w:val="24"/>
          <w:highlight w:val="none"/>
        </w:rPr>
        <w:t xml:space="preserve">甲方：                                   乙方： </w:t>
      </w:r>
      <w:r>
        <w:rPr>
          <w:highlight w:val="none"/>
        </w:rPr>
      </w:r>
      <w:r/>
    </w:p>
    <w:p>
      <w:pPr>
        <w:pStyle w:val="1029"/>
        <w:contextualSpacing/>
        <w:ind w:left="210" w:firstLine="720"/>
        <w:spacing w:line="360" w:lineRule="auto"/>
        <w:rPr>
          <w:rFonts w:hAnsi="宋体" w:cs="宋体"/>
          <w:sz w:val="24"/>
          <w:szCs w:val="24"/>
          <w:highlight w:val="none"/>
        </w:rPr>
      </w:pPr>
      <w:r>
        <w:rPr>
          <w:rFonts w:hAnsi="宋体" w:cs="宋体"/>
          <w:sz w:val="24"/>
          <w:szCs w:val="24"/>
          <w:highlight w:val="none"/>
        </w:rPr>
        <w:t xml:space="preserve">地址：                                   地址： </w:t>
      </w:r>
      <w:r>
        <w:rPr>
          <w:highlight w:val="none"/>
        </w:rPr>
      </w:r>
      <w:r/>
    </w:p>
    <w:p>
      <w:pPr>
        <w:pStyle w:val="1029"/>
        <w:contextualSpacing/>
        <w:ind w:left="210" w:firstLine="720"/>
        <w:spacing w:line="360" w:lineRule="auto"/>
        <w:rPr>
          <w:rFonts w:hAnsi="宋体" w:cs="宋体"/>
          <w:sz w:val="24"/>
          <w:szCs w:val="24"/>
          <w:highlight w:val="none"/>
        </w:rPr>
      </w:pPr>
      <w:r>
        <w:rPr>
          <w:rFonts w:hAnsi="宋体" w:cs="宋体"/>
          <w:sz w:val="24"/>
          <w:szCs w:val="24"/>
          <w:highlight w:val="none"/>
        </w:rPr>
        <w:t xml:space="preserve">法定代表人或授权代表：                   法定代表人或授权代表：</w:t>
      </w:r>
      <w:r>
        <w:rPr>
          <w:highlight w:val="none"/>
        </w:rPr>
      </w:r>
      <w:r/>
    </w:p>
    <w:p>
      <w:pPr>
        <w:pStyle w:val="1029"/>
        <w:contextualSpacing/>
        <w:ind w:left="210" w:firstLine="720"/>
        <w:spacing w:line="360" w:lineRule="auto"/>
        <w:rPr>
          <w:rFonts w:hAnsi="宋体" w:cs="宋体"/>
          <w:sz w:val="24"/>
          <w:szCs w:val="24"/>
          <w:highlight w:val="none"/>
        </w:rPr>
      </w:pPr>
      <w:r>
        <w:rPr>
          <w:rFonts w:hAnsi="宋体" w:cs="宋体"/>
          <w:sz w:val="24"/>
          <w:szCs w:val="24"/>
          <w:highlight w:val="none"/>
        </w:rPr>
        <w:t xml:space="preserve">联系电话：                               联系电话：</w:t>
      </w:r>
      <w:r>
        <w:rPr>
          <w:highlight w:val="none"/>
        </w:rPr>
      </w:r>
      <w:r/>
    </w:p>
    <w:p>
      <w:pPr>
        <w:pStyle w:val="1029"/>
        <w:contextualSpacing/>
        <w:ind w:right="480" w:firstLine="480"/>
        <w:jc w:val="right"/>
        <w:spacing w:line="360" w:lineRule="auto"/>
        <w:rPr>
          <w:rFonts w:hAnsi="宋体" w:cs="宋体"/>
          <w:sz w:val="24"/>
          <w:szCs w:val="24"/>
          <w:highlight w:val="none"/>
        </w:rPr>
      </w:pPr>
      <w:r>
        <w:rPr>
          <w:rFonts w:hAnsi="宋体" w:cs="宋体"/>
          <w:sz w:val="24"/>
          <w:szCs w:val="24"/>
          <w:highlight w:val="none"/>
        </w:rPr>
      </w:r>
      <w:r>
        <w:rPr>
          <w:highlight w:val="none"/>
        </w:rPr>
      </w:r>
      <w:r/>
    </w:p>
    <w:p>
      <w:pPr>
        <w:pStyle w:val="1029"/>
        <w:contextualSpacing/>
        <w:ind w:right="480" w:firstLine="480"/>
        <w:jc w:val="right"/>
        <w:spacing w:line="360" w:lineRule="auto"/>
        <w:rPr>
          <w:rFonts w:hAnsi="宋体" w:cs="宋体"/>
          <w:sz w:val="24"/>
          <w:szCs w:val="24"/>
          <w:highlight w:val="none"/>
        </w:rPr>
      </w:pPr>
      <w:r>
        <w:rPr>
          <w:rFonts w:hAnsi="宋体" w:cs="宋体"/>
          <w:sz w:val="24"/>
          <w:szCs w:val="24"/>
          <w:highlight w:val="none"/>
        </w:rPr>
        <w:t xml:space="preserve">     签订日期：      年  月  日</w:t>
      </w:r>
      <w:r>
        <w:rPr>
          <w:highlight w:val="none"/>
        </w:rPr>
      </w:r>
      <w:r/>
    </w:p>
    <w:p>
      <w:pPr>
        <w:pStyle w:val="1029"/>
        <w:contextualSpacing/>
        <w:ind w:right="480" w:firstLine="480"/>
        <w:jc w:val="right"/>
        <w:spacing w:line="360" w:lineRule="auto"/>
        <w:rPr>
          <w:rFonts w:hAnsi="宋体" w:cs="宋体"/>
          <w:sz w:val="24"/>
          <w:szCs w:val="24"/>
          <w:highlight w:val="none"/>
        </w:rPr>
      </w:pPr>
      <w:r>
        <w:rPr>
          <w:rFonts w:hAnsi="宋体" w:cs="宋体"/>
          <w:sz w:val="24"/>
          <w:szCs w:val="24"/>
          <w:highlight w:val="none"/>
        </w:rPr>
      </w:r>
      <w:r>
        <w:rPr>
          <w:highlight w:val="none"/>
        </w:rPr>
      </w:r>
      <w:r/>
    </w:p>
    <w:p>
      <w:pPr>
        <w:pStyle w:val="1029"/>
        <w:contextualSpacing/>
        <w:ind w:right="480" w:firstLine="480"/>
        <w:jc w:val="right"/>
        <w:spacing w:line="360" w:lineRule="auto"/>
        <w:rPr>
          <w:rFonts w:hAnsi="宋体" w:cs="宋体"/>
          <w:sz w:val="24"/>
          <w:szCs w:val="24"/>
          <w:highlight w:val="none"/>
        </w:rPr>
      </w:pPr>
      <w:r>
        <w:rPr>
          <w:rFonts w:hAnsi="宋体" w:cs="宋体"/>
          <w:sz w:val="24"/>
          <w:szCs w:val="24"/>
          <w:highlight w:val="none"/>
        </w:rPr>
      </w:r>
      <w:r>
        <w:rPr>
          <w:highlight w:val="none"/>
        </w:rPr>
      </w:r>
      <w:r/>
    </w:p>
    <w:p>
      <w:pPr>
        <w:pStyle w:val="100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中标人</w:t>
      </w:r>
      <w:r>
        <w:rPr>
          <w:rFonts w:hint="eastAsia" w:ascii="宋体" w:hAnsi="宋体" w:cs="宋体"/>
          <w:b/>
          <w:sz w:val="24"/>
          <w:highlight w:val="none"/>
          <w:lang w:eastAsia="zh-CN"/>
        </w:rPr>
        <w:t xml:space="preserve">投标文件</w:t>
      </w:r>
      <w:r>
        <w:rPr>
          <w:rFonts w:hint="eastAsia" w:ascii="宋体" w:hAnsi="宋体" w:cs="宋体"/>
          <w:b/>
          <w:sz w:val="24"/>
          <w:highlight w:val="none"/>
        </w:rPr>
        <w:t xml:space="preserve">中的开标一览表和分项报价表1-3作为合同附件。</w:t>
      </w:r>
      <w:r>
        <w:rPr>
          <w:highlight w:val="none"/>
        </w:rPr>
      </w:r>
      <w:r/>
    </w:p>
    <w:p>
      <w:pPr>
        <w:pStyle w:val="1029"/>
        <w:contextualSpacing/>
        <w:ind w:right="480"/>
        <w:spacing w:line="360" w:lineRule="auto"/>
        <w:rPr>
          <w:rFonts w:hAnsi="宋体" w:cs="宋体"/>
          <w:sz w:val="24"/>
          <w:szCs w:val="24"/>
          <w:highlight w:val="none"/>
        </w:rPr>
      </w:pPr>
      <w:r>
        <w:rPr>
          <w:rFonts w:hAnsi="宋体" w:cs="宋体"/>
          <w:sz w:val="24"/>
          <w:szCs w:val="24"/>
          <w:highlight w:val="none"/>
        </w:rPr>
      </w:r>
      <w:r>
        <w:rPr>
          <w:highlight w:val="none"/>
        </w:rPr>
      </w:r>
      <w:r/>
    </w:p>
    <w:p>
      <w:pPr>
        <w:pStyle w:val="100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注：甲乙双方签订的合同以甲方提供的样本并经双方协商一致的为准。</w:t>
      </w:r>
      <w:r>
        <w:rPr>
          <w:highlight w:val="none"/>
        </w:rPr>
      </w:r>
      <w:r/>
    </w:p>
    <w:p>
      <w:pPr>
        <w:pStyle w:val="1026"/>
        <w:ind w:left="1470" w:right="1470"/>
        <w:spacing w:after="0" w:line="360" w:lineRule="auto"/>
        <w:tabs>
          <w:tab w:val="left" w:pos="9000" w:leader="none"/>
        </w:tabs>
        <w:rPr>
          <w:rFonts w:hint="eastAsia" w:ascii="宋体" w:hAnsi="宋体" w:cs="宋体"/>
          <w:b/>
          <w:sz w:val="24"/>
          <w:highlight w:val="none"/>
        </w:rPr>
      </w:pPr>
      <w:r>
        <w:rPr>
          <w:rFonts w:hint="eastAsia" w:ascii="宋体" w:hAnsi="宋体" w:cs="宋体"/>
          <w:b/>
          <w:sz w:val="24"/>
          <w:highlight w:val="none"/>
        </w:rPr>
      </w:r>
      <w:r>
        <w:rPr>
          <w:highlight w:val="none"/>
        </w:rPr>
      </w:r>
      <w:r/>
    </w:p>
    <w:p>
      <w:pPr>
        <w:pStyle w:val="1026"/>
        <w:ind w:left="1470" w:right="1470"/>
        <w:spacing w:after="0" w:line="360" w:lineRule="auto"/>
        <w:tabs>
          <w:tab w:val="left" w:pos="9000" w:leader="none"/>
        </w:tabs>
        <w:rPr>
          <w:b/>
          <w:sz w:val="24"/>
          <w:highlight w:val="none"/>
        </w:rPr>
      </w:pPr>
      <w:r>
        <w:rPr>
          <w:b/>
          <w:sz w:val="24"/>
          <w:highlight w:val="none"/>
        </w:rPr>
      </w:r>
      <w:r>
        <w:rPr>
          <w:highlight w:val="none"/>
        </w:rPr>
      </w:r>
      <w:r/>
    </w:p>
    <w:p>
      <w:pPr>
        <w:pStyle w:val="1026"/>
        <w:ind w:left="1470" w:right="1470"/>
        <w:spacing w:after="0" w:line="360" w:lineRule="auto"/>
        <w:tabs>
          <w:tab w:val="left" w:pos="9000" w:leader="none"/>
        </w:tabs>
        <w:rPr>
          <w:b/>
          <w:sz w:val="24"/>
          <w:highlight w:val="none"/>
        </w:rPr>
      </w:pPr>
      <w:r>
        <w:rPr>
          <w:b/>
          <w:sz w:val="24"/>
          <w:highlight w:val="none"/>
        </w:rPr>
      </w:r>
      <w:r>
        <w:rPr>
          <w:highlight w:val="none"/>
        </w:rPr>
      </w:r>
      <w:r/>
    </w:p>
    <w:p>
      <w:pPr>
        <w:pStyle w:val="1026"/>
        <w:ind w:left="1470" w:right="1470"/>
        <w:spacing w:after="0" w:line="360" w:lineRule="auto"/>
        <w:tabs>
          <w:tab w:val="left" w:pos="9000" w:leader="none"/>
        </w:tabs>
        <w:rPr>
          <w:b/>
          <w:sz w:val="24"/>
          <w:highlight w:val="none"/>
        </w:rPr>
      </w:pPr>
      <w:r>
        <w:rPr>
          <w:b/>
          <w:sz w:val="24"/>
          <w:highlight w:val="none"/>
        </w:rPr>
      </w:r>
      <w:r>
        <w:rPr>
          <w:highlight w:val="none"/>
        </w:rPr>
      </w:r>
      <w:r/>
    </w:p>
    <w:p>
      <w:pPr>
        <w:pStyle w:val="1026"/>
        <w:ind w:left="1470" w:right="1470"/>
        <w:spacing w:after="0" w:line="360" w:lineRule="auto"/>
        <w:tabs>
          <w:tab w:val="left" w:pos="9000" w:leader="none"/>
        </w:tabs>
        <w:rPr>
          <w:b/>
          <w:sz w:val="24"/>
          <w:highlight w:val="none"/>
        </w:rPr>
      </w:pPr>
      <w:r>
        <w:rPr>
          <w:b/>
          <w:sz w:val="24"/>
          <w:highlight w:val="none"/>
        </w:rPr>
      </w:r>
      <w:r>
        <w:rPr>
          <w:highlight w:val="none"/>
        </w:rPr>
      </w:r>
      <w:r/>
    </w:p>
    <w:p>
      <w:pPr>
        <w:pStyle w:val="1009"/>
        <w:numPr>
          <w:ilvl w:val="0"/>
          <w:numId w:val="6"/>
        </w:numPr>
        <w:jc w:val="center"/>
        <w:spacing w:line="360" w:lineRule="auto"/>
        <w:rPr>
          <w:rFonts w:ascii="Times New Roman" w:eastAsia="宋体"/>
          <w:b/>
          <w:bCs/>
          <w:sz w:val="44"/>
          <w:szCs w:val="24"/>
          <w:highlight w:val="none"/>
        </w:rPr>
      </w:pPr>
      <w:r>
        <w:rPr>
          <w:rFonts w:ascii="Times New Roman" w:eastAsia="宋体"/>
          <w:b/>
          <w:bCs/>
          <w:sz w:val="44"/>
          <w:szCs w:val="24"/>
          <w:highlight w:val="none"/>
        </w:rPr>
        <w:t xml:space="preserve">项目需求</w:t>
      </w:r>
      <w:r>
        <w:rPr>
          <w:highlight w:val="none"/>
        </w:rPr>
      </w:r>
      <w:r/>
    </w:p>
    <w:p>
      <w:pPr>
        <w:pStyle w:val="1008"/>
        <w:spacing w:line="360" w:lineRule="auto"/>
        <w:rPr>
          <w:highlight w:val="none"/>
        </w:rPr>
      </w:pPr>
      <w:r>
        <w:rPr>
          <w:highlight w:val="none"/>
        </w:rPr>
      </w:r>
      <w:r>
        <w:rPr>
          <w:highlight w:val="none"/>
        </w:rPr>
      </w:r>
      <w:r/>
    </w:p>
    <w:p>
      <w:pPr>
        <w:pStyle w:val="1111"/>
        <w:ind w:firstLine="480"/>
        <w:spacing w:before="0" w:after="0"/>
        <w:rPr>
          <w:rFonts w:hint="eastAsia" w:ascii="宋体" w:hAnsi="宋体"/>
          <w:bCs/>
          <w:highlight w:val="none"/>
        </w:rPr>
      </w:pPr>
      <w:r>
        <w:rPr>
          <w:rFonts w:hint="eastAsia" w:ascii="宋体" w:hAnsi="宋体"/>
          <w:szCs w:val="21"/>
          <w:highlight w:val="none"/>
        </w:rPr>
        <w:t xml:space="preserve">一、项目名称：</w:t>
      </w:r>
      <w:r>
        <w:rPr>
          <w:rFonts w:hint="eastAsia"/>
          <w:highlight w:val="none"/>
          <w:u w:val="single"/>
        </w:rPr>
        <w:t xml:space="preserve">盐城市第Ⅲ防洪区范围内排水户水质监管检测和大市区范围内城镇污水厂监管检测服务项目</w:t>
      </w:r>
      <w:r>
        <w:rPr>
          <w:highlight w:val="none"/>
        </w:rPr>
      </w:r>
      <w:r/>
    </w:p>
    <w:p>
      <w:pPr>
        <w:pStyle w:val="1111"/>
        <w:ind w:firstLine="480"/>
        <w:spacing w:before="0" w:after="0"/>
        <w:rPr>
          <w:rFonts w:ascii="宋体" w:hAnsi="宋体"/>
          <w:bCs/>
          <w:szCs w:val="21"/>
          <w:highlight w:val="none"/>
        </w:rPr>
      </w:pPr>
      <w:r>
        <w:rPr>
          <w:rFonts w:hint="eastAsia" w:ascii="宋体" w:hAnsi="宋体"/>
          <w:bCs/>
          <w:szCs w:val="21"/>
          <w:highlight w:val="none"/>
        </w:rPr>
        <w:t xml:space="preserve">二、</w:t>
      </w:r>
      <w:bookmarkStart w:id="147" w:name="_Toc314086834"/>
      <w:r>
        <w:rPr>
          <w:rFonts w:hint="eastAsia" w:ascii="宋体" w:hAnsi="宋体"/>
          <w:bCs/>
          <w:szCs w:val="21"/>
          <w:highlight w:val="none"/>
        </w:rPr>
        <w:t xml:space="preserve">服务内容、质量与要求</w:t>
      </w:r>
      <w:r>
        <w:rPr>
          <w:highlight w:val="none"/>
        </w:rPr>
      </w:r>
      <w:r/>
    </w:p>
    <w:p>
      <w:pPr>
        <w:pStyle w:val="1029"/>
        <w:contextualSpacing/>
        <w:ind w:firstLine="360"/>
        <w:spacing w:line="360" w:lineRule="auto"/>
        <w:rPr>
          <w:rFonts w:hint="eastAsia"/>
          <w:sz w:val="24"/>
          <w:highlight w:val="none"/>
        </w:rPr>
      </w:pPr>
      <w:r>
        <w:rPr>
          <w:highlight w:val="none"/>
        </w:rPr>
      </w:r>
      <w:bookmarkEnd w:id="147"/>
      <w:r>
        <w:rPr>
          <w:rFonts w:hint="eastAsia" w:hAnsi="宋体"/>
          <w:sz w:val="24"/>
          <w:szCs w:val="24"/>
          <w:highlight w:val="none"/>
        </w:rPr>
        <w:t xml:space="preserve">1、</w:t>
      </w:r>
      <w:r>
        <w:rPr>
          <w:rFonts w:hAnsi="宋体"/>
          <w:sz w:val="24"/>
          <w:szCs w:val="24"/>
          <w:highlight w:val="none"/>
        </w:rPr>
        <w:t xml:space="preserve">服务内容：</w:t>
      </w:r>
      <w:r>
        <w:rPr>
          <w:rFonts w:hint="eastAsia"/>
          <w:sz w:val="24"/>
          <w:highlight w:val="none"/>
          <w:lang w:eastAsia="zh-CN"/>
        </w:rPr>
        <w:t xml:space="preserve">（1）对大市区范围内污水厂进、出水水质开展水质监管和信息系统在线仪表数据可靠性比对等工作。（2）对大市区范围内已发证排水户出水水质进行检测。</w:t>
      </w:r>
      <w:r>
        <w:rPr>
          <w:rFonts w:hint="eastAsia"/>
          <w:sz w:val="24"/>
          <w:highlight w:val="none"/>
          <w:lang w:val="en-US" w:eastAsia="zh-CN"/>
        </w:rPr>
        <w:t xml:space="preserve">  </w:t>
      </w:r>
      <w:r>
        <w:rPr>
          <w:highlight w:val="none"/>
        </w:rPr>
      </w:r>
      <w:r/>
    </w:p>
    <w:p>
      <w:pPr>
        <w:pStyle w:val="1029"/>
        <w:contextualSpacing/>
        <w:ind w:firstLine="360"/>
        <w:spacing w:line="360" w:lineRule="auto"/>
        <w:rPr>
          <w:rFonts w:hint="eastAsia"/>
          <w:sz w:val="24"/>
          <w:highlight w:val="none"/>
        </w:rPr>
      </w:pPr>
      <w:r>
        <w:rPr>
          <w:rFonts w:hint="eastAsia"/>
          <w:sz w:val="24"/>
          <w:highlight w:val="none"/>
        </w:rPr>
        <w:t xml:space="preserve">2、</w:t>
      </w:r>
      <w:r>
        <w:rPr>
          <w:rFonts w:hint="eastAsia" w:hAnsi="宋体"/>
          <w:sz w:val="24"/>
          <w:highlight w:val="none"/>
        </w:rPr>
        <w:t xml:space="preserve">服务质量</w:t>
      </w:r>
      <w:r>
        <w:rPr>
          <w:rFonts w:hint="eastAsia" w:hAnsi="宋体"/>
          <w:sz w:val="24"/>
          <w:highlight w:val="none"/>
          <w:lang w:eastAsia="zh-CN"/>
        </w:rPr>
        <w:t xml:space="preserve">：</w:t>
      </w:r>
      <w:r>
        <w:rPr>
          <w:highlight w:val="none"/>
        </w:rPr>
      </w:r>
      <w:r/>
    </w:p>
    <w:p>
      <w:pPr>
        <w:pStyle w:val="1029"/>
        <w:ind w:firstLine="482"/>
        <w:spacing w:line="360" w:lineRule="auto"/>
        <w:rPr>
          <w:rFonts w:hint="eastAsia" w:hAnsi="宋体"/>
          <w:sz w:val="24"/>
          <w:highlight w:val="none"/>
        </w:rPr>
      </w:pPr>
      <w:r>
        <w:rPr>
          <w:rFonts w:hint="eastAsia" w:hAnsi="宋体"/>
          <w:sz w:val="24"/>
          <w:highlight w:val="none"/>
          <w:lang w:eastAsia="zh-CN"/>
        </w:rPr>
        <w:t xml:space="preserve">（</w:t>
      </w:r>
      <w:r>
        <w:rPr>
          <w:rFonts w:hint="eastAsia" w:hAnsi="宋体"/>
          <w:sz w:val="24"/>
          <w:highlight w:val="none"/>
          <w:lang w:val="en-US" w:eastAsia="zh-CN"/>
        </w:rPr>
        <w:t xml:space="preserve">1</w:t>
      </w:r>
      <w:r>
        <w:rPr>
          <w:rFonts w:hint="eastAsia" w:hAnsi="宋体"/>
          <w:sz w:val="24"/>
          <w:highlight w:val="none"/>
          <w:lang w:eastAsia="zh-CN"/>
        </w:rPr>
        <w:t xml:space="preserve">）</w:t>
      </w:r>
      <w:r>
        <w:rPr>
          <w:rFonts w:hint="eastAsia" w:hAnsi="宋体"/>
          <w:sz w:val="24"/>
          <w:highlight w:val="none"/>
        </w:rPr>
        <w:t xml:space="preserve">乙方所提供服务必须符合国家标准；取样过程和水质检测报告等须</w:t>
      </w:r>
      <w:r>
        <w:rPr>
          <w:rFonts w:hint="eastAsia" w:hAnsi="宋体"/>
          <w:bCs/>
          <w:sz w:val="24"/>
          <w:highlight w:val="none"/>
        </w:rPr>
        <w:t xml:space="preserve">满足行政执法需求</w:t>
      </w:r>
      <w:r>
        <w:rPr>
          <w:rFonts w:hint="eastAsia" w:hAnsi="宋体"/>
          <w:sz w:val="24"/>
          <w:highlight w:val="none"/>
        </w:rPr>
        <w:t xml:space="preserve">。</w:t>
      </w:r>
      <w:r>
        <w:rPr>
          <w:highlight w:val="none"/>
        </w:rPr>
      </w:r>
      <w:r/>
    </w:p>
    <w:p>
      <w:pPr>
        <w:pStyle w:val="1029"/>
        <w:ind w:firstLine="482"/>
        <w:spacing w:line="360" w:lineRule="auto"/>
        <w:rPr>
          <w:rFonts w:hAnsi="宋体"/>
          <w:sz w:val="24"/>
          <w:highlight w:val="none"/>
        </w:rPr>
      </w:pPr>
      <w:r>
        <w:rPr>
          <w:rFonts w:hint="eastAsia" w:hAnsi="宋体"/>
          <w:sz w:val="24"/>
          <w:highlight w:val="none"/>
        </w:rPr>
        <w:t xml:space="preserve">（2）乙方须具备招标文件报价表中检测项目的《</w:t>
      </w:r>
      <w:r>
        <w:rPr>
          <w:rFonts w:hAnsi="宋体"/>
          <w:sz w:val="24"/>
          <w:highlight w:val="none"/>
        </w:rPr>
        <w:t xml:space="preserve">水污染物测定方法</w:t>
      </w:r>
      <w:r>
        <w:rPr>
          <w:rFonts w:hint="eastAsia" w:hAnsi="宋体"/>
          <w:sz w:val="24"/>
          <w:highlight w:val="none"/>
        </w:rPr>
        <w:t xml:space="preserve">》的国标检测方法。</w:t>
      </w:r>
      <w:r>
        <w:rPr>
          <w:highlight w:val="none"/>
        </w:rPr>
      </w:r>
      <w:r/>
    </w:p>
    <w:p>
      <w:pPr>
        <w:pStyle w:val="1029"/>
        <w:ind w:firstLine="482"/>
        <w:spacing w:line="360" w:lineRule="auto"/>
        <w:rPr>
          <w:rFonts w:hAnsi="宋体"/>
          <w:sz w:val="24"/>
          <w:highlight w:val="none"/>
        </w:rPr>
      </w:pPr>
      <w:r>
        <w:rPr>
          <w:rFonts w:hint="eastAsia" w:hAnsi="宋体"/>
          <w:sz w:val="24"/>
          <w:highlight w:val="none"/>
          <w:lang w:eastAsia="zh-CN"/>
        </w:rPr>
        <w:t xml:space="preserve">（</w:t>
      </w:r>
      <w:r>
        <w:rPr>
          <w:rFonts w:hint="eastAsia" w:hAnsi="宋体"/>
          <w:sz w:val="24"/>
          <w:highlight w:val="none"/>
          <w:lang w:val="en-US" w:eastAsia="zh-CN"/>
        </w:rPr>
        <w:t xml:space="preserve">3</w:t>
      </w:r>
      <w:r>
        <w:rPr>
          <w:rFonts w:hint="eastAsia" w:hAnsi="宋体"/>
          <w:sz w:val="24"/>
          <w:highlight w:val="none"/>
          <w:lang w:eastAsia="zh-CN"/>
        </w:rPr>
        <w:t xml:space="preserve">）</w:t>
      </w:r>
      <w:r>
        <w:rPr>
          <w:rFonts w:hint="eastAsia" w:hAnsi="宋体"/>
          <w:sz w:val="24"/>
          <w:highlight w:val="none"/>
        </w:rPr>
        <w:t xml:space="preserve">根据当地相关部门检验结果，如果乙方提供的服务与合同不符，存在潜在缺陷的，甲方可以书面形式向乙方提出索赔。乙方在收到通知后，应在48小时内弥补缺陷。</w:t>
      </w:r>
      <w:r>
        <w:rPr>
          <w:highlight w:val="none"/>
        </w:rPr>
      </w:r>
      <w:r/>
    </w:p>
    <w:p>
      <w:pPr>
        <w:pStyle w:val="1029"/>
        <w:ind w:firstLine="482"/>
        <w:spacing w:line="360" w:lineRule="auto"/>
        <w:rPr>
          <w:rFonts w:hAnsi="宋体"/>
          <w:sz w:val="24"/>
          <w:highlight w:val="none"/>
        </w:rPr>
      </w:pPr>
      <w:r>
        <w:rPr>
          <w:rFonts w:hint="eastAsia" w:hAnsi="宋体"/>
          <w:sz w:val="24"/>
          <w:highlight w:val="none"/>
          <w:lang w:eastAsia="zh-CN"/>
        </w:rPr>
        <w:t xml:space="preserve">（</w:t>
      </w:r>
      <w:r>
        <w:rPr>
          <w:rFonts w:hint="eastAsia" w:hAnsi="宋体"/>
          <w:sz w:val="24"/>
          <w:highlight w:val="none"/>
          <w:lang w:val="en-US" w:eastAsia="zh-CN"/>
        </w:rPr>
        <w:t xml:space="preserve">4</w:t>
      </w:r>
      <w:r>
        <w:rPr>
          <w:rFonts w:hint="eastAsia" w:hAnsi="宋体"/>
          <w:sz w:val="24"/>
          <w:highlight w:val="none"/>
          <w:lang w:eastAsia="zh-CN"/>
        </w:rPr>
        <w:t xml:space="preserve">）</w:t>
      </w:r>
      <w:r>
        <w:rPr>
          <w:rFonts w:hint="eastAsia" w:hAnsi="宋体"/>
          <w:sz w:val="24"/>
          <w:highlight w:val="none"/>
        </w:rPr>
        <w:t xml:space="preserve">如果乙方在收到通知后，未在约定的时间内没有弥补缺陷，甲方可自行采取必要的补救措施，但风险和费用将由乙方承担。</w:t>
      </w:r>
      <w:r>
        <w:rPr>
          <w:highlight w:val="none"/>
        </w:rPr>
      </w:r>
      <w:r/>
    </w:p>
    <w:p>
      <w:pPr>
        <w:pStyle w:val="1029"/>
        <w:contextualSpacing/>
        <w:spacing w:line="360" w:lineRule="auto"/>
        <w:rPr>
          <w:rFonts w:hint="eastAsia" w:hAnsi="宋体"/>
          <w:sz w:val="24"/>
          <w:szCs w:val="24"/>
          <w:highlight w:val="none"/>
        </w:rPr>
      </w:pPr>
      <w:r>
        <w:rPr>
          <w:rFonts w:hint="eastAsia" w:hAnsi="宋体"/>
          <w:sz w:val="24"/>
          <w:szCs w:val="24"/>
          <w:highlight w:val="none"/>
        </w:rPr>
        <w:t xml:space="preserve">    3、</w:t>
      </w:r>
      <w:r>
        <w:rPr>
          <w:rFonts w:hAnsi="宋体"/>
          <w:sz w:val="24"/>
          <w:szCs w:val="24"/>
          <w:highlight w:val="none"/>
        </w:rPr>
        <w:t xml:space="preserve">服务要求</w:t>
      </w:r>
      <w:r>
        <w:rPr>
          <w:rFonts w:hint="eastAsia" w:hAnsi="宋体"/>
          <w:sz w:val="24"/>
          <w:szCs w:val="24"/>
          <w:highlight w:val="none"/>
          <w:lang w:eastAsia="zh-CN"/>
        </w:rPr>
        <w:t xml:space="preserve">：</w:t>
      </w:r>
      <w:r>
        <w:rPr>
          <w:highlight w:val="none"/>
        </w:rPr>
      </w:r>
      <w:r/>
    </w:p>
    <w:p>
      <w:pPr>
        <w:pStyle w:val="1029"/>
        <w:contextualSpacing/>
        <w:ind w:firstLine="480"/>
        <w:spacing w:line="360" w:lineRule="auto"/>
        <w:rPr>
          <w:rFonts w:hint="eastAsia" w:hAnsi="宋体" w:cs="宋体"/>
          <w:sz w:val="24"/>
          <w:szCs w:val="24"/>
          <w:highlight w:val="none"/>
        </w:rPr>
      </w:pPr>
      <w:r>
        <w:rPr>
          <w:rFonts w:hint="eastAsia" w:hAnsi="宋体"/>
          <w:sz w:val="24"/>
          <w:szCs w:val="24"/>
          <w:highlight w:val="none"/>
        </w:rPr>
        <w:t xml:space="preserve">  </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1</w:t>
      </w:r>
      <w:r>
        <w:rPr>
          <w:rFonts w:hint="eastAsia" w:hAnsi="宋体" w:cs="宋体"/>
          <w:sz w:val="24"/>
          <w:szCs w:val="24"/>
          <w:highlight w:val="none"/>
          <w:lang w:eastAsia="zh-CN"/>
        </w:rPr>
        <w:t xml:space="preserve">）</w:t>
      </w:r>
      <w:r>
        <w:rPr>
          <w:rFonts w:hint="eastAsia" w:hAnsi="宋体" w:cs="宋体"/>
          <w:sz w:val="24"/>
          <w:szCs w:val="24"/>
          <w:highlight w:val="none"/>
        </w:rPr>
        <w:t xml:space="preserve">乙方按照招标文件的检测频次及时到采样地点按有关规定进行现场采样、保存、传送、处置及现场采样照片和视频。每次采样后要做好水样封存工作，封存时间不少于报告送达后7天；现场采样照片和视频须按（</w:t>
      </w:r>
      <w:r>
        <w:rPr>
          <w:rFonts w:hint="eastAsia" w:hAnsi="宋体" w:cs="宋体"/>
          <w:bCs/>
          <w:sz w:val="24"/>
          <w:szCs w:val="24"/>
          <w:highlight w:val="none"/>
        </w:rPr>
        <w:t xml:space="preserve">取样</w:t>
      </w:r>
      <w:r>
        <w:rPr>
          <w:rFonts w:hint="eastAsia" w:hAnsi="宋体" w:cs="宋体"/>
          <w:sz w:val="24"/>
          <w:szCs w:val="24"/>
          <w:highlight w:val="none"/>
        </w:rPr>
        <w:t xml:space="preserve">时间+污水厂</w:t>
      </w:r>
      <w:r>
        <w:rPr>
          <w:rFonts w:hint="eastAsia" w:hAnsi="宋体" w:cs="宋体"/>
          <w:sz w:val="24"/>
          <w:szCs w:val="24"/>
          <w:highlight w:val="none"/>
          <w:lang w:eastAsia="zh-CN"/>
        </w:rPr>
        <w:t xml:space="preserve">或排水户</w:t>
      </w:r>
      <w:r>
        <w:rPr>
          <w:rFonts w:hint="eastAsia" w:hAnsi="宋体" w:cs="宋体"/>
          <w:sz w:val="24"/>
          <w:szCs w:val="24"/>
          <w:highlight w:val="none"/>
        </w:rPr>
        <w:t xml:space="preserve">名称）每月打包后移动硬盘拷贝</w:t>
      </w:r>
      <w:r>
        <w:rPr>
          <w:rFonts w:hint="eastAsia" w:hAnsi="宋体" w:cs="宋体"/>
          <w:sz w:val="24"/>
          <w:szCs w:val="24"/>
          <w:highlight w:val="none"/>
          <w:lang w:eastAsia="zh-CN"/>
        </w:rPr>
        <w:t xml:space="preserve">给甲方</w:t>
      </w:r>
      <w:r>
        <w:rPr>
          <w:rFonts w:hint="eastAsia" w:hAnsi="宋体" w:cs="宋体"/>
          <w:sz w:val="24"/>
          <w:szCs w:val="24"/>
          <w:highlight w:val="none"/>
        </w:rPr>
        <w:t xml:space="preserve">。乙方须在接到甲方的采样通知后，须在规定时间内完成采样任务，出现污水厂</w:t>
      </w:r>
      <w:r>
        <w:rPr>
          <w:rFonts w:hint="eastAsia" w:hAnsi="宋体" w:cs="宋体"/>
          <w:sz w:val="24"/>
          <w:szCs w:val="24"/>
          <w:highlight w:val="none"/>
          <w:lang w:eastAsia="zh-CN"/>
        </w:rPr>
        <w:t xml:space="preserve">或排水户</w:t>
      </w:r>
      <w:r>
        <w:rPr>
          <w:rFonts w:hint="eastAsia" w:hAnsi="宋体" w:cs="宋体"/>
          <w:sz w:val="24"/>
          <w:szCs w:val="24"/>
          <w:highlight w:val="none"/>
        </w:rPr>
        <w:t xml:space="preserve">不配合检测或污水厂出水口未排水的，须立即电话告知甲方并在2日内书面告知甲方。采样完毕后</w:t>
      </w:r>
      <w:r>
        <w:rPr>
          <w:rFonts w:hint="eastAsia" w:hAnsi="宋体" w:cs="宋体"/>
          <w:bCs/>
          <w:sz w:val="24"/>
          <w:szCs w:val="24"/>
          <w:highlight w:val="none"/>
        </w:rPr>
        <w:t xml:space="preserve">7个工作日内提交水质检测报告（报告须为纸质盖章版，报告内须有现场采样照片）。</w:t>
      </w:r>
      <w:r>
        <w:rPr>
          <w:highlight w:val="none"/>
        </w:rPr>
      </w:r>
      <w:r/>
    </w:p>
    <w:p>
      <w:pPr>
        <w:pStyle w:val="1029"/>
        <w:contextualSpacing/>
        <w:spacing w:line="360" w:lineRule="auto"/>
        <w:rPr>
          <w:rFonts w:hint="eastAsia" w:hAnsi="宋体" w:cs="宋体"/>
          <w:sz w:val="24"/>
          <w:szCs w:val="24"/>
          <w:highlight w:val="none"/>
        </w:rPr>
      </w:pPr>
      <w:r>
        <w:rPr>
          <w:rFonts w:hint="eastAsia" w:hAnsi="宋体" w:cs="宋体"/>
          <w:sz w:val="24"/>
          <w:szCs w:val="24"/>
          <w:highlight w:val="none"/>
        </w:rPr>
        <w:t xml:space="preserve">   （2)遇到甲方需要紧急采样的，乙方须在接到甲方通知后</w:t>
      </w:r>
      <w:r>
        <w:rPr>
          <w:rFonts w:hint="eastAsia" w:hAnsi="宋体" w:cs="宋体"/>
          <w:bCs/>
          <w:sz w:val="24"/>
          <w:szCs w:val="24"/>
          <w:highlight w:val="none"/>
        </w:rPr>
        <w:t xml:space="preserve">2小时内</w:t>
      </w:r>
      <w:r>
        <w:rPr>
          <w:rFonts w:hint="eastAsia" w:hAnsi="宋体" w:cs="宋体"/>
          <w:sz w:val="24"/>
          <w:szCs w:val="24"/>
          <w:highlight w:val="none"/>
        </w:rPr>
        <w:t xml:space="preserve">完成采样；每次采样后要做好水样封存工作（同步封存水样三份，分别为检测水样、平行水样、监管水样），</w:t>
      </w:r>
      <w:r>
        <w:rPr>
          <w:rFonts w:hint="eastAsia" w:hAnsi="宋体" w:cs="宋体"/>
          <w:bCs/>
          <w:sz w:val="24"/>
          <w:szCs w:val="24"/>
          <w:highlight w:val="none"/>
        </w:rPr>
        <w:t xml:space="preserve">其中监管水样由甲方留存</w:t>
      </w:r>
      <w:r>
        <w:rPr>
          <w:rFonts w:hint="eastAsia" w:hAnsi="宋体" w:cs="宋体"/>
          <w:sz w:val="24"/>
          <w:szCs w:val="24"/>
          <w:highlight w:val="none"/>
        </w:rPr>
        <w:t xml:space="preserve">；乙方不得推诿、拖延。</w:t>
      </w:r>
      <w:r>
        <w:rPr>
          <w:rFonts w:hint="eastAsia" w:hAnsi="宋体" w:cs="宋体"/>
          <w:b/>
          <w:bCs/>
          <w:sz w:val="24"/>
          <w:szCs w:val="24"/>
          <w:highlight w:val="none"/>
          <w:lang w:eastAsia="zh-CN"/>
        </w:rPr>
        <w:t xml:space="preserve">乙方须</w:t>
      </w:r>
      <w:r>
        <w:rPr>
          <w:rFonts w:hint="eastAsia" w:hAnsi="宋体" w:cs="宋体"/>
          <w:b/>
          <w:bCs/>
          <w:sz w:val="24"/>
          <w:szCs w:val="24"/>
          <w:highlight w:val="none"/>
        </w:rPr>
        <w:t xml:space="preserve">无偿为</w:t>
      </w:r>
      <w:r>
        <w:rPr>
          <w:rFonts w:hint="eastAsia" w:hAnsi="宋体" w:cs="宋体"/>
          <w:b/>
          <w:bCs/>
          <w:sz w:val="24"/>
          <w:szCs w:val="24"/>
          <w:highlight w:val="none"/>
          <w:lang w:eastAsia="zh-CN"/>
        </w:rPr>
        <w:t xml:space="preserve">甲方</w:t>
      </w:r>
      <w:r>
        <w:rPr>
          <w:rFonts w:hint="eastAsia" w:hAnsi="宋体" w:cs="宋体"/>
          <w:b/>
          <w:bCs/>
          <w:sz w:val="24"/>
          <w:szCs w:val="24"/>
          <w:highlight w:val="none"/>
        </w:rPr>
        <w:t xml:space="preserve">做好应急检测</w:t>
      </w:r>
      <w:r>
        <w:rPr>
          <w:rFonts w:hint="eastAsia" w:hAnsi="宋体" w:cs="宋体"/>
          <w:b/>
          <w:bCs/>
          <w:sz w:val="24"/>
          <w:szCs w:val="24"/>
          <w:highlight w:val="none"/>
          <w:lang w:eastAsia="zh-CN"/>
        </w:rPr>
        <w:t xml:space="preserve">、上级交办的事项等。</w:t>
      </w:r>
      <w:r>
        <w:rPr>
          <w:highlight w:val="none"/>
        </w:rPr>
      </w:r>
      <w:r/>
    </w:p>
    <w:p>
      <w:pPr>
        <w:pStyle w:val="1029"/>
        <w:contextualSpacing/>
        <w:spacing w:line="360" w:lineRule="auto"/>
        <w:rPr>
          <w:rFonts w:hint="eastAsia" w:hAnsi="宋体" w:cs="宋体"/>
          <w:sz w:val="24"/>
          <w:szCs w:val="24"/>
          <w:highlight w:val="none"/>
        </w:rPr>
      </w:pPr>
      <w:r>
        <w:rPr>
          <w:rFonts w:hint="eastAsia" w:hAnsi="宋体" w:cs="宋体"/>
          <w:sz w:val="24"/>
          <w:szCs w:val="24"/>
          <w:highlight w:val="none"/>
        </w:rPr>
        <w:t xml:space="preserve">   （3）乙方在每个月检测完毕后，须在检测报告送达后3天内将本月的检测数据分析表盖章后送达甲方（数据分析表包含每月检测</w:t>
      </w:r>
      <w:r>
        <w:rPr>
          <w:rFonts w:hint="eastAsia" w:hAnsi="宋体" w:cs="宋体"/>
          <w:sz w:val="24"/>
          <w:szCs w:val="24"/>
          <w:highlight w:val="none"/>
          <w:lang w:eastAsia="zh-CN"/>
        </w:rPr>
        <w:t xml:space="preserve">污水厂或</w:t>
      </w:r>
      <w:r>
        <w:rPr>
          <w:rFonts w:hint="eastAsia" w:hAnsi="宋体" w:cs="宋体"/>
          <w:sz w:val="24"/>
          <w:szCs w:val="24"/>
          <w:highlight w:val="none"/>
        </w:rPr>
        <w:t xml:space="preserve">排水户名单、检测指标、超标的详细指标、超标率、每月检测产生总费用等），当出现累计实际检测费用超出中标价格总价时，乙方须及时提醒甲方，不得继续开展检测工作。</w:t>
      </w:r>
      <w:r>
        <w:rPr>
          <w:highlight w:val="none"/>
        </w:rPr>
      </w:r>
      <w:r/>
    </w:p>
    <w:p>
      <w:pPr>
        <w:pStyle w:val="1029"/>
        <w:contextualSpacing/>
        <w:spacing w:line="360" w:lineRule="auto"/>
        <w:rPr>
          <w:rFonts w:hint="eastAsia" w:hAnsi="宋体" w:cs="宋体"/>
          <w:b/>
          <w:bCs/>
          <w:sz w:val="24"/>
          <w:szCs w:val="24"/>
          <w:highlight w:val="none"/>
        </w:rPr>
      </w:pPr>
      <w:r>
        <w:rPr>
          <w:rFonts w:hint="eastAsia" w:hAnsi="宋体" w:cs="宋体"/>
          <w:bCs/>
          <w:sz w:val="24"/>
          <w:szCs w:val="24"/>
          <w:highlight w:val="none"/>
        </w:rPr>
        <w:t xml:space="preserve">  </w:t>
      </w:r>
      <w:r>
        <w:rPr>
          <w:rFonts w:hint="eastAsia" w:hAnsi="宋体" w:cs="宋体"/>
          <w:b/>
          <w:bCs/>
          <w:sz w:val="24"/>
          <w:szCs w:val="24"/>
          <w:highlight w:val="none"/>
        </w:rPr>
        <w:t xml:space="preserve">（4）乙方须配合甲方开展污水厂水质检测类的培训或比赛工作并免费提供实验室作为培训或比赛场地。</w:t>
      </w:r>
      <w:r>
        <w:rPr>
          <w:highlight w:val="none"/>
        </w:rPr>
      </w:r>
      <w:r/>
    </w:p>
    <w:p>
      <w:pPr>
        <w:pStyle w:val="1029"/>
        <w:contextualSpacing/>
        <w:spacing w:line="360" w:lineRule="auto"/>
        <w:rPr>
          <w:rFonts w:hint="eastAsia" w:hAnsi="宋体" w:cs="宋体"/>
          <w:bCs/>
          <w:sz w:val="24"/>
          <w:szCs w:val="24"/>
          <w:highlight w:val="none"/>
        </w:rPr>
      </w:pPr>
      <w:r>
        <w:rPr>
          <w:rFonts w:hint="eastAsia" w:hAnsi="宋体" w:cs="宋体"/>
          <w:bCs/>
          <w:sz w:val="24"/>
          <w:szCs w:val="24"/>
          <w:highlight w:val="none"/>
        </w:rPr>
        <w:t xml:space="preserve">   (</w:t>
      </w:r>
      <w:r>
        <w:rPr>
          <w:rFonts w:hint="eastAsia" w:hAnsi="宋体" w:cs="宋体"/>
          <w:bCs/>
          <w:sz w:val="24"/>
          <w:szCs w:val="24"/>
          <w:highlight w:val="none"/>
          <w:lang w:val="en-US" w:eastAsia="zh-CN"/>
        </w:rPr>
        <w:t xml:space="preserve">5</w:t>
      </w:r>
      <w:r>
        <w:rPr>
          <w:rFonts w:hint="eastAsia" w:hAnsi="宋体" w:cs="宋体"/>
          <w:bCs/>
          <w:sz w:val="24"/>
          <w:szCs w:val="24"/>
          <w:highlight w:val="none"/>
        </w:rPr>
        <w:t xml:space="preserve">)乙方在服务期间，不得将承担的检测服务转包、分包给他人；且须接受甲方对检测项目任意工作段的随机、随时抽检。</w:t>
      </w:r>
      <w:r>
        <w:rPr>
          <w:highlight w:val="none"/>
        </w:rPr>
      </w:r>
      <w:r/>
    </w:p>
    <w:p>
      <w:pPr>
        <w:pStyle w:val="1029"/>
        <w:contextualSpacing/>
        <w:spacing w:line="360" w:lineRule="auto"/>
        <w:rPr>
          <w:rFonts w:hint="eastAsia" w:hAnsi="宋体" w:cs="宋体"/>
          <w:bCs/>
          <w:sz w:val="24"/>
          <w:szCs w:val="24"/>
          <w:highlight w:val="none"/>
        </w:rPr>
      </w:pPr>
      <w:r>
        <w:rPr>
          <w:rFonts w:hint="eastAsia" w:hAnsi="宋体" w:cs="宋体"/>
          <w:bCs/>
          <w:sz w:val="24"/>
          <w:szCs w:val="24"/>
          <w:highlight w:val="none"/>
        </w:rPr>
        <w:t xml:space="preserve">  （</w:t>
      </w:r>
      <w:r>
        <w:rPr>
          <w:rFonts w:hint="eastAsia" w:hAnsi="宋体" w:cs="宋体"/>
          <w:bCs/>
          <w:sz w:val="24"/>
          <w:szCs w:val="24"/>
          <w:highlight w:val="none"/>
          <w:lang w:val="en-US" w:eastAsia="zh-CN"/>
        </w:rPr>
        <w:t xml:space="preserve">6</w:t>
      </w:r>
      <w:r>
        <w:rPr>
          <w:rFonts w:hint="eastAsia" w:hAnsi="宋体" w:cs="宋体"/>
          <w:bCs/>
          <w:sz w:val="24"/>
          <w:szCs w:val="24"/>
          <w:highlight w:val="none"/>
        </w:rPr>
        <w:t xml:space="preserve">）乙方须保证检测结果的准确性。不得出现经准确性校核，出水水质不合格的检测为水质合格的</w:t>
      </w:r>
      <w:r>
        <w:rPr>
          <w:rFonts w:hint="eastAsia" w:hAnsi="宋体" w:cs="宋体"/>
          <w:bCs/>
          <w:sz w:val="24"/>
          <w:szCs w:val="24"/>
          <w:highlight w:val="none"/>
          <w:lang w:eastAsia="zh-CN"/>
        </w:rPr>
        <w:t xml:space="preserve">，</w:t>
      </w:r>
      <w:r>
        <w:rPr>
          <w:rFonts w:hint="eastAsia" w:hAnsi="宋体" w:cs="宋体"/>
          <w:bCs/>
          <w:sz w:val="24"/>
          <w:szCs w:val="24"/>
          <w:highlight w:val="none"/>
        </w:rPr>
        <w:t xml:space="preserve">或者出水水质合格的检测为水质不合格的情形。</w:t>
      </w:r>
      <w:r>
        <w:rPr>
          <w:highlight w:val="none"/>
        </w:rPr>
      </w:r>
      <w:r/>
    </w:p>
    <w:p>
      <w:pPr>
        <w:pStyle w:val="100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三、技术支持工作内容</w:t>
      </w:r>
      <w:r>
        <w:rPr>
          <w:highlight w:val="none"/>
        </w:rPr>
      </w:r>
      <w:r/>
    </w:p>
    <w:p>
      <w:pPr>
        <w:pStyle w:val="100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1、采样和分析方法</w:t>
      </w:r>
      <w:r>
        <w:rPr>
          <w:highlight w:val="none"/>
        </w:rPr>
      </w:r>
      <w:r/>
    </w:p>
    <w:p>
      <w:pPr>
        <w:pStyle w:val="100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样品的采集及保存按照《水质 采样技术指导（HJ494-2009）》及《样品的保存和管理技术规定 HJ 493-2009》执行。样品检测方法按照《检测项目明细表》中所列现行有效的标准方法执行且所列检测方法需经过资质认证。</w:t>
      </w:r>
      <w:bookmarkStart w:id="148" w:name="_Toc314086836"/>
      <w:r>
        <w:rPr>
          <w:highlight w:val="none"/>
        </w:rPr>
      </w:r>
      <w:r/>
    </w:p>
    <w:p>
      <w:pPr>
        <w:pStyle w:val="100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2、质控要求</w:t>
      </w:r>
      <w:bookmarkEnd w:id="148"/>
      <w:r>
        <w:rPr>
          <w:highlight w:val="none"/>
        </w:rPr>
      </w:r>
      <w:r/>
    </w:p>
    <w:p>
      <w:pPr>
        <w:pStyle w:val="100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分析工作的质量控制必须按《城镇污水水质标准检验方法》（CJ/T 51-2018）的要求进行，精密度和准确度的控制指标按《城镇污水水质检验方法标准》（CJ/T 51-2018）进行。</w:t>
      </w:r>
      <w:r>
        <w:rPr>
          <w:highlight w:val="none"/>
        </w:rPr>
      </w:r>
      <w:r/>
    </w:p>
    <w:p>
      <w:pPr>
        <w:pStyle w:val="100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3、大市区范围内污水厂和排水户监管水质检测项目水污染测定方法</w:t>
      </w:r>
      <w:r>
        <w:rPr>
          <w:highlight w:val="none"/>
        </w:rPr>
      </w:r>
      <w:r/>
    </w:p>
    <w:p>
      <w:pPr>
        <w:pStyle w:val="1008"/>
        <w:jc w:val="center"/>
        <w:spacing w:line="360" w:lineRule="auto"/>
        <w:rPr>
          <w:rFonts w:ascii="微软雅黑" w:hAnsi="微软雅黑" w:eastAsia="微软雅黑" w:cs="微软雅黑"/>
          <w:sz w:val="19"/>
          <w:szCs w:val="19"/>
          <w:highlight w:val="none"/>
        </w:rPr>
      </w:pPr>
      <w:r>
        <w:rPr>
          <w:rFonts w:ascii="微软雅黑" w:hAnsi="微软雅黑" w:eastAsia="微软雅黑" w:cs="微软雅黑"/>
          <w:spacing w:val="16"/>
          <w:sz w:val="19"/>
          <w:szCs w:val="19"/>
          <w:highlight w:val="none"/>
        </w:rPr>
        <w:t xml:space="preserve">水污染物测定方法</w:t>
      </w:r>
      <w:r>
        <w:rPr>
          <w:highlight w:val="none"/>
        </w:rPr>
      </w:r>
      <w:r/>
    </w:p>
    <w:tbl>
      <w:tblPr>
        <w:tblW w:w="922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8"/>
        <w:gridCol w:w="1622"/>
        <w:gridCol w:w="5766"/>
        <w:gridCol w:w="1286"/>
      </w:tblGrid>
      <w:tr>
        <w:trPr>
          <w:trHeight w:val="363"/>
        </w:trPr>
        <w:tc>
          <w:tcPr>
            <w:tcW w:w="548" w:type="dxa"/>
            <w:vAlign w:val="top"/>
            <w:textDirection w:val="lrTb"/>
            <w:noWrap w:val="false"/>
          </w:tcPr>
          <w:p>
            <w:pPr>
              <w:pStyle w:val="1008"/>
              <w:ind w:left="93"/>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1"/>
                <w:sz w:val="16"/>
                <w:szCs w:val="16"/>
                <w:highlight w:val="none"/>
              </w:rPr>
              <w:t xml:space="preserve">序</w:t>
            </w:r>
            <w:r>
              <w:rPr>
                <w:rFonts w:ascii="微软雅黑" w:hAnsi="微软雅黑" w:eastAsia="微软雅黑" w:cs="微软雅黑"/>
                <w:spacing w:val="10"/>
                <w:sz w:val="16"/>
                <w:szCs w:val="16"/>
                <w:highlight w:val="none"/>
              </w:rPr>
              <w:t xml:space="preserve">号</w:t>
            </w:r>
            <w:r>
              <w:rPr>
                <w:highlight w:val="none"/>
              </w:rPr>
            </w:r>
            <w:r/>
          </w:p>
        </w:tc>
        <w:tc>
          <w:tcPr>
            <w:tcW w:w="1622" w:type="dxa"/>
            <w:vAlign w:val="top"/>
            <w:textDirection w:val="lrTb"/>
            <w:noWrap w:val="false"/>
          </w:tcPr>
          <w:p>
            <w:pPr>
              <w:pStyle w:val="1008"/>
              <w:ind w:left="632"/>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
                <w:sz w:val="16"/>
                <w:szCs w:val="16"/>
                <w:highlight w:val="none"/>
              </w:rPr>
              <w:t xml:space="preserve">项</w:t>
            </w:r>
            <w:r>
              <w:rPr>
                <w:rFonts w:ascii="微软雅黑" w:hAnsi="微软雅黑" w:eastAsia="微软雅黑" w:cs="微软雅黑"/>
                <w:spacing w:val="1"/>
                <w:sz w:val="16"/>
                <w:szCs w:val="16"/>
                <w:highlight w:val="none"/>
              </w:rPr>
              <w:t xml:space="preserve"> 目</w:t>
            </w:r>
            <w:r>
              <w:rPr>
                <w:highlight w:val="none"/>
              </w:rPr>
            </w:r>
            <w:r/>
          </w:p>
        </w:tc>
        <w:tc>
          <w:tcPr>
            <w:tcW w:w="5766" w:type="dxa"/>
            <w:vAlign w:val="top"/>
            <w:textDirection w:val="lrTb"/>
            <w:noWrap w:val="false"/>
          </w:tcPr>
          <w:p>
            <w:pPr>
              <w:pStyle w:val="1008"/>
              <w:ind w:left="2530"/>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6"/>
                <w:sz w:val="16"/>
                <w:szCs w:val="16"/>
                <w:highlight w:val="none"/>
              </w:rPr>
              <w:t xml:space="preserve">标准名</w:t>
            </w:r>
            <w:r>
              <w:rPr>
                <w:rFonts w:ascii="微软雅黑" w:hAnsi="微软雅黑" w:eastAsia="微软雅黑" w:cs="微软雅黑"/>
                <w:spacing w:val="15"/>
                <w:sz w:val="16"/>
                <w:szCs w:val="16"/>
                <w:highlight w:val="none"/>
              </w:rPr>
              <w:t xml:space="preserve">称</w:t>
            </w:r>
            <w:r>
              <w:rPr>
                <w:highlight w:val="none"/>
              </w:rPr>
            </w:r>
            <w:r/>
          </w:p>
        </w:tc>
        <w:tc>
          <w:tcPr>
            <w:tcW w:w="1286" w:type="dxa"/>
            <w:vAlign w:val="top"/>
            <w:textDirection w:val="lrTb"/>
            <w:noWrap w:val="false"/>
          </w:tcPr>
          <w:p>
            <w:pPr>
              <w:pStyle w:val="1008"/>
              <w:ind w:left="292"/>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6"/>
                <w:sz w:val="16"/>
                <w:szCs w:val="16"/>
                <w:highlight w:val="none"/>
              </w:rPr>
              <w:t xml:space="preserve">标准编</w:t>
            </w:r>
            <w:r>
              <w:rPr>
                <w:rFonts w:ascii="微软雅黑" w:hAnsi="微软雅黑" w:eastAsia="微软雅黑" w:cs="微软雅黑"/>
                <w:spacing w:val="15"/>
                <w:sz w:val="16"/>
                <w:szCs w:val="16"/>
                <w:highlight w:val="none"/>
              </w:rPr>
              <w:t xml:space="preserve">号</w:t>
            </w:r>
            <w:r>
              <w:rPr>
                <w:highlight w:val="none"/>
              </w:rPr>
            </w:r>
            <w:r/>
          </w:p>
        </w:tc>
      </w:tr>
      <w:tr>
        <w:trPr>
          <w:trHeight w:val="355"/>
        </w:trPr>
        <w:tc>
          <w:tcPr>
            <w:tcW w:w="548" w:type="dxa"/>
            <w:vAlign w:val="top"/>
            <w:vMerge w:val="restart"/>
            <w:textDirection w:val="lrTb"/>
            <w:noWrap w:val="false"/>
          </w:tcPr>
          <w:p>
            <w:pPr>
              <w:pStyle w:val="1008"/>
              <w:spacing w:line="360" w:lineRule="auto"/>
              <w:rPr>
                <w:rFonts w:ascii="Arial"/>
                <w:highlight w:val="none"/>
              </w:rPr>
            </w:pPr>
            <w:r>
              <w:rPr>
                <w:rFonts w:ascii="Arial"/>
                <w:highlight w:val="none"/>
              </w:rPr>
            </w:r>
            <w:r>
              <w:rPr>
                <w:highlight w:val="none"/>
              </w:rPr>
            </w:r>
            <w:r/>
          </w:p>
          <w:p>
            <w:pPr>
              <w:pStyle w:val="1008"/>
              <w:ind w:left="234"/>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7"/>
                <w:sz w:val="16"/>
                <w:szCs w:val="16"/>
                <w:highlight w:val="none"/>
              </w:rPr>
              <w:t xml:space="preserve">1</w:t>
            </w:r>
            <w:r>
              <w:rPr>
                <w:highlight w:val="none"/>
              </w:rPr>
            </w:r>
            <w:r/>
          </w:p>
        </w:tc>
        <w:tc>
          <w:tcPr>
            <w:tcW w:w="1622" w:type="dxa"/>
            <w:vAlign w:val="top"/>
            <w:vMerge w:val="restart"/>
            <w:textDirection w:val="lrTb"/>
            <w:noWrap w:val="false"/>
          </w:tcPr>
          <w:p>
            <w:pPr>
              <w:pStyle w:val="1008"/>
              <w:jc w:val="center"/>
              <w:spacing w:line="360" w:lineRule="auto"/>
              <w:rPr>
                <w:rFonts w:ascii="Arial"/>
                <w:highlight w:val="none"/>
              </w:rPr>
            </w:pPr>
            <w:r>
              <w:rPr>
                <w:rFonts w:ascii="Arial"/>
                <w:highlight w:val="none"/>
              </w:rPr>
            </w:r>
            <w:r>
              <w:rPr>
                <w:highlight w:val="none"/>
              </w:rPr>
            </w:r>
            <w:r/>
          </w:p>
          <w:p>
            <w:pPr>
              <w:pStyle w:val="1008"/>
              <w:ind w:left="22"/>
              <w:jc w:val="center"/>
              <w:spacing w:line="360" w:lineRule="auto"/>
              <w:rPr>
                <w:rFonts w:ascii="微软雅黑" w:hAnsi="微软雅黑" w:eastAsia="微软雅黑" w:cs="微软雅黑"/>
                <w:sz w:val="15"/>
                <w:szCs w:val="15"/>
                <w:highlight w:val="none"/>
              </w:rPr>
            </w:pPr>
            <w:r>
              <w:rPr>
                <w:rFonts w:ascii="微软雅黑" w:hAnsi="微软雅黑" w:eastAsia="微软雅黑" w:cs="微软雅黑"/>
                <w:spacing w:val="47"/>
                <w:sz w:val="15"/>
                <w:szCs w:val="15"/>
                <w:highlight w:val="none"/>
              </w:rPr>
              <w:t xml:space="preserve">化</w:t>
            </w:r>
            <w:r>
              <w:rPr>
                <w:rFonts w:ascii="微软雅黑" w:hAnsi="微软雅黑" w:eastAsia="微软雅黑" w:cs="微软雅黑"/>
                <w:spacing w:val="46"/>
                <w:sz w:val="15"/>
                <w:szCs w:val="15"/>
                <w:highlight w:val="none"/>
              </w:rPr>
              <w:t xml:space="preserve">学需氧量(</w:t>
            </w:r>
            <w:r>
              <w:rPr>
                <w:rFonts w:ascii="微软雅黑" w:hAnsi="微软雅黑" w:eastAsia="微软雅黑" w:cs="微软雅黑"/>
                <w:sz w:val="15"/>
                <w:szCs w:val="15"/>
                <w:highlight w:val="none"/>
              </w:rPr>
              <w:t xml:space="preserve">COD</w:t>
            </w:r>
            <w:r>
              <w:rPr>
                <w:rFonts w:ascii="微软雅黑" w:hAnsi="微软雅黑" w:eastAsia="微软雅黑" w:cs="微软雅黑"/>
                <w:position w:val="-2"/>
                <w:sz w:val="8"/>
                <w:szCs w:val="8"/>
                <w:highlight w:val="none"/>
              </w:rPr>
              <w:t xml:space="preserve">Cr</w:t>
            </w:r>
            <w:r>
              <w:rPr>
                <w:rFonts w:ascii="微软雅黑" w:hAnsi="微软雅黑" w:eastAsia="微软雅黑" w:cs="微软雅黑"/>
                <w:spacing w:val="46"/>
                <w:position w:val="1"/>
                <w:sz w:val="15"/>
                <w:szCs w:val="15"/>
                <w:highlight w:val="none"/>
              </w:rPr>
              <w:t xml:space="preserve">)</w:t>
            </w:r>
            <w:r>
              <w:rPr>
                <w:highlight w:val="none"/>
              </w:rPr>
            </w:r>
            <w:r/>
          </w:p>
        </w:tc>
        <w:tc>
          <w:tcPr>
            <w:tcW w:w="5766" w:type="dxa"/>
            <w:vAlign w:val="top"/>
            <w:textDirection w:val="lrTb"/>
            <w:noWrap w:val="false"/>
          </w:tcPr>
          <w:p>
            <w:pPr>
              <w:pStyle w:val="1008"/>
              <w:ind w:left="1179"/>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0"/>
                <w:sz w:val="16"/>
                <w:szCs w:val="16"/>
                <w:highlight w:val="none"/>
              </w:rPr>
              <w:t xml:space="preserve">高</w:t>
            </w:r>
            <w:r>
              <w:rPr>
                <w:rFonts w:ascii="微软雅黑" w:hAnsi="微软雅黑" w:eastAsia="微软雅黑" w:cs="微软雅黑"/>
                <w:spacing w:val="12"/>
                <w:sz w:val="16"/>
                <w:szCs w:val="16"/>
                <w:highlight w:val="none"/>
              </w:rPr>
              <w:t xml:space="preserve">氯废水    化学需氧量的测和    氯气校正法</w:t>
            </w:r>
            <w:r>
              <w:rPr>
                <w:highlight w:val="none"/>
              </w:rPr>
            </w:r>
            <w:r/>
          </w:p>
        </w:tc>
        <w:tc>
          <w:tcPr>
            <w:tcW w:w="1286" w:type="dxa"/>
            <w:vAlign w:val="top"/>
            <w:textDirection w:val="lrTb"/>
            <w:noWrap w:val="false"/>
          </w:tcPr>
          <w:p>
            <w:pPr>
              <w:pStyle w:val="1008"/>
              <w:ind w:left="322"/>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1"/>
                <w:sz w:val="16"/>
                <w:szCs w:val="16"/>
                <w:highlight w:val="none"/>
              </w:rPr>
              <w:t xml:space="preserve">/</w:t>
            </w:r>
            <w:r>
              <w:rPr>
                <w:rFonts w:ascii="微软雅黑" w:hAnsi="微软雅黑" w:eastAsia="微软雅黑" w:cs="微软雅黑"/>
                <w:sz w:val="16"/>
                <w:szCs w:val="16"/>
                <w:highlight w:val="none"/>
              </w:rPr>
              <w:t xml:space="preserve">T</w:t>
            </w:r>
            <w:r>
              <w:rPr>
                <w:rFonts w:ascii="微软雅黑" w:hAnsi="微软雅黑" w:eastAsia="微软雅黑" w:cs="微软雅黑"/>
                <w:spacing w:val="30"/>
                <w:sz w:val="16"/>
                <w:szCs w:val="16"/>
                <w:highlight w:val="none"/>
              </w:rPr>
              <w:t xml:space="preserve"> 70</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995"/>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5"/>
                <w:sz w:val="16"/>
                <w:szCs w:val="16"/>
                <w:highlight w:val="none"/>
              </w:rPr>
              <w:t xml:space="preserve">水</w:t>
            </w:r>
            <w:r>
              <w:rPr>
                <w:rFonts w:ascii="微软雅黑" w:hAnsi="微软雅黑" w:eastAsia="微软雅黑" w:cs="微软雅黑"/>
                <w:spacing w:val="13"/>
                <w:sz w:val="16"/>
                <w:szCs w:val="16"/>
                <w:highlight w:val="none"/>
              </w:rPr>
              <w:t xml:space="preserve">质    化学需氧量的测和    快速消解分光光度法</w:t>
            </w:r>
            <w:r>
              <w:rPr>
                <w:highlight w:val="none"/>
              </w:rPr>
            </w:r>
            <w:r/>
          </w:p>
        </w:tc>
        <w:tc>
          <w:tcPr>
            <w:tcW w:w="1286" w:type="dxa"/>
            <w:vAlign w:val="top"/>
            <w:textDirection w:val="lrTb"/>
            <w:noWrap w:val="false"/>
          </w:tcPr>
          <w:p>
            <w:pPr>
              <w:pStyle w:val="1008"/>
              <w:ind w:left="277"/>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41"/>
                <w:sz w:val="16"/>
                <w:szCs w:val="16"/>
                <w:highlight w:val="none"/>
              </w:rPr>
              <w:t xml:space="preserve">/</w:t>
            </w:r>
            <w:r>
              <w:rPr>
                <w:rFonts w:ascii="微软雅黑" w:hAnsi="微软雅黑" w:eastAsia="微软雅黑" w:cs="微软雅黑"/>
                <w:sz w:val="16"/>
                <w:szCs w:val="16"/>
                <w:highlight w:val="none"/>
              </w:rPr>
              <w:t xml:space="preserve">T</w:t>
            </w:r>
            <w:r>
              <w:rPr>
                <w:rFonts w:ascii="微软雅黑" w:hAnsi="微软雅黑" w:eastAsia="微软雅黑" w:cs="微软雅黑"/>
                <w:spacing w:val="41"/>
                <w:sz w:val="16"/>
                <w:szCs w:val="16"/>
                <w:highlight w:val="none"/>
              </w:rPr>
              <w:t xml:space="preserve">399</w:t>
            </w:r>
            <w:r>
              <w:rPr>
                <w:highlight w:val="none"/>
              </w:rPr>
            </w:r>
            <w:r/>
          </w:p>
        </w:tc>
      </w:tr>
      <w:tr>
        <w:trPr>
          <w:trHeight w:val="355"/>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1356"/>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2"/>
                <w:sz w:val="16"/>
                <w:szCs w:val="16"/>
                <w:highlight w:val="none"/>
              </w:rPr>
              <w:t xml:space="preserve">水</w:t>
            </w:r>
            <w:r>
              <w:rPr>
                <w:rFonts w:ascii="微软雅黑" w:hAnsi="微软雅黑" w:eastAsia="微软雅黑" w:cs="微软雅黑"/>
                <w:spacing w:val="18"/>
                <w:sz w:val="16"/>
                <w:szCs w:val="16"/>
                <w:highlight w:val="none"/>
              </w:rPr>
              <w:t xml:space="preserve">质</w:t>
            </w:r>
            <w:r>
              <w:rPr>
                <w:rFonts w:ascii="微软雅黑" w:hAnsi="微软雅黑" w:eastAsia="微软雅黑" w:cs="微软雅黑"/>
                <w:spacing w:val="11"/>
                <w:sz w:val="16"/>
                <w:szCs w:val="16"/>
                <w:highlight w:val="none"/>
              </w:rPr>
              <w:t xml:space="preserve">    化学需氧量的测和    重铬酸盐法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8</w:t>
            </w:r>
            <w:r>
              <w:rPr>
                <w:rFonts w:ascii="微软雅黑" w:hAnsi="微软雅黑" w:eastAsia="微软雅黑" w:cs="微软雅黑"/>
                <w:spacing w:val="36"/>
                <w:sz w:val="16"/>
                <w:szCs w:val="16"/>
                <w:highlight w:val="none"/>
              </w:rPr>
              <w:t xml:space="preserve">28</w:t>
            </w:r>
            <w:r>
              <w:rPr>
                <w:highlight w:val="none"/>
              </w:rPr>
            </w:r>
            <w:r/>
          </w:p>
        </w:tc>
      </w:tr>
      <w:tr>
        <w:trPr>
          <w:trHeight w:val="356"/>
        </w:trPr>
        <w:tc>
          <w:tcPr>
            <w:tcW w:w="548" w:type="dxa"/>
            <w:vAlign w:val="top"/>
            <w:vMerge w:val="restart"/>
            <w:textDirection w:val="lrTb"/>
            <w:noWrap w:val="false"/>
          </w:tcPr>
          <w:p>
            <w:pPr>
              <w:pStyle w:val="1008"/>
              <w:spacing w:line="360" w:lineRule="auto"/>
              <w:rPr>
                <w:rFonts w:ascii="Arial"/>
                <w:highlight w:val="none"/>
              </w:rPr>
            </w:pPr>
            <w:r>
              <w:rPr>
                <w:rFonts w:ascii="Arial"/>
                <w:highlight w:val="none"/>
              </w:rPr>
            </w:r>
            <w:r>
              <w:rPr>
                <w:highlight w:val="none"/>
              </w:rPr>
            </w:r>
            <w:r/>
          </w:p>
          <w:p>
            <w:pPr>
              <w:pStyle w:val="1008"/>
              <w:spacing w:line="360" w:lineRule="auto"/>
              <w:rPr>
                <w:rFonts w:ascii="Arial"/>
                <w:highlight w:val="none"/>
              </w:rPr>
            </w:pPr>
            <w:r>
              <w:rPr>
                <w:rFonts w:ascii="Arial"/>
                <w:highlight w:val="none"/>
              </w:rPr>
            </w:r>
            <w:r>
              <w:rPr>
                <w:highlight w:val="none"/>
              </w:rPr>
            </w:r>
            <w:r/>
          </w:p>
          <w:p>
            <w:pPr>
              <w:pStyle w:val="1008"/>
              <w:spacing w:line="360" w:lineRule="auto"/>
              <w:rPr>
                <w:rFonts w:ascii="Arial"/>
                <w:highlight w:val="none"/>
              </w:rPr>
            </w:pPr>
            <w:r>
              <w:rPr>
                <w:rFonts w:ascii="Arial"/>
                <w:highlight w:val="none"/>
              </w:rPr>
            </w:r>
            <w:r>
              <w:rPr>
                <w:highlight w:val="none"/>
              </w:rPr>
            </w:r>
            <w:r/>
          </w:p>
          <w:p>
            <w:pPr>
              <w:pStyle w:val="1008"/>
              <w:ind w:left="230"/>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1"/>
                <w:sz w:val="16"/>
                <w:szCs w:val="16"/>
                <w:highlight w:val="none"/>
              </w:rPr>
              <w:t xml:space="preserve">2</w:t>
            </w:r>
            <w:r>
              <w:rPr>
                <w:highlight w:val="none"/>
              </w:rPr>
            </w:r>
            <w:r/>
          </w:p>
        </w:tc>
        <w:tc>
          <w:tcPr>
            <w:tcW w:w="1622" w:type="dxa"/>
            <w:vAlign w:val="top"/>
            <w:vMerge w:val="restart"/>
            <w:textDirection w:val="lrTb"/>
            <w:noWrap w:val="false"/>
          </w:tcPr>
          <w:p>
            <w:pPr>
              <w:pStyle w:val="1008"/>
              <w:jc w:val="center"/>
              <w:spacing w:line="360" w:lineRule="auto"/>
              <w:rPr>
                <w:rFonts w:ascii="Arial"/>
                <w:highlight w:val="none"/>
              </w:rPr>
            </w:pPr>
            <w:r>
              <w:rPr>
                <w:rFonts w:ascii="Arial"/>
                <w:highlight w:val="none"/>
              </w:rPr>
            </w:r>
            <w:r>
              <w:rPr>
                <w:highlight w:val="none"/>
              </w:rPr>
            </w:r>
            <w:r/>
          </w:p>
          <w:p>
            <w:pPr>
              <w:pStyle w:val="1008"/>
              <w:jc w:val="center"/>
              <w:spacing w:line="360" w:lineRule="auto"/>
              <w:rPr>
                <w:rFonts w:ascii="Arial"/>
                <w:highlight w:val="none"/>
              </w:rPr>
            </w:pPr>
            <w:r>
              <w:rPr>
                <w:rFonts w:ascii="Arial"/>
                <w:highlight w:val="none"/>
              </w:rPr>
            </w:r>
            <w:r>
              <w:rPr>
                <w:highlight w:val="none"/>
              </w:rPr>
            </w:r>
            <w:r/>
          </w:p>
          <w:p>
            <w:pPr>
              <w:pStyle w:val="1008"/>
              <w:jc w:val="center"/>
              <w:spacing w:line="360" w:lineRule="auto"/>
              <w:rPr>
                <w:rFonts w:ascii="Arial"/>
                <w:highlight w:val="none"/>
              </w:rPr>
            </w:pPr>
            <w:r>
              <w:rPr>
                <w:rFonts w:ascii="Arial"/>
                <w:highlight w:val="none"/>
              </w:rPr>
            </w:r>
            <w:r>
              <w:rPr>
                <w:highlight w:val="none"/>
              </w:rPr>
            </w:r>
            <w:r/>
          </w:p>
          <w:p>
            <w:pPr>
              <w:pStyle w:val="1008"/>
              <w:ind w:left="636"/>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9"/>
                <w:sz w:val="16"/>
                <w:szCs w:val="16"/>
                <w:highlight w:val="none"/>
              </w:rPr>
              <w:t xml:space="preserve">氨氮</w:t>
            </w:r>
            <w:r>
              <w:rPr>
                <w:highlight w:val="none"/>
              </w:rPr>
            </w:r>
            <w:r/>
          </w:p>
        </w:tc>
        <w:tc>
          <w:tcPr>
            <w:tcW w:w="5766" w:type="dxa"/>
            <w:vAlign w:val="top"/>
            <w:textDirection w:val="lrTb"/>
            <w:noWrap w:val="false"/>
          </w:tcPr>
          <w:p>
            <w:pPr>
              <w:pStyle w:val="1008"/>
              <w:ind w:left="1267"/>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5"/>
                <w:sz w:val="16"/>
                <w:szCs w:val="16"/>
                <w:highlight w:val="none"/>
              </w:rPr>
              <w:t xml:space="preserve">水</w:t>
            </w:r>
            <w:r>
              <w:rPr>
                <w:rFonts w:ascii="微软雅黑" w:hAnsi="微软雅黑" w:eastAsia="微软雅黑" w:cs="微软雅黑"/>
                <w:spacing w:val="12"/>
                <w:sz w:val="16"/>
                <w:szCs w:val="16"/>
                <w:highlight w:val="none"/>
              </w:rPr>
              <w:t xml:space="preserve">质    氨氮的测和    气相分子吸收光谱法</w:t>
            </w:r>
            <w:r>
              <w:rPr>
                <w:highlight w:val="none"/>
              </w:rPr>
            </w:r>
            <w:r/>
          </w:p>
        </w:tc>
        <w:tc>
          <w:tcPr>
            <w:tcW w:w="1286" w:type="dxa"/>
            <w:vAlign w:val="top"/>
            <w:textDirection w:val="lrTb"/>
            <w:noWrap w:val="false"/>
          </w:tcPr>
          <w:p>
            <w:pPr>
              <w:pStyle w:val="1008"/>
              <w:ind w:left="277"/>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25"/>
                <w:sz w:val="16"/>
                <w:szCs w:val="16"/>
                <w:highlight w:val="none"/>
              </w:rPr>
              <w:t xml:space="preserve">/</w:t>
            </w:r>
            <w:r>
              <w:rPr>
                <w:rFonts w:ascii="微软雅黑" w:hAnsi="微软雅黑" w:eastAsia="微软雅黑" w:cs="微软雅黑"/>
                <w:sz w:val="16"/>
                <w:szCs w:val="16"/>
                <w:highlight w:val="none"/>
              </w:rPr>
              <w:t xml:space="preserve">T</w:t>
            </w:r>
            <w:r>
              <w:rPr>
                <w:rFonts w:ascii="微软雅黑" w:hAnsi="微软雅黑" w:eastAsia="微软雅黑" w:cs="微软雅黑"/>
                <w:spacing w:val="23"/>
                <w:sz w:val="16"/>
                <w:szCs w:val="16"/>
                <w:highlight w:val="none"/>
              </w:rPr>
              <w:t xml:space="preserve"> 195</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1267"/>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5"/>
                <w:sz w:val="16"/>
                <w:szCs w:val="16"/>
                <w:highlight w:val="none"/>
              </w:rPr>
              <w:t xml:space="preserve">水</w:t>
            </w:r>
            <w:r>
              <w:rPr>
                <w:rFonts w:ascii="微软雅黑" w:hAnsi="微软雅黑" w:eastAsia="微软雅黑" w:cs="微软雅黑"/>
                <w:spacing w:val="12"/>
                <w:sz w:val="16"/>
                <w:szCs w:val="16"/>
                <w:highlight w:val="none"/>
              </w:rPr>
              <w:t xml:space="preserve">质    氨氮的测和    纳氏试剂分光光度法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5</w:t>
            </w:r>
            <w:r>
              <w:rPr>
                <w:rFonts w:ascii="微软雅黑" w:hAnsi="微软雅黑" w:eastAsia="微软雅黑" w:cs="微软雅黑"/>
                <w:spacing w:val="36"/>
                <w:sz w:val="16"/>
                <w:szCs w:val="16"/>
                <w:highlight w:val="none"/>
              </w:rPr>
              <w:t xml:space="preserve">35</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1356"/>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2"/>
                <w:sz w:val="16"/>
                <w:szCs w:val="16"/>
                <w:highlight w:val="none"/>
              </w:rPr>
              <w:t xml:space="preserve">水</w:t>
            </w:r>
            <w:r>
              <w:rPr>
                <w:rFonts w:ascii="微软雅黑" w:hAnsi="微软雅黑" w:eastAsia="微软雅黑" w:cs="微软雅黑"/>
                <w:spacing w:val="18"/>
                <w:sz w:val="16"/>
                <w:szCs w:val="16"/>
                <w:highlight w:val="none"/>
              </w:rPr>
              <w:t xml:space="preserve">质</w:t>
            </w:r>
            <w:r>
              <w:rPr>
                <w:rFonts w:ascii="微软雅黑" w:hAnsi="微软雅黑" w:eastAsia="微软雅黑" w:cs="微软雅黑"/>
                <w:spacing w:val="11"/>
                <w:sz w:val="16"/>
                <w:szCs w:val="16"/>
                <w:highlight w:val="none"/>
              </w:rPr>
              <w:t xml:space="preserve">    氨氮的测和    水杨酸分光光度法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5</w:t>
            </w:r>
            <w:r>
              <w:rPr>
                <w:rFonts w:ascii="微软雅黑" w:hAnsi="微软雅黑" w:eastAsia="微软雅黑" w:cs="微软雅黑"/>
                <w:spacing w:val="36"/>
                <w:sz w:val="16"/>
                <w:szCs w:val="16"/>
                <w:highlight w:val="none"/>
              </w:rPr>
              <w:t xml:space="preserve">36</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966"/>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0"/>
                <w:sz w:val="16"/>
                <w:szCs w:val="16"/>
                <w:highlight w:val="none"/>
              </w:rPr>
              <w:t xml:space="preserve">水</w:t>
            </w:r>
            <w:r>
              <w:rPr>
                <w:rFonts w:ascii="微软雅黑" w:hAnsi="微软雅黑" w:eastAsia="微软雅黑" w:cs="微软雅黑"/>
                <w:spacing w:val="12"/>
                <w:sz w:val="16"/>
                <w:szCs w:val="16"/>
                <w:highlight w:val="none"/>
              </w:rPr>
              <w:t xml:space="preserve">质    氨氮的测和    连续流动</w:t>
            </w:r>
            <w:r>
              <w:rPr>
                <w:rFonts w:ascii="微软雅黑" w:hAnsi="微软雅黑" w:eastAsia="微软雅黑" w:cs="微软雅黑"/>
                <w:spacing w:val="12"/>
                <w:position w:val="-1"/>
                <w:sz w:val="16"/>
                <w:szCs w:val="16"/>
                <w:highlight w:val="none"/>
              </w:rPr>
              <w:t xml:space="preserve">-</w:t>
            </w:r>
            <w:r>
              <w:rPr>
                <w:rFonts w:ascii="微软雅黑" w:hAnsi="微软雅黑" w:eastAsia="微软雅黑" w:cs="微软雅黑"/>
                <w:spacing w:val="12"/>
                <w:sz w:val="16"/>
                <w:szCs w:val="16"/>
                <w:highlight w:val="none"/>
              </w:rPr>
              <w:t xml:space="preserve">水杨酸分光光度法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65</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966"/>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0"/>
                <w:sz w:val="16"/>
                <w:szCs w:val="16"/>
                <w:highlight w:val="none"/>
              </w:rPr>
              <w:t xml:space="preserve">水</w:t>
            </w:r>
            <w:r>
              <w:rPr>
                <w:rFonts w:ascii="微软雅黑" w:hAnsi="微软雅黑" w:eastAsia="微软雅黑" w:cs="微软雅黑"/>
                <w:spacing w:val="12"/>
                <w:sz w:val="16"/>
                <w:szCs w:val="16"/>
                <w:highlight w:val="none"/>
              </w:rPr>
              <w:t xml:space="preserve">质    氨氮的测和    流动注射</w:t>
            </w:r>
            <w:r>
              <w:rPr>
                <w:rFonts w:ascii="微软雅黑" w:hAnsi="微软雅黑" w:eastAsia="微软雅黑" w:cs="微软雅黑"/>
                <w:spacing w:val="12"/>
                <w:position w:val="-1"/>
                <w:sz w:val="16"/>
                <w:szCs w:val="16"/>
                <w:highlight w:val="none"/>
              </w:rPr>
              <w:t xml:space="preserve">-</w:t>
            </w:r>
            <w:r>
              <w:rPr>
                <w:rFonts w:ascii="微软雅黑" w:hAnsi="微软雅黑" w:eastAsia="微软雅黑" w:cs="微软雅黑"/>
                <w:spacing w:val="12"/>
                <w:sz w:val="16"/>
                <w:szCs w:val="16"/>
                <w:highlight w:val="none"/>
              </w:rPr>
              <w:t xml:space="preserve">水杨酸分光光度法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66</w:t>
            </w:r>
            <w:r>
              <w:rPr>
                <w:highlight w:val="none"/>
              </w:rPr>
            </w:r>
            <w:r/>
          </w:p>
        </w:tc>
      </w:tr>
      <w:tr>
        <w:trPr>
          <w:trHeight w:val="356"/>
        </w:trPr>
        <w:tc>
          <w:tcPr>
            <w:tcW w:w="548" w:type="dxa"/>
            <w:vAlign w:val="top"/>
            <w:vMerge w:val="restart"/>
            <w:textDirection w:val="lrTb"/>
            <w:noWrap w:val="false"/>
          </w:tcPr>
          <w:p>
            <w:pPr>
              <w:pStyle w:val="1008"/>
              <w:spacing w:line="360" w:lineRule="auto"/>
              <w:rPr>
                <w:rFonts w:ascii="Arial"/>
                <w:highlight w:val="none"/>
              </w:rPr>
            </w:pPr>
            <w:r>
              <w:rPr>
                <w:rFonts w:ascii="Arial"/>
                <w:highlight w:val="none"/>
              </w:rPr>
            </w:r>
            <w:r>
              <w:rPr>
                <w:highlight w:val="none"/>
              </w:rPr>
            </w:r>
            <w:r/>
          </w:p>
          <w:p>
            <w:pPr>
              <w:pStyle w:val="1008"/>
              <w:spacing w:line="360" w:lineRule="auto"/>
              <w:rPr>
                <w:rFonts w:ascii="Arial"/>
                <w:highlight w:val="none"/>
              </w:rPr>
            </w:pPr>
            <w:r>
              <w:rPr>
                <w:rFonts w:ascii="Arial"/>
                <w:highlight w:val="none"/>
              </w:rPr>
            </w:r>
            <w:r>
              <w:rPr>
                <w:highlight w:val="none"/>
              </w:rPr>
            </w:r>
            <w:r/>
          </w:p>
          <w:p>
            <w:pPr>
              <w:pStyle w:val="1008"/>
              <w:ind w:left="231"/>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0"/>
                <w:sz w:val="16"/>
                <w:szCs w:val="16"/>
                <w:highlight w:val="none"/>
              </w:rPr>
              <w:t xml:space="preserve">3</w:t>
            </w:r>
            <w:r>
              <w:rPr>
                <w:highlight w:val="none"/>
              </w:rPr>
            </w:r>
            <w:r/>
          </w:p>
        </w:tc>
        <w:tc>
          <w:tcPr>
            <w:tcW w:w="1622" w:type="dxa"/>
            <w:vAlign w:val="top"/>
            <w:vMerge w:val="restart"/>
            <w:textDirection w:val="lrTb"/>
            <w:noWrap w:val="false"/>
          </w:tcPr>
          <w:p>
            <w:pPr>
              <w:pStyle w:val="1008"/>
              <w:jc w:val="center"/>
              <w:spacing w:line="360" w:lineRule="auto"/>
              <w:rPr>
                <w:rFonts w:ascii="Arial"/>
                <w:highlight w:val="none"/>
              </w:rPr>
            </w:pPr>
            <w:r>
              <w:rPr>
                <w:rFonts w:ascii="Arial"/>
                <w:highlight w:val="none"/>
              </w:rPr>
            </w:r>
            <w:r>
              <w:rPr>
                <w:highlight w:val="none"/>
              </w:rPr>
            </w:r>
            <w:r/>
          </w:p>
          <w:p>
            <w:pPr>
              <w:pStyle w:val="1008"/>
              <w:jc w:val="center"/>
              <w:spacing w:line="360" w:lineRule="auto"/>
              <w:rPr>
                <w:rFonts w:ascii="Arial"/>
                <w:highlight w:val="none"/>
              </w:rPr>
            </w:pPr>
            <w:r>
              <w:rPr>
                <w:rFonts w:ascii="Arial"/>
                <w:highlight w:val="none"/>
              </w:rPr>
            </w:r>
            <w:r>
              <w:rPr>
                <w:highlight w:val="none"/>
              </w:rPr>
            </w:r>
            <w:r/>
          </w:p>
          <w:p>
            <w:pPr>
              <w:pStyle w:val="1008"/>
              <w:ind w:left="256"/>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41"/>
                <w:sz w:val="16"/>
                <w:szCs w:val="16"/>
                <w:highlight w:val="none"/>
              </w:rPr>
              <w:t xml:space="preserve">总</w:t>
            </w:r>
            <w:r>
              <w:rPr>
                <w:rFonts w:ascii="微软雅黑" w:hAnsi="微软雅黑" w:eastAsia="微软雅黑" w:cs="微软雅黑"/>
                <w:spacing w:val="37"/>
                <w:sz w:val="16"/>
                <w:szCs w:val="16"/>
                <w:highlight w:val="none"/>
              </w:rPr>
              <w:t xml:space="preserve">氮(以</w:t>
            </w:r>
            <w:r>
              <w:rPr>
                <w:rFonts w:ascii="微软雅黑" w:hAnsi="微软雅黑" w:eastAsia="微软雅黑" w:cs="微软雅黑"/>
                <w:sz w:val="16"/>
                <w:szCs w:val="16"/>
                <w:highlight w:val="none"/>
              </w:rPr>
              <w:t xml:space="preserve">N</w:t>
            </w:r>
            <w:r>
              <w:rPr>
                <w:rFonts w:ascii="微软雅黑" w:hAnsi="微软雅黑" w:eastAsia="微软雅黑" w:cs="微软雅黑"/>
                <w:spacing w:val="37"/>
                <w:sz w:val="16"/>
                <w:szCs w:val="16"/>
                <w:highlight w:val="none"/>
              </w:rPr>
              <w:t xml:space="preserve">计)</w:t>
            </w:r>
            <w:r>
              <w:rPr>
                <w:highlight w:val="none"/>
              </w:rPr>
            </w:r>
            <w:r/>
          </w:p>
        </w:tc>
        <w:tc>
          <w:tcPr>
            <w:tcW w:w="5766" w:type="dxa"/>
            <w:vAlign w:val="top"/>
            <w:textDirection w:val="lrTb"/>
            <w:noWrap w:val="false"/>
          </w:tcPr>
          <w:p>
            <w:pPr>
              <w:pStyle w:val="1008"/>
              <w:ind w:left="1267"/>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5"/>
                <w:sz w:val="16"/>
                <w:szCs w:val="16"/>
                <w:highlight w:val="none"/>
              </w:rPr>
              <w:t xml:space="preserve">水</w:t>
            </w:r>
            <w:r>
              <w:rPr>
                <w:rFonts w:ascii="微软雅黑" w:hAnsi="微软雅黑" w:eastAsia="微软雅黑" w:cs="微软雅黑"/>
                <w:spacing w:val="12"/>
                <w:sz w:val="16"/>
                <w:szCs w:val="16"/>
                <w:highlight w:val="none"/>
              </w:rPr>
              <w:t xml:space="preserve">质    总氮的测和    气相分子吸收光谱法</w:t>
            </w:r>
            <w:r>
              <w:rPr>
                <w:highlight w:val="none"/>
              </w:rPr>
            </w:r>
            <w:r/>
          </w:p>
        </w:tc>
        <w:tc>
          <w:tcPr>
            <w:tcW w:w="1286" w:type="dxa"/>
            <w:vAlign w:val="top"/>
            <w:textDirection w:val="lrTb"/>
            <w:noWrap w:val="false"/>
          </w:tcPr>
          <w:p>
            <w:pPr>
              <w:pStyle w:val="1008"/>
              <w:ind w:left="277"/>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25"/>
                <w:sz w:val="16"/>
                <w:szCs w:val="16"/>
                <w:highlight w:val="none"/>
              </w:rPr>
              <w:t xml:space="preserve">/</w:t>
            </w:r>
            <w:r>
              <w:rPr>
                <w:rFonts w:ascii="微软雅黑" w:hAnsi="微软雅黑" w:eastAsia="微软雅黑" w:cs="微软雅黑"/>
                <w:sz w:val="16"/>
                <w:szCs w:val="16"/>
                <w:highlight w:val="none"/>
              </w:rPr>
              <w:t xml:space="preserve">T</w:t>
            </w:r>
            <w:r>
              <w:rPr>
                <w:rFonts w:ascii="微软雅黑" w:hAnsi="微软雅黑" w:eastAsia="微软雅黑" w:cs="微软雅黑"/>
                <w:spacing w:val="23"/>
                <w:sz w:val="16"/>
                <w:szCs w:val="16"/>
                <w:highlight w:val="none"/>
              </w:rPr>
              <w:t xml:space="preserve"> 199</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725"/>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4"/>
                <w:sz w:val="16"/>
                <w:szCs w:val="16"/>
                <w:highlight w:val="none"/>
              </w:rPr>
              <w:t xml:space="preserve">水质    总氮的测和    碱性过硫酸钾消解紫外分光光度</w:t>
            </w:r>
            <w:r>
              <w:rPr>
                <w:rFonts w:ascii="微软雅黑" w:hAnsi="微软雅黑" w:eastAsia="微软雅黑" w:cs="微软雅黑"/>
                <w:spacing w:val="8"/>
                <w:sz w:val="16"/>
                <w:szCs w:val="16"/>
                <w:highlight w:val="none"/>
              </w:rPr>
              <w:t xml:space="preserve">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36</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694"/>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5"/>
                <w:sz w:val="16"/>
                <w:szCs w:val="16"/>
                <w:highlight w:val="none"/>
              </w:rPr>
              <w:t xml:space="preserve">水</w:t>
            </w:r>
            <w:r>
              <w:rPr>
                <w:rFonts w:ascii="微软雅黑" w:hAnsi="微软雅黑" w:eastAsia="微软雅黑" w:cs="微软雅黑"/>
                <w:spacing w:val="13"/>
                <w:sz w:val="16"/>
                <w:szCs w:val="16"/>
                <w:highlight w:val="none"/>
              </w:rPr>
              <w:t xml:space="preserve">质    总氮的测和    连续流动</w:t>
            </w:r>
            <w:r>
              <w:rPr>
                <w:rFonts w:ascii="微软雅黑" w:hAnsi="微软雅黑" w:eastAsia="微软雅黑" w:cs="微软雅黑"/>
                <w:spacing w:val="13"/>
                <w:position w:val="-1"/>
                <w:sz w:val="16"/>
                <w:szCs w:val="16"/>
                <w:highlight w:val="none"/>
              </w:rPr>
              <w:t xml:space="preserve">-</w:t>
            </w:r>
            <w:r>
              <w:rPr>
                <w:rFonts w:ascii="微软雅黑" w:hAnsi="微软雅黑" w:eastAsia="微软雅黑" w:cs="微软雅黑"/>
                <w:spacing w:val="13"/>
                <w:sz w:val="16"/>
                <w:szCs w:val="16"/>
                <w:highlight w:val="none"/>
              </w:rPr>
              <w:t xml:space="preserve">盐酸蔡乙二胺分光光度法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67</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694"/>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5"/>
                <w:sz w:val="16"/>
                <w:szCs w:val="16"/>
                <w:highlight w:val="none"/>
              </w:rPr>
              <w:t xml:space="preserve">水</w:t>
            </w:r>
            <w:r>
              <w:rPr>
                <w:rFonts w:ascii="微软雅黑" w:hAnsi="微软雅黑" w:eastAsia="微软雅黑" w:cs="微软雅黑"/>
                <w:spacing w:val="13"/>
                <w:sz w:val="16"/>
                <w:szCs w:val="16"/>
                <w:highlight w:val="none"/>
              </w:rPr>
              <w:t xml:space="preserve">质    总氮的测和    流动注射</w:t>
            </w:r>
            <w:r>
              <w:rPr>
                <w:rFonts w:ascii="微软雅黑" w:hAnsi="微软雅黑" w:eastAsia="微软雅黑" w:cs="微软雅黑"/>
                <w:spacing w:val="13"/>
                <w:position w:val="-1"/>
                <w:sz w:val="16"/>
                <w:szCs w:val="16"/>
                <w:highlight w:val="none"/>
              </w:rPr>
              <w:t xml:space="preserve">-</w:t>
            </w:r>
            <w:r>
              <w:rPr>
                <w:rFonts w:ascii="微软雅黑" w:hAnsi="微软雅黑" w:eastAsia="微软雅黑" w:cs="微软雅黑"/>
                <w:spacing w:val="13"/>
                <w:sz w:val="16"/>
                <w:szCs w:val="16"/>
                <w:highlight w:val="none"/>
              </w:rPr>
              <w:t xml:space="preserve">盐酸蔡乙二胺分光光度法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68</w:t>
            </w:r>
            <w:r>
              <w:rPr>
                <w:highlight w:val="none"/>
              </w:rPr>
            </w:r>
            <w:r/>
          </w:p>
        </w:tc>
      </w:tr>
      <w:tr>
        <w:trPr>
          <w:trHeight w:val="356"/>
        </w:trPr>
        <w:tc>
          <w:tcPr>
            <w:tcW w:w="548" w:type="dxa"/>
            <w:vAlign w:val="top"/>
            <w:vMerge w:val="restart"/>
            <w:textDirection w:val="lrTb"/>
            <w:noWrap w:val="false"/>
          </w:tcPr>
          <w:p>
            <w:pPr>
              <w:pStyle w:val="1008"/>
              <w:spacing w:line="360" w:lineRule="auto"/>
              <w:rPr>
                <w:rFonts w:ascii="Arial"/>
                <w:highlight w:val="none"/>
              </w:rPr>
            </w:pPr>
            <w:r>
              <w:rPr>
                <w:rFonts w:ascii="Arial"/>
                <w:highlight w:val="none"/>
              </w:rPr>
            </w:r>
            <w:r>
              <w:rPr>
                <w:highlight w:val="none"/>
              </w:rPr>
            </w:r>
            <w:r/>
          </w:p>
          <w:p>
            <w:pPr>
              <w:pStyle w:val="1008"/>
              <w:ind w:left="229"/>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2"/>
                <w:sz w:val="16"/>
                <w:szCs w:val="16"/>
                <w:highlight w:val="none"/>
              </w:rPr>
              <w:t xml:space="preserve">4</w:t>
            </w:r>
            <w:r>
              <w:rPr>
                <w:highlight w:val="none"/>
              </w:rPr>
            </w:r>
            <w:r/>
          </w:p>
        </w:tc>
        <w:tc>
          <w:tcPr>
            <w:tcW w:w="1622" w:type="dxa"/>
            <w:vAlign w:val="top"/>
            <w:vMerge w:val="restart"/>
            <w:textDirection w:val="lrTb"/>
            <w:noWrap w:val="false"/>
          </w:tcPr>
          <w:p>
            <w:pPr>
              <w:pStyle w:val="1008"/>
              <w:jc w:val="center"/>
              <w:spacing w:line="360" w:lineRule="auto"/>
              <w:rPr>
                <w:rFonts w:ascii="Arial"/>
                <w:highlight w:val="none"/>
              </w:rPr>
            </w:pPr>
            <w:r>
              <w:rPr>
                <w:rFonts w:ascii="Arial"/>
                <w:highlight w:val="none"/>
              </w:rPr>
            </w:r>
            <w:r>
              <w:rPr>
                <w:highlight w:val="none"/>
              </w:rPr>
            </w:r>
            <w:r/>
          </w:p>
          <w:p>
            <w:pPr>
              <w:pStyle w:val="1008"/>
              <w:ind w:left="270"/>
              <w:jc w:val="center"/>
              <w:spacing w:line="360" w:lineRule="auto"/>
              <w:rPr>
                <w:rFonts w:ascii="微软雅黑" w:hAnsi="微软雅黑" w:eastAsia="微软雅黑" w:cs="微软雅黑"/>
                <w:spacing w:val="38"/>
                <w:sz w:val="16"/>
                <w:szCs w:val="16"/>
                <w:highlight w:val="none"/>
              </w:rPr>
            </w:pPr>
            <w:r>
              <w:rPr>
                <w:rFonts w:ascii="微软雅黑" w:hAnsi="微软雅黑" w:eastAsia="微软雅黑" w:cs="微软雅黑"/>
                <w:spacing w:val="40"/>
                <w:sz w:val="16"/>
                <w:szCs w:val="16"/>
                <w:highlight w:val="none"/>
              </w:rPr>
              <w:t xml:space="preserve">总</w:t>
            </w:r>
            <w:r>
              <w:rPr>
                <w:rFonts w:ascii="微软雅黑" w:hAnsi="微软雅黑" w:eastAsia="微软雅黑" w:cs="微软雅黑"/>
                <w:spacing w:val="38"/>
                <w:sz w:val="16"/>
                <w:szCs w:val="16"/>
                <w:highlight w:val="none"/>
              </w:rPr>
              <w:t xml:space="preserve">磷</w:t>
            </w:r>
            <w:r>
              <w:rPr>
                <w:highlight w:val="none"/>
              </w:rPr>
            </w:r>
            <w:r/>
          </w:p>
          <w:p>
            <w:pPr>
              <w:pStyle w:val="1008"/>
              <w:ind w:left="270"/>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38"/>
                <w:sz w:val="16"/>
                <w:szCs w:val="16"/>
                <w:highlight w:val="none"/>
              </w:rPr>
              <w:t xml:space="preserve">(以 </w:t>
            </w:r>
            <w:r>
              <w:rPr>
                <w:rFonts w:ascii="微软雅黑" w:hAnsi="微软雅黑" w:eastAsia="微软雅黑" w:cs="微软雅黑"/>
                <w:sz w:val="16"/>
                <w:szCs w:val="16"/>
                <w:highlight w:val="none"/>
              </w:rPr>
              <w:t xml:space="preserve">P</w:t>
            </w:r>
            <w:r>
              <w:rPr>
                <w:rFonts w:ascii="微软雅黑" w:hAnsi="微软雅黑" w:eastAsia="微软雅黑" w:cs="微软雅黑"/>
                <w:spacing w:val="38"/>
                <w:sz w:val="16"/>
                <w:szCs w:val="16"/>
                <w:highlight w:val="none"/>
              </w:rPr>
              <w:t xml:space="preserve">计)</w:t>
            </w:r>
            <w:r>
              <w:rPr>
                <w:highlight w:val="none"/>
              </w:rPr>
            </w:r>
            <w:r/>
          </w:p>
        </w:tc>
        <w:tc>
          <w:tcPr>
            <w:tcW w:w="5766" w:type="dxa"/>
            <w:vAlign w:val="top"/>
            <w:textDirection w:val="lrTb"/>
            <w:noWrap w:val="false"/>
          </w:tcPr>
          <w:p>
            <w:pPr>
              <w:pStyle w:val="1008"/>
              <w:ind w:left="1356"/>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2"/>
                <w:sz w:val="16"/>
                <w:szCs w:val="16"/>
                <w:highlight w:val="none"/>
              </w:rPr>
              <w:t xml:space="preserve">水</w:t>
            </w:r>
            <w:r>
              <w:rPr>
                <w:rFonts w:ascii="微软雅黑" w:hAnsi="微软雅黑" w:eastAsia="微软雅黑" w:cs="微软雅黑"/>
                <w:spacing w:val="18"/>
                <w:sz w:val="16"/>
                <w:szCs w:val="16"/>
                <w:highlight w:val="none"/>
              </w:rPr>
              <w:t xml:space="preserve">质</w:t>
            </w:r>
            <w:r>
              <w:rPr>
                <w:rFonts w:ascii="微软雅黑" w:hAnsi="微软雅黑" w:eastAsia="微软雅黑" w:cs="微软雅黑"/>
                <w:spacing w:val="11"/>
                <w:sz w:val="16"/>
                <w:szCs w:val="16"/>
                <w:highlight w:val="none"/>
              </w:rPr>
              <w:t xml:space="preserve">    总磷的测和    钼酸铵分光光度法</w:t>
            </w:r>
            <w:r>
              <w:rPr>
                <w:highlight w:val="none"/>
              </w:rPr>
            </w:r>
            <w:r/>
          </w:p>
        </w:tc>
        <w:tc>
          <w:tcPr>
            <w:tcW w:w="1286" w:type="dxa"/>
            <w:vAlign w:val="top"/>
            <w:textDirection w:val="lrTb"/>
            <w:noWrap w:val="false"/>
          </w:tcPr>
          <w:p>
            <w:pPr>
              <w:pStyle w:val="1008"/>
              <w:ind w:left="17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GB</w:t>
            </w:r>
            <w:r>
              <w:rPr>
                <w:rFonts w:ascii="微软雅黑" w:hAnsi="微软雅黑" w:eastAsia="微软雅黑" w:cs="微软雅黑"/>
                <w:spacing w:val="15"/>
                <w:sz w:val="16"/>
                <w:szCs w:val="16"/>
                <w:highlight w:val="none"/>
              </w:rPr>
              <w:t xml:space="preserve">/</w:t>
            </w:r>
            <w:r>
              <w:rPr>
                <w:rFonts w:ascii="微软雅黑" w:hAnsi="微软雅黑" w:eastAsia="微软雅黑" w:cs="微软雅黑"/>
                <w:sz w:val="16"/>
                <w:szCs w:val="16"/>
                <w:highlight w:val="none"/>
              </w:rPr>
              <w:t xml:space="preserve">T</w:t>
            </w:r>
            <w:r>
              <w:rPr>
                <w:rFonts w:ascii="微软雅黑" w:hAnsi="微软雅黑" w:eastAsia="微软雅黑" w:cs="微软雅黑"/>
                <w:spacing w:val="13"/>
                <w:sz w:val="16"/>
                <w:szCs w:val="16"/>
                <w:highlight w:val="none"/>
              </w:rPr>
              <w:t xml:space="preserve"> 11893</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605"/>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2"/>
                <w:sz w:val="16"/>
                <w:szCs w:val="16"/>
                <w:highlight w:val="none"/>
              </w:rPr>
              <w:t xml:space="preserve">水</w:t>
            </w:r>
            <w:r>
              <w:rPr>
                <w:rFonts w:ascii="微软雅黑" w:hAnsi="微软雅黑" w:eastAsia="微软雅黑" w:cs="微软雅黑"/>
                <w:spacing w:val="13"/>
                <w:sz w:val="16"/>
                <w:szCs w:val="16"/>
                <w:highlight w:val="none"/>
              </w:rPr>
              <w:t xml:space="preserve">质    磷酸盐件总磷的测和   连续流动</w:t>
            </w:r>
            <w:r>
              <w:rPr>
                <w:rFonts w:ascii="微软雅黑" w:hAnsi="微软雅黑" w:eastAsia="微软雅黑" w:cs="微软雅黑"/>
                <w:spacing w:val="13"/>
                <w:position w:val="-1"/>
                <w:sz w:val="16"/>
                <w:szCs w:val="16"/>
                <w:highlight w:val="none"/>
              </w:rPr>
              <w:t xml:space="preserve">-</w:t>
            </w:r>
            <w:r>
              <w:rPr>
                <w:rFonts w:ascii="微软雅黑" w:hAnsi="微软雅黑" w:eastAsia="微软雅黑" w:cs="微软雅黑"/>
                <w:spacing w:val="13"/>
                <w:sz w:val="16"/>
                <w:szCs w:val="16"/>
                <w:highlight w:val="none"/>
              </w:rPr>
              <w:t xml:space="preserve">钼酸铵分光光度法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70</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966"/>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0"/>
                <w:sz w:val="16"/>
                <w:szCs w:val="16"/>
                <w:highlight w:val="none"/>
              </w:rPr>
              <w:t xml:space="preserve">水</w:t>
            </w:r>
            <w:r>
              <w:rPr>
                <w:rFonts w:ascii="微软雅黑" w:hAnsi="微软雅黑" w:eastAsia="微软雅黑" w:cs="微软雅黑"/>
                <w:spacing w:val="12"/>
                <w:sz w:val="16"/>
                <w:szCs w:val="16"/>
                <w:highlight w:val="none"/>
              </w:rPr>
              <w:t xml:space="preserve">质    总磷的测和    流动注射</w:t>
            </w:r>
            <w:r>
              <w:rPr>
                <w:rFonts w:ascii="微软雅黑" w:hAnsi="微软雅黑" w:eastAsia="微软雅黑" w:cs="微软雅黑"/>
                <w:spacing w:val="12"/>
                <w:position w:val="-1"/>
                <w:sz w:val="16"/>
                <w:szCs w:val="16"/>
                <w:highlight w:val="none"/>
              </w:rPr>
              <w:t xml:space="preserve">-</w:t>
            </w:r>
            <w:r>
              <w:rPr>
                <w:rFonts w:ascii="微软雅黑" w:hAnsi="微软雅黑" w:eastAsia="微软雅黑" w:cs="微软雅黑"/>
                <w:spacing w:val="12"/>
                <w:sz w:val="16"/>
                <w:szCs w:val="16"/>
                <w:highlight w:val="none"/>
              </w:rPr>
              <w:t xml:space="preserve">钼酸铵分光光度法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71</w:t>
            </w:r>
            <w:r>
              <w:rPr>
                <w:highlight w:val="none"/>
              </w:rPr>
            </w:r>
            <w:r/>
          </w:p>
        </w:tc>
      </w:tr>
      <w:tr>
        <w:trPr>
          <w:trHeight w:val="354"/>
        </w:trPr>
        <w:tc>
          <w:tcPr>
            <w:tcW w:w="548" w:type="dxa"/>
            <w:vAlign w:val="top"/>
            <w:textDirection w:val="lrTb"/>
            <w:noWrap w:val="false"/>
          </w:tcPr>
          <w:p>
            <w:pPr>
              <w:pStyle w:val="1008"/>
              <w:ind w:left="232"/>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9"/>
                <w:sz w:val="16"/>
                <w:szCs w:val="16"/>
                <w:highlight w:val="none"/>
              </w:rPr>
              <w:t xml:space="preserve">5</w:t>
            </w:r>
            <w:r>
              <w:rPr>
                <w:highlight w:val="none"/>
              </w:rPr>
            </w:r>
            <w:r/>
          </w:p>
        </w:tc>
        <w:tc>
          <w:tcPr>
            <w:tcW w:w="1622" w:type="dxa"/>
            <w:vAlign w:val="top"/>
            <w:textDirection w:val="lrTb"/>
            <w:noWrap w:val="false"/>
          </w:tcPr>
          <w:p>
            <w:pPr>
              <w:pStyle w:val="1008"/>
              <w:ind w:left="356"/>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43"/>
                <w:sz w:val="16"/>
                <w:szCs w:val="16"/>
                <w:highlight w:val="none"/>
              </w:rPr>
              <w:t xml:space="preserve">悬</w:t>
            </w:r>
            <w:r>
              <w:rPr>
                <w:rFonts w:ascii="微软雅黑" w:hAnsi="微软雅黑" w:eastAsia="微软雅黑" w:cs="微软雅黑"/>
                <w:spacing w:val="42"/>
                <w:sz w:val="16"/>
                <w:szCs w:val="16"/>
                <w:highlight w:val="none"/>
              </w:rPr>
              <w:t xml:space="preserve">浮物(</w:t>
            </w:r>
            <w:r>
              <w:rPr>
                <w:rFonts w:ascii="微软雅黑" w:hAnsi="微软雅黑" w:eastAsia="微软雅黑" w:cs="微软雅黑"/>
                <w:sz w:val="16"/>
                <w:szCs w:val="16"/>
                <w:highlight w:val="none"/>
              </w:rPr>
              <w:t xml:space="preserve">SS</w:t>
            </w:r>
            <w:r>
              <w:rPr>
                <w:rFonts w:ascii="微软雅黑" w:hAnsi="微软雅黑" w:eastAsia="微软雅黑" w:cs="微软雅黑"/>
                <w:spacing w:val="42"/>
                <w:sz w:val="16"/>
                <w:szCs w:val="16"/>
                <w:highlight w:val="none"/>
              </w:rPr>
              <w:t xml:space="preserve">)</w:t>
            </w:r>
            <w:r>
              <w:rPr>
                <w:highlight w:val="none"/>
              </w:rPr>
            </w:r>
            <w:r/>
          </w:p>
        </w:tc>
        <w:tc>
          <w:tcPr>
            <w:tcW w:w="5766" w:type="dxa"/>
            <w:vAlign w:val="top"/>
            <w:textDirection w:val="lrTb"/>
            <w:noWrap w:val="false"/>
          </w:tcPr>
          <w:p>
            <w:pPr>
              <w:pStyle w:val="1008"/>
              <w:ind w:left="1717"/>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0"/>
                <w:sz w:val="16"/>
                <w:szCs w:val="16"/>
                <w:highlight w:val="none"/>
              </w:rPr>
              <w:t xml:space="preserve">水质    悬浮物的测和    重量</w:t>
            </w:r>
            <w:r>
              <w:rPr>
                <w:rFonts w:ascii="微软雅黑" w:hAnsi="微软雅黑" w:eastAsia="微软雅黑" w:cs="微软雅黑"/>
                <w:spacing w:val="9"/>
                <w:sz w:val="16"/>
                <w:szCs w:val="16"/>
                <w:highlight w:val="none"/>
              </w:rPr>
              <w:t xml:space="preserve">法</w:t>
            </w:r>
            <w:r>
              <w:rPr>
                <w:highlight w:val="none"/>
              </w:rPr>
            </w:r>
            <w:r/>
          </w:p>
        </w:tc>
        <w:tc>
          <w:tcPr>
            <w:tcW w:w="1286" w:type="dxa"/>
            <w:vAlign w:val="top"/>
            <w:textDirection w:val="lrTb"/>
            <w:noWrap w:val="false"/>
          </w:tcPr>
          <w:p>
            <w:pPr>
              <w:pStyle w:val="1008"/>
              <w:ind w:left="17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GB</w:t>
            </w:r>
            <w:r>
              <w:rPr>
                <w:rFonts w:ascii="微软雅黑" w:hAnsi="微软雅黑" w:eastAsia="微软雅黑" w:cs="微软雅黑"/>
                <w:spacing w:val="15"/>
                <w:sz w:val="16"/>
                <w:szCs w:val="16"/>
                <w:highlight w:val="none"/>
              </w:rPr>
              <w:t xml:space="preserve">/</w:t>
            </w:r>
            <w:r>
              <w:rPr>
                <w:rFonts w:ascii="微软雅黑" w:hAnsi="微软雅黑" w:eastAsia="微软雅黑" w:cs="微软雅黑"/>
                <w:sz w:val="16"/>
                <w:szCs w:val="16"/>
                <w:highlight w:val="none"/>
              </w:rPr>
              <w:t xml:space="preserve">T</w:t>
            </w:r>
            <w:r>
              <w:rPr>
                <w:rFonts w:ascii="微软雅黑" w:hAnsi="微软雅黑" w:eastAsia="微软雅黑" w:cs="微软雅黑"/>
                <w:spacing w:val="13"/>
                <w:sz w:val="16"/>
                <w:szCs w:val="16"/>
                <w:highlight w:val="none"/>
              </w:rPr>
              <w:t xml:space="preserve"> 11901</w:t>
            </w:r>
            <w:r>
              <w:rPr>
                <w:highlight w:val="none"/>
              </w:rPr>
            </w:r>
            <w:r/>
          </w:p>
        </w:tc>
      </w:tr>
      <w:tr>
        <w:trPr>
          <w:trHeight w:val="359"/>
        </w:trPr>
        <w:tc>
          <w:tcPr>
            <w:tcW w:w="548" w:type="dxa"/>
            <w:vAlign w:val="top"/>
            <w:textDirection w:val="lrTb"/>
            <w:noWrap w:val="false"/>
          </w:tcPr>
          <w:p>
            <w:pPr>
              <w:pStyle w:val="1008"/>
              <w:ind w:left="233"/>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8"/>
                <w:sz w:val="16"/>
                <w:szCs w:val="16"/>
                <w:highlight w:val="none"/>
              </w:rPr>
              <w:t xml:space="preserve">6</w:t>
            </w:r>
            <w:r>
              <w:rPr>
                <w:highlight w:val="none"/>
              </w:rPr>
            </w:r>
            <w:r/>
          </w:p>
        </w:tc>
        <w:tc>
          <w:tcPr>
            <w:tcW w:w="1622" w:type="dxa"/>
            <w:vAlign w:val="top"/>
            <w:textDirection w:val="lrTb"/>
            <w:noWrap w:val="false"/>
          </w:tcPr>
          <w:p>
            <w:pPr>
              <w:pStyle w:val="1008"/>
              <w:ind w:left="52"/>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5"/>
                <w:sz w:val="16"/>
                <w:szCs w:val="16"/>
                <w:highlight w:val="none"/>
              </w:rPr>
              <w:t xml:space="preserve">生化需氧量(</w:t>
            </w:r>
            <w:r>
              <w:rPr>
                <w:rFonts w:ascii="微软雅黑" w:hAnsi="微软雅黑" w:eastAsia="微软雅黑" w:cs="微软雅黑"/>
                <w:sz w:val="16"/>
                <w:szCs w:val="16"/>
                <w:highlight w:val="none"/>
              </w:rPr>
              <w:t xml:space="preserve">BOD</w:t>
            </w:r>
            <w:r>
              <w:rPr>
                <w:rFonts w:ascii="微软雅黑" w:hAnsi="微软雅黑" w:eastAsia="微软雅黑" w:cs="微软雅黑"/>
                <w:spacing w:val="25"/>
                <w:position w:val="-2"/>
                <w:sz w:val="9"/>
                <w:szCs w:val="9"/>
                <w:highlight w:val="none"/>
              </w:rPr>
              <w:t xml:space="preserve"> </w:t>
            </w:r>
            <w:r>
              <w:rPr>
                <w:rFonts w:ascii="微软雅黑" w:hAnsi="微软雅黑" w:eastAsia="微软雅黑" w:cs="微软雅黑"/>
                <w:spacing w:val="25"/>
                <w:position w:val="1"/>
                <w:sz w:val="16"/>
                <w:szCs w:val="16"/>
                <w:highlight w:val="none"/>
              </w:rPr>
              <w:t xml:space="preserve">)</w:t>
            </w:r>
            <w:r>
              <w:rPr>
                <w:highlight w:val="none"/>
              </w:rPr>
            </w:r>
            <w:r/>
          </w:p>
        </w:tc>
        <w:tc>
          <w:tcPr>
            <w:tcW w:w="5766" w:type="dxa"/>
            <w:vAlign w:val="top"/>
            <w:textDirection w:val="lrTb"/>
            <w:noWrap w:val="false"/>
          </w:tcPr>
          <w:p>
            <w:pPr>
              <w:pStyle w:val="1008"/>
              <w:ind w:left="774"/>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4"/>
                <w:sz w:val="16"/>
                <w:szCs w:val="16"/>
                <w:highlight w:val="none"/>
              </w:rPr>
              <w:t xml:space="preserve">水质    五日生化需氧量(</w:t>
            </w:r>
            <w:r>
              <w:rPr>
                <w:rFonts w:ascii="微软雅黑" w:hAnsi="微软雅黑" w:eastAsia="微软雅黑" w:cs="微软雅黑"/>
                <w:sz w:val="16"/>
                <w:szCs w:val="16"/>
                <w:highlight w:val="none"/>
              </w:rPr>
              <w:t xml:space="preserve">BOD</w:t>
            </w:r>
            <w:r>
              <w:rPr>
                <w:rFonts w:ascii="微软雅黑" w:hAnsi="微软雅黑" w:eastAsia="微软雅黑" w:cs="微软雅黑"/>
                <w:spacing w:val="14"/>
                <w:position w:val="-2"/>
                <w:sz w:val="9"/>
                <w:szCs w:val="9"/>
                <w:highlight w:val="none"/>
              </w:rPr>
              <w:t xml:space="preserve"> </w:t>
            </w:r>
            <w:r>
              <w:rPr>
                <w:rFonts w:ascii="微软雅黑" w:hAnsi="微软雅黑" w:eastAsia="微软雅黑" w:cs="微软雅黑"/>
                <w:spacing w:val="14"/>
                <w:sz w:val="16"/>
                <w:szCs w:val="16"/>
                <w:highlight w:val="none"/>
              </w:rPr>
              <w:t xml:space="preserve">)的测和    稀释与接种</w:t>
            </w:r>
            <w:r>
              <w:rPr>
                <w:rFonts w:ascii="微软雅黑" w:hAnsi="微软雅黑" w:eastAsia="微软雅黑" w:cs="微软雅黑"/>
                <w:spacing w:val="12"/>
                <w:sz w:val="16"/>
                <w:szCs w:val="16"/>
                <w:highlight w:val="none"/>
              </w:rPr>
              <w:t xml:space="preserve">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5</w:t>
            </w:r>
            <w:r>
              <w:rPr>
                <w:rFonts w:ascii="微软雅黑" w:hAnsi="微软雅黑" w:eastAsia="微软雅黑" w:cs="微软雅黑"/>
                <w:spacing w:val="36"/>
                <w:sz w:val="16"/>
                <w:szCs w:val="16"/>
                <w:highlight w:val="none"/>
              </w:rPr>
              <w:t xml:space="preserve">05</w:t>
            </w:r>
            <w:r>
              <w:rPr>
                <w:highlight w:val="none"/>
              </w:rPr>
            </w:r>
            <w:r/>
          </w:p>
        </w:tc>
      </w:tr>
      <w:tr>
        <w:trPr>
          <w:trHeight w:val="604"/>
        </w:trPr>
        <w:tc>
          <w:tcPr>
            <w:tcW w:w="548" w:type="dxa"/>
            <w:vAlign w:val="top"/>
            <w:textDirection w:val="lrTb"/>
            <w:noWrap w:val="false"/>
          </w:tcPr>
          <w:p>
            <w:pPr>
              <w:pStyle w:val="1008"/>
              <w:ind w:left="232"/>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9"/>
                <w:sz w:val="16"/>
                <w:szCs w:val="16"/>
                <w:highlight w:val="none"/>
              </w:rPr>
              <w:t xml:space="preserve">7</w:t>
            </w:r>
            <w:r>
              <w:rPr>
                <w:highlight w:val="none"/>
              </w:rPr>
            </w:r>
            <w:r/>
          </w:p>
        </w:tc>
        <w:tc>
          <w:tcPr>
            <w:tcW w:w="1622" w:type="dxa"/>
            <w:vAlign w:val="top"/>
            <w:textDirection w:val="lrTb"/>
            <w:noWrap w:val="false"/>
          </w:tcPr>
          <w:p>
            <w:pPr>
              <w:pStyle w:val="1008"/>
              <w:ind w:left="365"/>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6"/>
                <w:sz w:val="16"/>
                <w:szCs w:val="16"/>
                <w:highlight w:val="none"/>
              </w:rPr>
              <w:t xml:space="preserve">动植物油类</w:t>
            </w:r>
            <w:r>
              <w:rPr>
                <w:highlight w:val="none"/>
              </w:rPr>
            </w:r>
            <w:r/>
          </w:p>
        </w:tc>
        <w:tc>
          <w:tcPr>
            <w:tcW w:w="5766" w:type="dxa"/>
            <w:vAlign w:val="top"/>
            <w:textDirection w:val="lrTb"/>
            <w:noWrap w:val="false"/>
          </w:tcPr>
          <w:p>
            <w:pPr>
              <w:pStyle w:val="1008"/>
              <w:ind w:left="815"/>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6"/>
                <w:sz w:val="16"/>
                <w:szCs w:val="16"/>
                <w:highlight w:val="none"/>
              </w:rPr>
              <w:t xml:space="preserve">水</w:t>
            </w:r>
            <w:r>
              <w:rPr>
                <w:rFonts w:ascii="微软雅黑" w:hAnsi="微软雅黑" w:eastAsia="微软雅黑" w:cs="微软雅黑"/>
                <w:spacing w:val="17"/>
                <w:sz w:val="16"/>
                <w:szCs w:val="16"/>
                <w:highlight w:val="none"/>
              </w:rPr>
              <w:t xml:space="preserve">质</w:t>
            </w:r>
            <w:r>
              <w:rPr>
                <w:rFonts w:ascii="微软雅黑" w:hAnsi="微软雅黑" w:eastAsia="微软雅黑" w:cs="微软雅黑"/>
                <w:spacing w:val="13"/>
                <w:sz w:val="16"/>
                <w:szCs w:val="16"/>
                <w:highlight w:val="none"/>
              </w:rPr>
              <w:t xml:space="preserve">    石油类件动植物油类的测和    红外分光光度法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37</w:t>
            </w:r>
            <w:r>
              <w:rPr>
                <w:highlight w:val="none"/>
              </w:rPr>
            </w:r>
            <w:r/>
          </w:p>
        </w:tc>
      </w:tr>
      <w:tr>
        <w:trPr>
          <w:trHeight w:val="544"/>
        </w:trPr>
        <w:tc>
          <w:tcPr>
            <w:tcW w:w="548" w:type="dxa"/>
            <w:vAlign w:val="top"/>
            <w:textDirection w:val="lrTb"/>
            <w:noWrap w:val="false"/>
          </w:tcPr>
          <w:p>
            <w:pPr>
              <w:pStyle w:val="1008"/>
              <w:ind w:left="230"/>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1"/>
                <w:sz w:val="16"/>
                <w:szCs w:val="16"/>
                <w:highlight w:val="none"/>
              </w:rPr>
              <w:t xml:space="preserve">8</w:t>
            </w:r>
            <w:r>
              <w:rPr>
                <w:highlight w:val="none"/>
              </w:rPr>
            </w:r>
            <w:r/>
          </w:p>
        </w:tc>
        <w:tc>
          <w:tcPr>
            <w:tcW w:w="1622" w:type="dxa"/>
            <w:vAlign w:val="top"/>
            <w:textDirection w:val="lrTb"/>
            <w:noWrap w:val="false"/>
          </w:tcPr>
          <w:p>
            <w:pPr>
              <w:pStyle w:val="1008"/>
              <w:ind w:left="544"/>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4"/>
                <w:sz w:val="16"/>
                <w:szCs w:val="16"/>
                <w:highlight w:val="none"/>
              </w:rPr>
              <w:t xml:space="preserve">石油</w:t>
            </w:r>
            <w:r>
              <w:rPr>
                <w:rFonts w:ascii="微软雅黑" w:hAnsi="微软雅黑" w:eastAsia="微软雅黑" w:cs="微软雅黑"/>
                <w:spacing w:val="13"/>
                <w:sz w:val="16"/>
                <w:szCs w:val="16"/>
                <w:highlight w:val="none"/>
              </w:rPr>
              <w:t xml:space="preserve">类</w:t>
            </w:r>
            <w:r>
              <w:rPr>
                <w:highlight w:val="none"/>
              </w:rPr>
            </w:r>
            <w:r/>
          </w:p>
        </w:tc>
        <w:tc>
          <w:tcPr>
            <w:tcW w:w="5766" w:type="dxa"/>
            <w:vAlign w:val="top"/>
            <w:textDirection w:val="lrTb"/>
            <w:noWrap w:val="false"/>
          </w:tcPr>
          <w:p>
            <w:pPr>
              <w:pStyle w:val="1008"/>
              <w:ind w:left="815"/>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6"/>
                <w:sz w:val="16"/>
                <w:szCs w:val="16"/>
                <w:highlight w:val="none"/>
              </w:rPr>
              <w:t xml:space="preserve">水</w:t>
            </w:r>
            <w:r>
              <w:rPr>
                <w:rFonts w:ascii="微软雅黑" w:hAnsi="微软雅黑" w:eastAsia="微软雅黑" w:cs="微软雅黑"/>
                <w:spacing w:val="17"/>
                <w:sz w:val="16"/>
                <w:szCs w:val="16"/>
                <w:highlight w:val="none"/>
              </w:rPr>
              <w:t xml:space="preserve">质</w:t>
            </w:r>
            <w:r>
              <w:rPr>
                <w:rFonts w:ascii="微软雅黑" w:hAnsi="微软雅黑" w:eastAsia="微软雅黑" w:cs="微软雅黑"/>
                <w:spacing w:val="13"/>
                <w:sz w:val="16"/>
                <w:szCs w:val="16"/>
                <w:highlight w:val="none"/>
              </w:rPr>
              <w:t xml:space="preserve">    石油类件动植物油类的测和    红外分光光度法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6</w:t>
            </w:r>
            <w:r>
              <w:rPr>
                <w:rFonts w:ascii="微软雅黑" w:hAnsi="微软雅黑" w:eastAsia="微软雅黑" w:cs="微软雅黑"/>
                <w:spacing w:val="36"/>
                <w:sz w:val="16"/>
                <w:szCs w:val="16"/>
                <w:highlight w:val="none"/>
              </w:rPr>
              <w:t xml:space="preserve">37</w:t>
            </w:r>
            <w:r>
              <w:rPr>
                <w:highlight w:val="none"/>
              </w:rPr>
            </w:r>
            <w:r/>
          </w:p>
        </w:tc>
      </w:tr>
      <w:tr>
        <w:trPr>
          <w:trHeight w:val="355"/>
        </w:trPr>
        <w:tc>
          <w:tcPr>
            <w:tcW w:w="548" w:type="dxa"/>
            <w:vAlign w:val="top"/>
            <w:vMerge w:val="restart"/>
            <w:textDirection w:val="lrTb"/>
            <w:noWrap w:val="false"/>
          </w:tcPr>
          <w:p>
            <w:pPr>
              <w:pStyle w:val="1008"/>
              <w:ind w:left="233"/>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8"/>
                <w:sz w:val="16"/>
                <w:szCs w:val="16"/>
                <w:highlight w:val="none"/>
              </w:rPr>
              <w:t xml:space="preserve">9</w:t>
            </w:r>
            <w:r>
              <w:rPr>
                <w:highlight w:val="none"/>
              </w:rPr>
            </w:r>
            <w:r/>
          </w:p>
        </w:tc>
        <w:tc>
          <w:tcPr>
            <w:tcW w:w="1622" w:type="dxa"/>
            <w:vAlign w:val="top"/>
            <w:vMerge w:val="restart"/>
            <w:textDirection w:val="lrTb"/>
            <w:noWrap w:val="false"/>
          </w:tcPr>
          <w:p>
            <w:pPr>
              <w:pStyle w:val="1008"/>
              <w:ind w:left="104"/>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9"/>
                <w:sz w:val="16"/>
                <w:szCs w:val="16"/>
                <w:highlight w:val="none"/>
              </w:rPr>
              <w:t xml:space="preserve">阴</w:t>
            </w:r>
            <w:r>
              <w:rPr>
                <w:rFonts w:ascii="微软雅黑" w:hAnsi="微软雅黑" w:eastAsia="微软雅黑" w:cs="微软雅黑"/>
                <w:spacing w:val="16"/>
                <w:sz w:val="16"/>
                <w:szCs w:val="16"/>
                <w:highlight w:val="none"/>
              </w:rPr>
              <w:t xml:space="preserve">离子表面活性剂</w:t>
            </w:r>
            <w:r>
              <w:rPr>
                <w:highlight w:val="none"/>
              </w:rPr>
            </w:r>
            <w:r/>
          </w:p>
        </w:tc>
        <w:tc>
          <w:tcPr>
            <w:tcW w:w="5766" w:type="dxa"/>
            <w:vAlign w:val="top"/>
            <w:textDirection w:val="lrTb"/>
            <w:noWrap w:val="false"/>
          </w:tcPr>
          <w:p>
            <w:pPr>
              <w:pStyle w:val="1008"/>
              <w:ind w:left="815"/>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6"/>
                <w:sz w:val="16"/>
                <w:szCs w:val="16"/>
                <w:highlight w:val="none"/>
              </w:rPr>
              <w:t xml:space="preserve">水</w:t>
            </w:r>
            <w:r>
              <w:rPr>
                <w:rFonts w:ascii="微软雅黑" w:hAnsi="微软雅黑" w:eastAsia="微软雅黑" w:cs="微软雅黑"/>
                <w:spacing w:val="17"/>
                <w:sz w:val="16"/>
                <w:szCs w:val="16"/>
                <w:highlight w:val="none"/>
              </w:rPr>
              <w:t xml:space="preserve">质</w:t>
            </w:r>
            <w:r>
              <w:rPr>
                <w:rFonts w:ascii="微软雅黑" w:hAnsi="微软雅黑" w:eastAsia="微软雅黑" w:cs="微软雅黑"/>
                <w:spacing w:val="13"/>
                <w:sz w:val="16"/>
                <w:szCs w:val="16"/>
                <w:highlight w:val="none"/>
              </w:rPr>
              <w:t xml:space="preserve">    阴离子表面活性剂的测和    亚甲蓝分光光度法</w:t>
            </w:r>
            <w:r>
              <w:rPr>
                <w:highlight w:val="none"/>
              </w:rPr>
            </w:r>
            <w:r/>
          </w:p>
        </w:tc>
        <w:tc>
          <w:tcPr>
            <w:tcW w:w="1286" w:type="dxa"/>
            <w:vAlign w:val="top"/>
            <w:textDirection w:val="lrTb"/>
            <w:noWrap w:val="false"/>
          </w:tcPr>
          <w:p>
            <w:pPr>
              <w:pStyle w:val="1008"/>
              <w:ind w:left="221"/>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GB</w:t>
            </w:r>
            <w:r>
              <w:rPr>
                <w:rFonts w:ascii="微软雅黑" w:hAnsi="微软雅黑" w:eastAsia="微软雅黑" w:cs="微软雅黑"/>
                <w:spacing w:val="18"/>
                <w:sz w:val="16"/>
                <w:szCs w:val="16"/>
                <w:highlight w:val="none"/>
              </w:rPr>
              <w:t xml:space="preserve">/</w:t>
            </w:r>
            <w:r>
              <w:rPr>
                <w:rFonts w:ascii="微软雅黑" w:hAnsi="微软雅黑" w:eastAsia="微软雅黑" w:cs="微软雅黑"/>
                <w:sz w:val="16"/>
                <w:szCs w:val="16"/>
                <w:highlight w:val="none"/>
              </w:rPr>
              <w:t xml:space="preserve">T</w:t>
            </w:r>
            <w:r>
              <w:rPr>
                <w:rFonts w:ascii="微软雅黑" w:hAnsi="微软雅黑" w:eastAsia="微软雅黑" w:cs="微软雅黑"/>
                <w:spacing w:val="16"/>
                <w:sz w:val="16"/>
                <w:szCs w:val="16"/>
                <w:highlight w:val="none"/>
              </w:rPr>
              <w:t xml:space="preserve"> 7494</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jc w:val="center"/>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333"/>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4"/>
                <w:sz w:val="16"/>
                <w:szCs w:val="16"/>
                <w:highlight w:val="none"/>
              </w:rPr>
              <w:t xml:space="preserve">水质  阴离子表面活性剂的测和  流动注射</w:t>
            </w:r>
            <w:r>
              <w:rPr>
                <w:rFonts w:ascii="微软雅黑" w:hAnsi="微软雅黑" w:eastAsia="微软雅黑" w:cs="微软雅黑"/>
                <w:spacing w:val="14"/>
                <w:position w:val="-1"/>
                <w:sz w:val="16"/>
                <w:szCs w:val="16"/>
                <w:highlight w:val="none"/>
              </w:rPr>
              <w:t xml:space="preserve">-</w:t>
            </w:r>
            <w:r>
              <w:rPr>
                <w:rFonts w:ascii="微软雅黑" w:hAnsi="微软雅黑" w:eastAsia="微软雅黑" w:cs="微软雅黑"/>
                <w:spacing w:val="14"/>
                <w:sz w:val="16"/>
                <w:szCs w:val="16"/>
                <w:highlight w:val="none"/>
              </w:rPr>
              <w:t xml:space="preserve">亚甲基蓝分光光度</w:t>
            </w:r>
            <w:r>
              <w:rPr>
                <w:rFonts w:ascii="微软雅黑" w:hAnsi="微软雅黑" w:eastAsia="微软雅黑" w:cs="微软雅黑"/>
                <w:spacing w:val="11"/>
                <w:sz w:val="16"/>
                <w:szCs w:val="16"/>
                <w:highlight w:val="none"/>
              </w:rPr>
              <w:t xml:space="preserve">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8</w:t>
            </w:r>
            <w:r>
              <w:rPr>
                <w:rFonts w:ascii="微软雅黑" w:hAnsi="微软雅黑" w:eastAsia="微软雅黑" w:cs="微软雅黑"/>
                <w:spacing w:val="36"/>
                <w:sz w:val="16"/>
                <w:szCs w:val="16"/>
                <w:highlight w:val="none"/>
              </w:rPr>
              <w:t xml:space="preserve">26</w:t>
            </w:r>
            <w:r>
              <w:rPr>
                <w:highlight w:val="none"/>
              </w:rPr>
            </w:r>
            <w:r/>
          </w:p>
        </w:tc>
      </w:tr>
      <w:tr>
        <w:trPr>
          <w:trHeight w:val="355"/>
        </w:trPr>
        <w:tc>
          <w:tcPr>
            <w:tcW w:w="548" w:type="dxa"/>
            <w:vAlign w:val="top"/>
            <w:textDirection w:val="lrTb"/>
            <w:noWrap w:val="false"/>
          </w:tcPr>
          <w:p>
            <w:pPr>
              <w:pStyle w:val="1008"/>
              <w:ind w:left="189"/>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9"/>
                <w:sz w:val="16"/>
                <w:szCs w:val="16"/>
                <w:highlight w:val="none"/>
              </w:rPr>
              <w:t xml:space="preserve">1</w:t>
            </w:r>
            <w:r>
              <w:rPr>
                <w:rFonts w:ascii="微软雅黑" w:hAnsi="微软雅黑" w:eastAsia="微软雅黑" w:cs="微软雅黑"/>
                <w:spacing w:val="8"/>
                <w:sz w:val="16"/>
                <w:szCs w:val="16"/>
                <w:highlight w:val="none"/>
              </w:rPr>
              <w:t xml:space="preserve">0</w:t>
            </w:r>
            <w:r>
              <w:rPr>
                <w:highlight w:val="none"/>
              </w:rPr>
            </w:r>
            <w:r/>
          </w:p>
        </w:tc>
        <w:tc>
          <w:tcPr>
            <w:tcW w:w="1622" w:type="dxa"/>
            <w:vAlign w:val="top"/>
            <w:textDirection w:val="lrTb"/>
            <w:noWrap w:val="false"/>
          </w:tcPr>
          <w:p>
            <w:pPr>
              <w:pStyle w:val="1008"/>
              <w:ind w:left="636"/>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9"/>
                <w:sz w:val="16"/>
                <w:szCs w:val="16"/>
                <w:highlight w:val="none"/>
              </w:rPr>
              <w:t xml:space="preserve">色度</w:t>
            </w:r>
            <w:r>
              <w:rPr>
                <w:highlight w:val="none"/>
              </w:rPr>
            </w:r>
            <w:r/>
          </w:p>
        </w:tc>
        <w:tc>
          <w:tcPr>
            <w:tcW w:w="5766" w:type="dxa"/>
            <w:vAlign w:val="top"/>
            <w:textDirection w:val="lrTb"/>
            <w:noWrap w:val="false"/>
          </w:tcPr>
          <w:p>
            <w:pPr>
              <w:pStyle w:val="1008"/>
              <w:ind w:left="1628"/>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9"/>
                <w:sz w:val="16"/>
                <w:szCs w:val="16"/>
                <w:highlight w:val="none"/>
              </w:rPr>
              <w:t xml:space="preserve">水</w:t>
            </w:r>
            <w:r>
              <w:rPr>
                <w:rFonts w:ascii="微软雅黑" w:hAnsi="微软雅黑" w:eastAsia="微软雅黑" w:cs="微软雅黑"/>
                <w:spacing w:val="10"/>
                <w:sz w:val="16"/>
                <w:szCs w:val="16"/>
                <w:highlight w:val="none"/>
              </w:rPr>
              <w:t xml:space="preserve">质    色度的测和    稀释倍数法</w:t>
            </w:r>
            <w:r>
              <w:rPr>
                <w:highlight w:val="none"/>
              </w:rPr>
            </w:r>
            <w:r/>
          </w:p>
        </w:tc>
        <w:tc>
          <w:tcPr>
            <w:tcW w:w="1286" w:type="dxa"/>
            <w:vAlign w:val="top"/>
            <w:textDirection w:val="lrTb"/>
            <w:noWrap w:val="false"/>
          </w:tcPr>
          <w:p>
            <w:pPr>
              <w:pStyle w:val="1008"/>
              <w:ind w:left="341"/>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26"/>
                <w:sz w:val="16"/>
                <w:szCs w:val="16"/>
                <w:highlight w:val="none"/>
              </w:rPr>
              <w:t xml:space="preserve">1182</w:t>
            </w:r>
            <w:r>
              <w:rPr>
                <w:highlight w:val="none"/>
              </w:rPr>
            </w:r>
            <w:r/>
          </w:p>
        </w:tc>
      </w:tr>
      <w:tr>
        <w:trPr>
          <w:trHeight w:val="356"/>
        </w:trPr>
        <w:tc>
          <w:tcPr>
            <w:tcW w:w="548" w:type="dxa"/>
            <w:vAlign w:val="top"/>
            <w:textDirection w:val="lrTb"/>
            <w:noWrap w:val="false"/>
          </w:tcPr>
          <w:p>
            <w:pPr>
              <w:pStyle w:val="1008"/>
              <w:ind w:left="189"/>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9"/>
                <w:sz w:val="16"/>
                <w:szCs w:val="16"/>
                <w:highlight w:val="none"/>
              </w:rPr>
              <w:t xml:space="preserve">1</w:t>
            </w:r>
            <w:r>
              <w:rPr>
                <w:rFonts w:ascii="微软雅黑" w:hAnsi="微软雅黑" w:eastAsia="微软雅黑" w:cs="微软雅黑"/>
                <w:spacing w:val="8"/>
                <w:sz w:val="16"/>
                <w:szCs w:val="16"/>
                <w:highlight w:val="none"/>
              </w:rPr>
              <w:t xml:space="preserve">1</w:t>
            </w:r>
            <w:r>
              <w:rPr>
                <w:highlight w:val="none"/>
              </w:rPr>
            </w:r>
            <w:r/>
          </w:p>
        </w:tc>
        <w:tc>
          <w:tcPr>
            <w:tcW w:w="1622" w:type="dxa"/>
            <w:vAlign w:val="top"/>
            <w:textDirection w:val="lrTb"/>
            <w:noWrap w:val="false"/>
          </w:tcPr>
          <w:p>
            <w:pPr>
              <w:pStyle w:val="1008"/>
              <w:ind w:left="694"/>
              <w:jc w:val="center"/>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0"/>
                <w:sz w:val="16"/>
                <w:szCs w:val="16"/>
                <w:highlight w:val="none"/>
              </w:rPr>
              <w:t xml:space="preserve">p</w:t>
            </w:r>
            <w:r>
              <w:rPr>
                <w:rFonts w:ascii="微软雅黑" w:hAnsi="微软雅黑" w:eastAsia="微软雅黑" w:cs="微软雅黑"/>
                <w:spacing w:val="9"/>
                <w:sz w:val="16"/>
                <w:szCs w:val="16"/>
                <w:highlight w:val="none"/>
              </w:rPr>
              <w:t xml:space="preserve">H</w:t>
            </w:r>
            <w:r>
              <w:rPr>
                <w:highlight w:val="none"/>
              </w:rPr>
            </w:r>
            <w:r/>
          </w:p>
        </w:tc>
        <w:tc>
          <w:tcPr>
            <w:tcW w:w="5766" w:type="dxa"/>
            <w:vAlign w:val="top"/>
            <w:textDirection w:val="lrTb"/>
            <w:noWrap w:val="false"/>
          </w:tcPr>
          <w:p>
            <w:pPr>
              <w:pStyle w:val="1008"/>
              <w:ind w:left="1752"/>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1"/>
                <w:sz w:val="16"/>
                <w:szCs w:val="16"/>
                <w:highlight w:val="none"/>
              </w:rPr>
              <w:t xml:space="preserve">水</w:t>
            </w:r>
            <w:r>
              <w:rPr>
                <w:rFonts w:ascii="微软雅黑" w:hAnsi="微软雅黑" w:eastAsia="微软雅黑" w:cs="微软雅黑"/>
                <w:spacing w:val="12"/>
                <w:sz w:val="16"/>
                <w:szCs w:val="16"/>
                <w:highlight w:val="none"/>
              </w:rPr>
              <w:t xml:space="preserve">质    </w:t>
            </w:r>
            <w:r>
              <w:rPr>
                <w:rFonts w:ascii="微软雅黑" w:hAnsi="微软雅黑" w:eastAsia="微软雅黑" w:cs="微软雅黑"/>
                <w:position w:val="-1"/>
                <w:sz w:val="16"/>
                <w:szCs w:val="16"/>
                <w:highlight w:val="none"/>
              </w:rPr>
              <w:t xml:space="preserve">pH</w:t>
            </w:r>
            <w:r>
              <w:rPr>
                <w:rFonts w:ascii="微软雅黑" w:hAnsi="微软雅黑" w:eastAsia="微软雅黑" w:cs="微软雅黑"/>
                <w:spacing w:val="12"/>
                <w:sz w:val="16"/>
                <w:szCs w:val="16"/>
                <w:highlight w:val="none"/>
              </w:rPr>
              <w:t xml:space="preserve">值的测和    电极法</w:t>
            </w:r>
            <w:r>
              <w:rPr>
                <w:highlight w:val="none"/>
              </w:rPr>
            </w:r>
            <w:r/>
          </w:p>
        </w:tc>
        <w:tc>
          <w:tcPr>
            <w:tcW w:w="1286" w:type="dxa"/>
            <w:vAlign w:val="top"/>
            <w:textDirection w:val="lrTb"/>
            <w:noWrap w:val="false"/>
          </w:tcPr>
          <w:p>
            <w:pPr>
              <w:pStyle w:val="1008"/>
              <w:ind w:left="341"/>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26"/>
                <w:sz w:val="16"/>
                <w:szCs w:val="16"/>
                <w:highlight w:val="none"/>
              </w:rPr>
              <w:t xml:space="preserve">1147</w:t>
            </w:r>
            <w:r>
              <w:rPr>
                <w:highlight w:val="none"/>
              </w:rPr>
            </w:r>
            <w:r/>
          </w:p>
        </w:tc>
      </w:tr>
      <w:tr>
        <w:trPr>
          <w:trHeight w:val="356"/>
        </w:trPr>
        <w:tc>
          <w:tcPr>
            <w:tcW w:w="548" w:type="dxa"/>
            <w:vAlign w:val="top"/>
            <w:vMerge w:val="restart"/>
            <w:textDirection w:val="lrTb"/>
            <w:noWrap w:val="false"/>
          </w:tcPr>
          <w:p>
            <w:pPr>
              <w:pStyle w:val="1008"/>
              <w:spacing w:line="360" w:lineRule="auto"/>
              <w:rPr>
                <w:rFonts w:ascii="Arial"/>
                <w:highlight w:val="none"/>
              </w:rPr>
            </w:pPr>
            <w:r>
              <w:rPr>
                <w:rFonts w:ascii="Arial"/>
                <w:highlight w:val="none"/>
              </w:rPr>
            </w:r>
            <w:r>
              <w:rPr>
                <w:highlight w:val="none"/>
              </w:rPr>
            </w:r>
            <w:r/>
          </w:p>
          <w:p>
            <w:pPr>
              <w:pStyle w:val="1008"/>
              <w:spacing w:line="360" w:lineRule="auto"/>
              <w:rPr>
                <w:rFonts w:ascii="Arial"/>
                <w:highlight w:val="none"/>
              </w:rPr>
            </w:pPr>
            <w:r>
              <w:rPr>
                <w:rFonts w:ascii="Arial"/>
                <w:highlight w:val="none"/>
              </w:rPr>
            </w:r>
            <w:r>
              <w:rPr>
                <w:highlight w:val="none"/>
              </w:rPr>
            </w:r>
            <w:r/>
          </w:p>
          <w:p>
            <w:pPr>
              <w:pStyle w:val="1008"/>
              <w:ind w:left="189"/>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9"/>
                <w:sz w:val="16"/>
                <w:szCs w:val="16"/>
                <w:highlight w:val="none"/>
              </w:rPr>
              <w:t xml:space="preserve">1</w:t>
            </w:r>
            <w:r>
              <w:rPr>
                <w:rFonts w:ascii="微软雅黑" w:hAnsi="微软雅黑" w:eastAsia="微软雅黑" w:cs="微软雅黑"/>
                <w:spacing w:val="8"/>
                <w:sz w:val="16"/>
                <w:szCs w:val="16"/>
                <w:highlight w:val="none"/>
              </w:rPr>
              <w:t xml:space="preserve">2</w:t>
            </w:r>
            <w:r>
              <w:rPr>
                <w:highlight w:val="none"/>
              </w:rPr>
            </w:r>
            <w:r/>
          </w:p>
        </w:tc>
        <w:tc>
          <w:tcPr>
            <w:tcW w:w="1622" w:type="dxa"/>
            <w:vAlign w:val="top"/>
            <w:vMerge w:val="restart"/>
            <w:textDirection w:val="lrTb"/>
            <w:noWrap w:val="false"/>
          </w:tcPr>
          <w:p>
            <w:pPr>
              <w:pStyle w:val="1008"/>
              <w:spacing w:line="360" w:lineRule="auto"/>
              <w:rPr>
                <w:rFonts w:ascii="Arial"/>
                <w:highlight w:val="none"/>
              </w:rPr>
            </w:pPr>
            <w:r>
              <w:rPr>
                <w:rFonts w:ascii="Arial"/>
                <w:highlight w:val="none"/>
              </w:rPr>
            </w:r>
            <w:r>
              <w:rPr>
                <w:highlight w:val="none"/>
              </w:rPr>
            </w:r>
            <w:r/>
          </w:p>
          <w:p>
            <w:pPr>
              <w:pStyle w:val="1008"/>
              <w:spacing w:line="360" w:lineRule="auto"/>
              <w:rPr>
                <w:rFonts w:ascii="Arial"/>
                <w:highlight w:val="none"/>
              </w:rPr>
            </w:pPr>
            <w:r>
              <w:rPr>
                <w:rFonts w:ascii="Arial"/>
                <w:highlight w:val="none"/>
              </w:rPr>
            </w:r>
            <w:r>
              <w:rPr>
                <w:highlight w:val="none"/>
              </w:rPr>
            </w:r>
            <w:r/>
          </w:p>
          <w:p>
            <w:pPr>
              <w:pStyle w:val="1008"/>
              <w:ind w:left="271"/>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9"/>
                <w:sz w:val="16"/>
                <w:szCs w:val="16"/>
                <w:highlight w:val="none"/>
              </w:rPr>
              <w:t xml:space="preserve">粪</w:t>
            </w:r>
            <w:r>
              <w:rPr>
                <w:rFonts w:ascii="微软雅黑" w:hAnsi="微软雅黑" w:eastAsia="微软雅黑" w:cs="微软雅黑"/>
                <w:spacing w:val="17"/>
                <w:sz w:val="16"/>
                <w:szCs w:val="16"/>
                <w:highlight w:val="none"/>
              </w:rPr>
              <w:t xml:space="preserve">大肠菌群数</w:t>
            </w:r>
            <w:r>
              <w:rPr>
                <w:highlight w:val="none"/>
              </w:rPr>
            </w:r>
            <w:r/>
          </w:p>
        </w:tc>
        <w:tc>
          <w:tcPr>
            <w:tcW w:w="5766" w:type="dxa"/>
            <w:vAlign w:val="top"/>
            <w:textDirection w:val="lrTb"/>
            <w:noWrap w:val="false"/>
          </w:tcPr>
          <w:p>
            <w:pPr>
              <w:pStyle w:val="1008"/>
              <w:ind w:left="1537"/>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11"/>
                <w:sz w:val="16"/>
                <w:szCs w:val="16"/>
                <w:highlight w:val="none"/>
              </w:rPr>
              <w:t xml:space="preserve">水质    粪大肠菌群的测和    滤膜</w:t>
            </w:r>
            <w:r>
              <w:rPr>
                <w:rFonts w:ascii="微软雅黑" w:hAnsi="微软雅黑" w:eastAsia="微软雅黑" w:cs="微软雅黑"/>
                <w:spacing w:val="10"/>
                <w:sz w:val="16"/>
                <w:szCs w:val="16"/>
                <w:highlight w:val="none"/>
              </w:rPr>
              <w:t xml:space="preserve">法</w:t>
            </w:r>
            <w:r>
              <w:rPr>
                <w:highlight w:val="none"/>
              </w:rPr>
            </w:r>
            <w:r/>
          </w:p>
        </w:tc>
        <w:tc>
          <w:tcPr>
            <w:tcW w:w="1286" w:type="dxa"/>
            <w:vAlign w:val="top"/>
            <w:textDirection w:val="lrTb"/>
            <w:noWrap w:val="false"/>
          </w:tcPr>
          <w:p>
            <w:pPr>
              <w:pStyle w:val="1008"/>
              <w:ind w:left="314"/>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40"/>
                <w:sz w:val="16"/>
                <w:szCs w:val="16"/>
                <w:highlight w:val="none"/>
              </w:rPr>
              <w:t xml:space="preserve">347.</w:t>
            </w:r>
            <w:r>
              <w:rPr>
                <w:rFonts w:ascii="微软雅黑" w:hAnsi="微软雅黑" w:eastAsia="微软雅黑" w:cs="微软雅黑"/>
                <w:spacing w:val="39"/>
                <w:sz w:val="16"/>
                <w:szCs w:val="16"/>
                <w:highlight w:val="none"/>
              </w:rPr>
              <w:t xml:space="preserve">1</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1356"/>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2"/>
                <w:sz w:val="16"/>
                <w:szCs w:val="16"/>
                <w:highlight w:val="none"/>
              </w:rPr>
              <w:t xml:space="preserve">水</w:t>
            </w:r>
            <w:r>
              <w:rPr>
                <w:rFonts w:ascii="微软雅黑" w:hAnsi="微软雅黑" w:eastAsia="微软雅黑" w:cs="微软雅黑"/>
                <w:spacing w:val="18"/>
                <w:sz w:val="16"/>
                <w:szCs w:val="16"/>
                <w:highlight w:val="none"/>
              </w:rPr>
              <w:t xml:space="preserve">质</w:t>
            </w:r>
            <w:r>
              <w:rPr>
                <w:rFonts w:ascii="微软雅黑" w:hAnsi="微软雅黑" w:eastAsia="微软雅黑" w:cs="微软雅黑"/>
                <w:spacing w:val="11"/>
                <w:sz w:val="16"/>
                <w:szCs w:val="16"/>
                <w:highlight w:val="none"/>
              </w:rPr>
              <w:t xml:space="preserve">    粪大肠菌群的测和    多管发酵法</w:t>
            </w:r>
            <w:r>
              <w:rPr>
                <w:highlight w:val="none"/>
              </w:rPr>
            </w:r>
            <w:r/>
          </w:p>
        </w:tc>
        <w:tc>
          <w:tcPr>
            <w:tcW w:w="1286" w:type="dxa"/>
            <w:vAlign w:val="top"/>
            <w:textDirection w:val="lrTb"/>
            <w:noWrap w:val="false"/>
          </w:tcPr>
          <w:p>
            <w:pPr>
              <w:pStyle w:val="1008"/>
              <w:ind w:left="314"/>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40"/>
                <w:sz w:val="16"/>
                <w:szCs w:val="16"/>
                <w:highlight w:val="none"/>
              </w:rPr>
              <w:t xml:space="preserve">347.</w:t>
            </w:r>
            <w:r>
              <w:rPr>
                <w:rFonts w:ascii="微软雅黑" w:hAnsi="微软雅黑" w:eastAsia="微软雅黑" w:cs="微软雅黑"/>
                <w:spacing w:val="39"/>
                <w:sz w:val="16"/>
                <w:szCs w:val="16"/>
                <w:highlight w:val="none"/>
              </w:rPr>
              <w:t xml:space="preserve">2</w:t>
            </w:r>
            <w:r>
              <w:rPr>
                <w:highlight w:val="none"/>
              </w:rPr>
            </w:r>
            <w:r/>
          </w:p>
        </w:tc>
      </w:tr>
      <w:tr>
        <w:trPr>
          <w:trHeight w:val="356"/>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815"/>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6"/>
                <w:sz w:val="16"/>
                <w:szCs w:val="16"/>
                <w:highlight w:val="none"/>
              </w:rPr>
              <w:t xml:space="preserve">水</w:t>
            </w:r>
            <w:r>
              <w:rPr>
                <w:rFonts w:ascii="微软雅黑" w:hAnsi="微软雅黑" w:eastAsia="微软雅黑" w:cs="微软雅黑"/>
                <w:spacing w:val="17"/>
                <w:sz w:val="16"/>
                <w:szCs w:val="16"/>
                <w:highlight w:val="none"/>
              </w:rPr>
              <w:t xml:space="preserve">质</w:t>
            </w:r>
            <w:r>
              <w:rPr>
                <w:rFonts w:ascii="微软雅黑" w:hAnsi="微软雅黑" w:eastAsia="微软雅黑" w:cs="微软雅黑"/>
                <w:spacing w:val="13"/>
                <w:sz w:val="16"/>
                <w:szCs w:val="16"/>
                <w:highlight w:val="none"/>
              </w:rPr>
              <w:t xml:space="preserve">    总大肠菌群件粪大肠菌群的测和    纸片快速法</w:t>
            </w:r>
            <w:r>
              <w:rPr>
                <w:highlight w:val="none"/>
              </w:rPr>
            </w:r>
            <w:r/>
          </w:p>
        </w:tc>
        <w:tc>
          <w:tcPr>
            <w:tcW w:w="1286" w:type="dxa"/>
            <w:vAlign w:val="top"/>
            <w:textDirection w:val="lrTb"/>
            <w:noWrap w:val="false"/>
          </w:tcPr>
          <w:p>
            <w:pPr>
              <w:pStyle w:val="1008"/>
              <w:ind w:left="386"/>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37"/>
                <w:sz w:val="16"/>
                <w:szCs w:val="16"/>
                <w:highlight w:val="none"/>
              </w:rPr>
              <w:t xml:space="preserve">7</w:t>
            </w:r>
            <w:r>
              <w:rPr>
                <w:rFonts w:ascii="微软雅黑" w:hAnsi="微软雅黑" w:eastAsia="微软雅黑" w:cs="微软雅黑"/>
                <w:spacing w:val="36"/>
                <w:sz w:val="16"/>
                <w:szCs w:val="16"/>
                <w:highlight w:val="none"/>
              </w:rPr>
              <w:t xml:space="preserve">55</w:t>
            </w:r>
            <w:r>
              <w:rPr>
                <w:highlight w:val="none"/>
              </w:rPr>
            </w:r>
            <w:r/>
          </w:p>
        </w:tc>
      </w:tr>
      <w:tr>
        <w:trPr>
          <w:trHeight w:val="359"/>
        </w:trPr>
        <w:tc>
          <w:tcPr>
            <w:tcW w:w="548"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1622" w:type="dxa"/>
            <w:vAlign w:val="top"/>
            <w:vMerge w:val="continue"/>
            <w:textDirection w:val="lrTb"/>
            <w:noWrap w:val="false"/>
          </w:tcPr>
          <w:p>
            <w:pPr>
              <w:pStyle w:val="1008"/>
              <w:spacing w:line="360" w:lineRule="auto"/>
              <w:rPr>
                <w:rFonts w:ascii="Arial"/>
                <w:highlight w:val="none"/>
              </w:rPr>
            </w:pPr>
            <w:r>
              <w:rPr>
                <w:rFonts w:ascii="Arial"/>
                <w:highlight w:val="none"/>
              </w:rPr>
            </w:r>
            <w:r/>
          </w:p>
        </w:tc>
        <w:tc>
          <w:tcPr>
            <w:tcW w:w="5766" w:type="dxa"/>
            <w:vAlign w:val="top"/>
            <w:textDirection w:val="lrTb"/>
            <w:noWrap w:val="false"/>
          </w:tcPr>
          <w:p>
            <w:pPr>
              <w:pStyle w:val="1008"/>
              <w:ind w:left="320"/>
              <w:spacing w:line="360" w:lineRule="auto"/>
              <w:rPr>
                <w:rFonts w:ascii="微软雅黑" w:hAnsi="微软雅黑" w:eastAsia="微软雅黑" w:cs="微软雅黑"/>
                <w:sz w:val="16"/>
                <w:szCs w:val="16"/>
                <w:highlight w:val="none"/>
              </w:rPr>
            </w:pPr>
            <w:r>
              <w:rPr>
                <w:rFonts w:ascii="微软雅黑" w:hAnsi="微软雅黑" w:eastAsia="微软雅黑" w:cs="微软雅黑"/>
                <w:spacing w:val="20"/>
                <w:sz w:val="16"/>
                <w:szCs w:val="16"/>
                <w:highlight w:val="none"/>
              </w:rPr>
              <w:t xml:space="preserve">水</w:t>
            </w:r>
            <w:r>
              <w:rPr>
                <w:rFonts w:ascii="微软雅黑" w:hAnsi="微软雅黑" w:eastAsia="微软雅黑" w:cs="微软雅黑"/>
                <w:spacing w:val="18"/>
                <w:sz w:val="16"/>
                <w:szCs w:val="16"/>
                <w:highlight w:val="none"/>
              </w:rPr>
              <w:t xml:space="preserve">质</w:t>
            </w:r>
            <w:r>
              <w:rPr>
                <w:rFonts w:ascii="微软雅黑" w:hAnsi="微软雅黑" w:eastAsia="微软雅黑" w:cs="微软雅黑"/>
                <w:spacing w:val="10"/>
                <w:sz w:val="16"/>
                <w:szCs w:val="16"/>
                <w:highlight w:val="none"/>
              </w:rPr>
              <w:t xml:space="preserve">   总大肠菌群 、粪大肠菌群件大肠埃希氏菌的测和  酶底物法</w:t>
            </w:r>
            <w:r>
              <w:rPr>
                <w:highlight w:val="none"/>
              </w:rPr>
            </w:r>
            <w:r/>
          </w:p>
        </w:tc>
        <w:tc>
          <w:tcPr>
            <w:tcW w:w="1286" w:type="dxa"/>
            <w:vAlign w:val="top"/>
            <w:textDirection w:val="lrTb"/>
            <w:noWrap w:val="false"/>
          </w:tcPr>
          <w:p>
            <w:pPr>
              <w:pStyle w:val="1008"/>
              <w:ind w:left="341"/>
              <w:spacing w:line="360" w:lineRule="auto"/>
              <w:rPr>
                <w:rFonts w:ascii="微软雅黑" w:hAnsi="微软雅黑" w:eastAsia="微软雅黑" w:cs="微软雅黑"/>
                <w:sz w:val="16"/>
                <w:szCs w:val="16"/>
                <w:highlight w:val="none"/>
              </w:rPr>
            </w:pPr>
            <w:r>
              <w:rPr>
                <w:rFonts w:ascii="微软雅黑" w:hAnsi="微软雅黑" w:eastAsia="微软雅黑" w:cs="微软雅黑"/>
                <w:sz w:val="16"/>
                <w:szCs w:val="16"/>
                <w:highlight w:val="none"/>
              </w:rPr>
              <w:t xml:space="preserve">HJ</w:t>
            </w:r>
            <w:r>
              <w:rPr>
                <w:rFonts w:ascii="微软雅黑" w:hAnsi="微软雅黑" w:eastAsia="微软雅黑" w:cs="微软雅黑"/>
                <w:spacing w:val="26"/>
                <w:sz w:val="16"/>
                <w:szCs w:val="16"/>
                <w:highlight w:val="none"/>
              </w:rPr>
              <w:t xml:space="preserve">1001</w:t>
            </w:r>
            <w:r>
              <w:rPr>
                <w:highlight w:val="none"/>
              </w:rPr>
            </w:r>
            <w:r/>
          </w:p>
        </w:tc>
      </w:tr>
    </w:tbl>
    <w:p>
      <w:pPr>
        <w:pStyle w:val="1008"/>
        <w:ind w:firstLine="480"/>
        <w:spacing w:line="360" w:lineRule="auto"/>
        <w:shd w:val="clear" w:color="auto" w:fill="ffffff"/>
        <w:rPr>
          <w:rFonts w:hint="eastAsia" w:ascii="宋体" w:hAnsi="宋体"/>
          <w:b/>
          <w:sz w:val="24"/>
          <w:highlight w:val="none"/>
        </w:rPr>
        <w:outlineLvl w:val="0"/>
      </w:pPr>
      <w:r>
        <w:rPr>
          <w:rFonts w:hint="eastAsia" w:ascii="黑体" w:hAnsi="黑体" w:eastAsia="黑体" w:cs="黑体"/>
          <w:sz w:val="24"/>
          <w:highlight w:val="none"/>
        </w:rPr>
        <w:t xml:space="preserve">四、其他要求</w:t>
      </w:r>
      <w:r>
        <w:rPr>
          <w:highlight w:val="none"/>
        </w:rPr>
      </w:r>
      <w:r/>
    </w:p>
    <w:p>
      <w:pPr>
        <w:pStyle w:val="1008"/>
        <w:ind w:firstLine="447"/>
        <w:spacing w:line="360" w:lineRule="auto"/>
        <w:shd w:val="clear" w:color="auto" w:fill="ffffff"/>
        <w:rPr>
          <w:rFonts w:hint="eastAsia" w:ascii="宋体" w:hAnsi="宋体"/>
          <w:sz w:val="24"/>
          <w:highlight w:val="none"/>
        </w:rPr>
        <w:outlineLvl w:val="0"/>
      </w:pPr>
      <w:r>
        <w:rPr>
          <w:rFonts w:hint="eastAsia" w:ascii="宋体" w:hAnsi="宋体"/>
          <w:sz w:val="24"/>
          <w:highlight w:val="none"/>
        </w:rPr>
        <w:t xml:space="preserve">1、保密要求</w:t>
      </w:r>
      <w:r>
        <w:rPr>
          <w:highlight w:val="none"/>
        </w:rPr>
      </w:r>
      <w:r/>
    </w:p>
    <w:p>
      <w:pPr>
        <w:pStyle w:val="1008"/>
        <w:ind w:firstLine="447"/>
        <w:spacing w:line="360" w:lineRule="auto"/>
        <w:shd w:val="clear" w:color="auto" w:fill="ffffff"/>
        <w:rPr>
          <w:rFonts w:hint="eastAsia" w:ascii="宋体" w:hAnsi="宋体"/>
          <w:sz w:val="24"/>
          <w:highlight w:val="none"/>
        </w:rPr>
        <w:outlineLvl w:val="0"/>
      </w:pPr>
      <w:r>
        <w:rPr>
          <w:rFonts w:hint="eastAsia" w:ascii="宋体" w:hAnsi="宋体"/>
          <w:sz w:val="24"/>
          <w:highlight w:val="none"/>
        </w:rPr>
        <w:t xml:space="preserve">中标人应对样品的分析数据履行保密责任，不得泄漏给任何第三方。</w:t>
      </w:r>
      <w:r>
        <w:rPr>
          <w:highlight w:val="none"/>
        </w:rPr>
      </w:r>
      <w:r/>
    </w:p>
    <w:p>
      <w:pPr>
        <w:pStyle w:val="1008"/>
        <w:ind w:firstLine="447"/>
        <w:spacing w:line="360" w:lineRule="auto"/>
        <w:shd w:val="clear" w:color="auto" w:fill="ffffff"/>
        <w:rPr>
          <w:rFonts w:hint="eastAsia" w:ascii="宋体" w:hAnsi="宋体"/>
          <w:sz w:val="24"/>
          <w:highlight w:val="none"/>
        </w:rPr>
        <w:outlineLvl w:val="0"/>
      </w:pPr>
      <w:r>
        <w:rPr>
          <w:rFonts w:hint="eastAsia" w:ascii="宋体" w:hAnsi="宋体"/>
          <w:sz w:val="24"/>
          <w:highlight w:val="none"/>
        </w:rPr>
        <w:t xml:space="preserve">2、关于报价</w:t>
      </w:r>
      <w:r>
        <w:rPr>
          <w:highlight w:val="none"/>
        </w:rPr>
      </w:r>
      <w:r/>
    </w:p>
    <w:p>
      <w:pPr>
        <w:pStyle w:val="1008"/>
        <w:ind w:firstLine="447"/>
        <w:spacing w:line="360" w:lineRule="auto"/>
        <w:shd w:val="clear" w:color="auto" w:fill="ffffff"/>
        <w:rPr>
          <w:rFonts w:hint="eastAsia" w:ascii="宋体" w:hAnsi="宋体"/>
          <w:sz w:val="24"/>
          <w:highlight w:val="none"/>
        </w:rPr>
        <w:outlineLvl w:val="0"/>
      </w:pPr>
      <w:r>
        <w:rPr>
          <w:rFonts w:hint="eastAsia" w:ascii="宋体" w:hAnsi="宋体"/>
          <w:sz w:val="24"/>
          <w:highlight w:val="none"/>
          <w:lang w:val="zh-CN"/>
        </w:rPr>
        <w:t xml:space="preserve">投标人报价应包括检测仪器、化验分析设备使用费、搬运费、人工费、交通费、食宿费、数据收集及购买资料费用，采样费（</w:t>
      </w:r>
      <w:r>
        <w:rPr>
          <w:rFonts w:hint="eastAsia" w:ascii="宋体" w:hAnsi="宋体"/>
          <w:sz w:val="24"/>
          <w:highlight w:val="none"/>
        </w:rPr>
        <w:t xml:space="preserve">样品的抽取、处置、传送和贮存、制备）</w:t>
      </w:r>
      <w:r>
        <w:rPr>
          <w:rFonts w:hint="eastAsia" w:ascii="宋体" w:hAnsi="宋体"/>
          <w:sz w:val="24"/>
          <w:highlight w:val="none"/>
          <w:lang w:val="zh-CN"/>
        </w:rPr>
        <w:t xml:space="preserve">、平行样送检费用、</w:t>
      </w:r>
      <w:r>
        <w:rPr>
          <w:rFonts w:hint="eastAsia" w:ascii="宋体" w:hAnsi="宋体"/>
          <w:sz w:val="24"/>
          <w:highlight w:val="none"/>
        </w:rPr>
        <w:t xml:space="preserve">测量不确定度的</w:t>
      </w:r>
      <w:r>
        <w:rPr>
          <w:rFonts w:hint="eastAsia" w:ascii="宋体" w:hAnsi="宋体"/>
          <w:sz w:val="24"/>
          <w:highlight w:val="none"/>
          <w:lang w:val="zh-CN"/>
        </w:rPr>
        <w:t xml:space="preserve">检测、</w:t>
      </w:r>
      <w:r>
        <w:rPr>
          <w:rFonts w:hint="eastAsia" w:ascii="宋体" w:hAnsi="宋体"/>
          <w:sz w:val="24"/>
          <w:highlight w:val="none"/>
        </w:rPr>
        <w:t xml:space="preserve">评估、检验数据的分析、记录等相关检测费用；</w:t>
      </w:r>
      <w:r>
        <w:rPr>
          <w:rFonts w:hint="eastAsia" w:ascii="宋体" w:hAnsi="宋体"/>
          <w:sz w:val="24"/>
          <w:highlight w:val="none"/>
          <w:lang w:val="zh-CN"/>
        </w:rPr>
        <w:t xml:space="preserve">同时，还应包括检测报告编制及电子、纸质文稿（含递送）费用、工期、安全及保险、税费和专家技术指导、咨询等</w:t>
      </w:r>
      <w:r>
        <w:rPr>
          <w:rFonts w:hint="eastAsia" w:ascii="宋体" w:hAnsi="宋体"/>
          <w:sz w:val="24"/>
          <w:highlight w:val="none"/>
        </w:rPr>
        <w:t xml:space="preserve">履行合同所有相关服务所需的一切费用以及风险。如有漏项，视同已包含在其它项目中，合同总价和单价不做调整。</w:t>
      </w:r>
      <w:r>
        <w:rPr>
          <w:highlight w:val="none"/>
        </w:rPr>
      </w:r>
      <w:r/>
    </w:p>
    <w:p>
      <w:pPr>
        <w:pStyle w:val="1008"/>
        <w:numPr>
          <w:ilvl w:val="0"/>
          <w:numId w:val="7"/>
        </w:numPr>
        <w:ind w:left="480" w:firstLine="0"/>
        <w:spacing w:line="360" w:lineRule="auto"/>
        <w:rPr>
          <w:rFonts w:hint="eastAsia" w:ascii="宋体" w:hAnsi="宋体"/>
          <w:bCs/>
          <w:sz w:val="24"/>
          <w:highlight w:val="none"/>
        </w:rPr>
      </w:pPr>
      <w:r>
        <w:rPr>
          <w:rFonts w:hint="eastAsia" w:ascii="宋体" w:hAnsi="宋体"/>
          <w:sz w:val="24"/>
          <w:highlight w:val="none"/>
          <w:lang w:val="zh-CN"/>
        </w:rPr>
        <w:t xml:space="preserve">中标人在服务期间，将承担的检测服务转包、分包他人，或者出现数据弄虚作假，</w:t>
      </w:r>
      <w:r>
        <w:rPr>
          <w:highlight w:val="none"/>
        </w:rPr>
      </w:r>
      <w:r/>
    </w:p>
    <w:p>
      <w:pPr>
        <w:pStyle w:val="1008"/>
        <w:numPr>
          <w:ilvl w:val="0"/>
          <w:numId w:val="0"/>
        </w:numPr>
        <w:spacing w:line="360" w:lineRule="auto"/>
        <w:rPr>
          <w:rFonts w:hint="eastAsia" w:ascii="宋体" w:hAnsi="宋体"/>
          <w:bCs/>
          <w:sz w:val="24"/>
          <w:highlight w:val="none"/>
        </w:rPr>
      </w:pPr>
      <w:r>
        <w:rPr>
          <w:rFonts w:hint="eastAsia" w:ascii="宋体" w:hAnsi="宋体"/>
          <w:sz w:val="24"/>
          <w:highlight w:val="none"/>
          <w:lang w:val="zh-CN"/>
        </w:rPr>
        <w:t xml:space="preserve">将被解除服务合同，停止支付服务费</w:t>
      </w:r>
      <w:r>
        <w:rPr>
          <w:rFonts w:hint="eastAsia" w:ascii="宋体" w:hAnsi="宋体"/>
          <w:sz w:val="24"/>
          <w:highlight w:val="none"/>
        </w:rPr>
        <w:t xml:space="preserve">，情节严重的，</w:t>
      </w:r>
      <w:r>
        <w:rPr>
          <w:rFonts w:hint="eastAsia" w:ascii="宋体" w:hAnsi="宋体"/>
          <w:bCs/>
          <w:sz w:val="24"/>
          <w:highlight w:val="none"/>
        </w:rPr>
        <w:t xml:space="preserve">推送至信用平台</w:t>
      </w:r>
      <w:r>
        <w:rPr>
          <w:highlight w:val="none"/>
        </w:rPr>
      </w:r>
      <w:r/>
    </w:p>
    <w:p>
      <w:pPr>
        <w:pStyle w:val="1008"/>
        <w:spacing w:line="440" w:lineRule="exact"/>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r>
      <w:r>
        <w:rPr>
          <w:highlight w:val="none"/>
        </w:rPr>
      </w:r>
      <w:r/>
    </w:p>
    <w:p>
      <w:pPr>
        <w:pStyle w:val="1008"/>
        <w:ind w:firstLine="482"/>
        <w:spacing w:line="440" w:lineRule="exact"/>
        <w:rPr>
          <w:rFonts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十一</w:t>
      </w:r>
      <w:r>
        <w:rPr>
          <w:rFonts w:hint="eastAsia" w:ascii="Times New Roman" w:hAnsi="Times New Roman" w:eastAsia="宋体" w:cs="宋体"/>
          <w:b/>
          <w:bCs/>
          <w:sz w:val="24"/>
          <w:highlight w:val="none"/>
          <w:lang w:val="zh-CN"/>
        </w:rPr>
        <w:t xml:space="preserve">、所属行业</w:t>
      </w:r>
      <w:r>
        <w:rPr>
          <w:highlight w:val="none"/>
        </w:rPr>
      </w:r>
      <w:r/>
    </w:p>
    <w:p>
      <w:pPr>
        <w:pStyle w:val="1008"/>
        <w:ind w:firstLine="480"/>
        <w:spacing w:line="440" w:lineRule="exact"/>
        <w:rPr>
          <w:rFonts w:ascii="Times New Roman" w:hAnsi="Times New Roman" w:eastAsia="宋体" w:cs="宋体"/>
          <w:sz w:val="24"/>
          <w:highlight w:val="none"/>
        </w:rPr>
      </w:pPr>
      <w:r>
        <w:rPr>
          <w:rFonts w:hint="eastAsia" w:cs="宋体"/>
          <w:b/>
          <w:bCs/>
          <w:color w:val="000000"/>
          <w:sz w:val="24"/>
          <w:szCs w:val="24"/>
          <w:highlight w:val="none"/>
        </w:rPr>
        <w:t xml:space="preserve">采购标的的所属行业为其他未列明行业，根据《工业和信息化部、国家统计局、国家发展和改革委员会、财政部关于印发中小企业划型标准规定的通知》（工信部联企业[2011]300号）规定的划分标准填写。</w:t>
      </w:r>
      <w:r>
        <w:rPr>
          <w:highlight w:val="none"/>
        </w:rPr>
      </w:r>
      <w:r/>
    </w:p>
    <w:p>
      <w:pPr>
        <w:pStyle w:val="1008"/>
        <w:numPr>
          <w:ilvl w:val="0"/>
          <w:numId w:val="0"/>
        </w:numPr>
        <w:jc w:val="both"/>
        <w:spacing w:line="360" w:lineRule="auto"/>
        <w:widowControl w:val="off"/>
        <w:rPr>
          <w:rFonts w:hint="eastAsia" w:ascii="宋体" w:hAnsi="宋体"/>
          <w:bCs/>
          <w:sz w:val="24"/>
          <w:highlight w:val="none"/>
        </w:rPr>
        <w:sectPr>
          <w:footerReference w:type="default" r:id="rId14"/>
          <w:footnotePr/>
          <w:endnotePr/>
          <w:type w:val="nextPage"/>
          <w:pgSz w:w="11907" w:h="16840" w:orient="portrait"/>
          <w:pgMar w:top="1419" w:right="1415" w:bottom="1290" w:left="1253" w:header="0" w:footer="1079" w:gutter="0"/>
          <w:cols w:num="1" w:sep="0" w:space="1701" w:equalWidth="1"/>
          <w:docGrid w:linePitch="360"/>
        </w:sectPr>
      </w:pPr>
      <w:r>
        <w:rPr>
          <w:rFonts w:hint="eastAsia" w:ascii="宋体" w:hAnsi="宋体"/>
          <w:bCs/>
          <w:sz w:val="24"/>
          <w:highlight w:val="none"/>
        </w:rPr>
      </w:r>
      <w:r>
        <w:rPr>
          <w:highlight w:val="none"/>
        </w:rPr>
      </w:r>
      <w:r/>
    </w:p>
    <w:p>
      <w:pPr>
        <w:pStyle w:val="1008"/>
        <w:numPr>
          <w:ilvl w:val="0"/>
          <w:numId w:val="6"/>
        </w:numPr>
        <w:jc w:val="center"/>
        <w:spacing w:line="360" w:lineRule="auto"/>
        <w:rPr>
          <w:b/>
          <w:sz w:val="44"/>
          <w:szCs w:val="44"/>
          <w:highlight w:val="none"/>
        </w:rPr>
      </w:pPr>
      <w:r>
        <w:rPr>
          <w:b/>
          <w:sz w:val="44"/>
          <w:szCs w:val="44"/>
          <w:highlight w:val="none"/>
        </w:rPr>
        <w:t xml:space="preserve">评审方法和评审标准</w:t>
      </w:r>
      <w:bookmarkEnd w:id="139"/>
      <w:r>
        <w:rPr>
          <w:highlight w:val="none"/>
        </w:rPr>
      </w:r>
      <w:r/>
    </w:p>
    <w:p>
      <w:pPr>
        <w:pStyle w:val="1008"/>
        <w:ind w:firstLine="480"/>
        <w:spacing w:line="360" w:lineRule="auto"/>
        <w:rPr>
          <w:sz w:val="24"/>
          <w:highlight w:val="none"/>
        </w:rPr>
      </w:pPr>
      <w:r>
        <w:rPr>
          <w:sz w:val="24"/>
          <w:highlight w:val="none"/>
        </w:rPr>
      </w:r>
      <w:r>
        <w:rPr>
          <w:highlight w:val="none"/>
        </w:rPr>
      </w:r>
      <w:r/>
    </w:p>
    <w:p>
      <w:pPr>
        <w:pStyle w:val="1008"/>
        <w:ind w:firstLine="482"/>
        <w:spacing w:line="360" w:lineRule="auto"/>
        <w:rPr>
          <w:b/>
          <w:color w:val="000000"/>
          <w:sz w:val="24"/>
          <w:highlight w:val="none"/>
        </w:rPr>
      </w:pPr>
      <w:r>
        <w:rPr>
          <w:rFonts w:hint="eastAsia"/>
          <w:b/>
          <w:color w:val="000000"/>
          <w:sz w:val="24"/>
          <w:highlight w:val="none"/>
        </w:rPr>
        <w:t xml:space="preserve">一、定标原则</w:t>
      </w:r>
      <w:r>
        <w:rPr>
          <w:highlight w:val="none"/>
        </w:rPr>
      </w:r>
      <w:r/>
    </w:p>
    <w:p>
      <w:pPr>
        <w:pStyle w:val="1008"/>
        <w:ind w:firstLine="480"/>
        <w:spacing w:line="360" w:lineRule="auto"/>
        <w:rPr>
          <w:rFonts w:hint="eastAsia" w:ascii="宋体" w:hAnsi="宋体" w:cs="Courier New"/>
          <w:bCs/>
          <w:color w:val="000000"/>
          <w:sz w:val="24"/>
          <w:highlight w:val="none"/>
        </w:rPr>
      </w:pPr>
      <w:r>
        <w:rPr>
          <w:rFonts w:hint="eastAsia"/>
          <w:color w:val="000000"/>
          <w:sz w:val="24"/>
          <w:highlight w:val="none"/>
        </w:rPr>
        <w:t xml:space="preserve">本项目采用</w:t>
      </w:r>
      <w:r>
        <w:rPr>
          <w:color w:val="000000"/>
          <w:sz w:val="24"/>
          <w:highlight w:val="none"/>
        </w:rPr>
        <w:t xml:space="preserve"> </w:t>
      </w:r>
      <w:r>
        <w:rPr>
          <w:rFonts w:hint="eastAsia" w:ascii="宋体" w:hAnsi="宋体" w:cs="Courier New"/>
          <w:b/>
          <w:color w:val="000000"/>
          <w:sz w:val="24"/>
          <w:highlight w:val="none"/>
          <w:u w:val="single"/>
        </w:rPr>
        <w:t xml:space="preserve">最低评标价</w:t>
      </w:r>
      <w:r>
        <w:rPr>
          <w:b/>
          <w:color w:val="000000"/>
          <w:sz w:val="24"/>
          <w:highlight w:val="none"/>
        </w:rPr>
        <w:t xml:space="preserve"> </w:t>
      </w:r>
      <w:r>
        <w:rPr>
          <w:rFonts w:hint="eastAsia"/>
          <w:color w:val="000000"/>
          <w:sz w:val="24"/>
          <w:highlight w:val="none"/>
        </w:rPr>
        <w:t xml:space="preserve">法。</w:t>
      </w:r>
      <w:r>
        <w:rPr>
          <w:rFonts w:hint="eastAsia" w:ascii="宋体" w:hAnsi="宋体" w:cs="Courier New"/>
          <w:bCs/>
          <w:color w:val="000000"/>
          <w:sz w:val="24"/>
          <w:highlight w:val="none"/>
        </w:rPr>
        <w:t xml:space="preserve">评标结果按投标报价（因落实政府采购政策需进行价格扣除的，以扣除后的价格计算）由低到高顺序排列。投标报价相同的，由评标委员会组织通过抽签的方式确定中标候选人的排序。投标文件满足招标文件全部实质性要求且投标报价最低的投标人为排名第一的中标候选人，本项目选取1名中标候选人。</w:t>
      </w:r>
      <w:r>
        <w:rPr>
          <w:highlight w:val="none"/>
        </w:rPr>
      </w:r>
      <w:r/>
    </w:p>
    <w:p>
      <w:pPr>
        <w:pStyle w:val="1131"/>
        <w:ind w:firstLine="480"/>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政府采购政策功能落实</w:t>
      </w:r>
      <w:r>
        <w:rPr>
          <w:highlight w:val="none"/>
        </w:rPr>
      </w:r>
      <w:r/>
    </w:p>
    <w:p>
      <w:pPr>
        <w:pStyle w:val="1131"/>
        <w:numPr>
          <w:ilvl w:val="0"/>
          <w:numId w:val="8"/>
        </w:numPr>
        <w:ind w:firstLine="480"/>
        <w:spacing w:line="500" w:lineRule="exact"/>
        <w:rPr>
          <w:rFonts w:ascii="宋体" w:hAnsi="宋体" w:cs="宋体"/>
          <w:b/>
          <w:bCs/>
          <w:sz w:val="24"/>
          <w:szCs w:val="24"/>
          <w:highlight w:val="none"/>
        </w:rPr>
      </w:pPr>
      <w:r>
        <w:rPr>
          <w:rFonts w:hint="eastAsia" w:ascii="宋体" w:hAnsi="宋体" w:cs="宋体"/>
          <w:b/>
          <w:bCs/>
          <w:sz w:val="24"/>
          <w:szCs w:val="24"/>
          <w:highlight w:val="none"/>
        </w:rPr>
        <w:t xml:space="preserve">小微型企业</w:t>
      </w:r>
      <w:r>
        <w:rPr>
          <w:highlight w:val="none"/>
        </w:rPr>
      </w:r>
      <w:r/>
    </w:p>
    <w:p>
      <w:pPr>
        <w:pStyle w:val="1131"/>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（1）本项目专门面向中小企业采购，不再对小型和微型企业服务给予价格扣除。</w:t>
      </w:r>
      <w:r>
        <w:rPr>
          <w:highlight w:val="none"/>
        </w:rPr>
      </w:r>
      <w:r/>
    </w:p>
    <w:p>
      <w:pPr>
        <w:pStyle w:val="1131"/>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（2）供应商需按照采购文件的要求提供相应的《中小微企业声明函》。</w:t>
      </w:r>
      <w:r>
        <w:rPr>
          <w:highlight w:val="none"/>
        </w:rPr>
      </w:r>
      <w:r/>
    </w:p>
    <w:p>
      <w:pPr>
        <w:pStyle w:val="1131"/>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（3）企业标准请参照《关于印发中小企业划型标准规定的通知》（工信部联企业[2011]300号）文件规定自行填写。</w:t>
      </w:r>
      <w:r>
        <w:rPr>
          <w:highlight w:val="none"/>
        </w:rPr>
      </w:r>
      <w:r/>
    </w:p>
    <w:p>
      <w:pPr>
        <w:pStyle w:val="1131"/>
        <w:ind w:firstLine="480"/>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2、残疾人福利单位</w:t>
      </w:r>
      <w:r>
        <w:rPr>
          <w:highlight w:val="none"/>
        </w:rPr>
      </w:r>
      <w:r/>
    </w:p>
    <w:p>
      <w:pPr>
        <w:pStyle w:val="113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（1）本项目对残疾人福利性单位视同小型、微型企业。</w:t>
      </w:r>
      <w:r>
        <w:rPr>
          <w:highlight w:val="none"/>
        </w:rPr>
      </w:r>
      <w:r/>
    </w:p>
    <w:p>
      <w:pPr>
        <w:pStyle w:val="113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（2）残疾人福利单位需按照采购文件的要求提供《残疾人福利性单位声明函》。</w:t>
      </w:r>
      <w:r>
        <w:rPr>
          <w:highlight w:val="none"/>
        </w:rPr>
      </w:r>
      <w:r/>
    </w:p>
    <w:p>
      <w:pPr>
        <w:pStyle w:val="113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（3）残疾人福利单位标准请参照《关于促进残疾人就业政府采购政策的通知》（财库〔2017〕141号）。</w:t>
      </w:r>
      <w:r>
        <w:rPr>
          <w:highlight w:val="none"/>
        </w:rPr>
      </w:r>
      <w:r/>
    </w:p>
    <w:p>
      <w:pPr>
        <w:pStyle w:val="1131"/>
        <w:ind w:firstLine="480"/>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3、监狱和戒毒企业</w:t>
      </w:r>
      <w:r>
        <w:rPr>
          <w:highlight w:val="none"/>
        </w:rPr>
      </w:r>
      <w:r/>
    </w:p>
    <w:p>
      <w:pPr>
        <w:pStyle w:val="113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（1）本项目对监狱和戒毒企业（简称监狱企业）视同小型、微型企业。</w:t>
      </w:r>
      <w:r>
        <w:rPr>
          <w:highlight w:val="none"/>
        </w:rPr>
      </w:r>
      <w:r/>
    </w:p>
    <w:p>
      <w:pPr>
        <w:pStyle w:val="113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pStyle w:val="113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（3）监狱企业标准请参照《关于政府采购支持监狱企业发展有关问题的通知》（财库[2014]68号）。</w:t>
      </w:r>
      <w:r>
        <w:rPr>
          <w:highlight w:val="none"/>
        </w:rPr>
      </w:r>
      <w:r/>
    </w:p>
    <w:p>
      <w:pPr>
        <w:pStyle w:val="113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4、残疾人福利单位、监狱企业属于小型、微型企业的，不重复享受政策。</w:t>
      </w:r>
      <w:r>
        <w:rPr>
          <w:highlight w:val="none"/>
        </w:rPr>
      </w:r>
      <w:r/>
    </w:p>
    <w:p>
      <w:pPr>
        <w:pStyle w:val="113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cs="宋体"/>
          <w:color w:val="000000"/>
          <w:sz w:val="24"/>
          <w:highlight w:val="none"/>
          <w:lang w:eastAsia="zh-CN"/>
        </w:rPr>
        <w:t xml:space="preserve">投标文件</w:t>
      </w:r>
      <w:r>
        <w:rPr>
          <w:rFonts w:hint="eastAsia" w:ascii="宋体" w:hAnsi="宋体" w:cs="宋体"/>
          <w:color w:val="000000"/>
          <w:sz w:val="24"/>
          <w:highlight w:val="none"/>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cs="宋体"/>
          <w:color w:val="000000"/>
          <w:sz w:val="24"/>
          <w:highlight w:val="none"/>
          <w:lang w:eastAsia="zh-CN"/>
        </w:rPr>
        <w:t xml:space="preserve">投标文件</w:t>
      </w:r>
      <w:r>
        <w:rPr>
          <w:rFonts w:hint="eastAsia" w:ascii="宋体" w:hAnsi="宋体" w:cs="宋体"/>
          <w:color w:val="000000"/>
          <w:sz w:val="24"/>
          <w:highlight w:val="none"/>
        </w:rPr>
        <w:t xml:space="preserve">截止时已正式公布的最近一期信息为准，如属政府强制采购产品未提供认证证书的或认证证书提供不全的将视为未实质性响应采购要求。其他条件相同情况下，应当优先采购节能产品、环境标志产品。</w:t>
      </w:r>
      <w:r>
        <w:rPr>
          <w:highlight w:val="none"/>
        </w:rPr>
      </w:r>
      <w:r/>
    </w:p>
    <w:p>
      <w:pPr>
        <w:pStyle w:val="113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6、供应商对于投标产品的商品包装、快递包装应按照“财办库〔2020〕123号《关于印发《商品包装政府采购需求标准（试行）》、《快递包装政府采购需求标准（试行）》的通知》”执行。</w:t>
      </w:r>
      <w:r>
        <w:rPr>
          <w:highlight w:val="none"/>
        </w:rPr>
      </w:r>
      <w:r/>
    </w:p>
    <w:p>
      <w:pPr>
        <w:pStyle w:val="113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7、本文件中若涉及到数据中心采购，应按照《&lt;绿色数据中心政府采购需求标准（试行）&gt;的通知》（财库〔2023〕7号）执行。</w:t>
      </w:r>
      <w:r>
        <w:rPr>
          <w:highlight w:val="none"/>
        </w:rPr>
      </w:r>
      <w:r/>
    </w:p>
    <w:p>
      <w:pPr>
        <w:pStyle w:val="1008"/>
        <w:ind w:firstLine="480"/>
        <w:spacing w:line="360" w:lineRule="auto"/>
        <w:rPr>
          <w:color w:val="000000"/>
          <w:sz w:val="24"/>
          <w:highlight w:val="none"/>
        </w:rPr>
      </w:pPr>
      <w:r>
        <w:rPr>
          <w:color w:val="000000"/>
          <w:sz w:val="24"/>
          <w:highlight w:val="none"/>
        </w:rPr>
      </w:r>
      <w:r>
        <w:rPr>
          <w:highlight w:val="none"/>
        </w:rPr>
      </w:r>
      <w:r/>
    </w:p>
    <w:p>
      <w:pPr>
        <w:pStyle w:val="1008"/>
        <w:jc w:val="center"/>
        <w:spacing w:line="360" w:lineRule="auto"/>
        <w:rPr>
          <w:bCs/>
          <w:sz w:val="44"/>
          <w:szCs w:val="44"/>
          <w:highlight w:val="none"/>
        </w:rPr>
        <w:outlineLvl w:val="1"/>
      </w:pPr>
      <w:r>
        <w:rPr>
          <w:bCs/>
          <w:sz w:val="44"/>
          <w:szCs w:val="44"/>
          <w:highlight w:val="none"/>
        </w:rPr>
      </w:r>
      <w:r>
        <w:rPr>
          <w:highlight w:val="none"/>
        </w:rPr>
      </w:r>
      <w:r/>
    </w:p>
    <w:p>
      <w:pPr>
        <w:pStyle w:val="1008"/>
        <w:jc w:val="center"/>
        <w:spacing w:line="360" w:lineRule="auto"/>
        <w:rPr>
          <w:bCs/>
          <w:sz w:val="44"/>
          <w:szCs w:val="44"/>
          <w:highlight w:val="none"/>
        </w:rPr>
        <w:outlineLvl w:val="1"/>
      </w:pPr>
      <w:r>
        <w:rPr>
          <w:bCs/>
          <w:sz w:val="44"/>
          <w:szCs w:val="44"/>
          <w:highlight w:val="none"/>
        </w:rPr>
      </w:r>
      <w:r>
        <w:rPr>
          <w:highlight w:val="none"/>
        </w:rPr>
      </w:r>
      <w:r/>
    </w:p>
    <w:p>
      <w:pPr>
        <w:pStyle w:val="1064"/>
        <w:spacing w:after="0"/>
        <w:rPr>
          <w:bCs/>
          <w:sz w:val="44"/>
          <w:szCs w:val="44"/>
          <w:highlight w:val="none"/>
        </w:rPr>
      </w:pPr>
      <w:r>
        <w:rPr>
          <w:bCs/>
          <w:sz w:val="44"/>
          <w:szCs w:val="44"/>
          <w:highlight w:val="none"/>
        </w:rPr>
      </w:r>
      <w:r>
        <w:rPr>
          <w:highlight w:val="none"/>
        </w:rPr>
      </w:r>
      <w:r/>
    </w:p>
    <w:p>
      <w:pPr>
        <w:pStyle w:val="1129"/>
        <w:spacing w:line="360" w:lineRule="auto"/>
        <w:rPr>
          <w:bCs/>
          <w:sz w:val="44"/>
          <w:szCs w:val="44"/>
          <w:highlight w:val="none"/>
        </w:rPr>
      </w:pPr>
      <w:r>
        <w:rPr>
          <w:bCs/>
          <w:sz w:val="44"/>
          <w:szCs w:val="44"/>
          <w:highlight w:val="none"/>
        </w:rPr>
      </w:r>
      <w:r>
        <w:rPr>
          <w:highlight w:val="none"/>
        </w:rPr>
      </w:r>
      <w:r/>
    </w:p>
    <w:p>
      <w:pPr>
        <w:pStyle w:val="1008"/>
        <w:spacing w:line="360" w:lineRule="auto"/>
        <w:rPr>
          <w:bCs/>
          <w:sz w:val="44"/>
          <w:szCs w:val="44"/>
          <w:highlight w:val="none"/>
        </w:rPr>
      </w:pPr>
      <w:r>
        <w:rPr>
          <w:bCs/>
          <w:sz w:val="44"/>
          <w:szCs w:val="44"/>
          <w:highlight w:val="none"/>
        </w:rPr>
      </w:r>
      <w:r>
        <w:rPr>
          <w:highlight w:val="none"/>
        </w:rPr>
      </w:r>
      <w:r/>
    </w:p>
    <w:p>
      <w:pPr>
        <w:pStyle w:val="1064"/>
        <w:spacing w:after="0"/>
        <w:rPr>
          <w:bCs/>
          <w:sz w:val="44"/>
          <w:szCs w:val="44"/>
          <w:highlight w:val="none"/>
        </w:rPr>
      </w:pPr>
      <w:r>
        <w:rPr>
          <w:bCs/>
          <w:sz w:val="44"/>
          <w:szCs w:val="44"/>
          <w:highlight w:val="none"/>
        </w:rPr>
      </w:r>
      <w:r>
        <w:rPr>
          <w:highlight w:val="none"/>
        </w:rPr>
      </w:r>
      <w:r/>
    </w:p>
    <w:p>
      <w:pPr>
        <w:pStyle w:val="1129"/>
        <w:spacing w:line="360" w:lineRule="auto"/>
        <w:rPr>
          <w:bCs/>
          <w:sz w:val="44"/>
          <w:szCs w:val="44"/>
          <w:highlight w:val="none"/>
        </w:rPr>
      </w:pPr>
      <w:r>
        <w:rPr>
          <w:bCs/>
          <w:sz w:val="44"/>
          <w:szCs w:val="44"/>
          <w:highlight w:val="none"/>
        </w:rPr>
      </w:r>
      <w:r>
        <w:rPr>
          <w:highlight w:val="none"/>
        </w:rPr>
      </w:r>
      <w:r/>
    </w:p>
    <w:p>
      <w:pPr>
        <w:pStyle w:val="1008"/>
        <w:spacing w:line="360" w:lineRule="auto"/>
        <w:rPr>
          <w:bCs/>
          <w:sz w:val="44"/>
          <w:szCs w:val="44"/>
          <w:highlight w:val="none"/>
        </w:rPr>
      </w:pPr>
      <w:r>
        <w:rPr>
          <w:bCs/>
          <w:sz w:val="44"/>
          <w:szCs w:val="44"/>
          <w:highlight w:val="none"/>
        </w:rPr>
      </w:r>
      <w:r>
        <w:rPr>
          <w:highlight w:val="none"/>
        </w:rPr>
      </w:r>
      <w:r/>
    </w:p>
    <w:p>
      <w:pPr>
        <w:pStyle w:val="1064"/>
        <w:spacing w:after="0"/>
        <w:rPr>
          <w:bCs/>
          <w:sz w:val="44"/>
          <w:szCs w:val="44"/>
          <w:highlight w:val="none"/>
        </w:rPr>
      </w:pPr>
      <w:r>
        <w:rPr>
          <w:bCs/>
          <w:sz w:val="44"/>
          <w:szCs w:val="44"/>
          <w:highlight w:val="none"/>
        </w:rPr>
      </w:r>
      <w:r>
        <w:rPr>
          <w:highlight w:val="none"/>
        </w:rPr>
      </w:r>
      <w:r/>
    </w:p>
    <w:p>
      <w:pPr>
        <w:pStyle w:val="1008"/>
        <w:jc w:val="center"/>
        <w:spacing w:line="360" w:lineRule="auto"/>
        <w:rPr>
          <w:bCs/>
          <w:sz w:val="44"/>
          <w:szCs w:val="44"/>
          <w:highlight w:val="none"/>
        </w:rPr>
        <w:outlineLvl w:val="1"/>
      </w:pPr>
      <w:r>
        <w:rPr>
          <w:bCs/>
          <w:sz w:val="44"/>
          <w:szCs w:val="44"/>
          <w:highlight w:val="none"/>
        </w:rPr>
        <w:t xml:space="preserve"> </w:t>
      </w:r>
      <w:r>
        <w:rPr>
          <w:b/>
          <w:sz w:val="44"/>
          <w:szCs w:val="44"/>
          <w:highlight w:val="none"/>
        </w:rPr>
        <w:t xml:space="preserve">第六章  投标文件格式</w:t>
      </w:r>
      <w:bookmarkEnd w:id="140"/>
      <w:r>
        <w:rPr>
          <w:highlight w:val="none"/>
        </w:rPr>
      </w:r>
      <w:r/>
    </w:p>
    <w:p>
      <w:pPr>
        <w:pStyle w:val="1008"/>
        <w:jc w:val="center"/>
        <w:spacing w:line="360" w:lineRule="auto"/>
        <w:rPr>
          <w:b/>
          <w:sz w:val="72"/>
          <w:szCs w:val="21"/>
          <w:highlight w:val="none"/>
        </w:rPr>
      </w:pPr>
      <w:r>
        <w:rPr>
          <w:b/>
          <w:sz w:val="72"/>
          <w:szCs w:val="21"/>
          <w:highlight w:val="none"/>
        </w:rPr>
      </w:r>
      <w:r>
        <w:rPr>
          <w:highlight w:val="none"/>
        </w:rPr>
      </w:r>
      <w:r/>
    </w:p>
    <w:p>
      <w:pPr>
        <w:pStyle w:val="1008"/>
        <w:jc w:val="center"/>
        <w:spacing w:line="360" w:lineRule="auto"/>
        <w:rPr>
          <w:b/>
          <w:sz w:val="72"/>
          <w:szCs w:val="21"/>
          <w:highlight w:val="none"/>
        </w:rPr>
      </w:pPr>
      <w:r>
        <w:rPr>
          <w:b/>
          <w:sz w:val="72"/>
          <w:szCs w:val="21"/>
          <w:highlight w:val="none"/>
        </w:rPr>
        <w:t xml:space="preserve"> </w:t>
      </w:r>
      <w:r>
        <w:rPr>
          <w:highlight w:val="none"/>
        </w:rPr>
      </w:r>
      <w:r/>
    </w:p>
    <w:p>
      <w:pPr>
        <w:pStyle w:val="1008"/>
        <w:jc w:val="center"/>
        <w:spacing w:line="360" w:lineRule="auto"/>
        <w:rPr>
          <w:b/>
          <w:sz w:val="72"/>
          <w:szCs w:val="21"/>
          <w:highlight w:val="none"/>
        </w:rPr>
      </w:pPr>
      <w:r>
        <w:rPr>
          <w:b/>
          <w:sz w:val="72"/>
          <w:szCs w:val="21"/>
          <w:highlight w:val="none"/>
        </w:rPr>
        <w:t xml:space="preserve"> </w:t>
      </w:r>
      <w:bookmarkStart w:id="149" w:name="_Toc19921_WPSOffice_Level1"/>
      <w:r>
        <w:rPr>
          <w:b/>
          <w:sz w:val="72"/>
          <w:szCs w:val="21"/>
          <w:highlight w:val="none"/>
        </w:rPr>
        <w:t xml:space="preserve">投 标 文 件</w:t>
      </w:r>
      <w:bookmarkEnd w:id="149"/>
      <w:r>
        <w:rPr>
          <w:highlight w:val="none"/>
        </w:rPr>
      </w:r>
      <w:r/>
    </w:p>
    <w:p>
      <w:pPr>
        <w:pStyle w:val="1111"/>
        <w:ind w:firstLine="0"/>
        <w:jc w:val="center"/>
        <w:spacing w:before="0" w:after="0"/>
        <w:rPr>
          <w:rFonts w:ascii="Times New Roman" w:hAnsi="Times New Roman"/>
          <w:b/>
          <w:bCs/>
          <w:sz w:val="32"/>
          <w:highlight w:val="none"/>
        </w:rPr>
      </w:pPr>
      <w:r>
        <w:rPr>
          <w:rFonts w:ascii="Times New Roman" w:hAnsi="Times New Roman"/>
          <w:b/>
          <w:bCs/>
          <w:sz w:val="32"/>
          <w:highlight w:val="none"/>
        </w:rPr>
      </w:r>
      <w:r>
        <w:rPr>
          <w:highlight w:val="none"/>
        </w:rPr>
      </w:r>
      <w:r/>
    </w:p>
    <w:p>
      <w:pPr>
        <w:pStyle w:val="1008"/>
        <w:ind w:firstLine="1084"/>
        <w:spacing w:line="360" w:lineRule="auto"/>
        <w:rPr>
          <w:b/>
          <w:sz w:val="36"/>
          <w:szCs w:val="21"/>
          <w:highlight w:val="none"/>
        </w:rPr>
      </w:pPr>
      <w:r>
        <w:rPr>
          <w:b/>
          <w:sz w:val="36"/>
          <w:szCs w:val="21"/>
          <w:highlight w:val="none"/>
        </w:rPr>
        <w:t xml:space="preserve">              </w:t>
      </w:r>
      <w:bookmarkStart w:id="150" w:name="_Toc25221_WPSOffice_Level1"/>
      <w:r>
        <w:rPr>
          <w:b/>
          <w:sz w:val="36"/>
          <w:szCs w:val="21"/>
          <w:highlight w:val="none"/>
        </w:rPr>
        <w:t xml:space="preserve">（正或副本）</w:t>
      </w:r>
      <w:bookmarkEnd w:id="150"/>
      <w:r>
        <w:rPr>
          <w:highlight w:val="none"/>
        </w:rPr>
      </w:r>
      <w:r/>
    </w:p>
    <w:p>
      <w:pPr>
        <w:pStyle w:val="1008"/>
        <w:ind w:firstLine="1084"/>
        <w:spacing w:line="360" w:lineRule="auto"/>
        <w:rPr>
          <w:b/>
          <w:sz w:val="36"/>
          <w:szCs w:val="21"/>
          <w:highlight w:val="none"/>
        </w:rPr>
      </w:pPr>
      <w:r>
        <w:rPr>
          <w:b/>
          <w:sz w:val="36"/>
          <w:szCs w:val="21"/>
          <w:highlight w:val="none"/>
        </w:rPr>
      </w:r>
      <w:r>
        <w:rPr>
          <w:highlight w:val="none"/>
        </w:rPr>
      </w:r>
      <w:r/>
    </w:p>
    <w:p>
      <w:pPr>
        <w:pStyle w:val="1008"/>
        <w:ind w:firstLine="1084"/>
        <w:spacing w:line="360" w:lineRule="auto"/>
        <w:rPr>
          <w:b/>
          <w:sz w:val="36"/>
          <w:szCs w:val="21"/>
          <w:highlight w:val="none"/>
        </w:rPr>
      </w:pPr>
      <w:r>
        <w:rPr>
          <w:b/>
          <w:sz w:val="36"/>
          <w:szCs w:val="21"/>
          <w:highlight w:val="none"/>
        </w:rPr>
      </w:r>
      <w:r>
        <w:rPr>
          <w:highlight w:val="none"/>
        </w:rPr>
      </w:r>
      <w:r/>
    </w:p>
    <w:p>
      <w:pPr>
        <w:pStyle w:val="1008"/>
        <w:ind w:firstLine="1084"/>
        <w:spacing w:line="360" w:lineRule="auto"/>
        <w:rPr>
          <w:b/>
          <w:sz w:val="36"/>
          <w:szCs w:val="21"/>
          <w:highlight w:val="none"/>
        </w:rPr>
      </w:pPr>
      <w:r>
        <w:rPr>
          <w:b/>
          <w:sz w:val="36"/>
          <w:szCs w:val="21"/>
          <w:highlight w:val="none"/>
        </w:rPr>
      </w:r>
      <w:r>
        <w:rPr>
          <w:highlight w:val="none"/>
        </w:rPr>
      </w:r>
      <w:r/>
    </w:p>
    <w:p>
      <w:pPr>
        <w:pStyle w:val="1008"/>
        <w:ind w:firstLine="1084"/>
        <w:spacing w:line="360" w:lineRule="auto"/>
        <w:rPr>
          <w:b/>
          <w:sz w:val="36"/>
          <w:szCs w:val="21"/>
          <w:highlight w:val="none"/>
        </w:rPr>
      </w:pPr>
      <w:r>
        <w:rPr>
          <w:b/>
          <w:sz w:val="36"/>
          <w:szCs w:val="21"/>
          <w:highlight w:val="none"/>
        </w:rPr>
      </w:r>
      <w:r>
        <w:rPr>
          <w:highlight w:val="none"/>
        </w:rPr>
      </w:r>
      <w:r/>
    </w:p>
    <w:p>
      <w:pPr>
        <w:pStyle w:val="1008"/>
        <w:ind w:firstLine="1084"/>
        <w:spacing w:line="360" w:lineRule="auto"/>
        <w:rPr>
          <w:b/>
          <w:sz w:val="36"/>
          <w:szCs w:val="21"/>
          <w:highlight w:val="none"/>
        </w:rPr>
      </w:pPr>
      <w:r>
        <w:rPr>
          <w:b/>
          <w:sz w:val="36"/>
          <w:szCs w:val="21"/>
          <w:highlight w:val="none"/>
        </w:rPr>
      </w:r>
      <w:r>
        <w:rPr>
          <w:highlight w:val="none"/>
        </w:rPr>
      </w:r>
      <w:r/>
    </w:p>
    <w:p>
      <w:pPr>
        <w:pStyle w:val="1008"/>
        <w:ind w:firstLine="1084"/>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t xml:space="preserve">项 目 名 称：</w:t>
      </w:r>
      <w:r>
        <w:rPr>
          <w:rFonts w:hint="eastAsia" w:ascii="宋体" w:hAnsi="宋体" w:cs="宋体"/>
          <w:b/>
          <w:bCs/>
          <w:sz w:val="36"/>
          <w:szCs w:val="36"/>
          <w:highlight w:val="none"/>
          <w:u w:val="single"/>
        </w:rPr>
        <w:t xml:space="preserve">                </w:t>
      </w:r>
      <w:r>
        <w:rPr>
          <w:rFonts w:hint="eastAsia" w:ascii="宋体" w:hAnsi="宋体" w:cs="宋体"/>
          <w:b/>
          <w:bCs/>
          <w:sz w:val="36"/>
          <w:szCs w:val="36"/>
          <w:highlight w:val="none"/>
        </w:rPr>
        <w:t xml:space="preserve">               </w:t>
      </w:r>
      <w:r>
        <w:rPr>
          <w:highlight w:val="none"/>
        </w:rPr>
      </w:r>
      <w:r/>
    </w:p>
    <w:p>
      <w:pPr>
        <w:pStyle w:val="1008"/>
        <w:ind w:firstLine="1084"/>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t xml:space="preserve">项 目 编 号：</w:t>
      </w:r>
      <w:r>
        <w:rPr>
          <w:rFonts w:hint="eastAsia" w:ascii="宋体" w:hAnsi="宋体" w:cs="宋体"/>
          <w:b/>
          <w:bCs/>
          <w:sz w:val="36"/>
          <w:szCs w:val="36"/>
          <w:highlight w:val="none"/>
          <w:u w:val="single"/>
        </w:rPr>
        <w:t xml:space="preserve">                </w:t>
      </w:r>
      <w:r>
        <w:rPr>
          <w:rFonts w:hint="eastAsia" w:ascii="宋体" w:hAnsi="宋体" w:cs="宋体"/>
          <w:b/>
          <w:bCs/>
          <w:sz w:val="36"/>
          <w:szCs w:val="36"/>
          <w:highlight w:val="none"/>
        </w:rPr>
        <w:t xml:space="preserve">               </w:t>
      </w:r>
      <w:r>
        <w:rPr>
          <w:highlight w:val="none"/>
        </w:rPr>
      </w:r>
      <w:r/>
    </w:p>
    <w:p>
      <w:pPr>
        <w:pStyle w:val="1008"/>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t xml:space="preserve">      投标人名称 ：</w:t>
      </w:r>
      <w:r>
        <w:rPr>
          <w:rFonts w:hint="eastAsia" w:ascii="宋体" w:hAnsi="宋体" w:cs="宋体"/>
          <w:b/>
          <w:bCs/>
          <w:sz w:val="36"/>
          <w:szCs w:val="36"/>
          <w:highlight w:val="none"/>
          <w:u w:val="single"/>
        </w:rPr>
        <w:t xml:space="preserve">                </w:t>
      </w:r>
      <w:r>
        <w:rPr>
          <w:rFonts w:hint="eastAsia" w:ascii="宋体" w:hAnsi="宋体" w:cs="宋体"/>
          <w:b/>
          <w:bCs/>
          <w:sz w:val="36"/>
          <w:szCs w:val="36"/>
          <w:highlight w:val="none"/>
        </w:rPr>
        <w:t xml:space="preserve">               </w:t>
      </w:r>
      <w:r>
        <w:rPr>
          <w:highlight w:val="none"/>
        </w:rPr>
      </w:r>
      <w:r/>
    </w:p>
    <w:p>
      <w:pPr>
        <w:pStyle w:val="1008"/>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t xml:space="preserve">      日      期 ：</w:t>
      </w:r>
      <w:r>
        <w:rPr>
          <w:rFonts w:hint="eastAsia" w:ascii="宋体" w:hAnsi="宋体" w:cs="宋体"/>
          <w:b/>
          <w:bCs/>
          <w:sz w:val="36"/>
          <w:szCs w:val="36"/>
          <w:highlight w:val="none"/>
          <w:u w:val="single"/>
        </w:rPr>
        <w:t xml:space="preserve">                </w:t>
      </w:r>
      <w:r>
        <w:rPr>
          <w:highlight w:val="none"/>
        </w:rPr>
      </w:r>
      <w:r/>
    </w:p>
    <w:p>
      <w:pPr>
        <w:pStyle w:val="1008"/>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 </w:t>
      </w:r>
      <w:r>
        <w:rPr>
          <w:highlight w:val="none"/>
        </w:rPr>
      </w:r>
      <w:r/>
    </w:p>
    <w:p>
      <w:pPr>
        <w:pStyle w:val="1064"/>
        <w:spacing w:after="0"/>
        <w:rPr>
          <w:rFonts w:hint="eastAsia"/>
          <w:highlight w:val="none"/>
        </w:rPr>
      </w:pPr>
      <w:r>
        <w:rPr>
          <w:rFonts w:hint="eastAsia"/>
          <w:highlight w:val="none"/>
        </w:rPr>
      </w:r>
      <w:r>
        <w:rPr>
          <w:highlight w:val="none"/>
        </w:rPr>
      </w:r>
      <w:r/>
    </w:p>
    <w:p>
      <w:pPr>
        <w:pStyle w:val="1064"/>
        <w:spacing w:after="0"/>
        <w:rPr>
          <w:rFonts w:hint="eastAsia"/>
          <w:highlight w:val="none"/>
        </w:rPr>
      </w:pPr>
      <w:r>
        <w:rPr>
          <w:rFonts w:hint="eastAsia"/>
          <w:highlight w:val="none"/>
        </w:rPr>
      </w:r>
      <w:r>
        <w:rPr>
          <w:highlight w:val="none"/>
        </w:rPr>
      </w:r>
      <w:r/>
    </w:p>
    <w:p>
      <w:pPr>
        <w:pStyle w:val="1064"/>
        <w:spacing w:after="0"/>
        <w:rPr>
          <w:rFonts w:hint="eastAsia"/>
          <w:highlight w:val="none"/>
        </w:rPr>
      </w:pPr>
      <w:r>
        <w:rPr>
          <w:rFonts w:hint="eastAsia"/>
          <w:highlight w:val="none"/>
        </w:rPr>
      </w:r>
      <w:r>
        <w:rPr>
          <w:highlight w:val="none"/>
        </w:rPr>
      </w:r>
      <w:r/>
    </w:p>
    <w:p>
      <w:pPr>
        <w:pStyle w:val="1052"/>
        <w:ind w:firstLine="600"/>
        <w:rPr>
          <w:rFonts w:hint="eastAsia"/>
          <w:highlight w:val="none"/>
        </w:rPr>
      </w:pPr>
      <w:r>
        <w:rPr>
          <w:highlight w:val="none"/>
        </w:rPr>
      </w:r>
      <w:bookmarkEnd w:id="141"/>
      <w:r>
        <w:rPr>
          <w:highlight w:val="none"/>
        </w:rPr>
      </w:r>
      <w:bookmarkEnd w:id="142"/>
      <w:r>
        <w:rPr>
          <w:highlight w:val="none"/>
        </w:rPr>
      </w:r>
      <w:bookmarkEnd w:id="143"/>
      <w:r>
        <w:rPr>
          <w:highlight w:val="none"/>
        </w:rPr>
      </w:r>
      <w:bookmarkStart w:id="151" w:name="_Toc19909_WPSOffice_Level1"/>
      <w:r>
        <w:rPr>
          <w:highlight w:val="none"/>
        </w:rPr>
      </w:r>
      <w:r/>
    </w:p>
    <w:p>
      <w:pPr>
        <w:pStyle w:val="1008"/>
        <w:jc w:val="center"/>
        <w:spacing w:line="360" w:lineRule="auto"/>
        <w:tabs>
          <w:tab w:val="left" w:pos="1725" w:leader="none"/>
          <w:tab w:val="center" w:pos="4417" w:leader="none"/>
        </w:tabs>
        <w:rPr>
          <w:rFonts w:hint="eastAsia" w:ascii="宋体" w:hAnsi="宋体" w:cs="宋体"/>
          <w:b/>
          <w:sz w:val="32"/>
          <w:szCs w:val="32"/>
          <w:highlight w:val="none"/>
        </w:rPr>
      </w:pPr>
      <w:r>
        <w:rPr>
          <w:rFonts w:hint="eastAsia" w:ascii="宋体" w:hAnsi="宋体" w:cs="宋体"/>
          <w:b/>
          <w:sz w:val="32"/>
          <w:szCs w:val="32"/>
          <w:highlight w:val="none"/>
        </w:rPr>
        <w:t xml:space="preserve">投标文件主要内容（包括但不限于）</w:t>
      </w:r>
      <w:bookmarkEnd w:id="151"/>
      <w:r>
        <w:rPr>
          <w:highlight w:val="none"/>
        </w:rPr>
      </w:r>
      <w:r/>
    </w:p>
    <w:p>
      <w:pPr>
        <w:pStyle w:val="1008"/>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一、资信证明文件</w:t>
      </w:r>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二、资格性审查响应对照表</w:t>
      </w:r>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三、符合性检查响应对照表</w:t>
      </w:r>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四、投标函</w:t>
      </w:r>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五、开标一览表</w:t>
      </w:r>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六、分项报价表</w:t>
      </w:r>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七、技术参数响应及偏离表</w:t>
      </w:r>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八、商务响应及偏离表</w:t>
      </w:r>
      <w:r>
        <w:rPr>
          <w:highlight w:val="none"/>
        </w:rPr>
      </w:r>
      <w:r/>
    </w:p>
    <w:p>
      <w:pPr>
        <w:pStyle w:val="1064"/>
        <w:ind w:left="0" w:firstLine="480"/>
        <w:spacing w:after="0"/>
        <w:rPr>
          <w:rFonts w:hint="eastAsia" w:cs="宋体"/>
          <w:bCs/>
          <w:sz w:val="24"/>
          <w:szCs w:val="24"/>
          <w:highlight w:val="none"/>
        </w:rPr>
      </w:pPr>
      <w:r>
        <w:rPr>
          <w:rFonts w:hint="eastAsia" w:cs="宋体"/>
          <w:bCs/>
          <w:sz w:val="24"/>
          <w:szCs w:val="24"/>
          <w:highlight w:val="none"/>
        </w:rPr>
        <w:t xml:space="preserve">九、承诺函  </w:t>
      </w:r>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十、招标文件要求或投标人认为需要提供的其他材料</w:t>
      </w:r>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十一、盐城市政府采购事前信用承诺书</w:t>
      </w:r>
      <w:r>
        <w:rPr>
          <w:highlight w:val="none"/>
        </w:rPr>
      </w:r>
      <w:r/>
    </w:p>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r>
      <w:r>
        <w:rPr>
          <w:highlight w:val="none"/>
        </w:rPr>
      </w:r>
      <w:r/>
    </w:p>
    <w:p>
      <w:pPr>
        <w:pStyle w:val="1008"/>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rPr>
          <w:highlight w:val="none"/>
        </w:rPr>
      </w:r>
      <w:r/>
    </w:p>
    <w:p>
      <w:pPr>
        <w:pStyle w:val="1008"/>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rPr>
          <w:highlight w:val="none"/>
        </w:rPr>
      </w:r>
      <w:r/>
    </w:p>
    <w:p>
      <w:pPr>
        <w:pStyle w:val="1008"/>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rPr>
          <w:highlight w:val="none"/>
        </w:rPr>
      </w:r>
      <w:r/>
    </w:p>
    <w:p>
      <w:pPr>
        <w:pStyle w:val="1008"/>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rPr>
          <w:highlight w:val="none"/>
        </w:rPr>
      </w:r>
      <w:r/>
    </w:p>
    <w:p>
      <w:pPr>
        <w:pStyle w:val="1008"/>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rPr>
          <w:highlight w:val="none"/>
        </w:rPr>
      </w:r>
      <w:r/>
    </w:p>
    <w:p>
      <w:pPr>
        <w:pStyle w:val="1008"/>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rPr>
          <w:highlight w:val="none"/>
        </w:rPr>
      </w:r>
      <w:r/>
    </w:p>
    <w:p>
      <w:pPr>
        <w:pStyle w:val="1008"/>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rPr>
          <w:highlight w:val="none"/>
        </w:rPr>
      </w:r>
      <w:r/>
    </w:p>
    <w:p>
      <w:pPr>
        <w:pStyle w:val="1008"/>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rPr>
          <w:highlight w:val="none"/>
        </w:rPr>
      </w:r>
      <w:r/>
    </w:p>
    <w:p>
      <w:pPr>
        <w:pStyle w:val="1008"/>
        <w:jc w:val="center"/>
        <w:spacing w:line="360" w:lineRule="auto"/>
        <w:rPr>
          <w:rFonts w:hint="eastAsia" w:ascii="宋体" w:hAnsi="宋体" w:cs="宋体"/>
          <w:b/>
          <w:sz w:val="32"/>
          <w:szCs w:val="32"/>
          <w:highlight w:val="none"/>
        </w:rPr>
      </w:pPr>
      <w:r>
        <w:rPr>
          <w:highlight w:val="none"/>
        </w:rPr>
      </w:r>
      <w:bookmarkStart w:id="152" w:name="_Toc5360_WPSOffice_Level1"/>
      <w:r>
        <w:rPr>
          <w:highlight w:val="none"/>
        </w:rPr>
      </w:r>
      <w:r/>
    </w:p>
    <w:p>
      <w:pPr>
        <w:pStyle w:val="1069"/>
        <w:spacing w:line="360" w:lineRule="auto"/>
        <w:rPr>
          <w:rFonts w:hint="eastAsia" w:ascii="宋体" w:hAnsi="宋体" w:cs="宋体"/>
          <w:b/>
          <w:sz w:val="32"/>
          <w:szCs w:val="32"/>
          <w:highlight w:val="none"/>
        </w:rPr>
      </w:pPr>
      <w:r>
        <w:rPr>
          <w:rFonts w:hint="eastAsia" w:ascii="宋体" w:hAnsi="宋体" w:cs="宋体"/>
          <w:b/>
          <w:sz w:val="32"/>
          <w:szCs w:val="32"/>
          <w:highlight w:val="none"/>
        </w:rPr>
      </w:r>
      <w:r>
        <w:rPr>
          <w:highlight w:val="none"/>
        </w:rPr>
      </w:r>
      <w:r/>
    </w:p>
    <w:p>
      <w:pPr>
        <w:pStyle w:val="1008"/>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rPr>
          <w:highlight w:val="none"/>
        </w:rPr>
      </w:r>
      <w:r/>
    </w:p>
    <w:p>
      <w:pPr>
        <w:pStyle w:val="1008"/>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一、资信证明文件</w:t>
      </w:r>
      <w:bookmarkEnd w:id="152"/>
      <w:r>
        <w:rPr>
          <w:highlight w:val="none"/>
        </w:rPr>
      </w:r>
      <w:r/>
    </w:p>
    <w:p>
      <w:pPr>
        <w:pStyle w:val="1008"/>
        <w:spacing w:line="360" w:lineRule="auto"/>
        <w:rPr>
          <w:rFonts w:hint="eastAsia" w:ascii="宋体" w:hAnsi="宋体" w:cs="宋体"/>
          <w:sz w:val="24"/>
          <w:szCs w:val="20"/>
          <w:highlight w:val="none"/>
        </w:rPr>
      </w:pPr>
      <w:r>
        <w:rPr>
          <w:highlight w:val="none"/>
        </w:rPr>
      </w:r>
      <w:bookmarkStart w:id="153" w:name="_Hlt26955041"/>
      <w:r>
        <w:rPr>
          <w:highlight w:val="none"/>
        </w:rPr>
      </w:r>
      <w:bookmarkEnd w:id="153"/>
      <w:r>
        <w:rPr>
          <w:highlight w:val="none"/>
        </w:rPr>
      </w:r>
      <w:bookmarkStart w:id="154" w:name="_Toc513029281"/>
      <w:r>
        <w:rPr>
          <w:highlight w:val="none"/>
        </w:rPr>
      </w:r>
      <w:bookmarkStart w:id="155" w:name="_Toc23828483"/>
      <w:r>
        <w:rPr>
          <w:highlight w:val="none"/>
        </w:rPr>
      </w:r>
      <w:bookmarkStart w:id="156" w:name="_Toc24878535"/>
      <w:r>
        <w:rPr>
          <w:highlight w:val="none"/>
        </w:rPr>
      </w:r>
      <w:bookmarkStart w:id="157" w:name="_Toc26554103"/>
      <w:r>
        <w:rPr>
          <w:highlight w:val="none"/>
        </w:rPr>
      </w:r>
      <w:bookmarkStart w:id="158" w:name="_Toc22356583"/>
      <w:r>
        <w:rPr>
          <w:highlight w:val="none"/>
        </w:rPr>
      </w:r>
      <w:bookmarkStart w:id="159" w:name="_Toc120614291"/>
      <w:r>
        <w:rPr>
          <w:highlight w:val="none"/>
        </w:rPr>
      </w:r>
      <w:bookmarkStart w:id="160" w:name="_Toc49090582"/>
      <w:r>
        <w:rPr>
          <w:highlight w:val="none"/>
        </w:rPr>
      </w:r>
      <w:bookmarkStart w:id="161" w:name="_Toc120614284"/>
      <w:r>
        <w:rPr>
          <w:rFonts w:hint="eastAsia" w:ascii="宋体" w:hAnsi="宋体" w:cs="宋体"/>
          <w:b/>
          <w:bCs/>
          <w:sz w:val="24"/>
          <w:highlight w:val="none"/>
        </w:rPr>
        <w:t xml:space="preserve">1、实质性资格证明文件目录</w:t>
      </w:r>
      <w:r>
        <w:rPr>
          <w:highlight w:val="none"/>
        </w:rPr>
      </w:r>
      <w:r/>
    </w:p>
    <w:p>
      <w:pPr>
        <w:pStyle w:val="1008"/>
        <w:ind w:firstLine="482"/>
        <w:spacing w:line="360" w:lineRule="auto"/>
        <w:rPr>
          <w:rFonts w:hint="eastAsia" w:ascii="宋体" w:hAnsi="宋体" w:cs="宋体"/>
          <w:iCs/>
          <w:sz w:val="24"/>
          <w:highlight w:val="none"/>
          <w:u w:val="single"/>
        </w:rPr>
      </w:pPr>
      <w:r>
        <w:rPr>
          <w:rFonts w:hint="eastAsia" w:ascii="宋体" w:hAnsi="宋体" w:cs="宋体"/>
          <w:b/>
          <w:iCs/>
          <w:sz w:val="24"/>
          <w:highlight w:val="none"/>
          <w:u w:val="single"/>
        </w:rPr>
        <w:t xml:space="preserve">文件1  </w:t>
      </w:r>
      <w:r>
        <w:rPr>
          <w:rFonts w:hint="eastAsia" w:ascii="宋体" w:hAnsi="宋体" w:cs="宋体"/>
          <w:iCs/>
          <w:sz w:val="24"/>
          <w:highlight w:val="none"/>
          <w:u w:val="single"/>
        </w:rPr>
        <w:t xml:space="preserve">法人或者其他组织的营业执照等证明文件，自然人的身份证明（复印件盖章）；</w:t>
      </w:r>
      <w:r>
        <w:rPr>
          <w:highlight w:val="none"/>
        </w:rPr>
      </w:r>
      <w:r/>
    </w:p>
    <w:p>
      <w:pPr>
        <w:pStyle w:val="1008"/>
        <w:ind w:firstLine="482"/>
        <w:spacing w:line="360" w:lineRule="auto"/>
        <w:rPr>
          <w:rFonts w:hint="eastAsia" w:ascii="宋体" w:hAnsi="宋体" w:cs="宋体"/>
          <w:b/>
          <w:iCs/>
          <w:sz w:val="24"/>
          <w:highlight w:val="none"/>
          <w:u w:val="single"/>
        </w:rPr>
      </w:pPr>
      <w:r>
        <w:rPr>
          <w:rFonts w:hint="eastAsia" w:ascii="宋体" w:hAnsi="宋体" w:cs="宋体"/>
          <w:b/>
          <w:iCs/>
          <w:sz w:val="24"/>
          <w:highlight w:val="none"/>
          <w:u w:val="single"/>
        </w:rPr>
        <w:t xml:space="preserve">文件2  </w:t>
      </w:r>
      <w:r>
        <w:rPr>
          <w:rFonts w:hint="eastAsia" w:ascii="宋体" w:hAnsi="宋体" w:cs="宋体"/>
          <w:iCs/>
          <w:sz w:val="24"/>
          <w:highlight w:val="none"/>
          <w:u w:val="single"/>
        </w:rPr>
        <w:t xml:space="preserve">上一年度财务状况报表（复印件盖章，成立不满一年的无需提供）；</w:t>
      </w:r>
      <w:r>
        <w:rPr>
          <w:highlight w:val="none"/>
        </w:rPr>
      </w:r>
      <w:r/>
    </w:p>
    <w:p>
      <w:pPr>
        <w:pStyle w:val="1008"/>
        <w:ind w:firstLine="480"/>
        <w:spacing w:line="360" w:lineRule="auto"/>
        <w:rPr>
          <w:rFonts w:hint="eastAsia" w:ascii="宋体" w:hAnsi="宋体" w:cs="宋体"/>
          <w:iCs/>
          <w:sz w:val="24"/>
          <w:highlight w:val="none"/>
          <w:u w:val="single"/>
        </w:rPr>
      </w:pPr>
      <w:r>
        <w:rPr>
          <w:rFonts w:hint="eastAsia" w:ascii="宋体" w:hAnsi="宋体" w:cs="宋体"/>
          <w:b/>
          <w:iCs/>
          <w:sz w:val="24"/>
          <w:highlight w:val="none"/>
          <w:u w:val="single"/>
        </w:rPr>
        <w:t xml:space="preserve">文件3  </w:t>
      </w:r>
      <w:r>
        <w:rPr>
          <w:rFonts w:hint="eastAsia" w:ascii="宋体" w:hAnsi="宋体" w:cs="宋体"/>
          <w:iCs/>
          <w:sz w:val="24"/>
          <w:highlight w:val="none"/>
          <w:u w:val="single"/>
        </w:rPr>
        <w:t xml:space="preserve">依法缴纳税收和社会保障资金的相关材料（复印件盖章，提供投标文件截止时间前一年内至少一个月依法缴纳税收及缴纳社会保障资金的证明材料。供应商依法享受缓缴、免缴税收、社会保障资金的提供证明材料）；</w:t>
      </w:r>
      <w:r>
        <w:rPr>
          <w:highlight w:val="none"/>
        </w:rPr>
      </w:r>
      <w:r/>
    </w:p>
    <w:p>
      <w:pPr>
        <w:pStyle w:val="1008"/>
        <w:ind w:firstLine="482"/>
        <w:spacing w:line="360" w:lineRule="auto"/>
        <w:rPr>
          <w:rFonts w:hint="eastAsia" w:ascii="宋体" w:hAnsi="宋体" w:cs="宋体"/>
          <w:b/>
          <w:iCs/>
          <w:sz w:val="24"/>
          <w:highlight w:val="none"/>
          <w:u w:val="single"/>
        </w:rPr>
      </w:pPr>
      <w:r>
        <w:rPr>
          <w:rFonts w:hint="eastAsia" w:ascii="宋体" w:hAnsi="宋体" w:cs="宋体"/>
          <w:b/>
          <w:iCs/>
          <w:sz w:val="24"/>
          <w:highlight w:val="none"/>
          <w:u w:val="single"/>
        </w:rPr>
        <w:t xml:space="preserve">文件4  </w:t>
      </w:r>
      <w:r>
        <w:rPr>
          <w:rFonts w:hint="eastAsia" w:ascii="宋体" w:hAnsi="宋体" w:cs="宋体"/>
          <w:iCs/>
          <w:sz w:val="24"/>
          <w:highlight w:val="none"/>
          <w:u w:val="single"/>
        </w:rPr>
        <w:t xml:space="preserve">具备履行合同所必需的专业技术能力的书面声明（原件,格式见附表）；</w:t>
      </w:r>
      <w:r>
        <w:rPr>
          <w:highlight w:val="none"/>
        </w:rPr>
      </w:r>
      <w:r/>
    </w:p>
    <w:p>
      <w:pPr>
        <w:pStyle w:val="1008"/>
        <w:ind w:firstLine="482"/>
        <w:spacing w:line="360" w:lineRule="auto"/>
        <w:rPr>
          <w:rFonts w:hint="eastAsia" w:ascii="宋体" w:hAnsi="宋体" w:cs="宋体"/>
          <w:iCs/>
          <w:sz w:val="24"/>
          <w:highlight w:val="none"/>
          <w:u w:val="single"/>
        </w:rPr>
      </w:pPr>
      <w:r>
        <w:rPr>
          <w:rFonts w:hint="eastAsia" w:ascii="宋体" w:hAnsi="宋体" w:cs="宋体"/>
          <w:b/>
          <w:iCs/>
          <w:sz w:val="24"/>
          <w:highlight w:val="none"/>
          <w:u w:val="single"/>
        </w:rPr>
        <w:t xml:space="preserve">文件5  </w:t>
      </w:r>
      <w:r>
        <w:rPr>
          <w:rFonts w:hint="eastAsia" w:ascii="宋体" w:hAnsi="宋体" w:cs="宋体"/>
          <w:iCs/>
          <w:sz w:val="24"/>
          <w:highlight w:val="none"/>
          <w:u w:val="single"/>
        </w:rPr>
        <w:t xml:space="preserve">参加政府采购活动前 3 年内在经营活动中没有重大违法记录的书面声明（原件,格式见附表）；</w:t>
      </w:r>
      <w:r>
        <w:rPr>
          <w:highlight w:val="none"/>
        </w:rPr>
      </w:r>
      <w:r/>
    </w:p>
    <w:p>
      <w:pPr>
        <w:pStyle w:val="1095"/>
        <w:ind w:firstLine="482"/>
        <w:spacing w:line="360" w:lineRule="auto"/>
        <w:tabs>
          <w:tab w:val="left" w:pos="360" w:leader="none"/>
        </w:tabs>
        <w:rPr>
          <w:rFonts w:hint="eastAsia" w:ascii="宋体" w:hAnsi="宋体" w:cs="宋体"/>
          <w:iCs/>
          <w:highlight w:val="none"/>
          <w:u w:val="single"/>
        </w:rPr>
      </w:pPr>
      <w:r>
        <w:rPr>
          <w:rFonts w:hint="eastAsia" w:ascii="宋体" w:hAnsi="宋体" w:cs="宋体"/>
          <w:b/>
          <w:iCs/>
          <w:highlight w:val="none"/>
          <w:u w:val="single"/>
        </w:rPr>
        <w:t xml:space="preserve">文件6  </w:t>
      </w:r>
      <w:r>
        <w:rPr>
          <w:rFonts w:hint="eastAsia" w:ascii="宋体" w:hAnsi="宋体" w:cs="宋体"/>
          <w:iCs/>
          <w:highlight w:val="none"/>
          <w:u w:val="single"/>
        </w:rPr>
        <w:t xml:space="preserve">法人授权书（原件，格式见附表）；</w:t>
      </w:r>
      <w:r>
        <w:rPr>
          <w:highlight w:val="none"/>
        </w:rPr>
      </w:r>
      <w:r/>
    </w:p>
    <w:p>
      <w:pPr>
        <w:pStyle w:val="1008"/>
        <w:ind w:firstLine="480"/>
        <w:spacing w:line="360" w:lineRule="auto"/>
        <w:rPr>
          <w:rFonts w:ascii="宋体" w:hAnsi="宋体"/>
          <w:b/>
          <w:bCs/>
          <w:sz w:val="24"/>
          <w:highlight w:val="none"/>
          <w:u w:val="single"/>
        </w:rPr>
      </w:pPr>
      <w:r>
        <w:rPr>
          <w:rFonts w:hint="eastAsia" w:ascii="宋体" w:hAnsi="宋体"/>
          <w:b/>
          <w:bCs/>
          <w:sz w:val="24"/>
          <w:highlight w:val="none"/>
          <w:u w:val="single"/>
        </w:rPr>
        <w:t xml:space="preserve">文件7  </w:t>
      </w:r>
      <w:r>
        <w:rPr>
          <w:rFonts w:hint="eastAsia" w:ascii="宋体" w:hAnsi="宋体" w:cs="宋体"/>
          <w:iCs/>
          <w:sz w:val="24"/>
          <w:highlight w:val="none"/>
          <w:u w:val="single"/>
        </w:rPr>
        <w:t xml:space="preserve">中小企业声明函（原件，格式见附表）；</w:t>
      </w:r>
      <w:r>
        <w:rPr>
          <w:highlight w:val="none"/>
        </w:rPr>
      </w:r>
      <w:r/>
    </w:p>
    <w:p>
      <w:pPr>
        <w:pStyle w:val="1008"/>
        <w:ind w:firstLine="480"/>
        <w:spacing w:line="360" w:lineRule="auto"/>
        <w:rPr>
          <w:rFonts w:hint="eastAsia" w:ascii="宋体" w:hAnsi="宋体" w:cs="宋体"/>
          <w:sz w:val="24"/>
          <w:highlight w:val="none"/>
          <w:u w:val="single"/>
        </w:rPr>
      </w:pPr>
      <w:r>
        <w:rPr>
          <w:rFonts w:hint="eastAsia" w:ascii="宋体" w:hAnsi="宋体"/>
          <w:b/>
          <w:bCs/>
          <w:sz w:val="24"/>
          <w:highlight w:val="none"/>
          <w:u w:val="single"/>
        </w:rPr>
        <w:t xml:space="preserve">文件8 </w:t>
      </w:r>
      <w:r>
        <w:rPr>
          <w:rFonts w:hint="eastAsia" w:ascii="宋体" w:hAnsi="宋体"/>
          <w:sz w:val="24"/>
          <w:highlight w:val="none"/>
          <w:u w:val="single"/>
        </w:rPr>
        <w:t xml:space="preserve">本项目的特定资格要求</w:t>
      </w:r>
      <w:r>
        <w:rPr>
          <w:rFonts w:hint="eastAsia" w:ascii="宋体" w:hAnsi="宋体" w:eastAsia="Arial" w:cs="宋体"/>
          <w:sz w:val="24"/>
          <w:highlight w:val="none"/>
          <w:u w:val="single"/>
        </w:rPr>
        <w:t xml:space="preserve">（如果本项目设置特定资格要求，则需要提供）</w:t>
      </w:r>
      <w:r>
        <w:rPr>
          <w:rFonts w:hint="eastAsia" w:ascii="宋体" w:hAnsi="宋体" w:cs="宋体"/>
          <w:sz w:val="24"/>
          <w:highlight w:val="none"/>
          <w:u w:val="single"/>
        </w:rPr>
        <w:t xml:space="preserve">。</w:t>
      </w:r>
      <w:r>
        <w:rPr>
          <w:highlight w:val="none"/>
        </w:rPr>
      </w:r>
      <w:r/>
    </w:p>
    <w:p>
      <w:pPr>
        <w:pStyle w:val="1008"/>
        <w:ind w:firstLine="480"/>
        <w:spacing w:line="360" w:lineRule="auto"/>
        <w:rPr>
          <w:rFonts w:hint="eastAsia" w:ascii="宋体" w:hAnsi="宋体" w:eastAsia="Arial" w:cs="宋体"/>
          <w:sz w:val="24"/>
          <w:highlight w:val="none"/>
          <w:u w:val="single"/>
        </w:rPr>
      </w:pPr>
      <w:r>
        <w:rPr>
          <w:rFonts w:hint="eastAsia" w:ascii="宋体" w:hAnsi="宋体" w:eastAsia="Arial" w:cs="宋体"/>
          <w:sz w:val="24"/>
          <w:highlight w:val="none"/>
          <w:u w:val="single"/>
        </w:rPr>
      </w:r>
      <w:r>
        <w:rPr>
          <w:highlight w:val="none"/>
        </w:rPr>
      </w:r>
      <w:r/>
    </w:p>
    <w:p>
      <w:pPr>
        <w:pStyle w:val="1008"/>
        <w:ind w:left="239" w:firstLine="240"/>
        <w:jc w:val="left"/>
        <w:spacing w:line="360" w:lineRule="auto"/>
        <w:rPr>
          <w:rFonts w:hint="eastAsia" w:ascii="宋体" w:hAnsi="宋体" w:cs="宋体"/>
          <w:i/>
          <w:sz w:val="24"/>
          <w:highlight w:val="none"/>
          <w:u w:val="single"/>
        </w:rPr>
      </w:pPr>
      <w:r>
        <w:rPr>
          <w:rFonts w:hint="eastAsia" w:ascii="宋体" w:hAnsi="宋体" w:cs="宋体"/>
          <w:i/>
          <w:sz w:val="24"/>
          <w:highlight w:val="none"/>
          <w:u w:val="single"/>
        </w:rPr>
      </w:r>
      <w:r>
        <w:rPr>
          <w:highlight w:val="none"/>
        </w:rPr>
      </w:r>
      <w:r/>
    </w:p>
    <w:p>
      <w:pPr>
        <w:pStyle w:val="1008"/>
        <w:ind w:firstLine="240"/>
        <w:jc w:val="center"/>
        <w:spacing w:line="360" w:lineRule="auto"/>
        <w:rPr>
          <w:rFonts w:hint="eastAsia" w:ascii="宋体" w:hAnsi="宋体" w:cs="宋体"/>
          <w:sz w:val="24"/>
          <w:highlight w:val="none"/>
        </w:rPr>
      </w:pPr>
      <w:r>
        <w:rPr>
          <w:rFonts w:hint="eastAsia" w:ascii="宋体" w:hAnsi="宋体" w:cs="宋体"/>
          <w:sz w:val="24"/>
          <w:highlight w:val="none"/>
        </w:rPr>
      </w:r>
      <w:r>
        <w:rPr>
          <w:highlight w:val="none"/>
        </w:rPr>
      </w:r>
      <w:r/>
    </w:p>
    <w:p>
      <w:pPr>
        <w:pStyle w:val="1008"/>
        <w:ind w:firstLine="240"/>
        <w:jc w:val="center"/>
        <w:spacing w:line="360" w:lineRule="auto"/>
        <w:rPr>
          <w:rFonts w:hint="eastAsia" w:ascii="宋体" w:hAnsi="宋体" w:cs="宋体"/>
          <w:sz w:val="24"/>
          <w:highlight w:val="none"/>
        </w:rPr>
      </w:pPr>
      <w:r>
        <w:rPr>
          <w:rFonts w:hint="eastAsia" w:ascii="宋体" w:hAnsi="宋体" w:cs="宋体"/>
          <w:sz w:val="24"/>
          <w:highlight w:val="none"/>
        </w:rPr>
      </w:r>
      <w:r>
        <w:rPr>
          <w:highlight w:val="none"/>
        </w:rPr>
      </w:r>
      <w:r/>
    </w:p>
    <w:p>
      <w:pPr>
        <w:pStyle w:val="1011"/>
        <w:spacing w:before="0" w:after="0" w:line="360" w:lineRule="auto"/>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p>
      <w:pPr>
        <w:pStyle w:val="1011"/>
        <w:spacing w:before="0" w:after="0" w:line="360" w:lineRule="auto"/>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p>
      <w:pPr>
        <w:pStyle w:val="1008"/>
        <w:jc w:val="center"/>
        <w:spacing w:line="360" w:lineRule="auto"/>
        <w:rPr>
          <w:rFonts w:hint="eastAsia" w:ascii="宋体" w:hAnsi="宋体" w:cs="宋体"/>
          <w:b/>
          <w:sz w:val="24"/>
          <w:highlight w:val="none"/>
        </w:rPr>
      </w:pPr>
      <w:r>
        <w:rPr>
          <w:highlight w:val="none"/>
        </w:rPr>
      </w:r>
      <w:bookmarkStart w:id="162" w:name="_Toc18720"/>
      <w:r>
        <w:rPr>
          <w:rFonts w:hint="eastAsia" w:ascii="宋体" w:hAnsi="宋体" w:cs="宋体"/>
          <w:b/>
          <w:sz w:val="24"/>
          <w:highlight w:val="none"/>
        </w:rPr>
        <w:br w:type="page" w:clear="all"/>
      </w:r>
      <w:bookmarkEnd w:id="162"/>
      <w:r>
        <w:rPr>
          <w:highlight w:val="none"/>
        </w:rPr>
      </w:r>
      <w:r/>
    </w:p>
    <w:p>
      <w:pPr>
        <w:pStyle w:val="1008"/>
        <w:jc w:val="center"/>
        <w:spacing w:line="360" w:lineRule="auto"/>
        <w:rPr>
          <w:rFonts w:hint="eastAsia" w:ascii="黑体" w:hAnsi="黑体" w:eastAsia="黑体" w:cs="黑体"/>
          <w:bCs/>
          <w:i/>
          <w:color w:val="000000"/>
          <w:sz w:val="32"/>
          <w:szCs w:val="32"/>
          <w:highlight w:val="none"/>
          <w:u w:val="single"/>
        </w:rPr>
      </w:pPr>
      <w:r>
        <w:rPr>
          <w:rFonts w:hint="eastAsia" w:ascii="黑体" w:hAnsi="黑体" w:eastAsia="黑体" w:cs="黑体"/>
          <w:bCs/>
          <w:i/>
          <w:iCs/>
          <w:color w:val="000000"/>
          <w:sz w:val="32"/>
          <w:szCs w:val="32"/>
          <w:highlight w:val="none"/>
          <w:u w:val="single"/>
        </w:rPr>
        <w:t xml:space="preserve">具备履行合同所必需的设备和专业技术能力的书面声明</w:t>
      </w:r>
      <w:r>
        <w:rPr>
          <w:highlight w:val="none"/>
        </w:rPr>
      </w:r>
      <w:r/>
    </w:p>
    <w:p>
      <w:pPr>
        <w:pStyle w:val="1124"/>
        <w:ind w:firstLine="480"/>
        <w:jc w:val="both"/>
        <w:spacing w:beforeAutospacing="0" w:afterAutospacing="0" w:line="500" w:lineRule="exact"/>
        <w:rPr>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1124"/>
        <w:ind w:firstLine="480"/>
        <w:jc w:val="both"/>
        <w:spacing w:beforeAutospacing="0" w:afterAutospacing="0" w:line="500" w:lineRule="exact"/>
        <w:rPr>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rPr>
          <w:highlight w:val="none"/>
        </w:rPr>
      </w:r>
      <w:r/>
    </w:p>
    <w:p>
      <w:pPr>
        <w:pStyle w:val="1124"/>
        <w:ind w:firstLine="480"/>
        <w:jc w:val="both"/>
        <w:spacing w:beforeAutospacing="0" w:afterAutospacing="0" w:line="500" w:lineRule="exact"/>
        <w:rPr>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rPr>
          <w:highlight w:val="none"/>
        </w:rPr>
      </w:r>
      <w:r/>
    </w:p>
    <w:p>
      <w:pPr>
        <w:pStyle w:val="1008"/>
        <w:ind w:firstLine="4320"/>
        <w:spacing w:line="360" w:lineRule="auto"/>
        <w:rPr>
          <w:rFonts w:hint="eastAsia" w:ascii="宋体" w:hAnsi="宋体" w:cs="宋体"/>
          <w:bCs/>
          <w:sz w:val="24"/>
          <w:highlight w:val="none"/>
        </w:rPr>
      </w:pPr>
      <w:r>
        <w:rPr>
          <w:rFonts w:hint="eastAsia" w:ascii="宋体" w:hAnsi="宋体" w:cs="宋体"/>
          <w:bCs/>
          <w:sz w:val="24"/>
          <w:highlight w:val="none"/>
        </w:rPr>
      </w:r>
      <w:r>
        <w:rPr>
          <w:highlight w:val="none"/>
        </w:rPr>
      </w:r>
      <w:r/>
    </w:p>
    <w:p>
      <w:pPr>
        <w:pStyle w:val="1008"/>
        <w:ind w:firstLine="4320"/>
        <w:spacing w:line="360" w:lineRule="auto"/>
        <w:rPr>
          <w:rFonts w:hint="eastAsia" w:ascii="宋体" w:hAnsi="宋体" w:cs="宋体"/>
          <w:bCs/>
          <w:sz w:val="24"/>
          <w:highlight w:val="none"/>
        </w:rPr>
      </w:pPr>
      <w:r>
        <w:rPr>
          <w:rFonts w:hint="eastAsia" w:ascii="宋体" w:hAnsi="宋体" w:cs="宋体"/>
          <w:bCs/>
          <w:sz w:val="24"/>
          <w:highlight w:val="none"/>
        </w:rPr>
      </w:r>
      <w:r>
        <w:rPr>
          <w:highlight w:val="none"/>
        </w:rPr>
      </w:r>
      <w:r/>
    </w:p>
    <w:p>
      <w:pPr>
        <w:pStyle w:val="1008"/>
        <w:ind w:firstLine="4560"/>
        <w:spacing w:line="360" w:lineRule="auto"/>
        <w:rPr>
          <w:rFonts w:hint="eastAsia" w:ascii="宋体" w:hAnsi="宋体" w:cs="宋体"/>
          <w:bCs/>
          <w:sz w:val="24"/>
          <w:highlight w:val="none"/>
        </w:rPr>
      </w:pPr>
      <w:r>
        <w:rPr>
          <w:rFonts w:hint="eastAsia" w:ascii="宋体" w:hAnsi="宋体" w:cs="宋体"/>
          <w:bCs/>
          <w:sz w:val="24"/>
          <w:highlight w:val="none"/>
        </w:rPr>
        <w:t xml:space="preserve">供应商名称（公章）：</w:t>
      </w:r>
      <w:r>
        <w:rPr>
          <w:highlight w:val="none"/>
        </w:rPr>
      </w:r>
      <w:r/>
    </w:p>
    <w:p>
      <w:pPr>
        <w:pStyle w:val="1008"/>
        <w:spacing w:line="360" w:lineRule="auto"/>
        <w:rPr>
          <w:rFonts w:hint="eastAsia"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sz w:val="24"/>
          <w:highlight w:val="none"/>
        </w:rPr>
        <w:t xml:space="preserve">法定代表人或授权代表（签字或盖章）：</w:t>
      </w:r>
      <w:r>
        <w:rPr>
          <w:highlight w:val="none"/>
        </w:rPr>
      </w:r>
      <w:r/>
    </w:p>
    <w:p>
      <w:pPr>
        <w:pStyle w:val="1008"/>
        <w:spacing w:line="360" w:lineRule="auto"/>
        <w:rPr>
          <w:rFonts w:hint="eastAsia" w:ascii="宋体" w:hAnsi="宋体" w:cs="宋体"/>
          <w:bCs/>
          <w:sz w:val="24"/>
          <w:highlight w:val="none"/>
        </w:rPr>
      </w:pPr>
      <w:r>
        <w:rPr>
          <w:rFonts w:hint="eastAsia" w:ascii="宋体" w:hAnsi="宋体" w:cs="宋体"/>
          <w:bCs/>
          <w:sz w:val="24"/>
          <w:highlight w:val="none"/>
        </w:rPr>
        <w:t xml:space="preserve">                                      日期：______年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rPr>
          <w:highlight w:val="none"/>
        </w:rPr>
      </w:r>
      <w:r/>
    </w:p>
    <w:p>
      <w:pPr>
        <w:pStyle w:val="1018"/>
        <w:ind w:firstLine="0"/>
        <w:spacing w:line="360" w:lineRule="auto"/>
        <w:rPr>
          <w:rFonts w:hint="eastAsia" w:ascii="宋体" w:hAnsi="宋体" w:cs="宋体"/>
          <w:bCs/>
          <w:sz w:val="24"/>
          <w:highlight w:val="none"/>
        </w:rPr>
      </w:pPr>
      <w:r>
        <w:rPr>
          <w:rFonts w:hint="eastAsia" w:ascii="宋体" w:hAnsi="宋体" w:cs="宋体"/>
          <w:highlight w:val="none"/>
        </w:rPr>
        <w:br w:type="page" w:clear="all"/>
      </w:r>
      <w:bookmarkStart w:id="163" w:name="_Toc2802"/>
      <w:r>
        <w:rPr>
          <w:rFonts w:hint="eastAsia" w:ascii="宋体" w:hAnsi="宋体" w:cs="宋体"/>
          <w:b/>
          <w:sz w:val="24"/>
          <w:highlight w:val="none"/>
        </w:rPr>
        <w:t xml:space="preserve">参加政府采购活动前 3 年内在经营活动中没有重大违法记录的书面声明</w:t>
      </w:r>
      <w:bookmarkEnd w:id="163"/>
      <w:r>
        <w:rPr>
          <w:highlight w:val="none"/>
        </w:rPr>
      </w:r>
      <w:r/>
    </w:p>
    <w:p>
      <w:pPr>
        <w:pStyle w:val="1008"/>
        <w:spacing w:line="360" w:lineRule="auto"/>
        <w:rPr>
          <w:rFonts w:hint="eastAsia" w:ascii="宋体" w:hAnsi="宋体" w:cs="宋体"/>
          <w:b/>
          <w:bCs/>
          <w:sz w:val="44"/>
          <w:szCs w:val="44"/>
          <w:highlight w:val="none"/>
        </w:rPr>
      </w:pPr>
      <w:r>
        <w:rPr>
          <w:rFonts w:hint="eastAsia" w:ascii="宋体" w:hAnsi="宋体" w:cs="宋体"/>
          <w:b/>
          <w:bCs/>
          <w:sz w:val="24"/>
          <w:highlight w:val="none"/>
        </w:rPr>
        <w:t xml:space="preserve">                       </w:t>
      </w:r>
      <w:r>
        <w:rPr>
          <w:rFonts w:hint="eastAsia" w:ascii="宋体" w:hAnsi="宋体" w:cs="宋体"/>
          <w:b/>
          <w:bCs/>
          <w:sz w:val="44"/>
          <w:szCs w:val="44"/>
          <w:highlight w:val="none"/>
        </w:rPr>
        <w:t xml:space="preserve">   </w:t>
      </w:r>
      <w:r>
        <w:rPr>
          <w:highlight w:val="none"/>
        </w:rPr>
      </w:r>
      <w:r/>
    </w:p>
    <w:p>
      <w:pPr>
        <w:pStyle w:val="1008"/>
        <w:spacing w:line="360" w:lineRule="auto"/>
        <w:rPr>
          <w:rFonts w:hint="eastAsia" w:ascii="宋体" w:hAnsi="宋体" w:cs="宋体"/>
          <w:b/>
          <w:bCs/>
          <w:sz w:val="44"/>
          <w:szCs w:val="44"/>
          <w:highlight w:val="none"/>
        </w:rPr>
      </w:pPr>
      <w:r>
        <w:rPr>
          <w:rFonts w:hint="eastAsia" w:ascii="宋体" w:hAnsi="宋体" w:cs="宋体"/>
          <w:b/>
          <w:bCs/>
          <w:sz w:val="44"/>
          <w:szCs w:val="44"/>
          <w:highlight w:val="none"/>
        </w:rPr>
        <w:t xml:space="preserve">                   声  明</w:t>
      </w:r>
      <w:r>
        <w:rPr>
          <w:highlight w:val="none"/>
        </w:rPr>
      </w:r>
      <w:r/>
    </w:p>
    <w:p>
      <w:pPr>
        <w:pStyle w:val="1008"/>
        <w:spacing w:line="360" w:lineRule="auto"/>
        <w:rPr>
          <w:rFonts w:hint="eastAsia" w:ascii="宋体" w:hAnsi="宋体" w:cs="宋体"/>
          <w:bCs/>
          <w:sz w:val="24"/>
          <w:highlight w:val="none"/>
        </w:rPr>
      </w:pPr>
      <w:r>
        <w:rPr>
          <w:rFonts w:hint="eastAsia" w:ascii="宋体" w:hAnsi="宋体" w:cs="宋体"/>
          <w:b/>
          <w:bCs/>
          <w:sz w:val="24"/>
          <w:highlight w:val="none"/>
        </w:rPr>
        <w:t xml:space="preserve">    </w:t>
      </w:r>
      <w:r>
        <w:rPr>
          <w:rFonts w:hint="eastAsia" w:ascii="宋体" w:hAnsi="宋体" w:cs="宋体"/>
          <w:bCs/>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highlight w:val="none"/>
        </w:rPr>
      </w:r>
      <w:r/>
    </w:p>
    <w:p>
      <w:pPr>
        <w:pStyle w:val="1008"/>
        <w:spacing w:line="360" w:lineRule="auto"/>
        <w:rPr>
          <w:rFonts w:hint="eastAsia" w:ascii="宋体" w:hAnsi="宋体" w:cs="宋体"/>
          <w:bCs/>
          <w:sz w:val="24"/>
          <w:highlight w:val="none"/>
        </w:rPr>
      </w:pPr>
      <w:r>
        <w:rPr>
          <w:rFonts w:hint="eastAsia" w:ascii="宋体" w:hAnsi="宋体" w:cs="宋体"/>
          <w:bCs/>
          <w:sz w:val="24"/>
          <w:highlight w:val="none"/>
        </w:rPr>
        <w:t xml:space="preserve">                                    </w:t>
      </w:r>
      <w:r>
        <w:rPr>
          <w:highlight w:val="none"/>
        </w:rPr>
      </w:r>
      <w:r/>
    </w:p>
    <w:p>
      <w:pPr>
        <w:pStyle w:val="1008"/>
        <w:ind w:firstLine="4320"/>
        <w:spacing w:line="360" w:lineRule="auto"/>
        <w:rPr>
          <w:rFonts w:hint="eastAsia" w:ascii="宋体" w:hAnsi="宋体" w:cs="宋体"/>
          <w:bCs/>
          <w:sz w:val="24"/>
          <w:highlight w:val="none"/>
        </w:rPr>
      </w:pPr>
      <w:r>
        <w:rPr>
          <w:rFonts w:hint="eastAsia" w:ascii="宋体" w:hAnsi="宋体" w:cs="宋体"/>
          <w:bCs/>
          <w:sz w:val="24"/>
          <w:highlight w:val="none"/>
        </w:rPr>
        <w:t xml:space="preserve">  供应商名称（公章）：</w:t>
      </w:r>
      <w:r>
        <w:rPr>
          <w:highlight w:val="none"/>
        </w:rPr>
      </w:r>
      <w:r/>
    </w:p>
    <w:p>
      <w:pPr>
        <w:pStyle w:val="1008"/>
        <w:spacing w:line="360" w:lineRule="auto"/>
        <w:rPr>
          <w:rFonts w:hint="eastAsia"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sz w:val="24"/>
          <w:highlight w:val="none"/>
        </w:rPr>
        <w:t xml:space="preserve">法定代表人或授权代表（签字或盖章）：</w:t>
      </w:r>
      <w:r>
        <w:rPr>
          <w:highlight w:val="none"/>
        </w:rPr>
      </w:r>
      <w:r/>
    </w:p>
    <w:p>
      <w:pPr>
        <w:pStyle w:val="1008"/>
        <w:spacing w:line="360" w:lineRule="auto"/>
        <w:rPr>
          <w:rFonts w:hint="eastAsia" w:ascii="宋体" w:hAnsi="宋体" w:cs="宋体"/>
          <w:bCs/>
          <w:sz w:val="24"/>
          <w:highlight w:val="none"/>
        </w:rPr>
      </w:pPr>
      <w:r>
        <w:rPr>
          <w:rFonts w:hint="eastAsia" w:ascii="宋体" w:hAnsi="宋体" w:cs="宋体"/>
          <w:bCs/>
          <w:sz w:val="24"/>
          <w:highlight w:val="none"/>
        </w:rPr>
        <w:t xml:space="preserve">                                     日期：______年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rPr>
          <w:highlight w:val="none"/>
        </w:rPr>
      </w:r>
      <w:r/>
    </w:p>
    <w:p>
      <w:pPr>
        <w:pStyle w:val="1008"/>
        <w:spacing w:line="360" w:lineRule="auto"/>
        <w:rPr>
          <w:rFonts w:hint="eastAsia" w:ascii="宋体" w:hAnsi="宋体" w:cs="宋体"/>
          <w:bCs/>
          <w:sz w:val="24"/>
          <w:highlight w:val="none"/>
        </w:rPr>
      </w:pPr>
      <w:r>
        <w:rPr>
          <w:rFonts w:hint="eastAsia" w:ascii="宋体" w:hAnsi="宋体" w:cs="宋体"/>
          <w:bCs/>
          <w:sz w:val="24"/>
          <w:highlight w:val="none"/>
        </w:rPr>
      </w:r>
      <w:r>
        <w:rPr>
          <w:highlight w:val="none"/>
        </w:rPr>
      </w:r>
      <w:r/>
    </w:p>
    <w:p>
      <w:pPr>
        <w:pStyle w:val="1008"/>
        <w:spacing w:line="360" w:lineRule="auto"/>
        <w:rPr>
          <w:rFonts w:hint="eastAsia" w:ascii="宋体" w:hAnsi="宋体" w:cs="宋体"/>
          <w:bCs/>
          <w:sz w:val="24"/>
          <w:highlight w:val="none"/>
        </w:rPr>
      </w:pPr>
      <w:r>
        <w:rPr>
          <w:rFonts w:hint="eastAsia" w:ascii="宋体" w:hAnsi="宋体" w:cs="宋体"/>
          <w:bCs/>
          <w:sz w:val="24"/>
          <w:highlight w:val="none"/>
        </w:rPr>
      </w:r>
      <w:r>
        <w:rPr>
          <w:highlight w:val="none"/>
        </w:rPr>
      </w:r>
      <w:r/>
    </w:p>
    <w:p>
      <w:pPr>
        <w:pStyle w:val="1095"/>
        <w:ind w:firstLine="4216"/>
        <w:spacing w:line="360" w:lineRule="auto"/>
        <w:tabs>
          <w:tab w:val="left" w:pos="360" w:leader="none"/>
        </w:tabs>
        <w:rPr>
          <w:rFonts w:hint="eastAsia" w:ascii="宋体" w:hAnsi="宋体" w:cs="宋体"/>
          <w:b/>
          <w:bCs/>
          <w:szCs w:val="21"/>
          <w:highlight w:val="none"/>
        </w:rPr>
      </w:pPr>
      <w:r>
        <w:rPr>
          <w:rFonts w:hint="eastAsia" w:ascii="宋体" w:hAnsi="宋体" w:cs="宋体"/>
          <w:b/>
          <w:bCs/>
          <w:szCs w:val="21"/>
          <w:highlight w:val="none"/>
        </w:rPr>
      </w:r>
      <w:r>
        <w:rPr>
          <w:highlight w:val="none"/>
        </w:rPr>
      </w:r>
      <w:r/>
    </w:p>
    <w:p>
      <w:pPr>
        <w:pStyle w:val="1095"/>
        <w:ind w:firstLine="561"/>
        <w:jc w:val="center"/>
        <w:spacing w:line="360" w:lineRule="auto"/>
        <w:tabs>
          <w:tab w:val="left" w:pos="360" w:leader="none"/>
        </w:tabs>
        <w:rPr>
          <w:rFonts w:hint="eastAsia" w:ascii="宋体" w:hAnsi="宋体" w:cs="宋体"/>
          <w:b/>
          <w:bCs/>
          <w:highlight w:val="none"/>
        </w:rPr>
      </w:pPr>
      <w:r>
        <w:rPr>
          <w:rFonts w:hint="eastAsia" w:ascii="宋体" w:hAnsi="宋体" w:cs="宋体"/>
          <w:b/>
          <w:bCs/>
          <w:highlight w:val="none"/>
        </w:rPr>
      </w:r>
      <w:r>
        <w:rPr>
          <w:highlight w:val="none"/>
        </w:rPr>
      </w:r>
      <w:r/>
    </w:p>
    <w:p>
      <w:pPr>
        <w:pStyle w:val="1095"/>
        <w:ind w:firstLine="561"/>
        <w:jc w:val="center"/>
        <w:spacing w:line="360" w:lineRule="auto"/>
        <w:tabs>
          <w:tab w:val="left" w:pos="360" w:leader="none"/>
        </w:tabs>
        <w:rPr>
          <w:rFonts w:hint="eastAsia" w:ascii="宋体" w:hAnsi="宋体" w:cs="宋体"/>
          <w:b/>
          <w:bCs/>
          <w:highlight w:val="none"/>
        </w:rPr>
      </w:pPr>
      <w:r>
        <w:rPr>
          <w:rFonts w:hint="eastAsia" w:ascii="宋体" w:hAnsi="宋体" w:cs="宋体"/>
          <w:b/>
          <w:bCs/>
          <w:highlight w:val="none"/>
        </w:rPr>
      </w:r>
      <w:r>
        <w:rPr>
          <w:highlight w:val="none"/>
        </w:rPr>
      </w:r>
      <w:r/>
    </w:p>
    <w:p>
      <w:pPr>
        <w:pStyle w:val="1095"/>
        <w:ind w:firstLine="561"/>
        <w:jc w:val="center"/>
        <w:spacing w:line="360" w:lineRule="auto"/>
        <w:tabs>
          <w:tab w:val="left" w:pos="360" w:leader="none"/>
        </w:tabs>
        <w:rPr>
          <w:rFonts w:hint="eastAsia" w:ascii="宋体" w:hAnsi="宋体" w:cs="宋体"/>
          <w:b/>
          <w:bCs/>
          <w:highlight w:val="none"/>
        </w:rPr>
      </w:pPr>
      <w:r>
        <w:rPr>
          <w:rFonts w:hint="eastAsia" w:ascii="宋体" w:hAnsi="宋体" w:cs="宋体"/>
          <w:b/>
          <w:bCs/>
          <w:highlight w:val="none"/>
        </w:rPr>
      </w:r>
      <w:r>
        <w:rPr>
          <w:highlight w:val="none"/>
        </w:rPr>
      </w:r>
      <w:r/>
    </w:p>
    <w:p>
      <w:pPr>
        <w:pStyle w:val="1095"/>
        <w:ind w:firstLine="561"/>
        <w:jc w:val="center"/>
        <w:spacing w:line="360" w:lineRule="auto"/>
        <w:tabs>
          <w:tab w:val="left" w:pos="360" w:leader="none"/>
        </w:tabs>
        <w:rPr>
          <w:rFonts w:hint="eastAsia" w:ascii="宋体" w:hAnsi="宋体" w:cs="宋体"/>
          <w:b/>
          <w:bCs/>
          <w:highlight w:val="none"/>
        </w:rPr>
      </w:pPr>
      <w:r>
        <w:rPr>
          <w:rFonts w:hint="eastAsia" w:ascii="宋体" w:hAnsi="宋体" w:cs="宋体"/>
          <w:b/>
          <w:bCs/>
          <w:highlight w:val="none"/>
        </w:rPr>
      </w:r>
      <w:r>
        <w:rPr>
          <w:highlight w:val="none"/>
        </w:rPr>
      </w:r>
      <w:r/>
    </w:p>
    <w:p>
      <w:pPr>
        <w:pStyle w:val="1095"/>
        <w:ind w:firstLine="561"/>
        <w:jc w:val="center"/>
        <w:spacing w:line="360" w:lineRule="auto"/>
        <w:tabs>
          <w:tab w:val="left" w:pos="360" w:leader="none"/>
        </w:tabs>
        <w:rPr>
          <w:rFonts w:hint="eastAsia" w:ascii="宋体" w:hAnsi="宋体" w:cs="宋体"/>
          <w:b/>
          <w:bCs/>
          <w:highlight w:val="none"/>
        </w:rPr>
      </w:pPr>
      <w:r>
        <w:rPr>
          <w:rFonts w:hint="eastAsia" w:ascii="宋体" w:hAnsi="宋体" w:cs="宋体"/>
          <w:b/>
          <w:bCs/>
          <w:highlight w:val="none"/>
        </w:rPr>
      </w:r>
      <w:r>
        <w:rPr>
          <w:highlight w:val="none"/>
        </w:rPr>
      </w:r>
      <w:r/>
    </w:p>
    <w:p>
      <w:pPr>
        <w:pStyle w:val="1095"/>
        <w:ind w:firstLine="561"/>
        <w:jc w:val="center"/>
        <w:spacing w:line="360" w:lineRule="auto"/>
        <w:tabs>
          <w:tab w:val="left" w:pos="360" w:leader="none"/>
        </w:tabs>
        <w:rPr>
          <w:rFonts w:hint="eastAsia" w:ascii="宋体" w:hAnsi="宋体" w:cs="宋体"/>
          <w:b/>
          <w:bCs/>
          <w:highlight w:val="none"/>
        </w:rPr>
      </w:pPr>
      <w:r>
        <w:rPr>
          <w:rFonts w:hint="eastAsia" w:ascii="宋体" w:hAnsi="宋体" w:cs="宋体"/>
          <w:b/>
          <w:bCs/>
          <w:highlight w:val="none"/>
        </w:rPr>
      </w:r>
      <w:r>
        <w:rPr>
          <w:highlight w:val="none"/>
        </w:rPr>
      </w:r>
      <w:r/>
    </w:p>
    <w:p>
      <w:pPr>
        <w:pStyle w:val="1095"/>
        <w:ind w:firstLine="561"/>
        <w:jc w:val="center"/>
        <w:spacing w:line="360" w:lineRule="auto"/>
        <w:tabs>
          <w:tab w:val="left" w:pos="360" w:leader="none"/>
        </w:tabs>
        <w:rPr>
          <w:rFonts w:hint="eastAsia" w:ascii="宋体" w:hAnsi="宋体" w:cs="宋体"/>
          <w:b/>
          <w:bCs/>
          <w:highlight w:val="none"/>
        </w:rPr>
      </w:pPr>
      <w:r>
        <w:rPr>
          <w:rFonts w:hint="eastAsia" w:ascii="宋体" w:hAnsi="宋体" w:cs="宋体"/>
          <w:b/>
          <w:bCs/>
          <w:highlight w:val="none"/>
        </w:rPr>
      </w:r>
      <w:r>
        <w:rPr>
          <w:highlight w:val="none"/>
        </w:rPr>
      </w:r>
      <w:r/>
    </w:p>
    <w:p>
      <w:pPr>
        <w:pStyle w:val="1095"/>
        <w:ind w:firstLine="561"/>
        <w:jc w:val="center"/>
        <w:spacing w:line="360" w:lineRule="auto"/>
        <w:tabs>
          <w:tab w:val="left" w:pos="360" w:leader="none"/>
        </w:tabs>
        <w:rPr>
          <w:rFonts w:hint="eastAsia" w:ascii="宋体" w:hAnsi="宋体" w:cs="宋体"/>
          <w:b/>
          <w:bCs/>
          <w:highlight w:val="none"/>
        </w:rPr>
      </w:pPr>
      <w:r>
        <w:rPr>
          <w:rFonts w:hint="eastAsia" w:ascii="宋体" w:hAnsi="宋体" w:cs="宋体"/>
          <w:b/>
          <w:bCs/>
          <w:highlight w:val="none"/>
        </w:rPr>
      </w:r>
      <w:r>
        <w:rPr>
          <w:highlight w:val="none"/>
        </w:rPr>
      </w:r>
      <w:r/>
    </w:p>
    <w:p>
      <w:pPr>
        <w:pStyle w:val="1011"/>
        <w:jc w:val="center"/>
        <w:spacing w:before="0" w:after="0" w:line="360" w:lineRule="auto"/>
        <w:rPr>
          <w:rFonts w:ascii="宋体" w:hAnsi="宋体" w:cs="宋体"/>
          <w:sz w:val="24"/>
          <w:szCs w:val="24"/>
          <w:highlight w:val="none"/>
        </w:rPr>
      </w:pPr>
      <w:r>
        <w:rPr>
          <w:rFonts w:hint="eastAsia" w:ascii="宋体" w:hAnsi="宋体" w:cs="宋体"/>
          <w:b w:val="0"/>
          <w:bCs/>
          <w:highlight w:val="none"/>
        </w:rPr>
        <w:br w:type="page" w:clear="all"/>
      </w:r>
      <w:bookmarkEnd w:id="154"/>
      <w:r>
        <w:rPr>
          <w:highlight w:val="none"/>
        </w:rPr>
      </w:r>
      <w:bookmarkEnd w:id="155"/>
      <w:r>
        <w:rPr>
          <w:highlight w:val="none"/>
        </w:rPr>
      </w:r>
      <w:bookmarkEnd w:id="156"/>
      <w:r>
        <w:rPr>
          <w:highlight w:val="none"/>
        </w:rPr>
      </w:r>
      <w:bookmarkEnd w:id="157"/>
      <w:r>
        <w:rPr>
          <w:highlight w:val="none"/>
        </w:rPr>
      </w:r>
      <w:bookmarkEnd w:id="158"/>
      <w:r>
        <w:rPr>
          <w:highlight w:val="none"/>
        </w:rPr>
      </w:r>
      <w:bookmarkEnd w:id="159"/>
      <w:r>
        <w:rPr>
          <w:highlight w:val="none"/>
        </w:rPr>
      </w:r>
      <w:bookmarkEnd w:id="160"/>
      <w:r>
        <w:rPr>
          <w:highlight w:val="none"/>
        </w:rPr>
      </w:r>
      <w:bookmarkEnd w:id="161"/>
      <w:r>
        <w:rPr>
          <w:highlight w:val="none"/>
        </w:rPr>
      </w:r>
      <w:bookmarkStart w:id="164" w:name="_Toc1094"/>
      <w:r>
        <w:rPr>
          <w:highlight w:val="none"/>
        </w:rPr>
      </w:r>
      <w:bookmarkStart w:id="165" w:name="_Toc17460_WPSOffice_Level1"/>
      <w:r>
        <w:rPr>
          <w:rFonts w:hint="eastAsia" w:ascii="宋体" w:hAnsi="宋体" w:cs="宋体"/>
          <w:sz w:val="24"/>
          <w:szCs w:val="24"/>
          <w:highlight w:val="none"/>
        </w:rPr>
        <w:t xml:space="preserve">法人授权书</w:t>
      </w:r>
      <w:r>
        <w:rPr>
          <w:highlight w:val="none"/>
        </w:rPr>
      </w:r>
      <w:r/>
    </w:p>
    <w:p>
      <w:pPr>
        <w:pStyle w:val="1130"/>
        <w:ind w:firstLine="48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本授权书声明：____________（供应商名称）授权________________（被授权人的姓名）为我方就</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项目采购活动的合法代理人，以本公司名义全权处理一切与该项目采购有关的事务。</w:t>
      </w:r>
      <w:r>
        <w:rPr>
          <w:highlight w:val="none"/>
        </w:rPr>
      </w:r>
      <w:r/>
    </w:p>
    <w:p>
      <w:pPr>
        <w:pStyle w:val="1130"/>
        <w:ind w:firstLine="48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本授权书于______年____月____日起生效，特此声明。</w:t>
      </w:r>
      <w:r>
        <w:rPr>
          <w:highlight w:val="none"/>
        </w:rPr>
      </w:r>
      <w:r/>
    </w:p>
    <w:p>
      <w:pPr>
        <w:pStyle w:val="1130"/>
        <w:ind w:firstLine="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          代理人（被授权人）：_______________________</w:t>
      </w:r>
      <w:r>
        <w:rPr>
          <w:highlight w:val="none"/>
        </w:rPr>
      </w:r>
      <w:r/>
    </w:p>
    <w:p>
      <w:pPr>
        <w:pStyle w:val="1130"/>
        <w:ind w:firstLine="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         </w:t>
      </w:r>
      <w:r>
        <w:rPr>
          <w:highlight w:val="none"/>
        </w:rPr>
      </w:r>
      <w:r/>
    </w:p>
    <w:p>
      <w:pPr>
        <w:pStyle w:val="1130"/>
        <w:ind w:firstLine="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          单位名称：_____________________________________</w:t>
      </w:r>
      <w:r>
        <w:rPr>
          <w:highlight w:val="none"/>
        </w:rPr>
      </w:r>
      <w:r/>
    </w:p>
    <w:p>
      <w:pPr>
        <w:pStyle w:val="1130"/>
        <w:ind w:firstLine="480"/>
        <w:spacing w:line="360" w:lineRule="auto"/>
        <w:tabs>
          <w:tab w:val="left" w:pos="360" w:leader="none"/>
        </w:tabs>
        <w:rPr>
          <w:rFonts w:ascii="宋体" w:hAnsi="宋体" w:cs="宋体"/>
          <w:sz w:val="24"/>
          <w:szCs w:val="24"/>
          <w:highlight w:val="none"/>
        </w:rPr>
      </w:pPr>
      <w:r>
        <w:rPr>
          <w:rFonts w:ascii="宋体" w:hAnsi="宋体" w:cs="宋体"/>
          <w:sz w:val="24"/>
          <w:szCs w:val="24"/>
          <w:highlight w:val="none"/>
        </w:rPr>
      </w:r>
      <w:r>
        <w:rPr>
          <w:highlight w:val="none"/>
        </w:rPr>
      </w:r>
      <w:r/>
    </w:p>
    <w:p>
      <w:pPr>
        <w:pStyle w:val="1130"/>
        <w:ind w:firstLine="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          授权单位盖章：_________________________________</w:t>
      </w:r>
      <w:r>
        <w:rPr>
          <w:highlight w:val="none"/>
        </w:rPr>
      </w:r>
      <w:r/>
    </w:p>
    <w:p>
      <w:pPr>
        <w:pStyle w:val="1130"/>
        <w:ind w:firstLine="48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      单位名称：_____________________________________</w:t>
      </w:r>
      <w:r>
        <w:rPr>
          <w:highlight w:val="none"/>
        </w:rPr>
      </w:r>
      <w:r/>
    </w:p>
    <w:p>
      <w:pPr>
        <w:pStyle w:val="1130"/>
        <w:ind w:firstLine="480"/>
        <w:spacing w:line="36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地址：</w:t>
      </w:r>
      <w:r>
        <w:rPr>
          <w:rFonts w:hint="eastAsia" w:ascii="宋体" w:hAnsi="宋体" w:cs="宋体"/>
          <w:sz w:val="24"/>
          <w:szCs w:val="24"/>
          <w:highlight w:val="none"/>
          <w:u w:val="single"/>
        </w:rPr>
        <w:t xml:space="preserve">                                         </w:t>
      </w:r>
      <w:r>
        <w:rPr>
          <w:highlight w:val="none"/>
        </w:rPr>
      </w:r>
      <w:r/>
    </w:p>
    <w:p>
      <w:pPr>
        <w:pStyle w:val="1130"/>
        <w:ind w:firstLine="480"/>
        <w:spacing w:line="36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日期：</w:t>
      </w:r>
      <w:r>
        <w:rPr>
          <w:rFonts w:hint="eastAsia" w:ascii="宋体" w:hAnsi="宋体" w:cs="宋体"/>
          <w:sz w:val="24"/>
          <w:szCs w:val="24"/>
          <w:highlight w:val="none"/>
          <w:u w:val="single"/>
        </w:rPr>
        <w:t xml:space="preserve">                                          </w:t>
      </w:r>
      <w:r>
        <w:rPr>
          <w:highlight w:val="none"/>
        </w:rPr>
      </w:r>
      <w:r/>
    </w:p>
    <w:p>
      <w:pPr>
        <w:pStyle w:val="1008"/>
        <w:jc w:val="center"/>
        <w:spacing w:line="360" w:lineRule="auto"/>
        <w:rPr>
          <w:rFonts w:hint="eastAsia" w:ascii="黑体" w:eastAsia="黑体"/>
          <w:sz w:val="32"/>
          <w:szCs w:val="32"/>
          <w:highlight w:val="none"/>
        </w:rPr>
      </w:pPr>
      <w:r>
        <w:rPr>
          <w:rFonts w:hint="eastAsia" w:ascii="黑体" w:eastAsia="黑体"/>
          <w:sz w:val="32"/>
          <w:szCs w:val="32"/>
          <w:highlight w:val="none"/>
        </w:rPr>
      </w:r>
      <w:r>
        <w:rPr>
          <w:highlight w:val="none"/>
        </w:rPr>
      </w:r>
      <w:r/>
    </w:p>
    <w:p>
      <w:pPr>
        <w:pStyle w:val="1016"/>
        <w:spacing w:line="360" w:lineRule="auto"/>
        <w:rPr>
          <w:rFonts w:hint="eastAsia" w:ascii="黑体" w:eastAsia="黑体"/>
          <w:sz w:val="32"/>
          <w:szCs w:val="32"/>
          <w:highlight w:val="none"/>
        </w:rPr>
      </w:pPr>
      <w:r>
        <w:rPr>
          <w:rFonts w:hint="eastAsia" w:ascii="黑体" w:eastAsia="黑体"/>
          <w:sz w:val="32"/>
          <w:szCs w:val="32"/>
          <w:highlight w:val="none"/>
        </w:rPr>
      </w:r>
      <w:r>
        <w:rPr>
          <w:highlight w:val="none"/>
        </w:rPr>
      </w:r>
      <w:r/>
    </w:p>
    <w:p>
      <w:pPr>
        <w:pStyle w:val="1060"/>
        <w:spacing w:line="360" w:lineRule="auto"/>
        <w:tabs>
          <w:tab w:val="left" w:pos="810" w:leader="none"/>
          <w:tab w:val="left" w:pos="907" w:leader="none"/>
          <w:tab w:val="left" w:pos="1265" w:leader="none"/>
        </w:tabs>
        <w:rPr>
          <w:rFonts w:hint="eastAsia"/>
          <w:sz w:val="32"/>
          <w:szCs w:val="32"/>
          <w:highlight w:val="none"/>
        </w:rPr>
      </w:pPr>
      <w:r>
        <w:rPr>
          <w:rFonts w:hint="eastAsia"/>
          <w:sz w:val="32"/>
          <w:szCs w:val="32"/>
          <w:highlight w:val="none"/>
        </w:rPr>
      </w:r>
      <w:r>
        <w:rPr>
          <w:highlight w:val="none"/>
        </w:rPr>
      </w:r>
      <w:r/>
    </w:p>
    <w:p>
      <w:pPr>
        <w:pStyle w:val="1062"/>
        <w:spacing w:line="360" w:lineRule="auto"/>
        <w:rPr>
          <w:rFonts w:hint="eastAsia" w:ascii="黑体" w:eastAsia="黑体"/>
          <w:sz w:val="32"/>
          <w:szCs w:val="32"/>
          <w:highlight w:val="none"/>
        </w:rPr>
      </w:pPr>
      <w:r>
        <w:rPr>
          <w:rFonts w:hint="eastAsia" w:ascii="黑体" w:eastAsia="黑体"/>
          <w:sz w:val="32"/>
          <w:szCs w:val="32"/>
          <w:highlight w:val="none"/>
        </w:rPr>
      </w:r>
      <w:r>
        <w:rPr>
          <w:highlight w:val="none"/>
        </w:rPr>
      </w:r>
      <w:r/>
    </w:p>
    <w:p>
      <w:pPr>
        <w:pStyle w:val="1063"/>
        <w:spacing w:line="360" w:lineRule="auto"/>
        <w:rPr>
          <w:rFonts w:hint="eastAsia" w:ascii="黑体" w:eastAsia="黑体"/>
          <w:sz w:val="32"/>
          <w:szCs w:val="32"/>
          <w:highlight w:val="none"/>
        </w:rPr>
      </w:pPr>
      <w:r>
        <w:rPr>
          <w:rFonts w:hint="eastAsia" w:ascii="黑体" w:eastAsia="黑体"/>
          <w:sz w:val="32"/>
          <w:szCs w:val="32"/>
          <w:highlight w:val="none"/>
        </w:rPr>
      </w:r>
      <w:r>
        <w:rPr>
          <w:highlight w:val="none"/>
        </w:rPr>
      </w:r>
      <w:r/>
    </w:p>
    <w:p>
      <w:pPr>
        <w:pStyle w:val="1062"/>
        <w:spacing w:line="360" w:lineRule="auto"/>
        <w:rPr>
          <w:rFonts w:hint="eastAsia" w:ascii="黑体" w:eastAsia="黑体"/>
          <w:sz w:val="32"/>
          <w:szCs w:val="32"/>
          <w:highlight w:val="none"/>
        </w:rPr>
      </w:pPr>
      <w:r>
        <w:rPr>
          <w:rFonts w:hint="eastAsia" w:ascii="黑体" w:eastAsia="黑体"/>
          <w:sz w:val="32"/>
          <w:szCs w:val="32"/>
          <w:highlight w:val="none"/>
        </w:rPr>
      </w:r>
      <w:r>
        <w:rPr>
          <w:highlight w:val="none"/>
        </w:rPr>
      </w:r>
      <w:r/>
    </w:p>
    <w:p>
      <w:pPr>
        <w:pStyle w:val="1063"/>
        <w:spacing w:line="360" w:lineRule="auto"/>
        <w:rPr>
          <w:rFonts w:hint="eastAsia" w:ascii="黑体" w:eastAsia="黑体"/>
          <w:sz w:val="32"/>
          <w:szCs w:val="32"/>
          <w:highlight w:val="none"/>
        </w:rPr>
      </w:pPr>
      <w:r>
        <w:rPr>
          <w:rFonts w:hint="eastAsia" w:ascii="黑体" w:eastAsia="黑体"/>
          <w:sz w:val="32"/>
          <w:szCs w:val="32"/>
          <w:highlight w:val="none"/>
        </w:rPr>
      </w:r>
      <w:r>
        <w:rPr>
          <w:highlight w:val="none"/>
        </w:rPr>
      </w:r>
      <w:r/>
    </w:p>
    <w:p>
      <w:pPr>
        <w:pStyle w:val="1062"/>
        <w:spacing w:line="360" w:lineRule="auto"/>
        <w:rPr>
          <w:rFonts w:hint="eastAsia" w:ascii="黑体" w:eastAsia="黑体"/>
          <w:sz w:val="32"/>
          <w:szCs w:val="32"/>
          <w:highlight w:val="none"/>
        </w:rPr>
      </w:pPr>
      <w:r>
        <w:rPr>
          <w:rFonts w:hint="eastAsia" w:ascii="黑体" w:eastAsia="黑体"/>
          <w:sz w:val="32"/>
          <w:szCs w:val="32"/>
          <w:highlight w:val="none"/>
        </w:rPr>
      </w:r>
      <w:r>
        <w:rPr>
          <w:highlight w:val="none"/>
        </w:rPr>
      </w:r>
      <w:r/>
    </w:p>
    <w:p>
      <w:pPr>
        <w:pStyle w:val="1063"/>
        <w:spacing w:line="360" w:lineRule="auto"/>
        <w:rPr>
          <w:rFonts w:hint="eastAsia" w:ascii="黑体" w:eastAsia="黑体"/>
          <w:sz w:val="32"/>
          <w:szCs w:val="32"/>
          <w:highlight w:val="none"/>
        </w:rPr>
      </w:pPr>
      <w:r>
        <w:rPr>
          <w:rFonts w:hint="eastAsia" w:ascii="黑体" w:eastAsia="黑体"/>
          <w:sz w:val="32"/>
          <w:szCs w:val="32"/>
          <w:highlight w:val="none"/>
        </w:rPr>
      </w:r>
      <w:r>
        <w:rPr>
          <w:rFonts w:hint="eastAsia" w:ascii="黑体" w:eastAsia="黑体"/>
          <w:sz w:val="32"/>
          <w:szCs w:val="32"/>
          <w:highlight w:val="none"/>
        </w:rPr>
      </w:r>
      <w:r/>
    </w:p>
    <w:p>
      <w:pPr>
        <w:pStyle w:val="1063"/>
        <w:spacing w:line="360" w:lineRule="auto"/>
        <w:rPr>
          <w:rFonts w:hint="eastAsia" w:ascii="黑体" w:eastAsia="黑体"/>
          <w:sz w:val="32"/>
          <w:szCs w:val="32"/>
          <w:highlight w:val="none"/>
        </w:rPr>
      </w:pPr>
      <w:r>
        <w:rPr>
          <w:rFonts w:hint="eastAsia" w:ascii="黑体" w:eastAsia="黑体"/>
          <w:sz w:val="32"/>
          <w:szCs w:val="32"/>
          <w:highlight w:val="none"/>
        </w:rPr>
      </w:r>
      <w:r>
        <w:rPr>
          <w:highlight w:val="none"/>
        </w:rPr>
      </w:r>
      <w:r/>
    </w:p>
    <w:p>
      <w:pPr>
        <w:pStyle w:val="1062"/>
        <w:spacing w:line="360" w:lineRule="auto"/>
        <w:rPr>
          <w:rFonts w:hint="eastAsia" w:ascii="黑体" w:eastAsia="黑体"/>
          <w:sz w:val="32"/>
          <w:szCs w:val="32"/>
          <w:highlight w:val="none"/>
        </w:rPr>
      </w:pPr>
      <w:r>
        <w:rPr>
          <w:rFonts w:hint="eastAsia" w:ascii="黑体" w:eastAsia="黑体"/>
          <w:sz w:val="32"/>
          <w:szCs w:val="32"/>
          <w:highlight w:val="none"/>
        </w:rPr>
      </w:r>
      <w:r>
        <w:rPr>
          <w:highlight w:val="none"/>
        </w:rPr>
      </w:r>
      <w:r/>
    </w:p>
    <w:p>
      <w:pPr>
        <w:pStyle w:val="1063"/>
        <w:spacing w:line="360" w:lineRule="auto"/>
        <w:rPr>
          <w:rFonts w:hint="eastAsia" w:ascii="黑体" w:eastAsia="黑体"/>
          <w:sz w:val="32"/>
          <w:szCs w:val="32"/>
          <w:highlight w:val="none"/>
        </w:rPr>
      </w:pPr>
      <w:r>
        <w:rPr>
          <w:rFonts w:hint="eastAsia" w:ascii="黑体" w:eastAsia="黑体"/>
          <w:sz w:val="32"/>
          <w:szCs w:val="32"/>
          <w:highlight w:val="none"/>
        </w:rPr>
      </w:r>
      <w:r>
        <w:rPr>
          <w:highlight w:val="none"/>
        </w:rPr>
      </w:r>
      <w:r/>
    </w:p>
    <w:p>
      <w:pPr>
        <w:pStyle w:val="1008"/>
        <w:jc w:val="center"/>
        <w:spacing w:line="360" w:lineRule="auto"/>
        <w:rPr>
          <w:rFonts w:ascii="宋体" w:hAnsi="宋体" w:cs="宋体"/>
          <w:b/>
          <w:bCs/>
          <w:sz w:val="32"/>
          <w:szCs w:val="32"/>
          <w:highlight w:val="none"/>
        </w:rPr>
      </w:pPr>
      <w:r>
        <w:rPr>
          <w:highlight w:val="none"/>
        </w:rPr>
      </w:r>
      <w:bookmarkEnd w:id="164"/>
      <w:r>
        <w:rPr>
          <w:highlight w:val="none"/>
        </w:rPr>
      </w:r>
      <w:bookmarkEnd w:id="165"/>
      <w:r>
        <w:rPr>
          <w:rFonts w:hint="eastAsia" w:ascii="宋体" w:hAnsi="宋体" w:cs="宋体"/>
          <w:b/>
          <w:bCs/>
          <w:sz w:val="32"/>
          <w:szCs w:val="32"/>
          <w:highlight w:val="none"/>
        </w:rPr>
        <w:t xml:space="preserve">二、资格性审查响应对照表（格式）</w:t>
      </w:r>
      <w:r>
        <w:rPr>
          <w:highlight w:val="none"/>
        </w:rPr>
      </w:r>
      <w:r/>
    </w:p>
    <w:p>
      <w:pPr>
        <w:pStyle w:val="1008"/>
        <w:ind w:firstLine="309"/>
        <w:spacing w:line="360" w:lineRule="auto"/>
        <w:rPr>
          <w:rFonts w:ascii="宋体" w:hAnsi="宋体" w:cs="宋体"/>
          <w:sz w:val="24"/>
          <w:highlight w:val="none"/>
        </w:rPr>
      </w:pPr>
      <w:r>
        <w:rPr>
          <w:rFonts w:hint="eastAsia" w:ascii="宋体" w:hAnsi="宋体" w:cs="宋体"/>
          <w:sz w:val="24"/>
          <w:highlight w:val="none"/>
        </w:rPr>
        <w:t xml:space="preserve">投标人全称（加盖公章）：</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1008"/>
              <w:jc w:val="center"/>
              <w:spacing w:line="360" w:lineRule="auto"/>
              <w:rPr>
                <w:rFonts w:ascii="宋体" w:hAnsi="宋体" w:cs="宋体"/>
                <w:b/>
                <w:highlight w:val="none"/>
              </w:rPr>
            </w:pPr>
            <w:r>
              <w:rPr>
                <w:rFonts w:hint="eastAsia" w:ascii="宋体" w:hAnsi="宋体" w:cs="宋体"/>
                <w:b/>
                <w:highlight w:val="none"/>
              </w:rPr>
              <w:t xml:space="preserve">序号</w:t>
            </w:r>
            <w:r>
              <w:rPr>
                <w:highlight w:val="none"/>
              </w:rPr>
            </w:r>
            <w:r/>
          </w:p>
        </w:tc>
        <w:tc>
          <w:tcPr>
            <w:tcW w:w="5447" w:type="dxa"/>
            <w:vAlign w:val="center"/>
            <w:textDirection w:val="lrTb"/>
            <w:noWrap w:val="false"/>
          </w:tcPr>
          <w:p>
            <w:pPr>
              <w:pStyle w:val="1008"/>
              <w:jc w:val="center"/>
              <w:spacing w:line="360" w:lineRule="auto"/>
              <w:rPr>
                <w:rFonts w:ascii="宋体" w:hAnsi="宋体" w:cs="宋体"/>
                <w:b/>
                <w:highlight w:val="none"/>
              </w:rPr>
            </w:pPr>
            <w:r>
              <w:rPr>
                <w:rFonts w:hint="eastAsia" w:ascii="宋体" w:hAnsi="宋体" w:cs="宋体"/>
                <w:b/>
                <w:highlight w:val="none"/>
              </w:rPr>
              <w:t xml:space="preserve">资格性审查响应内容</w:t>
            </w:r>
            <w:r>
              <w:rPr>
                <w:highlight w:val="none"/>
              </w:rPr>
            </w:r>
            <w:r/>
          </w:p>
        </w:tc>
        <w:tc>
          <w:tcPr>
            <w:tcW w:w="1680" w:type="dxa"/>
            <w:vAlign w:val="center"/>
            <w:textDirection w:val="lrTb"/>
            <w:noWrap w:val="false"/>
          </w:tcPr>
          <w:p>
            <w:pPr>
              <w:pStyle w:val="1008"/>
              <w:jc w:val="center"/>
              <w:spacing w:line="360" w:lineRule="auto"/>
              <w:rPr>
                <w:rFonts w:ascii="宋体" w:hAnsi="宋体" w:cs="宋体"/>
                <w:b/>
                <w:highlight w:val="none"/>
              </w:rPr>
            </w:pPr>
            <w:r>
              <w:rPr>
                <w:rFonts w:hint="eastAsia" w:ascii="宋体" w:hAnsi="宋体" w:cs="宋体"/>
                <w:b/>
                <w:highlight w:val="none"/>
              </w:rPr>
              <w:t xml:space="preserve">是否响应</w:t>
            </w:r>
            <w:r>
              <w:rPr>
                <w:highlight w:val="none"/>
              </w:rPr>
            </w:r>
            <w:r/>
          </w:p>
          <w:p>
            <w:pPr>
              <w:pStyle w:val="1008"/>
              <w:jc w:val="center"/>
              <w:spacing w:line="360" w:lineRule="auto"/>
              <w:rPr>
                <w:rFonts w:ascii="宋体" w:hAnsi="宋体" w:cs="宋体"/>
                <w:b/>
                <w:highlight w:val="none"/>
              </w:rPr>
            </w:pPr>
            <w:r>
              <w:rPr>
                <w:rFonts w:hint="eastAsia" w:ascii="宋体" w:hAnsi="宋体" w:cs="宋体"/>
                <w:b/>
                <w:highlight w:val="none"/>
              </w:rPr>
              <w:t xml:space="preserve">（填是或者否）</w:t>
            </w:r>
            <w:r>
              <w:rPr>
                <w:highlight w:val="none"/>
              </w:rPr>
            </w:r>
            <w:r/>
          </w:p>
        </w:tc>
        <w:tc>
          <w:tcPr>
            <w:tcW w:w="1785" w:type="dxa"/>
            <w:vAlign w:val="center"/>
            <w:textDirection w:val="lrTb"/>
            <w:noWrap w:val="false"/>
          </w:tcPr>
          <w:p>
            <w:pPr>
              <w:pStyle w:val="1008"/>
              <w:jc w:val="center"/>
              <w:spacing w:line="360" w:lineRule="auto"/>
              <w:rPr>
                <w:rFonts w:ascii="宋体" w:hAnsi="宋体" w:cs="宋体"/>
                <w:b/>
                <w:highlight w:val="none"/>
              </w:rPr>
            </w:pPr>
            <w:r>
              <w:rPr>
                <w:rFonts w:hint="eastAsia" w:ascii="宋体" w:hAnsi="宋体" w:cs="宋体"/>
                <w:b/>
                <w:highlight w:val="none"/>
              </w:rPr>
              <w:t xml:space="preserve">投标文件中的</w:t>
            </w:r>
            <w:r>
              <w:rPr>
                <w:highlight w:val="none"/>
              </w:rPr>
            </w:r>
            <w:r/>
          </w:p>
          <w:p>
            <w:pPr>
              <w:pStyle w:val="1008"/>
              <w:jc w:val="center"/>
              <w:spacing w:line="360" w:lineRule="auto"/>
              <w:rPr>
                <w:rFonts w:ascii="宋体" w:hAnsi="宋体" w:cs="宋体"/>
                <w:b/>
                <w:highlight w:val="none"/>
              </w:rPr>
            </w:pPr>
            <w:r>
              <w:rPr>
                <w:rFonts w:hint="eastAsia" w:ascii="宋体" w:hAnsi="宋体" w:cs="宋体"/>
                <w:b/>
                <w:highlight w:val="none"/>
              </w:rPr>
              <w:t xml:space="preserve">页码位置</w:t>
            </w:r>
            <w:r>
              <w:rPr>
                <w:highlight w:val="none"/>
              </w:rPr>
            </w:r>
            <w:r/>
          </w:p>
        </w:tc>
      </w:tr>
      <w:tr>
        <w:trPr>
          <w:trHeight w:val="585"/>
        </w:trPr>
        <w:tc>
          <w:tcPr>
            <w:tcW w:w="646" w:type="dxa"/>
            <w:vAlign w:val="center"/>
            <w:textDirection w:val="lrTb"/>
            <w:noWrap w:val="false"/>
          </w:tcPr>
          <w:p>
            <w:pPr>
              <w:pStyle w:val="1008"/>
              <w:spacing w:line="360" w:lineRule="auto"/>
              <w:rPr>
                <w:rFonts w:ascii="宋体" w:hAnsi="宋体" w:cs="宋体"/>
                <w:b/>
                <w:highlight w:val="none"/>
              </w:rPr>
            </w:pPr>
            <w:r>
              <w:rPr>
                <w:rFonts w:hint="eastAsia" w:ascii="宋体" w:hAnsi="宋体" w:cs="宋体"/>
                <w:b/>
                <w:highlight w:val="none"/>
              </w:rPr>
              <w:t xml:space="preserve">1</w:t>
            </w:r>
            <w:r>
              <w:rPr>
                <w:highlight w:val="none"/>
              </w:rPr>
            </w:r>
            <w:r/>
          </w:p>
        </w:tc>
        <w:tc>
          <w:tcPr>
            <w:tcW w:w="5447" w:type="dxa"/>
            <w:vAlign w:val="center"/>
            <w:textDirection w:val="lrTb"/>
            <w:noWrap w:val="false"/>
          </w:tcPr>
          <w:p>
            <w:pPr>
              <w:pStyle w:val="1008"/>
              <w:spacing w:line="360" w:lineRule="auto"/>
              <w:rPr>
                <w:rFonts w:ascii="宋体" w:hAnsi="宋体" w:cs="宋体"/>
                <w:iCs/>
                <w:sz w:val="24"/>
                <w:highlight w:val="none"/>
              </w:rPr>
            </w:pPr>
            <w:r>
              <w:rPr>
                <w:rFonts w:ascii="宋体" w:hAnsi="宋体" w:cs="宋体"/>
                <w:iCs/>
                <w:sz w:val="24"/>
                <w:highlight w:val="none"/>
              </w:rPr>
            </w:r>
            <w:r>
              <w:rPr>
                <w:highlight w:val="none"/>
              </w:rPr>
            </w:r>
            <w:r/>
          </w:p>
        </w:tc>
        <w:tc>
          <w:tcPr>
            <w:tcW w:w="1680" w:type="dxa"/>
            <w:vAlign w:val="center"/>
            <w:textDirection w:val="lrTb"/>
            <w:noWrap w:val="false"/>
          </w:tcPr>
          <w:p>
            <w:pPr>
              <w:pStyle w:val="1008"/>
              <w:spacing w:line="360" w:lineRule="auto"/>
              <w:rPr>
                <w:rFonts w:ascii="宋体" w:hAnsi="宋体" w:cs="宋体"/>
                <w:b/>
                <w:highlight w:val="none"/>
              </w:rPr>
            </w:pPr>
            <w:r>
              <w:rPr>
                <w:rFonts w:ascii="宋体" w:hAnsi="宋体" w:cs="宋体"/>
                <w:b/>
                <w:highlight w:val="none"/>
              </w:rPr>
            </w:r>
            <w:r>
              <w:rPr>
                <w:highlight w:val="none"/>
              </w:rPr>
            </w:r>
            <w:r/>
          </w:p>
        </w:tc>
        <w:tc>
          <w:tcPr>
            <w:tcW w:w="1785" w:type="dxa"/>
            <w:vAlign w:val="center"/>
            <w:textDirection w:val="lrTb"/>
            <w:noWrap w:val="false"/>
          </w:tcPr>
          <w:p>
            <w:pPr>
              <w:pStyle w:val="1008"/>
              <w:spacing w:line="360" w:lineRule="auto"/>
              <w:rPr>
                <w:rFonts w:ascii="宋体" w:hAnsi="宋体" w:cs="宋体"/>
                <w:b/>
                <w:highlight w:val="none"/>
              </w:rPr>
            </w:pPr>
            <w:r>
              <w:rPr>
                <w:rFonts w:ascii="宋体" w:hAnsi="宋体" w:cs="宋体"/>
                <w:b/>
                <w:highlight w:val="none"/>
              </w:rPr>
            </w:r>
            <w:r>
              <w:rPr>
                <w:highlight w:val="none"/>
              </w:rPr>
            </w:r>
            <w:r/>
          </w:p>
        </w:tc>
      </w:tr>
      <w:tr>
        <w:trPr>
          <w:trHeight w:val="585"/>
        </w:trPr>
        <w:tc>
          <w:tcPr>
            <w:tcW w:w="646" w:type="dxa"/>
            <w:vAlign w:val="center"/>
            <w:textDirection w:val="lrTb"/>
            <w:noWrap w:val="false"/>
          </w:tcPr>
          <w:p>
            <w:pPr>
              <w:pStyle w:val="1008"/>
              <w:spacing w:line="360" w:lineRule="auto"/>
              <w:rPr>
                <w:rFonts w:ascii="宋体" w:hAnsi="宋体" w:cs="宋体"/>
                <w:highlight w:val="none"/>
              </w:rPr>
            </w:pPr>
            <w:r>
              <w:rPr>
                <w:rFonts w:hint="eastAsia" w:ascii="宋体" w:hAnsi="宋体" w:cs="宋体"/>
                <w:highlight w:val="none"/>
              </w:rPr>
              <w:t xml:space="preserve">2</w:t>
            </w:r>
            <w:r>
              <w:rPr>
                <w:highlight w:val="none"/>
              </w:rPr>
            </w:r>
            <w:r/>
          </w:p>
        </w:tc>
        <w:tc>
          <w:tcPr>
            <w:tcW w:w="5447" w:type="dxa"/>
            <w:vAlign w:val="center"/>
            <w:textDirection w:val="lrTb"/>
            <w:noWrap w:val="false"/>
          </w:tcPr>
          <w:p>
            <w:pPr>
              <w:pStyle w:val="1008"/>
              <w:spacing w:line="360" w:lineRule="auto"/>
              <w:rPr>
                <w:rFonts w:ascii="宋体" w:hAnsi="宋体" w:cs="宋体"/>
                <w:iCs/>
                <w:sz w:val="24"/>
                <w:highlight w:val="none"/>
              </w:rPr>
            </w:pPr>
            <w:r>
              <w:rPr>
                <w:rFonts w:ascii="宋体" w:hAnsi="宋体" w:cs="宋体"/>
                <w:iCs/>
                <w:sz w:val="24"/>
                <w:highlight w:val="none"/>
              </w:rPr>
            </w:r>
            <w:r>
              <w:rPr>
                <w:highlight w:val="none"/>
              </w:rPr>
            </w:r>
            <w:r/>
          </w:p>
        </w:tc>
        <w:tc>
          <w:tcPr>
            <w:tcW w:w="1680"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c>
          <w:tcPr>
            <w:tcW w:w="1785"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r>
      <w:tr>
        <w:trPr>
          <w:trHeight w:val="585"/>
        </w:trPr>
        <w:tc>
          <w:tcPr>
            <w:tcW w:w="646" w:type="dxa"/>
            <w:vAlign w:val="center"/>
            <w:textDirection w:val="lrTb"/>
            <w:noWrap w:val="false"/>
          </w:tcPr>
          <w:p>
            <w:pPr>
              <w:pStyle w:val="1008"/>
              <w:spacing w:line="360" w:lineRule="auto"/>
              <w:rPr>
                <w:rFonts w:ascii="宋体" w:hAnsi="宋体" w:cs="宋体"/>
                <w:highlight w:val="none"/>
              </w:rPr>
            </w:pPr>
            <w:r>
              <w:rPr>
                <w:rFonts w:hint="eastAsia" w:ascii="宋体" w:hAnsi="宋体" w:cs="宋体"/>
                <w:highlight w:val="none"/>
              </w:rPr>
              <w:t xml:space="preserve">3</w:t>
            </w:r>
            <w:r>
              <w:rPr>
                <w:highlight w:val="none"/>
              </w:rPr>
            </w:r>
            <w:r/>
          </w:p>
        </w:tc>
        <w:tc>
          <w:tcPr>
            <w:tcW w:w="5447" w:type="dxa"/>
            <w:vAlign w:val="center"/>
            <w:textDirection w:val="lrTb"/>
            <w:noWrap w:val="false"/>
          </w:tcPr>
          <w:p>
            <w:pPr>
              <w:pStyle w:val="1008"/>
              <w:spacing w:line="360" w:lineRule="auto"/>
              <w:rPr>
                <w:rFonts w:ascii="宋体" w:hAnsi="宋体" w:cs="宋体"/>
                <w:iCs/>
                <w:sz w:val="24"/>
                <w:highlight w:val="none"/>
              </w:rPr>
            </w:pPr>
            <w:r>
              <w:rPr>
                <w:rFonts w:ascii="宋体" w:hAnsi="宋体" w:cs="宋体"/>
                <w:iCs/>
                <w:sz w:val="24"/>
                <w:highlight w:val="none"/>
              </w:rPr>
            </w:r>
            <w:r>
              <w:rPr>
                <w:highlight w:val="none"/>
              </w:rPr>
            </w:r>
            <w:r/>
          </w:p>
        </w:tc>
        <w:tc>
          <w:tcPr>
            <w:tcW w:w="1680"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c>
          <w:tcPr>
            <w:tcW w:w="1785"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r>
      <w:tr>
        <w:trPr>
          <w:trHeight w:val="2596"/>
        </w:trPr>
        <w:tc>
          <w:tcPr>
            <w:tcW w:w="646" w:type="dxa"/>
            <w:vAlign w:val="center"/>
            <w:textDirection w:val="lrTb"/>
            <w:noWrap w:val="false"/>
          </w:tcPr>
          <w:p>
            <w:pPr>
              <w:pStyle w:val="1008"/>
              <w:spacing w:line="360" w:lineRule="auto"/>
              <w:rPr>
                <w:rFonts w:ascii="宋体" w:hAnsi="宋体" w:cs="宋体"/>
                <w:highlight w:val="none"/>
              </w:rPr>
            </w:pPr>
            <w:r>
              <w:rPr>
                <w:rFonts w:hint="eastAsia" w:ascii="宋体" w:hAnsi="宋体" w:cs="宋体"/>
                <w:highlight w:val="none"/>
              </w:rPr>
              <w:t xml:space="preserve">4</w:t>
            </w:r>
            <w:r>
              <w:rPr>
                <w:highlight w:val="none"/>
              </w:rPr>
            </w:r>
            <w:r/>
          </w:p>
        </w:tc>
        <w:tc>
          <w:tcPr>
            <w:tcW w:w="5447" w:type="dxa"/>
            <w:vAlign w:val="center"/>
            <w:textDirection w:val="lrTb"/>
            <w:noWrap w:val="false"/>
          </w:tcPr>
          <w:p>
            <w:pPr>
              <w:pStyle w:val="1008"/>
              <w:spacing w:line="360" w:lineRule="auto"/>
              <w:rPr>
                <w:rFonts w:ascii="宋体" w:hAnsi="宋体" w:cs="宋体"/>
                <w:iCs/>
                <w:sz w:val="24"/>
                <w:highlight w:val="none"/>
              </w:rPr>
            </w:pPr>
            <w:r>
              <w:rPr>
                <w:rFonts w:ascii="宋体" w:hAnsi="宋体" w:cs="宋体"/>
                <w:iCs/>
                <w:sz w:val="24"/>
                <w:highlight w:val="none"/>
              </w:rPr>
            </w:r>
            <w:r>
              <w:rPr>
                <w:highlight w:val="none"/>
              </w:rPr>
            </w:r>
            <w:r/>
          </w:p>
        </w:tc>
        <w:tc>
          <w:tcPr>
            <w:tcW w:w="1680"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c>
          <w:tcPr>
            <w:tcW w:w="1785"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r>
      <w:tr>
        <w:trPr>
          <w:trHeight w:val="1575"/>
        </w:trPr>
        <w:tc>
          <w:tcPr>
            <w:tcW w:w="646" w:type="dxa"/>
            <w:vAlign w:val="center"/>
            <w:textDirection w:val="lrTb"/>
            <w:noWrap w:val="false"/>
          </w:tcPr>
          <w:p>
            <w:pPr>
              <w:pStyle w:val="1008"/>
              <w:spacing w:line="360" w:lineRule="auto"/>
              <w:rPr>
                <w:rFonts w:ascii="宋体" w:hAnsi="宋体" w:cs="宋体"/>
                <w:highlight w:val="none"/>
              </w:rPr>
            </w:pPr>
            <w:r>
              <w:rPr>
                <w:rFonts w:hint="eastAsia" w:ascii="宋体" w:hAnsi="宋体" w:cs="宋体"/>
                <w:highlight w:val="none"/>
              </w:rPr>
              <w:t xml:space="preserve">5</w:t>
            </w:r>
            <w:r>
              <w:rPr>
                <w:highlight w:val="none"/>
              </w:rPr>
            </w:r>
            <w:r/>
          </w:p>
        </w:tc>
        <w:tc>
          <w:tcPr>
            <w:tcW w:w="5447" w:type="dxa"/>
            <w:vAlign w:val="center"/>
            <w:textDirection w:val="lrTb"/>
            <w:noWrap w:val="false"/>
          </w:tcPr>
          <w:p>
            <w:pPr>
              <w:pStyle w:val="1008"/>
              <w:spacing w:line="360" w:lineRule="auto"/>
              <w:rPr>
                <w:rFonts w:ascii="宋体" w:hAnsi="宋体" w:cs="宋体"/>
                <w:iCs/>
                <w:sz w:val="24"/>
                <w:highlight w:val="none"/>
              </w:rPr>
            </w:pPr>
            <w:r>
              <w:rPr>
                <w:rFonts w:ascii="宋体" w:hAnsi="宋体" w:cs="宋体"/>
                <w:iCs/>
                <w:sz w:val="24"/>
                <w:highlight w:val="none"/>
              </w:rPr>
            </w:r>
            <w:r>
              <w:rPr>
                <w:highlight w:val="none"/>
              </w:rPr>
            </w:r>
            <w:r/>
          </w:p>
        </w:tc>
        <w:tc>
          <w:tcPr>
            <w:tcW w:w="1680"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c>
          <w:tcPr>
            <w:tcW w:w="1785"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r>
      <w:tr>
        <w:trPr>
          <w:trHeight w:val="90"/>
        </w:trPr>
        <w:tc>
          <w:tcPr>
            <w:tcW w:w="646" w:type="dxa"/>
            <w:vAlign w:val="center"/>
            <w:textDirection w:val="lrTb"/>
            <w:noWrap w:val="false"/>
          </w:tcPr>
          <w:p>
            <w:pPr>
              <w:pStyle w:val="1008"/>
              <w:spacing w:line="360" w:lineRule="auto"/>
              <w:rPr>
                <w:rFonts w:ascii="宋体" w:hAnsi="宋体" w:cs="宋体"/>
                <w:highlight w:val="none"/>
              </w:rPr>
            </w:pPr>
            <w:r>
              <w:rPr>
                <w:rFonts w:hint="eastAsia" w:ascii="宋体" w:hAnsi="宋体" w:cs="宋体"/>
                <w:highlight w:val="none"/>
              </w:rPr>
              <w:t xml:space="preserve">6</w:t>
            </w:r>
            <w:r>
              <w:rPr>
                <w:highlight w:val="none"/>
              </w:rPr>
            </w:r>
            <w:r/>
          </w:p>
        </w:tc>
        <w:tc>
          <w:tcPr>
            <w:tcW w:w="5447" w:type="dxa"/>
            <w:vAlign w:val="center"/>
            <w:textDirection w:val="lrTb"/>
            <w:noWrap w:val="false"/>
          </w:tcPr>
          <w:p>
            <w:pPr>
              <w:pStyle w:val="1008"/>
              <w:spacing w:line="360" w:lineRule="auto"/>
              <w:rPr>
                <w:rFonts w:ascii="宋体" w:hAnsi="宋体" w:cs="宋体"/>
                <w:iCs/>
                <w:sz w:val="24"/>
                <w:highlight w:val="none"/>
              </w:rPr>
            </w:pPr>
            <w:r>
              <w:rPr>
                <w:rFonts w:ascii="宋体" w:hAnsi="宋体" w:cs="宋体"/>
                <w:iCs/>
                <w:sz w:val="24"/>
                <w:highlight w:val="none"/>
              </w:rPr>
            </w:r>
            <w:r>
              <w:rPr>
                <w:highlight w:val="none"/>
              </w:rPr>
            </w:r>
            <w:r/>
          </w:p>
        </w:tc>
        <w:tc>
          <w:tcPr>
            <w:tcW w:w="1680"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c>
          <w:tcPr>
            <w:tcW w:w="1785"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r>
      <w:tr>
        <w:trPr>
          <w:trHeight w:val="400"/>
        </w:trPr>
        <w:tc>
          <w:tcPr>
            <w:tcW w:w="646" w:type="dxa"/>
            <w:vAlign w:val="center"/>
            <w:textDirection w:val="lrTb"/>
            <w:noWrap w:val="false"/>
          </w:tcPr>
          <w:p>
            <w:pPr>
              <w:pStyle w:val="1008"/>
              <w:spacing w:line="360" w:lineRule="auto"/>
              <w:rPr>
                <w:rFonts w:ascii="宋体" w:hAnsi="宋体" w:cs="宋体"/>
                <w:highlight w:val="none"/>
              </w:rPr>
            </w:pPr>
            <w:r>
              <w:rPr>
                <w:rFonts w:hint="eastAsia" w:ascii="宋体" w:hAnsi="宋体" w:cs="宋体"/>
                <w:highlight w:val="none"/>
              </w:rPr>
              <w:t xml:space="preserve">7</w:t>
            </w:r>
            <w:r>
              <w:rPr>
                <w:highlight w:val="none"/>
              </w:rPr>
            </w:r>
            <w:r/>
          </w:p>
        </w:tc>
        <w:tc>
          <w:tcPr>
            <w:tcW w:w="5447" w:type="dxa"/>
            <w:vAlign w:val="center"/>
            <w:textDirection w:val="lrTb"/>
            <w:noWrap w:val="false"/>
          </w:tcPr>
          <w:p>
            <w:pPr>
              <w:pStyle w:val="1008"/>
              <w:spacing w:line="360" w:lineRule="auto"/>
              <w:rPr>
                <w:rFonts w:ascii="宋体" w:hAnsi="宋体" w:cs="宋体"/>
                <w:iCs/>
                <w:sz w:val="24"/>
                <w:highlight w:val="none"/>
              </w:rPr>
            </w:pPr>
            <w:r>
              <w:rPr>
                <w:rFonts w:ascii="宋体" w:hAnsi="宋体" w:cs="宋体"/>
                <w:iCs/>
                <w:sz w:val="24"/>
                <w:highlight w:val="none"/>
              </w:rPr>
            </w:r>
            <w:r>
              <w:rPr>
                <w:highlight w:val="none"/>
              </w:rPr>
            </w:r>
            <w:r/>
          </w:p>
        </w:tc>
        <w:tc>
          <w:tcPr>
            <w:tcW w:w="1680"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c>
          <w:tcPr>
            <w:tcW w:w="1785"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r>
    </w:tbl>
    <w:p>
      <w:pPr>
        <w:pStyle w:val="1008"/>
        <w:ind w:firstLine="480"/>
        <w:spacing w:line="360" w:lineRule="auto"/>
        <w:rPr>
          <w:rFonts w:ascii="宋体" w:hAnsi="宋体" w:cs="宋体"/>
          <w:sz w:val="24"/>
          <w:highlight w:val="none"/>
        </w:rPr>
      </w:pPr>
      <w:r>
        <w:rPr>
          <w:rFonts w:ascii="宋体" w:hAnsi="宋体" w:cs="宋体"/>
          <w:sz w:val="24"/>
          <w:highlight w:val="none"/>
        </w:rPr>
      </w:r>
      <w:r>
        <w:rPr>
          <w:highlight w:val="none"/>
        </w:rPr>
      </w:r>
      <w:r/>
    </w:p>
    <w:p>
      <w:pPr>
        <w:pStyle w:val="1008"/>
        <w:spacing w:line="360" w:lineRule="auto"/>
        <w:rPr>
          <w:rFonts w:ascii="宋体" w:hAnsi="宋体" w:cs="宋体"/>
          <w:sz w:val="44"/>
          <w:highlight w:val="none"/>
        </w:rPr>
      </w:pPr>
      <w:r>
        <w:rPr>
          <w:rFonts w:hint="eastAsia" w:ascii="宋体" w:hAnsi="宋体" w:cs="宋体"/>
          <w:sz w:val="44"/>
          <w:highlight w:val="none"/>
        </w:rPr>
        <w:t xml:space="preserve"> </w:t>
      </w:r>
      <w:r>
        <w:rPr>
          <w:highlight w:val="none"/>
        </w:rPr>
      </w:r>
      <w:r/>
    </w:p>
    <w:p>
      <w:pPr>
        <w:pStyle w:val="1008"/>
        <w:spacing w:line="360" w:lineRule="auto"/>
        <w:rPr>
          <w:rFonts w:ascii="宋体" w:hAnsi="宋体" w:cs="宋体"/>
          <w:sz w:val="44"/>
          <w:highlight w:val="none"/>
        </w:rPr>
      </w:pPr>
      <w:r>
        <w:rPr>
          <w:rFonts w:ascii="宋体" w:hAnsi="宋体" w:cs="宋体"/>
          <w:sz w:val="44"/>
          <w:highlight w:val="none"/>
        </w:rPr>
      </w:r>
      <w:r>
        <w:rPr>
          <w:highlight w:val="none"/>
        </w:rPr>
      </w:r>
      <w:r/>
    </w:p>
    <w:p>
      <w:pPr>
        <w:pStyle w:val="1008"/>
        <w:spacing w:line="360" w:lineRule="auto"/>
        <w:rPr>
          <w:rFonts w:ascii="宋体" w:hAnsi="宋体" w:cs="宋体"/>
          <w:sz w:val="44"/>
          <w:highlight w:val="none"/>
        </w:rPr>
      </w:pPr>
      <w:r>
        <w:rPr>
          <w:rFonts w:ascii="宋体" w:hAnsi="宋体" w:cs="宋体"/>
          <w:sz w:val="44"/>
          <w:highlight w:val="none"/>
        </w:rPr>
      </w:r>
      <w:r>
        <w:rPr>
          <w:highlight w:val="none"/>
        </w:rPr>
      </w:r>
      <w:r/>
    </w:p>
    <w:p>
      <w:pPr>
        <w:pStyle w:val="1008"/>
        <w:spacing w:line="360" w:lineRule="auto"/>
        <w:rPr>
          <w:rFonts w:ascii="宋体" w:hAnsi="宋体" w:cs="宋体"/>
          <w:sz w:val="44"/>
          <w:highlight w:val="none"/>
        </w:rPr>
      </w:pPr>
      <w:r>
        <w:rPr>
          <w:rFonts w:ascii="宋体" w:hAnsi="宋体" w:cs="宋体"/>
          <w:sz w:val="44"/>
          <w:highlight w:val="none"/>
        </w:rPr>
      </w:r>
      <w:r>
        <w:rPr>
          <w:highlight w:val="none"/>
        </w:rPr>
      </w:r>
      <w:r/>
    </w:p>
    <w:p>
      <w:pPr>
        <w:pStyle w:val="1052"/>
        <w:ind w:firstLine="600"/>
        <w:rPr>
          <w:highlight w:val="none"/>
        </w:rPr>
      </w:pPr>
      <w:r>
        <w:rPr>
          <w:highlight w:val="none"/>
        </w:rPr>
      </w:r>
      <w:r>
        <w:rPr>
          <w:highlight w:val="none"/>
        </w:rPr>
      </w:r>
      <w:r/>
    </w:p>
    <w:p>
      <w:pPr>
        <w:pStyle w:val="1008"/>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r/>
    </w:p>
    <w:p>
      <w:pPr>
        <w:pStyle w:val="1008"/>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三、符合性检查响应对照表（格式）</w:t>
      </w:r>
      <w:r>
        <w:rPr>
          <w:highlight w:val="none"/>
        </w:rPr>
      </w:r>
      <w:r/>
    </w:p>
    <w:p>
      <w:pPr>
        <w:pStyle w:val="1008"/>
        <w:ind w:firstLine="309"/>
        <w:spacing w:line="360" w:lineRule="auto"/>
        <w:rPr>
          <w:rFonts w:ascii="宋体" w:hAnsi="宋体" w:cs="宋体"/>
          <w:sz w:val="24"/>
          <w:highlight w:val="none"/>
        </w:rPr>
      </w:pPr>
      <w:r>
        <w:rPr>
          <w:rFonts w:hint="eastAsia" w:ascii="宋体" w:hAnsi="宋体" w:cs="宋体"/>
          <w:sz w:val="24"/>
          <w:highlight w:val="none"/>
        </w:rPr>
        <w:t xml:space="preserve">投标人全称（加盖公章）：</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1008"/>
              <w:jc w:val="center"/>
              <w:spacing w:line="360" w:lineRule="auto"/>
              <w:rPr>
                <w:rFonts w:ascii="宋体" w:hAnsi="宋体" w:cs="宋体"/>
                <w:b/>
                <w:highlight w:val="none"/>
              </w:rPr>
            </w:pPr>
            <w:r>
              <w:rPr>
                <w:rFonts w:hint="eastAsia" w:ascii="宋体" w:hAnsi="宋体" w:cs="宋体"/>
                <w:b/>
                <w:highlight w:val="none"/>
              </w:rPr>
              <w:t xml:space="preserve">序号</w:t>
            </w:r>
            <w:r>
              <w:rPr>
                <w:highlight w:val="none"/>
              </w:rPr>
            </w:r>
            <w:r/>
          </w:p>
        </w:tc>
        <w:tc>
          <w:tcPr>
            <w:tcW w:w="5447" w:type="dxa"/>
            <w:vAlign w:val="center"/>
            <w:textDirection w:val="lrTb"/>
            <w:noWrap w:val="false"/>
          </w:tcPr>
          <w:p>
            <w:pPr>
              <w:pStyle w:val="1008"/>
              <w:jc w:val="center"/>
              <w:spacing w:line="360" w:lineRule="auto"/>
              <w:rPr>
                <w:rFonts w:ascii="宋体" w:hAnsi="宋体" w:cs="宋体"/>
                <w:b/>
                <w:highlight w:val="none"/>
              </w:rPr>
            </w:pPr>
            <w:r>
              <w:rPr>
                <w:rFonts w:hint="eastAsia" w:ascii="宋体" w:hAnsi="宋体" w:cs="宋体"/>
                <w:b/>
                <w:highlight w:val="none"/>
              </w:rPr>
              <w:t xml:space="preserve">符合性检查响应内容</w:t>
            </w:r>
            <w:r>
              <w:rPr>
                <w:highlight w:val="none"/>
              </w:rPr>
            </w:r>
            <w:r/>
          </w:p>
        </w:tc>
        <w:tc>
          <w:tcPr>
            <w:tcW w:w="1680" w:type="dxa"/>
            <w:vAlign w:val="center"/>
            <w:textDirection w:val="lrTb"/>
            <w:noWrap w:val="false"/>
          </w:tcPr>
          <w:p>
            <w:pPr>
              <w:pStyle w:val="1008"/>
              <w:jc w:val="center"/>
              <w:spacing w:line="360" w:lineRule="auto"/>
              <w:rPr>
                <w:rFonts w:ascii="宋体" w:hAnsi="宋体" w:cs="宋体"/>
                <w:b/>
                <w:highlight w:val="none"/>
              </w:rPr>
            </w:pPr>
            <w:r>
              <w:rPr>
                <w:rFonts w:hint="eastAsia" w:ascii="宋体" w:hAnsi="宋体" w:cs="宋体"/>
                <w:b/>
                <w:highlight w:val="none"/>
              </w:rPr>
              <w:t xml:space="preserve">是否响应</w:t>
            </w:r>
            <w:r>
              <w:rPr>
                <w:highlight w:val="none"/>
              </w:rPr>
            </w:r>
            <w:r/>
          </w:p>
          <w:p>
            <w:pPr>
              <w:pStyle w:val="1008"/>
              <w:jc w:val="center"/>
              <w:spacing w:line="360" w:lineRule="auto"/>
              <w:rPr>
                <w:rFonts w:ascii="宋体" w:hAnsi="宋体" w:cs="宋体"/>
                <w:b/>
                <w:highlight w:val="none"/>
              </w:rPr>
            </w:pPr>
            <w:r>
              <w:rPr>
                <w:rFonts w:hint="eastAsia" w:ascii="宋体" w:hAnsi="宋体" w:cs="宋体"/>
                <w:b/>
                <w:highlight w:val="none"/>
              </w:rPr>
              <w:t xml:space="preserve">（填是或者否）</w:t>
            </w:r>
            <w:r>
              <w:rPr>
                <w:highlight w:val="none"/>
              </w:rPr>
            </w:r>
            <w:r/>
          </w:p>
        </w:tc>
        <w:tc>
          <w:tcPr>
            <w:tcW w:w="1785" w:type="dxa"/>
            <w:vAlign w:val="center"/>
            <w:textDirection w:val="lrTb"/>
            <w:noWrap w:val="false"/>
          </w:tcPr>
          <w:p>
            <w:pPr>
              <w:pStyle w:val="1008"/>
              <w:jc w:val="center"/>
              <w:spacing w:line="360" w:lineRule="auto"/>
              <w:rPr>
                <w:rFonts w:ascii="宋体" w:hAnsi="宋体" w:cs="宋体"/>
                <w:b/>
                <w:highlight w:val="none"/>
              </w:rPr>
            </w:pPr>
            <w:r>
              <w:rPr>
                <w:rFonts w:hint="eastAsia" w:ascii="宋体" w:hAnsi="宋体" w:cs="宋体"/>
                <w:b/>
                <w:highlight w:val="none"/>
              </w:rPr>
              <w:t xml:space="preserve">投标文件中的</w:t>
            </w:r>
            <w:r>
              <w:rPr>
                <w:highlight w:val="none"/>
              </w:rPr>
            </w:r>
            <w:r/>
          </w:p>
          <w:p>
            <w:pPr>
              <w:pStyle w:val="1008"/>
              <w:jc w:val="center"/>
              <w:spacing w:line="360" w:lineRule="auto"/>
              <w:rPr>
                <w:rFonts w:ascii="宋体" w:hAnsi="宋体" w:cs="宋体"/>
                <w:b/>
                <w:highlight w:val="none"/>
              </w:rPr>
            </w:pPr>
            <w:r>
              <w:rPr>
                <w:rFonts w:hint="eastAsia" w:ascii="宋体" w:hAnsi="宋体" w:cs="宋体"/>
                <w:b/>
                <w:highlight w:val="none"/>
              </w:rPr>
              <w:t xml:space="preserve">页码位置</w:t>
            </w:r>
            <w:r>
              <w:rPr>
                <w:highlight w:val="none"/>
              </w:rPr>
            </w:r>
            <w:r/>
          </w:p>
        </w:tc>
      </w:tr>
      <w:tr>
        <w:trPr>
          <w:trHeight w:val="585"/>
        </w:trPr>
        <w:tc>
          <w:tcPr>
            <w:tcW w:w="646" w:type="dxa"/>
            <w:vAlign w:val="center"/>
            <w:textDirection w:val="lrTb"/>
            <w:noWrap w:val="false"/>
          </w:tcPr>
          <w:p>
            <w:pPr>
              <w:pStyle w:val="1008"/>
              <w:spacing w:line="360" w:lineRule="auto"/>
              <w:rPr>
                <w:rFonts w:ascii="宋体" w:hAnsi="宋体" w:cs="宋体"/>
                <w:b/>
                <w:highlight w:val="none"/>
              </w:rPr>
            </w:pPr>
            <w:r>
              <w:rPr>
                <w:rFonts w:hint="eastAsia" w:ascii="宋体" w:hAnsi="宋体" w:cs="宋体"/>
                <w:b/>
                <w:highlight w:val="none"/>
              </w:rPr>
              <w:t xml:space="preserve">1</w:t>
            </w:r>
            <w:r>
              <w:rPr>
                <w:highlight w:val="none"/>
              </w:rPr>
            </w:r>
            <w:r/>
          </w:p>
        </w:tc>
        <w:tc>
          <w:tcPr>
            <w:tcW w:w="5447" w:type="dxa"/>
            <w:vAlign w:val="center"/>
            <w:textDirection w:val="lrTb"/>
            <w:noWrap w:val="false"/>
          </w:tcPr>
          <w:p>
            <w:pPr>
              <w:pStyle w:val="1008"/>
              <w:spacing w:line="360" w:lineRule="auto"/>
              <w:rPr>
                <w:rFonts w:ascii="宋体" w:hAnsi="宋体" w:cs="宋体"/>
                <w:iCs/>
                <w:sz w:val="24"/>
                <w:highlight w:val="none"/>
              </w:rPr>
            </w:pPr>
            <w:r>
              <w:rPr>
                <w:rFonts w:ascii="宋体" w:hAnsi="宋体" w:cs="宋体"/>
                <w:iCs/>
                <w:sz w:val="24"/>
                <w:highlight w:val="none"/>
              </w:rPr>
            </w:r>
            <w:r>
              <w:rPr>
                <w:highlight w:val="none"/>
              </w:rPr>
            </w:r>
            <w:r/>
          </w:p>
        </w:tc>
        <w:tc>
          <w:tcPr>
            <w:tcW w:w="1680" w:type="dxa"/>
            <w:vAlign w:val="center"/>
            <w:textDirection w:val="lrTb"/>
            <w:noWrap w:val="false"/>
          </w:tcPr>
          <w:p>
            <w:pPr>
              <w:pStyle w:val="1008"/>
              <w:spacing w:line="360" w:lineRule="auto"/>
              <w:rPr>
                <w:rFonts w:ascii="宋体" w:hAnsi="宋体" w:cs="宋体"/>
                <w:b/>
                <w:highlight w:val="none"/>
              </w:rPr>
            </w:pPr>
            <w:r>
              <w:rPr>
                <w:rFonts w:ascii="宋体" w:hAnsi="宋体" w:cs="宋体"/>
                <w:b/>
                <w:highlight w:val="none"/>
              </w:rPr>
            </w:r>
            <w:r>
              <w:rPr>
                <w:highlight w:val="none"/>
              </w:rPr>
            </w:r>
            <w:r/>
          </w:p>
        </w:tc>
        <w:tc>
          <w:tcPr>
            <w:tcW w:w="1785" w:type="dxa"/>
            <w:vAlign w:val="center"/>
            <w:textDirection w:val="lrTb"/>
            <w:noWrap w:val="false"/>
          </w:tcPr>
          <w:p>
            <w:pPr>
              <w:pStyle w:val="1008"/>
              <w:spacing w:line="360" w:lineRule="auto"/>
              <w:rPr>
                <w:rFonts w:ascii="宋体" w:hAnsi="宋体" w:cs="宋体"/>
                <w:b/>
                <w:highlight w:val="none"/>
              </w:rPr>
            </w:pPr>
            <w:r>
              <w:rPr>
                <w:rFonts w:ascii="宋体" w:hAnsi="宋体" w:cs="宋体"/>
                <w:b/>
                <w:highlight w:val="none"/>
              </w:rPr>
            </w:r>
            <w:r>
              <w:rPr>
                <w:highlight w:val="none"/>
              </w:rPr>
            </w:r>
            <w:r/>
          </w:p>
        </w:tc>
      </w:tr>
      <w:tr>
        <w:trPr>
          <w:trHeight w:val="585"/>
        </w:trPr>
        <w:tc>
          <w:tcPr>
            <w:tcW w:w="646" w:type="dxa"/>
            <w:vAlign w:val="center"/>
            <w:textDirection w:val="lrTb"/>
            <w:noWrap w:val="false"/>
          </w:tcPr>
          <w:p>
            <w:pPr>
              <w:pStyle w:val="1008"/>
              <w:spacing w:line="360" w:lineRule="auto"/>
              <w:rPr>
                <w:rFonts w:ascii="宋体" w:hAnsi="宋体" w:cs="宋体"/>
                <w:highlight w:val="none"/>
              </w:rPr>
            </w:pPr>
            <w:r>
              <w:rPr>
                <w:rFonts w:hint="eastAsia" w:ascii="宋体" w:hAnsi="宋体" w:cs="宋体"/>
                <w:highlight w:val="none"/>
              </w:rPr>
              <w:t xml:space="preserve">2</w:t>
            </w:r>
            <w:r>
              <w:rPr>
                <w:highlight w:val="none"/>
              </w:rPr>
            </w:r>
            <w:r/>
          </w:p>
        </w:tc>
        <w:tc>
          <w:tcPr>
            <w:tcW w:w="5447" w:type="dxa"/>
            <w:vAlign w:val="center"/>
            <w:textDirection w:val="lrTb"/>
            <w:noWrap w:val="false"/>
          </w:tcPr>
          <w:p>
            <w:pPr>
              <w:pStyle w:val="1008"/>
              <w:spacing w:line="360" w:lineRule="auto"/>
              <w:rPr>
                <w:rFonts w:ascii="宋体" w:hAnsi="宋体" w:cs="宋体"/>
                <w:iCs/>
                <w:sz w:val="24"/>
                <w:highlight w:val="none"/>
              </w:rPr>
            </w:pPr>
            <w:r>
              <w:rPr>
                <w:rFonts w:ascii="宋体" w:hAnsi="宋体" w:cs="宋体"/>
                <w:iCs/>
                <w:sz w:val="24"/>
                <w:highlight w:val="none"/>
              </w:rPr>
            </w:r>
            <w:r>
              <w:rPr>
                <w:highlight w:val="none"/>
              </w:rPr>
            </w:r>
            <w:r/>
          </w:p>
        </w:tc>
        <w:tc>
          <w:tcPr>
            <w:tcW w:w="1680"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c>
          <w:tcPr>
            <w:tcW w:w="1785"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r>
      <w:tr>
        <w:trPr>
          <w:trHeight w:val="585"/>
        </w:trPr>
        <w:tc>
          <w:tcPr>
            <w:tcW w:w="646" w:type="dxa"/>
            <w:vAlign w:val="center"/>
            <w:textDirection w:val="lrTb"/>
            <w:noWrap w:val="false"/>
          </w:tcPr>
          <w:p>
            <w:pPr>
              <w:pStyle w:val="1008"/>
              <w:spacing w:line="360" w:lineRule="auto"/>
              <w:rPr>
                <w:rFonts w:ascii="宋体" w:hAnsi="宋体" w:cs="宋体"/>
                <w:highlight w:val="none"/>
              </w:rPr>
            </w:pPr>
            <w:r>
              <w:rPr>
                <w:rFonts w:hint="eastAsia" w:ascii="宋体" w:hAnsi="宋体" w:cs="宋体"/>
                <w:highlight w:val="none"/>
              </w:rPr>
              <w:t xml:space="preserve">3</w:t>
            </w:r>
            <w:r>
              <w:rPr>
                <w:highlight w:val="none"/>
              </w:rPr>
            </w:r>
            <w:r/>
          </w:p>
        </w:tc>
        <w:tc>
          <w:tcPr>
            <w:tcW w:w="5447" w:type="dxa"/>
            <w:vAlign w:val="center"/>
            <w:textDirection w:val="lrTb"/>
            <w:noWrap w:val="false"/>
          </w:tcPr>
          <w:p>
            <w:pPr>
              <w:pStyle w:val="1008"/>
              <w:spacing w:line="360" w:lineRule="auto"/>
              <w:rPr>
                <w:rFonts w:ascii="宋体" w:hAnsi="宋体" w:cs="宋体"/>
                <w:iCs/>
                <w:sz w:val="24"/>
                <w:highlight w:val="none"/>
              </w:rPr>
            </w:pPr>
            <w:r>
              <w:rPr>
                <w:rFonts w:ascii="宋体" w:hAnsi="宋体" w:cs="宋体"/>
                <w:iCs/>
                <w:sz w:val="24"/>
                <w:highlight w:val="none"/>
              </w:rPr>
            </w:r>
            <w:r>
              <w:rPr>
                <w:highlight w:val="none"/>
              </w:rPr>
            </w:r>
            <w:r/>
          </w:p>
        </w:tc>
        <w:tc>
          <w:tcPr>
            <w:tcW w:w="1680"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c>
          <w:tcPr>
            <w:tcW w:w="1785"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r>
      <w:tr>
        <w:trPr>
          <w:trHeight w:val="2596"/>
        </w:trPr>
        <w:tc>
          <w:tcPr>
            <w:tcW w:w="646" w:type="dxa"/>
            <w:vAlign w:val="center"/>
            <w:textDirection w:val="lrTb"/>
            <w:noWrap w:val="false"/>
          </w:tcPr>
          <w:p>
            <w:pPr>
              <w:pStyle w:val="1008"/>
              <w:spacing w:line="360" w:lineRule="auto"/>
              <w:rPr>
                <w:rFonts w:ascii="宋体" w:hAnsi="宋体" w:cs="宋体"/>
                <w:highlight w:val="none"/>
              </w:rPr>
            </w:pPr>
            <w:r>
              <w:rPr>
                <w:rFonts w:hint="eastAsia" w:ascii="宋体" w:hAnsi="宋体" w:cs="宋体"/>
                <w:highlight w:val="none"/>
              </w:rPr>
              <w:t xml:space="preserve">4</w:t>
            </w:r>
            <w:r>
              <w:rPr>
                <w:highlight w:val="none"/>
              </w:rPr>
            </w:r>
            <w:r/>
          </w:p>
        </w:tc>
        <w:tc>
          <w:tcPr>
            <w:tcW w:w="5447" w:type="dxa"/>
            <w:vAlign w:val="center"/>
            <w:textDirection w:val="lrTb"/>
            <w:noWrap w:val="false"/>
          </w:tcPr>
          <w:p>
            <w:pPr>
              <w:pStyle w:val="1008"/>
              <w:spacing w:line="360" w:lineRule="auto"/>
              <w:rPr>
                <w:rFonts w:ascii="宋体" w:hAnsi="宋体" w:cs="宋体"/>
                <w:iCs/>
                <w:sz w:val="24"/>
                <w:highlight w:val="none"/>
              </w:rPr>
            </w:pPr>
            <w:r>
              <w:rPr>
                <w:rFonts w:ascii="宋体" w:hAnsi="宋体" w:cs="宋体"/>
                <w:iCs/>
                <w:sz w:val="24"/>
                <w:highlight w:val="none"/>
              </w:rPr>
            </w:r>
            <w:r>
              <w:rPr>
                <w:highlight w:val="none"/>
              </w:rPr>
            </w:r>
            <w:r/>
          </w:p>
        </w:tc>
        <w:tc>
          <w:tcPr>
            <w:tcW w:w="1680"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c>
          <w:tcPr>
            <w:tcW w:w="1785"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r>
      <w:tr>
        <w:trPr>
          <w:trHeight w:val="1575"/>
        </w:trPr>
        <w:tc>
          <w:tcPr>
            <w:tcW w:w="646" w:type="dxa"/>
            <w:vAlign w:val="center"/>
            <w:textDirection w:val="lrTb"/>
            <w:noWrap w:val="false"/>
          </w:tcPr>
          <w:p>
            <w:pPr>
              <w:pStyle w:val="1008"/>
              <w:spacing w:line="360" w:lineRule="auto"/>
              <w:rPr>
                <w:rFonts w:ascii="宋体" w:hAnsi="宋体" w:cs="宋体"/>
                <w:highlight w:val="none"/>
              </w:rPr>
            </w:pPr>
            <w:r>
              <w:rPr>
                <w:rFonts w:hint="eastAsia" w:ascii="宋体" w:hAnsi="宋体" w:cs="宋体"/>
                <w:highlight w:val="none"/>
              </w:rPr>
              <w:t xml:space="preserve">5</w:t>
            </w:r>
            <w:r>
              <w:rPr>
                <w:highlight w:val="none"/>
              </w:rPr>
            </w:r>
            <w:r/>
          </w:p>
        </w:tc>
        <w:tc>
          <w:tcPr>
            <w:tcW w:w="5447" w:type="dxa"/>
            <w:vAlign w:val="center"/>
            <w:textDirection w:val="lrTb"/>
            <w:noWrap w:val="false"/>
          </w:tcPr>
          <w:p>
            <w:pPr>
              <w:pStyle w:val="1008"/>
              <w:spacing w:line="360" w:lineRule="auto"/>
              <w:rPr>
                <w:rFonts w:ascii="宋体" w:hAnsi="宋体" w:cs="宋体"/>
                <w:iCs/>
                <w:sz w:val="24"/>
                <w:highlight w:val="none"/>
              </w:rPr>
            </w:pPr>
            <w:r>
              <w:rPr>
                <w:rFonts w:ascii="宋体" w:hAnsi="宋体" w:cs="宋体"/>
                <w:iCs/>
                <w:sz w:val="24"/>
                <w:highlight w:val="none"/>
              </w:rPr>
            </w:r>
            <w:r>
              <w:rPr>
                <w:highlight w:val="none"/>
              </w:rPr>
            </w:r>
            <w:r/>
          </w:p>
        </w:tc>
        <w:tc>
          <w:tcPr>
            <w:tcW w:w="1680"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c>
          <w:tcPr>
            <w:tcW w:w="1785"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r>
      <w:tr>
        <w:trPr>
          <w:trHeight w:val="90"/>
        </w:trPr>
        <w:tc>
          <w:tcPr>
            <w:tcW w:w="646" w:type="dxa"/>
            <w:vAlign w:val="center"/>
            <w:textDirection w:val="lrTb"/>
            <w:noWrap w:val="false"/>
          </w:tcPr>
          <w:p>
            <w:pPr>
              <w:pStyle w:val="1008"/>
              <w:spacing w:line="360" w:lineRule="auto"/>
              <w:rPr>
                <w:rFonts w:ascii="宋体" w:hAnsi="宋体" w:cs="宋体"/>
                <w:highlight w:val="none"/>
              </w:rPr>
            </w:pPr>
            <w:r>
              <w:rPr>
                <w:rFonts w:hint="eastAsia" w:ascii="宋体" w:hAnsi="宋体" w:cs="宋体"/>
                <w:highlight w:val="none"/>
              </w:rPr>
              <w:t xml:space="preserve">6</w:t>
            </w:r>
            <w:r>
              <w:rPr>
                <w:highlight w:val="none"/>
              </w:rPr>
            </w:r>
            <w:r/>
          </w:p>
        </w:tc>
        <w:tc>
          <w:tcPr>
            <w:tcW w:w="5447" w:type="dxa"/>
            <w:vAlign w:val="center"/>
            <w:textDirection w:val="lrTb"/>
            <w:noWrap w:val="false"/>
          </w:tcPr>
          <w:p>
            <w:pPr>
              <w:pStyle w:val="1008"/>
              <w:spacing w:line="360" w:lineRule="auto"/>
              <w:rPr>
                <w:rFonts w:ascii="宋体" w:hAnsi="宋体" w:cs="宋体"/>
                <w:iCs/>
                <w:sz w:val="24"/>
                <w:highlight w:val="none"/>
              </w:rPr>
            </w:pPr>
            <w:r>
              <w:rPr>
                <w:rFonts w:ascii="宋体" w:hAnsi="宋体" w:cs="宋体"/>
                <w:iCs/>
                <w:sz w:val="24"/>
                <w:highlight w:val="none"/>
              </w:rPr>
            </w:r>
            <w:r>
              <w:rPr>
                <w:highlight w:val="none"/>
              </w:rPr>
            </w:r>
            <w:r/>
          </w:p>
        </w:tc>
        <w:tc>
          <w:tcPr>
            <w:tcW w:w="1680"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c>
          <w:tcPr>
            <w:tcW w:w="1785"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r>
      <w:tr>
        <w:trPr>
          <w:trHeight w:val="400"/>
        </w:trPr>
        <w:tc>
          <w:tcPr>
            <w:tcW w:w="646" w:type="dxa"/>
            <w:vAlign w:val="center"/>
            <w:textDirection w:val="lrTb"/>
            <w:noWrap w:val="false"/>
          </w:tcPr>
          <w:p>
            <w:pPr>
              <w:pStyle w:val="1008"/>
              <w:spacing w:line="360" w:lineRule="auto"/>
              <w:rPr>
                <w:rFonts w:ascii="宋体" w:hAnsi="宋体" w:cs="宋体"/>
                <w:highlight w:val="none"/>
              </w:rPr>
            </w:pPr>
            <w:r>
              <w:rPr>
                <w:rFonts w:hint="eastAsia" w:ascii="宋体" w:hAnsi="宋体" w:cs="宋体"/>
                <w:highlight w:val="none"/>
              </w:rPr>
              <w:t xml:space="preserve">7</w:t>
            </w:r>
            <w:r>
              <w:rPr>
                <w:highlight w:val="none"/>
              </w:rPr>
            </w:r>
            <w:r/>
          </w:p>
        </w:tc>
        <w:tc>
          <w:tcPr>
            <w:tcW w:w="5447" w:type="dxa"/>
            <w:vAlign w:val="center"/>
            <w:textDirection w:val="lrTb"/>
            <w:noWrap w:val="false"/>
          </w:tcPr>
          <w:p>
            <w:pPr>
              <w:pStyle w:val="1008"/>
              <w:spacing w:line="360" w:lineRule="auto"/>
              <w:rPr>
                <w:rFonts w:ascii="宋体" w:hAnsi="宋体" w:cs="宋体"/>
                <w:iCs/>
                <w:sz w:val="24"/>
                <w:highlight w:val="none"/>
              </w:rPr>
            </w:pPr>
            <w:r>
              <w:rPr>
                <w:rFonts w:hint="eastAsia" w:ascii="宋体" w:hAnsi="宋体" w:cs="宋体"/>
                <w:iCs/>
                <w:sz w:val="24"/>
                <w:highlight w:val="none"/>
              </w:rPr>
              <w:t xml:space="preserve">招标文件中的其他实质性要求</w:t>
            </w:r>
            <w:r>
              <w:rPr>
                <w:highlight w:val="none"/>
              </w:rPr>
            </w:r>
            <w:r/>
          </w:p>
        </w:tc>
        <w:tc>
          <w:tcPr>
            <w:tcW w:w="1680"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c>
          <w:tcPr>
            <w:tcW w:w="1785" w:type="dxa"/>
            <w:vAlign w:val="center"/>
            <w:textDirection w:val="lrTb"/>
            <w:noWrap w:val="false"/>
          </w:tcPr>
          <w:p>
            <w:pPr>
              <w:pStyle w:val="1008"/>
              <w:spacing w:line="360" w:lineRule="auto"/>
              <w:rPr>
                <w:rFonts w:ascii="宋体" w:hAnsi="宋体" w:cs="宋体"/>
                <w:highlight w:val="none"/>
              </w:rPr>
            </w:pPr>
            <w:r>
              <w:rPr>
                <w:rFonts w:ascii="宋体" w:hAnsi="宋体" w:cs="宋体"/>
                <w:highlight w:val="none"/>
              </w:rPr>
            </w:r>
            <w:r>
              <w:rPr>
                <w:highlight w:val="none"/>
              </w:rPr>
            </w:r>
            <w:r/>
          </w:p>
        </w:tc>
      </w:tr>
    </w:tbl>
    <w:p>
      <w:pPr>
        <w:pStyle w:val="1008"/>
        <w:spacing w:line="360" w:lineRule="auto"/>
        <w:rPr>
          <w:rFonts w:ascii="宋体" w:hAnsi="宋体" w:cs="宋体"/>
          <w:sz w:val="44"/>
          <w:highlight w:val="none"/>
        </w:rPr>
      </w:pPr>
      <w:r>
        <w:rPr>
          <w:rFonts w:ascii="宋体" w:hAnsi="宋体" w:cs="宋体"/>
          <w:sz w:val="44"/>
          <w:highlight w:val="none"/>
        </w:rPr>
      </w:r>
      <w:r>
        <w:rPr>
          <w:highlight w:val="none"/>
        </w:rPr>
      </w:r>
      <w:r/>
    </w:p>
    <w:p>
      <w:pPr>
        <w:pStyle w:val="1008"/>
        <w:spacing w:line="360" w:lineRule="auto"/>
        <w:rPr>
          <w:rFonts w:ascii="宋体" w:hAnsi="宋体" w:cs="宋体"/>
          <w:sz w:val="44"/>
          <w:highlight w:val="none"/>
        </w:rPr>
      </w:pPr>
      <w:r>
        <w:rPr>
          <w:rFonts w:ascii="宋体" w:hAnsi="宋体" w:cs="宋体"/>
          <w:sz w:val="44"/>
          <w:highlight w:val="none"/>
        </w:rPr>
      </w:r>
      <w:r>
        <w:rPr>
          <w:highlight w:val="none"/>
        </w:rPr>
      </w:r>
      <w:r/>
    </w:p>
    <w:p>
      <w:pPr>
        <w:pStyle w:val="1008"/>
        <w:spacing w:line="360" w:lineRule="auto"/>
        <w:rPr>
          <w:rFonts w:ascii="宋体" w:hAnsi="宋体" w:cs="宋体"/>
          <w:sz w:val="44"/>
          <w:highlight w:val="none"/>
        </w:rPr>
      </w:pPr>
      <w:r>
        <w:rPr>
          <w:rFonts w:ascii="宋体" w:hAnsi="宋体" w:cs="宋体"/>
          <w:sz w:val="44"/>
          <w:highlight w:val="none"/>
        </w:rPr>
      </w:r>
      <w:r>
        <w:rPr>
          <w:highlight w:val="none"/>
        </w:rPr>
      </w:r>
      <w:r/>
    </w:p>
    <w:p>
      <w:pPr>
        <w:pStyle w:val="1008"/>
        <w:spacing w:line="360" w:lineRule="auto"/>
        <w:rPr>
          <w:rFonts w:ascii="宋体" w:hAnsi="宋体" w:cs="宋体"/>
          <w:sz w:val="44"/>
          <w:highlight w:val="none"/>
        </w:rPr>
      </w:pPr>
      <w:r>
        <w:rPr>
          <w:rFonts w:ascii="宋体" w:hAnsi="宋体" w:cs="宋体"/>
          <w:sz w:val="44"/>
          <w:highlight w:val="none"/>
        </w:rPr>
      </w:r>
      <w:r>
        <w:rPr>
          <w:highlight w:val="none"/>
        </w:rPr>
      </w:r>
      <w:r/>
    </w:p>
    <w:p>
      <w:pPr>
        <w:pStyle w:val="1008"/>
        <w:spacing w:line="360" w:lineRule="auto"/>
        <w:rPr>
          <w:rFonts w:ascii="宋体" w:hAnsi="宋体" w:cs="宋体"/>
          <w:sz w:val="32"/>
          <w:szCs w:val="32"/>
          <w:highlight w:val="none"/>
        </w:rPr>
      </w:pPr>
      <w:r>
        <w:rPr>
          <w:rFonts w:hint="eastAsia" w:ascii="宋体" w:hAnsi="宋体" w:cs="宋体"/>
          <w:sz w:val="32"/>
          <w:szCs w:val="32"/>
          <w:highlight w:val="none"/>
        </w:rPr>
        <w:t xml:space="preserve">           </w:t>
      </w:r>
      <w:r>
        <w:rPr>
          <w:highlight w:val="none"/>
        </w:rPr>
      </w:r>
      <w:r/>
    </w:p>
    <w:p>
      <w:pPr>
        <w:pStyle w:val="1008"/>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四、投标函（格式）</w:t>
      </w:r>
      <w:r>
        <w:rPr>
          <w:highlight w:val="none"/>
        </w:rPr>
      </w:r>
      <w:r/>
    </w:p>
    <w:p>
      <w:pPr>
        <w:pStyle w:val="1111"/>
        <w:ind w:firstLine="0"/>
        <w:spacing w:before="0" w:after="0" w:line="440" w:lineRule="exact"/>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盐城市城镇排水管理处</w:t>
      </w:r>
      <w:r>
        <w:rPr>
          <w:highlight w:val="none"/>
        </w:rPr>
      </w:r>
      <w:r/>
    </w:p>
    <w:p>
      <w:pPr>
        <w:pStyle w:val="1111"/>
        <w:spacing w:before="0" w:after="0" w:line="440" w:lineRule="exact"/>
        <w:rPr>
          <w:rFonts w:ascii="宋体" w:hAnsi="宋体" w:cs="宋体"/>
          <w:szCs w:val="21"/>
          <w:highlight w:val="none"/>
        </w:rPr>
      </w:pPr>
      <w:r>
        <w:rPr>
          <w:rFonts w:hint="eastAsia" w:ascii="宋体" w:hAnsi="宋体" w:cs="宋体"/>
          <w:szCs w:val="21"/>
          <w:highlight w:val="none"/>
        </w:rPr>
        <w:t xml:space="preserve">根据贵方的</w:t>
      </w:r>
      <w:r>
        <w:rPr>
          <w:rFonts w:hint="eastAsia" w:ascii="宋体" w:hAnsi="宋体" w:cs="宋体"/>
          <w:b/>
          <w:sz w:val="36"/>
          <w:highlight w:val="none"/>
          <w:u w:val="single"/>
        </w:rPr>
        <w:t xml:space="preserve">       </w:t>
      </w:r>
      <w:r>
        <w:rPr>
          <w:rFonts w:hint="eastAsia" w:ascii="宋体" w:hAnsi="宋体" w:cs="宋体"/>
          <w:szCs w:val="21"/>
          <w:highlight w:val="none"/>
        </w:rPr>
        <w:t xml:space="preserve">号招标文件，正式授权下述签字人_______________(姓名)代表我方______________（投标人的名称），全权处理本次项目投标的有关事宜。</w:t>
      </w:r>
      <w:r>
        <w:rPr>
          <w:highlight w:val="none"/>
        </w:rPr>
      </w:r>
      <w:r/>
    </w:p>
    <w:p>
      <w:pPr>
        <w:pStyle w:val="1111"/>
        <w:spacing w:before="0" w:after="0" w:line="440" w:lineRule="exact"/>
        <w:rPr>
          <w:rFonts w:ascii="宋体" w:hAnsi="宋体" w:cs="宋体"/>
          <w:szCs w:val="21"/>
          <w:highlight w:val="none"/>
        </w:rPr>
      </w:pPr>
      <w:r>
        <w:rPr>
          <w:rFonts w:hint="eastAsia" w:ascii="宋体" w:hAnsi="宋体" w:cs="宋体"/>
          <w:szCs w:val="21"/>
          <w:highlight w:val="none"/>
        </w:rPr>
        <w:t xml:space="preserve">据此函，__________签字人兹宣布同意如下：</w:t>
      </w:r>
      <w:r>
        <w:rPr>
          <w:highlight w:val="none"/>
        </w:rPr>
      </w:r>
      <w:r/>
    </w:p>
    <w:p>
      <w:pPr>
        <w:pStyle w:val="1111"/>
        <w:spacing w:before="0" w:after="0" w:line="440" w:lineRule="exact"/>
        <w:rPr>
          <w:rFonts w:ascii="宋体" w:hAnsi="宋体" w:cs="宋体"/>
          <w:szCs w:val="21"/>
          <w:highlight w:val="none"/>
        </w:rPr>
      </w:pPr>
      <w:r>
        <w:rPr>
          <w:rFonts w:hint="eastAsia" w:ascii="宋体" w:hAnsi="宋体" w:cs="宋体"/>
          <w:szCs w:val="21"/>
          <w:highlight w:val="none"/>
        </w:rPr>
        <w:t xml:space="preserve">1.按招标文件规定的各项要求，向买方提供所需货物与服务。</w:t>
      </w:r>
      <w:r>
        <w:rPr>
          <w:highlight w:val="none"/>
        </w:rPr>
      </w:r>
      <w:r/>
    </w:p>
    <w:p>
      <w:pPr>
        <w:pStyle w:val="1111"/>
        <w:spacing w:before="0" w:after="0" w:line="440" w:lineRule="exact"/>
        <w:rPr>
          <w:rFonts w:ascii="宋体" w:hAnsi="宋体" w:cs="宋体"/>
          <w:szCs w:val="21"/>
          <w:highlight w:val="none"/>
        </w:rPr>
      </w:pPr>
      <w:r>
        <w:rPr>
          <w:rFonts w:hint="eastAsia" w:ascii="宋体" w:hAnsi="宋体" w:cs="宋体"/>
          <w:szCs w:val="21"/>
          <w:highlight w:val="none"/>
        </w:rPr>
        <w:t xml:space="preserve">2.我们完全理解贵方不一定将合同授予最低报价的投标人。</w:t>
      </w:r>
      <w:r>
        <w:rPr>
          <w:highlight w:val="none"/>
        </w:rPr>
      </w:r>
      <w:r/>
    </w:p>
    <w:p>
      <w:pPr>
        <w:pStyle w:val="1111"/>
        <w:spacing w:before="0" w:after="0" w:line="440" w:lineRule="exact"/>
        <w:rPr>
          <w:rFonts w:ascii="宋体" w:hAnsi="宋体" w:cs="宋体"/>
          <w:szCs w:val="21"/>
          <w:highlight w:val="none"/>
        </w:rPr>
      </w:pPr>
      <w:r>
        <w:rPr>
          <w:rFonts w:hint="eastAsia" w:ascii="宋体" w:hAnsi="宋体" w:cs="宋体"/>
          <w:szCs w:val="21"/>
          <w:highlight w:val="none"/>
        </w:rPr>
        <w:t xml:space="preserve">3.我们已详细审核全部招标文件及其有效补充文件，我们知道必须放弃提出含糊不清或误解问题的权利。</w:t>
      </w:r>
      <w:r>
        <w:rPr>
          <w:highlight w:val="none"/>
        </w:rPr>
      </w:r>
      <w:r/>
    </w:p>
    <w:p>
      <w:pPr>
        <w:pStyle w:val="1111"/>
        <w:spacing w:before="0" w:after="0" w:line="440" w:lineRule="exact"/>
        <w:rPr>
          <w:rFonts w:ascii="宋体" w:hAnsi="宋体" w:cs="宋体"/>
          <w:szCs w:val="21"/>
          <w:highlight w:val="none"/>
        </w:rPr>
      </w:pPr>
      <w:r>
        <w:rPr>
          <w:rFonts w:hint="eastAsia" w:ascii="宋体" w:hAnsi="宋体" w:cs="宋体"/>
          <w:szCs w:val="21"/>
          <w:highlight w:val="none"/>
        </w:rPr>
        <w:t xml:space="preserve">4.我们同意从规定的开标日期起遵循本投标文件，并在规定的投标有效期期满之前均具有约束力。</w:t>
      </w:r>
      <w:r>
        <w:rPr>
          <w:highlight w:val="none"/>
        </w:rPr>
      </w:r>
      <w:r/>
    </w:p>
    <w:p>
      <w:pPr>
        <w:pStyle w:val="1111"/>
        <w:spacing w:before="0" w:after="0" w:line="440" w:lineRule="exact"/>
        <w:rPr>
          <w:rFonts w:ascii="宋体" w:hAnsi="宋体" w:cs="宋体"/>
          <w:szCs w:val="21"/>
          <w:highlight w:val="none"/>
        </w:rPr>
      </w:pPr>
      <w:r>
        <w:rPr>
          <w:rFonts w:hint="eastAsia" w:ascii="宋体" w:hAnsi="宋体" w:cs="宋体"/>
          <w:szCs w:val="21"/>
          <w:highlight w:val="none"/>
        </w:rPr>
        <w:t xml:space="preserve">5.如果在开标后规定的投标有效期内撤回投标或中标后拒绝签订合同，则按照国家相关法律法规受到相应处罚。</w:t>
      </w:r>
      <w:r>
        <w:rPr>
          <w:highlight w:val="none"/>
        </w:rPr>
      </w:r>
      <w:r/>
    </w:p>
    <w:p>
      <w:pPr>
        <w:pStyle w:val="1111"/>
        <w:spacing w:before="0" w:after="0" w:line="440" w:lineRule="exact"/>
        <w:rPr>
          <w:rFonts w:ascii="宋体" w:hAnsi="宋体" w:cs="宋体"/>
          <w:szCs w:val="21"/>
          <w:highlight w:val="none"/>
        </w:rPr>
      </w:pPr>
      <w:r>
        <w:rPr>
          <w:rFonts w:hint="eastAsia" w:ascii="宋体" w:hAnsi="宋体" w:cs="宋体"/>
          <w:szCs w:val="21"/>
          <w:highlight w:val="none"/>
        </w:rPr>
        <w:t xml:space="preserve">6.同意向贵方提供贵方可能另外要求的与投标有关的任何证据或资料，并保证我方已提供和将要提供的文件是真实的、准确的。</w:t>
      </w:r>
      <w:r>
        <w:rPr>
          <w:highlight w:val="none"/>
        </w:rPr>
      </w:r>
      <w:r/>
    </w:p>
    <w:p>
      <w:pPr>
        <w:pStyle w:val="1111"/>
        <w:spacing w:before="0" w:after="0" w:line="440" w:lineRule="exact"/>
        <w:rPr>
          <w:rFonts w:ascii="宋体" w:hAnsi="宋体" w:cs="宋体"/>
          <w:szCs w:val="21"/>
          <w:highlight w:val="none"/>
        </w:rPr>
      </w:pPr>
      <w:r>
        <w:rPr>
          <w:rFonts w:hint="eastAsia" w:ascii="宋体" w:hAnsi="宋体" w:cs="宋体"/>
          <w:szCs w:val="21"/>
          <w:highlight w:val="none"/>
        </w:rPr>
        <w:t xml:space="preserve">7.一旦我方中标,我方将根据招标文件的规定，严格履行合同的责任和义务,并保证在招标文件规定的时间完成项目，交付买方验收、使用。</w:t>
      </w:r>
      <w:r>
        <w:rPr>
          <w:highlight w:val="none"/>
        </w:rPr>
      </w:r>
      <w:r/>
    </w:p>
    <w:p>
      <w:pPr>
        <w:pStyle w:val="1111"/>
        <w:ind w:left="425" w:firstLine="0"/>
        <w:spacing w:before="0" w:after="0" w:line="440" w:lineRule="exact"/>
        <w:rPr>
          <w:rFonts w:ascii="宋体" w:hAnsi="宋体" w:cs="宋体"/>
          <w:szCs w:val="21"/>
          <w:highlight w:val="none"/>
        </w:rPr>
      </w:pPr>
      <w:r>
        <w:rPr>
          <w:rFonts w:hint="eastAsia" w:ascii="宋体" w:hAnsi="宋体" w:cs="宋体"/>
          <w:szCs w:val="21"/>
          <w:highlight w:val="none"/>
        </w:rPr>
        <w:t xml:space="preserve">8.与本投标有关的正式通讯地址为：</w:t>
      </w:r>
      <w:r>
        <w:rPr>
          <w:highlight w:val="none"/>
        </w:rPr>
      </w:r>
      <w:r/>
    </w:p>
    <w:p>
      <w:pPr>
        <w:pStyle w:val="1111"/>
        <w:ind w:left="420"/>
        <w:spacing w:before="0" w:after="0" w:line="440" w:lineRule="exact"/>
        <w:rPr>
          <w:rFonts w:ascii="宋体" w:hAnsi="宋体" w:cs="宋体"/>
          <w:szCs w:val="21"/>
          <w:highlight w:val="none"/>
        </w:rPr>
      </w:pPr>
      <w:r>
        <w:rPr>
          <w:rFonts w:hint="eastAsia" w:ascii="宋体" w:hAnsi="宋体" w:cs="宋体"/>
          <w:szCs w:val="21"/>
          <w:highlight w:val="none"/>
        </w:rPr>
        <w:t xml:space="preserve">地          址：</w:t>
      </w:r>
      <w:r>
        <w:rPr>
          <w:highlight w:val="none"/>
        </w:rPr>
      </w:r>
      <w:r/>
    </w:p>
    <w:p>
      <w:pPr>
        <w:pStyle w:val="1111"/>
        <w:ind w:left="420"/>
        <w:spacing w:before="0" w:after="0" w:line="440" w:lineRule="exact"/>
        <w:rPr>
          <w:rFonts w:ascii="宋体" w:hAnsi="宋体" w:cs="宋体"/>
          <w:szCs w:val="21"/>
          <w:highlight w:val="none"/>
        </w:rPr>
      </w:pPr>
      <w:r>
        <w:rPr>
          <w:rFonts w:hint="eastAsia" w:ascii="宋体" w:hAnsi="宋体" w:cs="宋体"/>
          <w:szCs w:val="21"/>
          <w:highlight w:val="none"/>
        </w:rPr>
        <w:t xml:space="preserve">邮          编：</w:t>
      </w:r>
      <w:r>
        <w:rPr>
          <w:highlight w:val="none"/>
        </w:rPr>
      </w:r>
      <w:r/>
    </w:p>
    <w:p>
      <w:pPr>
        <w:pStyle w:val="1111"/>
        <w:ind w:left="420"/>
        <w:spacing w:before="0" w:after="0" w:line="440" w:lineRule="exact"/>
        <w:rPr>
          <w:rFonts w:ascii="宋体" w:hAnsi="宋体" w:cs="宋体"/>
          <w:szCs w:val="21"/>
          <w:highlight w:val="none"/>
        </w:rPr>
      </w:pPr>
      <w:r>
        <w:rPr>
          <w:rFonts w:hint="eastAsia" w:ascii="宋体" w:hAnsi="宋体" w:cs="宋体"/>
          <w:szCs w:val="21"/>
          <w:highlight w:val="none"/>
        </w:rPr>
        <w:t xml:space="preserve">电          话：</w:t>
      </w:r>
      <w:r>
        <w:rPr>
          <w:highlight w:val="none"/>
        </w:rPr>
      </w:r>
      <w:r/>
    </w:p>
    <w:p>
      <w:pPr>
        <w:pStyle w:val="1111"/>
        <w:ind w:left="420"/>
        <w:spacing w:before="0" w:after="0" w:line="440" w:lineRule="exact"/>
        <w:rPr>
          <w:rFonts w:ascii="宋体" w:hAnsi="宋体" w:cs="宋体"/>
          <w:szCs w:val="21"/>
          <w:highlight w:val="none"/>
        </w:rPr>
      </w:pPr>
      <w:r>
        <w:rPr>
          <w:rFonts w:hint="eastAsia" w:ascii="宋体" w:hAnsi="宋体" w:cs="宋体"/>
          <w:szCs w:val="21"/>
          <w:highlight w:val="none"/>
        </w:rPr>
        <w:t xml:space="preserve">传          真：</w:t>
      </w:r>
      <w:r>
        <w:rPr>
          <w:highlight w:val="none"/>
        </w:rPr>
      </w:r>
      <w:r/>
    </w:p>
    <w:p>
      <w:pPr>
        <w:pStyle w:val="1111"/>
        <w:ind w:left="420"/>
        <w:spacing w:before="0" w:after="0" w:line="440" w:lineRule="exact"/>
        <w:rPr>
          <w:rFonts w:ascii="宋体" w:hAnsi="宋体" w:cs="宋体"/>
          <w:szCs w:val="21"/>
          <w:highlight w:val="none"/>
        </w:rPr>
      </w:pPr>
      <w:r>
        <w:rPr>
          <w:rFonts w:hint="eastAsia" w:ascii="宋体" w:hAnsi="宋体" w:cs="宋体"/>
          <w:szCs w:val="21"/>
          <w:highlight w:val="none"/>
        </w:rPr>
        <w:t xml:space="preserve">投标人开户行：</w:t>
      </w:r>
      <w:r>
        <w:rPr>
          <w:highlight w:val="none"/>
        </w:rPr>
      </w:r>
      <w:r/>
    </w:p>
    <w:p>
      <w:pPr>
        <w:pStyle w:val="1111"/>
        <w:ind w:left="420"/>
        <w:spacing w:before="0" w:after="0" w:line="440" w:lineRule="exact"/>
        <w:rPr>
          <w:rFonts w:ascii="宋体" w:hAnsi="宋体" w:cs="宋体"/>
          <w:szCs w:val="21"/>
          <w:highlight w:val="none"/>
        </w:rPr>
      </w:pPr>
      <w:r>
        <w:rPr>
          <w:rFonts w:hint="eastAsia" w:ascii="宋体" w:hAnsi="宋体" w:cs="宋体"/>
          <w:szCs w:val="21"/>
          <w:highlight w:val="none"/>
        </w:rPr>
        <w:t xml:space="preserve">账          户： </w:t>
      </w:r>
      <w:r>
        <w:rPr>
          <w:highlight w:val="none"/>
        </w:rPr>
      </w:r>
      <w:r/>
    </w:p>
    <w:p>
      <w:pPr>
        <w:pStyle w:val="1111"/>
        <w:ind w:left="420"/>
        <w:spacing w:before="0" w:after="0" w:line="440" w:lineRule="exact"/>
        <w:rPr>
          <w:rFonts w:ascii="宋体" w:hAnsi="宋体" w:cs="宋体"/>
          <w:szCs w:val="21"/>
          <w:highlight w:val="none"/>
        </w:rPr>
      </w:pPr>
      <w:r>
        <w:rPr>
          <w:rFonts w:hint="eastAsia" w:ascii="宋体" w:hAnsi="宋体" w:cs="宋体"/>
          <w:szCs w:val="21"/>
          <w:highlight w:val="none"/>
        </w:rPr>
        <w:t xml:space="preserve">投标人授权代表姓名（签字）： </w:t>
      </w:r>
      <w:r>
        <w:rPr>
          <w:highlight w:val="none"/>
        </w:rPr>
      </w:r>
      <w:r/>
    </w:p>
    <w:p>
      <w:pPr>
        <w:pStyle w:val="1111"/>
        <w:ind w:left="420"/>
        <w:spacing w:before="0" w:after="0" w:line="440" w:lineRule="exact"/>
        <w:rPr>
          <w:rFonts w:ascii="宋体" w:hAnsi="宋体" w:cs="宋体"/>
          <w:szCs w:val="21"/>
          <w:highlight w:val="none"/>
        </w:rPr>
      </w:pPr>
      <w:r>
        <w:rPr>
          <w:rFonts w:hint="eastAsia" w:ascii="宋体" w:hAnsi="宋体" w:cs="宋体"/>
          <w:szCs w:val="21"/>
          <w:highlight w:val="none"/>
        </w:rPr>
        <w:t xml:space="preserve">投标人名称（公章）： </w:t>
      </w:r>
      <w:r>
        <w:rPr>
          <w:highlight w:val="none"/>
        </w:rPr>
      </w:r>
      <w:r/>
    </w:p>
    <w:p>
      <w:pPr>
        <w:pStyle w:val="1111"/>
        <w:ind w:left="420"/>
        <w:spacing w:before="0" w:after="0" w:line="440" w:lineRule="exact"/>
        <w:rPr>
          <w:rFonts w:ascii="宋体" w:hAnsi="宋体" w:cs="宋体"/>
          <w:szCs w:val="21"/>
          <w:highlight w:val="none"/>
        </w:rPr>
      </w:pPr>
      <w:r>
        <w:rPr>
          <w:rFonts w:hint="eastAsia" w:ascii="宋体" w:hAnsi="宋体" w:cs="宋体"/>
          <w:szCs w:val="21"/>
          <w:highlight w:val="none"/>
        </w:rPr>
        <w:t xml:space="preserve">日           期：________年____月____日</w:t>
      </w:r>
      <w:r>
        <w:rPr>
          <w:highlight w:val="none"/>
        </w:rPr>
      </w:r>
      <w:r/>
    </w:p>
    <w:p>
      <w:pPr>
        <w:pStyle w:val="1095"/>
        <w:ind w:firstLine="3450"/>
        <w:spacing w:line="440" w:lineRule="exact"/>
        <w:tabs>
          <w:tab w:val="left" w:pos="360" w:leader="none"/>
        </w:tabs>
        <w:rPr>
          <w:rFonts w:hint="eastAsia" w:ascii="宋体" w:hAnsi="宋体" w:cs="宋体"/>
          <w:highlight w:val="none"/>
        </w:rPr>
      </w:pPr>
      <w:r>
        <w:rPr>
          <w:rFonts w:hint="eastAsia" w:ascii="宋体" w:hAnsi="宋体" w:cs="宋体"/>
          <w:highlight w:val="none"/>
        </w:rPr>
      </w:r>
      <w:r>
        <w:rPr>
          <w:highlight w:val="none"/>
        </w:rPr>
      </w:r>
      <w:r/>
    </w:p>
    <w:p>
      <w:pPr>
        <w:pStyle w:val="1095"/>
        <w:ind w:firstLine="3450"/>
        <w:spacing w:line="360" w:lineRule="auto"/>
        <w:tabs>
          <w:tab w:val="left" w:pos="360" w:leader="none"/>
          <w:tab w:val="left" w:pos="4205" w:leader="none"/>
        </w:tabs>
        <w:rPr>
          <w:rFonts w:hint="eastAsia" w:ascii="宋体" w:hAnsi="宋体" w:cs="宋体"/>
          <w:highlight w:val="none"/>
        </w:rPr>
      </w:pPr>
      <w:r>
        <w:rPr>
          <w:rFonts w:hint="eastAsia" w:ascii="宋体" w:hAnsi="宋体" w:cs="宋体"/>
          <w:highlight w:val="none"/>
        </w:rPr>
      </w:r>
      <w:r>
        <w:rPr>
          <w:highlight w:val="none"/>
        </w:rPr>
      </w:r>
      <w:r/>
    </w:p>
    <w:p>
      <w:pPr>
        <w:pStyle w:val="1095"/>
        <w:ind w:firstLine="3450"/>
        <w:spacing w:line="360" w:lineRule="auto"/>
        <w:tabs>
          <w:tab w:val="left" w:pos="360" w:leader="none"/>
          <w:tab w:val="left" w:pos="4205" w:leader="none"/>
        </w:tabs>
        <w:rPr>
          <w:rFonts w:hint="eastAsia" w:ascii="宋体" w:hAnsi="宋体" w:cs="宋体"/>
          <w:highlight w:val="none"/>
        </w:rPr>
      </w:pPr>
      <w:r>
        <w:rPr>
          <w:rFonts w:hint="eastAsia" w:ascii="宋体" w:hAnsi="宋体" w:cs="宋体"/>
          <w:highlight w:val="none"/>
        </w:rPr>
        <w:tab/>
      </w:r>
      <w:r>
        <w:rPr>
          <w:rFonts w:hint="eastAsia" w:ascii="宋体" w:hAnsi="宋体" w:cs="宋体"/>
          <w:highlight w:val="none"/>
        </w:rPr>
        <w:tab/>
      </w:r>
      <w:r>
        <w:rPr>
          <w:highlight w:val="none"/>
        </w:rPr>
      </w:r>
      <w:r/>
    </w:p>
    <w:p>
      <w:pPr>
        <w:pStyle w:val="1008"/>
        <w:ind w:firstLine="3213"/>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五、开标一览表</w:t>
      </w:r>
      <w:r>
        <w:rPr>
          <w:highlight w:val="none"/>
        </w:rPr>
      </w:r>
      <w:r/>
    </w:p>
    <w:p>
      <w:pPr>
        <w:pStyle w:val="1008"/>
        <w:ind w:firstLine="3213"/>
        <w:spacing w:line="360" w:lineRule="auto"/>
        <w:rPr>
          <w:rFonts w:hint="eastAsia" w:ascii="宋体" w:hAnsi="宋体" w:cs="宋体"/>
          <w:b/>
          <w:sz w:val="32"/>
          <w:szCs w:val="32"/>
          <w:highlight w:val="none"/>
        </w:rPr>
      </w:pPr>
      <w:r>
        <w:rPr>
          <w:rFonts w:hint="eastAsia" w:ascii="宋体" w:hAnsi="宋体" w:cs="宋体"/>
          <w:b/>
          <w:sz w:val="32"/>
          <w:szCs w:val="32"/>
          <w:highlight w:val="none"/>
        </w:rPr>
      </w:r>
      <w:r>
        <w:rPr>
          <w:highlight w:val="none"/>
        </w:rPr>
      </w:r>
      <w:r/>
    </w:p>
    <w:tbl>
      <w:tblPr>
        <w:tblW w:w="951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4"/>
        <w:gridCol w:w="7137"/>
      </w:tblGrid>
      <w:tr>
        <w:trPr>
          <w:cantSplit/>
          <w:trHeight w:val="1048"/>
        </w:trPr>
        <w:tc>
          <w:tcPr>
            <w:tcW w:w="2374" w:type="dxa"/>
            <w:vAlign w:val="center"/>
            <w:textDirection w:val="lrTb"/>
            <w:noWrap w:val="false"/>
          </w:tcPr>
          <w:p>
            <w:pPr>
              <w:pStyle w:val="100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项 目 名 称</w:t>
            </w:r>
            <w:r>
              <w:rPr>
                <w:highlight w:val="none"/>
              </w:rPr>
            </w:r>
            <w:r/>
          </w:p>
        </w:tc>
        <w:tc>
          <w:tcPr>
            <w:tcW w:w="7137" w:type="dxa"/>
            <w:vAlign w:val="center"/>
            <w:textDirection w:val="lrTb"/>
            <w:noWrap w:val="false"/>
          </w:tcPr>
          <w:p>
            <w:pPr>
              <w:pStyle w:val="1008"/>
              <w:jc w:val="center"/>
              <w:spacing w:line="360" w:lineRule="auto"/>
              <w:tabs>
                <w:tab w:val="left" w:pos="900" w:leader="none"/>
              </w:tabs>
              <w:rPr>
                <w:rFonts w:hint="eastAsia" w:ascii="宋体" w:hAnsi="宋体" w:cs="宋体"/>
                <w:bCs/>
                <w:sz w:val="24"/>
                <w:highlight w:val="none"/>
              </w:rPr>
            </w:pPr>
            <w:r>
              <w:rPr>
                <w:rFonts w:hint="eastAsia"/>
                <w:sz w:val="24"/>
                <w:highlight w:val="none"/>
              </w:rPr>
              <w:t xml:space="preserve">盐城市第Ⅲ防洪区范围内排水户水质监管检测和大市区范围内城镇污水厂监管检测服务</w:t>
            </w:r>
            <w:r>
              <w:rPr>
                <w:highlight w:val="none"/>
              </w:rPr>
            </w:r>
            <w:r/>
          </w:p>
        </w:tc>
      </w:tr>
      <w:tr>
        <w:trPr>
          <w:cantSplit/>
          <w:trHeight w:val="821"/>
        </w:trPr>
        <w:tc>
          <w:tcPr>
            <w:gridSpan w:val="2"/>
            <w:tcW w:w="9511" w:type="dxa"/>
            <w:vAlign w:val="center"/>
            <w:textDirection w:val="lrTb"/>
            <w:noWrap w:val="false"/>
          </w:tcPr>
          <w:p>
            <w:pPr>
              <w:pStyle w:val="1008"/>
              <w:spacing w:line="360" w:lineRule="auto"/>
              <w:rPr>
                <w:rFonts w:hint="eastAsia" w:ascii="宋体" w:hAnsi="宋体" w:cs="宋体"/>
                <w:sz w:val="24"/>
                <w:highlight w:val="none"/>
              </w:rPr>
            </w:pPr>
            <w:r>
              <w:rPr>
                <w:rFonts w:ascii="宋体" w:hAnsi="宋体" w:cs="宋体"/>
                <w:color w:val="000000"/>
                <w:sz w:val="24"/>
                <w:highlight w:val="none"/>
              </w:rPr>
              <w:t xml:space="preserve">投标</w:t>
            </w:r>
            <w:r>
              <w:rPr>
                <w:rFonts w:hint="eastAsia" w:ascii="宋体" w:hAnsi="宋体" w:cs="宋体"/>
                <w:color w:val="000000"/>
                <w:sz w:val="24"/>
                <w:highlight w:val="none"/>
              </w:rPr>
              <w:t xml:space="preserve">报价</w:t>
            </w:r>
            <w:r>
              <w:rPr>
                <w:rFonts w:ascii="宋体" w:hAnsi="宋体" w:cs="宋体"/>
                <w:color w:val="000000"/>
                <w:sz w:val="24"/>
                <w:highlight w:val="none"/>
              </w:rPr>
              <w:t xml:space="preserve">（总价）：（大写）：</w:t>
            </w:r>
            <w:r>
              <w:rPr>
                <w:rFonts w:ascii="宋体" w:hAnsi="宋体" w:cs="宋体"/>
                <w:color w:val="000000"/>
                <w:sz w:val="24"/>
                <w:highlight w:val="none"/>
                <w:u w:val="single"/>
              </w:rPr>
              <w:t xml:space="preserve">             </w:t>
            </w:r>
            <w:r>
              <w:rPr>
                <w:rFonts w:ascii="宋体" w:hAnsi="宋体" w:cs="宋体"/>
                <w:color w:val="000000"/>
                <w:sz w:val="24"/>
                <w:highlight w:val="none"/>
              </w:rPr>
              <w:t xml:space="preserve">元，小写：</w:t>
            </w:r>
            <w:r>
              <w:rPr>
                <w:rFonts w:ascii="宋体" w:hAnsi="宋体" w:cs="宋体"/>
                <w:color w:val="000000"/>
                <w:sz w:val="24"/>
                <w:highlight w:val="none"/>
                <w:u w:val="single"/>
              </w:rPr>
              <w:t xml:space="preserve">             </w:t>
            </w:r>
            <w:r>
              <w:rPr>
                <w:rFonts w:ascii="宋体" w:hAnsi="宋体" w:cs="宋体"/>
                <w:color w:val="000000"/>
                <w:sz w:val="24"/>
                <w:highlight w:val="none"/>
              </w:rPr>
              <w:t xml:space="preserve"> 元</w:t>
            </w:r>
            <w:r>
              <w:rPr>
                <w:highlight w:val="none"/>
              </w:rPr>
            </w:r>
            <w:r/>
          </w:p>
        </w:tc>
      </w:tr>
      <w:tr>
        <w:trPr>
          <w:cantSplit/>
          <w:trHeight w:val="807"/>
        </w:trPr>
        <w:tc>
          <w:tcPr>
            <w:gridSpan w:val="2"/>
            <w:tcW w:w="9511" w:type="dxa"/>
            <w:vAlign w:val="center"/>
            <w:textDirection w:val="lrTb"/>
            <w:noWrap w:val="false"/>
          </w:tcPr>
          <w:p>
            <w:pPr>
              <w:pStyle w:val="1008"/>
              <w:spacing w:line="360" w:lineRule="auto"/>
              <w:rPr>
                <w:rFonts w:ascii="宋体" w:hAnsi="宋体" w:cs="宋体"/>
                <w:bCs/>
                <w:sz w:val="24"/>
                <w:highlight w:val="none"/>
              </w:rPr>
            </w:pPr>
            <w:r>
              <w:rPr>
                <w:rFonts w:hint="eastAsia" w:ascii="宋体" w:hAnsi="宋体" w:cs="宋体"/>
                <w:bCs/>
                <w:sz w:val="24"/>
                <w:highlight w:val="none"/>
              </w:rPr>
              <w:t xml:space="preserve">项目负责人：                     联系电话：</w:t>
            </w:r>
            <w:r>
              <w:rPr>
                <w:highlight w:val="none"/>
              </w:rPr>
            </w:r>
            <w:r/>
          </w:p>
        </w:tc>
      </w:tr>
      <w:tr>
        <w:trPr>
          <w:cantSplit/>
          <w:trHeight w:val="807"/>
        </w:trPr>
        <w:tc>
          <w:tcPr>
            <w:gridSpan w:val="2"/>
            <w:tcW w:w="9511" w:type="dxa"/>
            <w:vAlign w:val="center"/>
            <w:textDirection w:val="lrTb"/>
            <w:noWrap w:val="false"/>
          </w:tcPr>
          <w:p>
            <w:pPr>
              <w:pStyle w:val="1008"/>
              <w:spacing w:line="360" w:lineRule="auto"/>
              <w:rPr>
                <w:rFonts w:hint="eastAsia" w:ascii="宋体" w:hAnsi="宋体" w:cs="宋体"/>
                <w:bCs/>
                <w:sz w:val="24"/>
                <w:highlight w:val="none"/>
              </w:rPr>
            </w:pPr>
            <w:r>
              <w:rPr>
                <w:rFonts w:hint="eastAsia" w:ascii="宋体" w:hAnsi="宋体" w:cs="宋体"/>
                <w:color w:val="000000"/>
                <w:sz w:val="24"/>
                <w:szCs w:val="20"/>
                <w:highlight w:val="none"/>
              </w:rPr>
              <w:t xml:space="preserve">服务期限：1年</w:t>
            </w:r>
            <w:r>
              <w:rPr>
                <w:highlight w:val="none"/>
              </w:rPr>
            </w:r>
            <w:r/>
          </w:p>
        </w:tc>
      </w:tr>
      <w:tr>
        <w:trPr>
          <w:cantSplit/>
          <w:trHeight w:val="807"/>
        </w:trPr>
        <w:tc>
          <w:tcPr>
            <w:gridSpan w:val="2"/>
            <w:tcW w:w="9511" w:type="dxa"/>
            <w:vAlign w:val="center"/>
            <w:textDirection w:val="lrTb"/>
            <w:noWrap w:val="false"/>
          </w:tcPr>
          <w:p>
            <w:pPr>
              <w:pStyle w:val="1008"/>
              <w:spacing w:line="360" w:lineRule="auto"/>
              <w:rPr>
                <w:rFonts w:hint="eastAsia" w:ascii="宋体" w:hAnsi="宋体" w:cs="宋体"/>
                <w:color w:val="000000"/>
                <w:sz w:val="24"/>
                <w:szCs w:val="20"/>
                <w:highlight w:val="none"/>
              </w:rPr>
            </w:pPr>
            <w:r>
              <w:rPr>
                <w:rFonts w:hint="eastAsia"/>
                <w:sz w:val="24"/>
                <w:highlight w:val="none"/>
              </w:rPr>
              <w:t xml:space="preserve">质量：按国家现行的规范和标准提供服务并达到采购人要求，成果资料真实、及时、可靠。</w:t>
            </w:r>
            <w:r>
              <w:rPr>
                <w:highlight w:val="none"/>
              </w:rPr>
            </w:r>
            <w:r/>
          </w:p>
        </w:tc>
      </w:tr>
      <w:tr>
        <w:trPr>
          <w:trHeight w:val="799"/>
        </w:trPr>
        <w:tc>
          <w:tcPr>
            <w:gridSpan w:val="2"/>
            <w:tcW w:w="9511" w:type="dxa"/>
            <w:vAlign w:val="center"/>
            <w:textDirection w:val="lrTb"/>
            <w:noWrap w:val="false"/>
          </w:tcPr>
          <w:p>
            <w:pPr>
              <w:pStyle w:val="1008"/>
              <w:spacing w:line="360" w:lineRule="auto"/>
              <w:rPr>
                <w:rFonts w:hint="eastAsia" w:ascii="宋体" w:hAnsi="宋体" w:cs="宋体"/>
                <w:bCs/>
                <w:sz w:val="24"/>
                <w:highlight w:val="none"/>
              </w:rPr>
            </w:pPr>
            <w:r>
              <w:rPr>
                <w:rFonts w:hint="eastAsia" w:ascii="宋体"/>
                <w:bCs/>
                <w:sz w:val="24"/>
                <w:highlight w:val="none"/>
              </w:rPr>
              <w:t xml:space="preserve">是否提供《企业类型声明函》：</w:t>
            </w:r>
            <w:r>
              <w:rPr>
                <w:rFonts w:hint="eastAsia" w:ascii="宋体"/>
                <w:bCs/>
                <w:sz w:val="24"/>
                <w:highlight w:val="none"/>
                <w:u w:val="single"/>
              </w:rPr>
              <w:t xml:space="preserve">  是/否   </w:t>
            </w:r>
            <w:r>
              <w:rPr>
                <w:rFonts w:hint="eastAsia" w:ascii="宋体"/>
                <w:bCs/>
                <w:sz w:val="24"/>
                <w:highlight w:val="none"/>
              </w:rPr>
              <w:t xml:space="preserve">           见</w:t>
            </w:r>
            <w:r>
              <w:rPr>
                <w:rFonts w:hint="eastAsia" w:ascii="宋体"/>
                <w:bCs/>
                <w:sz w:val="24"/>
                <w:highlight w:val="none"/>
                <w:u w:val="single"/>
              </w:rPr>
              <w:t xml:space="preserve">（          ）</w:t>
            </w:r>
            <w:r>
              <w:rPr>
                <w:rFonts w:hint="eastAsia" w:ascii="宋体"/>
                <w:bCs/>
                <w:sz w:val="24"/>
                <w:highlight w:val="none"/>
              </w:rPr>
              <w:t xml:space="preserve">页</w:t>
            </w:r>
            <w:r>
              <w:rPr>
                <w:highlight w:val="none"/>
              </w:rPr>
            </w:r>
            <w:r/>
          </w:p>
        </w:tc>
      </w:tr>
    </w:tbl>
    <w:p>
      <w:pPr>
        <w:pStyle w:val="1008"/>
        <w:spacing w:line="360" w:lineRule="auto"/>
        <w:rPr>
          <w:rFonts w:hint="eastAsia" w:ascii="宋体" w:hAnsi="宋体" w:cs="宋体"/>
          <w:sz w:val="24"/>
          <w:highlight w:val="none"/>
        </w:rPr>
      </w:pPr>
      <w:r>
        <w:rPr>
          <w:rFonts w:hint="eastAsia" w:ascii="宋体" w:hAnsi="宋体" w:cs="宋体"/>
          <w:sz w:val="24"/>
          <w:highlight w:val="none"/>
        </w:rPr>
        <w:t xml:space="preserve">填写说明：</w:t>
      </w:r>
      <w:r>
        <w:rPr>
          <w:highlight w:val="none"/>
        </w:rPr>
      </w:r>
      <w:r/>
    </w:p>
    <w:p>
      <w:pPr>
        <w:pStyle w:val="1008"/>
        <w:numPr>
          <w:ilvl w:val="0"/>
          <w:numId w:val="9"/>
        </w:numPr>
        <w:spacing w:line="360" w:lineRule="auto"/>
        <w:tabs>
          <w:tab w:val="left" w:pos="480" w:leader="none"/>
        </w:tabs>
        <w:rPr>
          <w:rFonts w:hint="eastAsia" w:ascii="宋体" w:hAnsi="宋体" w:cs="宋体"/>
          <w:sz w:val="24"/>
          <w:highlight w:val="none"/>
        </w:rPr>
      </w:pPr>
      <w:r>
        <w:rPr>
          <w:rFonts w:hint="eastAsia" w:ascii="宋体" w:hAnsi="宋体" w:cs="宋体"/>
          <w:sz w:val="24"/>
          <w:highlight w:val="none"/>
        </w:rPr>
        <w:t xml:space="preserve">开标一览表不得填报选择性报价，否则将作为无效投标；</w:t>
      </w:r>
      <w:r>
        <w:rPr>
          <w:highlight w:val="none"/>
        </w:rPr>
      </w:r>
      <w:r/>
    </w:p>
    <w:p>
      <w:pPr>
        <w:pStyle w:val="1008"/>
        <w:numPr>
          <w:ilvl w:val="0"/>
          <w:numId w:val="9"/>
        </w:numPr>
        <w:spacing w:line="360" w:lineRule="auto"/>
        <w:tabs>
          <w:tab w:val="left" w:pos="480" w:leader="none"/>
        </w:tabs>
        <w:rPr>
          <w:rFonts w:hint="eastAsia" w:ascii="宋体" w:hAnsi="宋体" w:cs="宋体"/>
          <w:sz w:val="24"/>
          <w:highlight w:val="none"/>
        </w:rPr>
      </w:pPr>
      <w:r>
        <w:rPr>
          <w:rFonts w:hint="eastAsia" w:ascii="宋体" w:hAnsi="宋体" w:cs="宋体"/>
          <w:sz w:val="24"/>
          <w:highlight w:val="none"/>
        </w:rPr>
        <w:t xml:space="preserve">开标一览表中报价与投标分项明细报价表中不符时时，以开标一览表为准；</w:t>
      </w:r>
      <w:r>
        <w:rPr>
          <w:highlight w:val="none"/>
        </w:rPr>
      </w:r>
      <w:r/>
    </w:p>
    <w:p>
      <w:pPr>
        <w:pStyle w:val="1008"/>
        <w:ind w:left="481" w:firstLine="4320"/>
        <w:spacing w:line="360" w:lineRule="auto"/>
        <w:rPr>
          <w:rFonts w:hint="eastAsia" w:ascii="宋体" w:hAnsi="宋体" w:cs="宋体"/>
          <w:sz w:val="24"/>
          <w:highlight w:val="none"/>
        </w:rPr>
      </w:pPr>
      <w:r>
        <w:rPr>
          <w:rFonts w:hint="eastAsia" w:ascii="宋体" w:hAnsi="宋体" w:cs="宋体"/>
          <w:sz w:val="24"/>
          <w:highlight w:val="none"/>
        </w:rPr>
      </w:r>
      <w:r>
        <w:rPr>
          <w:highlight w:val="none"/>
        </w:rPr>
      </w:r>
      <w:r/>
    </w:p>
    <w:p>
      <w:pPr>
        <w:pStyle w:val="1008"/>
        <w:ind w:left="481" w:firstLine="5160"/>
        <w:spacing w:line="360" w:lineRule="auto"/>
        <w:rPr>
          <w:rFonts w:hint="eastAsia" w:ascii="宋体" w:hAnsi="宋体" w:cs="宋体"/>
          <w:sz w:val="24"/>
          <w:highlight w:val="none"/>
        </w:rPr>
      </w:pPr>
      <w:r>
        <w:rPr>
          <w:rFonts w:hint="eastAsia" w:ascii="宋体" w:hAnsi="宋体" w:cs="宋体"/>
          <w:sz w:val="24"/>
          <w:highlight w:val="none"/>
        </w:rPr>
        <w:t xml:space="preserve">投标人（单位公章）：</w:t>
      </w:r>
      <w:r>
        <w:rPr>
          <w:highlight w:val="none"/>
        </w:rPr>
      </w:r>
      <w:r/>
    </w:p>
    <w:p>
      <w:pPr>
        <w:pStyle w:val="1008"/>
        <w:ind w:left="481"/>
        <w:spacing w:line="360" w:lineRule="auto"/>
        <w:rPr>
          <w:rFonts w:hint="eastAsia" w:ascii="宋体" w:hAnsi="宋体" w:cs="宋体"/>
          <w:sz w:val="24"/>
          <w:highlight w:val="none"/>
        </w:rPr>
      </w:pPr>
      <w:r>
        <w:rPr>
          <w:rFonts w:hint="eastAsia" w:ascii="宋体" w:hAnsi="宋体" w:cs="宋体"/>
          <w:sz w:val="24"/>
          <w:highlight w:val="none"/>
        </w:rPr>
        <w:t xml:space="preserve">                               法定代表人或授权代表（签字或盖章）：</w:t>
      </w:r>
      <w:r>
        <w:rPr>
          <w:highlight w:val="none"/>
        </w:rPr>
      </w:r>
      <w:r/>
    </w:p>
    <w:p>
      <w:pPr>
        <w:pStyle w:val="1008"/>
        <w:ind w:left="480"/>
        <w:spacing w:line="360" w:lineRule="auto"/>
        <w:rPr>
          <w:rFonts w:hint="eastAsia" w:ascii="宋体" w:hAnsi="宋体" w:cs="宋体"/>
          <w:sz w:val="24"/>
          <w:highlight w:val="none"/>
        </w:rPr>
      </w:pPr>
      <w:r>
        <w:rPr>
          <w:rFonts w:hint="eastAsia" w:ascii="宋体" w:hAnsi="宋体" w:cs="宋体"/>
          <w:sz w:val="24"/>
          <w:highlight w:val="none"/>
        </w:rPr>
        <w:t xml:space="preserve">                                          日 期：   年   月   日</w:t>
      </w:r>
      <w:r>
        <w:rPr>
          <w:highlight w:val="none"/>
        </w:rPr>
      </w:r>
      <w:r/>
    </w:p>
    <w:p>
      <w:pPr>
        <w:pStyle w:val="1026"/>
        <w:ind w:left="1470" w:right="1470"/>
        <w:spacing w:after="0" w:line="360" w:lineRule="auto"/>
        <w:tabs>
          <w:tab w:val="left" w:pos="9000" w:leader="none"/>
        </w:tabs>
        <w:rPr>
          <w:rFonts w:hint="eastAsia" w:ascii="宋体" w:hAnsi="宋体" w:cs="宋体"/>
          <w:sz w:val="24"/>
          <w:highlight w:val="none"/>
        </w:rPr>
      </w:pPr>
      <w:r>
        <w:rPr>
          <w:rFonts w:hint="eastAsia" w:ascii="宋体" w:hAnsi="宋体" w:cs="宋体"/>
          <w:sz w:val="24"/>
          <w:highlight w:val="none"/>
        </w:rPr>
      </w:r>
      <w:r>
        <w:rPr>
          <w:highlight w:val="none"/>
        </w:rPr>
      </w:r>
      <w:r/>
    </w:p>
    <w:p>
      <w:pPr>
        <w:pStyle w:val="1026"/>
        <w:ind w:left="1470" w:right="1470"/>
        <w:spacing w:after="0" w:line="360" w:lineRule="auto"/>
        <w:tabs>
          <w:tab w:val="left" w:pos="9000" w:leader="none"/>
        </w:tabs>
        <w:rPr>
          <w:rFonts w:hint="eastAsia" w:ascii="宋体" w:hAnsi="宋体" w:cs="宋体"/>
          <w:sz w:val="24"/>
          <w:highlight w:val="none"/>
        </w:rPr>
      </w:pPr>
      <w:r>
        <w:rPr>
          <w:rFonts w:hint="eastAsia" w:ascii="宋体" w:hAnsi="宋体" w:cs="宋体"/>
          <w:sz w:val="24"/>
          <w:highlight w:val="none"/>
        </w:rPr>
      </w:r>
      <w:r>
        <w:rPr>
          <w:highlight w:val="none"/>
        </w:rPr>
      </w:r>
      <w:r/>
    </w:p>
    <w:p>
      <w:pPr>
        <w:pStyle w:val="1026"/>
        <w:ind w:left="1470" w:right="1470"/>
        <w:spacing w:after="0" w:line="360" w:lineRule="auto"/>
        <w:tabs>
          <w:tab w:val="left" w:pos="9000" w:leader="none"/>
        </w:tabs>
        <w:rPr>
          <w:rFonts w:hint="eastAsia" w:ascii="宋体" w:hAnsi="宋体" w:cs="宋体"/>
          <w:sz w:val="24"/>
          <w:highlight w:val="none"/>
        </w:rPr>
      </w:pPr>
      <w:r>
        <w:rPr>
          <w:rFonts w:hint="eastAsia" w:ascii="宋体" w:hAnsi="宋体" w:cs="宋体"/>
          <w:sz w:val="24"/>
          <w:highlight w:val="none"/>
        </w:rPr>
      </w:r>
      <w:r>
        <w:rPr>
          <w:highlight w:val="none"/>
        </w:rPr>
      </w:r>
      <w:r/>
    </w:p>
    <w:p>
      <w:pPr>
        <w:pStyle w:val="1026"/>
        <w:ind w:left="1470" w:right="1470"/>
        <w:spacing w:after="0" w:line="360" w:lineRule="auto"/>
        <w:tabs>
          <w:tab w:val="left" w:pos="9000" w:leader="none"/>
        </w:tabs>
        <w:rPr>
          <w:rFonts w:hint="eastAsia" w:ascii="宋体" w:hAnsi="宋体" w:cs="宋体"/>
          <w:sz w:val="24"/>
          <w:highlight w:val="none"/>
        </w:rPr>
      </w:pPr>
      <w:r>
        <w:rPr>
          <w:rFonts w:hint="eastAsia" w:ascii="宋体" w:hAnsi="宋体" w:cs="宋体"/>
          <w:sz w:val="24"/>
          <w:highlight w:val="none"/>
        </w:rPr>
      </w:r>
      <w:r>
        <w:rPr>
          <w:highlight w:val="none"/>
        </w:rPr>
      </w:r>
      <w:r/>
    </w:p>
    <w:p>
      <w:pPr>
        <w:pStyle w:val="1008"/>
        <w:spacing w:line="360" w:lineRule="auto"/>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b/>
          <w:bCs/>
          <w:sz w:val="24"/>
          <w:highlight w:val="none"/>
        </w:rPr>
        <w:t xml:space="preserve">附</w:t>
      </w:r>
      <w:r>
        <w:rPr>
          <w:highlight w:val="none"/>
        </w:rPr>
      </w:r>
      <w:r/>
    </w:p>
    <w:p>
      <w:pPr>
        <w:pStyle w:val="1048"/>
        <w:jc w:val="center"/>
        <w:spacing w:beforeAutospacing="0" w:afterAutospacing="0" w:line="360" w:lineRule="auto"/>
        <w:rPr>
          <w:rFonts w:hint="eastAsia"/>
          <w:b/>
          <w:bCs/>
          <w:iCs/>
          <w:color w:val="000000"/>
          <w:sz w:val="30"/>
          <w:szCs w:val="30"/>
          <w:highlight w:val="none"/>
          <w:u w:val="single"/>
        </w:rPr>
      </w:pPr>
      <w:r>
        <w:rPr>
          <w:rFonts w:hint="eastAsia"/>
          <w:b/>
          <w:bCs/>
          <w:iCs/>
          <w:color w:val="000000"/>
          <w:sz w:val="30"/>
          <w:szCs w:val="30"/>
          <w:highlight w:val="none"/>
          <w:u w:val="single"/>
        </w:rPr>
        <w:t xml:space="preserve">中小企业声明函（服务）</w:t>
      </w:r>
      <w:r>
        <w:rPr>
          <w:highlight w:val="none"/>
        </w:rPr>
      </w:r>
      <w:r/>
    </w:p>
    <w:p>
      <w:pPr>
        <w:pStyle w:val="1048"/>
        <w:ind w:firstLine="480"/>
        <w:jc w:val="both"/>
        <w:spacing w:beforeAutospacing="0" w:afterAutospacing="0" w:line="440" w:lineRule="exact"/>
        <w:rPr>
          <w:rFonts w:hint="eastAsia"/>
          <w:iCs/>
          <w:highlight w:val="none"/>
        </w:rPr>
      </w:pPr>
      <w:r>
        <w:rPr>
          <w:rFonts w:hint="eastAsia"/>
          <w:iCs/>
          <w:color w:val="000000"/>
          <w:highlight w:val="none"/>
        </w:rPr>
        <w:t xml:space="preserve">本公司（联合体）郑重声明，根据《政府采购促进中小企业发展管理办法》(财库[2020]46号)的规定，本公司（联合体）参加</w:t>
      </w:r>
      <w:r>
        <w:rPr>
          <w:rFonts w:hint="eastAsia"/>
          <w:iCs/>
          <w:color w:val="000000"/>
          <w:highlight w:val="none"/>
          <w:u w:val="single"/>
        </w:rPr>
        <w:t xml:space="preserve">  （采购人名称）  </w:t>
      </w:r>
      <w:r>
        <w:rPr>
          <w:rFonts w:hint="eastAsia"/>
          <w:iCs/>
          <w:color w:val="000000"/>
          <w:highlight w:val="none"/>
        </w:rPr>
        <w:t xml:space="preserve">组织的采购编号为</w:t>
      </w:r>
      <w:r>
        <w:rPr>
          <w:rFonts w:hint="eastAsia"/>
          <w:iCs/>
          <w:color w:val="000000"/>
          <w:highlight w:val="none"/>
          <w:u w:val="single"/>
        </w:rPr>
        <w:t xml:space="preserve">（项目编号）</w:t>
      </w:r>
      <w:r>
        <w:rPr>
          <w:rFonts w:hint="eastAsia"/>
          <w:iCs/>
          <w:color w:val="000000"/>
          <w:highlight w:val="none"/>
        </w:rPr>
        <w:t xml:space="preserve">，</w:t>
      </w:r>
      <w:r>
        <w:rPr>
          <w:rFonts w:hint="eastAsia"/>
          <w:iCs/>
          <w:color w:val="000000"/>
          <w:highlight w:val="none"/>
          <w:u w:val="single"/>
        </w:rPr>
        <w:t xml:space="preserve">（项目名称）</w:t>
      </w:r>
      <w:r>
        <w:rPr>
          <w:rFonts w:hint="eastAsia"/>
          <w:iCs/>
          <w:color w:val="000000"/>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highlight w:val="none"/>
        </w:rPr>
      </w:r>
      <w:r/>
    </w:p>
    <w:p>
      <w:pPr>
        <w:pStyle w:val="1048"/>
        <w:ind w:firstLine="360"/>
        <w:jc w:val="both"/>
        <w:spacing w:beforeAutospacing="0" w:afterAutospacing="0" w:line="440" w:lineRule="exact"/>
        <w:rPr>
          <w:rFonts w:hint="eastAsia"/>
          <w:iCs/>
          <w:highlight w:val="none"/>
        </w:rPr>
      </w:pPr>
      <w:r>
        <w:rPr>
          <w:rFonts w:hint="eastAsia"/>
          <w:iCs/>
          <w:color w:val="000000"/>
          <w:highlight w:val="none"/>
        </w:rPr>
        <w:t xml:space="preserve">1.</w:t>
      </w:r>
      <w:r>
        <w:rPr>
          <w:rFonts w:hint="eastAsia"/>
          <w:iCs/>
          <w:color w:val="000000"/>
          <w:highlight w:val="none"/>
          <w:u w:val="single"/>
        </w:rPr>
        <w:t xml:space="preserve">（标的名称）</w:t>
      </w:r>
      <w:r>
        <w:rPr>
          <w:rFonts w:hint="eastAsia"/>
          <w:iCs/>
          <w:color w:val="000000"/>
          <w:highlight w:val="none"/>
        </w:rPr>
        <w:t xml:space="preserve">，属于</w:t>
      </w:r>
      <w:r>
        <w:rPr>
          <w:rFonts w:hint="eastAsia"/>
          <w:iCs/>
          <w:color w:val="000000"/>
          <w:highlight w:val="none"/>
          <w:u w:val="single"/>
        </w:rPr>
        <w:t xml:space="preserve">       </w:t>
      </w:r>
      <w:r>
        <w:rPr>
          <w:rFonts w:hint="eastAsia"/>
          <w:iCs/>
          <w:color w:val="000000"/>
          <w:highlight w:val="none"/>
        </w:rPr>
        <w:t xml:space="preserve">行业；承接企业为</w:t>
      </w:r>
      <w:r>
        <w:rPr>
          <w:rFonts w:hint="eastAsia"/>
          <w:iCs/>
          <w:color w:val="000000"/>
          <w:highlight w:val="none"/>
          <w:u w:val="single"/>
        </w:rPr>
        <w:t xml:space="preserve">（企业名称）</w:t>
      </w:r>
      <w:r>
        <w:rPr>
          <w:rFonts w:hint="eastAsia"/>
          <w:iCs/>
          <w:color w:val="000000"/>
          <w:highlight w:val="none"/>
        </w:rPr>
        <w:t xml:space="preserve">，从业人员</w:t>
      </w:r>
      <w:r>
        <w:rPr>
          <w:rFonts w:hint="eastAsia"/>
          <w:iCs/>
          <w:color w:val="000000"/>
          <w:highlight w:val="none"/>
          <w:u w:val="single"/>
        </w:rPr>
        <w:t xml:space="preserve">      </w:t>
      </w:r>
      <w:r>
        <w:rPr>
          <w:rFonts w:hint="eastAsia"/>
          <w:iCs/>
          <w:color w:val="000000"/>
          <w:highlight w:val="none"/>
        </w:rPr>
        <w:t xml:space="preserve">人，营业收入为</w:t>
      </w:r>
      <w:r>
        <w:rPr>
          <w:rFonts w:hint="eastAsia"/>
          <w:iCs/>
          <w:color w:val="000000"/>
          <w:highlight w:val="none"/>
          <w:u w:val="single"/>
        </w:rPr>
        <w:t xml:space="preserve">     </w:t>
      </w:r>
      <w:r>
        <w:rPr>
          <w:rFonts w:hint="eastAsia"/>
          <w:iCs/>
          <w:color w:val="000000"/>
          <w:highlight w:val="none"/>
        </w:rPr>
        <w:t xml:space="preserve">万元，资产总额为</w:t>
      </w:r>
      <w:r>
        <w:rPr>
          <w:rFonts w:hint="eastAsia"/>
          <w:iCs/>
          <w:color w:val="000000"/>
          <w:highlight w:val="none"/>
          <w:u w:val="single"/>
        </w:rPr>
        <w:t xml:space="preserve">      </w:t>
      </w:r>
      <w:r>
        <w:rPr>
          <w:rFonts w:hint="eastAsia"/>
          <w:iCs/>
          <w:color w:val="000000"/>
          <w:highlight w:val="none"/>
        </w:rPr>
        <w:t xml:space="preserve">万元</w:t>
      </w:r>
      <w:r>
        <w:rPr>
          <w:rFonts w:hint="eastAsia"/>
          <w:iCs/>
          <w:color w:val="000000"/>
          <w:highlight w:val="none"/>
          <w:vertAlign w:val="superscript"/>
        </w:rPr>
        <w:t xml:space="preserve">1</w:t>
      </w:r>
      <w:r>
        <w:rPr>
          <w:rFonts w:hint="eastAsia"/>
          <w:iCs/>
          <w:color w:val="000000"/>
          <w:highlight w:val="none"/>
        </w:rPr>
        <w:t xml:space="preserve">，属于</w:t>
      </w:r>
      <w:r>
        <w:rPr>
          <w:rFonts w:hint="eastAsia"/>
          <w:iCs/>
          <w:color w:val="000000"/>
          <w:highlight w:val="none"/>
          <w:u w:val="single"/>
        </w:rPr>
        <w:t xml:space="preserve">（</w:t>
      </w:r>
      <w:r>
        <w:rPr>
          <w:rFonts w:hint="eastAsia"/>
          <w:iCs/>
          <w:highlight w:val="none"/>
          <w:u w:val="single"/>
        </w:rPr>
        <w:t xml:space="preserve">中型企业、小型企业、微型企业</w:t>
      </w:r>
      <w:r>
        <w:rPr>
          <w:rFonts w:hint="eastAsia"/>
          <w:iCs/>
          <w:color w:val="000000"/>
          <w:highlight w:val="none"/>
          <w:u w:val="single"/>
        </w:rPr>
        <w:t xml:space="preserve">）；</w:t>
      </w:r>
      <w:r>
        <w:rPr>
          <w:highlight w:val="none"/>
        </w:rPr>
      </w:r>
      <w:r/>
    </w:p>
    <w:p>
      <w:pPr>
        <w:pStyle w:val="1048"/>
        <w:ind w:firstLine="360"/>
        <w:jc w:val="both"/>
        <w:spacing w:beforeAutospacing="0" w:afterAutospacing="0" w:line="440" w:lineRule="exact"/>
        <w:rPr>
          <w:rFonts w:hint="eastAsia"/>
          <w:iCs/>
          <w:highlight w:val="none"/>
        </w:rPr>
      </w:pPr>
      <w:r>
        <w:rPr>
          <w:rFonts w:hint="eastAsia"/>
          <w:iCs/>
          <w:color w:val="000000"/>
          <w:highlight w:val="none"/>
        </w:rPr>
        <w:t xml:space="preserve">2.</w:t>
      </w:r>
      <w:r>
        <w:rPr>
          <w:rFonts w:hint="eastAsia"/>
          <w:iCs/>
          <w:color w:val="000000"/>
          <w:highlight w:val="none"/>
          <w:u w:val="single"/>
        </w:rPr>
        <w:t xml:space="preserve">（标的名称）</w:t>
      </w:r>
      <w:r>
        <w:rPr>
          <w:rFonts w:hint="eastAsia"/>
          <w:iCs/>
          <w:color w:val="000000"/>
          <w:highlight w:val="none"/>
        </w:rPr>
        <w:t xml:space="preserve">，属于</w:t>
      </w:r>
      <w:r>
        <w:rPr>
          <w:rFonts w:hint="eastAsia"/>
          <w:iCs/>
          <w:color w:val="000000"/>
          <w:highlight w:val="none"/>
          <w:u w:val="single"/>
        </w:rPr>
        <w:t xml:space="preserve">       </w:t>
      </w:r>
      <w:r>
        <w:rPr>
          <w:rFonts w:hint="eastAsia"/>
          <w:iCs/>
          <w:color w:val="000000"/>
          <w:highlight w:val="none"/>
        </w:rPr>
        <w:t xml:space="preserve">行业；承接企业为</w:t>
      </w:r>
      <w:r>
        <w:rPr>
          <w:rFonts w:hint="eastAsia"/>
          <w:iCs/>
          <w:color w:val="000000"/>
          <w:highlight w:val="none"/>
          <w:u w:val="single"/>
        </w:rPr>
        <w:t xml:space="preserve">（企业名称）</w:t>
      </w:r>
      <w:r>
        <w:rPr>
          <w:rFonts w:hint="eastAsia"/>
          <w:iCs/>
          <w:color w:val="000000"/>
          <w:highlight w:val="none"/>
        </w:rPr>
        <w:t xml:space="preserve">，从业人员</w:t>
      </w:r>
      <w:r>
        <w:rPr>
          <w:rFonts w:hint="eastAsia"/>
          <w:iCs/>
          <w:color w:val="000000"/>
          <w:highlight w:val="none"/>
          <w:u w:val="single"/>
        </w:rPr>
        <w:t xml:space="preserve">      </w:t>
      </w:r>
      <w:r>
        <w:rPr>
          <w:rFonts w:hint="eastAsia"/>
          <w:iCs/>
          <w:color w:val="000000"/>
          <w:highlight w:val="none"/>
        </w:rPr>
        <w:t xml:space="preserve">人，营业收入为</w:t>
      </w:r>
      <w:r>
        <w:rPr>
          <w:rFonts w:hint="eastAsia"/>
          <w:iCs/>
          <w:color w:val="000000"/>
          <w:highlight w:val="none"/>
          <w:u w:val="single"/>
        </w:rPr>
        <w:t xml:space="preserve">     </w:t>
      </w:r>
      <w:r>
        <w:rPr>
          <w:rFonts w:hint="eastAsia"/>
          <w:iCs/>
          <w:color w:val="000000"/>
          <w:highlight w:val="none"/>
        </w:rPr>
        <w:t xml:space="preserve">万元，资产总额为</w:t>
      </w:r>
      <w:r>
        <w:rPr>
          <w:rFonts w:hint="eastAsia"/>
          <w:iCs/>
          <w:color w:val="000000"/>
          <w:highlight w:val="none"/>
          <w:u w:val="single"/>
        </w:rPr>
        <w:t xml:space="preserve">      </w:t>
      </w:r>
      <w:r>
        <w:rPr>
          <w:rFonts w:hint="eastAsia"/>
          <w:iCs/>
          <w:color w:val="000000"/>
          <w:highlight w:val="none"/>
        </w:rPr>
        <w:t xml:space="preserve">万元</w:t>
      </w:r>
      <w:r>
        <w:rPr>
          <w:rFonts w:hint="eastAsia"/>
          <w:iCs/>
          <w:color w:val="000000"/>
          <w:highlight w:val="none"/>
          <w:vertAlign w:val="superscript"/>
        </w:rPr>
        <w:t xml:space="preserve">1</w:t>
      </w:r>
      <w:r>
        <w:rPr>
          <w:rFonts w:hint="eastAsia"/>
          <w:iCs/>
          <w:color w:val="000000"/>
          <w:highlight w:val="none"/>
        </w:rPr>
        <w:t xml:space="preserve">，属于</w:t>
      </w:r>
      <w:r>
        <w:rPr>
          <w:rFonts w:hint="eastAsia"/>
          <w:iCs/>
          <w:color w:val="000000"/>
          <w:highlight w:val="none"/>
          <w:u w:val="single"/>
        </w:rPr>
        <w:t xml:space="preserve">（</w:t>
      </w:r>
      <w:r>
        <w:rPr>
          <w:rFonts w:hint="eastAsia"/>
          <w:iCs/>
          <w:highlight w:val="none"/>
          <w:u w:val="single"/>
        </w:rPr>
        <w:t xml:space="preserve">中型企业、小型企业、微型企业</w:t>
      </w:r>
      <w:r>
        <w:rPr>
          <w:rFonts w:hint="eastAsia"/>
          <w:iCs/>
          <w:color w:val="000000"/>
          <w:highlight w:val="none"/>
          <w:u w:val="single"/>
        </w:rPr>
        <w:t xml:space="preserve">）；</w:t>
      </w:r>
      <w:r>
        <w:rPr>
          <w:highlight w:val="none"/>
        </w:rPr>
      </w:r>
      <w:r/>
    </w:p>
    <w:p>
      <w:pPr>
        <w:pStyle w:val="1048"/>
        <w:ind w:firstLine="360"/>
        <w:jc w:val="both"/>
        <w:spacing w:beforeAutospacing="0" w:afterAutospacing="0" w:line="440" w:lineRule="exact"/>
        <w:rPr>
          <w:rFonts w:hint="eastAsia"/>
          <w:iCs/>
          <w:highlight w:val="none"/>
        </w:rPr>
      </w:pPr>
      <w:r>
        <w:rPr>
          <w:rFonts w:hint="eastAsia"/>
          <w:iCs/>
          <w:color w:val="000000"/>
          <w:highlight w:val="none"/>
        </w:rPr>
        <w:t xml:space="preserve">……</w:t>
      </w:r>
      <w:r>
        <w:rPr>
          <w:highlight w:val="none"/>
        </w:rPr>
      </w:r>
      <w:r/>
    </w:p>
    <w:p>
      <w:pPr>
        <w:pStyle w:val="1048"/>
        <w:ind w:firstLine="360"/>
        <w:jc w:val="both"/>
        <w:spacing w:beforeAutospacing="0" w:afterAutospacing="0" w:line="440" w:lineRule="exact"/>
        <w:rPr>
          <w:rFonts w:hint="eastAsia"/>
          <w:iCs/>
          <w:highlight w:val="none"/>
        </w:rPr>
      </w:pPr>
      <w:r>
        <w:rPr>
          <w:rFonts w:hint="eastAsia"/>
          <w:iCs/>
          <w:color w:val="000000"/>
          <w:highlight w:val="none"/>
        </w:rPr>
        <w:t xml:space="preserve">以上企业，不属于大企业的分支机构，不存在控股股东为大企业的情形，也不存在与大企业的负责人为同一人的情形。</w:t>
      </w:r>
      <w:r>
        <w:rPr>
          <w:highlight w:val="none"/>
        </w:rPr>
      </w:r>
      <w:r/>
    </w:p>
    <w:p>
      <w:pPr>
        <w:pStyle w:val="1048"/>
        <w:ind w:firstLine="360"/>
        <w:jc w:val="both"/>
        <w:spacing w:beforeAutospacing="0" w:afterAutospacing="0" w:line="440" w:lineRule="exact"/>
        <w:rPr>
          <w:rFonts w:hint="eastAsia"/>
          <w:iCs/>
          <w:highlight w:val="none"/>
        </w:rPr>
      </w:pPr>
      <w:r>
        <w:rPr>
          <w:rFonts w:hint="eastAsia"/>
          <w:iCs/>
          <w:color w:val="000000"/>
          <w:highlight w:val="none"/>
        </w:rPr>
        <w:t xml:space="preserve">本企业对上述声明内容的真实性负责。如有虚假，将依法承担相应责任</w:t>
      </w:r>
      <w:r>
        <w:rPr>
          <w:highlight w:val="none"/>
        </w:rPr>
      </w:r>
      <w:r/>
    </w:p>
    <w:p>
      <w:pPr>
        <w:pStyle w:val="1048"/>
        <w:ind w:right="720"/>
        <w:jc w:val="both"/>
        <w:spacing w:beforeAutospacing="0" w:afterAutospacing="0" w:line="440" w:lineRule="exact"/>
        <w:rPr>
          <w:rFonts w:hint="eastAsia"/>
          <w:iCs/>
          <w:highlight w:val="none"/>
        </w:rPr>
      </w:pPr>
      <w:r>
        <w:rPr>
          <w:rFonts w:hint="eastAsia"/>
          <w:iCs/>
          <w:highlight w:val="none"/>
        </w:rPr>
        <w:t xml:space="preserve"> </w:t>
      </w:r>
      <w:r>
        <w:rPr>
          <w:highlight w:val="none"/>
        </w:rPr>
      </w:r>
      <w:r/>
    </w:p>
    <w:p>
      <w:pPr>
        <w:pStyle w:val="1048"/>
        <w:ind w:right="180" w:firstLine="360"/>
        <w:jc w:val="right"/>
        <w:spacing w:beforeAutospacing="0" w:afterAutospacing="0" w:line="440" w:lineRule="exact"/>
        <w:rPr>
          <w:rFonts w:hint="eastAsia"/>
          <w:iCs/>
          <w:highlight w:val="none"/>
        </w:rPr>
      </w:pPr>
      <w:r>
        <w:rPr>
          <w:rFonts w:hint="eastAsia"/>
          <w:iCs/>
          <w:color w:val="000000"/>
          <w:highlight w:val="none"/>
        </w:rPr>
        <w:t xml:space="preserve">企业名称（加盖公章）：</w:t>
      </w:r>
      <w:r>
        <w:rPr>
          <w:highlight w:val="none"/>
        </w:rPr>
      </w:r>
      <w:r/>
    </w:p>
    <w:p>
      <w:pPr>
        <w:pStyle w:val="1048"/>
        <w:ind w:right="480" w:firstLine="7608"/>
        <w:jc w:val="both"/>
        <w:spacing w:beforeAutospacing="0" w:afterAutospacing="0" w:line="440" w:lineRule="exact"/>
        <w:rPr>
          <w:rFonts w:hint="eastAsia"/>
          <w:iCs/>
          <w:highlight w:val="none"/>
        </w:rPr>
      </w:pPr>
      <w:r>
        <w:rPr>
          <w:rFonts w:hint="eastAsia"/>
          <w:iCs/>
          <w:color w:val="000000"/>
          <w:highlight w:val="none"/>
        </w:rPr>
        <w:t xml:space="preserve">日  期：</w:t>
      </w:r>
      <w:r>
        <w:rPr>
          <w:highlight w:val="none"/>
        </w:rPr>
      </w:r>
      <w:r/>
    </w:p>
    <w:p>
      <w:pPr>
        <w:pStyle w:val="1048"/>
        <w:ind w:firstLine="240"/>
        <w:jc w:val="both"/>
        <w:spacing w:beforeAutospacing="0" w:afterAutospacing="0" w:line="440" w:lineRule="exact"/>
        <w:rPr>
          <w:rFonts w:hint="eastAsia"/>
          <w:iCs/>
          <w:highlight w:val="none"/>
        </w:rPr>
      </w:pPr>
      <w:r>
        <w:rPr>
          <w:rFonts w:hint="eastAsia"/>
          <w:iCs/>
          <w:highlight w:val="none"/>
        </w:rPr>
        <w:t xml:space="preserve"> </w:t>
      </w:r>
      <w:r>
        <w:rPr>
          <w:highlight w:val="none"/>
        </w:rPr>
      </w:r>
      <w:r/>
    </w:p>
    <w:p>
      <w:pPr>
        <w:pStyle w:val="1048"/>
        <w:ind w:firstLine="480"/>
        <w:jc w:val="both"/>
        <w:spacing w:beforeAutospacing="0" w:afterAutospacing="0" w:line="440" w:lineRule="exact"/>
        <w:rPr>
          <w:rFonts w:hint="eastAsia"/>
          <w:iCs/>
          <w:highlight w:val="none"/>
        </w:rPr>
      </w:pPr>
      <w:r>
        <w:rPr>
          <w:rFonts w:hint="eastAsia"/>
          <w:iCs/>
          <w:color w:val="000000"/>
          <w:highlight w:val="none"/>
        </w:rPr>
        <w:t xml:space="preserve">备注1：从业人员、营业收入、资产总额填报上一年度数据，无上一年度数据的新成立企业可不填报。</w:t>
      </w:r>
      <w:r>
        <w:rPr>
          <w:highlight w:val="none"/>
        </w:rPr>
      </w:r>
      <w:r/>
    </w:p>
    <w:p>
      <w:pPr>
        <w:pStyle w:val="1048"/>
        <w:ind w:firstLine="480"/>
        <w:jc w:val="both"/>
        <w:spacing w:beforeAutospacing="0" w:afterAutospacing="0" w:line="440" w:lineRule="exact"/>
        <w:rPr>
          <w:rFonts w:hint="eastAsia"/>
          <w:iCs/>
          <w:highlight w:val="none"/>
        </w:rPr>
      </w:pPr>
      <w:r>
        <w:rPr>
          <w:rFonts w:hint="eastAsia"/>
          <w:iCs/>
          <w:color w:val="000000"/>
          <w:highlight w:val="none"/>
        </w:rPr>
        <w:t xml:space="preserve">备注2：供应商如不提供此声明函，价格将不做相应扣除（如项目全面面向中小企业，则资格审查不通过）。</w:t>
      </w:r>
      <w:r>
        <w:rPr>
          <w:highlight w:val="none"/>
        </w:rPr>
      </w:r>
      <w:r/>
    </w:p>
    <w:p>
      <w:pPr>
        <w:pStyle w:val="1048"/>
        <w:jc w:val="center"/>
        <w:spacing w:beforeAutospacing="0" w:afterAutospacing="0" w:line="360" w:lineRule="auto"/>
        <w:rPr>
          <w:rFonts w:hint="eastAsia"/>
          <w:iCs/>
          <w:highlight w:val="none"/>
        </w:rPr>
      </w:pPr>
      <w:r>
        <w:rPr>
          <w:rFonts w:hint="eastAsia"/>
          <w:b/>
          <w:iCs/>
          <w:color w:val="000000"/>
          <w:highlight w:val="none"/>
        </w:rPr>
        <w:br w:type="page" w:clear="all"/>
      </w:r>
      <w:r>
        <w:rPr>
          <w:highlight w:val="none"/>
        </w:rPr>
      </w:r>
      <w:r/>
    </w:p>
    <w:p>
      <w:pPr>
        <w:pStyle w:val="1048"/>
        <w:jc w:val="center"/>
        <w:spacing w:beforeAutospacing="0" w:afterAutospacing="0" w:line="360" w:lineRule="auto"/>
        <w:rPr>
          <w:rFonts w:hint="eastAsia"/>
          <w:b/>
          <w:bCs/>
          <w:iCs/>
          <w:color w:val="000000"/>
          <w:sz w:val="30"/>
          <w:szCs w:val="30"/>
          <w:highlight w:val="none"/>
          <w:u w:val="single"/>
        </w:rPr>
      </w:pPr>
      <w:r>
        <w:rPr>
          <w:rFonts w:hint="eastAsia"/>
          <w:b/>
          <w:bCs/>
          <w:iCs/>
          <w:color w:val="000000"/>
          <w:sz w:val="30"/>
          <w:szCs w:val="30"/>
          <w:highlight w:val="none"/>
          <w:u w:val="single"/>
        </w:rPr>
        <w:t xml:space="preserve">残疾人福利性单位声明函</w:t>
      </w:r>
      <w:r>
        <w:rPr>
          <w:highlight w:val="none"/>
        </w:rPr>
      </w:r>
      <w:r/>
    </w:p>
    <w:p>
      <w:pPr>
        <w:pStyle w:val="1048"/>
        <w:ind w:firstLine="480"/>
        <w:spacing w:beforeAutospacing="0" w:afterAutospacing="0" w:line="360" w:lineRule="auto"/>
        <w:rPr>
          <w:rFonts w:hint="eastAsia"/>
          <w:iCs/>
          <w:highlight w:val="none"/>
        </w:rPr>
      </w:pPr>
      <w:r>
        <w:rPr>
          <w:rFonts w:hint="eastAsia"/>
          <w:iCs/>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iCs/>
          <w:color w:val="000000"/>
          <w:highlight w:val="none"/>
          <w:u w:val="single"/>
        </w:rPr>
        <w:t xml:space="preserve">（采购人名称）</w:t>
      </w:r>
      <w:r>
        <w:rPr>
          <w:rFonts w:hint="eastAsia"/>
          <w:iCs/>
          <w:highlight w:val="none"/>
        </w:rPr>
        <w:t xml:space="preserve">单位的采购文件编号为</w:t>
      </w:r>
      <w:r>
        <w:rPr>
          <w:rFonts w:hint="eastAsia"/>
          <w:iCs/>
          <w:highlight w:val="none"/>
          <w:u w:val="single"/>
        </w:rPr>
        <w:t xml:space="preserve">（项目编号）</w:t>
      </w:r>
      <w:r>
        <w:rPr>
          <w:rFonts w:hint="eastAsia"/>
          <w:iCs/>
          <w:highlight w:val="none"/>
        </w:rPr>
        <w:t xml:space="preserve">的</w:t>
      </w:r>
      <w:r>
        <w:rPr>
          <w:rFonts w:hint="eastAsia"/>
          <w:iCs/>
          <w:color w:val="000000"/>
          <w:highlight w:val="none"/>
          <w:u w:val="single"/>
        </w:rPr>
        <w:t xml:space="preserve">（项目名称）</w:t>
      </w:r>
      <w:r>
        <w:rPr>
          <w:rFonts w:hint="eastAsia"/>
          <w:iCs/>
          <w:highlight w:val="none"/>
        </w:rPr>
        <w:t xml:space="preserve">采购活动由本单位提供服务。</w:t>
      </w:r>
      <w:r>
        <w:rPr>
          <w:highlight w:val="none"/>
        </w:rPr>
      </w:r>
      <w:r/>
    </w:p>
    <w:p>
      <w:pPr>
        <w:pStyle w:val="1048"/>
        <w:ind w:firstLine="480"/>
        <w:jc w:val="both"/>
        <w:spacing w:beforeAutospacing="0" w:afterAutospacing="0" w:line="360" w:lineRule="auto"/>
        <w:rPr>
          <w:rFonts w:hint="eastAsia"/>
          <w:iCs/>
          <w:highlight w:val="none"/>
        </w:rPr>
      </w:pPr>
      <w:r>
        <w:rPr>
          <w:rFonts w:hint="eastAsia"/>
          <w:iCs/>
          <w:highlight w:val="none"/>
        </w:rPr>
        <w:t xml:space="preserve">本单位对上述声明的真实性负责。如有虚假，将依法承担相应责任。</w:t>
      </w:r>
      <w:r>
        <w:rPr>
          <w:highlight w:val="none"/>
        </w:rPr>
      </w:r>
      <w:r/>
    </w:p>
    <w:p>
      <w:pPr>
        <w:pStyle w:val="1048"/>
        <w:ind w:firstLine="480"/>
        <w:jc w:val="both"/>
        <w:spacing w:beforeAutospacing="0" w:afterAutospacing="0" w:line="360" w:lineRule="auto"/>
        <w:rPr>
          <w:rFonts w:hint="eastAsia"/>
          <w:iCs/>
          <w:highlight w:val="none"/>
        </w:rPr>
      </w:pPr>
      <w:r>
        <w:rPr>
          <w:rFonts w:hint="eastAsia"/>
          <w:iCs/>
          <w:highlight w:val="none"/>
        </w:rPr>
        <w:t xml:space="preserve"> </w:t>
      </w:r>
      <w:r>
        <w:rPr>
          <w:highlight w:val="none"/>
        </w:rPr>
      </w:r>
      <w:r/>
    </w:p>
    <w:p>
      <w:pPr>
        <w:pStyle w:val="1048"/>
        <w:ind w:firstLine="480"/>
        <w:jc w:val="both"/>
        <w:spacing w:beforeAutospacing="0" w:afterAutospacing="0" w:line="360" w:lineRule="auto"/>
        <w:rPr>
          <w:rFonts w:hint="eastAsia"/>
          <w:iCs/>
          <w:highlight w:val="none"/>
        </w:rPr>
      </w:pPr>
      <w:r>
        <w:rPr>
          <w:rFonts w:hint="eastAsia"/>
          <w:iCs/>
          <w:highlight w:val="none"/>
        </w:rPr>
        <w:t xml:space="preserve">备注：1、供应商如不提供此声明函，</w:t>
      </w:r>
      <w:r>
        <w:rPr>
          <w:rFonts w:hint="eastAsia"/>
          <w:iCs/>
          <w:color w:val="000000"/>
          <w:highlight w:val="none"/>
        </w:rPr>
        <w:t xml:space="preserve">价格将不做相应扣除（如项目全面面向中小企业，则资格审查不通过）</w:t>
      </w:r>
      <w:r>
        <w:rPr>
          <w:rFonts w:hint="eastAsia"/>
          <w:iCs/>
          <w:highlight w:val="none"/>
        </w:rPr>
        <w:t xml:space="preserve">。2、中标人为残疾人福利单位的，此声明函将随中标结果同时公告，接受社会监督</w:t>
      </w:r>
      <w:r>
        <w:rPr>
          <w:highlight w:val="none"/>
        </w:rPr>
      </w:r>
      <w:r/>
    </w:p>
    <w:p>
      <w:pPr>
        <w:pStyle w:val="1048"/>
        <w:ind w:firstLine="624"/>
        <w:jc w:val="both"/>
        <w:spacing w:beforeAutospacing="0" w:afterAutospacing="0" w:line="360" w:lineRule="auto"/>
        <w:rPr>
          <w:rFonts w:hint="eastAsia"/>
          <w:iCs/>
          <w:highlight w:val="none"/>
        </w:rPr>
      </w:pPr>
      <w:r>
        <w:rPr>
          <w:rFonts w:hint="eastAsia"/>
          <w:iCs/>
          <w:highlight w:val="none"/>
        </w:rPr>
        <w:t xml:space="preserve"> </w:t>
      </w:r>
      <w:r>
        <w:rPr>
          <w:highlight w:val="none"/>
        </w:rPr>
      </w:r>
      <w:r/>
    </w:p>
    <w:p>
      <w:pPr>
        <w:pStyle w:val="1048"/>
        <w:ind w:right="1560" w:firstLine="624"/>
        <w:jc w:val="center"/>
        <w:spacing w:beforeAutospacing="0" w:afterAutospacing="0" w:line="360" w:lineRule="auto"/>
        <w:tabs>
          <w:tab w:val="left" w:pos="4864" w:leader="none"/>
        </w:tabs>
        <w:rPr>
          <w:rFonts w:hint="eastAsia"/>
          <w:iCs/>
          <w:highlight w:val="none"/>
        </w:rPr>
      </w:pPr>
      <w:r>
        <w:rPr>
          <w:rFonts w:hint="eastAsia"/>
          <w:iCs/>
          <w:color w:val="000000"/>
          <w:highlight w:val="none"/>
        </w:rPr>
        <w:t xml:space="preserve">                  供应商全称（加盖公章）：</w:t>
      </w:r>
      <w:r>
        <w:rPr>
          <w:highlight w:val="none"/>
        </w:rPr>
      </w:r>
      <w:r/>
    </w:p>
    <w:p>
      <w:pPr>
        <w:pStyle w:val="1048"/>
        <w:ind w:right="1560" w:firstLine="480"/>
        <w:jc w:val="center"/>
        <w:spacing w:beforeAutospacing="0" w:afterAutospacing="0" w:line="360" w:lineRule="auto"/>
        <w:tabs>
          <w:tab w:val="left" w:pos="4864" w:leader="none"/>
        </w:tabs>
        <w:rPr>
          <w:rFonts w:hint="eastAsia"/>
          <w:iCs/>
          <w:highlight w:val="none"/>
        </w:rPr>
      </w:pPr>
      <w:r>
        <w:rPr>
          <w:rFonts w:hint="eastAsia"/>
          <w:iCs/>
          <w:color w:val="000000"/>
          <w:highlight w:val="none"/>
        </w:rPr>
        <w:t xml:space="preserve">                               日  期：</w:t>
      </w:r>
      <w:r>
        <w:rPr>
          <w:highlight w:val="none"/>
        </w:rPr>
      </w:r>
      <w:r/>
    </w:p>
    <w:p>
      <w:pPr>
        <w:pStyle w:val="1048"/>
        <w:jc w:val="center"/>
        <w:spacing w:beforeAutospacing="0" w:afterAutospacing="0" w:line="360" w:lineRule="auto"/>
        <w:rPr>
          <w:rFonts w:hint="eastAsia"/>
          <w:highlight w:val="none"/>
        </w:rPr>
      </w:pPr>
      <w:r>
        <w:rPr>
          <w:rFonts w:hint="eastAsia"/>
          <w:highlight w:val="none"/>
        </w:rPr>
        <w:t xml:space="preserve"> </w:t>
      </w:r>
      <w:r>
        <w:rPr>
          <w:highlight w:val="none"/>
        </w:rPr>
      </w:r>
      <w:r/>
    </w:p>
    <w:p>
      <w:pPr>
        <w:pStyle w:val="1018"/>
        <w:ind w:firstLine="0"/>
        <w:jc w:val="center"/>
        <w:spacing w:line="360" w:lineRule="auto"/>
        <w:rPr>
          <w:rFonts w:hint="eastAsia" w:ascii="宋体" w:hAnsi="宋体"/>
          <w:b/>
          <w:sz w:val="36"/>
          <w:szCs w:val="36"/>
          <w:highlight w:val="none"/>
        </w:rPr>
      </w:pPr>
      <w:r>
        <w:rPr>
          <w:rFonts w:hint="eastAsia" w:ascii="宋体" w:hAnsi="宋体"/>
          <w:b/>
          <w:sz w:val="36"/>
          <w:szCs w:val="36"/>
          <w:highlight w:val="none"/>
        </w:rPr>
      </w:r>
      <w:r>
        <w:rPr>
          <w:highlight w:val="none"/>
        </w:rPr>
      </w:r>
      <w:r/>
    </w:p>
    <w:p>
      <w:pPr>
        <w:pStyle w:val="1018"/>
        <w:ind w:firstLine="0"/>
        <w:jc w:val="center"/>
        <w:spacing w:line="360" w:lineRule="auto"/>
        <w:rPr>
          <w:rFonts w:hint="eastAsia" w:ascii="宋体" w:hAnsi="宋体"/>
          <w:b/>
          <w:sz w:val="36"/>
          <w:szCs w:val="36"/>
          <w:highlight w:val="none"/>
        </w:rPr>
      </w:pPr>
      <w:r>
        <w:rPr>
          <w:rFonts w:hint="eastAsia" w:ascii="宋体" w:hAnsi="宋体"/>
          <w:b/>
          <w:sz w:val="36"/>
          <w:szCs w:val="36"/>
          <w:highlight w:val="none"/>
        </w:rPr>
      </w:r>
      <w:r>
        <w:rPr>
          <w:highlight w:val="none"/>
        </w:rPr>
      </w:r>
      <w:r/>
    </w:p>
    <w:p>
      <w:pPr>
        <w:pStyle w:val="1018"/>
        <w:ind w:firstLine="0"/>
        <w:jc w:val="center"/>
        <w:spacing w:line="360" w:lineRule="auto"/>
        <w:rPr>
          <w:rFonts w:hint="eastAsia" w:ascii="宋体" w:hAnsi="宋体"/>
          <w:b/>
          <w:sz w:val="36"/>
          <w:szCs w:val="36"/>
          <w:highlight w:val="none"/>
        </w:rPr>
      </w:pPr>
      <w:r>
        <w:rPr>
          <w:rFonts w:hint="eastAsia" w:ascii="宋体" w:hAnsi="宋体"/>
          <w:b/>
          <w:sz w:val="36"/>
          <w:szCs w:val="36"/>
          <w:highlight w:val="none"/>
        </w:rPr>
      </w:r>
      <w:r>
        <w:rPr>
          <w:highlight w:val="none"/>
        </w:rPr>
      </w:r>
      <w:r/>
    </w:p>
    <w:p>
      <w:pPr>
        <w:pStyle w:val="1018"/>
        <w:ind w:firstLine="0"/>
        <w:jc w:val="center"/>
        <w:spacing w:line="360" w:lineRule="auto"/>
        <w:rPr>
          <w:rFonts w:hint="eastAsia" w:ascii="宋体" w:hAnsi="宋体"/>
          <w:b/>
          <w:bCs/>
          <w:sz w:val="36"/>
          <w:szCs w:val="36"/>
          <w:highlight w:val="none"/>
        </w:rPr>
      </w:pPr>
      <w:r>
        <w:rPr>
          <w:rFonts w:hint="eastAsia" w:ascii="宋体" w:hAnsi="宋体"/>
          <w:b/>
          <w:sz w:val="36"/>
          <w:szCs w:val="36"/>
          <w:highlight w:val="none"/>
        </w:rPr>
      </w:r>
      <w:r>
        <w:rPr>
          <w:rFonts w:hint="eastAsia" w:ascii="宋体" w:hAnsi="宋体"/>
          <w:b/>
          <w:sz w:val="36"/>
          <w:szCs w:val="36"/>
          <w:highlight w:val="none"/>
        </w:rPr>
      </w:r>
      <w:r/>
    </w:p>
    <w:p>
      <w:pPr>
        <w:pStyle w:val="1018"/>
        <w:ind w:firstLine="0"/>
        <w:jc w:val="center"/>
        <w:spacing w:line="360" w:lineRule="auto"/>
        <w:rPr>
          <w:rFonts w:hint="eastAsia" w:ascii="宋体" w:hAnsi="宋体"/>
          <w:b/>
          <w:bCs/>
          <w:sz w:val="36"/>
          <w:szCs w:val="36"/>
          <w:highlight w:val="none"/>
        </w:rPr>
      </w:pPr>
      <w:r>
        <w:rPr>
          <w:rFonts w:hint="eastAsia" w:ascii="宋体" w:hAnsi="宋体"/>
          <w:b/>
          <w:sz w:val="36"/>
          <w:szCs w:val="36"/>
          <w:highlight w:val="none"/>
        </w:rPr>
      </w:r>
      <w:r>
        <w:rPr>
          <w:highlight w:val="none"/>
        </w:rPr>
      </w:r>
      <w:r/>
    </w:p>
    <w:p>
      <w:pPr>
        <w:pStyle w:val="1018"/>
        <w:ind w:firstLine="0"/>
        <w:spacing w:line="360" w:lineRule="auto"/>
        <w:rPr>
          <w:rFonts w:hint="eastAsia" w:ascii="宋体" w:hAnsi="宋体"/>
          <w:b/>
          <w:sz w:val="36"/>
          <w:szCs w:val="36"/>
          <w:highlight w:val="none"/>
        </w:rPr>
      </w:pPr>
      <w:r>
        <w:rPr>
          <w:rFonts w:hint="eastAsia" w:ascii="宋体" w:hAnsi="宋体"/>
          <w:b/>
          <w:sz w:val="36"/>
          <w:szCs w:val="36"/>
          <w:highlight w:val="none"/>
        </w:rPr>
      </w:r>
      <w:r>
        <w:rPr>
          <w:highlight w:val="none"/>
        </w:rPr>
      </w:r>
      <w:r/>
    </w:p>
    <w:p>
      <w:pPr>
        <w:pStyle w:val="1018"/>
        <w:ind w:firstLine="0"/>
        <w:jc w:val="center"/>
        <w:spacing w:line="360" w:lineRule="auto"/>
        <w:rPr>
          <w:rFonts w:hint="eastAsia" w:ascii="宋体" w:hAnsi="宋体"/>
          <w:b/>
          <w:sz w:val="36"/>
          <w:szCs w:val="36"/>
          <w:highlight w:val="none"/>
        </w:rPr>
      </w:pPr>
      <w:r>
        <w:rPr>
          <w:rFonts w:hint="eastAsia" w:ascii="宋体" w:hAnsi="宋体"/>
          <w:b/>
          <w:sz w:val="36"/>
          <w:szCs w:val="36"/>
          <w:highlight w:val="none"/>
        </w:rPr>
      </w:r>
      <w:r>
        <w:rPr>
          <w:highlight w:val="none"/>
        </w:rPr>
      </w:r>
      <w:r/>
    </w:p>
    <w:p>
      <w:pPr>
        <w:pStyle w:val="1018"/>
        <w:ind w:firstLine="0"/>
        <w:jc w:val="center"/>
        <w:spacing w:line="360" w:lineRule="auto"/>
        <w:rPr>
          <w:rFonts w:hint="eastAsia" w:ascii="宋体" w:hAnsi="宋体"/>
          <w:b/>
          <w:sz w:val="36"/>
          <w:szCs w:val="36"/>
          <w:highlight w:val="none"/>
        </w:rPr>
      </w:pPr>
      <w:r>
        <w:rPr>
          <w:rFonts w:hint="eastAsia" w:ascii="宋体" w:hAnsi="宋体"/>
          <w:b/>
          <w:sz w:val="36"/>
          <w:szCs w:val="36"/>
          <w:highlight w:val="none"/>
        </w:rPr>
      </w:r>
      <w:r>
        <w:rPr>
          <w:highlight w:val="none"/>
        </w:rPr>
      </w:r>
      <w:r/>
    </w:p>
    <w:p>
      <w:pPr>
        <w:pStyle w:val="1008"/>
        <w:ind w:firstLine="643"/>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六、分项报价表</w:t>
      </w:r>
      <w:r>
        <w:rPr>
          <w:highlight w:val="none"/>
        </w:rPr>
      </w:r>
      <w:r/>
    </w:p>
    <w:p>
      <w:pPr>
        <w:pStyle w:val="1008"/>
        <w:jc w:val="center"/>
        <w:spacing w:line="360" w:lineRule="auto"/>
        <w:rPr>
          <w:rFonts w:ascii="宋体"/>
          <w:b/>
          <w:bCs/>
          <w:sz w:val="28"/>
          <w:szCs w:val="28"/>
          <w:highlight w:val="none"/>
        </w:rPr>
      </w:pPr>
      <w:r>
        <w:rPr>
          <w:rFonts w:hint="eastAsia" w:ascii="宋体" w:hAnsi="宋体"/>
          <w:b/>
          <w:bCs/>
          <w:sz w:val="28"/>
          <w:szCs w:val="28"/>
          <w:highlight w:val="none"/>
        </w:rPr>
        <w:t xml:space="preserve">分项报价表</w:t>
      </w:r>
      <w:r>
        <w:rPr>
          <w:rFonts w:ascii="宋体" w:hAnsi="宋体"/>
          <w:b/>
          <w:bCs/>
          <w:sz w:val="28"/>
          <w:szCs w:val="28"/>
          <w:highlight w:val="none"/>
        </w:rPr>
        <w:t xml:space="preserve">1</w:t>
      </w:r>
      <w:r>
        <w:rPr>
          <w:rFonts w:hint="eastAsia" w:ascii="宋体" w:hAnsi="宋体"/>
          <w:b/>
          <w:bCs/>
          <w:sz w:val="28"/>
          <w:szCs w:val="28"/>
          <w:highlight w:val="none"/>
        </w:rPr>
        <w:t xml:space="preserve">（盐城市第Ⅲ防洪区范围内排水户水质检测）</w:t>
      </w:r>
      <w:r>
        <w:rPr>
          <w:highlight w:val="none"/>
        </w:rPr>
      </w:r>
      <w:r/>
    </w:p>
    <w:p>
      <w:pPr>
        <w:pStyle w:val="1026"/>
        <w:ind w:left="1470" w:right="1470"/>
        <w:jc w:val="center"/>
        <w:spacing w:after="0" w:line="360" w:lineRule="auto"/>
        <w:tabs>
          <w:tab w:val="left" w:pos="9000" w:leader="none"/>
        </w:tabs>
        <w:rPr>
          <w:b/>
          <w:bCs/>
          <w:highlight w:val="none"/>
        </w:rPr>
      </w:pPr>
      <w:r>
        <w:rPr>
          <w:b/>
          <w:bCs/>
          <w:highlight w:val="none"/>
        </w:rPr>
      </w:r>
      <w:r>
        <w:rPr>
          <w:highlight w:val="none"/>
        </w:rPr>
      </w:r>
      <w:r/>
    </w:p>
    <w:tbl>
      <w:tblPr>
        <w:tblW w:w="866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84"/>
        <w:gridCol w:w="1623"/>
        <w:gridCol w:w="1650"/>
        <w:gridCol w:w="3104"/>
        <w:gridCol w:w="1307"/>
      </w:tblGrid>
      <w:tr>
        <w:trPr>
          <w:trHeight w:val="42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pStyle w:val="1008"/>
              <w:jc w:val="center"/>
              <w:widowControl/>
              <w:rPr>
                <w:rFonts w:ascii="黑体" w:hAnsi="黑体" w:eastAsia="黑体" w:cs="宋体"/>
                <w:sz w:val="24"/>
                <w:highlight w:val="none"/>
              </w:rPr>
            </w:pPr>
            <w:r>
              <w:rPr>
                <w:rFonts w:ascii="黑体" w:hAnsi="黑体" w:eastAsia="黑体" w:cs="宋体"/>
                <w:sz w:val="24"/>
                <w:highlight w:val="none"/>
              </w:rPr>
              <w:t xml:space="preserve">序号</w:t>
            </w:r>
            <w:r>
              <w:rPr>
                <w:highlight w:val="none"/>
              </w:rPr>
            </w:r>
            <w:r/>
          </w:p>
        </w:tc>
        <w:tc>
          <w:tcPr>
            <w:tcBorders>
              <w:top w:val="single" w:color="000000" w:sz="4" w:space="0"/>
              <w:left w:val="none" w:color="000000" w:sz="4" w:space="0"/>
              <w:bottom w:val="single" w:color="000000" w:sz="4" w:space="0"/>
              <w:right w:val="single" w:color="000000" w:sz="4" w:space="0"/>
            </w:tcBorders>
            <w:tcW w:w="1623" w:type="dxa"/>
            <w:vAlign w:val="center"/>
            <w:textDirection w:val="lrTb"/>
            <w:noWrap w:val="false"/>
          </w:tcPr>
          <w:p>
            <w:pPr>
              <w:pStyle w:val="1008"/>
              <w:jc w:val="center"/>
              <w:widowControl/>
              <w:rPr>
                <w:rFonts w:ascii="黑体" w:hAnsi="黑体" w:eastAsia="黑体" w:cs="宋体"/>
                <w:sz w:val="24"/>
                <w:highlight w:val="none"/>
              </w:rPr>
            </w:pPr>
            <w:r>
              <w:rPr>
                <w:rFonts w:ascii="黑体" w:hAnsi="黑体" w:eastAsia="黑体" w:cs="宋体"/>
                <w:sz w:val="24"/>
                <w:highlight w:val="none"/>
              </w:rPr>
              <w:t xml:space="preserve">类别</w:t>
            </w:r>
            <w:r>
              <w:rPr>
                <w:highlight w:val="none"/>
              </w:rPr>
            </w:r>
            <w:r/>
          </w:p>
        </w:tc>
        <w:tc>
          <w:tcPr>
            <w:tcBorders>
              <w:top w:val="single" w:color="000000" w:sz="4" w:space="0"/>
              <w:left w:val="none" w:color="000000" w:sz="4" w:space="0"/>
              <w:bottom w:val="single" w:color="000000" w:sz="4" w:space="0"/>
              <w:right w:val="single" w:color="000000" w:sz="4" w:space="0"/>
            </w:tcBorders>
            <w:tcW w:w="1650" w:type="dxa"/>
            <w:vAlign w:val="center"/>
            <w:textDirection w:val="lrTb"/>
            <w:noWrap w:val="false"/>
          </w:tcPr>
          <w:p>
            <w:pPr>
              <w:pStyle w:val="1008"/>
              <w:jc w:val="center"/>
              <w:widowControl/>
              <w:rPr>
                <w:rFonts w:ascii="黑体" w:hAnsi="黑体" w:eastAsia="黑体" w:cs="宋体"/>
                <w:sz w:val="24"/>
                <w:highlight w:val="none"/>
              </w:rPr>
            </w:pPr>
            <w:r>
              <w:rPr>
                <w:rFonts w:ascii="黑体" w:hAnsi="黑体" w:eastAsia="黑体" w:cs="宋体"/>
                <w:sz w:val="24"/>
                <w:highlight w:val="none"/>
              </w:rPr>
              <w:t xml:space="preserve">项目</w:t>
            </w:r>
            <w:r>
              <w:rPr>
                <w:highlight w:val="none"/>
              </w:rPr>
            </w:r>
            <w:r/>
          </w:p>
        </w:tc>
        <w:tc>
          <w:tcPr>
            <w:tcBorders>
              <w:top w:val="single" w:color="000000" w:sz="4" w:space="0"/>
              <w:left w:val="none" w:color="000000" w:sz="4" w:space="0"/>
              <w:bottom w:val="single" w:color="000000" w:sz="4" w:space="0"/>
              <w:right w:val="single" w:color="000000" w:sz="4" w:space="0"/>
            </w:tcBorders>
            <w:tcW w:w="3104" w:type="dxa"/>
            <w:vAlign w:val="center"/>
            <w:textDirection w:val="lrTb"/>
            <w:noWrap w:val="false"/>
          </w:tcPr>
          <w:p>
            <w:pPr>
              <w:pStyle w:val="1008"/>
              <w:jc w:val="center"/>
              <w:widowControl/>
              <w:rPr>
                <w:rFonts w:ascii="黑体" w:hAnsi="黑体" w:eastAsia="黑体" w:cs="宋体"/>
                <w:sz w:val="24"/>
                <w:highlight w:val="none"/>
              </w:rPr>
            </w:pPr>
            <w:r>
              <w:rPr>
                <w:rFonts w:ascii="黑体" w:hAnsi="黑体" w:eastAsia="黑体" w:cs="宋体"/>
                <w:sz w:val="24"/>
                <w:highlight w:val="none"/>
              </w:rPr>
              <w:t xml:space="preserve">每类每年</w:t>
            </w:r>
            <w:r>
              <w:rPr>
                <w:highlight w:val="none"/>
              </w:rPr>
            </w:r>
            <w:r/>
          </w:p>
          <w:p>
            <w:pPr>
              <w:pStyle w:val="1008"/>
              <w:jc w:val="center"/>
              <w:widowControl/>
              <w:rPr>
                <w:rFonts w:ascii="黑体" w:hAnsi="黑体" w:eastAsia="黑体" w:cs="宋体"/>
                <w:sz w:val="24"/>
                <w:highlight w:val="none"/>
              </w:rPr>
            </w:pPr>
            <w:r>
              <w:rPr>
                <w:rFonts w:ascii="黑体" w:hAnsi="黑体" w:eastAsia="黑体" w:cs="宋体"/>
                <w:sz w:val="24"/>
                <w:highlight w:val="none"/>
              </w:rPr>
              <w:t xml:space="preserve">（元）</w:t>
            </w:r>
            <w:r>
              <w:rPr>
                <w:highlight w:val="none"/>
              </w:rPr>
            </w:r>
            <w:r/>
          </w:p>
        </w:tc>
        <w:tc>
          <w:tcPr>
            <w:tcBorders>
              <w:top w:val="single" w:color="000000" w:sz="4" w:space="0"/>
              <w:left w:val="none" w:color="000000" w:sz="4" w:space="0"/>
              <w:bottom w:val="single" w:color="000000" w:sz="4" w:space="0"/>
              <w:right w:val="single" w:color="000000" w:sz="4" w:space="0"/>
            </w:tcBorders>
            <w:tcW w:w="1307" w:type="dxa"/>
            <w:vAlign w:val="top"/>
            <w:textDirection w:val="lrTb"/>
            <w:noWrap w:val="false"/>
          </w:tcPr>
          <w:p>
            <w:pPr>
              <w:pStyle w:val="1008"/>
              <w:widowControl/>
              <w:rPr>
                <w:rFonts w:ascii="黑体" w:hAnsi="黑体" w:eastAsia="黑体" w:cs="宋体"/>
                <w:sz w:val="24"/>
                <w:highlight w:val="none"/>
              </w:rPr>
            </w:pPr>
            <w:r>
              <w:rPr>
                <w:rFonts w:ascii="黑体" w:hAnsi="黑体" w:eastAsia="黑体" w:cs="宋体"/>
                <w:sz w:val="24"/>
                <w:highlight w:val="none"/>
              </w:rPr>
            </w:r>
            <w:r>
              <w:rPr>
                <w:highlight w:val="none"/>
              </w:rPr>
            </w:r>
            <w:r/>
          </w:p>
          <w:p>
            <w:pPr>
              <w:pStyle w:val="1008"/>
              <w:jc w:val="center"/>
              <w:widowControl/>
              <w:rPr>
                <w:rFonts w:ascii="黑体" w:hAnsi="黑体" w:eastAsia="黑体" w:cs="宋体"/>
                <w:sz w:val="24"/>
                <w:highlight w:val="none"/>
              </w:rPr>
            </w:pPr>
            <w:r>
              <w:rPr>
                <w:rFonts w:ascii="黑体" w:hAnsi="黑体" w:eastAsia="黑体" w:cs="宋体"/>
                <w:sz w:val="24"/>
                <w:highlight w:val="none"/>
              </w:rPr>
              <w:t xml:space="preserve">备注</w:t>
            </w:r>
            <w:r>
              <w:rPr>
                <w:highlight w:val="none"/>
              </w:rPr>
            </w:r>
            <w:r/>
          </w:p>
        </w:tc>
      </w:tr>
      <w:tr>
        <w:trPr>
          <w:trHeight w:val="375"/>
        </w:trPr>
        <w:tc>
          <w:tcPr>
            <w:tcBorders>
              <w:top w:val="non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1</w:t>
            </w:r>
            <w:r>
              <w:rPr>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restart"/>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一般排水户</w:t>
            </w:r>
            <w:r>
              <w:rPr>
                <w:highlight w:val="none"/>
              </w:rPr>
            </w:r>
            <w:r/>
          </w:p>
          <w:p>
            <w:pPr>
              <w:pStyle w:val="1008"/>
              <w:jc w:val="center"/>
              <w:widowControl/>
              <w:rPr>
                <w:rFonts w:ascii="宋体" w:hAnsi="宋体" w:cs="宋体"/>
                <w:b/>
                <w:sz w:val="22"/>
                <w:highlight w:val="none"/>
              </w:rPr>
            </w:pPr>
            <w:r>
              <w:rPr>
                <w:rFonts w:hint="eastAsia" w:ascii="宋体" w:hAnsi="宋体" w:cs="宋体"/>
                <w:b/>
                <w:sz w:val="22"/>
                <w:highlight w:val="none"/>
              </w:rPr>
              <w:t xml:space="preserve">40</w:t>
            </w:r>
            <w:r>
              <w:rPr>
                <w:rFonts w:ascii="宋体" w:hAnsi="宋体" w:cs="宋体"/>
                <w:b/>
                <w:sz w:val="22"/>
                <w:highlight w:val="none"/>
              </w:rPr>
              <w:t xml:space="preserve">户</w:t>
            </w:r>
            <w:r>
              <w:rPr>
                <w:highlight w:val="none"/>
              </w:rPr>
            </w:r>
            <w:r/>
          </w:p>
          <w:p>
            <w:pPr>
              <w:pStyle w:val="1008"/>
              <w:jc w:val="center"/>
              <w:widowControl/>
              <w:rPr>
                <w:rFonts w:ascii="宋体" w:hAnsi="宋体" w:cs="宋体"/>
                <w:b/>
                <w:sz w:val="22"/>
                <w:highlight w:val="none"/>
              </w:rPr>
            </w:pPr>
            <w:r>
              <w:rPr>
                <w:rFonts w:ascii="宋体" w:hAnsi="宋体" w:cs="宋体"/>
                <w:b/>
                <w:sz w:val="22"/>
                <w:highlight w:val="none"/>
              </w:rPr>
              <w:t xml:space="preserve">（一年1次）</w:t>
            </w:r>
            <w:r>
              <w:rPr>
                <w:highlight w:val="none"/>
              </w:rPr>
            </w:r>
            <w:r/>
          </w:p>
          <w:p>
            <w:pPr>
              <w:pStyle w:val="1008"/>
              <w:jc w:val="center"/>
              <w:widowControl/>
              <w:rPr>
                <w:rFonts w:hint="eastAsia" w:ascii="宋体" w:hAnsi="宋体" w:cs="宋体"/>
                <w:b/>
                <w:sz w:val="22"/>
                <w:highlight w:val="none"/>
              </w:rPr>
            </w:pPr>
            <w:r>
              <w:rPr>
                <w:rFonts w:hint="eastAsia" w:ascii="宋体" w:hAnsi="宋体" w:cs="宋体"/>
                <w:sz w:val="22"/>
                <w:highlight w:val="none"/>
              </w:rPr>
              <w:t xml:space="preserve">重点排水户</w:t>
            </w:r>
            <w:r>
              <w:rPr>
                <w:highlight w:val="none"/>
              </w:rPr>
            </w:r>
            <w:r/>
          </w:p>
          <w:p>
            <w:pPr>
              <w:pStyle w:val="1008"/>
              <w:jc w:val="center"/>
              <w:widowControl/>
              <w:rPr>
                <w:rFonts w:hint="eastAsia" w:ascii="宋体" w:hAnsi="宋体" w:cs="宋体"/>
                <w:b/>
                <w:sz w:val="22"/>
                <w:highlight w:val="none"/>
              </w:rPr>
            </w:pPr>
            <w:r>
              <w:rPr>
                <w:rFonts w:hint="eastAsia" w:ascii="宋体" w:hAnsi="宋体" w:cs="宋体"/>
                <w:b/>
                <w:sz w:val="22"/>
                <w:highlight w:val="none"/>
              </w:rPr>
              <w:t xml:space="preserve">65户</w:t>
            </w:r>
            <w:r>
              <w:rPr>
                <w:highlight w:val="none"/>
              </w:rPr>
            </w:r>
            <w:r/>
          </w:p>
          <w:p>
            <w:pPr>
              <w:pStyle w:val="1008"/>
              <w:jc w:val="center"/>
              <w:widowControl/>
              <w:rPr>
                <w:rFonts w:ascii="宋体" w:hAnsi="宋体" w:cs="宋体"/>
                <w:b/>
                <w:sz w:val="22"/>
                <w:highlight w:val="none"/>
              </w:rPr>
            </w:pPr>
            <w:r>
              <w:rPr>
                <w:rFonts w:hint="eastAsia" w:ascii="宋体" w:hAnsi="宋体" w:cs="宋体"/>
                <w:b/>
                <w:sz w:val="22"/>
                <w:highlight w:val="none"/>
              </w:rPr>
              <w:t xml:space="preserve">（一年2次）</w:t>
            </w:r>
            <w:r>
              <w:rPr>
                <w:highlight w:val="none"/>
              </w:rPr>
            </w:r>
            <w:r/>
          </w:p>
          <w:p>
            <w:pPr>
              <w:pStyle w:val="1008"/>
              <w:jc w:val="center"/>
              <w:widowControl/>
              <w:rPr>
                <w:rFonts w:ascii="宋体" w:hAnsi="宋体" w:cs="宋体"/>
                <w:sz w:val="22"/>
                <w:highlight w:val="none"/>
              </w:rPr>
            </w:pPr>
            <w:r>
              <w:rPr>
                <w:rFonts w:ascii="宋体" w:hAnsi="宋体" w:cs="宋体"/>
                <w:sz w:val="22"/>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COD</w:t>
            </w:r>
            <w:r>
              <w:rPr>
                <w:highlight w:val="none"/>
              </w:rPr>
            </w:r>
            <w:r/>
          </w:p>
        </w:tc>
        <w:tc>
          <w:tcPr>
            <w:tcBorders>
              <w:top w:val="none" w:color="000000" w:sz="4" w:space="0"/>
              <w:left w:val="none" w:color="000000" w:sz="4" w:space="0"/>
              <w:bottom w:val="none" w:color="000000" w:sz="0" w:space="0"/>
              <w:right w:val="single" w:color="000000" w:sz="4" w:space="0"/>
            </w:tcBorders>
            <w:tcW w:w="3104" w:type="dxa"/>
            <w:vAlign w:val="center"/>
            <w:vMerge w:val="restart"/>
            <w:textDirection w:val="lrTb"/>
            <w:noWrap/>
          </w:tcPr>
          <w:p>
            <w:pPr>
              <w:pStyle w:val="1008"/>
              <w:jc w:val="center"/>
              <w:widowControl/>
              <w:rPr>
                <w:rFonts w:ascii="宋体" w:hAnsi="宋体" w:cs="宋体"/>
                <w:sz w:val="22"/>
                <w:highlight w:val="none"/>
              </w:rPr>
            </w:pPr>
            <w:r>
              <w:rPr>
                <w:rFonts w:ascii="宋体" w:hAnsi="宋体" w:cs="宋体"/>
                <w:sz w:val="22"/>
                <w:highlight w:val="none"/>
              </w:rPr>
            </w:r>
            <w:r>
              <w:rPr>
                <w:highlight w:val="none"/>
              </w:rPr>
            </w:r>
            <w:r/>
          </w:p>
          <w:p>
            <w:pPr>
              <w:pStyle w:val="1008"/>
              <w:jc w:val="center"/>
              <w:widowControl/>
              <w:rPr>
                <w:rFonts w:ascii="宋体" w:hAnsi="宋体" w:cs="宋体"/>
                <w:sz w:val="22"/>
                <w:highlight w:val="none"/>
                <w:u w:val="single"/>
              </w:rPr>
            </w:pPr>
            <w:r>
              <w:rPr>
                <w:rFonts w:hint="eastAsia" w:ascii="宋体" w:hAnsi="宋体" w:cs="宋体"/>
                <w:sz w:val="22"/>
                <w:highlight w:val="none"/>
              </w:rPr>
              <w:t xml:space="preserve">（        元）</w:t>
            </w:r>
            <w:r>
              <w:rPr>
                <w:highlight w:val="none"/>
              </w:rPr>
            </w:r>
            <w:r/>
          </w:p>
          <w:p>
            <w:pPr>
              <w:pStyle w:val="1008"/>
              <w:jc w:val="center"/>
              <w:widowControl/>
              <w:rPr>
                <w:rFonts w:ascii="宋体" w:hAnsi="宋体" w:cs="宋体"/>
                <w:sz w:val="22"/>
                <w:highlight w:val="none"/>
              </w:rPr>
            </w:pPr>
            <w:r>
              <w:rPr>
                <w:rFonts w:ascii="宋体" w:hAnsi="宋体" w:cs="宋体"/>
                <w:sz w:val="22"/>
                <w:highlight w:val="none"/>
              </w:rPr>
              <w:t xml:space="preserve">（</w:t>
            </w:r>
            <w:r>
              <w:rPr>
                <w:rFonts w:hint="eastAsia" w:ascii="宋体" w:hAnsi="宋体" w:cs="宋体"/>
                <w:sz w:val="22"/>
                <w:highlight w:val="none"/>
              </w:rPr>
              <w:t xml:space="preserve">注：该项填写170</w:t>
            </w:r>
            <w:r>
              <w:rPr>
                <w:rFonts w:ascii="宋体" w:hAnsi="宋体" w:cs="宋体"/>
                <w:sz w:val="22"/>
                <w:highlight w:val="none"/>
              </w:rPr>
              <w:t xml:space="preserve">次总价）</w:t>
            </w:r>
            <w:r>
              <w:rPr>
                <w:highlight w:val="none"/>
              </w:rPr>
            </w:r>
            <w:r/>
          </w:p>
        </w:tc>
        <w:tc>
          <w:tcPr>
            <w:tcBorders>
              <w:top w:val="none" w:color="000000" w:sz="4" w:space="0"/>
              <w:left w:val="none" w:color="000000" w:sz="4" w:space="0"/>
              <w:bottom w:val="none" w:color="000000" w:sz="0" w:space="0"/>
              <w:right w:val="single" w:color="000000" w:sz="4" w:space="0"/>
            </w:tcBorders>
            <w:tcW w:w="1307" w:type="dxa"/>
            <w:vAlign w:val="top"/>
            <w:vMerge w:val="restart"/>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rPr>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BOD5</w:t>
            </w:r>
            <w:r>
              <w:rPr>
                <w:highlight w:val="none"/>
              </w:rPr>
            </w:r>
            <w:r/>
          </w:p>
        </w:tc>
        <w:tc>
          <w:tcPr>
            <w:tcBorders>
              <w:top w:val="none" w:color="000000" w:sz="0" w:space="0"/>
              <w:left w:val="none" w:color="000000" w:sz="4" w:space="0"/>
              <w:bottom w:val="none" w:color="000000" w:sz="0" w:space="0"/>
              <w:right w:val="single" w:color="000000" w:sz="4" w:space="0"/>
            </w:tcBorders>
            <w:tcW w:w="3104" w:type="dxa"/>
            <w:vAlign w:val="center"/>
            <w:vMerge w:val="continue"/>
            <w:textDirection w:val="lrTb"/>
            <w:noWrap/>
          </w:tcPr>
          <w:p>
            <w:pPr>
              <w:pStyle w:val="1008"/>
              <w:jc w:val="left"/>
              <w:rPr>
                <w:rFonts w:ascii="宋体" w:hAnsi="宋体" w:cs="宋体"/>
                <w:sz w:val="22"/>
                <w:highlight w:val="none"/>
              </w:rPr>
            </w:pPr>
            <w:r>
              <w:rPr>
                <w:rFonts w:ascii="宋体" w:hAnsi="宋体" w:cs="宋体"/>
                <w:sz w:val="22"/>
                <w:highlight w:val="none"/>
              </w:rPr>
            </w:r>
            <w:r/>
          </w:p>
        </w:tc>
        <w:tc>
          <w:tcPr>
            <w:tcBorders>
              <w:top w:val="none" w:color="000000" w:sz="0" w:space="0"/>
              <w:left w:val="none" w:color="000000" w:sz="4" w:space="0"/>
              <w:bottom w:val="none" w:color="000000" w:sz="0"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SS</w:t>
            </w:r>
            <w:r>
              <w:rPr>
                <w:highlight w:val="none"/>
              </w:rPr>
            </w:r>
            <w:r/>
          </w:p>
        </w:tc>
        <w:tc>
          <w:tcPr>
            <w:tcBorders>
              <w:top w:val="none" w:color="000000" w:sz="0" w:space="0"/>
              <w:left w:val="none" w:color="000000" w:sz="4" w:space="0"/>
              <w:bottom w:val="none" w:color="000000" w:sz="0" w:space="0"/>
              <w:right w:val="single" w:color="000000" w:sz="4" w:space="0"/>
            </w:tcBorders>
            <w:tcW w:w="3104" w:type="dxa"/>
            <w:vAlign w:val="center"/>
            <w:vMerge w:val="continue"/>
            <w:textDirection w:val="lrTb"/>
            <w:noWrap/>
          </w:tcPr>
          <w:p>
            <w:pPr>
              <w:pStyle w:val="1008"/>
              <w:jc w:val="left"/>
              <w:rPr>
                <w:rFonts w:ascii="宋体" w:hAnsi="宋体" w:cs="宋体"/>
                <w:sz w:val="22"/>
                <w:highlight w:val="none"/>
              </w:rPr>
            </w:pPr>
            <w:r>
              <w:rPr>
                <w:rFonts w:ascii="宋体" w:hAnsi="宋体" w:cs="宋体"/>
                <w:sz w:val="22"/>
                <w:highlight w:val="none"/>
              </w:rPr>
            </w:r>
            <w:r/>
          </w:p>
        </w:tc>
        <w:tc>
          <w:tcPr>
            <w:tcBorders>
              <w:top w:val="none" w:color="000000" w:sz="0" w:space="0"/>
              <w:left w:val="none" w:color="000000" w:sz="4" w:space="0"/>
              <w:bottom w:val="none" w:color="000000" w:sz="0"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PH</w:t>
            </w:r>
            <w:r>
              <w:rPr>
                <w:highlight w:val="none"/>
              </w:rPr>
            </w:r>
            <w:r/>
          </w:p>
        </w:tc>
        <w:tc>
          <w:tcPr>
            <w:tcBorders>
              <w:top w:val="none" w:color="000000" w:sz="0" w:space="0"/>
              <w:left w:val="none" w:color="000000" w:sz="4" w:space="0"/>
              <w:bottom w:val="none" w:color="000000" w:sz="0" w:space="0"/>
              <w:right w:val="single" w:color="000000" w:sz="4" w:space="0"/>
            </w:tcBorders>
            <w:tcW w:w="3104" w:type="dxa"/>
            <w:vAlign w:val="center"/>
            <w:vMerge w:val="continue"/>
            <w:textDirection w:val="lrTb"/>
            <w:noWrap/>
          </w:tcPr>
          <w:p>
            <w:pPr>
              <w:pStyle w:val="1008"/>
              <w:jc w:val="left"/>
              <w:rPr>
                <w:rFonts w:ascii="宋体" w:hAnsi="宋体" w:cs="宋体"/>
                <w:sz w:val="22"/>
                <w:highlight w:val="none"/>
              </w:rPr>
            </w:pPr>
            <w:r>
              <w:rPr>
                <w:rFonts w:ascii="宋体" w:hAnsi="宋体" w:cs="宋体"/>
                <w:sz w:val="22"/>
                <w:highlight w:val="none"/>
              </w:rPr>
            </w:r>
            <w:r/>
          </w:p>
        </w:tc>
        <w:tc>
          <w:tcPr>
            <w:tcBorders>
              <w:top w:val="none" w:color="000000" w:sz="0" w:space="0"/>
              <w:left w:val="none" w:color="000000" w:sz="4" w:space="0"/>
              <w:bottom w:val="none" w:color="000000" w:sz="0"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氨氮</w:t>
            </w:r>
            <w:r>
              <w:rPr>
                <w:highlight w:val="none"/>
              </w:rPr>
            </w:r>
            <w:r/>
          </w:p>
        </w:tc>
        <w:tc>
          <w:tcPr>
            <w:tcBorders>
              <w:top w:val="none" w:color="000000" w:sz="0" w:space="0"/>
              <w:left w:val="none" w:color="000000" w:sz="4" w:space="0"/>
              <w:bottom w:val="none" w:color="000000" w:sz="0" w:space="0"/>
              <w:right w:val="single" w:color="000000" w:sz="4" w:space="0"/>
            </w:tcBorders>
            <w:tcW w:w="3104" w:type="dxa"/>
            <w:vAlign w:val="center"/>
            <w:vMerge w:val="continue"/>
            <w:textDirection w:val="lrTb"/>
            <w:noWrap/>
          </w:tcPr>
          <w:p>
            <w:pPr>
              <w:pStyle w:val="1008"/>
              <w:jc w:val="left"/>
              <w:rPr>
                <w:rFonts w:ascii="宋体" w:hAnsi="宋体" w:cs="宋体"/>
                <w:sz w:val="22"/>
                <w:highlight w:val="none"/>
              </w:rPr>
            </w:pPr>
            <w:r>
              <w:rPr>
                <w:rFonts w:ascii="宋体" w:hAnsi="宋体" w:cs="宋体"/>
                <w:sz w:val="22"/>
                <w:highlight w:val="none"/>
              </w:rPr>
            </w:r>
            <w:r/>
          </w:p>
        </w:tc>
        <w:tc>
          <w:tcPr>
            <w:tcBorders>
              <w:top w:val="none" w:color="000000" w:sz="0" w:space="0"/>
              <w:left w:val="none" w:color="000000" w:sz="4" w:space="0"/>
              <w:bottom w:val="none" w:color="000000" w:sz="0"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总磷</w:t>
            </w:r>
            <w:r>
              <w:rPr>
                <w:highlight w:val="none"/>
              </w:rPr>
            </w:r>
            <w:r/>
          </w:p>
        </w:tc>
        <w:tc>
          <w:tcPr>
            <w:tcBorders>
              <w:top w:val="none" w:color="000000" w:sz="0" w:space="0"/>
              <w:left w:val="none" w:color="000000" w:sz="4" w:space="0"/>
              <w:bottom w:val="none" w:color="000000" w:sz="0" w:space="0"/>
              <w:right w:val="single" w:color="000000" w:sz="4" w:space="0"/>
            </w:tcBorders>
            <w:tcW w:w="3104" w:type="dxa"/>
            <w:vAlign w:val="center"/>
            <w:vMerge w:val="continue"/>
            <w:textDirection w:val="lrTb"/>
            <w:noWrap/>
          </w:tcPr>
          <w:p>
            <w:pPr>
              <w:pStyle w:val="1008"/>
              <w:jc w:val="left"/>
              <w:rPr>
                <w:rFonts w:ascii="宋体" w:hAnsi="宋体" w:cs="宋体"/>
                <w:sz w:val="22"/>
                <w:highlight w:val="none"/>
              </w:rPr>
            </w:pPr>
            <w:r>
              <w:rPr>
                <w:rFonts w:ascii="宋体" w:hAnsi="宋体" w:cs="宋体"/>
                <w:sz w:val="22"/>
                <w:highlight w:val="none"/>
              </w:rPr>
            </w:r>
            <w:r/>
          </w:p>
        </w:tc>
        <w:tc>
          <w:tcPr>
            <w:tcBorders>
              <w:top w:val="none" w:color="000000" w:sz="0" w:space="0"/>
              <w:left w:val="none" w:color="000000" w:sz="4" w:space="0"/>
              <w:bottom w:val="none" w:color="000000" w:sz="0"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动植物油</w:t>
            </w:r>
            <w:r>
              <w:rPr>
                <w:highlight w:val="none"/>
              </w:rPr>
            </w:r>
            <w:r/>
          </w:p>
        </w:tc>
        <w:tc>
          <w:tcPr>
            <w:tcBorders>
              <w:top w:val="none" w:color="000000" w:sz="0" w:space="0"/>
              <w:left w:val="none" w:color="000000" w:sz="4" w:space="0"/>
              <w:bottom w:val="single" w:color="000000" w:sz="4" w:space="0"/>
              <w:right w:val="single" w:color="000000" w:sz="4" w:space="0"/>
            </w:tcBorders>
            <w:tcW w:w="3104" w:type="dxa"/>
            <w:vAlign w:val="center"/>
            <w:vMerge w:val="continue"/>
            <w:textDirection w:val="lrTb"/>
            <w:noWrap/>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0" w:space="0"/>
              <w:left w:val="none" w:color="000000" w:sz="4" w:space="0"/>
              <w:bottom w:val="single" w:color="000000" w:sz="4"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2</w:t>
            </w:r>
            <w:r>
              <w:rPr>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restart"/>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医疗类排水户</w:t>
            </w:r>
            <w:r>
              <w:rPr>
                <w:highlight w:val="none"/>
              </w:rPr>
            </w:r>
            <w:r/>
          </w:p>
          <w:p>
            <w:pPr>
              <w:pStyle w:val="1008"/>
              <w:jc w:val="center"/>
              <w:widowControl/>
              <w:rPr>
                <w:rFonts w:ascii="宋体" w:hAnsi="宋体" w:cs="宋体"/>
                <w:b/>
                <w:sz w:val="22"/>
                <w:highlight w:val="none"/>
              </w:rPr>
            </w:pPr>
            <w:r>
              <w:rPr>
                <w:rFonts w:hint="eastAsia" w:ascii="宋体" w:hAnsi="宋体" w:cs="宋体"/>
                <w:b/>
                <w:sz w:val="22"/>
                <w:highlight w:val="none"/>
              </w:rPr>
              <w:t xml:space="preserve">75</w:t>
            </w:r>
            <w:r>
              <w:rPr>
                <w:rFonts w:ascii="宋体" w:hAnsi="宋体" w:cs="宋体"/>
                <w:b/>
                <w:sz w:val="22"/>
                <w:highlight w:val="none"/>
              </w:rPr>
              <w:t xml:space="preserve">户</w:t>
            </w:r>
            <w:r>
              <w:rPr>
                <w:highlight w:val="none"/>
              </w:rPr>
            </w:r>
            <w:r/>
          </w:p>
          <w:p>
            <w:pPr>
              <w:pStyle w:val="1008"/>
              <w:jc w:val="center"/>
              <w:widowControl/>
              <w:rPr>
                <w:rFonts w:ascii="宋体" w:hAnsi="宋体" w:cs="宋体"/>
                <w:sz w:val="22"/>
                <w:highlight w:val="none"/>
              </w:rPr>
            </w:pPr>
            <w:r>
              <w:rPr>
                <w:rFonts w:ascii="宋体" w:hAnsi="宋体" w:cs="宋体"/>
                <w:b/>
                <w:sz w:val="22"/>
                <w:highlight w:val="none"/>
              </w:rPr>
              <w:t xml:space="preserve">（一年2次）</w:t>
            </w:r>
            <w:r>
              <w:rPr>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氨氮</w:t>
            </w:r>
            <w:r>
              <w:rPr>
                <w:highlight w:val="none"/>
              </w:rPr>
            </w:r>
            <w:r/>
          </w:p>
        </w:tc>
        <w:tc>
          <w:tcPr>
            <w:tcBorders>
              <w:top w:val="none" w:color="000000" w:sz="4" w:space="0"/>
              <w:left w:val="none" w:color="000000" w:sz="4" w:space="0"/>
              <w:bottom w:val="none" w:color="000000" w:sz="0" w:space="0"/>
              <w:right w:val="single" w:color="000000" w:sz="4" w:space="0"/>
            </w:tcBorders>
            <w:tcW w:w="3104" w:type="dxa"/>
            <w:vAlign w:val="center"/>
            <w:vMerge w:val="restart"/>
            <w:textDirection w:val="lrTb"/>
            <w:noWrap/>
          </w:tcPr>
          <w:p>
            <w:pPr>
              <w:pStyle w:val="1008"/>
              <w:jc w:val="center"/>
              <w:widowControl/>
              <w:rPr>
                <w:rFonts w:ascii="宋体" w:hAnsi="宋体" w:cs="宋体"/>
                <w:sz w:val="22"/>
                <w:highlight w:val="none"/>
              </w:rPr>
            </w:pPr>
            <w:r>
              <w:rPr>
                <w:rFonts w:ascii="宋体" w:hAnsi="宋体" w:cs="宋体"/>
                <w:sz w:val="22"/>
                <w:highlight w:val="none"/>
              </w:rPr>
            </w:r>
            <w:r>
              <w:rPr>
                <w:highlight w:val="none"/>
              </w:rPr>
            </w:r>
            <w:r/>
          </w:p>
          <w:p>
            <w:pPr>
              <w:pStyle w:val="1008"/>
              <w:jc w:val="center"/>
              <w:widowControl/>
              <w:rPr>
                <w:rFonts w:ascii="宋体" w:hAnsi="宋体" w:cs="宋体"/>
                <w:sz w:val="22"/>
                <w:highlight w:val="none"/>
              </w:rPr>
            </w:pPr>
            <w:r>
              <w:rPr>
                <w:rFonts w:ascii="宋体" w:hAnsi="宋体" w:cs="宋体"/>
                <w:sz w:val="22"/>
                <w:highlight w:val="none"/>
              </w:rPr>
            </w:r>
            <w:r>
              <w:rPr>
                <w:highlight w:val="none"/>
              </w:rPr>
            </w:r>
            <w:r/>
          </w:p>
          <w:p>
            <w:pPr>
              <w:pStyle w:val="1008"/>
              <w:jc w:val="center"/>
              <w:widowControl/>
              <w:rPr>
                <w:rFonts w:ascii="宋体" w:hAnsi="宋体" w:cs="宋体"/>
                <w:sz w:val="22"/>
                <w:highlight w:val="none"/>
              </w:rPr>
            </w:pPr>
            <w:r>
              <w:rPr>
                <w:rFonts w:ascii="宋体" w:hAnsi="宋体" w:cs="宋体"/>
                <w:sz w:val="22"/>
                <w:highlight w:val="none"/>
              </w:rPr>
            </w:r>
            <w:r>
              <w:rPr>
                <w:highlight w:val="none"/>
              </w:rPr>
            </w:r>
            <w:r/>
          </w:p>
          <w:p>
            <w:pPr>
              <w:pStyle w:val="1008"/>
              <w:jc w:val="center"/>
              <w:widowControl/>
              <w:rPr>
                <w:rFonts w:ascii="宋体" w:hAnsi="宋体" w:cs="宋体"/>
                <w:sz w:val="22"/>
                <w:highlight w:val="none"/>
              </w:rPr>
            </w:pPr>
            <w:r>
              <w:rPr>
                <w:rFonts w:ascii="宋体" w:hAnsi="宋体" w:cs="宋体"/>
                <w:sz w:val="22"/>
                <w:highlight w:val="none"/>
              </w:rPr>
            </w:r>
            <w:r>
              <w:rPr>
                <w:highlight w:val="none"/>
              </w:rPr>
            </w:r>
            <w:r/>
          </w:p>
          <w:p>
            <w:pPr>
              <w:pStyle w:val="1008"/>
              <w:jc w:val="center"/>
              <w:widowControl/>
              <w:rPr>
                <w:rFonts w:ascii="宋体" w:hAnsi="宋体" w:cs="宋体"/>
                <w:sz w:val="22"/>
                <w:highlight w:val="none"/>
              </w:rPr>
            </w:pPr>
            <w:r>
              <w:rPr>
                <w:rFonts w:ascii="宋体" w:hAnsi="宋体" w:cs="宋体"/>
                <w:sz w:val="22"/>
                <w:highlight w:val="none"/>
              </w:rPr>
            </w:r>
            <w:r>
              <w:rPr>
                <w:highlight w:val="none"/>
              </w:rPr>
            </w:r>
            <w:r/>
          </w:p>
          <w:p>
            <w:pPr>
              <w:pStyle w:val="1008"/>
              <w:jc w:val="center"/>
              <w:widowControl/>
              <w:rPr>
                <w:rFonts w:ascii="宋体" w:hAnsi="宋体" w:cs="宋体"/>
                <w:sz w:val="22"/>
                <w:highlight w:val="none"/>
                <w:u w:val="single"/>
              </w:rPr>
            </w:pPr>
            <w:r>
              <w:rPr>
                <w:rFonts w:hint="eastAsia" w:ascii="宋体" w:hAnsi="宋体" w:cs="宋体"/>
                <w:sz w:val="22"/>
                <w:highlight w:val="none"/>
              </w:rPr>
              <w:t xml:space="preserve">（          元）</w:t>
            </w:r>
            <w:r>
              <w:rPr>
                <w:highlight w:val="none"/>
              </w:rPr>
            </w:r>
            <w:r/>
          </w:p>
          <w:p>
            <w:pPr>
              <w:pStyle w:val="1008"/>
              <w:jc w:val="center"/>
              <w:widowControl/>
              <w:rPr>
                <w:rFonts w:ascii="宋体" w:hAnsi="宋体" w:cs="宋体"/>
                <w:sz w:val="22"/>
                <w:highlight w:val="none"/>
              </w:rPr>
            </w:pPr>
            <w:r>
              <w:rPr>
                <w:rFonts w:ascii="宋体" w:hAnsi="宋体" w:cs="宋体"/>
                <w:sz w:val="22"/>
                <w:highlight w:val="none"/>
              </w:rPr>
              <w:t xml:space="preserve">（</w:t>
            </w:r>
            <w:r>
              <w:rPr>
                <w:rFonts w:hint="eastAsia" w:ascii="宋体" w:hAnsi="宋体" w:cs="宋体"/>
                <w:sz w:val="22"/>
                <w:highlight w:val="none"/>
              </w:rPr>
              <w:t xml:space="preserve">注：该项填写150</w:t>
            </w:r>
            <w:r>
              <w:rPr>
                <w:rFonts w:ascii="宋体" w:hAnsi="宋体" w:cs="宋体"/>
                <w:sz w:val="22"/>
                <w:highlight w:val="none"/>
              </w:rPr>
              <w:t xml:space="preserve">次总价）</w:t>
            </w:r>
            <w:r>
              <w:rPr>
                <w:highlight w:val="none"/>
              </w:rPr>
            </w:r>
            <w:r/>
          </w:p>
          <w:p>
            <w:pPr>
              <w:pStyle w:val="1008"/>
              <w:jc w:val="center"/>
              <w:widowControl/>
              <w:rPr>
                <w:rFonts w:ascii="宋体" w:hAnsi="宋体" w:cs="宋体"/>
                <w:sz w:val="22"/>
                <w:highlight w:val="none"/>
              </w:rPr>
            </w:pPr>
            <w:r>
              <w:rPr>
                <w:rFonts w:ascii="宋体" w:hAnsi="宋体" w:cs="宋体"/>
                <w:sz w:val="22"/>
                <w:highlight w:val="none"/>
              </w:rPr>
            </w:r>
            <w:r>
              <w:rPr>
                <w:highlight w:val="none"/>
              </w:rPr>
            </w:r>
            <w:r/>
          </w:p>
          <w:p>
            <w:pPr>
              <w:pStyle w:val="1008"/>
              <w:jc w:val="center"/>
              <w:widowControl/>
              <w:rPr>
                <w:rFonts w:ascii="宋体" w:hAnsi="宋体" w:cs="宋体"/>
                <w:sz w:val="22"/>
                <w:highlight w:val="none"/>
              </w:rPr>
            </w:pPr>
            <w:r>
              <w:rPr>
                <w:rFonts w:ascii="宋体" w:hAnsi="宋体" w:cs="宋体"/>
                <w:sz w:val="22"/>
                <w:highlight w:val="none"/>
              </w:rPr>
            </w:r>
            <w:r>
              <w:rPr>
                <w:highlight w:val="none"/>
              </w:rPr>
            </w:r>
            <w:r/>
          </w:p>
          <w:p>
            <w:pPr>
              <w:pStyle w:val="1008"/>
              <w:jc w:val="center"/>
              <w:widowControl/>
              <w:rPr>
                <w:rFonts w:ascii="宋体" w:hAnsi="宋体" w:cs="宋体"/>
                <w:sz w:val="22"/>
                <w:highlight w:val="none"/>
              </w:rPr>
            </w:pPr>
            <w:r>
              <w:rPr>
                <w:rFonts w:ascii="宋体" w:hAnsi="宋体" w:cs="宋体"/>
                <w:sz w:val="22"/>
                <w:highlight w:val="none"/>
              </w:rPr>
            </w:r>
            <w:r>
              <w:rPr>
                <w:highlight w:val="none"/>
              </w:rPr>
            </w:r>
            <w:r/>
          </w:p>
          <w:p>
            <w:pPr>
              <w:pStyle w:val="1008"/>
              <w:jc w:val="center"/>
              <w:widowControl/>
              <w:rPr>
                <w:rFonts w:ascii="宋体" w:hAnsi="宋体" w:cs="宋体"/>
                <w:sz w:val="22"/>
                <w:highlight w:val="none"/>
              </w:rPr>
            </w:pPr>
            <w:r>
              <w:rPr>
                <w:rFonts w:ascii="宋体" w:hAnsi="宋体" w:cs="宋体"/>
                <w:sz w:val="22"/>
                <w:highlight w:val="none"/>
              </w:rPr>
            </w:r>
            <w:r>
              <w:rPr>
                <w:highlight w:val="none"/>
              </w:rPr>
            </w:r>
            <w:r/>
          </w:p>
        </w:tc>
        <w:tc>
          <w:tcPr>
            <w:tcBorders>
              <w:top w:val="none" w:color="000000" w:sz="4" w:space="0"/>
              <w:left w:val="none" w:color="000000" w:sz="4" w:space="0"/>
              <w:bottom w:val="none" w:color="000000" w:sz="0" w:space="0"/>
              <w:right w:val="single" w:color="000000" w:sz="4" w:space="0"/>
            </w:tcBorders>
            <w:tcW w:w="1307" w:type="dxa"/>
            <w:vAlign w:val="top"/>
            <w:vMerge w:val="restart"/>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rPr>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粪大肠菌群</w:t>
            </w:r>
            <w:r>
              <w:rPr>
                <w:highlight w:val="none"/>
              </w:rPr>
            </w:r>
            <w:r/>
          </w:p>
        </w:tc>
        <w:tc>
          <w:tcPr>
            <w:tcBorders>
              <w:top w:val="none" w:color="000000" w:sz="0" w:space="0"/>
              <w:left w:val="none" w:color="000000" w:sz="4" w:space="0"/>
              <w:bottom w:val="none" w:color="000000" w:sz="0" w:space="0"/>
              <w:right w:val="single" w:color="000000" w:sz="4" w:space="0"/>
            </w:tcBorders>
            <w:tcW w:w="3104" w:type="dxa"/>
            <w:vAlign w:val="center"/>
            <w:vMerge w:val="continue"/>
            <w:textDirection w:val="lrTb"/>
            <w:noWrap/>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0" w:space="0"/>
              <w:left w:val="none" w:color="000000" w:sz="4" w:space="0"/>
              <w:bottom w:val="none" w:color="000000" w:sz="0"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COD</w:t>
            </w:r>
            <w:r>
              <w:rPr>
                <w:highlight w:val="none"/>
              </w:rPr>
            </w:r>
            <w:r/>
          </w:p>
        </w:tc>
        <w:tc>
          <w:tcPr>
            <w:tcBorders>
              <w:top w:val="none" w:color="000000" w:sz="0" w:space="0"/>
              <w:left w:val="none" w:color="000000" w:sz="4" w:space="0"/>
              <w:bottom w:val="none" w:color="000000" w:sz="0" w:space="0"/>
              <w:right w:val="single" w:color="000000" w:sz="4" w:space="0"/>
            </w:tcBorders>
            <w:tcW w:w="3104" w:type="dxa"/>
            <w:vAlign w:val="center"/>
            <w:vMerge w:val="continue"/>
            <w:textDirection w:val="lrTb"/>
            <w:noWrap/>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0" w:space="0"/>
              <w:left w:val="none" w:color="000000" w:sz="4" w:space="0"/>
              <w:bottom w:val="none" w:color="000000" w:sz="0"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BOD5</w:t>
            </w:r>
            <w:r>
              <w:rPr>
                <w:highlight w:val="none"/>
              </w:rPr>
            </w:r>
            <w:r/>
          </w:p>
        </w:tc>
        <w:tc>
          <w:tcPr>
            <w:tcBorders>
              <w:top w:val="none" w:color="000000" w:sz="0" w:space="0"/>
              <w:left w:val="none" w:color="000000" w:sz="4" w:space="0"/>
              <w:bottom w:val="none" w:color="000000" w:sz="0" w:space="0"/>
              <w:right w:val="single" w:color="000000" w:sz="4" w:space="0"/>
            </w:tcBorders>
            <w:tcW w:w="3104" w:type="dxa"/>
            <w:vAlign w:val="center"/>
            <w:vMerge w:val="continue"/>
            <w:textDirection w:val="lrTb"/>
            <w:noWrap/>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0" w:space="0"/>
              <w:left w:val="none" w:color="000000" w:sz="4" w:space="0"/>
              <w:bottom w:val="none" w:color="000000" w:sz="0"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SS</w:t>
            </w:r>
            <w:r>
              <w:rPr>
                <w:highlight w:val="none"/>
              </w:rPr>
            </w:r>
            <w:r/>
          </w:p>
        </w:tc>
        <w:tc>
          <w:tcPr>
            <w:tcBorders>
              <w:top w:val="none" w:color="000000" w:sz="0" w:space="0"/>
              <w:left w:val="none" w:color="000000" w:sz="4" w:space="0"/>
              <w:bottom w:val="none" w:color="000000" w:sz="0" w:space="0"/>
              <w:right w:val="single" w:color="000000" w:sz="4" w:space="0"/>
            </w:tcBorders>
            <w:tcW w:w="3104" w:type="dxa"/>
            <w:vAlign w:val="center"/>
            <w:vMerge w:val="continue"/>
            <w:textDirection w:val="lrTb"/>
            <w:noWrap/>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0" w:space="0"/>
              <w:left w:val="none" w:color="000000" w:sz="4" w:space="0"/>
              <w:bottom w:val="none" w:color="000000" w:sz="0"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t xml:space="preserve">动植物油</w:t>
            </w:r>
            <w:r>
              <w:rPr>
                <w:highlight w:val="none"/>
              </w:rPr>
            </w:r>
            <w:r/>
          </w:p>
        </w:tc>
        <w:tc>
          <w:tcPr>
            <w:tcBorders>
              <w:top w:val="none" w:color="000000" w:sz="0" w:space="0"/>
              <w:left w:val="none" w:color="000000" w:sz="4" w:space="0"/>
              <w:bottom w:val="none" w:color="000000" w:sz="0" w:space="0"/>
              <w:right w:val="single" w:color="000000" w:sz="4" w:space="0"/>
            </w:tcBorders>
            <w:tcW w:w="3104" w:type="dxa"/>
            <w:vAlign w:val="center"/>
            <w:vMerge w:val="continue"/>
            <w:textDirection w:val="lrTb"/>
            <w:noWrap/>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0" w:space="0"/>
              <w:left w:val="none" w:color="000000" w:sz="4" w:space="0"/>
              <w:bottom w:val="none" w:color="000000" w:sz="0"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tcPr>
          <w:p>
            <w:pPr>
              <w:pStyle w:val="1008"/>
              <w:jc w:val="center"/>
              <w:widowControl/>
              <w:rPr>
                <w:rFonts w:ascii="宋体" w:hAnsi="宋体" w:cs="宋体"/>
                <w:sz w:val="22"/>
                <w:highlight w:val="none"/>
              </w:rPr>
            </w:pPr>
            <w:r>
              <w:rPr>
                <w:rFonts w:ascii="宋体" w:hAnsi="宋体" w:cs="宋体"/>
                <w:sz w:val="22"/>
                <w:highlight w:val="none"/>
              </w:rPr>
              <w:t xml:space="preserve">余氯</w:t>
            </w:r>
            <w:r>
              <w:rPr>
                <w:highlight w:val="none"/>
              </w:rPr>
            </w:r>
            <w:r/>
          </w:p>
        </w:tc>
        <w:tc>
          <w:tcPr>
            <w:tcBorders>
              <w:top w:val="none" w:color="000000" w:sz="0" w:space="0"/>
              <w:left w:val="none" w:color="000000" w:sz="4" w:space="0"/>
              <w:bottom w:val="none" w:color="000000" w:sz="0" w:space="0"/>
              <w:right w:val="single" w:color="000000" w:sz="4" w:space="0"/>
            </w:tcBorders>
            <w:tcW w:w="3104" w:type="dxa"/>
            <w:vAlign w:val="center"/>
            <w:vMerge w:val="continue"/>
            <w:textDirection w:val="lrTb"/>
            <w:noWrap/>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0" w:space="0"/>
              <w:left w:val="none" w:color="000000" w:sz="4" w:space="0"/>
              <w:bottom w:val="none" w:color="000000" w:sz="0"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tcPr>
          <w:p>
            <w:pPr>
              <w:pStyle w:val="1008"/>
              <w:jc w:val="center"/>
              <w:widowControl/>
              <w:rPr>
                <w:rFonts w:ascii="宋体" w:hAnsi="宋体" w:cs="宋体"/>
                <w:sz w:val="22"/>
                <w:highlight w:val="none"/>
              </w:rPr>
            </w:pPr>
            <w:r>
              <w:rPr>
                <w:rFonts w:ascii="宋体" w:hAnsi="宋体" w:cs="宋体"/>
                <w:sz w:val="22"/>
                <w:highlight w:val="none"/>
              </w:rPr>
              <w:t xml:space="preserve">PH</w:t>
            </w:r>
            <w:r>
              <w:rPr>
                <w:highlight w:val="none"/>
              </w:rPr>
            </w:r>
            <w:r/>
          </w:p>
        </w:tc>
        <w:tc>
          <w:tcPr>
            <w:tcBorders>
              <w:top w:val="none" w:color="000000" w:sz="0" w:space="0"/>
              <w:left w:val="none" w:color="000000" w:sz="4" w:space="0"/>
              <w:bottom w:val="none" w:color="000000" w:sz="0" w:space="0"/>
              <w:right w:val="single" w:color="000000" w:sz="4" w:space="0"/>
            </w:tcBorders>
            <w:tcW w:w="3104" w:type="dxa"/>
            <w:vAlign w:val="center"/>
            <w:vMerge w:val="continue"/>
            <w:textDirection w:val="lrTb"/>
            <w:noWrap/>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0" w:space="0"/>
              <w:left w:val="none" w:color="000000" w:sz="4" w:space="0"/>
              <w:bottom w:val="none" w:color="000000" w:sz="0"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4" w:space="0"/>
              <w:left w:val="none" w:color="000000" w:sz="4" w:space="0"/>
              <w:bottom w:val="single" w:color="000000" w:sz="4" w:space="0"/>
              <w:right w:val="single" w:color="000000" w:sz="4" w:space="0"/>
            </w:tcBorders>
            <w:tcW w:w="1650" w:type="dxa"/>
            <w:vAlign w:val="center"/>
            <w:textDirection w:val="lrTb"/>
            <w:noWrap/>
          </w:tcPr>
          <w:p>
            <w:pPr>
              <w:pStyle w:val="1008"/>
              <w:jc w:val="center"/>
              <w:widowControl/>
              <w:rPr>
                <w:rFonts w:ascii="宋体" w:hAnsi="宋体" w:cs="宋体"/>
                <w:sz w:val="22"/>
                <w:highlight w:val="none"/>
              </w:rPr>
            </w:pPr>
            <w:r>
              <w:rPr>
                <w:rFonts w:ascii="宋体" w:hAnsi="宋体" w:cs="宋体"/>
                <w:sz w:val="22"/>
                <w:highlight w:val="none"/>
              </w:rPr>
              <w:t xml:space="preserve">总磷</w:t>
            </w:r>
            <w:r>
              <w:rPr>
                <w:highlight w:val="none"/>
              </w:rPr>
            </w:r>
            <w:r/>
          </w:p>
        </w:tc>
        <w:tc>
          <w:tcPr>
            <w:tcBorders>
              <w:top w:val="none" w:color="000000" w:sz="0" w:space="0"/>
              <w:left w:val="none" w:color="000000" w:sz="4" w:space="0"/>
              <w:bottom w:val="single" w:color="000000" w:sz="4" w:space="0"/>
              <w:right w:val="single" w:color="000000" w:sz="4" w:space="0"/>
            </w:tcBorders>
            <w:tcW w:w="3104" w:type="dxa"/>
            <w:vAlign w:val="center"/>
            <w:vMerge w:val="continue"/>
            <w:textDirection w:val="lrTb"/>
            <w:noWrap/>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none" w:color="000000" w:sz="0" w:space="0"/>
              <w:left w:val="none" w:color="000000" w:sz="4" w:space="0"/>
              <w:bottom w:val="single" w:color="000000" w:sz="4"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r>
        <w:trPr>
          <w:trHeight w:val="613"/>
        </w:trPr>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1008"/>
              <w:jc w:val="center"/>
              <w:widowControl/>
              <w:rPr>
                <w:rFonts w:ascii="宋体" w:hAnsi="宋体" w:cs="宋体"/>
                <w:sz w:val="22"/>
                <w:highlight w:val="none"/>
              </w:rPr>
            </w:pPr>
            <w:r>
              <w:rPr>
                <w:rFonts w:ascii="宋体" w:hAnsi="宋体" w:cs="宋体"/>
                <w:sz w:val="22"/>
                <w:highlight w:val="none"/>
              </w:rPr>
              <w:t xml:space="preserve">COD</w:t>
            </w:r>
            <w:r>
              <w:rPr>
                <w:highlight w:val="none"/>
              </w:rPr>
            </w:r>
            <w:r/>
          </w:p>
        </w:tc>
        <w:tc>
          <w:tcPr>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pStyle w:val="1008"/>
              <w:jc w:val="center"/>
              <w:widowControl/>
              <w:rPr>
                <w:rFonts w:hint="eastAsia" w:ascii="宋体" w:hAnsi="宋体" w:cs="宋体"/>
                <w:sz w:val="22"/>
                <w:highlight w:val="none"/>
              </w:rPr>
            </w:pPr>
            <w:r>
              <w:rPr>
                <w:rFonts w:hint="eastAsia" w:ascii="宋体" w:hAnsi="宋体" w:cs="宋体"/>
                <w:sz w:val="22"/>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1623" w:type="dxa"/>
            <w:vAlign w:val="center"/>
            <w:vMerge w:val="restart"/>
            <w:textDirection w:val="lrTb"/>
            <w:noWrap w:val="false"/>
          </w:tcPr>
          <w:p>
            <w:pPr>
              <w:pStyle w:val="1008"/>
              <w:jc w:val="center"/>
              <w:widowControl/>
              <w:rPr>
                <w:rFonts w:ascii="宋体" w:hAnsi="宋体" w:cs="宋体"/>
                <w:sz w:val="22"/>
                <w:highlight w:val="none"/>
              </w:rPr>
            </w:pPr>
            <w:r>
              <w:rPr>
                <w:rFonts w:ascii="宋体" w:hAnsi="宋体" w:cs="宋体"/>
                <w:szCs w:val="21"/>
                <w:highlight w:val="none"/>
              </w:rPr>
              <w:t xml:space="preserve">预留</w:t>
            </w:r>
            <w:r>
              <w:rPr>
                <w:rFonts w:ascii="宋体" w:hAnsi="宋体" w:cs="宋体"/>
                <w:b/>
                <w:szCs w:val="21"/>
                <w:highlight w:val="none"/>
              </w:rPr>
              <w:t xml:space="preserve">2023、2024年</w:t>
            </w:r>
            <w:r>
              <w:rPr>
                <w:rFonts w:ascii="宋体" w:hAnsi="宋体" w:cs="宋体"/>
                <w:szCs w:val="21"/>
                <w:highlight w:val="none"/>
              </w:rPr>
              <w:t xml:space="preserve">新发证排水户、应急执法检测及排水户复测</w:t>
            </w:r>
            <w:r>
              <w:rPr>
                <w:rFonts w:ascii="宋体" w:hAnsi="宋体" w:cs="宋体"/>
                <w:b/>
                <w:sz w:val="22"/>
                <w:highlight w:val="none"/>
              </w:rPr>
              <w:t xml:space="preserve">（按</w:t>
            </w:r>
            <w:r>
              <w:rPr>
                <w:rFonts w:ascii="宋体" w:hAnsi="宋体" w:cs="宋体"/>
                <w:szCs w:val="21"/>
                <w:highlight w:val="none"/>
              </w:rPr>
              <w:t xml:space="preserve">40户，一户一次预估</w:t>
            </w:r>
            <w:r>
              <w:rPr>
                <w:rFonts w:ascii="宋体" w:hAnsi="宋体" w:cs="宋体"/>
                <w:b/>
                <w:sz w:val="22"/>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1008"/>
              <w:jc w:val="center"/>
              <w:widowControl/>
              <w:rPr>
                <w:rFonts w:ascii="宋体" w:hAnsi="宋体" w:cs="宋体"/>
                <w:sz w:val="22"/>
                <w:highlight w:val="none"/>
              </w:rPr>
            </w:pPr>
            <w:r>
              <w:rPr>
                <w:rFonts w:ascii="宋体" w:hAnsi="宋体" w:cs="宋体"/>
                <w:sz w:val="22"/>
                <w:highlight w:val="none"/>
              </w:rPr>
              <w:t xml:space="preserve">COD</w:t>
            </w:r>
            <w:r>
              <w:rPr>
                <w:highlight w:val="none"/>
              </w:rPr>
            </w:r>
            <w:r/>
          </w:p>
        </w:tc>
        <w:tc>
          <w:tcPr>
            <w:tcBorders>
              <w:top w:val="single" w:color="000000" w:sz="4" w:space="0"/>
              <w:left w:val="single" w:color="000000" w:sz="4" w:space="0"/>
              <w:bottom w:val="single" w:color="000000" w:sz="4" w:space="0"/>
              <w:right w:val="single" w:color="000000" w:sz="4" w:space="0"/>
            </w:tcBorders>
            <w:tcW w:w="3104" w:type="dxa"/>
            <w:vAlign w:val="center"/>
            <w:vMerge w:val="restart"/>
            <w:textDirection w:val="lrTb"/>
            <w:noWrap/>
          </w:tcPr>
          <w:p>
            <w:pPr>
              <w:pStyle w:val="1008"/>
              <w:jc w:val="center"/>
              <w:widowControl/>
              <w:rPr>
                <w:rFonts w:hint="eastAsia" w:ascii="宋体" w:hAnsi="宋体" w:cs="宋体"/>
                <w:sz w:val="22"/>
                <w:highlight w:val="none"/>
              </w:rPr>
            </w:pPr>
            <w:r>
              <w:rPr>
                <w:rFonts w:hint="eastAsia" w:ascii="宋体" w:hAnsi="宋体" w:cs="宋体"/>
                <w:sz w:val="22"/>
                <w:highlight w:val="none"/>
              </w:rPr>
              <w:t xml:space="preserve">（          元）</w:t>
            </w:r>
            <w:r>
              <w:rPr>
                <w:highlight w:val="none"/>
              </w:rPr>
            </w:r>
            <w:r/>
          </w:p>
          <w:p>
            <w:pPr>
              <w:pStyle w:val="1008"/>
              <w:jc w:val="center"/>
              <w:widowControl/>
              <w:rPr>
                <w:rFonts w:ascii="宋体" w:hAnsi="宋体" w:cs="宋体"/>
                <w:sz w:val="22"/>
                <w:highlight w:val="none"/>
              </w:rPr>
            </w:pPr>
            <w:r>
              <w:rPr>
                <w:rFonts w:ascii="宋体" w:hAnsi="宋体" w:cs="宋体"/>
                <w:bCs/>
                <w:sz w:val="22"/>
                <w:highlight w:val="none"/>
              </w:rPr>
              <w:t xml:space="preserve">（</w:t>
            </w:r>
            <w:r>
              <w:rPr>
                <w:rFonts w:hint="eastAsia" w:ascii="宋体" w:hAnsi="宋体" w:cs="宋体"/>
                <w:bCs/>
                <w:sz w:val="22"/>
                <w:highlight w:val="none"/>
              </w:rPr>
              <w:t xml:space="preserve">注：该项填写</w:t>
            </w:r>
            <w:r>
              <w:rPr>
                <w:rFonts w:ascii="宋体" w:hAnsi="宋体" w:cs="宋体"/>
                <w:bCs/>
                <w:szCs w:val="21"/>
                <w:highlight w:val="none"/>
              </w:rPr>
              <w:t xml:space="preserve">40</w:t>
            </w:r>
            <w:r>
              <w:rPr>
                <w:rFonts w:ascii="宋体" w:hAnsi="宋体" w:cs="宋体"/>
                <w:bCs/>
                <w:sz w:val="22"/>
                <w:highlight w:val="none"/>
              </w:rPr>
              <w:t xml:space="preserve">次总价）</w:t>
            </w:r>
            <w:r>
              <w:rPr>
                <w:highlight w:val="none"/>
              </w:rPr>
            </w:r>
            <w:r/>
          </w:p>
        </w:tc>
        <w:tc>
          <w:tcPr>
            <w:tcBorders>
              <w:top w:val="single" w:color="000000" w:sz="4" w:space="0"/>
              <w:left w:val="single" w:color="000000" w:sz="4" w:space="0"/>
              <w:bottom w:val="single" w:color="000000" w:sz="4" w:space="0"/>
              <w:right w:val="single" w:color="000000" w:sz="4" w:space="0"/>
            </w:tcBorders>
            <w:tcW w:w="1307" w:type="dxa"/>
            <w:vAlign w:val="top"/>
            <w:vMerge w:val="restart"/>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rPr>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p>
        </w:tc>
        <w:tc>
          <w:tcPr>
            <w:tcBorders>
              <w:top w:val="single" w:color="000000" w:sz="4" w:space="0"/>
              <w:left w:val="none" w:color="000000" w:sz="4" w:space="0"/>
              <w:bottom w:val="single" w:color="000000" w:sz="4" w:space="0"/>
              <w:right w:val="single" w:color="000000" w:sz="4" w:space="0"/>
            </w:tcBorders>
            <w:tcW w:w="1650" w:type="dxa"/>
            <w:vAlign w:val="center"/>
            <w:textDirection w:val="lrTb"/>
            <w:noWrap/>
          </w:tcPr>
          <w:p>
            <w:pPr>
              <w:pStyle w:val="1008"/>
              <w:jc w:val="center"/>
              <w:widowControl/>
              <w:rPr>
                <w:rFonts w:ascii="宋体" w:hAnsi="宋体" w:cs="宋体"/>
                <w:sz w:val="22"/>
                <w:highlight w:val="none"/>
              </w:rPr>
            </w:pPr>
            <w:r>
              <w:rPr>
                <w:rFonts w:ascii="宋体" w:hAnsi="宋体" w:cs="宋体"/>
                <w:sz w:val="22"/>
                <w:highlight w:val="none"/>
              </w:rPr>
              <w:t xml:space="preserve">BOD</w:t>
            </w:r>
            <w:r>
              <w:rPr>
                <w:highlight w:val="none"/>
              </w:rPr>
            </w:r>
            <w:r/>
          </w:p>
        </w:tc>
        <w:tc>
          <w:tcPr>
            <w:tcBorders>
              <w:top w:val="single" w:color="000000" w:sz="4" w:space="0"/>
              <w:left w:val="none" w:color="000000" w:sz="4" w:space="0"/>
              <w:bottom w:val="single" w:color="000000" w:sz="4" w:space="0"/>
              <w:right w:val="single" w:color="000000" w:sz="4" w:space="0"/>
            </w:tcBorders>
            <w:tcW w:w="3104" w:type="dxa"/>
            <w:vAlign w:val="center"/>
            <w:vMerge w:val="continue"/>
            <w:textDirection w:val="lrTb"/>
            <w:noWrap/>
          </w:tcPr>
          <w:p>
            <w:pPr>
              <w:pStyle w:val="1008"/>
              <w:jc w:val="center"/>
              <w:widowControl/>
              <w:rPr>
                <w:rFonts w:ascii="宋体" w:hAnsi="宋体" w:cs="宋体"/>
                <w:sz w:val="22"/>
                <w:highlight w:val="none"/>
              </w:rPr>
            </w:pPr>
            <w:r>
              <w:rPr>
                <w:rFonts w:ascii="宋体" w:hAnsi="宋体" w:cs="宋体"/>
                <w:sz w:val="22"/>
                <w:highlight w:val="none"/>
              </w:rPr>
            </w:r>
            <w:r/>
          </w:p>
        </w:tc>
        <w:tc>
          <w:tcPr>
            <w:tcBorders>
              <w:top w:val="single" w:color="000000" w:sz="4" w:space="0"/>
              <w:left w:val="none" w:color="000000" w:sz="4" w:space="0"/>
              <w:bottom w:val="single" w:color="000000" w:sz="4" w:space="0"/>
              <w:right w:val="single" w:color="000000" w:sz="4" w:space="0"/>
            </w:tcBorders>
            <w:tcW w:w="1307" w:type="dxa"/>
            <w:vAlign w:val="top"/>
            <w:vMerge w:val="continue"/>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p>
        </w:tc>
        <w:tc>
          <w:tcPr>
            <w:tcBorders>
              <w:top w:val="single" w:color="000000" w:sz="4" w:space="0"/>
              <w:left w:val="none" w:color="000000" w:sz="4" w:space="0"/>
              <w:bottom w:val="single" w:color="000000" w:sz="4" w:space="0"/>
              <w:right w:val="single" w:color="000000" w:sz="4" w:space="0"/>
            </w:tcBorders>
            <w:tcW w:w="1650" w:type="dxa"/>
            <w:vAlign w:val="center"/>
            <w:textDirection w:val="lrTb"/>
            <w:noWrap/>
          </w:tcPr>
          <w:p>
            <w:pPr>
              <w:pStyle w:val="1008"/>
              <w:jc w:val="center"/>
              <w:widowControl/>
              <w:rPr>
                <w:rFonts w:ascii="宋体" w:hAnsi="宋体" w:cs="宋体"/>
                <w:sz w:val="22"/>
                <w:highlight w:val="none"/>
              </w:rPr>
            </w:pPr>
            <w:r>
              <w:rPr>
                <w:rFonts w:ascii="宋体" w:hAnsi="宋体" w:cs="宋体"/>
                <w:sz w:val="22"/>
                <w:highlight w:val="none"/>
              </w:rPr>
              <w:t xml:space="preserve">SS</w:t>
            </w:r>
            <w:r>
              <w:rPr>
                <w:highlight w:val="none"/>
              </w:rPr>
            </w:r>
            <w:r/>
          </w:p>
        </w:tc>
        <w:tc>
          <w:tcPr>
            <w:tcBorders>
              <w:top w:val="single" w:color="000000" w:sz="4" w:space="0"/>
              <w:left w:val="none" w:color="000000" w:sz="4" w:space="0"/>
              <w:bottom w:val="single" w:color="000000" w:sz="4" w:space="0"/>
              <w:right w:val="single" w:color="000000" w:sz="4" w:space="0"/>
            </w:tcBorders>
            <w:tcW w:w="3104" w:type="dxa"/>
            <w:vAlign w:val="center"/>
            <w:vMerge w:val="continue"/>
            <w:textDirection w:val="lrTb"/>
            <w:noWrap/>
          </w:tcPr>
          <w:p>
            <w:pPr>
              <w:pStyle w:val="1008"/>
              <w:jc w:val="center"/>
              <w:widowControl/>
              <w:rPr>
                <w:rFonts w:ascii="宋体" w:hAnsi="宋体" w:cs="宋体"/>
                <w:sz w:val="22"/>
                <w:highlight w:val="none"/>
              </w:rPr>
            </w:pPr>
            <w:r>
              <w:rPr>
                <w:rFonts w:ascii="宋体" w:hAnsi="宋体" w:cs="宋体"/>
                <w:sz w:val="22"/>
                <w:highlight w:val="none"/>
              </w:rPr>
            </w:r>
            <w:r/>
          </w:p>
        </w:tc>
        <w:tc>
          <w:tcPr>
            <w:tcBorders>
              <w:top w:val="single" w:color="000000" w:sz="4" w:space="0"/>
              <w:left w:val="none" w:color="000000" w:sz="4" w:space="0"/>
              <w:bottom w:val="single" w:color="000000" w:sz="4" w:space="0"/>
              <w:right w:val="single" w:color="000000" w:sz="4" w:space="0"/>
            </w:tcBorders>
            <w:tcW w:w="1307" w:type="dxa"/>
            <w:vAlign w:val="top"/>
            <w:vMerge w:val="continue"/>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p>
        </w:tc>
        <w:tc>
          <w:tcPr>
            <w:tcBorders>
              <w:top w:val="single" w:color="000000" w:sz="4" w:space="0"/>
              <w:left w:val="none" w:color="000000" w:sz="4" w:space="0"/>
              <w:bottom w:val="single" w:color="000000" w:sz="4" w:space="0"/>
              <w:right w:val="single" w:color="000000" w:sz="4" w:space="0"/>
            </w:tcBorders>
            <w:tcW w:w="1650" w:type="dxa"/>
            <w:vAlign w:val="center"/>
            <w:textDirection w:val="lrTb"/>
            <w:noWrap/>
          </w:tcPr>
          <w:p>
            <w:pPr>
              <w:pStyle w:val="1008"/>
              <w:jc w:val="center"/>
              <w:widowControl/>
              <w:rPr>
                <w:rFonts w:ascii="宋体" w:hAnsi="宋体" w:cs="宋体"/>
                <w:sz w:val="22"/>
                <w:highlight w:val="none"/>
              </w:rPr>
            </w:pPr>
            <w:r>
              <w:rPr>
                <w:rFonts w:ascii="宋体" w:hAnsi="宋体" w:cs="宋体"/>
                <w:sz w:val="22"/>
                <w:highlight w:val="none"/>
              </w:rPr>
              <w:t xml:space="preserve">PH</w:t>
            </w:r>
            <w:r>
              <w:rPr>
                <w:highlight w:val="none"/>
              </w:rPr>
            </w:r>
            <w:r/>
          </w:p>
        </w:tc>
        <w:tc>
          <w:tcPr>
            <w:tcBorders>
              <w:top w:val="single" w:color="000000" w:sz="4" w:space="0"/>
              <w:left w:val="none" w:color="000000" w:sz="4" w:space="0"/>
              <w:bottom w:val="single" w:color="000000" w:sz="4" w:space="0"/>
              <w:right w:val="single" w:color="000000" w:sz="4" w:space="0"/>
            </w:tcBorders>
            <w:tcW w:w="3104" w:type="dxa"/>
            <w:vAlign w:val="center"/>
            <w:vMerge w:val="continue"/>
            <w:textDirection w:val="lrTb"/>
            <w:noWrap/>
          </w:tcPr>
          <w:p>
            <w:pPr>
              <w:pStyle w:val="1008"/>
              <w:jc w:val="center"/>
              <w:widowControl/>
              <w:rPr>
                <w:rFonts w:ascii="宋体" w:hAnsi="宋体" w:cs="宋体"/>
                <w:sz w:val="22"/>
                <w:highlight w:val="none"/>
              </w:rPr>
            </w:pPr>
            <w:r>
              <w:rPr>
                <w:rFonts w:ascii="宋体" w:hAnsi="宋体" w:cs="宋体"/>
                <w:sz w:val="22"/>
                <w:highlight w:val="none"/>
              </w:rPr>
            </w:r>
            <w:r/>
          </w:p>
        </w:tc>
        <w:tc>
          <w:tcPr>
            <w:tcBorders>
              <w:top w:val="single" w:color="000000" w:sz="4" w:space="0"/>
              <w:left w:val="none" w:color="000000" w:sz="4" w:space="0"/>
              <w:bottom w:val="single" w:color="000000" w:sz="4" w:space="0"/>
              <w:right w:val="single" w:color="000000" w:sz="4" w:space="0"/>
            </w:tcBorders>
            <w:tcW w:w="1307" w:type="dxa"/>
            <w:vAlign w:val="top"/>
            <w:vMerge w:val="continue"/>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p>
        </w:tc>
        <w:tc>
          <w:tcPr>
            <w:tcBorders>
              <w:top w:val="single" w:color="000000" w:sz="4" w:space="0"/>
              <w:left w:val="none" w:color="000000" w:sz="4" w:space="0"/>
              <w:bottom w:val="single" w:color="000000" w:sz="4" w:space="0"/>
              <w:right w:val="single" w:color="000000" w:sz="4" w:space="0"/>
            </w:tcBorders>
            <w:tcW w:w="1650" w:type="dxa"/>
            <w:vAlign w:val="center"/>
            <w:textDirection w:val="lrTb"/>
            <w:noWrap/>
          </w:tcPr>
          <w:p>
            <w:pPr>
              <w:pStyle w:val="1008"/>
              <w:jc w:val="center"/>
              <w:widowControl/>
              <w:rPr>
                <w:rFonts w:ascii="宋体" w:hAnsi="宋体" w:cs="宋体"/>
                <w:sz w:val="22"/>
                <w:highlight w:val="none"/>
              </w:rPr>
            </w:pPr>
            <w:r>
              <w:rPr>
                <w:rFonts w:ascii="宋体" w:hAnsi="宋体" w:cs="宋体"/>
                <w:sz w:val="22"/>
                <w:highlight w:val="none"/>
              </w:rPr>
              <w:t xml:space="preserve">氨氮</w:t>
            </w:r>
            <w:r>
              <w:rPr>
                <w:highlight w:val="none"/>
              </w:rPr>
            </w:r>
            <w:r/>
          </w:p>
        </w:tc>
        <w:tc>
          <w:tcPr>
            <w:tcBorders>
              <w:top w:val="single" w:color="000000" w:sz="4" w:space="0"/>
              <w:left w:val="none" w:color="000000" w:sz="4" w:space="0"/>
              <w:bottom w:val="single" w:color="000000" w:sz="4" w:space="0"/>
              <w:right w:val="single" w:color="000000" w:sz="4" w:space="0"/>
            </w:tcBorders>
            <w:tcW w:w="3104" w:type="dxa"/>
            <w:vAlign w:val="center"/>
            <w:vMerge w:val="continue"/>
            <w:textDirection w:val="lrTb"/>
            <w:noWrap/>
          </w:tcPr>
          <w:p>
            <w:pPr>
              <w:pStyle w:val="1008"/>
              <w:jc w:val="center"/>
              <w:widowControl/>
              <w:rPr>
                <w:rFonts w:ascii="宋体" w:hAnsi="宋体" w:cs="宋体"/>
                <w:sz w:val="22"/>
                <w:highlight w:val="none"/>
              </w:rPr>
            </w:pPr>
            <w:r>
              <w:rPr>
                <w:rFonts w:ascii="宋体" w:hAnsi="宋体" w:cs="宋体"/>
                <w:sz w:val="22"/>
                <w:highlight w:val="none"/>
              </w:rPr>
            </w:r>
            <w:r/>
          </w:p>
        </w:tc>
        <w:tc>
          <w:tcPr>
            <w:tcBorders>
              <w:top w:val="single" w:color="000000" w:sz="4" w:space="0"/>
              <w:left w:val="none" w:color="000000" w:sz="4" w:space="0"/>
              <w:bottom w:val="single" w:color="000000" w:sz="4" w:space="0"/>
              <w:right w:val="single" w:color="000000" w:sz="4" w:space="0"/>
            </w:tcBorders>
            <w:tcW w:w="1307" w:type="dxa"/>
            <w:vAlign w:val="top"/>
            <w:vMerge w:val="continue"/>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p>
        </w:tc>
        <w:tc>
          <w:tcPr>
            <w:tcBorders>
              <w:top w:val="single" w:color="000000" w:sz="4" w:space="0"/>
              <w:left w:val="none" w:color="000000" w:sz="4" w:space="0"/>
              <w:bottom w:val="single" w:color="000000" w:sz="4" w:space="0"/>
              <w:right w:val="single" w:color="000000" w:sz="4" w:space="0"/>
            </w:tcBorders>
            <w:tcW w:w="1650" w:type="dxa"/>
            <w:vAlign w:val="center"/>
            <w:textDirection w:val="lrTb"/>
            <w:noWrap/>
          </w:tcPr>
          <w:p>
            <w:pPr>
              <w:pStyle w:val="1008"/>
              <w:jc w:val="center"/>
              <w:widowControl/>
              <w:rPr>
                <w:rFonts w:ascii="宋体" w:hAnsi="宋体" w:cs="宋体"/>
                <w:sz w:val="22"/>
                <w:highlight w:val="none"/>
              </w:rPr>
            </w:pPr>
            <w:r>
              <w:rPr>
                <w:rFonts w:ascii="宋体" w:hAnsi="宋体" w:cs="宋体"/>
                <w:sz w:val="22"/>
                <w:highlight w:val="none"/>
              </w:rPr>
              <w:t xml:space="preserve">TP</w:t>
            </w:r>
            <w:r>
              <w:rPr>
                <w:highlight w:val="none"/>
              </w:rPr>
            </w:r>
            <w:r/>
          </w:p>
        </w:tc>
        <w:tc>
          <w:tcPr>
            <w:tcBorders>
              <w:top w:val="single" w:color="000000" w:sz="4" w:space="0"/>
              <w:left w:val="none" w:color="000000" w:sz="4" w:space="0"/>
              <w:bottom w:val="single" w:color="000000" w:sz="4" w:space="0"/>
              <w:right w:val="single" w:color="000000" w:sz="4" w:space="0"/>
            </w:tcBorders>
            <w:tcW w:w="3104" w:type="dxa"/>
            <w:vAlign w:val="center"/>
            <w:vMerge w:val="continue"/>
            <w:textDirection w:val="lrTb"/>
            <w:noWrap/>
          </w:tcPr>
          <w:p>
            <w:pPr>
              <w:pStyle w:val="1008"/>
              <w:jc w:val="center"/>
              <w:widowControl/>
              <w:rPr>
                <w:rFonts w:ascii="宋体" w:hAnsi="宋体" w:cs="宋体"/>
                <w:sz w:val="22"/>
                <w:highlight w:val="none"/>
              </w:rPr>
            </w:pPr>
            <w:r>
              <w:rPr>
                <w:rFonts w:ascii="宋体" w:hAnsi="宋体" w:cs="宋体"/>
                <w:sz w:val="22"/>
                <w:highlight w:val="none"/>
              </w:rPr>
            </w:r>
            <w:r/>
          </w:p>
        </w:tc>
        <w:tc>
          <w:tcPr>
            <w:tcBorders>
              <w:top w:val="single" w:color="000000" w:sz="4" w:space="0"/>
              <w:left w:val="none" w:color="000000" w:sz="4" w:space="0"/>
              <w:bottom w:val="single" w:color="000000" w:sz="4" w:space="0"/>
              <w:right w:val="single" w:color="000000" w:sz="4" w:space="0"/>
            </w:tcBorders>
            <w:tcW w:w="1307" w:type="dxa"/>
            <w:vAlign w:val="top"/>
            <w:vMerge w:val="continue"/>
            <w:textDirection w:val="lrTb"/>
            <w:noWrap w:val="false"/>
          </w:tcPr>
          <w:p>
            <w:pPr>
              <w:pStyle w:val="1008"/>
              <w:jc w:val="center"/>
              <w:widowControl/>
              <w:rPr>
                <w:rFonts w:ascii="宋体" w:hAnsi="宋体" w:cs="宋体"/>
                <w:sz w:val="22"/>
                <w:highlight w:val="none"/>
              </w:rPr>
            </w:pPr>
            <w:r>
              <w:rPr>
                <w:rFonts w:ascii="宋体" w:hAnsi="宋体" w:cs="宋体"/>
                <w:sz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1623" w:type="dxa"/>
            <w:vAlign w:val="center"/>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single" w:color="000000" w:sz="4" w:space="0"/>
              <w:left w:val="none" w:color="000000" w:sz="4" w:space="0"/>
              <w:bottom w:val="single" w:color="000000" w:sz="4" w:space="0"/>
              <w:right w:val="single" w:color="000000" w:sz="4" w:space="0"/>
            </w:tcBorders>
            <w:tcW w:w="1650" w:type="dxa"/>
            <w:vAlign w:val="center"/>
            <w:textDirection w:val="lrTb"/>
            <w:noWrap/>
          </w:tcPr>
          <w:p>
            <w:pPr>
              <w:pStyle w:val="1008"/>
              <w:jc w:val="center"/>
              <w:widowControl/>
              <w:rPr>
                <w:rFonts w:ascii="宋体" w:hAnsi="宋体" w:cs="宋体"/>
                <w:sz w:val="22"/>
                <w:highlight w:val="none"/>
              </w:rPr>
            </w:pPr>
            <w:r>
              <w:rPr>
                <w:rFonts w:ascii="宋体" w:hAnsi="宋体" w:cs="宋体"/>
                <w:sz w:val="22"/>
                <w:highlight w:val="none"/>
              </w:rPr>
              <w:t xml:space="preserve">动植物油</w:t>
            </w:r>
            <w:r>
              <w:rPr>
                <w:highlight w:val="none"/>
              </w:rPr>
            </w:r>
            <w:r/>
          </w:p>
        </w:tc>
        <w:tc>
          <w:tcPr>
            <w:tcBorders>
              <w:top w:val="single" w:color="000000" w:sz="4" w:space="0"/>
              <w:left w:val="none" w:color="000000" w:sz="4" w:space="0"/>
              <w:bottom w:val="single" w:color="000000" w:sz="4" w:space="0"/>
              <w:right w:val="single" w:color="000000" w:sz="4" w:space="0"/>
            </w:tcBorders>
            <w:tcW w:w="3104" w:type="dxa"/>
            <w:vAlign w:val="center"/>
            <w:vMerge w:val="continue"/>
            <w:textDirection w:val="lrTb"/>
            <w:noWrap/>
          </w:tcPr>
          <w:p>
            <w:pPr>
              <w:pStyle w:val="1008"/>
              <w:jc w:val="left"/>
              <w:widowControl/>
              <w:rPr>
                <w:rFonts w:ascii="宋体" w:hAnsi="宋体" w:cs="宋体"/>
                <w:sz w:val="22"/>
                <w:highlight w:val="none"/>
              </w:rPr>
            </w:pPr>
            <w:r>
              <w:rPr>
                <w:rFonts w:ascii="宋体" w:hAnsi="宋体" w:cs="宋体"/>
                <w:sz w:val="22"/>
                <w:highlight w:val="none"/>
              </w:rPr>
            </w:r>
            <w:r/>
          </w:p>
        </w:tc>
        <w:tc>
          <w:tcPr>
            <w:tcBorders>
              <w:top w:val="single" w:color="000000" w:sz="4" w:space="0"/>
              <w:left w:val="none" w:color="000000" w:sz="4" w:space="0"/>
              <w:bottom w:val="single" w:color="000000" w:sz="4" w:space="0"/>
              <w:right w:val="single" w:color="000000" w:sz="4" w:space="0"/>
            </w:tcBorders>
            <w:tcW w:w="1307" w:type="dxa"/>
            <w:vAlign w:val="top"/>
            <w:vMerge w:val="continue"/>
            <w:textDirection w:val="lrTb"/>
            <w:noWrap w:val="false"/>
          </w:tcPr>
          <w:p>
            <w:pPr>
              <w:pStyle w:val="1008"/>
              <w:jc w:val="left"/>
              <w:widowControl/>
              <w:rPr>
                <w:rFonts w:ascii="宋体" w:hAnsi="宋体" w:cs="宋体"/>
                <w:sz w:val="22"/>
                <w:highlight w:val="none"/>
              </w:rPr>
            </w:pPr>
            <w:r>
              <w:rPr>
                <w:rFonts w:ascii="宋体" w:hAnsi="宋体" w:cs="宋体"/>
                <w:sz w:val="22"/>
                <w:highlight w:val="none"/>
              </w:rPr>
            </w:r>
            <w:r/>
          </w:p>
        </w:tc>
      </w:tr>
    </w:tbl>
    <w:p>
      <w:pPr>
        <w:pStyle w:val="1026"/>
        <w:ind w:left="1470" w:right="1470"/>
        <w:spacing w:after="0" w:line="360" w:lineRule="auto"/>
        <w:tabs>
          <w:tab w:val="left" w:pos="9000" w:leader="none"/>
        </w:tabs>
        <w:rPr>
          <w:b/>
          <w:highlight w:val="none"/>
        </w:rPr>
      </w:pPr>
      <w:r>
        <w:rPr>
          <w:b/>
          <w:highlight w:val="none"/>
        </w:rPr>
      </w:r>
      <w:r>
        <w:rPr>
          <w:highlight w:val="none"/>
        </w:rPr>
      </w:r>
      <w:r/>
    </w:p>
    <w:p>
      <w:pPr>
        <w:pStyle w:val="1008"/>
        <w:spacing w:line="360" w:lineRule="auto"/>
        <w:rPr>
          <w:rFonts w:hint="eastAsia"/>
          <w:highlight w:val="none"/>
        </w:rPr>
      </w:pPr>
      <w:r>
        <w:rPr>
          <w:rFonts w:hint="eastAsia" w:ascii="宋体" w:hAnsi="宋体" w:cs="宋体"/>
          <w:iCs/>
          <w:color w:val="000000"/>
          <w:sz w:val="24"/>
          <w:highlight w:val="none"/>
        </w:rPr>
        <w:t xml:space="preserve">                                        </w:t>
      </w:r>
      <w:r>
        <w:rPr>
          <w:rFonts w:hint="eastAsia"/>
          <w:highlight w:val="none"/>
        </w:rPr>
        <w:t xml:space="preserve">供应商全称（加盖公章）：</w:t>
      </w:r>
      <w:r>
        <w:rPr>
          <w:highlight w:val="none"/>
        </w:rPr>
      </w:r>
      <w:r/>
    </w:p>
    <w:p>
      <w:pPr>
        <w:pStyle w:val="1008"/>
        <w:ind w:firstLine="4830"/>
        <w:spacing w:line="360" w:lineRule="auto"/>
        <w:rPr>
          <w:spacing w:val="20"/>
          <w:highlight w:val="none"/>
          <w:u w:val="single"/>
        </w:rPr>
      </w:pPr>
      <w:r>
        <w:rPr>
          <w:rFonts w:hint="eastAsia"/>
          <w:highlight w:val="none"/>
        </w:rPr>
        <w:t xml:space="preserve">法定代表人或授权委托人</w:t>
      </w:r>
      <w:r>
        <w:rPr>
          <w:rFonts w:hint="eastAsia"/>
          <w:spacing w:val="20"/>
          <w:highlight w:val="none"/>
        </w:rPr>
        <w:t xml:space="preserve">：</w:t>
      </w:r>
      <w:r>
        <w:rPr>
          <w:rFonts w:hint="eastAsia"/>
          <w:highlight w:val="none"/>
          <w:u w:val="single"/>
        </w:rPr>
        <w:t xml:space="preserve">（签字或盖章）</w:t>
      </w:r>
      <w:r>
        <w:rPr>
          <w:highlight w:val="none"/>
        </w:rPr>
      </w:r>
      <w:r/>
    </w:p>
    <w:p>
      <w:pPr>
        <w:pStyle w:val="1008"/>
        <w:ind w:firstLine="5000"/>
        <w:spacing w:line="360" w:lineRule="auto"/>
        <w:rPr>
          <w:spacing w:val="20"/>
          <w:highlight w:val="none"/>
          <w:u w:val="single"/>
        </w:rPr>
      </w:pPr>
      <w:r>
        <w:rPr>
          <w:rFonts w:hint="eastAsia"/>
          <w:spacing w:val="20"/>
          <w:highlight w:val="none"/>
        </w:rPr>
        <w:t xml:space="preserve">日期：</w:t>
      </w:r>
      <w:r>
        <w:rPr>
          <w:highlight w:val="none"/>
        </w:rPr>
      </w:r>
      <w:r/>
    </w:p>
    <w:p>
      <w:pPr>
        <w:pStyle w:val="1048"/>
        <w:ind w:right="1560" w:firstLine="480"/>
        <w:jc w:val="center"/>
        <w:spacing w:beforeAutospacing="0" w:afterAutospacing="0" w:line="360" w:lineRule="auto"/>
        <w:tabs>
          <w:tab w:val="left" w:pos="4864" w:leader="none"/>
        </w:tabs>
        <w:rPr>
          <w:rFonts w:hint="eastAsia"/>
          <w:iCs/>
          <w:color w:val="000000"/>
          <w:highlight w:val="none"/>
        </w:rPr>
      </w:pPr>
      <w:r>
        <w:rPr>
          <w:rFonts w:hint="eastAsia"/>
          <w:iCs/>
          <w:color w:val="000000"/>
          <w:highlight w:val="none"/>
        </w:rPr>
      </w:r>
      <w:r>
        <w:rPr>
          <w:highlight w:val="none"/>
        </w:rPr>
      </w:r>
      <w:r/>
    </w:p>
    <w:p>
      <w:pPr>
        <w:pStyle w:val="1048"/>
        <w:ind w:right="1560" w:firstLine="480"/>
        <w:jc w:val="center"/>
        <w:spacing w:beforeAutospacing="0" w:afterAutospacing="0" w:line="360" w:lineRule="auto"/>
        <w:tabs>
          <w:tab w:val="left" w:pos="4864" w:leader="none"/>
        </w:tabs>
        <w:rPr>
          <w:rFonts w:hint="eastAsia"/>
          <w:color w:val="000000"/>
          <w:highlight w:val="none"/>
        </w:rPr>
      </w:pPr>
      <w:r>
        <w:rPr>
          <w:rFonts w:hint="eastAsia"/>
          <w:iCs/>
          <w:color w:val="000000"/>
          <w:highlight w:val="none"/>
        </w:rPr>
      </w:r>
      <w:r>
        <w:rPr>
          <w:rFonts w:hint="eastAsia"/>
          <w:iCs/>
          <w:color w:val="000000"/>
          <w:highlight w:val="none"/>
        </w:rPr>
      </w:r>
      <w:r/>
    </w:p>
    <w:p>
      <w:pPr>
        <w:pStyle w:val="1048"/>
        <w:ind w:right="1560" w:firstLine="480"/>
        <w:jc w:val="center"/>
        <w:spacing w:beforeAutospacing="0" w:afterAutospacing="0" w:line="360" w:lineRule="auto"/>
        <w:tabs>
          <w:tab w:val="left" w:pos="4864" w:leader="none"/>
        </w:tabs>
        <w:rPr>
          <w:rFonts w:hint="eastAsia"/>
          <w:iCs/>
          <w:color w:val="000000"/>
          <w:highlight w:val="none"/>
        </w:rPr>
      </w:pPr>
      <w:r>
        <w:rPr>
          <w:rFonts w:hint="eastAsia"/>
          <w:iCs/>
          <w:color w:val="000000"/>
          <w:highlight w:val="none"/>
        </w:rPr>
      </w:r>
      <w:r>
        <w:rPr>
          <w:highlight w:val="none"/>
        </w:rPr>
      </w:r>
      <w:r/>
    </w:p>
    <w:p>
      <w:pPr>
        <w:pStyle w:val="1008"/>
        <w:ind w:firstLine="562"/>
        <w:jc w:val="center"/>
        <w:spacing w:line="360" w:lineRule="auto"/>
        <w:rPr>
          <w:rFonts w:ascii="宋体"/>
          <w:b/>
          <w:bCs/>
          <w:sz w:val="28"/>
          <w:szCs w:val="28"/>
          <w:highlight w:val="none"/>
        </w:rPr>
      </w:pPr>
      <w:r>
        <w:rPr>
          <w:rFonts w:hint="eastAsia" w:ascii="宋体" w:hAnsi="宋体"/>
          <w:b/>
          <w:bCs/>
          <w:sz w:val="28"/>
          <w:szCs w:val="28"/>
          <w:highlight w:val="none"/>
        </w:rPr>
        <w:t xml:space="preserve">分项报价表</w:t>
      </w:r>
      <w:r>
        <w:rPr>
          <w:rFonts w:ascii="宋体" w:hAnsi="宋体"/>
          <w:b/>
          <w:bCs/>
          <w:sz w:val="28"/>
          <w:szCs w:val="28"/>
          <w:highlight w:val="none"/>
        </w:rPr>
        <w:t xml:space="preserve">2</w:t>
      </w:r>
      <w:r>
        <w:rPr>
          <w:rFonts w:hint="eastAsia" w:ascii="宋体" w:hAnsi="宋体"/>
          <w:b/>
          <w:bCs/>
          <w:sz w:val="28"/>
          <w:szCs w:val="28"/>
          <w:highlight w:val="none"/>
        </w:rPr>
        <w:t xml:space="preserve">（大市区范围内污水厂水质检测）</w:t>
      </w:r>
      <w:r>
        <w:rPr>
          <w:highlight w:val="none"/>
        </w:rPr>
      </w:r>
      <w:r/>
    </w:p>
    <w:tbl>
      <w:tblPr>
        <w:tblW w:w="9485"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985"/>
        <w:gridCol w:w="1276"/>
        <w:gridCol w:w="2972"/>
        <w:gridCol w:w="795"/>
        <w:gridCol w:w="765"/>
        <w:gridCol w:w="1110"/>
      </w:tblGrid>
      <w:tr>
        <w:trPr>
          <w:trHeight w:val="584"/>
          <w:tblHeader/>
        </w:trPr>
        <w:tc>
          <w:tcPr>
            <w:tcW w:w="582" w:type="dxa"/>
            <w:vAlign w:val="center"/>
            <w:textDirection w:val="lrTb"/>
            <w:noWrap w:val="false"/>
          </w:tcPr>
          <w:p>
            <w:pPr>
              <w:pStyle w:val="1008"/>
              <w:jc w:val="center"/>
              <w:rPr>
                <w:rFonts w:ascii="黑体" w:hAnsi="黑体" w:eastAsia="黑体" w:cs="宋体"/>
                <w:sz w:val="20"/>
                <w:szCs w:val="20"/>
                <w:highlight w:val="none"/>
              </w:rPr>
            </w:pPr>
            <w:r>
              <w:rPr>
                <w:rFonts w:hint="eastAsia" w:ascii="黑体" w:hAnsi="黑体" w:eastAsia="黑体" w:cs="宋体"/>
                <w:sz w:val="20"/>
                <w:szCs w:val="20"/>
                <w:highlight w:val="none"/>
              </w:rPr>
              <w:t xml:space="preserve">序号</w:t>
            </w:r>
            <w:r>
              <w:rPr>
                <w:highlight w:val="none"/>
              </w:rPr>
            </w:r>
            <w:r/>
          </w:p>
        </w:tc>
        <w:tc>
          <w:tcPr>
            <w:tcW w:w="1985" w:type="dxa"/>
            <w:vAlign w:val="center"/>
            <w:textDirection w:val="lrTb"/>
            <w:noWrap w:val="false"/>
          </w:tcPr>
          <w:p>
            <w:pPr>
              <w:pStyle w:val="1008"/>
              <w:jc w:val="center"/>
              <w:rPr>
                <w:rFonts w:ascii="黑体" w:hAnsi="黑体" w:eastAsia="黑体" w:cs="宋体"/>
                <w:sz w:val="20"/>
                <w:szCs w:val="20"/>
                <w:highlight w:val="none"/>
              </w:rPr>
            </w:pPr>
            <w:r>
              <w:rPr>
                <w:rFonts w:hint="eastAsia" w:ascii="黑体" w:hAnsi="黑体" w:eastAsia="黑体" w:cs="宋体"/>
                <w:sz w:val="20"/>
                <w:szCs w:val="20"/>
                <w:highlight w:val="none"/>
              </w:rPr>
              <w:t xml:space="preserve">单位名称</w:t>
            </w:r>
            <w:r>
              <w:rPr>
                <w:highlight w:val="none"/>
              </w:rPr>
            </w:r>
            <w:r/>
          </w:p>
        </w:tc>
        <w:tc>
          <w:tcPr>
            <w:tcW w:w="1276" w:type="dxa"/>
            <w:vAlign w:val="center"/>
            <w:textDirection w:val="lrTb"/>
            <w:noWrap w:val="false"/>
          </w:tcPr>
          <w:p>
            <w:pPr>
              <w:pStyle w:val="1008"/>
              <w:jc w:val="center"/>
              <w:rPr>
                <w:rFonts w:ascii="黑体" w:hAnsi="黑体" w:eastAsia="黑体" w:cs="宋体"/>
                <w:sz w:val="20"/>
                <w:szCs w:val="20"/>
                <w:highlight w:val="none"/>
              </w:rPr>
            </w:pPr>
            <w:r>
              <w:rPr>
                <w:rFonts w:hint="eastAsia" w:ascii="黑体" w:hAnsi="黑体" w:eastAsia="黑体" w:cs="宋体"/>
                <w:sz w:val="20"/>
                <w:szCs w:val="20"/>
                <w:highlight w:val="none"/>
              </w:rPr>
              <w:t xml:space="preserve">水质检测</w:t>
            </w:r>
            <w:r>
              <w:rPr>
                <w:highlight w:val="none"/>
              </w:rPr>
            </w:r>
            <w:r/>
          </w:p>
          <w:p>
            <w:pPr>
              <w:pStyle w:val="1008"/>
              <w:jc w:val="center"/>
              <w:rPr>
                <w:rFonts w:ascii="黑体" w:hAnsi="黑体" w:eastAsia="黑体" w:cs="宋体"/>
                <w:sz w:val="20"/>
                <w:szCs w:val="20"/>
                <w:highlight w:val="none"/>
              </w:rPr>
            </w:pPr>
            <w:r>
              <w:rPr>
                <w:rFonts w:hint="eastAsia" w:ascii="黑体" w:hAnsi="黑体" w:eastAsia="黑体" w:cs="宋体"/>
                <w:sz w:val="20"/>
                <w:szCs w:val="20"/>
                <w:highlight w:val="none"/>
              </w:rPr>
              <w:t xml:space="preserve">频次</w:t>
            </w:r>
            <w:r>
              <w:rPr>
                <w:highlight w:val="none"/>
              </w:rPr>
            </w:r>
            <w:r/>
          </w:p>
        </w:tc>
        <w:tc>
          <w:tcPr>
            <w:tcW w:w="2972" w:type="dxa"/>
            <w:vAlign w:val="center"/>
            <w:textDirection w:val="lrTb"/>
            <w:noWrap w:val="false"/>
          </w:tcPr>
          <w:p>
            <w:pPr>
              <w:pStyle w:val="1008"/>
              <w:jc w:val="center"/>
              <w:rPr>
                <w:rFonts w:ascii="黑体" w:hAnsi="黑体" w:eastAsia="黑体" w:cs="宋体"/>
                <w:sz w:val="20"/>
                <w:szCs w:val="20"/>
                <w:highlight w:val="none"/>
              </w:rPr>
            </w:pPr>
            <w:r>
              <w:rPr>
                <w:rFonts w:hint="eastAsia" w:ascii="黑体" w:hAnsi="黑体" w:eastAsia="黑体"/>
                <w:sz w:val="20"/>
                <w:szCs w:val="20"/>
                <w:highlight w:val="none"/>
              </w:rPr>
              <w:t xml:space="preserve">检测项目</w:t>
            </w:r>
            <w:r>
              <w:rPr>
                <w:highlight w:val="none"/>
              </w:rPr>
            </w:r>
            <w:r/>
          </w:p>
        </w:tc>
        <w:tc>
          <w:tcPr>
            <w:tcW w:w="795" w:type="dxa"/>
            <w:vAlign w:val="center"/>
            <w:textDirection w:val="lrTb"/>
            <w:noWrap w:val="false"/>
          </w:tcPr>
          <w:p>
            <w:pPr>
              <w:pStyle w:val="1008"/>
              <w:jc w:val="center"/>
              <w:rPr>
                <w:rFonts w:ascii="黑体" w:hAnsi="黑体" w:eastAsia="黑体" w:cs="宋体"/>
                <w:sz w:val="20"/>
                <w:szCs w:val="20"/>
                <w:highlight w:val="none"/>
              </w:rPr>
            </w:pPr>
            <w:r>
              <w:rPr>
                <w:rFonts w:hint="eastAsia" w:ascii="黑体" w:hAnsi="黑体" w:eastAsia="黑体"/>
                <w:sz w:val="20"/>
                <w:szCs w:val="20"/>
                <w:highlight w:val="none"/>
              </w:rPr>
              <w:t xml:space="preserve">次</w:t>
            </w:r>
            <w:r>
              <w:rPr>
                <w:rFonts w:ascii="黑体" w:hAnsi="黑体" w:eastAsia="黑体"/>
                <w:sz w:val="20"/>
                <w:szCs w:val="20"/>
                <w:highlight w:val="none"/>
              </w:rPr>
              <w:t xml:space="preserve">/</w:t>
            </w:r>
            <w:r>
              <w:rPr>
                <w:rFonts w:hint="eastAsia" w:ascii="黑体" w:hAnsi="黑体" w:eastAsia="黑体"/>
                <w:sz w:val="20"/>
                <w:szCs w:val="20"/>
                <w:highlight w:val="none"/>
              </w:rPr>
              <w:t xml:space="preserve">年</w:t>
            </w:r>
            <w:r>
              <w:rPr>
                <w:highlight w:val="none"/>
              </w:rPr>
            </w:r>
            <w:r/>
          </w:p>
        </w:tc>
        <w:tc>
          <w:tcPr>
            <w:tcW w:w="765" w:type="dxa"/>
            <w:vAlign w:val="center"/>
            <w:textDirection w:val="lrTb"/>
            <w:noWrap w:val="false"/>
          </w:tcPr>
          <w:p>
            <w:pPr>
              <w:pStyle w:val="1008"/>
              <w:jc w:val="center"/>
              <w:rPr>
                <w:rFonts w:ascii="黑体" w:hAnsi="黑体" w:eastAsia="黑体"/>
                <w:sz w:val="20"/>
                <w:szCs w:val="20"/>
                <w:highlight w:val="none"/>
              </w:rPr>
            </w:pPr>
            <w:r>
              <w:rPr>
                <w:rFonts w:hint="eastAsia" w:ascii="黑体" w:hAnsi="黑体" w:eastAsia="黑体"/>
                <w:sz w:val="20"/>
                <w:szCs w:val="20"/>
                <w:highlight w:val="none"/>
              </w:rPr>
              <w:t xml:space="preserve">元</w:t>
            </w:r>
            <w:r>
              <w:rPr>
                <w:rFonts w:ascii="黑体" w:hAnsi="黑体" w:eastAsia="黑体"/>
                <w:sz w:val="20"/>
                <w:szCs w:val="20"/>
                <w:highlight w:val="none"/>
              </w:rPr>
              <w:t xml:space="preserve">/</w:t>
            </w:r>
            <w:r>
              <w:rPr>
                <w:rFonts w:hint="eastAsia" w:ascii="黑体" w:hAnsi="黑体" w:eastAsia="黑体"/>
                <w:sz w:val="20"/>
                <w:szCs w:val="20"/>
                <w:highlight w:val="none"/>
              </w:rPr>
              <w:t xml:space="preserve">次</w:t>
            </w:r>
            <w:r>
              <w:rPr>
                <w:highlight w:val="none"/>
              </w:rPr>
            </w:r>
            <w:r/>
          </w:p>
        </w:tc>
        <w:tc>
          <w:tcPr>
            <w:tcW w:w="1110" w:type="dxa"/>
            <w:vAlign w:val="center"/>
            <w:textDirection w:val="lrTb"/>
            <w:noWrap w:val="false"/>
          </w:tcPr>
          <w:p>
            <w:pPr>
              <w:pStyle w:val="1008"/>
              <w:jc w:val="center"/>
              <w:rPr>
                <w:rFonts w:ascii="黑体" w:hAnsi="黑体" w:eastAsia="黑体"/>
                <w:sz w:val="20"/>
                <w:szCs w:val="20"/>
                <w:highlight w:val="none"/>
              </w:rPr>
            </w:pPr>
            <w:r>
              <w:rPr>
                <w:rFonts w:hint="eastAsia" w:ascii="黑体" w:hAnsi="黑体" w:eastAsia="黑体"/>
                <w:sz w:val="20"/>
                <w:szCs w:val="20"/>
                <w:highlight w:val="none"/>
              </w:rPr>
              <w:t xml:space="preserve">综合报价</w:t>
            </w:r>
            <w:r>
              <w:rPr>
                <w:highlight w:val="none"/>
              </w:rPr>
            </w:r>
            <w:r/>
          </w:p>
          <w:p>
            <w:pPr>
              <w:pStyle w:val="1008"/>
              <w:jc w:val="center"/>
              <w:rPr>
                <w:rFonts w:ascii="黑体" w:hAnsi="黑体" w:eastAsia="黑体"/>
                <w:sz w:val="20"/>
                <w:szCs w:val="20"/>
                <w:highlight w:val="none"/>
              </w:rPr>
            </w:pPr>
            <w:r>
              <w:rPr>
                <w:rFonts w:hint="eastAsia" w:ascii="黑体" w:hAnsi="黑体" w:eastAsia="黑体"/>
                <w:sz w:val="20"/>
                <w:szCs w:val="20"/>
                <w:highlight w:val="none"/>
              </w:rPr>
              <w:t xml:space="preserve">（包含所有费用）</w:t>
            </w:r>
            <w:r>
              <w:rPr>
                <w:highlight w:val="none"/>
              </w:rPr>
            </w:r>
            <w:r/>
          </w:p>
        </w:tc>
      </w:tr>
      <w:tr>
        <w:trPr>
          <w:trHeight w:val="537"/>
        </w:trPr>
        <w:tc>
          <w:tcPr>
            <w:tcW w:w="582"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1</w:t>
            </w:r>
            <w:r>
              <w:rPr>
                <w:highlight w:val="none"/>
              </w:rPr>
            </w:r>
            <w:r/>
          </w:p>
        </w:tc>
        <w:tc>
          <w:tcPr>
            <w:tcW w:w="1985" w:type="dxa"/>
            <w:vAlign w:val="center"/>
            <w:textDirection w:val="lrTb"/>
            <w:noWrap w:val="false"/>
          </w:tcPr>
          <w:p>
            <w:pPr>
              <w:pStyle w:val="1008"/>
              <w:jc w:val="center"/>
              <w:rPr>
                <w:rFonts w:ascii="宋体" w:cs="宋体"/>
                <w:sz w:val="20"/>
                <w:szCs w:val="20"/>
                <w:highlight w:val="none"/>
              </w:rPr>
            </w:pPr>
            <w:r>
              <w:rPr>
                <w:rFonts w:hint="eastAsia" w:ascii="宋体" w:hAnsi="宋体" w:cs="宋体"/>
                <w:sz w:val="20"/>
                <w:szCs w:val="20"/>
                <w:highlight w:val="none"/>
              </w:rPr>
              <w:t xml:space="preserve">盐城市城南污水厂一、二期</w:t>
            </w:r>
            <w:r>
              <w:rPr>
                <w:highlight w:val="none"/>
              </w:rPr>
            </w:r>
            <w:r/>
          </w:p>
          <w:p>
            <w:pPr>
              <w:pStyle w:val="1008"/>
              <w:jc w:val="center"/>
              <w:rPr>
                <w:rFonts w:ascii="宋体" w:cs="宋体"/>
                <w:sz w:val="20"/>
                <w:szCs w:val="20"/>
                <w:highlight w:val="none"/>
              </w:rPr>
            </w:pPr>
            <w:r>
              <w:rPr>
                <w:rFonts w:hint="eastAsia" w:ascii="宋体" w:hAnsi="宋体" w:cs="宋体"/>
                <w:sz w:val="20"/>
                <w:szCs w:val="20"/>
                <w:highlight w:val="none"/>
              </w:rPr>
              <w:t xml:space="preserve">（进、出水）</w:t>
            </w:r>
            <w:r>
              <w:rPr>
                <w:highlight w:val="none"/>
              </w:rPr>
            </w:r>
            <w:r/>
          </w:p>
        </w:tc>
        <w:tc>
          <w:tcPr>
            <w:tcW w:w="1276" w:type="dxa"/>
            <w:vAlign w:val="center"/>
            <w:textDirection w:val="lrTb"/>
            <w:noWrap w:val="false"/>
          </w:tcPr>
          <w:p>
            <w:pPr>
              <w:pStyle w:val="1008"/>
              <w:jc w:val="center"/>
              <w:rPr>
                <w:rFonts w:ascii="宋体" w:cs="宋体"/>
                <w:sz w:val="20"/>
                <w:szCs w:val="20"/>
                <w:highlight w:val="none"/>
              </w:rPr>
            </w:pPr>
            <w:r>
              <w:rPr>
                <w:rFonts w:hint="eastAsia"/>
                <w:sz w:val="20"/>
                <w:szCs w:val="20"/>
                <w:highlight w:val="none"/>
              </w:rPr>
              <w:t xml:space="preserve">每月一次</w:t>
            </w:r>
            <w:r>
              <w:rPr>
                <w:highlight w:val="none"/>
              </w:rPr>
            </w:r>
            <w:r/>
          </w:p>
        </w:tc>
        <w:tc>
          <w:tcPr>
            <w:tcW w:w="2972" w:type="dxa"/>
            <w:vAlign w:val="center"/>
            <w:textDirection w:val="lrTb"/>
            <w:noWrap w:val="false"/>
          </w:tcPr>
          <w:p>
            <w:pPr>
              <w:pStyle w:val="1008"/>
              <w:jc w:val="center"/>
              <w:rPr>
                <w:rFonts w:ascii="宋体" w:cs="宋体"/>
                <w:sz w:val="20"/>
                <w:szCs w:val="20"/>
                <w:highlight w:val="none"/>
              </w:rPr>
            </w:pPr>
            <w:r>
              <w:rPr>
                <w:sz w:val="20"/>
                <w:szCs w:val="20"/>
                <w:highlight w:val="none"/>
              </w:rPr>
              <w:t xml:space="preserve">COD</w:t>
            </w:r>
            <w:r>
              <w:rPr>
                <w:rFonts w:hint="eastAsia"/>
                <w:sz w:val="20"/>
                <w:szCs w:val="20"/>
                <w:highlight w:val="none"/>
              </w:rPr>
              <w:t xml:space="preserve">、</w:t>
            </w:r>
            <w:r>
              <w:rPr>
                <w:sz w:val="20"/>
                <w:szCs w:val="20"/>
                <w:highlight w:val="none"/>
              </w:rPr>
              <w:t xml:space="preserve">BOD</w:t>
            </w:r>
            <w:r>
              <w:rPr>
                <w:rFonts w:hint="eastAsia"/>
                <w:sz w:val="20"/>
                <w:szCs w:val="20"/>
                <w:highlight w:val="none"/>
              </w:rPr>
              <w:t xml:space="preserve">、</w:t>
            </w:r>
            <w:r>
              <w:rPr>
                <w:sz w:val="20"/>
                <w:szCs w:val="20"/>
                <w:highlight w:val="none"/>
              </w:rPr>
              <w:t xml:space="preserve">SS</w:t>
            </w:r>
            <w:r>
              <w:rPr>
                <w:rFonts w:hint="eastAsia"/>
                <w:sz w:val="20"/>
                <w:szCs w:val="20"/>
                <w:highlight w:val="none"/>
              </w:rPr>
              <w:t xml:space="preserve">、</w:t>
            </w:r>
            <w:r>
              <w:rPr>
                <w:sz w:val="20"/>
                <w:szCs w:val="20"/>
                <w:highlight w:val="none"/>
              </w:rPr>
              <w:t xml:space="preserve">PH</w:t>
            </w:r>
            <w:r>
              <w:rPr>
                <w:rFonts w:hint="eastAsia"/>
                <w:sz w:val="20"/>
                <w:szCs w:val="20"/>
                <w:highlight w:val="none"/>
              </w:rPr>
              <w:t xml:space="preserve">、氨氮、总氮、总磷、动植物油、粪大肠菌</w:t>
            </w:r>
            <w:r>
              <w:rPr>
                <w:sz w:val="20"/>
                <w:szCs w:val="20"/>
                <w:highlight w:val="none"/>
              </w:rPr>
              <w:t xml:space="preserve">9</w:t>
            </w:r>
            <w:r>
              <w:rPr>
                <w:rFonts w:hint="eastAsia"/>
                <w:sz w:val="20"/>
                <w:szCs w:val="20"/>
                <w:highlight w:val="none"/>
              </w:rPr>
              <w:t xml:space="preserve">项</w:t>
            </w:r>
            <w:r>
              <w:rPr>
                <w:highlight w:val="none"/>
              </w:rPr>
            </w:r>
            <w:r/>
          </w:p>
        </w:tc>
        <w:tc>
          <w:tcPr>
            <w:tcW w:w="795"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12</w:t>
            </w:r>
            <w:r>
              <w:rPr>
                <w:highlight w:val="none"/>
              </w:rPr>
            </w:r>
            <w:r/>
          </w:p>
        </w:tc>
        <w:tc>
          <w:tcPr>
            <w:tcW w:w="765"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c>
          <w:tcPr>
            <w:tcW w:w="1110"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r>
      <w:tr>
        <w:trPr>
          <w:trHeight w:val="537"/>
        </w:trPr>
        <w:tc>
          <w:tcPr>
            <w:tcW w:w="582"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2</w:t>
            </w:r>
            <w:r>
              <w:rPr>
                <w:highlight w:val="none"/>
              </w:rPr>
            </w:r>
            <w:r/>
          </w:p>
        </w:tc>
        <w:tc>
          <w:tcPr>
            <w:tcW w:w="1985" w:type="dxa"/>
            <w:vAlign w:val="center"/>
            <w:textDirection w:val="lrTb"/>
            <w:noWrap w:val="false"/>
          </w:tcPr>
          <w:p>
            <w:pPr>
              <w:pStyle w:val="1008"/>
              <w:jc w:val="center"/>
              <w:rPr>
                <w:rFonts w:ascii="宋体" w:cs="宋体"/>
                <w:b/>
                <w:sz w:val="20"/>
                <w:szCs w:val="20"/>
                <w:highlight w:val="none"/>
              </w:rPr>
            </w:pPr>
            <w:r>
              <w:rPr>
                <w:rFonts w:hint="eastAsia" w:ascii="宋体" w:hAnsi="宋体" w:cs="宋体"/>
                <w:sz w:val="20"/>
                <w:szCs w:val="20"/>
                <w:highlight w:val="none"/>
              </w:rPr>
              <w:t xml:space="preserve">盐城市城南污水厂三期</w:t>
            </w:r>
            <w:r>
              <w:rPr>
                <w:rFonts w:hint="eastAsia" w:ascii="宋体" w:hAnsi="宋体" w:cs="宋体"/>
                <w:b/>
                <w:sz w:val="20"/>
                <w:szCs w:val="20"/>
                <w:highlight w:val="none"/>
              </w:rPr>
              <w:t xml:space="preserve">（出水）</w:t>
            </w:r>
            <w:r>
              <w:rPr>
                <w:highlight w:val="none"/>
              </w:rPr>
            </w:r>
            <w:r/>
          </w:p>
        </w:tc>
        <w:tc>
          <w:tcPr>
            <w:tcW w:w="1276" w:type="dxa"/>
            <w:vAlign w:val="center"/>
            <w:textDirection w:val="lrTb"/>
            <w:noWrap w:val="false"/>
          </w:tcPr>
          <w:p>
            <w:pPr>
              <w:pStyle w:val="1008"/>
              <w:jc w:val="center"/>
              <w:rPr>
                <w:rFonts w:ascii="宋体" w:cs="宋体"/>
                <w:sz w:val="20"/>
                <w:szCs w:val="20"/>
                <w:highlight w:val="none"/>
              </w:rPr>
            </w:pPr>
            <w:r>
              <w:rPr>
                <w:rFonts w:hint="eastAsia"/>
                <w:sz w:val="20"/>
                <w:szCs w:val="20"/>
                <w:highlight w:val="none"/>
              </w:rPr>
              <w:t xml:space="preserve">每月一次</w:t>
            </w:r>
            <w:r>
              <w:rPr>
                <w:highlight w:val="none"/>
              </w:rPr>
            </w:r>
            <w:r/>
          </w:p>
        </w:tc>
        <w:tc>
          <w:tcPr>
            <w:tcW w:w="2972" w:type="dxa"/>
            <w:vAlign w:val="center"/>
            <w:textDirection w:val="lrTb"/>
            <w:noWrap w:val="false"/>
          </w:tcPr>
          <w:p>
            <w:pPr>
              <w:pStyle w:val="1008"/>
              <w:jc w:val="center"/>
              <w:rPr>
                <w:rFonts w:ascii="宋体" w:cs="宋体"/>
                <w:sz w:val="20"/>
                <w:szCs w:val="20"/>
                <w:highlight w:val="none"/>
              </w:rPr>
            </w:pPr>
            <w:r>
              <w:rPr>
                <w:sz w:val="20"/>
                <w:szCs w:val="20"/>
                <w:highlight w:val="none"/>
              </w:rPr>
              <w:t xml:space="preserve">COD</w:t>
            </w:r>
            <w:r>
              <w:rPr>
                <w:rFonts w:hint="eastAsia"/>
                <w:sz w:val="20"/>
                <w:szCs w:val="20"/>
                <w:highlight w:val="none"/>
              </w:rPr>
              <w:t xml:space="preserve">、</w:t>
            </w:r>
            <w:r>
              <w:rPr>
                <w:sz w:val="20"/>
                <w:szCs w:val="20"/>
                <w:highlight w:val="none"/>
              </w:rPr>
              <w:t xml:space="preserve">BOD</w:t>
            </w:r>
            <w:r>
              <w:rPr>
                <w:rFonts w:hint="eastAsia"/>
                <w:sz w:val="20"/>
                <w:szCs w:val="20"/>
                <w:highlight w:val="none"/>
              </w:rPr>
              <w:t xml:space="preserve">、</w:t>
            </w:r>
            <w:r>
              <w:rPr>
                <w:sz w:val="20"/>
                <w:szCs w:val="20"/>
                <w:highlight w:val="none"/>
              </w:rPr>
              <w:t xml:space="preserve">SS</w:t>
            </w:r>
            <w:r>
              <w:rPr>
                <w:rFonts w:hint="eastAsia"/>
                <w:sz w:val="20"/>
                <w:szCs w:val="20"/>
                <w:highlight w:val="none"/>
              </w:rPr>
              <w:t xml:space="preserve">、</w:t>
            </w:r>
            <w:r>
              <w:rPr>
                <w:sz w:val="20"/>
                <w:szCs w:val="20"/>
                <w:highlight w:val="none"/>
              </w:rPr>
              <w:t xml:space="preserve">PH</w:t>
            </w:r>
            <w:r>
              <w:rPr>
                <w:rFonts w:hint="eastAsia"/>
                <w:sz w:val="20"/>
                <w:szCs w:val="20"/>
                <w:highlight w:val="none"/>
              </w:rPr>
              <w:t xml:space="preserve">、氨氮、总氮、总磷、动植物油、粪大肠菌</w:t>
            </w:r>
            <w:r>
              <w:rPr>
                <w:sz w:val="20"/>
                <w:szCs w:val="20"/>
                <w:highlight w:val="none"/>
              </w:rPr>
              <w:t xml:space="preserve">9</w:t>
            </w:r>
            <w:r>
              <w:rPr>
                <w:rFonts w:hint="eastAsia"/>
                <w:sz w:val="20"/>
                <w:szCs w:val="20"/>
                <w:highlight w:val="none"/>
              </w:rPr>
              <w:t xml:space="preserve">项</w:t>
            </w:r>
            <w:r>
              <w:rPr>
                <w:highlight w:val="none"/>
              </w:rPr>
            </w:r>
            <w:r/>
          </w:p>
        </w:tc>
        <w:tc>
          <w:tcPr>
            <w:tcW w:w="795"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12</w:t>
            </w:r>
            <w:r>
              <w:rPr>
                <w:highlight w:val="none"/>
              </w:rPr>
            </w:r>
            <w:r/>
          </w:p>
        </w:tc>
        <w:tc>
          <w:tcPr>
            <w:tcW w:w="765"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c>
          <w:tcPr>
            <w:tcW w:w="1110"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r>
      <w:tr>
        <w:trPr>
          <w:trHeight w:val="1080"/>
        </w:trPr>
        <w:tc>
          <w:tcPr>
            <w:tcW w:w="582"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3</w:t>
            </w:r>
            <w:r>
              <w:rPr>
                <w:highlight w:val="none"/>
              </w:rPr>
            </w:r>
            <w:r/>
          </w:p>
        </w:tc>
        <w:tc>
          <w:tcPr>
            <w:tcW w:w="1985" w:type="dxa"/>
            <w:vAlign w:val="center"/>
            <w:textDirection w:val="lrTb"/>
            <w:noWrap w:val="false"/>
          </w:tcPr>
          <w:p>
            <w:pPr>
              <w:pStyle w:val="1008"/>
              <w:jc w:val="center"/>
              <w:rPr>
                <w:rFonts w:ascii="宋体" w:cs="宋体"/>
                <w:sz w:val="20"/>
                <w:szCs w:val="20"/>
                <w:highlight w:val="none"/>
              </w:rPr>
            </w:pPr>
            <w:r>
              <w:rPr>
                <w:rFonts w:hint="eastAsia" w:ascii="宋体" w:hAnsi="宋体" w:cs="宋体"/>
                <w:sz w:val="20"/>
                <w:szCs w:val="20"/>
                <w:highlight w:val="none"/>
              </w:rPr>
              <w:t xml:space="preserve">盐城市城东污水厂（进、出水）</w:t>
            </w:r>
            <w:r>
              <w:rPr>
                <w:highlight w:val="none"/>
              </w:rPr>
            </w:r>
            <w:r/>
          </w:p>
        </w:tc>
        <w:tc>
          <w:tcPr>
            <w:tcW w:w="1276" w:type="dxa"/>
            <w:vAlign w:val="center"/>
            <w:textDirection w:val="lrTb"/>
            <w:noWrap w:val="false"/>
          </w:tcPr>
          <w:p>
            <w:pPr>
              <w:pStyle w:val="1008"/>
              <w:jc w:val="center"/>
              <w:rPr>
                <w:rFonts w:ascii="宋体" w:cs="宋体"/>
                <w:sz w:val="20"/>
                <w:szCs w:val="20"/>
                <w:highlight w:val="none"/>
              </w:rPr>
            </w:pPr>
            <w:r>
              <w:rPr>
                <w:rFonts w:hint="eastAsia"/>
                <w:sz w:val="20"/>
                <w:szCs w:val="20"/>
                <w:highlight w:val="none"/>
              </w:rPr>
              <w:t xml:space="preserve">每月一次</w:t>
            </w:r>
            <w:r>
              <w:rPr>
                <w:highlight w:val="none"/>
              </w:rPr>
            </w:r>
            <w:r/>
          </w:p>
        </w:tc>
        <w:tc>
          <w:tcPr>
            <w:tcW w:w="2972" w:type="dxa"/>
            <w:vAlign w:val="center"/>
            <w:textDirection w:val="lrTb"/>
            <w:noWrap w:val="false"/>
          </w:tcPr>
          <w:p>
            <w:pPr>
              <w:pStyle w:val="1008"/>
              <w:jc w:val="center"/>
              <w:rPr>
                <w:rFonts w:ascii="宋体" w:cs="宋体"/>
                <w:sz w:val="20"/>
                <w:szCs w:val="20"/>
                <w:highlight w:val="none"/>
              </w:rPr>
            </w:pPr>
            <w:r>
              <w:rPr>
                <w:sz w:val="20"/>
                <w:szCs w:val="20"/>
                <w:highlight w:val="none"/>
              </w:rPr>
              <w:t xml:space="preserve">COD</w:t>
            </w:r>
            <w:r>
              <w:rPr>
                <w:rFonts w:hint="eastAsia"/>
                <w:sz w:val="20"/>
                <w:szCs w:val="20"/>
                <w:highlight w:val="none"/>
              </w:rPr>
              <w:t xml:space="preserve">、</w:t>
            </w:r>
            <w:r>
              <w:rPr>
                <w:sz w:val="20"/>
                <w:szCs w:val="20"/>
                <w:highlight w:val="none"/>
              </w:rPr>
              <w:t xml:space="preserve">BOD</w:t>
            </w:r>
            <w:r>
              <w:rPr>
                <w:rFonts w:hint="eastAsia"/>
                <w:sz w:val="20"/>
                <w:szCs w:val="20"/>
                <w:highlight w:val="none"/>
              </w:rPr>
              <w:t xml:space="preserve">、</w:t>
            </w:r>
            <w:r>
              <w:rPr>
                <w:sz w:val="20"/>
                <w:szCs w:val="20"/>
                <w:highlight w:val="none"/>
              </w:rPr>
              <w:t xml:space="preserve">SS</w:t>
            </w:r>
            <w:r>
              <w:rPr>
                <w:rFonts w:hint="eastAsia"/>
                <w:sz w:val="20"/>
                <w:szCs w:val="20"/>
                <w:highlight w:val="none"/>
              </w:rPr>
              <w:t xml:space="preserve">、</w:t>
            </w:r>
            <w:r>
              <w:rPr>
                <w:sz w:val="20"/>
                <w:szCs w:val="20"/>
                <w:highlight w:val="none"/>
              </w:rPr>
              <w:t xml:space="preserve">PH</w:t>
            </w:r>
            <w:r>
              <w:rPr>
                <w:rFonts w:hint="eastAsia"/>
                <w:sz w:val="20"/>
                <w:szCs w:val="20"/>
                <w:highlight w:val="none"/>
              </w:rPr>
              <w:t xml:space="preserve">、氨氮、总氮、总磷、动植物油、粪大肠菌</w:t>
            </w:r>
            <w:r>
              <w:rPr>
                <w:sz w:val="20"/>
                <w:szCs w:val="20"/>
                <w:highlight w:val="none"/>
              </w:rPr>
              <w:t xml:space="preserve">9</w:t>
            </w:r>
            <w:r>
              <w:rPr>
                <w:rFonts w:hint="eastAsia"/>
                <w:sz w:val="20"/>
                <w:szCs w:val="20"/>
                <w:highlight w:val="none"/>
              </w:rPr>
              <w:t xml:space="preserve">项</w:t>
            </w:r>
            <w:r>
              <w:rPr>
                <w:highlight w:val="none"/>
              </w:rPr>
            </w:r>
            <w:r/>
          </w:p>
        </w:tc>
        <w:tc>
          <w:tcPr>
            <w:tcW w:w="795" w:type="dxa"/>
            <w:vAlign w:val="center"/>
            <w:textDirection w:val="lrTb"/>
            <w:noWrap w:val="false"/>
          </w:tcPr>
          <w:p>
            <w:pPr>
              <w:pStyle w:val="1008"/>
              <w:jc w:val="center"/>
              <w:rPr>
                <w:sz w:val="20"/>
                <w:szCs w:val="20"/>
                <w:highlight w:val="none"/>
              </w:rPr>
            </w:pPr>
            <w:r>
              <w:rPr>
                <w:rFonts w:ascii="宋体" w:hAnsi="宋体" w:cs="宋体"/>
                <w:sz w:val="20"/>
                <w:szCs w:val="20"/>
                <w:highlight w:val="none"/>
              </w:rPr>
              <w:t xml:space="preserve">12</w:t>
            </w:r>
            <w:r>
              <w:rPr>
                <w:highlight w:val="none"/>
              </w:rPr>
            </w:r>
            <w:r/>
          </w:p>
        </w:tc>
        <w:tc>
          <w:tcPr>
            <w:tcW w:w="765"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c>
          <w:tcPr>
            <w:tcW w:w="1110"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r>
      <w:tr>
        <w:trPr>
          <w:trHeight w:val="540"/>
        </w:trPr>
        <w:tc>
          <w:tcPr>
            <w:tcW w:w="582"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4</w:t>
            </w:r>
            <w:r>
              <w:rPr>
                <w:highlight w:val="none"/>
              </w:rPr>
            </w:r>
            <w:r/>
          </w:p>
        </w:tc>
        <w:tc>
          <w:tcPr>
            <w:tcW w:w="1985" w:type="dxa"/>
            <w:vAlign w:val="center"/>
            <w:textDirection w:val="lrTb"/>
            <w:noWrap w:val="false"/>
          </w:tcPr>
          <w:p>
            <w:pPr>
              <w:pStyle w:val="1008"/>
              <w:jc w:val="center"/>
              <w:rPr>
                <w:rFonts w:ascii="宋体" w:cs="宋体"/>
                <w:sz w:val="20"/>
                <w:szCs w:val="20"/>
                <w:highlight w:val="none"/>
              </w:rPr>
            </w:pPr>
            <w:r>
              <w:rPr>
                <w:rFonts w:hint="eastAsia" w:ascii="宋体" w:hAnsi="宋体" w:cs="宋体"/>
                <w:sz w:val="20"/>
                <w:szCs w:val="20"/>
                <w:highlight w:val="none"/>
              </w:rPr>
              <w:t xml:space="preserve">盐城市城北污水厂（进、出水）</w:t>
            </w:r>
            <w:r>
              <w:rPr>
                <w:highlight w:val="none"/>
              </w:rPr>
            </w:r>
            <w:r/>
          </w:p>
        </w:tc>
        <w:tc>
          <w:tcPr>
            <w:tcW w:w="1276" w:type="dxa"/>
            <w:vAlign w:val="center"/>
            <w:textDirection w:val="lrTb"/>
            <w:noWrap w:val="false"/>
          </w:tcPr>
          <w:p>
            <w:pPr>
              <w:pStyle w:val="1008"/>
              <w:jc w:val="center"/>
              <w:rPr>
                <w:rFonts w:ascii="宋体" w:cs="宋体"/>
                <w:sz w:val="20"/>
                <w:szCs w:val="20"/>
                <w:highlight w:val="none"/>
              </w:rPr>
            </w:pPr>
            <w:r>
              <w:rPr>
                <w:rFonts w:hint="eastAsia"/>
                <w:sz w:val="20"/>
                <w:szCs w:val="20"/>
                <w:highlight w:val="none"/>
              </w:rPr>
              <w:t xml:space="preserve">每月一次</w:t>
            </w:r>
            <w:r>
              <w:rPr>
                <w:highlight w:val="none"/>
              </w:rPr>
            </w:r>
            <w:r/>
          </w:p>
        </w:tc>
        <w:tc>
          <w:tcPr>
            <w:tcW w:w="2972" w:type="dxa"/>
            <w:vAlign w:val="center"/>
            <w:textDirection w:val="lrTb"/>
            <w:noWrap w:val="false"/>
          </w:tcPr>
          <w:p>
            <w:pPr>
              <w:pStyle w:val="1008"/>
              <w:jc w:val="center"/>
              <w:rPr>
                <w:rFonts w:ascii="宋体" w:cs="宋体"/>
                <w:sz w:val="20"/>
                <w:szCs w:val="20"/>
                <w:highlight w:val="none"/>
              </w:rPr>
            </w:pPr>
            <w:r>
              <w:rPr>
                <w:sz w:val="20"/>
                <w:szCs w:val="20"/>
                <w:highlight w:val="none"/>
              </w:rPr>
              <w:t xml:space="preserve">COD</w:t>
            </w:r>
            <w:r>
              <w:rPr>
                <w:rFonts w:hint="eastAsia"/>
                <w:sz w:val="20"/>
                <w:szCs w:val="20"/>
                <w:highlight w:val="none"/>
              </w:rPr>
              <w:t xml:space="preserve">、</w:t>
            </w:r>
            <w:r>
              <w:rPr>
                <w:sz w:val="20"/>
                <w:szCs w:val="20"/>
                <w:highlight w:val="none"/>
              </w:rPr>
              <w:t xml:space="preserve">BOD</w:t>
            </w:r>
            <w:r>
              <w:rPr>
                <w:rFonts w:hint="eastAsia"/>
                <w:sz w:val="20"/>
                <w:szCs w:val="20"/>
                <w:highlight w:val="none"/>
              </w:rPr>
              <w:t xml:space="preserve">、</w:t>
            </w:r>
            <w:r>
              <w:rPr>
                <w:sz w:val="20"/>
                <w:szCs w:val="20"/>
                <w:highlight w:val="none"/>
              </w:rPr>
              <w:t xml:space="preserve">SS</w:t>
            </w:r>
            <w:r>
              <w:rPr>
                <w:rFonts w:hint="eastAsia"/>
                <w:sz w:val="20"/>
                <w:szCs w:val="20"/>
                <w:highlight w:val="none"/>
              </w:rPr>
              <w:t xml:space="preserve">、</w:t>
            </w:r>
            <w:r>
              <w:rPr>
                <w:sz w:val="20"/>
                <w:szCs w:val="20"/>
                <w:highlight w:val="none"/>
              </w:rPr>
              <w:t xml:space="preserve">PH</w:t>
            </w:r>
            <w:r>
              <w:rPr>
                <w:rFonts w:hint="eastAsia"/>
                <w:sz w:val="20"/>
                <w:szCs w:val="20"/>
                <w:highlight w:val="none"/>
              </w:rPr>
              <w:t xml:space="preserve">、氨氮、总氮、总磷、动植物油、粪大肠菌</w:t>
            </w:r>
            <w:r>
              <w:rPr>
                <w:sz w:val="20"/>
                <w:szCs w:val="20"/>
                <w:highlight w:val="none"/>
              </w:rPr>
              <w:t xml:space="preserve">9</w:t>
            </w:r>
            <w:r>
              <w:rPr>
                <w:rFonts w:hint="eastAsia"/>
                <w:sz w:val="20"/>
                <w:szCs w:val="20"/>
                <w:highlight w:val="none"/>
              </w:rPr>
              <w:t xml:space="preserve">项</w:t>
            </w:r>
            <w:r>
              <w:rPr>
                <w:highlight w:val="none"/>
              </w:rPr>
            </w:r>
            <w:r/>
          </w:p>
        </w:tc>
        <w:tc>
          <w:tcPr>
            <w:tcW w:w="795" w:type="dxa"/>
            <w:vAlign w:val="center"/>
            <w:textDirection w:val="lrTb"/>
            <w:noWrap w:val="false"/>
          </w:tcPr>
          <w:p>
            <w:pPr>
              <w:pStyle w:val="1008"/>
              <w:jc w:val="center"/>
              <w:rPr>
                <w:sz w:val="20"/>
                <w:szCs w:val="20"/>
                <w:highlight w:val="none"/>
              </w:rPr>
            </w:pPr>
            <w:r>
              <w:rPr>
                <w:rFonts w:ascii="宋体" w:hAnsi="宋体" w:cs="宋体"/>
                <w:sz w:val="20"/>
                <w:szCs w:val="20"/>
                <w:highlight w:val="none"/>
              </w:rPr>
              <w:t xml:space="preserve">12</w:t>
            </w:r>
            <w:r>
              <w:rPr>
                <w:highlight w:val="none"/>
              </w:rPr>
            </w:r>
            <w:r/>
          </w:p>
        </w:tc>
        <w:tc>
          <w:tcPr>
            <w:tcW w:w="765"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c>
          <w:tcPr>
            <w:tcW w:w="1110"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r>
      <w:tr>
        <w:trPr>
          <w:trHeight w:val="540"/>
        </w:trPr>
        <w:tc>
          <w:tcPr>
            <w:tcW w:w="582"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5</w:t>
            </w:r>
            <w:r>
              <w:rPr>
                <w:highlight w:val="none"/>
              </w:rPr>
            </w:r>
            <w:r/>
          </w:p>
        </w:tc>
        <w:tc>
          <w:tcPr>
            <w:tcW w:w="1985" w:type="dxa"/>
            <w:vAlign w:val="center"/>
            <w:textDirection w:val="lrTb"/>
            <w:noWrap w:val="false"/>
          </w:tcPr>
          <w:p>
            <w:pPr>
              <w:pStyle w:val="1008"/>
              <w:jc w:val="center"/>
              <w:rPr>
                <w:rFonts w:ascii="宋体" w:cs="宋体"/>
                <w:sz w:val="20"/>
                <w:szCs w:val="20"/>
                <w:highlight w:val="none"/>
              </w:rPr>
            </w:pPr>
            <w:r>
              <w:rPr>
                <w:rFonts w:hint="eastAsia" w:ascii="宋体" w:hAnsi="宋体" w:cs="宋体"/>
                <w:sz w:val="20"/>
                <w:szCs w:val="20"/>
                <w:highlight w:val="none"/>
              </w:rPr>
              <w:t xml:space="preserve">江苏东方水务有限公司（进、出水）</w:t>
            </w:r>
            <w:r>
              <w:rPr>
                <w:highlight w:val="none"/>
              </w:rPr>
            </w:r>
            <w:r/>
          </w:p>
        </w:tc>
        <w:tc>
          <w:tcPr>
            <w:tcW w:w="1276" w:type="dxa"/>
            <w:vAlign w:val="center"/>
            <w:textDirection w:val="lrTb"/>
            <w:noWrap w:val="false"/>
          </w:tcPr>
          <w:p>
            <w:pPr>
              <w:pStyle w:val="1008"/>
              <w:jc w:val="center"/>
              <w:rPr>
                <w:rFonts w:ascii="宋体" w:cs="宋体"/>
                <w:sz w:val="20"/>
                <w:szCs w:val="20"/>
                <w:highlight w:val="none"/>
              </w:rPr>
            </w:pPr>
            <w:r>
              <w:rPr>
                <w:rFonts w:hint="eastAsia"/>
                <w:sz w:val="20"/>
                <w:szCs w:val="20"/>
                <w:highlight w:val="none"/>
              </w:rPr>
              <w:t xml:space="preserve">每月一次</w:t>
            </w:r>
            <w:r>
              <w:rPr>
                <w:highlight w:val="none"/>
              </w:rPr>
            </w:r>
            <w:r/>
          </w:p>
        </w:tc>
        <w:tc>
          <w:tcPr>
            <w:tcW w:w="2972" w:type="dxa"/>
            <w:vAlign w:val="center"/>
            <w:textDirection w:val="lrTb"/>
            <w:noWrap w:val="false"/>
          </w:tcPr>
          <w:p>
            <w:pPr>
              <w:pStyle w:val="1008"/>
              <w:jc w:val="center"/>
              <w:rPr>
                <w:rFonts w:ascii="宋体" w:cs="宋体"/>
                <w:sz w:val="20"/>
                <w:szCs w:val="20"/>
                <w:highlight w:val="none"/>
              </w:rPr>
            </w:pPr>
            <w:r>
              <w:rPr>
                <w:sz w:val="20"/>
                <w:szCs w:val="20"/>
                <w:highlight w:val="none"/>
              </w:rPr>
              <w:t xml:space="preserve">COD</w:t>
            </w:r>
            <w:r>
              <w:rPr>
                <w:rFonts w:hint="eastAsia"/>
                <w:sz w:val="20"/>
                <w:szCs w:val="20"/>
                <w:highlight w:val="none"/>
              </w:rPr>
              <w:t xml:space="preserve">、</w:t>
            </w:r>
            <w:r>
              <w:rPr>
                <w:sz w:val="20"/>
                <w:szCs w:val="20"/>
                <w:highlight w:val="none"/>
              </w:rPr>
              <w:t xml:space="preserve">BOD</w:t>
            </w:r>
            <w:r>
              <w:rPr>
                <w:rFonts w:hint="eastAsia"/>
                <w:sz w:val="20"/>
                <w:szCs w:val="20"/>
                <w:highlight w:val="none"/>
              </w:rPr>
              <w:t xml:space="preserve">、</w:t>
            </w:r>
            <w:r>
              <w:rPr>
                <w:sz w:val="20"/>
                <w:szCs w:val="20"/>
                <w:highlight w:val="none"/>
              </w:rPr>
              <w:t xml:space="preserve">SS</w:t>
            </w:r>
            <w:r>
              <w:rPr>
                <w:rFonts w:hint="eastAsia"/>
                <w:sz w:val="20"/>
                <w:szCs w:val="20"/>
                <w:highlight w:val="none"/>
              </w:rPr>
              <w:t xml:space="preserve">、</w:t>
            </w:r>
            <w:r>
              <w:rPr>
                <w:sz w:val="20"/>
                <w:szCs w:val="20"/>
                <w:highlight w:val="none"/>
              </w:rPr>
              <w:t xml:space="preserve">PH</w:t>
            </w:r>
            <w:r>
              <w:rPr>
                <w:rFonts w:hint="eastAsia"/>
                <w:sz w:val="20"/>
                <w:szCs w:val="20"/>
                <w:highlight w:val="none"/>
              </w:rPr>
              <w:t xml:space="preserve">、氨氮、总氮、总磷、动植物油、粪大肠菌</w:t>
            </w:r>
            <w:r>
              <w:rPr>
                <w:sz w:val="20"/>
                <w:szCs w:val="20"/>
                <w:highlight w:val="none"/>
              </w:rPr>
              <w:t xml:space="preserve">9</w:t>
            </w:r>
            <w:r>
              <w:rPr>
                <w:rFonts w:hint="eastAsia"/>
                <w:sz w:val="20"/>
                <w:szCs w:val="20"/>
                <w:highlight w:val="none"/>
              </w:rPr>
              <w:t xml:space="preserve">项</w:t>
            </w:r>
            <w:r>
              <w:rPr>
                <w:highlight w:val="none"/>
              </w:rPr>
            </w:r>
            <w:r/>
          </w:p>
        </w:tc>
        <w:tc>
          <w:tcPr>
            <w:tcW w:w="795" w:type="dxa"/>
            <w:vAlign w:val="center"/>
            <w:textDirection w:val="lrTb"/>
            <w:noWrap w:val="false"/>
          </w:tcPr>
          <w:p>
            <w:pPr>
              <w:pStyle w:val="1008"/>
              <w:jc w:val="center"/>
              <w:rPr>
                <w:sz w:val="20"/>
                <w:szCs w:val="20"/>
                <w:highlight w:val="none"/>
              </w:rPr>
            </w:pPr>
            <w:r>
              <w:rPr>
                <w:rFonts w:ascii="宋体" w:hAnsi="宋体" w:cs="宋体"/>
                <w:sz w:val="20"/>
                <w:szCs w:val="20"/>
                <w:highlight w:val="none"/>
              </w:rPr>
              <w:t xml:space="preserve">12</w:t>
            </w:r>
            <w:r>
              <w:rPr>
                <w:highlight w:val="none"/>
              </w:rPr>
            </w:r>
            <w:r/>
          </w:p>
        </w:tc>
        <w:tc>
          <w:tcPr>
            <w:tcW w:w="765"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c>
          <w:tcPr>
            <w:tcW w:w="1110"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r>
      <w:tr>
        <w:trPr>
          <w:trHeight w:val="270"/>
        </w:trPr>
        <w:tc>
          <w:tcPr>
            <w:tcW w:w="582"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6</w:t>
            </w:r>
            <w:r>
              <w:rPr>
                <w:highlight w:val="none"/>
              </w:rPr>
            </w:r>
            <w:r/>
          </w:p>
        </w:tc>
        <w:tc>
          <w:tcPr>
            <w:tcW w:w="1985" w:type="dxa"/>
            <w:vAlign w:val="center"/>
            <w:textDirection w:val="lrTb"/>
            <w:noWrap w:val="false"/>
          </w:tcPr>
          <w:p>
            <w:pPr>
              <w:pStyle w:val="1008"/>
              <w:jc w:val="center"/>
              <w:rPr>
                <w:rFonts w:ascii="宋体" w:cs="宋体"/>
                <w:sz w:val="20"/>
                <w:szCs w:val="20"/>
                <w:highlight w:val="none"/>
              </w:rPr>
            </w:pPr>
            <w:r>
              <w:rPr>
                <w:rFonts w:hint="eastAsia" w:ascii="宋体" w:hAnsi="宋体" w:cs="宋体"/>
                <w:sz w:val="20"/>
                <w:szCs w:val="20"/>
                <w:highlight w:val="none"/>
              </w:rPr>
              <w:t xml:space="preserve">盐城市开发区污水厂（进、出水）</w:t>
            </w:r>
            <w:r>
              <w:rPr>
                <w:highlight w:val="none"/>
              </w:rPr>
            </w:r>
            <w:r/>
          </w:p>
        </w:tc>
        <w:tc>
          <w:tcPr>
            <w:tcW w:w="1276" w:type="dxa"/>
            <w:vAlign w:val="center"/>
            <w:textDirection w:val="lrTb"/>
            <w:noWrap w:val="false"/>
          </w:tcPr>
          <w:p>
            <w:pPr>
              <w:pStyle w:val="1008"/>
              <w:jc w:val="center"/>
              <w:rPr>
                <w:sz w:val="20"/>
                <w:szCs w:val="20"/>
                <w:highlight w:val="none"/>
              </w:rPr>
            </w:pPr>
            <w:r>
              <w:rPr>
                <w:rFonts w:hint="eastAsia"/>
                <w:sz w:val="20"/>
                <w:szCs w:val="20"/>
                <w:highlight w:val="none"/>
              </w:rPr>
              <w:t xml:space="preserve">每月一次</w:t>
            </w:r>
            <w:r>
              <w:rPr>
                <w:highlight w:val="none"/>
              </w:rPr>
            </w:r>
            <w:r/>
          </w:p>
        </w:tc>
        <w:tc>
          <w:tcPr>
            <w:tcW w:w="2972" w:type="dxa"/>
            <w:vAlign w:val="center"/>
            <w:textDirection w:val="lrTb"/>
            <w:noWrap w:val="false"/>
          </w:tcPr>
          <w:p>
            <w:pPr>
              <w:pStyle w:val="1008"/>
              <w:jc w:val="center"/>
              <w:rPr>
                <w:rFonts w:ascii="宋体" w:cs="宋体"/>
                <w:sz w:val="20"/>
                <w:szCs w:val="20"/>
                <w:highlight w:val="none"/>
              </w:rPr>
            </w:pPr>
            <w:r>
              <w:rPr>
                <w:sz w:val="20"/>
                <w:szCs w:val="20"/>
                <w:highlight w:val="none"/>
              </w:rPr>
              <w:t xml:space="preserve">COD</w:t>
            </w:r>
            <w:r>
              <w:rPr>
                <w:rFonts w:hint="eastAsia"/>
                <w:sz w:val="20"/>
                <w:szCs w:val="20"/>
                <w:highlight w:val="none"/>
              </w:rPr>
              <w:t xml:space="preserve">、</w:t>
            </w:r>
            <w:r>
              <w:rPr>
                <w:sz w:val="20"/>
                <w:szCs w:val="20"/>
                <w:highlight w:val="none"/>
              </w:rPr>
              <w:t xml:space="preserve">BOD</w:t>
            </w:r>
            <w:r>
              <w:rPr>
                <w:rFonts w:hint="eastAsia"/>
                <w:sz w:val="20"/>
                <w:szCs w:val="20"/>
                <w:highlight w:val="none"/>
              </w:rPr>
              <w:t xml:space="preserve">、</w:t>
            </w:r>
            <w:r>
              <w:rPr>
                <w:sz w:val="20"/>
                <w:szCs w:val="20"/>
                <w:highlight w:val="none"/>
              </w:rPr>
              <w:t xml:space="preserve">SS</w:t>
            </w:r>
            <w:r>
              <w:rPr>
                <w:rFonts w:hint="eastAsia"/>
                <w:sz w:val="20"/>
                <w:szCs w:val="20"/>
                <w:highlight w:val="none"/>
              </w:rPr>
              <w:t xml:space="preserve">、</w:t>
            </w:r>
            <w:r>
              <w:rPr>
                <w:sz w:val="20"/>
                <w:szCs w:val="20"/>
                <w:highlight w:val="none"/>
              </w:rPr>
              <w:t xml:space="preserve">PH</w:t>
            </w:r>
            <w:r>
              <w:rPr>
                <w:rFonts w:hint="eastAsia"/>
                <w:sz w:val="20"/>
                <w:szCs w:val="20"/>
                <w:highlight w:val="none"/>
              </w:rPr>
              <w:t xml:space="preserve">、氨氮、总氮、总磷、动植物油、粪大肠菌</w:t>
            </w:r>
            <w:r>
              <w:rPr>
                <w:sz w:val="20"/>
                <w:szCs w:val="20"/>
                <w:highlight w:val="none"/>
              </w:rPr>
              <w:t xml:space="preserve">9</w:t>
            </w:r>
            <w:r>
              <w:rPr>
                <w:rFonts w:hint="eastAsia"/>
                <w:sz w:val="20"/>
                <w:szCs w:val="20"/>
                <w:highlight w:val="none"/>
              </w:rPr>
              <w:t xml:space="preserve">项</w:t>
            </w:r>
            <w:r>
              <w:rPr>
                <w:highlight w:val="none"/>
              </w:rPr>
            </w:r>
            <w:r/>
          </w:p>
        </w:tc>
        <w:tc>
          <w:tcPr>
            <w:tcW w:w="795" w:type="dxa"/>
            <w:vAlign w:val="center"/>
            <w:textDirection w:val="lrTb"/>
            <w:noWrap w:val="false"/>
          </w:tcPr>
          <w:p>
            <w:pPr>
              <w:pStyle w:val="1008"/>
              <w:jc w:val="center"/>
              <w:rPr>
                <w:sz w:val="20"/>
                <w:szCs w:val="20"/>
                <w:highlight w:val="none"/>
              </w:rPr>
            </w:pPr>
            <w:r>
              <w:rPr>
                <w:rFonts w:ascii="宋体" w:hAnsi="宋体" w:cs="宋体"/>
                <w:sz w:val="20"/>
                <w:szCs w:val="20"/>
                <w:highlight w:val="none"/>
              </w:rPr>
              <w:t xml:space="preserve">12</w:t>
            </w:r>
            <w:r>
              <w:rPr>
                <w:highlight w:val="none"/>
              </w:rPr>
            </w:r>
            <w:r/>
          </w:p>
        </w:tc>
        <w:tc>
          <w:tcPr>
            <w:tcW w:w="765"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c>
          <w:tcPr>
            <w:tcW w:w="1110"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r>
      <w:tr>
        <w:trPr>
          <w:trHeight w:val="1001"/>
        </w:trPr>
        <w:tc>
          <w:tcPr>
            <w:tcW w:w="582"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7</w:t>
            </w:r>
            <w:r>
              <w:rPr>
                <w:highlight w:val="none"/>
              </w:rPr>
            </w:r>
            <w:r/>
          </w:p>
        </w:tc>
        <w:tc>
          <w:tcPr>
            <w:tcW w:w="1985" w:type="dxa"/>
            <w:vAlign w:val="center"/>
            <w:textDirection w:val="lrTb"/>
            <w:noWrap w:val="false"/>
          </w:tcPr>
          <w:p>
            <w:pPr>
              <w:pStyle w:val="1008"/>
              <w:jc w:val="center"/>
              <w:rPr>
                <w:rFonts w:ascii="宋体" w:cs="宋体"/>
                <w:sz w:val="20"/>
                <w:szCs w:val="20"/>
                <w:highlight w:val="none"/>
              </w:rPr>
            </w:pPr>
            <w:r>
              <w:rPr>
                <w:rFonts w:hint="eastAsia" w:ascii="宋体" w:hAnsi="宋体" w:cs="宋体"/>
                <w:sz w:val="20"/>
                <w:szCs w:val="20"/>
                <w:highlight w:val="none"/>
              </w:rPr>
              <w:t xml:space="preserve">大丰区开发区</w:t>
            </w:r>
            <w:r>
              <w:rPr>
                <w:highlight w:val="none"/>
              </w:rPr>
            </w:r>
            <w:r/>
          </w:p>
          <w:p>
            <w:pPr>
              <w:pStyle w:val="1008"/>
              <w:jc w:val="center"/>
              <w:rPr>
                <w:rFonts w:ascii="宋体" w:cs="宋体"/>
                <w:sz w:val="20"/>
                <w:szCs w:val="20"/>
                <w:highlight w:val="none"/>
              </w:rPr>
            </w:pPr>
            <w:r>
              <w:rPr>
                <w:rFonts w:hint="eastAsia" w:ascii="宋体" w:hAnsi="宋体" w:cs="宋体"/>
                <w:sz w:val="20"/>
                <w:szCs w:val="20"/>
                <w:highlight w:val="none"/>
              </w:rPr>
              <w:t xml:space="preserve">污水厂（进、出水）（进、出水）</w:t>
            </w:r>
            <w:r>
              <w:rPr>
                <w:highlight w:val="none"/>
              </w:rPr>
            </w:r>
            <w:r/>
          </w:p>
        </w:tc>
        <w:tc>
          <w:tcPr>
            <w:tcW w:w="1276" w:type="dxa"/>
            <w:vAlign w:val="center"/>
            <w:textDirection w:val="lrTb"/>
            <w:noWrap w:val="false"/>
          </w:tcPr>
          <w:p>
            <w:pPr>
              <w:pStyle w:val="1008"/>
              <w:jc w:val="center"/>
              <w:rPr>
                <w:sz w:val="20"/>
                <w:szCs w:val="20"/>
                <w:highlight w:val="none"/>
              </w:rPr>
            </w:pPr>
            <w:r>
              <w:rPr>
                <w:rFonts w:hint="eastAsia"/>
                <w:sz w:val="20"/>
                <w:szCs w:val="20"/>
                <w:highlight w:val="none"/>
              </w:rPr>
              <w:t xml:space="preserve">每月一次</w:t>
            </w:r>
            <w:r>
              <w:rPr>
                <w:highlight w:val="none"/>
              </w:rPr>
            </w:r>
            <w:r/>
          </w:p>
        </w:tc>
        <w:tc>
          <w:tcPr>
            <w:tcW w:w="2972" w:type="dxa"/>
            <w:vAlign w:val="center"/>
            <w:textDirection w:val="lrTb"/>
            <w:noWrap w:val="false"/>
          </w:tcPr>
          <w:p>
            <w:pPr>
              <w:pStyle w:val="1008"/>
              <w:jc w:val="center"/>
              <w:rPr>
                <w:rFonts w:ascii="宋体" w:cs="宋体"/>
                <w:sz w:val="20"/>
                <w:szCs w:val="20"/>
                <w:highlight w:val="none"/>
              </w:rPr>
            </w:pPr>
            <w:r>
              <w:rPr>
                <w:sz w:val="20"/>
                <w:szCs w:val="20"/>
                <w:highlight w:val="none"/>
              </w:rPr>
              <w:t xml:space="preserve">COD</w:t>
            </w:r>
            <w:r>
              <w:rPr>
                <w:rFonts w:hint="eastAsia"/>
                <w:sz w:val="20"/>
                <w:szCs w:val="20"/>
                <w:highlight w:val="none"/>
              </w:rPr>
              <w:t xml:space="preserve">、</w:t>
            </w:r>
            <w:r>
              <w:rPr>
                <w:sz w:val="20"/>
                <w:szCs w:val="20"/>
                <w:highlight w:val="none"/>
              </w:rPr>
              <w:t xml:space="preserve">BOD</w:t>
            </w:r>
            <w:r>
              <w:rPr>
                <w:rFonts w:hint="eastAsia"/>
                <w:sz w:val="20"/>
                <w:szCs w:val="20"/>
                <w:highlight w:val="none"/>
              </w:rPr>
              <w:t xml:space="preserve">、</w:t>
            </w:r>
            <w:r>
              <w:rPr>
                <w:sz w:val="20"/>
                <w:szCs w:val="20"/>
                <w:highlight w:val="none"/>
              </w:rPr>
              <w:t xml:space="preserve">SS</w:t>
            </w:r>
            <w:r>
              <w:rPr>
                <w:rFonts w:hint="eastAsia"/>
                <w:sz w:val="20"/>
                <w:szCs w:val="20"/>
                <w:highlight w:val="none"/>
              </w:rPr>
              <w:t xml:space="preserve">、</w:t>
            </w:r>
            <w:r>
              <w:rPr>
                <w:sz w:val="20"/>
                <w:szCs w:val="20"/>
                <w:highlight w:val="none"/>
              </w:rPr>
              <w:t xml:space="preserve">PH</w:t>
            </w:r>
            <w:r>
              <w:rPr>
                <w:rFonts w:hint="eastAsia"/>
                <w:sz w:val="20"/>
                <w:szCs w:val="20"/>
                <w:highlight w:val="none"/>
              </w:rPr>
              <w:t xml:space="preserve">、氨氮、总氮、总磷、动植物油、粪大肠菌</w:t>
            </w:r>
            <w:r>
              <w:rPr>
                <w:sz w:val="20"/>
                <w:szCs w:val="20"/>
                <w:highlight w:val="none"/>
              </w:rPr>
              <w:t xml:space="preserve">9</w:t>
            </w:r>
            <w:r>
              <w:rPr>
                <w:rFonts w:hint="eastAsia"/>
                <w:sz w:val="20"/>
                <w:szCs w:val="20"/>
                <w:highlight w:val="none"/>
              </w:rPr>
              <w:t xml:space="preserve">项</w:t>
            </w:r>
            <w:r>
              <w:rPr>
                <w:highlight w:val="none"/>
              </w:rPr>
            </w:r>
            <w:r/>
          </w:p>
        </w:tc>
        <w:tc>
          <w:tcPr>
            <w:tcW w:w="795" w:type="dxa"/>
            <w:vAlign w:val="center"/>
            <w:textDirection w:val="lrTb"/>
            <w:noWrap w:val="false"/>
          </w:tcPr>
          <w:p>
            <w:pPr>
              <w:pStyle w:val="1008"/>
              <w:jc w:val="center"/>
              <w:rPr>
                <w:sz w:val="20"/>
                <w:szCs w:val="20"/>
                <w:highlight w:val="none"/>
              </w:rPr>
            </w:pPr>
            <w:r>
              <w:rPr>
                <w:rFonts w:ascii="宋体" w:hAnsi="宋体" w:cs="宋体"/>
                <w:sz w:val="20"/>
                <w:szCs w:val="20"/>
                <w:highlight w:val="none"/>
              </w:rPr>
              <w:t xml:space="preserve">12</w:t>
            </w:r>
            <w:r>
              <w:rPr>
                <w:highlight w:val="none"/>
              </w:rPr>
            </w:r>
            <w:r/>
          </w:p>
        </w:tc>
        <w:tc>
          <w:tcPr>
            <w:tcW w:w="765"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c>
          <w:tcPr>
            <w:tcW w:w="1110"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r>
      <w:tr>
        <w:trPr>
          <w:trHeight w:val="1001"/>
        </w:trPr>
        <w:tc>
          <w:tcPr>
            <w:tcW w:w="582"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8</w:t>
            </w:r>
            <w:r>
              <w:rPr>
                <w:highlight w:val="none"/>
              </w:rPr>
            </w:r>
            <w:r/>
          </w:p>
        </w:tc>
        <w:tc>
          <w:tcPr>
            <w:tcW w:w="1985" w:type="dxa"/>
            <w:vAlign w:val="center"/>
            <w:textDirection w:val="lrTb"/>
            <w:noWrap w:val="false"/>
          </w:tcPr>
          <w:p>
            <w:pPr>
              <w:pStyle w:val="1008"/>
              <w:jc w:val="center"/>
              <w:rPr>
                <w:rFonts w:ascii="宋体" w:cs="宋体"/>
                <w:sz w:val="20"/>
                <w:szCs w:val="20"/>
                <w:highlight w:val="none"/>
              </w:rPr>
            </w:pPr>
            <w:r>
              <w:rPr>
                <w:rFonts w:hint="eastAsia" w:ascii="宋体" w:hAnsi="宋体" w:cs="宋体"/>
                <w:sz w:val="20"/>
                <w:szCs w:val="20"/>
                <w:highlight w:val="none"/>
              </w:rPr>
              <w:t xml:space="preserve">大丰区城北污水厂（进、出水）</w:t>
            </w:r>
            <w:r>
              <w:rPr>
                <w:highlight w:val="none"/>
              </w:rPr>
            </w:r>
            <w:r/>
          </w:p>
        </w:tc>
        <w:tc>
          <w:tcPr>
            <w:tcW w:w="1276" w:type="dxa"/>
            <w:vAlign w:val="center"/>
            <w:textDirection w:val="lrTb"/>
            <w:noWrap w:val="false"/>
          </w:tcPr>
          <w:p>
            <w:pPr>
              <w:pStyle w:val="1008"/>
              <w:jc w:val="center"/>
              <w:rPr>
                <w:sz w:val="20"/>
                <w:szCs w:val="20"/>
                <w:highlight w:val="none"/>
              </w:rPr>
            </w:pPr>
            <w:r>
              <w:rPr>
                <w:rFonts w:hint="eastAsia"/>
                <w:sz w:val="20"/>
                <w:szCs w:val="20"/>
                <w:highlight w:val="none"/>
              </w:rPr>
              <w:t xml:space="preserve">每月一次</w:t>
            </w:r>
            <w:r>
              <w:rPr>
                <w:highlight w:val="none"/>
              </w:rPr>
            </w:r>
            <w:r/>
          </w:p>
        </w:tc>
        <w:tc>
          <w:tcPr>
            <w:tcW w:w="2972" w:type="dxa"/>
            <w:vAlign w:val="center"/>
            <w:textDirection w:val="lrTb"/>
            <w:noWrap w:val="false"/>
          </w:tcPr>
          <w:p>
            <w:pPr>
              <w:pStyle w:val="1008"/>
              <w:jc w:val="center"/>
              <w:rPr>
                <w:rFonts w:ascii="宋体" w:cs="宋体"/>
                <w:sz w:val="20"/>
                <w:szCs w:val="20"/>
                <w:highlight w:val="none"/>
              </w:rPr>
            </w:pPr>
            <w:r>
              <w:rPr>
                <w:sz w:val="20"/>
                <w:szCs w:val="20"/>
                <w:highlight w:val="none"/>
              </w:rPr>
              <w:t xml:space="preserve">COD</w:t>
            </w:r>
            <w:r>
              <w:rPr>
                <w:rFonts w:hint="eastAsia"/>
                <w:sz w:val="20"/>
                <w:szCs w:val="20"/>
                <w:highlight w:val="none"/>
              </w:rPr>
              <w:t xml:space="preserve">、</w:t>
            </w:r>
            <w:r>
              <w:rPr>
                <w:sz w:val="20"/>
                <w:szCs w:val="20"/>
                <w:highlight w:val="none"/>
              </w:rPr>
              <w:t xml:space="preserve">BOD</w:t>
            </w:r>
            <w:r>
              <w:rPr>
                <w:rFonts w:hint="eastAsia"/>
                <w:sz w:val="20"/>
                <w:szCs w:val="20"/>
                <w:highlight w:val="none"/>
              </w:rPr>
              <w:t xml:space="preserve">、</w:t>
            </w:r>
            <w:r>
              <w:rPr>
                <w:sz w:val="20"/>
                <w:szCs w:val="20"/>
                <w:highlight w:val="none"/>
              </w:rPr>
              <w:t xml:space="preserve">SS</w:t>
            </w:r>
            <w:r>
              <w:rPr>
                <w:rFonts w:hint="eastAsia"/>
                <w:sz w:val="20"/>
                <w:szCs w:val="20"/>
                <w:highlight w:val="none"/>
              </w:rPr>
              <w:t xml:space="preserve">、</w:t>
            </w:r>
            <w:r>
              <w:rPr>
                <w:sz w:val="20"/>
                <w:szCs w:val="20"/>
                <w:highlight w:val="none"/>
              </w:rPr>
              <w:t xml:space="preserve">PH</w:t>
            </w:r>
            <w:r>
              <w:rPr>
                <w:rFonts w:hint="eastAsia"/>
                <w:sz w:val="20"/>
                <w:szCs w:val="20"/>
                <w:highlight w:val="none"/>
              </w:rPr>
              <w:t xml:space="preserve">、氨氮、总氮、总磷、动植物油、粪大肠菌</w:t>
            </w:r>
            <w:r>
              <w:rPr>
                <w:sz w:val="20"/>
                <w:szCs w:val="20"/>
                <w:highlight w:val="none"/>
              </w:rPr>
              <w:t xml:space="preserve">9</w:t>
            </w:r>
            <w:r>
              <w:rPr>
                <w:rFonts w:hint="eastAsia"/>
                <w:sz w:val="20"/>
                <w:szCs w:val="20"/>
                <w:highlight w:val="none"/>
              </w:rPr>
              <w:t xml:space="preserve">项</w:t>
            </w:r>
            <w:r>
              <w:rPr>
                <w:highlight w:val="none"/>
              </w:rPr>
            </w:r>
            <w:r/>
          </w:p>
        </w:tc>
        <w:tc>
          <w:tcPr>
            <w:tcW w:w="795" w:type="dxa"/>
            <w:vAlign w:val="center"/>
            <w:textDirection w:val="lrTb"/>
            <w:noWrap w:val="false"/>
          </w:tcPr>
          <w:p>
            <w:pPr>
              <w:pStyle w:val="1008"/>
              <w:jc w:val="center"/>
              <w:rPr>
                <w:sz w:val="20"/>
                <w:szCs w:val="20"/>
                <w:highlight w:val="none"/>
              </w:rPr>
            </w:pPr>
            <w:r>
              <w:rPr>
                <w:rFonts w:ascii="宋体" w:hAnsi="宋体" w:cs="宋体"/>
                <w:sz w:val="20"/>
                <w:szCs w:val="20"/>
                <w:highlight w:val="none"/>
              </w:rPr>
              <w:t xml:space="preserve">12</w:t>
            </w:r>
            <w:r>
              <w:rPr>
                <w:highlight w:val="none"/>
              </w:rPr>
            </w:r>
            <w:r/>
          </w:p>
        </w:tc>
        <w:tc>
          <w:tcPr>
            <w:tcW w:w="765"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c>
          <w:tcPr>
            <w:tcW w:w="1110"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r>
      <w:tr>
        <w:trPr>
          <w:trHeight w:val="1001"/>
        </w:trPr>
        <w:tc>
          <w:tcPr>
            <w:tcW w:w="582"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9</w:t>
            </w:r>
            <w:r>
              <w:rPr>
                <w:highlight w:val="none"/>
              </w:rPr>
            </w:r>
            <w:r/>
          </w:p>
        </w:tc>
        <w:tc>
          <w:tcPr>
            <w:tcW w:w="1985" w:type="dxa"/>
            <w:vAlign w:val="center"/>
            <w:textDirection w:val="lrTb"/>
            <w:noWrap w:val="false"/>
          </w:tcPr>
          <w:p>
            <w:pPr>
              <w:pStyle w:val="1008"/>
              <w:jc w:val="center"/>
              <w:rPr>
                <w:rFonts w:ascii="宋体" w:cs="宋体"/>
                <w:sz w:val="20"/>
                <w:szCs w:val="20"/>
                <w:highlight w:val="none"/>
              </w:rPr>
            </w:pPr>
            <w:r>
              <w:rPr>
                <w:rFonts w:hint="eastAsia" w:ascii="宋体" w:hAnsi="宋体" w:cs="宋体"/>
                <w:sz w:val="20"/>
                <w:szCs w:val="20"/>
                <w:highlight w:val="none"/>
              </w:rPr>
              <w:t xml:space="preserve">亭湖区、盐都区、大丰区乡镇污水厂检查（</w:t>
            </w:r>
            <w:r>
              <w:rPr>
                <w:rFonts w:ascii="宋体" w:hAnsi="宋体" w:cs="宋体"/>
                <w:sz w:val="20"/>
                <w:szCs w:val="20"/>
                <w:highlight w:val="none"/>
              </w:rPr>
              <w:t xml:space="preserve">17</w:t>
            </w:r>
            <w:r>
              <w:rPr>
                <w:rFonts w:hint="eastAsia" w:ascii="宋体" w:hAnsi="宋体" w:cs="宋体"/>
                <w:sz w:val="20"/>
                <w:szCs w:val="20"/>
                <w:highlight w:val="none"/>
              </w:rPr>
              <w:t xml:space="preserve">座）</w:t>
            </w:r>
            <w:r>
              <w:rPr>
                <w:highlight w:val="none"/>
              </w:rPr>
            </w:r>
            <w:r/>
          </w:p>
        </w:tc>
        <w:tc>
          <w:tcPr>
            <w:tcW w:w="1276" w:type="dxa"/>
            <w:vAlign w:val="center"/>
            <w:textDirection w:val="lrTb"/>
            <w:noWrap w:val="false"/>
          </w:tcPr>
          <w:p>
            <w:pPr>
              <w:pStyle w:val="1008"/>
              <w:jc w:val="center"/>
              <w:rPr>
                <w:sz w:val="20"/>
                <w:szCs w:val="20"/>
                <w:highlight w:val="none"/>
              </w:rPr>
            </w:pPr>
            <w:r>
              <w:rPr>
                <w:rFonts w:hint="eastAsia"/>
                <w:sz w:val="20"/>
                <w:szCs w:val="20"/>
                <w:highlight w:val="none"/>
              </w:rPr>
              <w:t xml:space="preserve">每季度一次</w:t>
            </w:r>
            <w:r>
              <w:rPr>
                <w:highlight w:val="none"/>
              </w:rPr>
            </w:r>
            <w:r/>
          </w:p>
        </w:tc>
        <w:tc>
          <w:tcPr>
            <w:tcW w:w="2972" w:type="dxa"/>
            <w:vAlign w:val="center"/>
            <w:textDirection w:val="lrTb"/>
            <w:noWrap w:val="false"/>
          </w:tcPr>
          <w:p>
            <w:pPr>
              <w:pStyle w:val="1008"/>
              <w:jc w:val="center"/>
              <w:rPr>
                <w:sz w:val="20"/>
                <w:szCs w:val="20"/>
                <w:highlight w:val="none"/>
              </w:rPr>
            </w:pPr>
            <w:r>
              <w:rPr>
                <w:sz w:val="20"/>
                <w:szCs w:val="20"/>
                <w:highlight w:val="none"/>
              </w:rPr>
              <w:t xml:space="preserve">COD</w:t>
            </w:r>
            <w:r>
              <w:rPr>
                <w:rFonts w:hint="eastAsia"/>
                <w:sz w:val="20"/>
                <w:szCs w:val="20"/>
                <w:highlight w:val="none"/>
              </w:rPr>
              <w:t xml:space="preserve">、</w:t>
            </w:r>
            <w:r>
              <w:rPr>
                <w:sz w:val="20"/>
                <w:szCs w:val="20"/>
                <w:highlight w:val="none"/>
              </w:rPr>
              <w:t xml:space="preserve">BOD</w:t>
            </w:r>
            <w:r>
              <w:rPr>
                <w:rFonts w:hint="eastAsia"/>
                <w:sz w:val="20"/>
                <w:szCs w:val="20"/>
                <w:highlight w:val="none"/>
              </w:rPr>
              <w:t xml:space="preserve">、</w:t>
            </w:r>
            <w:r>
              <w:rPr>
                <w:sz w:val="20"/>
                <w:szCs w:val="20"/>
                <w:highlight w:val="none"/>
              </w:rPr>
              <w:t xml:space="preserve">SS</w:t>
            </w:r>
            <w:r>
              <w:rPr>
                <w:rFonts w:hint="eastAsia"/>
                <w:sz w:val="20"/>
                <w:szCs w:val="20"/>
                <w:highlight w:val="none"/>
              </w:rPr>
              <w:t xml:space="preserve">、</w:t>
            </w:r>
            <w:r>
              <w:rPr>
                <w:sz w:val="20"/>
                <w:szCs w:val="20"/>
                <w:highlight w:val="none"/>
              </w:rPr>
              <w:t xml:space="preserve">PH</w:t>
            </w:r>
            <w:r>
              <w:rPr>
                <w:rFonts w:hint="eastAsia"/>
                <w:sz w:val="20"/>
                <w:szCs w:val="20"/>
                <w:highlight w:val="none"/>
              </w:rPr>
              <w:t xml:space="preserve">、氨氮、总氮、总磷、动植物油、粪大肠菌</w:t>
            </w:r>
            <w:r>
              <w:rPr>
                <w:sz w:val="20"/>
                <w:szCs w:val="20"/>
                <w:highlight w:val="none"/>
              </w:rPr>
              <w:t xml:space="preserve">9</w:t>
            </w:r>
            <w:r>
              <w:rPr>
                <w:rFonts w:hint="eastAsia"/>
                <w:sz w:val="20"/>
                <w:szCs w:val="20"/>
                <w:highlight w:val="none"/>
              </w:rPr>
              <w:t xml:space="preserve">项</w:t>
            </w:r>
            <w:r>
              <w:rPr>
                <w:highlight w:val="none"/>
              </w:rPr>
            </w:r>
            <w:r/>
          </w:p>
        </w:tc>
        <w:tc>
          <w:tcPr>
            <w:tcW w:w="795"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68</w:t>
            </w:r>
            <w:r>
              <w:rPr>
                <w:highlight w:val="none"/>
              </w:rPr>
            </w:r>
            <w:r/>
          </w:p>
        </w:tc>
        <w:tc>
          <w:tcPr>
            <w:tcW w:w="765"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c>
          <w:tcPr>
            <w:tcW w:w="1110"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r>
      <w:tr>
        <w:trPr>
          <w:trHeight w:val="1001"/>
        </w:trPr>
        <w:tc>
          <w:tcPr>
            <w:tcW w:w="582"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10</w:t>
            </w:r>
            <w:r>
              <w:rPr>
                <w:highlight w:val="none"/>
              </w:rPr>
            </w:r>
            <w:r/>
          </w:p>
        </w:tc>
        <w:tc>
          <w:tcPr>
            <w:tcW w:w="1985" w:type="dxa"/>
            <w:vAlign w:val="center"/>
            <w:textDirection w:val="lrTb"/>
            <w:noWrap w:val="false"/>
          </w:tcPr>
          <w:p>
            <w:pPr>
              <w:pStyle w:val="1008"/>
              <w:jc w:val="center"/>
              <w:rPr>
                <w:rFonts w:ascii="宋体" w:cs="宋体"/>
                <w:sz w:val="20"/>
                <w:szCs w:val="20"/>
                <w:highlight w:val="none"/>
              </w:rPr>
            </w:pPr>
            <w:r>
              <w:rPr>
                <w:rFonts w:hint="eastAsia" w:ascii="宋体" w:hAnsi="宋体" w:cs="宋体"/>
                <w:sz w:val="20"/>
                <w:szCs w:val="20"/>
                <w:highlight w:val="none"/>
              </w:rPr>
              <w:t xml:space="preserve">年度污水厂运行考核盲样及化验原始数据评价报告</w:t>
            </w:r>
            <w:r>
              <w:rPr>
                <w:highlight w:val="none"/>
              </w:rPr>
            </w:r>
            <w:r/>
          </w:p>
          <w:p>
            <w:pPr>
              <w:pStyle w:val="1008"/>
              <w:jc w:val="center"/>
              <w:rPr>
                <w:rFonts w:ascii="宋体" w:cs="宋体"/>
                <w:sz w:val="20"/>
                <w:szCs w:val="20"/>
                <w:highlight w:val="none"/>
              </w:rPr>
            </w:pPr>
            <w:r>
              <w:rPr>
                <w:rFonts w:hint="eastAsia" w:ascii="宋体" w:hAnsi="宋体" w:cs="宋体"/>
                <w:sz w:val="20"/>
                <w:szCs w:val="20"/>
                <w:highlight w:val="none"/>
              </w:rPr>
              <w:t xml:space="preserve">（</w:t>
            </w:r>
            <w:r>
              <w:rPr>
                <w:rFonts w:ascii="宋体" w:hAnsi="宋体" w:cs="宋体"/>
                <w:sz w:val="20"/>
                <w:szCs w:val="20"/>
                <w:highlight w:val="none"/>
              </w:rPr>
              <w:t xml:space="preserve">17</w:t>
            </w:r>
            <w:r>
              <w:rPr>
                <w:rFonts w:hint="eastAsia" w:ascii="宋体" w:hAnsi="宋体" w:cs="宋体"/>
                <w:sz w:val="20"/>
                <w:szCs w:val="20"/>
                <w:highlight w:val="none"/>
              </w:rPr>
              <w:t xml:space="preserve">座三个指标）</w:t>
            </w:r>
            <w:r>
              <w:rPr>
                <w:highlight w:val="none"/>
              </w:rPr>
            </w:r>
            <w:r/>
          </w:p>
        </w:tc>
        <w:tc>
          <w:tcPr>
            <w:tcW w:w="1276" w:type="dxa"/>
            <w:vAlign w:val="center"/>
            <w:textDirection w:val="lrTb"/>
            <w:noWrap w:val="false"/>
          </w:tcPr>
          <w:p>
            <w:pPr>
              <w:pStyle w:val="1008"/>
              <w:jc w:val="center"/>
              <w:rPr>
                <w:sz w:val="20"/>
                <w:szCs w:val="20"/>
                <w:highlight w:val="none"/>
              </w:rPr>
            </w:pPr>
            <w:r>
              <w:rPr>
                <w:rFonts w:hint="eastAsia"/>
                <w:sz w:val="20"/>
                <w:szCs w:val="20"/>
                <w:highlight w:val="none"/>
              </w:rPr>
              <w:t xml:space="preserve">每年一次</w:t>
            </w:r>
            <w:r>
              <w:rPr>
                <w:highlight w:val="none"/>
              </w:rPr>
            </w:r>
            <w:r/>
          </w:p>
        </w:tc>
        <w:tc>
          <w:tcPr>
            <w:tcW w:w="2972" w:type="dxa"/>
            <w:vAlign w:val="center"/>
            <w:textDirection w:val="lrTb"/>
            <w:noWrap w:val="false"/>
          </w:tcPr>
          <w:p>
            <w:pPr>
              <w:pStyle w:val="1008"/>
              <w:jc w:val="center"/>
              <w:rPr>
                <w:sz w:val="20"/>
                <w:szCs w:val="20"/>
                <w:highlight w:val="none"/>
              </w:rPr>
            </w:pPr>
            <w:r>
              <w:rPr>
                <w:sz w:val="20"/>
                <w:szCs w:val="20"/>
                <w:highlight w:val="none"/>
              </w:rPr>
              <w:t xml:space="preserve">3</w:t>
            </w:r>
            <w:r>
              <w:rPr>
                <w:rFonts w:hint="eastAsia"/>
                <w:sz w:val="20"/>
                <w:szCs w:val="20"/>
                <w:highlight w:val="none"/>
              </w:rPr>
              <w:t xml:space="preserve">个指标由甲方</w:t>
            </w:r>
            <w:r>
              <w:rPr>
                <w:highlight w:val="none"/>
              </w:rPr>
            </w:r>
            <w:r/>
          </w:p>
          <w:p>
            <w:pPr>
              <w:pStyle w:val="1008"/>
              <w:jc w:val="center"/>
              <w:rPr>
                <w:sz w:val="20"/>
                <w:szCs w:val="20"/>
                <w:highlight w:val="none"/>
              </w:rPr>
            </w:pPr>
            <w:r>
              <w:rPr>
                <w:rFonts w:hint="eastAsia"/>
                <w:sz w:val="20"/>
                <w:szCs w:val="20"/>
                <w:highlight w:val="none"/>
              </w:rPr>
              <w:t xml:space="preserve">随机指定</w:t>
            </w:r>
            <w:r>
              <w:rPr>
                <w:highlight w:val="none"/>
              </w:rPr>
            </w:r>
            <w:r/>
          </w:p>
        </w:tc>
        <w:tc>
          <w:tcPr>
            <w:tcW w:w="795"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51</w:t>
            </w:r>
            <w:r>
              <w:rPr>
                <w:highlight w:val="none"/>
              </w:rPr>
            </w:r>
            <w:r/>
          </w:p>
        </w:tc>
        <w:tc>
          <w:tcPr>
            <w:tcW w:w="765"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c>
          <w:tcPr>
            <w:tcW w:w="1110"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r>
      <w:tr>
        <w:trPr>
          <w:trHeight w:val="1001"/>
        </w:trPr>
        <w:tc>
          <w:tcPr>
            <w:tcW w:w="582"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11</w:t>
            </w:r>
            <w:r>
              <w:rPr>
                <w:highlight w:val="none"/>
              </w:rPr>
            </w:r>
            <w:r/>
          </w:p>
        </w:tc>
        <w:tc>
          <w:tcPr>
            <w:tcW w:w="1985" w:type="dxa"/>
            <w:vAlign w:val="center"/>
            <w:textDirection w:val="lrTb"/>
            <w:noWrap w:val="false"/>
          </w:tcPr>
          <w:p>
            <w:pPr>
              <w:pStyle w:val="1008"/>
              <w:jc w:val="center"/>
              <w:rPr>
                <w:rFonts w:ascii="宋体" w:cs="宋体"/>
                <w:sz w:val="20"/>
                <w:szCs w:val="20"/>
                <w:highlight w:val="none"/>
              </w:rPr>
            </w:pPr>
            <w:r>
              <w:rPr>
                <w:rFonts w:hint="eastAsia" w:ascii="宋体" w:hAnsi="宋体" w:cs="宋体"/>
                <w:sz w:val="20"/>
                <w:szCs w:val="20"/>
                <w:highlight w:val="none"/>
              </w:rPr>
              <w:t xml:space="preserve">年度化验员比赛盲样及化验原始数据评价报告</w:t>
            </w:r>
            <w:r>
              <w:rPr>
                <w:highlight w:val="none"/>
              </w:rPr>
            </w:r>
            <w:r/>
          </w:p>
          <w:p>
            <w:pPr>
              <w:pStyle w:val="1008"/>
              <w:jc w:val="center"/>
              <w:rPr>
                <w:rFonts w:ascii="宋体" w:cs="宋体"/>
                <w:sz w:val="20"/>
                <w:szCs w:val="20"/>
                <w:highlight w:val="none"/>
              </w:rPr>
            </w:pPr>
            <w:r>
              <w:rPr>
                <w:rFonts w:hint="eastAsia" w:ascii="宋体" w:hAnsi="宋体" w:cs="宋体"/>
                <w:sz w:val="20"/>
                <w:szCs w:val="20"/>
                <w:highlight w:val="none"/>
              </w:rPr>
              <w:t xml:space="preserve">（</w:t>
            </w:r>
            <w:r>
              <w:rPr>
                <w:rFonts w:ascii="宋体" w:hAnsi="宋体" w:cs="宋体"/>
                <w:sz w:val="20"/>
                <w:szCs w:val="20"/>
                <w:highlight w:val="none"/>
              </w:rPr>
              <w:t xml:space="preserve">40</w:t>
            </w:r>
            <w:r>
              <w:rPr>
                <w:rFonts w:hint="eastAsia" w:ascii="宋体" w:hAnsi="宋体" w:cs="宋体"/>
                <w:sz w:val="20"/>
                <w:szCs w:val="20"/>
                <w:highlight w:val="none"/>
              </w:rPr>
              <w:t xml:space="preserve">人次）</w:t>
            </w:r>
            <w:r>
              <w:rPr>
                <w:highlight w:val="none"/>
              </w:rPr>
            </w:r>
            <w:r/>
          </w:p>
        </w:tc>
        <w:tc>
          <w:tcPr>
            <w:tcW w:w="1276" w:type="dxa"/>
            <w:vAlign w:val="center"/>
            <w:textDirection w:val="lrTb"/>
            <w:noWrap w:val="false"/>
          </w:tcPr>
          <w:p>
            <w:pPr>
              <w:pStyle w:val="1008"/>
              <w:jc w:val="center"/>
              <w:rPr>
                <w:sz w:val="20"/>
                <w:szCs w:val="20"/>
                <w:highlight w:val="none"/>
              </w:rPr>
            </w:pPr>
            <w:r>
              <w:rPr>
                <w:rFonts w:hint="eastAsia"/>
                <w:sz w:val="20"/>
                <w:szCs w:val="20"/>
                <w:highlight w:val="none"/>
              </w:rPr>
              <w:t xml:space="preserve">每年一次</w:t>
            </w:r>
            <w:r>
              <w:rPr>
                <w:highlight w:val="none"/>
              </w:rPr>
            </w:r>
            <w:r/>
          </w:p>
        </w:tc>
        <w:tc>
          <w:tcPr>
            <w:tcW w:w="2972" w:type="dxa"/>
            <w:vAlign w:val="center"/>
            <w:textDirection w:val="lrTb"/>
            <w:noWrap w:val="false"/>
          </w:tcPr>
          <w:p>
            <w:pPr>
              <w:pStyle w:val="1008"/>
              <w:jc w:val="center"/>
              <w:rPr>
                <w:sz w:val="20"/>
                <w:szCs w:val="20"/>
                <w:highlight w:val="none"/>
              </w:rPr>
            </w:pPr>
            <w:r>
              <w:rPr>
                <w:sz w:val="20"/>
                <w:szCs w:val="20"/>
                <w:highlight w:val="none"/>
              </w:rPr>
              <w:t xml:space="preserve">3</w:t>
            </w:r>
            <w:r>
              <w:rPr>
                <w:rFonts w:hint="eastAsia"/>
                <w:sz w:val="20"/>
                <w:szCs w:val="20"/>
                <w:highlight w:val="none"/>
              </w:rPr>
              <w:t xml:space="preserve">个指标由甲方</w:t>
            </w:r>
            <w:r>
              <w:rPr>
                <w:highlight w:val="none"/>
              </w:rPr>
            </w:r>
            <w:r/>
          </w:p>
          <w:p>
            <w:pPr>
              <w:pStyle w:val="1008"/>
              <w:jc w:val="center"/>
              <w:rPr>
                <w:sz w:val="20"/>
                <w:szCs w:val="20"/>
                <w:highlight w:val="none"/>
              </w:rPr>
            </w:pPr>
            <w:r>
              <w:rPr>
                <w:rFonts w:hint="eastAsia"/>
                <w:sz w:val="20"/>
                <w:szCs w:val="20"/>
                <w:highlight w:val="none"/>
              </w:rPr>
              <w:t xml:space="preserve">随机指定</w:t>
            </w:r>
            <w:r>
              <w:rPr>
                <w:highlight w:val="none"/>
              </w:rPr>
            </w:r>
            <w:r/>
          </w:p>
        </w:tc>
        <w:tc>
          <w:tcPr>
            <w:tcW w:w="795"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120</w:t>
            </w:r>
            <w:r>
              <w:rPr>
                <w:highlight w:val="none"/>
              </w:rPr>
            </w:r>
            <w:r/>
          </w:p>
        </w:tc>
        <w:tc>
          <w:tcPr>
            <w:tcW w:w="765"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c>
          <w:tcPr>
            <w:tcW w:w="1110"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r>
      <w:tr>
        <w:trPr>
          <w:trHeight w:val="1001"/>
        </w:trPr>
        <w:tc>
          <w:tcPr>
            <w:tcW w:w="582"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12</w:t>
            </w:r>
            <w:r>
              <w:rPr>
                <w:highlight w:val="none"/>
              </w:rPr>
            </w:r>
            <w:r/>
          </w:p>
        </w:tc>
        <w:tc>
          <w:tcPr>
            <w:tcW w:w="1985" w:type="dxa"/>
            <w:vAlign w:val="center"/>
            <w:textDirection w:val="lrTb"/>
            <w:noWrap w:val="false"/>
          </w:tcPr>
          <w:p>
            <w:pPr>
              <w:pStyle w:val="1008"/>
              <w:jc w:val="center"/>
              <w:rPr>
                <w:rFonts w:ascii="宋体" w:cs="宋体"/>
                <w:sz w:val="20"/>
                <w:szCs w:val="20"/>
                <w:highlight w:val="none"/>
              </w:rPr>
            </w:pPr>
            <w:r>
              <w:rPr>
                <w:rFonts w:hint="eastAsia" w:ascii="宋体" w:hAnsi="宋体" w:cs="宋体"/>
                <w:sz w:val="20"/>
                <w:szCs w:val="20"/>
                <w:highlight w:val="none"/>
              </w:rPr>
              <w:t xml:space="preserve">信息系统在线监测设备比对</w:t>
            </w:r>
            <w:r>
              <w:rPr>
                <w:highlight w:val="none"/>
              </w:rPr>
            </w:r>
            <w:r/>
          </w:p>
        </w:tc>
        <w:tc>
          <w:tcPr>
            <w:tcW w:w="1276" w:type="dxa"/>
            <w:vAlign w:val="center"/>
            <w:textDirection w:val="lrTb"/>
            <w:noWrap w:val="false"/>
          </w:tcPr>
          <w:p>
            <w:pPr>
              <w:pStyle w:val="1008"/>
              <w:jc w:val="center"/>
              <w:rPr>
                <w:sz w:val="20"/>
                <w:szCs w:val="20"/>
                <w:highlight w:val="none"/>
              </w:rPr>
            </w:pPr>
            <w:r>
              <w:rPr>
                <w:rFonts w:hint="eastAsia"/>
                <w:sz w:val="20"/>
                <w:szCs w:val="20"/>
                <w:highlight w:val="none"/>
              </w:rPr>
              <w:t xml:space="preserve">每季度一次</w:t>
            </w:r>
            <w:r>
              <w:rPr>
                <w:highlight w:val="none"/>
              </w:rPr>
            </w:r>
            <w:r/>
          </w:p>
        </w:tc>
        <w:tc>
          <w:tcPr>
            <w:tcW w:w="2972" w:type="dxa"/>
            <w:vAlign w:val="center"/>
            <w:textDirection w:val="lrTb"/>
            <w:noWrap w:val="false"/>
          </w:tcPr>
          <w:p>
            <w:pPr>
              <w:pStyle w:val="1008"/>
              <w:jc w:val="center"/>
              <w:rPr>
                <w:sz w:val="20"/>
                <w:szCs w:val="20"/>
                <w:highlight w:val="none"/>
              </w:rPr>
            </w:pPr>
            <w:r>
              <w:rPr>
                <w:rFonts w:hint="eastAsia"/>
                <w:sz w:val="20"/>
                <w:szCs w:val="20"/>
                <w:highlight w:val="none"/>
              </w:rPr>
              <w:t xml:space="preserve">污水检查井：约</w:t>
            </w:r>
            <w:r>
              <w:rPr>
                <w:sz w:val="20"/>
                <w:szCs w:val="20"/>
                <w:highlight w:val="none"/>
              </w:rPr>
              <w:t xml:space="preserve">100</w:t>
            </w:r>
            <w:r>
              <w:rPr>
                <w:rFonts w:hint="eastAsia"/>
                <w:sz w:val="20"/>
                <w:szCs w:val="20"/>
                <w:highlight w:val="none"/>
              </w:rPr>
              <w:t xml:space="preserve">个（</w:t>
            </w:r>
            <w:r>
              <w:rPr>
                <w:sz w:val="20"/>
                <w:szCs w:val="20"/>
                <w:highlight w:val="none"/>
              </w:rPr>
              <w:t xml:space="preserve">COD</w:t>
            </w:r>
            <w:r>
              <w:rPr>
                <w:rFonts w:hint="eastAsia"/>
                <w:sz w:val="20"/>
                <w:szCs w:val="20"/>
                <w:highlight w:val="none"/>
              </w:rPr>
              <w:t xml:space="preserve">）</w:t>
            </w:r>
            <w:r>
              <w:rPr>
                <w:highlight w:val="none"/>
              </w:rPr>
            </w:r>
            <w:r/>
          </w:p>
          <w:p>
            <w:pPr>
              <w:pStyle w:val="1008"/>
              <w:jc w:val="center"/>
              <w:rPr>
                <w:sz w:val="20"/>
                <w:szCs w:val="20"/>
                <w:highlight w:val="none"/>
              </w:rPr>
            </w:pPr>
            <w:r>
              <w:rPr>
                <w:rFonts w:hint="eastAsia"/>
                <w:sz w:val="20"/>
                <w:szCs w:val="20"/>
                <w:highlight w:val="none"/>
              </w:rPr>
              <w:t xml:space="preserve">污水泵站：约</w:t>
            </w:r>
            <w:r>
              <w:rPr>
                <w:sz w:val="20"/>
                <w:szCs w:val="20"/>
                <w:highlight w:val="none"/>
              </w:rPr>
              <w:t xml:space="preserve">23</w:t>
            </w:r>
            <w:r>
              <w:rPr>
                <w:rFonts w:hint="eastAsia"/>
                <w:sz w:val="20"/>
                <w:szCs w:val="20"/>
                <w:highlight w:val="none"/>
              </w:rPr>
              <w:t xml:space="preserve">个（</w:t>
            </w:r>
            <w:r>
              <w:rPr>
                <w:sz w:val="20"/>
                <w:szCs w:val="20"/>
                <w:highlight w:val="none"/>
              </w:rPr>
              <w:t xml:space="preserve">COD</w:t>
            </w:r>
            <w:r>
              <w:rPr>
                <w:rFonts w:hint="eastAsia"/>
                <w:sz w:val="20"/>
                <w:szCs w:val="20"/>
                <w:highlight w:val="none"/>
              </w:rPr>
              <w:t xml:space="preserve">、氨氮、总磷、总氮、氨氮、</w:t>
            </w:r>
            <w:r>
              <w:rPr>
                <w:sz w:val="20"/>
                <w:szCs w:val="20"/>
                <w:highlight w:val="none"/>
              </w:rPr>
              <w:t xml:space="preserve">PH</w:t>
            </w:r>
            <w:r>
              <w:rPr>
                <w:rFonts w:hint="eastAsia"/>
                <w:sz w:val="20"/>
                <w:szCs w:val="20"/>
                <w:highlight w:val="none"/>
              </w:rPr>
              <w:t xml:space="preserve">）</w:t>
            </w:r>
            <w:r>
              <w:rPr>
                <w:highlight w:val="none"/>
              </w:rPr>
            </w:r>
            <w:r/>
          </w:p>
          <w:p>
            <w:pPr>
              <w:pStyle w:val="1008"/>
              <w:jc w:val="center"/>
              <w:rPr>
                <w:sz w:val="20"/>
                <w:szCs w:val="20"/>
                <w:highlight w:val="none"/>
              </w:rPr>
            </w:pPr>
            <w:r>
              <w:rPr>
                <w:rFonts w:hint="eastAsia"/>
                <w:sz w:val="20"/>
                <w:szCs w:val="20"/>
                <w:highlight w:val="none"/>
              </w:rPr>
              <w:t xml:space="preserve">河道：约</w:t>
            </w:r>
            <w:r>
              <w:rPr>
                <w:sz w:val="20"/>
                <w:szCs w:val="20"/>
                <w:highlight w:val="none"/>
              </w:rPr>
              <w:t xml:space="preserve">55</w:t>
            </w:r>
            <w:r>
              <w:rPr>
                <w:rFonts w:hint="eastAsia"/>
                <w:sz w:val="20"/>
                <w:szCs w:val="20"/>
                <w:highlight w:val="none"/>
              </w:rPr>
              <w:t xml:space="preserve">个（氨氮、溶解氧、氧化还原电位）</w:t>
            </w:r>
            <w:r>
              <w:rPr>
                <w:highlight w:val="none"/>
              </w:rPr>
            </w:r>
            <w:r/>
          </w:p>
          <w:p>
            <w:pPr>
              <w:pStyle w:val="1008"/>
              <w:jc w:val="center"/>
              <w:rPr>
                <w:sz w:val="20"/>
                <w:szCs w:val="20"/>
                <w:highlight w:val="none"/>
              </w:rPr>
            </w:pPr>
            <w:r>
              <w:rPr>
                <w:rFonts w:hint="eastAsia"/>
                <w:sz w:val="20"/>
                <w:szCs w:val="20"/>
                <w:highlight w:val="none"/>
              </w:rPr>
              <w:t xml:space="preserve">湿地：</w:t>
            </w:r>
            <w:r>
              <w:rPr>
                <w:sz w:val="20"/>
                <w:szCs w:val="20"/>
                <w:highlight w:val="none"/>
              </w:rPr>
              <w:t xml:space="preserve">2</w:t>
            </w:r>
            <w:r>
              <w:rPr>
                <w:rFonts w:hint="eastAsia"/>
                <w:sz w:val="20"/>
                <w:szCs w:val="20"/>
                <w:highlight w:val="none"/>
              </w:rPr>
              <w:t xml:space="preserve">个（</w:t>
            </w:r>
            <w:r>
              <w:rPr>
                <w:sz w:val="20"/>
                <w:szCs w:val="20"/>
                <w:highlight w:val="none"/>
              </w:rPr>
              <w:t xml:space="preserve">SS</w:t>
            </w:r>
            <w:r>
              <w:rPr>
                <w:rFonts w:hint="eastAsia"/>
                <w:sz w:val="20"/>
                <w:szCs w:val="20"/>
                <w:highlight w:val="none"/>
              </w:rPr>
              <w:t xml:space="preserve">、总磷、</w:t>
            </w:r>
            <w:r>
              <w:rPr>
                <w:sz w:val="20"/>
                <w:szCs w:val="20"/>
                <w:highlight w:val="none"/>
              </w:rPr>
              <w:t xml:space="preserve">COD</w:t>
            </w:r>
            <w:r>
              <w:rPr>
                <w:rFonts w:hint="eastAsia"/>
                <w:sz w:val="20"/>
                <w:szCs w:val="20"/>
                <w:highlight w:val="none"/>
              </w:rPr>
              <w:t xml:space="preserve">、氨氮）</w:t>
            </w:r>
            <w:r>
              <w:rPr>
                <w:highlight w:val="none"/>
              </w:rPr>
            </w:r>
            <w:r/>
          </w:p>
        </w:tc>
        <w:tc>
          <w:tcPr>
            <w:tcW w:w="795"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t xml:space="preserve">180</w:t>
            </w:r>
            <w:r>
              <w:rPr>
                <w:highlight w:val="none"/>
              </w:rPr>
            </w:r>
            <w:r/>
          </w:p>
        </w:tc>
        <w:tc>
          <w:tcPr>
            <w:tcW w:w="765"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c>
          <w:tcPr>
            <w:tcW w:w="1110"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r>
      <w:tr>
        <w:trPr>
          <w:trHeight w:val="1001"/>
        </w:trPr>
        <w:tc>
          <w:tcPr>
            <w:tcW w:w="582" w:type="dxa"/>
            <w:vAlign w:val="center"/>
            <w:textDirection w:val="lrTb"/>
            <w:noWrap w:val="false"/>
          </w:tcPr>
          <w:p>
            <w:pPr>
              <w:pStyle w:val="1008"/>
              <w:jc w:val="center"/>
              <w:rPr>
                <w:rFonts w:ascii="宋体" w:cs="宋体"/>
                <w:sz w:val="20"/>
                <w:szCs w:val="20"/>
                <w:highlight w:val="none"/>
              </w:rPr>
            </w:pPr>
            <w:r>
              <w:rPr>
                <w:rFonts w:ascii="宋体" w:hAnsi="宋体" w:cs="宋体"/>
                <w:sz w:val="20"/>
                <w:szCs w:val="20"/>
                <w:highlight w:val="none"/>
              </w:rPr>
              <w:t xml:space="preserve">13</w:t>
            </w:r>
            <w:r>
              <w:rPr>
                <w:highlight w:val="none"/>
              </w:rPr>
            </w:r>
            <w:r/>
          </w:p>
        </w:tc>
        <w:tc>
          <w:tcPr>
            <w:gridSpan w:val="5"/>
            <w:tcW w:w="7793" w:type="dxa"/>
            <w:vAlign w:val="center"/>
            <w:textDirection w:val="lrTb"/>
            <w:noWrap w:val="false"/>
          </w:tcPr>
          <w:p>
            <w:pPr>
              <w:pStyle w:val="1008"/>
              <w:jc w:val="center"/>
              <w:rPr>
                <w:rFonts w:ascii="宋体" w:cs="宋体"/>
                <w:sz w:val="22"/>
                <w:highlight w:val="none"/>
              </w:rPr>
            </w:pPr>
            <w:r>
              <w:rPr>
                <w:rFonts w:hint="eastAsia" w:ascii="宋体" w:hAnsi="宋体" w:cs="宋体"/>
                <w:sz w:val="22"/>
                <w:highlight w:val="none"/>
              </w:rPr>
              <w:t xml:space="preserve">预留污水厂进水异常排查检测及复测费用（按</w:t>
            </w:r>
            <w:r>
              <w:rPr>
                <w:rFonts w:ascii="宋体" w:hAnsi="宋体" w:cs="宋体"/>
                <w:sz w:val="22"/>
                <w:highlight w:val="none"/>
              </w:rPr>
              <w:t xml:space="preserve">1</w:t>
            </w:r>
            <w:r>
              <w:rPr>
                <w:rFonts w:ascii="宋体" w:cs="宋体"/>
                <w:sz w:val="22"/>
                <w:highlight w:val="none"/>
              </w:rPr>
              <w:t xml:space="preserve">0</w:t>
            </w:r>
            <w:r>
              <w:rPr>
                <w:rFonts w:hint="eastAsia" w:ascii="宋体" w:hAnsi="宋体" w:cs="宋体"/>
                <w:sz w:val="22"/>
                <w:highlight w:val="none"/>
              </w:rPr>
              <w:t xml:space="preserve">次，</w:t>
            </w:r>
            <w:r>
              <w:rPr>
                <w:rFonts w:ascii="宋体" w:hAnsi="宋体" w:cs="宋体"/>
                <w:sz w:val="22"/>
                <w:highlight w:val="none"/>
              </w:rPr>
              <w:t xml:space="preserve">9</w:t>
            </w:r>
            <w:r>
              <w:rPr>
                <w:rFonts w:hint="eastAsia" w:ascii="宋体" w:hAnsi="宋体" w:cs="宋体"/>
                <w:sz w:val="22"/>
                <w:highlight w:val="none"/>
              </w:rPr>
              <w:t xml:space="preserve">项指标全检测预估</w:t>
            </w:r>
            <w:r>
              <w:rPr>
                <w:rFonts w:ascii="宋体" w:cs="宋体"/>
                <w:sz w:val="22"/>
                <w:highlight w:val="none"/>
              </w:rPr>
              <w:t xml:space="preserve">,</w:t>
            </w:r>
            <w:r>
              <w:rPr>
                <w:rFonts w:hint="eastAsia" w:ascii="宋体" w:hAnsi="宋体" w:cs="宋体"/>
                <w:sz w:val="22"/>
                <w:highlight w:val="none"/>
              </w:rPr>
              <w:t xml:space="preserve">每次费用不得超过本表内检测费用）</w:t>
            </w:r>
            <w:r>
              <w:rPr>
                <w:highlight w:val="none"/>
              </w:rPr>
            </w:r>
            <w:r/>
          </w:p>
          <w:p>
            <w:pPr>
              <w:pStyle w:val="1008"/>
              <w:jc w:val="center"/>
              <w:rPr>
                <w:rFonts w:ascii="宋体" w:cs="宋体"/>
                <w:sz w:val="22"/>
                <w:highlight w:val="none"/>
              </w:rPr>
            </w:pPr>
            <w:r>
              <w:rPr>
                <w:rFonts w:hint="eastAsia" w:ascii="宋体" w:hAnsi="宋体" w:cs="宋体"/>
                <w:sz w:val="22"/>
                <w:highlight w:val="none"/>
              </w:rPr>
              <w:t xml:space="preserve">注：本项目为预留费用，项目实施过程中不一定产生。</w:t>
            </w:r>
            <w:r>
              <w:rPr>
                <w:highlight w:val="none"/>
              </w:rPr>
            </w:r>
            <w:r/>
          </w:p>
        </w:tc>
        <w:tc>
          <w:tcPr>
            <w:tcW w:w="1110" w:type="dxa"/>
            <w:vAlign w:val="center"/>
            <w:textDirection w:val="lrTb"/>
            <w:noWrap w:val="false"/>
          </w:tcPr>
          <w:p>
            <w:pPr>
              <w:pStyle w:val="1008"/>
              <w:jc w:val="center"/>
              <w:rPr>
                <w:rFonts w:ascii="宋体" w:cs="宋体"/>
                <w:sz w:val="20"/>
                <w:szCs w:val="20"/>
                <w:highlight w:val="none"/>
              </w:rPr>
            </w:pPr>
            <w:r>
              <w:rPr>
                <w:rFonts w:ascii="宋体" w:cs="宋体"/>
                <w:sz w:val="20"/>
                <w:szCs w:val="20"/>
                <w:highlight w:val="none"/>
              </w:rPr>
            </w:r>
            <w:r>
              <w:rPr>
                <w:highlight w:val="none"/>
              </w:rPr>
            </w:r>
            <w:r/>
          </w:p>
        </w:tc>
      </w:tr>
      <w:tr>
        <w:trPr>
          <w:trHeight w:val="670"/>
        </w:trPr>
        <w:tc>
          <w:tcPr>
            <w:gridSpan w:val="3"/>
            <w:tcW w:w="3843" w:type="dxa"/>
            <w:vAlign w:val="center"/>
            <w:textDirection w:val="lrTb"/>
            <w:noWrap w:val="false"/>
          </w:tcPr>
          <w:p>
            <w:pPr>
              <w:pStyle w:val="1008"/>
              <w:jc w:val="center"/>
              <w:rPr>
                <w:sz w:val="20"/>
                <w:szCs w:val="20"/>
                <w:highlight w:val="none"/>
              </w:rPr>
            </w:pPr>
            <w:r>
              <w:rPr>
                <w:rFonts w:hint="eastAsia" w:ascii="宋体" w:hAnsi="宋体" w:cs="宋体"/>
                <w:sz w:val="20"/>
                <w:szCs w:val="20"/>
                <w:highlight w:val="none"/>
              </w:rPr>
              <w:t xml:space="preserve">合计（元）</w:t>
            </w:r>
            <w:r>
              <w:rPr>
                <w:highlight w:val="none"/>
              </w:rPr>
            </w:r>
            <w:r/>
          </w:p>
        </w:tc>
        <w:tc>
          <w:tcPr>
            <w:gridSpan w:val="4"/>
            <w:tcW w:w="5642" w:type="dxa"/>
            <w:vAlign w:val="center"/>
            <w:textDirection w:val="lrTb"/>
            <w:noWrap w:val="false"/>
          </w:tcPr>
          <w:p>
            <w:pPr>
              <w:pStyle w:val="1008"/>
              <w:rPr>
                <w:rFonts w:ascii="宋体" w:cs="宋体"/>
                <w:sz w:val="20"/>
                <w:szCs w:val="20"/>
                <w:highlight w:val="none"/>
              </w:rPr>
            </w:pPr>
            <w:r>
              <w:rPr>
                <w:rFonts w:ascii="宋体" w:hAnsi="宋体" w:cs="宋体"/>
                <w:sz w:val="20"/>
                <w:szCs w:val="20"/>
                <w:highlight w:val="none"/>
              </w:rPr>
              <w:t xml:space="preserve">(RMB)</w:t>
            </w:r>
            <w:r>
              <w:rPr>
                <w:rFonts w:hint="eastAsia" w:ascii="宋体" w:hAnsi="宋体" w:cs="宋体"/>
                <w:sz w:val="20"/>
                <w:szCs w:val="20"/>
                <w:highlight w:val="none"/>
              </w:rPr>
              <w:t xml:space="preserve">大写：</w:t>
            </w:r>
            <w:r>
              <w:rPr>
                <w:rFonts w:ascii="宋体" w:hAnsi="宋体" w:cs="宋体"/>
                <w:sz w:val="20"/>
                <w:szCs w:val="20"/>
                <w:highlight w:val="none"/>
              </w:rPr>
              <w:t xml:space="preserve">                      </w:t>
            </w:r>
            <w:r>
              <w:rPr>
                <w:rFonts w:hint="eastAsia" w:ascii="宋体" w:hAnsi="宋体" w:cs="宋体"/>
                <w:sz w:val="20"/>
                <w:szCs w:val="20"/>
                <w:highlight w:val="none"/>
              </w:rPr>
              <w:t xml:space="preserve">小写：</w:t>
            </w:r>
            <w:r>
              <w:rPr>
                <w:highlight w:val="none"/>
              </w:rPr>
            </w:r>
            <w:r/>
          </w:p>
        </w:tc>
      </w:tr>
    </w:tbl>
    <w:p>
      <w:pPr>
        <w:pStyle w:val="1008"/>
        <w:spacing w:line="360" w:lineRule="auto"/>
        <w:rPr>
          <w:rFonts w:hint="eastAsia"/>
          <w:highlight w:val="none"/>
        </w:rPr>
      </w:pPr>
      <w:r>
        <w:rPr>
          <w:rFonts w:ascii="宋体" w:hAnsi="宋体"/>
          <w:bCs/>
          <w:szCs w:val="21"/>
          <w:highlight w:val="none"/>
        </w:rPr>
        <w:t xml:space="preserve">  </w:t>
      </w:r>
      <w:r>
        <w:rPr>
          <w:rFonts w:hint="eastAsia" w:ascii="宋体" w:hAnsi="宋体"/>
          <w:bCs/>
          <w:szCs w:val="21"/>
          <w:highlight w:val="none"/>
        </w:rPr>
        <w:t xml:space="preserve">                                              </w:t>
      </w:r>
      <w:r>
        <w:rPr>
          <w:rFonts w:hint="eastAsia"/>
          <w:highlight w:val="none"/>
        </w:rPr>
        <w:t xml:space="preserve">供应商全称（加盖公章）：</w:t>
      </w:r>
      <w:r>
        <w:rPr>
          <w:highlight w:val="none"/>
        </w:rPr>
      </w:r>
      <w:r/>
    </w:p>
    <w:p>
      <w:pPr>
        <w:pStyle w:val="1008"/>
        <w:ind w:firstLine="0"/>
        <w:jc w:val="right"/>
        <w:spacing w:line="360" w:lineRule="auto"/>
        <w:rPr>
          <w:spacing w:val="20"/>
          <w:highlight w:val="none"/>
          <w:u w:val="single"/>
        </w:rPr>
      </w:pPr>
      <w:r>
        <w:rPr>
          <w:rFonts w:hint="eastAsia"/>
          <w:highlight w:val="none"/>
        </w:rPr>
        <w:t xml:space="preserve">法定代表人或授权委托人</w:t>
      </w:r>
      <w:r>
        <w:rPr>
          <w:rFonts w:hint="eastAsia"/>
          <w:spacing w:val="20"/>
          <w:highlight w:val="none"/>
        </w:rPr>
        <w:t xml:space="preserve">：</w:t>
      </w:r>
      <w:r>
        <w:rPr>
          <w:rFonts w:hint="eastAsia"/>
          <w:highlight w:val="none"/>
          <w:u w:val="single"/>
        </w:rPr>
        <w:t xml:space="preserve">（签字或盖章）</w:t>
      </w:r>
      <w:r>
        <w:rPr>
          <w:highlight w:val="none"/>
        </w:rPr>
      </w:r>
      <w:r/>
    </w:p>
    <w:p>
      <w:pPr>
        <w:pStyle w:val="1008"/>
        <w:ind w:firstLine="5000"/>
        <w:spacing w:line="360" w:lineRule="auto"/>
        <w:rPr>
          <w:spacing w:val="20"/>
          <w:highlight w:val="none"/>
          <w:u w:val="single"/>
        </w:rPr>
      </w:pPr>
      <w:r>
        <w:rPr>
          <w:rFonts w:hint="eastAsia"/>
          <w:spacing w:val="20"/>
          <w:highlight w:val="none"/>
        </w:rPr>
        <w:t xml:space="preserve">日期：</w:t>
      </w:r>
      <w:r>
        <w:rPr>
          <w:highlight w:val="none"/>
        </w:rPr>
      </w:r>
      <w:r/>
    </w:p>
    <w:p>
      <w:pPr>
        <w:pStyle w:val="1048"/>
        <w:ind w:right="1560" w:firstLine="480"/>
        <w:jc w:val="center"/>
        <w:spacing w:beforeAutospacing="0" w:afterAutospacing="0" w:line="360" w:lineRule="auto"/>
        <w:tabs>
          <w:tab w:val="left" w:pos="4864" w:leader="none"/>
        </w:tabs>
        <w:rPr>
          <w:rFonts w:hint="eastAsia"/>
          <w:iCs/>
          <w:highlight w:val="none"/>
        </w:rPr>
      </w:pPr>
      <w:r>
        <w:rPr>
          <w:rFonts w:hint="eastAsia"/>
          <w:iCs/>
          <w:highlight w:val="none"/>
        </w:rPr>
      </w:r>
      <w:r>
        <w:rPr>
          <w:highlight w:val="none"/>
        </w:rPr>
      </w:r>
      <w:r/>
    </w:p>
    <w:p>
      <w:pPr>
        <w:pStyle w:val="1048"/>
        <w:ind w:right="1560" w:firstLine="480"/>
        <w:jc w:val="center"/>
        <w:spacing w:beforeAutospacing="0" w:afterAutospacing="0" w:line="360" w:lineRule="auto"/>
        <w:tabs>
          <w:tab w:val="left" w:pos="4864" w:leader="none"/>
        </w:tabs>
        <w:rPr>
          <w:rFonts w:hint="eastAsia"/>
          <w:iCs/>
          <w:highlight w:val="none"/>
        </w:rPr>
      </w:pPr>
      <w:r>
        <w:rPr>
          <w:rFonts w:hint="eastAsia"/>
          <w:iCs/>
          <w:highlight w:val="none"/>
        </w:rPr>
      </w:r>
      <w:r>
        <w:rPr>
          <w:highlight w:val="none"/>
        </w:rPr>
      </w:r>
      <w:r/>
    </w:p>
    <w:p>
      <w:pPr>
        <w:pStyle w:val="1048"/>
        <w:ind w:right="1560" w:firstLine="480"/>
        <w:jc w:val="center"/>
        <w:spacing w:beforeAutospacing="0" w:afterAutospacing="0" w:line="360" w:lineRule="auto"/>
        <w:tabs>
          <w:tab w:val="left" w:pos="4864" w:leader="none"/>
        </w:tabs>
        <w:rPr>
          <w:rFonts w:hint="eastAsia"/>
          <w:iCs/>
          <w:highlight w:val="none"/>
        </w:rPr>
      </w:pPr>
      <w:r>
        <w:rPr>
          <w:rFonts w:hint="eastAsia"/>
          <w:iCs/>
          <w:highlight w:val="none"/>
        </w:rPr>
      </w:r>
      <w:r>
        <w:rPr>
          <w:highlight w:val="none"/>
        </w:rPr>
      </w:r>
      <w:r/>
    </w:p>
    <w:p>
      <w:pPr>
        <w:pStyle w:val="1048"/>
        <w:ind w:right="1560" w:firstLine="480"/>
        <w:jc w:val="center"/>
        <w:spacing w:beforeAutospacing="0" w:afterAutospacing="0" w:line="360" w:lineRule="auto"/>
        <w:tabs>
          <w:tab w:val="left" w:pos="4864" w:leader="none"/>
        </w:tabs>
        <w:rPr>
          <w:rFonts w:hint="eastAsia"/>
          <w:iCs/>
          <w:highlight w:val="none"/>
        </w:rPr>
      </w:pPr>
      <w:r>
        <w:rPr>
          <w:rFonts w:hint="eastAsia"/>
          <w:iCs/>
          <w:highlight w:val="none"/>
        </w:rPr>
      </w:r>
      <w:r>
        <w:rPr>
          <w:highlight w:val="none"/>
        </w:rPr>
      </w:r>
      <w:r/>
    </w:p>
    <w:p>
      <w:pPr>
        <w:pStyle w:val="1048"/>
        <w:ind w:right="1560" w:firstLine="480"/>
        <w:jc w:val="center"/>
        <w:spacing w:beforeAutospacing="0" w:afterAutospacing="0" w:line="360" w:lineRule="auto"/>
        <w:tabs>
          <w:tab w:val="left" w:pos="4864" w:leader="none"/>
        </w:tabs>
        <w:rPr>
          <w:rFonts w:hint="eastAsia"/>
          <w:iCs/>
          <w:highlight w:val="none"/>
        </w:rPr>
      </w:pPr>
      <w:r>
        <w:rPr>
          <w:rFonts w:hint="eastAsia"/>
          <w:iCs/>
          <w:highlight w:val="none"/>
        </w:rPr>
      </w:r>
      <w:r>
        <w:rPr>
          <w:highlight w:val="none"/>
        </w:rPr>
      </w:r>
      <w:r/>
    </w:p>
    <w:p>
      <w:pPr>
        <w:pStyle w:val="1048"/>
        <w:ind w:right="1560" w:firstLine="480"/>
        <w:jc w:val="center"/>
        <w:spacing w:beforeAutospacing="0" w:afterAutospacing="0" w:line="360" w:lineRule="auto"/>
        <w:tabs>
          <w:tab w:val="left" w:pos="4864" w:leader="none"/>
        </w:tabs>
        <w:rPr>
          <w:rFonts w:hint="eastAsia"/>
          <w:iCs/>
          <w:highlight w:val="none"/>
        </w:rPr>
      </w:pPr>
      <w:r>
        <w:rPr>
          <w:rFonts w:hint="eastAsia"/>
          <w:iCs/>
          <w:highlight w:val="none"/>
        </w:rPr>
      </w:r>
      <w:r>
        <w:rPr>
          <w:highlight w:val="none"/>
        </w:rPr>
      </w:r>
      <w:r/>
    </w:p>
    <w:p>
      <w:pPr>
        <w:pStyle w:val="1048"/>
        <w:ind w:right="1560" w:firstLine="480"/>
        <w:jc w:val="center"/>
        <w:spacing w:beforeAutospacing="0" w:afterAutospacing="0" w:line="360" w:lineRule="auto"/>
        <w:tabs>
          <w:tab w:val="left" w:pos="4864" w:leader="none"/>
        </w:tabs>
        <w:rPr>
          <w:rFonts w:hint="eastAsia"/>
          <w:iCs/>
          <w:highlight w:val="none"/>
        </w:rPr>
      </w:pPr>
      <w:r>
        <w:rPr>
          <w:rFonts w:hint="eastAsia"/>
          <w:iCs/>
          <w:highlight w:val="none"/>
        </w:rPr>
      </w:r>
      <w:r>
        <w:rPr>
          <w:highlight w:val="none"/>
        </w:rPr>
      </w:r>
      <w:r/>
    </w:p>
    <w:p>
      <w:pPr>
        <w:pStyle w:val="1048"/>
        <w:ind w:right="1560" w:firstLine="480"/>
        <w:jc w:val="center"/>
        <w:spacing w:beforeAutospacing="0" w:afterAutospacing="0" w:line="360" w:lineRule="auto"/>
        <w:tabs>
          <w:tab w:val="left" w:pos="4864" w:leader="none"/>
        </w:tabs>
        <w:rPr>
          <w:rFonts w:hint="eastAsia"/>
          <w:iCs/>
          <w:highlight w:val="none"/>
        </w:rPr>
      </w:pPr>
      <w:r>
        <w:rPr>
          <w:rFonts w:hint="eastAsia"/>
          <w:iCs/>
          <w:highlight w:val="none"/>
        </w:rPr>
      </w:r>
      <w:r>
        <w:rPr>
          <w:highlight w:val="none"/>
        </w:rPr>
      </w:r>
      <w:r/>
    </w:p>
    <w:p>
      <w:pPr>
        <w:pStyle w:val="1048"/>
        <w:ind w:right="1560" w:firstLine="480"/>
        <w:jc w:val="center"/>
        <w:spacing w:beforeAutospacing="0" w:afterAutospacing="0" w:line="360" w:lineRule="auto"/>
        <w:tabs>
          <w:tab w:val="left" w:pos="4864" w:leader="none"/>
        </w:tabs>
        <w:rPr>
          <w:rFonts w:hint="eastAsia"/>
          <w:iCs/>
          <w:highlight w:val="none"/>
        </w:rPr>
      </w:pPr>
      <w:r>
        <w:rPr>
          <w:rFonts w:hint="eastAsia"/>
          <w:iCs/>
          <w:highlight w:val="none"/>
        </w:rPr>
      </w:r>
      <w:r>
        <w:rPr>
          <w:highlight w:val="none"/>
        </w:rPr>
      </w:r>
      <w:r/>
    </w:p>
    <w:p>
      <w:pPr>
        <w:pStyle w:val="1048"/>
        <w:ind w:right="1560" w:firstLine="480"/>
        <w:jc w:val="center"/>
        <w:spacing w:beforeAutospacing="0" w:afterAutospacing="0" w:line="360" w:lineRule="auto"/>
        <w:tabs>
          <w:tab w:val="left" w:pos="4864" w:leader="none"/>
        </w:tabs>
        <w:rPr>
          <w:rFonts w:hint="eastAsia"/>
          <w:highlight w:val="none"/>
        </w:rPr>
      </w:pPr>
      <w:r>
        <w:rPr>
          <w:rFonts w:hint="eastAsia"/>
          <w:iCs/>
          <w:highlight w:val="none"/>
        </w:rPr>
      </w:r>
      <w:r>
        <w:rPr>
          <w:rFonts w:hint="eastAsia"/>
          <w:iCs/>
          <w:highlight w:val="none"/>
        </w:rPr>
      </w:r>
      <w:r/>
    </w:p>
    <w:p>
      <w:pPr>
        <w:pStyle w:val="1048"/>
        <w:ind w:right="1560" w:firstLine="480"/>
        <w:jc w:val="center"/>
        <w:spacing w:beforeAutospacing="0" w:afterAutospacing="0" w:line="360" w:lineRule="auto"/>
        <w:tabs>
          <w:tab w:val="left" w:pos="4864" w:leader="none"/>
        </w:tabs>
        <w:rPr>
          <w:rFonts w:hint="eastAsia"/>
          <w:highlight w:val="none"/>
        </w:rPr>
      </w:pPr>
      <w:r>
        <w:rPr>
          <w:rFonts w:hint="eastAsia"/>
          <w:iCs/>
          <w:highlight w:val="none"/>
        </w:rPr>
      </w:r>
      <w:r>
        <w:rPr>
          <w:rFonts w:hint="eastAsia"/>
          <w:iCs/>
          <w:highlight w:val="none"/>
        </w:rPr>
      </w:r>
      <w:r/>
    </w:p>
    <w:p>
      <w:pPr>
        <w:pStyle w:val="1048"/>
        <w:ind w:right="1560" w:firstLine="480"/>
        <w:jc w:val="center"/>
        <w:spacing w:beforeAutospacing="0" w:afterAutospacing="0" w:line="360" w:lineRule="auto"/>
        <w:tabs>
          <w:tab w:val="left" w:pos="4864" w:leader="none"/>
        </w:tabs>
        <w:rPr>
          <w:rFonts w:hint="eastAsia"/>
          <w:highlight w:val="none"/>
        </w:rPr>
      </w:pPr>
      <w:r>
        <w:rPr>
          <w:rFonts w:hint="eastAsia"/>
          <w:iCs/>
          <w:highlight w:val="none"/>
        </w:rPr>
      </w:r>
      <w:r>
        <w:rPr>
          <w:rFonts w:hint="eastAsia"/>
          <w:iCs/>
          <w:highlight w:val="none"/>
        </w:rPr>
      </w:r>
      <w:r/>
    </w:p>
    <w:p>
      <w:pPr>
        <w:pStyle w:val="1048"/>
        <w:ind w:right="1560" w:firstLine="480"/>
        <w:jc w:val="center"/>
        <w:spacing w:beforeAutospacing="0" w:afterAutospacing="0" w:line="360" w:lineRule="auto"/>
        <w:tabs>
          <w:tab w:val="left" w:pos="4864" w:leader="none"/>
        </w:tabs>
        <w:rPr>
          <w:rFonts w:hint="eastAsia"/>
          <w:highlight w:val="none"/>
        </w:rPr>
      </w:pPr>
      <w:r>
        <w:rPr>
          <w:rFonts w:hint="eastAsia"/>
          <w:iCs/>
          <w:highlight w:val="none"/>
        </w:rPr>
      </w:r>
      <w:r>
        <w:rPr>
          <w:rFonts w:hint="eastAsia"/>
          <w:iCs/>
          <w:highlight w:val="none"/>
        </w:rPr>
      </w:r>
      <w:r/>
    </w:p>
    <w:p>
      <w:pPr>
        <w:pStyle w:val="1048"/>
        <w:ind w:right="1560" w:firstLine="480"/>
        <w:jc w:val="center"/>
        <w:spacing w:beforeAutospacing="0" w:afterAutospacing="0" w:line="360" w:lineRule="auto"/>
        <w:tabs>
          <w:tab w:val="left" w:pos="4864" w:leader="none"/>
        </w:tabs>
        <w:rPr>
          <w:rFonts w:hint="eastAsia"/>
          <w:iCs/>
          <w:highlight w:val="none"/>
        </w:rPr>
      </w:pPr>
      <w:r>
        <w:rPr>
          <w:rFonts w:hint="eastAsia"/>
          <w:iCs/>
          <w:highlight w:val="none"/>
        </w:rPr>
      </w:r>
      <w:r>
        <w:rPr>
          <w:highlight w:val="none"/>
        </w:rPr>
      </w:r>
      <w:r/>
    </w:p>
    <w:p>
      <w:pPr>
        <w:pStyle w:val="1048"/>
        <w:ind w:right="1560" w:firstLine="480"/>
        <w:jc w:val="center"/>
        <w:spacing w:beforeAutospacing="0" w:afterAutospacing="0" w:line="360" w:lineRule="auto"/>
        <w:tabs>
          <w:tab w:val="left" w:pos="4864" w:leader="none"/>
        </w:tabs>
        <w:rPr>
          <w:rFonts w:hint="eastAsia"/>
          <w:highlight w:val="none"/>
        </w:rPr>
      </w:pPr>
      <w:r>
        <w:rPr>
          <w:rFonts w:hint="eastAsia"/>
          <w:iCs/>
          <w:highlight w:val="none"/>
        </w:rPr>
      </w:r>
      <w:r>
        <w:rPr>
          <w:rFonts w:hint="eastAsia"/>
          <w:iCs/>
          <w:highlight w:val="none"/>
        </w:rPr>
      </w:r>
      <w:r/>
    </w:p>
    <w:p>
      <w:pPr>
        <w:pStyle w:val="1048"/>
        <w:ind w:right="1560" w:firstLine="480"/>
        <w:jc w:val="center"/>
        <w:spacing w:beforeAutospacing="0" w:afterAutospacing="0" w:line="360" w:lineRule="auto"/>
        <w:tabs>
          <w:tab w:val="left" w:pos="4864" w:leader="none"/>
        </w:tabs>
        <w:rPr>
          <w:rFonts w:hint="eastAsia"/>
          <w:iCs/>
          <w:highlight w:val="none"/>
        </w:rPr>
      </w:pPr>
      <w:r>
        <w:rPr>
          <w:rFonts w:hint="eastAsia"/>
          <w:iCs/>
          <w:highlight w:val="none"/>
        </w:rPr>
      </w:r>
      <w:r>
        <w:rPr>
          <w:highlight w:val="none"/>
        </w:rPr>
      </w:r>
      <w:r/>
    </w:p>
    <w:p>
      <w:pPr>
        <w:pStyle w:val="1048"/>
        <w:ind w:right="1560" w:firstLine="480"/>
        <w:jc w:val="center"/>
        <w:spacing w:beforeAutospacing="0" w:afterAutospacing="0" w:line="360" w:lineRule="auto"/>
        <w:tabs>
          <w:tab w:val="left" w:pos="4864" w:leader="none"/>
        </w:tabs>
        <w:rPr>
          <w:rFonts w:hint="eastAsia"/>
          <w:iCs/>
          <w:highlight w:val="none"/>
        </w:rPr>
      </w:pPr>
      <w:r>
        <w:rPr>
          <w:rFonts w:hint="eastAsia"/>
          <w:iCs/>
          <w:highlight w:val="none"/>
        </w:rPr>
      </w:r>
      <w:r>
        <w:rPr>
          <w:highlight w:val="none"/>
        </w:rPr>
      </w:r>
      <w:r/>
    </w:p>
    <w:p>
      <w:pPr>
        <w:pStyle w:val="1026"/>
        <w:ind w:left="0" w:right="1470"/>
        <w:spacing w:after="0" w:line="360" w:lineRule="auto"/>
        <w:tabs>
          <w:tab w:val="left" w:pos="9000" w:leader="none"/>
        </w:tabs>
        <w:rPr>
          <w:rFonts w:ascii="宋体" w:cs="仿宋_GB2312"/>
          <w:szCs w:val="21"/>
          <w:highlight w:val="none"/>
        </w:rPr>
      </w:pPr>
      <w:r>
        <w:rPr>
          <w:rFonts w:ascii="宋体" w:cs="仿宋_GB2312"/>
          <w:szCs w:val="21"/>
          <w:highlight w:val="none"/>
        </w:rPr>
      </w:r>
      <w:r>
        <w:rPr>
          <w:highlight w:val="none"/>
        </w:rPr>
      </w:r>
      <w:r/>
    </w:p>
    <w:p>
      <w:pPr>
        <w:pStyle w:val="1026"/>
        <w:ind w:left="0" w:right="1470"/>
        <w:jc w:val="center"/>
        <w:spacing w:after="0" w:line="360" w:lineRule="auto"/>
        <w:tabs>
          <w:tab w:val="left" w:pos="9000" w:leader="none"/>
        </w:tabs>
        <w:rPr>
          <w:rFonts w:hint="eastAsia"/>
          <w:b/>
          <w:bCs/>
          <w:sz w:val="32"/>
          <w:highlight w:val="none"/>
        </w:rPr>
      </w:pPr>
      <w:r>
        <w:rPr>
          <w:rFonts w:hint="eastAsia"/>
          <w:b/>
          <w:bCs/>
          <w:sz w:val="32"/>
          <w:highlight w:val="none"/>
        </w:rPr>
        <w:t xml:space="preserve"> 分项报价表3 （大市区范围内污水厂和第Ш防洪区围</w:t>
      </w:r>
      <w:r>
        <w:rPr>
          <w:highlight w:val="none"/>
        </w:rPr>
      </w:r>
      <w:r/>
    </w:p>
    <w:p>
      <w:pPr>
        <w:pStyle w:val="1026"/>
        <w:ind w:left="0" w:right="1470"/>
        <w:jc w:val="center"/>
        <w:spacing w:after="0" w:line="360" w:lineRule="auto"/>
        <w:tabs>
          <w:tab w:val="left" w:pos="9000" w:leader="none"/>
        </w:tabs>
        <w:rPr>
          <w:rFonts w:hint="eastAsia"/>
          <w:b/>
          <w:bCs/>
          <w:sz w:val="32"/>
          <w:highlight w:val="none"/>
        </w:rPr>
      </w:pPr>
      <w:r>
        <w:rPr>
          <w:rFonts w:hint="eastAsia"/>
          <w:b/>
          <w:bCs/>
          <w:sz w:val="32"/>
          <w:highlight w:val="none"/>
        </w:rPr>
        <w:t xml:space="preserve">内已发证排水户水质检测服务复测项目）</w:t>
      </w:r>
      <w:r>
        <w:rPr>
          <w:highlight w:val="none"/>
        </w:rPr>
      </w:r>
      <w:r/>
    </w:p>
    <w:tbl>
      <w:tblPr>
        <w:tblW w:w="85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1"/>
        <w:gridCol w:w="2945"/>
        <w:gridCol w:w="2437"/>
        <w:gridCol w:w="1755"/>
      </w:tblGrid>
      <w:tr>
        <w:trPr>
          <w:trHeight w:val="1208"/>
        </w:trPr>
        <w:tc>
          <w:tcPr>
            <w:tcW w:w="1401" w:type="dxa"/>
            <w:vAlign w:val="center"/>
            <w:textDirection w:val="lrTb"/>
            <w:noWrap w:val="false"/>
          </w:tcPr>
          <w:p>
            <w:pPr>
              <w:pStyle w:val="1008"/>
              <w:jc w:val="center"/>
              <w:spacing w:line="360" w:lineRule="auto"/>
              <w:rPr>
                <w:rFonts w:ascii="黑体" w:hAnsi="黑体" w:eastAsia="黑体" w:cs="宋体"/>
                <w:szCs w:val="21"/>
                <w:highlight w:val="none"/>
              </w:rPr>
            </w:pPr>
            <w:r>
              <w:rPr>
                <w:rFonts w:hint="eastAsia" w:ascii="黑体" w:hAnsi="黑体" w:eastAsia="黑体" w:cs="宋体"/>
                <w:szCs w:val="21"/>
                <w:highlight w:val="none"/>
              </w:rPr>
              <w:t xml:space="preserve">序号</w:t>
            </w:r>
            <w:r>
              <w:rPr>
                <w:highlight w:val="none"/>
              </w:rPr>
            </w:r>
            <w:r/>
          </w:p>
        </w:tc>
        <w:tc>
          <w:tcPr>
            <w:tcW w:w="2945" w:type="dxa"/>
            <w:vAlign w:val="center"/>
            <w:textDirection w:val="lrTb"/>
            <w:noWrap w:val="false"/>
          </w:tcPr>
          <w:p>
            <w:pPr>
              <w:pStyle w:val="1008"/>
              <w:jc w:val="center"/>
              <w:spacing w:line="360" w:lineRule="auto"/>
              <w:rPr>
                <w:rFonts w:ascii="黑体" w:hAnsi="黑体" w:eastAsia="黑体" w:cs="宋体"/>
                <w:szCs w:val="21"/>
                <w:highlight w:val="none"/>
              </w:rPr>
            </w:pPr>
            <w:r>
              <w:rPr>
                <w:rFonts w:hint="eastAsia" w:ascii="黑体" w:hAnsi="黑体" w:eastAsia="黑体" w:cs="宋体"/>
                <w:szCs w:val="21"/>
                <w:highlight w:val="none"/>
              </w:rPr>
              <w:t xml:space="preserve">项目</w:t>
            </w:r>
            <w:r>
              <w:rPr>
                <w:highlight w:val="none"/>
              </w:rPr>
            </w:r>
            <w:r/>
          </w:p>
        </w:tc>
        <w:tc>
          <w:tcPr>
            <w:tcW w:w="2437" w:type="dxa"/>
            <w:vAlign w:val="center"/>
            <w:textDirection w:val="lrTb"/>
            <w:noWrap w:val="false"/>
          </w:tcPr>
          <w:p>
            <w:pPr>
              <w:pStyle w:val="1008"/>
              <w:jc w:val="center"/>
              <w:spacing w:line="360" w:lineRule="auto"/>
              <w:rPr>
                <w:rFonts w:ascii="黑体" w:hAnsi="黑体" w:eastAsia="黑体" w:cs="宋体"/>
                <w:szCs w:val="21"/>
                <w:highlight w:val="none"/>
              </w:rPr>
            </w:pPr>
            <w:r>
              <w:rPr>
                <w:rFonts w:hint="eastAsia" w:ascii="黑体" w:hAnsi="黑体" w:eastAsia="黑体" w:cs="宋体"/>
                <w:szCs w:val="21"/>
                <w:highlight w:val="none"/>
              </w:rPr>
              <w:t xml:space="preserve">单价</w:t>
            </w:r>
            <w:r>
              <w:rPr>
                <w:rFonts w:ascii="黑体" w:hAnsi="黑体" w:eastAsia="黑体" w:cs="宋体"/>
                <w:szCs w:val="21"/>
                <w:highlight w:val="none"/>
              </w:rPr>
              <w:t xml:space="preserve">/</w:t>
            </w:r>
            <w:r>
              <w:rPr>
                <w:rFonts w:hint="eastAsia" w:ascii="黑体" w:hAnsi="黑体" w:eastAsia="黑体" w:cs="宋体"/>
                <w:szCs w:val="21"/>
                <w:highlight w:val="none"/>
              </w:rPr>
              <w:t xml:space="preserve">元</w:t>
            </w:r>
            <w:r>
              <w:rPr>
                <w:highlight w:val="none"/>
              </w:rPr>
            </w:r>
            <w:r/>
          </w:p>
        </w:tc>
        <w:tc>
          <w:tcPr>
            <w:tcW w:w="1755" w:type="dxa"/>
            <w:vAlign w:val="center"/>
            <w:textDirection w:val="lrTb"/>
            <w:noWrap w:val="false"/>
          </w:tcPr>
          <w:p>
            <w:pPr>
              <w:pStyle w:val="1008"/>
              <w:jc w:val="center"/>
              <w:spacing w:line="360" w:lineRule="auto"/>
              <w:rPr>
                <w:rFonts w:ascii="黑体" w:hAnsi="黑体" w:eastAsia="黑体" w:cs="宋体"/>
                <w:szCs w:val="21"/>
                <w:highlight w:val="none"/>
              </w:rPr>
            </w:pPr>
            <w:r>
              <w:rPr>
                <w:rFonts w:hint="eastAsia" w:ascii="黑体" w:hAnsi="黑体" w:eastAsia="黑体" w:cs="宋体"/>
                <w:szCs w:val="21"/>
                <w:highlight w:val="none"/>
              </w:rPr>
              <w:t xml:space="preserve">备注</w:t>
            </w:r>
            <w:r>
              <w:rPr>
                <w:highlight w:val="none"/>
              </w:rPr>
            </w:r>
            <w:r/>
          </w:p>
        </w:tc>
      </w:tr>
      <w:tr>
        <w:trPr>
          <w:trHeight w:val="452"/>
        </w:trPr>
        <w:tc>
          <w:tcPr>
            <w:tcW w:w="1401" w:type="dxa"/>
            <w:vAlign w:val="center"/>
            <w:textDirection w:val="lrTb"/>
            <w:noWrap w:val="false"/>
          </w:tcPr>
          <w:p>
            <w:pPr>
              <w:pStyle w:val="1008"/>
              <w:jc w:val="center"/>
              <w:spacing w:line="360" w:lineRule="auto"/>
              <w:rPr>
                <w:rFonts w:ascii="宋体" w:cs="宋体"/>
                <w:szCs w:val="21"/>
                <w:highlight w:val="none"/>
              </w:rPr>
            </w:pPr>
            <w:r>
              <w:rPr>
                <w:rFonts w:ascii="宋体" w:hAnsi="宋体" w:cs="宋体"/>
                <w:szCs w:val="21"/>
                <w:highlight w:val="none"/>
              </w:rPr>
              <w:t xml:space="preserve">1</w:t>
            </w:r>
            <w:r>
              <w:rPr>
                <w:highlight w:val="none"/>
              </w:rPr>
            </w:r>
            <w:r/>
          </w:p>
        </w:tc>
        <w:tc>
          <w:tcPr>
            <w:tcW w:w="2945" w:type="dxa"/>
            <w:vAlign w:val="center"/>
            <w:textDirection w:val="lrTb"/>
            <w:noWrap w:val="false"/>
          </w:tcPr>
          <w:p>
            <w:pPr>
              <w:pStyle w:val="1008"/>
              <w:jc w:val="center"/>
              <w:spacing w:line="360" w:lineRule="auto"/>
              <w:rPr>
                <w:rFonts w:ascii="宋体" w:cs="宋体"/>
                <w:szCs w:val="21"/>
                <w:highlight w:val="none"/>
              </w:rPr>
            </w:pPr>
            <w:r>
              <w:rPr>
                <w:rFonts w:ascii="宋体" w:hAnsi="宋体" w:cs="宋体"/>
                <w:szCs w:val="21"/>
                <w:highlight w:val="none"/>
              </w:rPr>
              <w:t xml:space="preserve">COD</w:t>
            </w:r>
            <w:r>
              <w:rPr>
                <w:highlight w:val="none"/>
              </w:rPr>
            </w:r>
            <w:r/>
          </w:p>
        </w:tc>
        <w:tc>
          <w:tcPr>
            <w:tcW w:w="2437" w:type="dxa"/>
            <w:vAlign w:val="center"/>
            <w:textDirection w:val="lrTb"/>
            <w:noWrap w:val="false"/>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c>
          <w:tcPr>
            <w:tcW w:w="1755" w:type="dxa"/>
            <w:vAlign w:val="center"/>
            <w:textDirection w:val="lrTb"/>
            <w:noWrap/>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r>
      <w:tr>
        <w:trPr>
          <w:trHeight w:val="452"/>
        </w:trPr>
        <w:tc>
          <w:tcPr>
            <w:tcW w:w="1401" w:type="dxa"/>
            <w:vAlign w:val="center"/>
            <w:textDirection w:val="lrTb"/>
            <w:noWrap w:val="false"/>
          </w:tcPr>
          <w:p>
            <w:pPr>
              <w:pStyle w:val="1008"/>
              <w:jc w:val="center"/>
              <w:spacing w:line="360" w:lineRule="auto"/>
              <w:rPr>
                <w:rFonts w:ascii="宋体" w:cs="宋体"/>
                <w:szCs w:val="21"/>
                <w:highlight w:val="none"/>
              </w:rPr>
            </w:pPr>
            <w:r>
              <w:rPr>
                <w:rFonts w:ascii="宋体" w:hAnsi="宋体" w:cs="宋体"/>
                <w:szCs w:val="21"/>
                <w:highlight w:val="none"/>
              </w:rPr>
              <w:t xml:space="preserve">2</w:t>
            </w:r>
            <w:r>
              <w:rPr>
                <w:highlight w:val="none"/>
              </w:rPr>
            </w:r>
            <w:r/>
          </w:p>
        </w:tc>
        <w:tc>
          <w:tcPr>
            <w:tcW w:w="2945" w:type="dxa"/>
            <w:vAlign w:val="center"/>
            <w:textDirection w:val="lrTb"/>
            <w:noWrap w:val="false"/>
          </w:tcPr>
          <w:p>
            <w:pPr>
              <w:pStyle w:val="1008"/>
              <w:jc w:val="center"/>
              <w:spacing w:line="360" w:lineRule="auto"/>
              <w:rPr>
                <w:rFonts w:ascii="宋体" w:cs="宋体"/>
                <w:szCs w:val="21"/>
                <w:highlight w:val="none"/>
              </w:rPr>
            </w:pPr>
            <w:r>
              <w:rPr>
                <w:rFonts w:ascii="宋体" w:hAnsi="宋体" w:cs="宋体"/>
                <w:szCs w:val="21"/>
                <w:highlight w:val="none"/>
              </w:rPr>
              <w:t xml:space="preserve">BOD5</w:t>
            </w:r>
            <w:r>
              <w:rPr>
                <w:highlight w:val="none"/>
              </w:rPr>
            </w:r>
            <w:r/>
          </w:p>
        </w:tc>
        <w:tc>
          <w:tcPr>
            <w:tcW w:w="2437" w:type="dxa"/>
            <w:vAlign w:val="center"/>
            <w:textDirection w:val="lrTb"/>
            <w:noWrap w:val="false"/>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c>
          <w:tcPr>
            <w:tcW w:w="1755" w:type="dxa"/>
            <w:vAlign w:val="center"/>
            <w:textDirection w:val="lrTb"/>
            <w:noWrap/>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r>
      <w:tr>
        <w:trPr>
          <w:trHeight w:val="452"/>
        </w:trPr>
        <w:tc>
          <w:tcPr>
            <w:tcW w:w="1401" w:type="dxa"/>
            <w:vAlign w:val="center"/>
            <w:textDirection w:val="lrTb"/>
            <w:noWrap w:val="false"/>
          </w:tcPr>
          <w:p>
            <w:pPr>
              <w:pStyle w:val="1008"/>
              <w:jc w:val="center"/>
              <w:spacing w:line="360" w:lineRule="auto"/>
              <w:rPr>
                <w:rFonts w:ascii="宋体" w:cs="宋体"/>
                <w:szCs w:val="21"/>
                <w:highlight w:val="none"/>
              </w:rPr>
            </w:pPr>
            <w:r>
              <w:rPr>
                <w:rFonts w:ascii="宋体" w:hAnsi="宋体" w:cs="宋体"/>
                <w:szCs w:val="21"/>
                <w:highlight w:val="none"/>
              </w:rPr>
              <w:t xml:space="preserve">3</w:t>
            </w:r>
            <w:r>
              <w:rPr>
                <w:highlight w:val="none"/>
              </w:rPr>
            </w:r>
            <w:r/>
          </w:p>
        </w:tc>
        <w:tc>
          <w:tcPr>
            <w:tcW w:w="2945" w:type="dxa"/>
            <w:vAlign w:val="center"/>
            <w:textDirection w:val="lrTb"/>
            <w:noWrap w:val="false"/>
          </w:tcPr>
          <w:p>
            <w:pPr>
              <w:pStyle w:val="1008"/>
              <w:jc w:val="center"/>
              <w:spacing w:line="360" w:lineRule="auto"/>
              <w:rPr>
                <w:rFonts w:ascii="宋体" w:cs="宋体"/>
                <w:szCs w:val="21"/>
                <w:highlight w:val="none"/>
              </w:rPr>
            </w:pPr>
            <w:r>
              <w:rPr>
                <w:rFonts w:ascii="宋体" w:hAnsi="宋体" w:cs="宋体"/>
                <w:szCs w:val="21"/>
                <w:highlight w:val="none"/>
              </w:rPr>
              <w:t xml:space="preserve">SS</w:t>
            </w:r>
            <w:r>
              <w:rPr>
                <w:highlight w:val="none"/>
              </w:rPr>
            </w:r>
            <w:r/>
          </w:p>
        </w:tc>
        <w:tc>
          <w:tcPr>
            <w:tcW w:w="2437" w:type="dxa"/>
            <w:vAlign w:val="center"/>
            <w:textDirection w:val="lrTb"/>
            <w:noWrap w:val="false"/>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c>
          <w:tcPr>
            <w:tcW w:w="1755" w:type="dxa"/>
            <w:vAlign w:val="center"/>
            <w:textDirection w:val="lrTb"/>
            <w:noWrap/>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r>
      <w:tr>
        <w:trPr>
          <w:trHeight w:val="452"/>
        </w:trPr>
        <w:tc>
          <w:tcPr>
            <w:tcW w:w="1401" w:type="dxa"/>
            <w:vAlign w:val="center"/>
            <w:textDirection w:val="lrTb"/>
            <w:noWrap w:val="false"/>
          </w:tcPr>
          <w:p>
            <w:pPr>
              <w:pStyle w:val="1008"/>
              <w:jc w:val="center"/>
              <w:spacing w:line="360" w:lineRule="auto"/>
              <w:rPr>
                <w:rFonts w:ascii="宋体" w:cs="宋体"/>
                <w:szCs w:val="21"/>
                <w:highlight w:val="none"/>
              </w:rPr>
            </w:pPr>
            <w:r>
              <w:rPr>
                <w:rFonts w:ascii="宋体" w:hAnsi="宋体" w:cs="宋体"/>
                <w:szCs w:val="21"/>
                <w:highlight w:val="none"/>
              </w:rPr>
              <w:t xml:space="preserve">4</w:t>
            </w:r>
            <w:r>
              <w:rPr>
                <w:highlight w:val="none"/>
              </w:rPr>
            </w:r>
            <w:r/>
          </w:p>
        </w:tc>
        <w:tc>
          <w:tcPr>
            <w:tcW w:w="2945" w:type="dxa"/>
            <w:vAlign w:val="center"/>
            <w:textDirection w:val="lrTb"/>
            <w:noWrap w:val="false"/>
          </w:tcPr>
          <w:p>
            <w:pPr>
              <w:pStyle w:val="1008"/>
              <w:jc w:val="center"/>
              <w:spacing w:line="360" w:lineRule="auto"/>
              <w:rPr>
                <w:rFonts w:ascii="宋体" w:cs="宋体"/>
                <w:szCs w:val="21"/>
                <w:highlight w:val="none"/>
              </w:rPr>
            </w:pPr>
            <w:r>
              <w:rPr>
                <w:rFonts w:ascii="宋体" w:hAnsi="宋体" w:cs="宋体"/>
                <w:szCs w:val="21"/>
                <w:highlight w:val="none"/>
              </w:rPr>
              <w:t xml:space="preserve">PH</w:t>
            </w:r>
            <w:r>
              <w:rPr>
                <w:highlight w:val="none"/>
              </w:rPr>
            </w:r>
            <w:r/>
          </w:p>
        </w:tc>
        <w:tc>
          <w:tcPr>
            <w:tcW w:w="2437" w:type="dxa"/>
            <w:vAlign w:val="center"/>
            <w:textDirection w:val="lrTb"/>
            <w:noWrap w:val="false"/>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c>
          <w:tcPr>
            <w:tcW w:w="1755" w:type="dxa"/>
            <w:vAlign w:val="center"/>
            <w:textDirection w:val="lrTb"/>
            <w:noWrap/>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r>
      <w:tr>
        <w:trPr>
          <w:trHeight w:val="452"/>
        </w:trPr>
        <w:tc>
          <w:tcPr>
            <w:tcW w:w="1401" w:type="dxa"/>
            <w:vAlign w:val="center"/>
            <w:textDirection w:val="lrTb"/>
            <w:noWrap w:val="false"/>
          </w:tcPr>
          <w:p>
            <w:pPr>
              <w:pStyle w:val="1008"/>
              <w:jc w:val="center"/>
              <w:spacing w:line="360" w:lineRule="auto"/>
              <w:rPr>
                <w:rFonts w:ascii="宋体" w:cs="宋体"/>
                <w:szCs w:val="21"/>
                <w:highlight w:val="none"/>
              </w:rPr>
            </w:pPr>
            <w:r>
              <w:rPr>
                <w:rFonts w:ascii="宋体" w:hAnsi="宋体" w:cs="宋体"/>
                <w:szCs w:val="21"/>
                <w:highlight w:val="none"/>
              </w:rPr>
              <w:t xml:space="preserve">5</w:t>
            </w:r>
            <w:r>
              <w:rPr>
                <w:highlight w:val="none"/>
              </w:rPr>
            </w:r>
            <w:r/>
          </w:p>
        </w:tc>
        <w:tc>
          <w:tcPr>
            <w:tcW w:w="2945" w:type="dxa"/>
            <w:vAlign w:val="center"/>
            <w:textDirection w:val="lrTb"/>
            <w:noWrap w:val="false"/>
          </w:tcPr>
          <w:p>
            <w:pPr>
              <w:pStyle w:val="1008"/>
              <w:jc w:val="center"/>
              <w:spacing w:line="360" w:lineRule="auto"/>
              <w:rPr>
                <w:rFonts w:ascii="宋体" w:cs="宋体"/>
                <w:szCs w:val="21"/>
                <w:highlight w:val="none"/>
              </w:rPr>
            </w:pPr>
            <w:r>
              <w:rPr>
                <w:rFonts w:hint="eastAsia" w:ascii="宋体" w:hAnsi="宋体" w:cs="宋体"/>
                <w:szCs w:val="21"/>
                <w:highlight w:val="none"/>
              </w:rPr>
              <w:t xml:space="preserve">氨氮</w:t>
            </w:r>
            <w:r>
              <w:rPr>
                <w:highlight w:val="none"/>
              </w:rPr>
            </w:r>
            <w:r/>
          </w:p>
        </w:tc>
        <w:tc>
          <w:tcPr>
            <w:tcW w:w="2437" w:type="dxa"/>
            <w:vAlign w:val="center"/>
            <w:textDirection w:val="lrTb"/>
            <w:noWrap w:val="false"/>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c>
          <w:tcPr>
            <w:tcW w:w="1755" w:type="dxa"/>
            <w:vAlign w:val="center"/>
            <w:textDirection w:val="lrTb"/>
            <w:noWrap/>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r>
      <w:tr>
        <w:trPr>
          <w:trHeight w:val="452"/>
        </w:trPr>
        <w:tc>
          <w:tcPr>
            <w:tcW w:w="1401" w:type="dxa"/>
            <w:vAlign w:val="center"/>
            <w:textDirection w:val="lrTb"/>
            <w:noWrap w:val="false"/>
          </w:tcPr>
          <w:p>
            <w:pPr>
              <w:pStyle w:val="1008"/>
              <w:jc w:val="center"/>
              <w:spacing w:line="360" w:lineRule="auto"/>
              <w:rPr>
                <w:rFonts w:ascii="宋体" w:cs="宋体"/>
                <w:szCs w:val="21"/>
                <w:highlight w:val="none"/>
              </w:rPr>
            </w:pPr>
            <w:r>
              <w:rPr>
                <w:rFonts w:ascii="宋体" w:hAnsi="宋体" w:cs="宋体"/>
                <w:szCs w:val="21"/>
                <w:highlight w:val="none"/>
              </w:rPr>
              <w:t xml:space="preserve">6</w:t>
            </w:r>
            <w:r>
              <w:rPr>
                <w:highlight w:val="none"/>
              </w:rPr>
            </w:r>
            <w:r/>
          </w:p>
        </w:tc>
        <w:tc>
          <w:tcPr>
            <w:tcW w:w="2945" w:type="dxa"/>
            <w:vAlign w:val="center"/>
            <w:textDirection w:val="lrTb"/>
            <w:noWrap w:val="false"/>
          </w:tcPr>
          <w:p>
            <w:pPr>
              <w:pStyle w:val="1008"/>
              <w:jc w:val="center"/>
              <w:spacing w:line="360" w:lineRule="auto"/>
              <w:rPr>
                <w:rFonts w:ascii="宋体" w:cs="宋体"/>
                <w:szCs w:val="21"/>
                <w:highlight w:val="none"/>
              </w:rPr>
            </w:pPr>
            <w:r>
              <w:rPr>
                <w:rFonts w:hint="eastAsia" w:ascii="宋体" w:hAnsi="宋体" w:cs="宋体"/>
                <w:szCs w:val="21"/>
                <w:highlight w:val="none"/>
              </w:rPr>
              <w:t xml:space="preserve">总磷</w:t>
            </w:r>
            <w:r>
              <w:rPr>
                <w:highlight w:val="none"/>
              </w:rPr>
            </w:r>
            <w:r/>
          </w:p>
        </w:tc>
        <w:tc>
          <w:tcPr>
            <w:tcW w:w="2437" w:type="dxa"/>
            <w:vAlign w:val="center"/>
            <w:textDirection w:val="lrTb"/>
            <w:noWrap w:val="false"/>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c>
          <w:tcPr>
            <w:tcW w:w="1755" w:type="dxa"/>
            <w:vAlign w:val="center"/>
            <w:textDirection w:val="lrTb"/>
            <w:noWrap/>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r>
      <w:tr>
        <w:trPr>
          <w:trHeight w:val="452"/>
        </w:trPr>
        <w:tc>
          <w:tcPr>
            <w:tcW w:w="1401" w:type="dxa"/>
            <w:vAlign w:val="center"/>
            <w:textDirection w:val="lrTb"/>
            <w:noWrap w:val="false"/>
          </w:tcPr>
          <w:p>
            <w:pPr>
              <w:pStyle w:val="1008"/>
              <w:jc w:val="center"/>
              <w:spacing w:line="360" w:lineRule="auto"/>
              <w:rPr>
                <w:rFonts w:ascii="宋体" w:cs="宋体"/>
                <w:szCs w:val="21"/>
                <w:highlight w:val="none"/>
              </w:rPr>
            </w:pPr>
            <w:r>
              <w:rPr>
                <w:rFonts w:ascii="宋体" w:hAnsi="宋体" w:cs="宋体"/>
                <w:szCs w:val="21"/>
                <w:highlight w:val="none"/>
              </w:rPr>
              <w:t xml:space="preserve">7</w:t>
            </w:r>
            <w:r>
              <w:rPr>
                <w:highlight w:val="none"/>
              </w:rPr>
            </w:r>
            <w:r/>
          </w:p>
        </w:tc>
        <w:tc>
          <w:tcPr>
            <w:tcW w:w="2945" w:type="dxa"/>
            <w:vAlign w:val="center"/>
            <w:textDirection w:val="lrTb"/>
            <w:noWrap w:val="false"/>
          </w:tcPr>
          <w:p>
            <w:pPr>
              <w:pStyle w:val="1008"/>
              <w:jc w:val="center"/>
              <w:spacing w:line="360" w:lineRule="auto"/>
              <w:rPr>
                <w:rFonts w:ascii="宋体" w:cs="宋体"/>
                <w:szCs w:val="21"/>
                <w:highlight w:val="none"/>
              </w:rPr>
            </w:pPr>
            <w:r>
              <w:rPr>
                <w:rFonts w:hint="eastAsia" w:ascii="宋体" w:hAnsi="宋体" w:cs="宋体"/>
                <w:szCs w:val="21"/>
                <w:highlight w:val="none"/>
              </w:rPr>
              <w:t xml:space="preserve">动植物油</w:t>
            </w:r>
            <w:r>
              <w:rPr>
                <w:highlight w:val="none"/>
              </w:rPr>
            </w:r>
            <w:r/>
          </w:p>
        </w:tc>
        <w:tc>
          <w:tcPr>
            <w:tcW w:w="2437" w:type="dxa"/>
            <w:vAlign w:val="center"/>
            <w:textDirection w:val="lrTb"/>
            <w:noWrap w:val="false"/>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c>
          <w:tcPr>
            <w:tcW w:w="1755" w:type="dxa"/>
            <w:vAlign w:val="center"/>
            <w:textDirection w:val="lrTb"/>
            <w:noWrap/>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r>
      <w:tr>
        <w:trPr>
          <w:trHeight w:val="452"/>
        </w:trPr>
        <w:tc>
          <w:tcPr>
            <w:tcW w:w="1401" w:type="dxa"/>
            <w:vAlign w:val="center"/>
            <w:textDirection w:val="lrTb"/>
            <w:noWrap w:val="false"/>
          </w:tcPr>
          <w:p>
            <w:pPr>
              <w:pStyle w:val="1008"/>
              <w:jc w:val="center"/>
              <w:spacing w:line="360" w:lineRule="auto"/>
              <w:rPr>
                <w:rFonts w:ascii="宋体" w:cs="宋体"/>
                <w:szCs w:val="21"/>
                <w:highlight w:val="none"/>
              </w:rPr>
            </w:pPr>
            <w:r>
              <w:rPr>
                <w:rFonts w:ascii="宋体" w:hAnsi="宋体" w:cs="宋体"/>
                <w:szCs w:val="21"/>
                <w:highlight w:val="none"/>
              </w:rPr>
              <w:t xml:space="preserve">8</w:t>
            </w:r>
            <w:r>
              <w:rPr>
                <w:highlight w:val="none"/>
              </w:rPr>
            </w:r>
            <w:r/>
          </w:p>
        </w:tc>
        <w:tc>
          <w:tcPr>
            <w:tcW w:w="2945" w:type="dxa"/>
            <w:vAlign w:val="center"/>
            <w:textDirection w:val="lrTb"/>
            <w:noWrap w:val="false"/>
          </w:tcPr>
          <w:p>
            <w:pPr>
              <w:pStyle w:val="1008"/>
              <w:jc w:val="center"/>
              <w:spacing w:line="360" w:lineRule="auto"/>
              <w:rPr>
                <w:rFonts w:ascii="宋体" w:cs="宋体"/>
                <w:szCs w:val="21"/>
                <w:highlight w:val="none"/>
              </w:rPr>
            </w:pPr>
            <w:r>
              <w:rPr>
                <w:rFonts w:hint="eastAsia" w:ascii="宋体" w:hAnsi="宋体" w:cs="宋体"/>
                <w:szCs w:val="21"/>
                <w:highlight w:val="none"/>
              </w:rPr>
              <w:t xml:space="preserve">粪大肠菌群</w:t>
            </w:r>
            <w:r>
              <w:rPr>
                <w:highlight w:val="none"/>
              </w:rPr>
            </w:r>
            <w:r/>
          </w:p>
        </w:tc>
        <w:tc>
          <w:tcPr>
            <w:tcW w:w="2437" w:type="dxa"/>
            <w:vAlign w:val="center"/>
            <w:textDirection w:val="lrTb"/>
            <w:noWrap w:val="false"/>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c>
          <w:tcPr>
            <w:tcW w:w="1755" w:type="dxa"/>
            <w:vAlign w:val="center"/>
            <w:textDirection w:val="lrTb"/>
            <w:noWrap/>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r>
      <w:tr>
        <w:trPr>
          <w:trHeight w:val="452"/>
        </w:trPr>
        <w:tc>
          <w:tcPr>
            <w:tcW w:w="1401" w:type="dxa"/>
            <w:vAlign w:val="center"/>
            <w:textDirection w:val="lrTb"/>
            <w:noWrap w:val="false"/>
          </w:tcPr>
          <w:p>
            <w:pPr>
              <w:pStyle w:val="1008"/>
              <w:jc w:val="center"/>
              <w:spacing w:line="360" w:lineRule="auto"/>
              <w:rPr>
                <w:rFonts w:ascii="宋体" w:cs="宋体"/>
                <w:szCs w:val="21"/>
                <w:highlight w:val="none"/>
              </w:rPr>
            </w:pPr>
            <w:r>
              <w:rPr>
                <w:rFonts w:ascii="宋体" w:hAnsi="宋体" w:cs="宋体"/>
                <w:szCs w:val="21"/>
                <w:highlight w:val="none"/>
              </w:rPr>
              <w:t xml:space="preserve">9</w:t>
            </w:r>
            <w:r>
              <w:rPr>
                <w:highlight w:val="none"/>
              </w:rPr>
            </w:r>
            <w:r/>
          </w:p>
        </w:tc>
        <w:tc>
          <w:tcPr>
            <w:tcW w:w="2945" w:type="dxa"/>
            <w:vAlign w:val="center"/>
            <w:textDirection w:val="lrTb"/>
            <w:noWrap w:val="false"/>
          </w:tcPr>
          <w:p>
            <w:pPr>
              <w:pStyle w:val="1008"/>
              <w:jc w:val="center"/>
              <w:spacing w:line="360" w:lineRule="auto"/>
              <w:rPr>
                <w:rFonts w:ascii="宋体" w:cs="宋体"/>
                <w:szCs w:val="21"/>
                <w:highlight w:val="none"/>
              </w:rPr>
            </w:pPr>
            <w:r>
              <w:rPr>
                <w:rFonts w:hint="eastAsia" w:ascii="宋体" w:hAnsi="宋体" w:cs="宋体"/>
                <w:szCs w:val="21"/>
                <w:highlight w:val="none"/>
              </w:rPr>
              <w:t xml:space="preserve">溶解氧</w:t>
            </w:r>
            <w:r>
              <w:rPr>
                <w:highlight w:val="none"/>
              </w:rPr>
            </w:r>
            <w:r/>
          </w:p>
        </w:tc>
        <w:tc>
          <w:tcPr>
            <w:tcW w:w="2437" w:type="dxa"/>
            <w:vAlign w:val="center"/>
            <w:textDirection w:val="lrTb"/>
            <w:noWrap w:val="false"/>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c>
          <w:tcPr>
            <w:tcW w:w="1755" w:type="dxa"/>
            <w:vAlign w:val="center"/>
            <w:textDirection w:val="lrTb"/>
            <w:noWrap/>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r>
      <w:tr>
        <w:trPr>
          <w:trHeight w:val="463"/>
        </w:trPr>
        <w:tc>
          <w:tcPr>
            <w:tcW w:w="1401" w:type="dxa"/>
            <w:vAlign w:val="center"/>
            <w:textDirection w:val="lrTb"/>
            <w:noWrap w:val="false"/>
          </w:tcPr>
          <w:p>
            <w:pPr>
              <w:pStyle w:val="1008"/>
              <w:jc w:val="center"/>
              <w:spacing w:line="360" w:lineRule="auto"/>
              <w:rPr>
                <w:rFonts w:ascii="宋体" w:hAnsi="宋体" w:cs="宋体"/>
                <w:szCs w:val="21"/>
                <w:highlight w:val="none"/>
              </w:rPr>
            </w:pPr>
            <w:r>
              <w:rPr>
                <w:rFonts w:ascii="宋体" w:hAnsi="宋体" w:cs="宋体"/>
                <w:szCs w:val="21"/>
                <w:highlight w:val="none"/>
              </w:rPr>
              <w:t xml:space="preserve">10</w:t>
            </w:r>
            <w:r>
              <w:rPr>
                <w:highlight w:val="none"/>
              </w:rPr>
            </w:r>
            <w:r/>
          </w:p>
        </w:tc>
        <w:tc>
          <w:tcPr>
            <w:tcW w:w="2945" w:type="dxa"/>
            <w:vAlign w:val="center"/>
            <w:textDirection w:val="lrTb"/>
            <w:noWrap w:val="false"/>
          </w:tcPr>
          <w:p>
            <w:pPr>
              <w:pStyle w:val="1008"/>
              <w:jc w:val="center"/>
              <w:spacing w:line="360" w:lineRule="auto"/>
              <w:rPr>
                <w:rFonts w:ascii="宋体" w:cs="宋体"/>
                <w:szCs w:val="21"/>
                <w:highlight w:val="none"/>
              </w:rPr>
            </w:pPr>
            <w:r>
              <w:rPr>
                <w:rFonts w:hint="eastAsia" w:ascii="宋体" w:hAnsi="宋体" w:cs="宋体"/>
                <w:szCs w:val="21"/>
                <w:highlight w:val="none"/>
              </w:rPr>
              <w:t xml:space="preserve">氧化还原电位</w:t>
            </w:r>
            <w:r>
              <w:rPr>
                <w:highlight w:val="none"/>
              </w:rPr>
            </w:r>
            <w:r/>
          </w:p>
        </w:tc>
        <w:tc>
          <w:tcPr>
            <w:tcW w:w="2437" w:type="dxa"/>
            <w:vAlign w:val="center"/>
            <w:textDirection w:val="lrTb"/>
            <w:noWrap w:val="false"/>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c>
          <w:tcPr>
            <w:tcW w:w="1755" w:type="dxa"/>
            <w:vAlign w:val="center"/>
            <w:textDirection w:val="lrTb"/>
            <w:noWrap/>
          </w:tcPr>
          <w:p>
            <w:pPr>
              <w:pStyle w:val="1008"/>
              <w:jc w:val="center"/>
              <w:spacing w:line="360" w:lineRule="auto"/>
              <w:rPr>
                <w:rFonts w:ascii="宋体" w:cs="宋体"/>
                <w:szCs w:val="21"/>
                <w:highlight w:val="none"/>
              </w:rPr>
            </w:pPr>
            <w:r>
              <w:rPr>
                <w:rFonts w:ascii="宋体" w:cs="宋体"/>
                <w:szCs w:val="21"/>
                <w:highlight w:val="none"/>
              </w:rPr>
            </w:r>
            <w:r>
              <w:rPr>
                <w:highlight w:val="none"/>
              </w:rPr>
            </w:r>
            <w:r/>
          </w:p>
        </w:tc>
      </w:tr>
    </w:tbl>
    <w:p>
      <w:pPr>
        <w:pStyle w:val="1008"/>
        <w:spacing w:line="360" w:lineRule="auto"/>
        <w:rPr>
          <w:rFonts w:hint="eastAsia"/>
          <w:highlight w:val="none"/>
        </w:rPr>
      </w:pPr>
      <w:r>
        <w:rPr>
          <w:rFonts w:hint="eastAsia" w:ascii="宋体" w:hAnsi="宋体" w:cs="宋体"/>
          <w:iCs/>
          <w:color w:val="000000"/>
          <w:sz w:val="24"/>
          <w:highlight w:val="none"/>
        </w:rPr>
        <w:t xml:space="preserve">                                       </w:t>
      </w:r>
      <w:r>
        <w:rPr>
          <w:rFonts w:hint="eastAsia"/>
          <w:highlight w:val="none"/>
        </w:rPr>
        <w:t xml:space="preserve">供应商全称（加盖公章）：</w:t>
      </w:r>
      <w:r>
        <w:rPr>
          <w:highlight w:val="none"/>
        </w:rPr>
      </w:r>
      <w:r/>
    </w:p>
    <w:p>
      <w:pPr>
        <w:pStyle w:val="1008"/>
        <w:ind w:firstLine="4620"/>
        <w:spacing w:line="360" w:lineRule="auto"/>
        <w:rPr>
          <w:spacing w:val="20"/>
          <w:highlight w:val="none"/>
          <w:u w:val="single"/>
        </w:rPr>
      </w:pPr>
      <w:r>
        <w:rPr>
          <w:rFonts w:hint="eastAsia"/>
          <w:highlight w:val="none"/>
        </w:rPr>
        <w:t xml:space="preserve">法定代表人或授权委托人</w:t>
      </w:r>
      <w:r>
        <w:rPr>
          <w:rFonts w:hint="eastAsia"/>
          <w:spacing w:val="20"/>
          <w:highlight w:val="none"/>
        </w:rPr>
        <w:t xml:space="preserve">：</w:t>
      </w:r>
      <w:r>
        <w:rPr>
          <w:rFonts w:hint="eastAsia"/>
          <w:highlight w:val="none"/>
          <w:u w:val="single"/>
        </w:rPr>
        <w:t xml:space="preserve">（签字或盖章）</w:t>
      </w:r>
      <w:r>
        <w:rPr>
          <w:highlight w:val="none"/>
        </w:rPr>
      </w:r>
      <w:r/>
    </w:p>
    <w:p>
      <w:pPr>
        <w:pStyle w:val="1008"/>
        <w:ind w:firstLine="4750"/>
        <w:spacing w:line="360" w:lineRule="auto"/>
        <w:rPr>
          <w:spacing w:val="20"/>
          <w:highlight w:val="none"/>
          <w:u w:val="single"/>
        </w:rPr>
      </w:pPr>
      <w:r>
        <w:rPr>
          <w:rFonts w:hint="eastAsia"/>
          <w:spacing w:val="20"/>
          <w:highlight w:val="none"/>
        </w:rPr>
        <w:t xml:space="preserve">日期：</w:t>
      </w:r>
      <w:r>
        <w:rPr>
          <w:highlight w:val="none"/>
        </w:rPr>
      </w:r>
      <w:r/>
    </w:p>
    <w:p>
      <w:pPr>
        <w:pStyle w:val="1064"/>
        <w:spacing w:after="0"/>
        <w:rPr>
          <w:highlight w:val="none"/>
        </w:rPr>
      </w:pPr>
      <w:r>
        <w:rPr>
          <w:highlight w:val="none"/>
        </w:rPr>
      </w:r>
      <w:r>
        <w:rPr>
          <w:highlight w:val="none"/>
        </w:rPr>
      </w:r>
      <w:r/>
    </w:p>
    <w:p>
      <w:pPr>
        <w:pStyle w:val="1064"/>
        <w:spacing w:after="0"/>
        <w:rPr>
          <w:highlight w:val="none"/>
        </w:rPr>
      </w:pPr>
      <w:r>
        <w:rPr>
          <w:highlight w:val="none"/>
        </w:rPr>
      </w:r>
      <w:r>
        <w:rPr>
          <w:highlight w:val="none"/>
        </w:rPr>
      </w:r>
      <w:r/>
    </w:p>
    <w:p>
      <w:pPr>
        <w:pStyle w:val="1064"/>
        <w:spacing w:after="0"/>
        <w:rPr>
          <w:highlight w:val="none"/>
        </w:rPr>
      </w:pPr>
      <w:r>
        <w:rPr>
          <w:highlight w:val="none"/>
        </w:rPr>
      </w:r>
      <w:r>
        <w:rPr>
          <w:highlight w:val="none"/>
        </w:rPr>
      </w:r>
      <w:r/>
    </w:p>
    <w:p>
      <w:pPr>
        <w:pStyle w:val="1064"/>
        <w:spacing w:after="0"/>
        <w:rPr>
          <w:highlight w:val="none"/>
        </w:rPr>
      </w:pPr>
      <w:r>
        <w:rPr>
          <w:highlight w:val="none"/>
        </w:rPr>
      </w:r>
      <w:r>
        <w:rPr>
          <w:highlight w:val="none"/>
        </w:rPr>
      </w:r>
      <w:r/>
    </w:p>
    <w:p>
      <w:pPr>
        <w:pStyle w:val="1064"/>
        <w:spacing w:after="0"/>
        <w:rPr>
          <w:highlight w:val="none"/>
        </w:rPr>
      </w:pPr>
      <w:r>
        <w:rPr>
          <w:highlight w:val="none"/>
        </w:rPr>
      </w:r>
      <w:r>
        <w:rPr>
          <w:highlight w:val="none"/>
        </w:rPr>
      </w:r>
      <w:r/>
    </w:p>
    <w:p>
      <w:pPr>
        <w:pStyle w:val="1064"/>
        <w:spacing w:after="0"/>
        <w:rPr>
          <w:highlight w:val="none"/>
        </w:rPr>
      </w:pPr>
      <w:r>
        <w:rPr>
          <w:highlight w:val="none"/>
        </w:rPr>
      </w:r>
      <w:r>
        <w:rPr>
          <w:highlight w:val="none"/>
        </w:rPr>
      </w:r>
      <w:r/>
    </w:p>
    <w:p>
      <w:pPr>
        <w:pStyle w:val="1064"/>
        <w:spacing w:after="0"/>
        <w:rPr>
          <w:highlight w:val="none"/>
        </w:rPr>
      </w:pPr>
      <w:r>
        <w:rPr>
          <w:highlight w:val="none"/>
        </w:rPr>
      </w:r>
      <w:r>
        <w:rPr>
          <w:highlight w:val="none"/>
        </w:rPr>
      </w:r>
      <w:r/>
    </w:p>
    <w:p>
      <w:pPr>
        <w:pStyle w:val="1064"/>
        <w:spacing w:after="0"/>
        <w:rPr>
          <w:highlight w:val="none"/>
        </w:rPr>
      </w:pPr>
      <w:r>
        <w:rPr>
          <w:highlight w:val="none"/>
        </w:rPr>
      </w:r>
      <w:r>
        <w:rPr>
          <w:highlight w:val="none"/>
        </w:rPr>
      </w:r>
      <w:r/>
    </w:p>
    <w:p>
      <w:pPr>
        <w:pStyle w:val="1064"/>
        <w:spacing w:after="0"/>
        <w:rPr>
          <w:highlight w:val="none"/>
        </w:rPr>
      </w:pPr>
      <w:r>
        <w:rPr>
          <w:highlight w:val="none"/>
        </w:rPr>
      </w:r>
      <w:r>
        <w:rPr>
          <w:highlight w:val="none"/>
        </w:rPr>
      </w:r>
      <w:r/>
    </w:p>
    <w:p>
      <w:pPr>
        <w:pStyle w:val="1064"/>
        <w:spacing w:after="0"/>
        <w:rPr>
          <w:highlight w:val="none"/>
        </w:rPr>
      </w:pPr>
      <w:r>
        <w:rPr>
          <w:highlight w:val="none"/>
        </w:rPr>
      </w:r>
      <w:r>
        <w:rPr>
          <w:highlight w:val="none"/>
        </w:rPr>
      </w:r>
      <w:r/>
    </w:p>
    <w:p>
      <w:pPr>
        <w:pStyle w:val="1064"/>
        <w:spacing w:after="0"/>
        <w:rPr>
          <w:highlight w:val="none"/>
        </w:rPr>
      </w:pPr>
      <w:r>
        <w:rPr>
          <w:highlight w:val="none"/>
        </w:rPr>
      </w:r>
      <w:r>
        <w:rPr>
          <w:highlight w:val="none"/>
        </w:rPr>
      </w:r>
      <w:r/>
    </w:p>
    <w:p>
      <w:pPr>
        <w:pStyle w:val="1064"/>
        <w:spacing w:after="0"/>
        <w:rPr>
          <w:highlight w:val="none"/>
        </w:rPr>
      </w:pPr>
      <w:r>
        <w:rPr>
          <w:highlight w:val="none"/>
        </w:rPr>
      </w:r>
      <w:r>
        <w:rPr>
          <w:highlight w:val="none"/>
        </w:rPr>
      </w:r>
      <w:r/>
    </w:p>
    <w:p>
      <w:pPr>
        <w:pStyle w:val="1064"/>
        <w:spacing w:after="0"/>
        <w:rPr>
          <w:highlight w:val="none"/>
        </w:rPr>
      </w:pPr>
      <w:r>
        <w:rPr>
          <w:highlight w:val="none"/>
        </w:rPr>
      </w:r>
      <w:r>
        <w:rPr>
          <w:highlight w:val="none"/>
        </w:rPr>
      </w:r>
      <w:r/>
    </w:p>
    <w:p>
      <w:pPr>
        <w:pStyle w:val="1008"/>
        <w:jc w:val="center"/>
        <w:spacing w:line="360" w:lineRule="auto"/>
        <w:rPr>
          <w:b/>
          <w:bCs/>
          <w:sz w:val="32"/>
          <w:highlight w:val="none"/>
        </w:rPr>
      </w:pPr>
      <w:r>
        <w:rPr>
          <w:rFonts w:hint="eastAsia"/>
          <w:b/>
          <w:bCs/>
          <w:sz w:val="32"/>
          <w:highlight w:val="none"/>
        </w:rPr>
        <w:t xml:space="preserve">分项报价合计表</w:t>
      </w:r>
      <w:r>
        <w:rPr>
          <w:highlight w:val="none"/>
        </w:rPr>
      </w:r>
      <w:r/>
    </w:p>
    <w:tbl>
      <w:tblPr>
        <w:tblW w:w="953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093"/>
        <w:gridCol w:w="4160"/>
        <w:gridCol w:w="2456"/>
      </w:tblGrid>
      <w:tr>
        <w:trPr>
          <w:trHeight w:val="854"/>
        </w:trPr>
        <w:tc>
          <w:tcPr>
            <w:tcW w:w="823" w:type="dxa"/>
            <w:vAlign w:val="center"/>
            <w:textDirection w:val="lrTb"/>
            <w:noWrap w:val="false"/>
          </w:tcPr>
          <w:p>
            <w:pPr>
              <w:pStyle w:val="1008"/>
              <w:jc w:val="center"/>
              <w:spacing w:line="360" w:lineRule="auto"/>
              <w:rPr>
                <w:rFonts w:ascii="宋体" w:cs="宋体"/>
                <w:szCs w:val="21"/>
                <w:highlight w:val="none"/>
              </w:rPr>
            </w:pPr>
            <w:r>
              <w:rPr>
                <w:rFonts w:hint="eastAsia" w:ascii="宋体" w:hAnsi="宋体" w:cs="宋体"/>
                <w:szCs w:val="21"/>
                <w:highlight w:val="none"/>
              </w:rPr>
              <w:t xml:space="preserve">序号</w:t>
            </w:r>
            <w:r>
              <w:rPr>
                <w:highlight w:val="none"/>
              </w:rPr>
            </w:r>
            <w:r/>
          </w:p>
        </w:tc>
        <w:tc>
          <w:tcPr>
            <w:tcW w:w="2093" w:type="dxa"/>
            <w:vAlign w:val="center"/>
            <w:textDirection w:val="lrTb"/>
            <w:noWrap w:val="false"/>
          </w:tcPr>
          <w:p>
            <w:pPr>
              <w:pStyle w:val="1008"/>
              <w:jc w:val="center"/>
              <w:spacing w:line="360" w:lineRule="auto"/>
              <w:rPr>
                <w:rFonts w:ascii="宋体" w:cs="宋体"/>
                <w:szCs w:val="21"/>
                <w:highlight w:val="none"/>
              </w:rPr>
            </w:pPr>
            <w:r>
              <w:rPr>
                <w:rFonts w:hint="eastAsia" w:ascii="宋体" w:hAnsi="宋体" w:cs="宋体"/>
                <w:szCs w:val="21"/>
                <w:highlight w:val="none"/>
              </w:rPr>
              <w:t xml:space="preserve">品目</w:t>
            </w:r>
            <w:r>
              <w:rPr>
                <w:highlight w:val="none"/>
              </w:rPr>
            </w:r>
            <w:r/>
          </w:p>
        </w:tc>
        <w:tc>
          <w:tcPr>
            <w:tcW w:w="4160" w:type="dxa"/>
            <w:vAlign w:val="center"/>
            <w:textDirection w:val="lrTb"/>
            <w:noWrap w:val="false"/>
          </w:tcPr>
          <w:p>
            <w:pPr>
              <w:pStyle w:val="1008"/>
              <w:jc w:val="center"/>
              <w:spacing w:line="360" w:lineRule="auto"/>
              <w:rPr>
                <w:rFonts w:ascii="宋体" w:cs="宋体"/>
                <w:szCs w:val="21"/>
                <w:highlight w:val="none"/>
              </w:rPr>
            </w:pPr>
            <w:r>
              <w:rPr>
                <w:rFonts w:hint="eastAsia" w:ascii="宋体" w:hAnsi="宋体" w:cs="宋体"/>
                <w:szCs w:val="21"/>
                <w:highlight w:val="none"/>
              </w:rPr>
              <w:t xml:space="preserve">合计总价</w:t>
            </w:r>
            <w:r>
              <w:rPr>
                <w:rFonts w:ascii="宋体" w:hAnsi="宋体" w:cs="宋体"/>
                <w:szCs w:val="21"/>
                <w:highlight w:val="none"/>
              </w:rPr>
              <w:t xml:space="preserve">/</w:t>
            </w:r>
            <w:r>
              <w:rPr>
                <w:rFonts w:hint="eastAsia" w:ascii="宋体" w:hAnsi="宋体" w:cs="宋体"/>
                <w:szCs w:val="21"/>
                <w:highlight w:val="none"/>
              </w:rPr>
              <w:t xml:space="preserve">元</w:t>
            </w:r>
            <w:r>
              <w:rPr>
                <w:highlight w:val="none"/>
              </w:rPr>
            </w:r>
            <w:r/>
          </w:p>
        </w:tc>
        <w:tc>
          <w:tcPr>
            <w:tcW w:w="2456" w:type="dxa"/>
            <w:vAlign w:val="center"/>
            <w:textDirection w:val="lrTb"/>
            <w:noWrap w:val="false"/>
          </w:tcPr>
          <w:p>
            <w:pPr>
              <w:pStyle w:val="1008"/>
              <w:jc w:val="center"/>
              <w:spacing w:line="360" w:lineRule="auto"/>
              <w:rPr>
                <w:rFonts w:ascii="宋体" w:cs="宋体"/>
                <w:szCs w:val="21"/>
                <w:highlight w:val="none"/>
              </w:rPr>
            </w:pPr>
            <w:r>
              <w:rPr>
                <w:rFonts w:hint="eastAsia" w:ascii="宋体" w:hAnsi="宋体" w:cs="宋体"/>
                <w:szCs w:val="21"/>
                <w:highlight w:val="none"/>
              </w:rPr>
              <w:t xml:space="preserve">备注</w:t>
            </w:r>
            <w:r>
              <w:rPr>
                <w:highlight w:val="none"/>
              </w:rPr>
            </w:r>
            <w:r/>
          </w:p>
        </w:tc>
      </w:tr>
      <w:tr>
        <w:trPr>
          <w:trHeight w:val="1215"/>
        </w:trPr>
        <w:tc>
          <w:tcPr>
            <w:tcW w:w="823" w:type="dxa"/>
            <w:vAlign w:val="center"/>
            <w:textDirection w:val="lrTb"/>
            <w:noWrap w:val="false"/>
          </w:tcPr>
          <w:p>
            <w:pPr>
              <w:pStyle w:val="1008"/>
              <w:jc w:val="center"/>
              <w:spacing w:line="360" w:lineRule="auto"/>
              <w:rPr>
                <w:rFonts w:ascii="宋体" w:cs="宋体"/>
                <w:szCs w:val="21"/>
                <w:highlight w:val="none"/>
              </w:rPr>
            </w:pPr>
            <w:r>
              <w:rPr>
                <w:rFonts w:ascii="宋体" w:hAnsi="宋体" w:cs="宋体"/>
                <w:szCs w:val="21"/>
                <w:highlight w:val="none"/>
              </w:rPr>
              <w:t xml:space="preserve">1</w:t>
            </w:r>
            <w:r>
              <w:rPr>
                <w:highlight w:val="none"/>
              </w:rPr>
            </w:r>
            <w:r/>
          </w:p>
        </w:tc>
        <w:tc>
          <w:tcPr>
            <w:tcW w:w="2093" w:type="dxa"/>
            <w:vAlign w:val="center"/>
            <w:textDirection w:val="lrTb"/>
            <w:noWrap w:val="false"/>
          </w:tcPr>
          <w:p>
            <w:pPr>
              <w:pStyle w:val="1008"/>
              <w:jc w:val="center"/>
              <w:spacing w:line="360" w:lineRule="auto"/>
              <w:rPr>
                <w:rFonts w:ascii="宋体" w:cs="宋体"/>
                <w:szCs w:val="21"/>
                <w:highlight w:val="none"/>
              </w:rPr>
            </w:pPr>
            <w:r>
              <w:rPr>
                <w:rFonts w:hint="eastAsia" w:ascii="宋体" w:hAnsi="宋体" w:cs="宋体"/>
                <w:szCs w:val="21"/>
                <w:highlight w:val="none"/>
              </w:rPr>
              <w:t xml:space="preserve">分项报价表</w:t>
            </w:r>
            <w:r>
              <w:rPr>
                <w:rFonts w:ascii="宋体" w:hAnsi="宋体" w:cs="宋体"/>
                <w:szCs w:val="21"/>
                <w:highlight w:val="none"/>
              </w:rPr>
              <w:t xml:space="preserve">1-3</w:t>
            </w:r>
            <w:r>
              <w:rPr>
                <w:rFonts w:hint="eastAsia" w:ascii="宋体" w:hAnsi="宋体" w:cs="宋体"/>
                <w:szCs w:val="21"/>
                <w:highlight w:val="none"/>
              </w:rPr>
              <w:t xml:space="preserve">合计</w:t>
            </w:r>
            <w:r>
              <w:rPr>
                <w:highlight w:val="none"/>
              </w:rPr>
            </w:r>
            <w:r/>
          </w:p>
        </w:tc>
        <w:tc>
          <w:tcPr>
            <w:tcW w:w="4160" w:type="dxa"/>
            <w:vAlign w:val="center"/>
            <w:textDirection w:val="lrTb"/>
            <w:noWrap w:val="false"/>
          </w:tcPr>
          <w:p>
            <w:pPr>
              <w:pStyle w:val="1008"/>
              <w:spacing w:line="360" w:lineRule="auto"/>
              <w:rPr>
                <w:rFonts w:asci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RMB</w:t>
            </w:r>
            <w:r>
              <w:rPr>
                <w:rFonts w:hint="eastAsia" w:ascii="宋体" w:hAnsi="宋体" w:cs="宋体"/>
                <w:szCs w:val="21"/>
                <w:highlight w:val="none"/>
              </w:rPr>
              <w:t xml:space="preserve">）大写：</w:t>
            </w:r>
            <w:r>
              <w:rPr>
                <w:rFonts w:ascii="宋体" w:hAnsi="宋体" w:cs="宋体"/>
                <w:szCs w:val="21"/>
                <w:highlight w:val="none"/>
              </w:rPr>
              <w:t xml:space="preserve">       </w:t>
            </w:r>
            <w:r>
              <w:rPr>
                <w:rFonts w:hint="eastAsia" w:ascii="宋体" w:hAnsi="宋体" w:cs="宋体"/>
                <w:szCs w:val="21"/>
                <w:highlight w:val="none"/>
              </w:rPr>
              <w:t xml:space="preserve">小写：</w:t>
            </w:r>
            <w:r>
              <w:rPr>
                <w:rFonts w:ascii="宋体" w:hAnsi="宋体" w:cs="宋体"/>
                <w:szCs w:val="21"/>
                <w:highlight w:val="none"/>
              </w:rPr>
              <w:t xml:space="preserve">  </w:t>
            </w:r>
            <w:r>
              <w:rPr>
                <w:highlight w:val="none"/>
              </w:rPr>
            </w:r>
            <w:r/>
          </w:p>
        </w:tc>
        <w:tc>
          <w:tcPr>
            <w:tcW w:w="2456" w:type="dxa"/>
            <w:vAlign w:val="center"/>
            <w:textDirection w:val="lrTb"/>
            <w:noWrap w:val="false"/>
          </w:tcPr>
          <w:p>
            <w:pPr>
              <w:pStyle w:val="1008"/>
              <w:jc w:val="center"/>
              <w:spacing w:line="360" w:lineRule="auto"/>
              <w:rPr>
                <w:rFonts w:ascii="宋体" w:cs="宋体"/>
                <w:szCs w:val="21"/>
                <w:highlight w:val="none"/>
              </w:rPr>
            </w:pPr>
            <w:r>
              <w:rPr>
                <w:rFonts w:hint="eastAsia" w:ascii="宋体" w:hAnsi="宋体" w:cs="宋体"/>
                <w:szCs w:val="21"/>
                <w:highlight w:val="none"/>
              </w:rPr>
              <w:t xml:space="preserve">开标一览表中投标价格为此表合计总价</w:t>
            </w:r>
            <w:r>
              <w:rPr>
                <w:highlight w:val="none"/>
              </w:rPr>
            </w:r>
            <w:r/>
          </w:p>
        </w:tc>
      </w:tr>
    </w:tbl>
    <w:p>
      <w:pPr>
        <w:pStyle w:val="1008"/>
        <w:spacing w:line="360" w:lineRule="auto"/>
        <w:rPr>
          <w:rFonts w:ascii="宋体" w:cs="仿宋_GB2312"/>
          <w:szCs w:val="21"/>
          <w:highlight w:val="none"/>
        </w:rPr>
      </w:pPr>
      <w:r>
        <w:rPr>
          <w:rFonts w:ascii="宋体" w:cs="仿宋_GB2312"/>
          <w:szCs w:val="21"/>
          <w:highlight w:val="none"/>
        </w:rPr>
      </w:r>
      <w:r>
        <w:rPr>
          <w:highlight w:val="none"/>
        </w:rPr>
      </w:r>
      <w:r/>
    </w:p>
    <w:p>
      <w:pPr>
        <w:pStyle w:val="1008"/>
        <w:spacing w:line="360" w:lineRule="auto"/>
        <w:rPr>
          <w:rFonts w:hint="eastAsia" w:ascii="宋体" w:hAnsi="宋体" w:cs="宋体"/>
          <w:bCs/>
          <w:szCs w:val="21"/>
          <w:highlight w:val="none"/>
        </w:rPr>
      </w:pPr>
      <w:r>
        <w:rPr>
          <w:rFonts w:hint="eastAsia" w:ascii="宋体" w:hAnsi="宋体" w:cs="宋体"/>
          <w:szCs w:val="21"/>
          <w:highlight w:val="none"/>
        </w:rPr>
        <w:t xml:space="preserve">注：</w:t>
      </w:r>
      <w:r>
        <w:rPr>
          <w:rFonts w:hint="eastAsia" w:ascii="宋体" w:hAnsi="宋体" w:cs="宋体"/>
          <w:b/>
          <w:bCs/>
          <w:szCs w:val="21"/>
          <w:highlight w:val="none"/>
        </w:rPr>
        <w:t xml:space="preserve">1、分项报价表1-3中的相同指标报价必须保持一致，否则为废标。</w:t>
      </w:r>
      <w:r>
        <w:rPr>
          <w:highlight w:val="none"/>
        </w:rPr>
      </w:r>
      <w:r/>
    </w:p>
    <w:p>
      <w:pPr>
        <w:pStyle w:val="1008"/>
        <w:ind w:firstLine="447"/>
        <w:spacing w:line="360" w:lineRule="auto"/>
        <w:shd w:val="clear" w:color="auto" w:fill="ffffff"/>
        <w:rPr>
          <w:rFonts w:hint="eastAsia" w:ascii="宋体" w:hAnsi="宋体" w:cs="宋体"/>
          <w:szCs w:val="21"/>
          <w:highlight w:val="none"/>
        </w:rPr>
        <w:outlineLvl w:val="0"/>
      </w:pPr>
      <w:r>
        <w:rPr>
          <w:rFonts w:hint="eastAsia" w:ascii="宋体" w:hAnsi="宋体" w:cs="宋体"/>
          <w:bCs/>
          <w:szCs w:val="21"/>
          <w:highlight w:val="none"/>
        </w:rPr>
        <w:t xml:space="preserve">2、上述报价报含（但不限于）</w:t>
      </w:r>
      <w:r>
        <w:rPr>
          <w:rFonts w:hint="eastAsia" w:ascii="宋体" w:hAnsi="宋体" w:cs="宋体"/>
          <w:szCs w:val="21"/>
          <w:highlight w:val="none"/>
          <w:lang w:val="zh-CN"/>
        </w:rPr>
        <w:t xml:space="preserve">检测仪器、化验分析设备使用费、搬运费、人工费、交通费、食宿费、数据收集及购买资料费用，采样费（</w:t>
      </w:r>
      <w:r>
        <w:rPr>
          <w:rFonts w:hint="eastAsia" w:ascii="宋体" w:hAnsi="宋体" w:cs="宋体"/>
          <w:szCs w:val="21"/>
          <w:highlight w:val="none"/>
        </w:rPr>
        <w:t xml:space="preserve">样品的抽取、处置、传送和贮存、制备）</w:t>
      </w:r>
      <w:r>
        <w:rPr>
          <w:rFonts w:hint="eastAsia" w:ascii="宋体" w:hAnsi="宋体" w:cs="宋体"/>
          <w:szCs w:val="21"/>
          <w:highlight w:val="none"/>
          <w:lang w:val="zh-CN"/>
        </w:rPr>
        <w:t xml:space="preserve">、平行样送检费用、</w:t>
      </w:r>
      <w:r>
        <w:rPr>
          <w:rFonts w:hint="eastAsia" w:ascii="宋体" w:hAnsi="宋体" w:cs="宋体"/>
          <w:szCs w:val="21"/>
          <w:highlight w:val="none"/>
        </w:rPr>
        <w:t xml:space="preserve">测量不确定度的</w:t>
      </w:r>
      <w:r>
        <w:rPr>
          <w:rFonts w:hint="eastAsia" w:ascii="宋体" w:hAnsi="宋体" w:cs="宋体"/>
          <w:szCs w:val="21"/>
          <w:highlight w:val="none"/>
          <w:lang w:val="zh-CN"/>
        </w:rPr>
        <w:t xml:space="preserve">检测、</w:t>
      </w:r>
      <w:r>
        <w:rPr>
          <w:rFonts w:hint="eastAsia" w:ascii="宋体" w:hAnsi="宋体" w:cs="宋体"/>
          <w:szCs w:val="21"/>
          <w:highlight w:val="none"/>
        </w:rPr>
        <w:t xml:space="preserve">评估、检验数据的分析、记录等相关检测费用；</w:t>
      </w:r>
      <w:r>
        <w:rPr>
          <w:rFonts w:hint="eastAsia" w:ascii="宋体" w:hAnsi="宋体" w:cs="宋体"/>
          <w:szCs w:val="21"/>
          <w:highlight w:val="none"/>
          <w:lang w:val="zh-CN"/>
        </w:rPr>
        <w:t xml:space="preserve">同时，还应包括检测报告编制及电子、纸质文稿（含递送）费用、工期、安全及保险、税费和专家技术指导、咨询等</w:t>
      </w:r>
      <w:r>
        <w:rPr>
          <w:rFonts w:hint="eastAsia" w:ascii="宋体" w:hAnsi="宋体" w:cs="宋体"/>
          <w:szCs w:val="21"/>
          <w:highlight w:val="none"/>
        </w:rPr>
        <w:t xml:space="preserve">履行合同所有相关服务所需的一切费用以及风险。如有漏项，视同已包含在其它项目中，合同总价和单价不做调整。</w:t>
      </w:r>
      <w:r>
        <w:rPr>
          <w:rFonts w:hint="eastAsia" w:ascii="宋体" w:hAnsi="宋体" w:cs="宋体"/>
          <w:bCs/>
          <w:szCs w:val="21"/>
          <w:highlight w:val="none"/>
        </w:rPr>
        <w:t xml:space="preserve">结算价格根据实际</w:t>
      </w:r>
      <w:r>
        <w:rPr>
          <w:rFonts w:hint="eastAsia" w:ascii="宋体" w:hAnsi="宋体" w:cs="宋体"/>
          <w:szCs w:val="21"/>
          <w:highlight w:val="none"/>
          <w:lang w:val="zh-CN"/>
        </w:rPr>
        <w:t xml:space="preserve">检测项目发生的费用结算。</w:t>
      </w:r>
      <w:r>
        <w:rPr>
          <w:highlight w:val="none"/>
        </w:rPr>
      </w:r>
      <w:r/>
    </w:p>
    <w:p>
      <w:pPr>
        <w:pStyle w:val="1008"/>
        <w:ind w:firstLine="447"/>
        <w:spacing w:line="360" w:lineRule="auto"/>
        <w:shd w:val="clear" w:color="auto" w:fill="ffffff"/>
        <w:rPr>
          <w:rFonts w:hint="eastAsia" w:ascii="宋体" w:hAnsi="宋体" w:cs="宋体"/>
          <w:szCs w:val="21"/>
          <w:highlight w:val="none"/>
        </w:rPr>
        <w:outlineLvl w:val="0"/>
      </w:pPr>
      <w:r>
        <w:rPr>
          <w:rFonts w:hint="eastAsia" w:ascii="宋体" w:hAnsi="宋体" w:cs="宋体"/>
          <w:szCs w:val="21"/>
          <w:highlight w:val="none"/>
        </w:rPr>
        <w:t xml:space="preserve">3、盐城市大市区范围内污水厂水质检测，根据甲方要求的频次，对污水厂水质进行检测，出水水质对比《城镇污水处理厂污染物排放标准》（GB18918-2002）表1中一级A排放标准；排水户检测根据甲方提供的排水户名单和频次开展，出水水质对比《污水排入城镇下水道水质标准》（GB/T31962-2015）医疗类的根据《医疗机构水污染物排放标准》（GB18466-2016）。</w:t>
      </w:r>
      <w:r>
        <w:rPr>
          <w:highlight w:val="none"/>
        </w:rPr>
      </w:r>
      <w:r/>
    </w:p>
    <w:p>
      <w:pPr>
        <w:pStyle w:val="1008"/>
        <w:ind w:firstLine="447"/>
        <w:spacing w:line="360" w:lineRule="auto"/>
        <w:shd w:val="clear" w:color="auto" w:fill="ffffff"/>
        <w:rPr>
          <w:rFonts w:hint="eastAsia" w:ascii="宋体" w:hAnsi="宋体" w:cs="宋体"/>
          <w:szCs w:val="21"/>
          <w:highlight w:val="none"/>
        </w:rPr>
        <w:outlineLvl w:val="0"/>
      </w:pPr>
      <w:r>
        <w:rPr>
          <w:rFonts w:hint="eastAsia" w:ascii="宋体" w:hAnsi="宋体" w:cs="宋体"/>
          <w:szCs w:val="21"/>
          <w:highlight w:val="none"/>
        </w:rPr>
        <w:t xml:space="preserve">4、如需检测报价表以外的指标，按照《江苏省环境监测专业服务收费标准》的检测指标单价（默认收费标准的单价包含检测费、报告编制费、人工费、交通费、税金等全部费用）进行付款。</w:t>
      </w:r>
      <w:r>
        <w:rPr>
          <w:highlight w:val="none"/>
        </w:rPr>
      </w:r>
      <w:r/>
    </w:p>
    <w:p>
      <w:pPr>
        <w:pStyle w:val="1008"/>
        <w:ind w:firstLine="583"/>
        <w:spacing w:line="360" w:lineRule="auto"/>
        <w:rPr>
          <w:highlight w:val="none"/>
        </w:rPr>
      </w:pPr>
      <w:r>
        <w:rPr>
          <w:highlight w:val="none"/>
        </w:rPr>
      </w:r>
      <w:r>
        <w:rPr>
          <w:highlight w:val="none"/>
        </w:rPr>
      </w:r>
      <w:r/>
    </w:p>
    <w:p>
      <w:pPr>
        <w:pStyle w:val="1008"/>
        <w:ind w:firstLine="447"/>
        <w:spacing w:line="360" w:lineRule="auto"/>
        <w:shd w:val="clear" w:color="auto" w:fill="ffffff"/>
        <w:rPr>
          <w:rFonts w:hint="eastAsia" w:ascii="宋体" w:hAnsi="宋体"/>
          <w:sz w:val="24"/>
          <w:highlight w:val="none"/>
        </w:rPr>
        <w:outlineLvl w:val="0"/>
      </w:pPr>
      <w:r>
        <w:rPr>
          <w:rFonts w:hint="eastAsia" w:ascii="宋体" w:hAnsi="宋体"/>
          <w:sz w:val="24"/>
          <w:highlight w:val="none"/>
        </w:rPr>
      </w:r>
      <w:r>
        <w:rPr>
          <w:highlight w:val="none"/>
        </w:rPr>
      </w:r>
      <w:r/>
    </w:p>
    <w:p>
      <w:pPr>
        <w:pStyle w:val="1008"/>
        <w:ind w:firstLine="447"/>
        <w:spacing w:line="360" w:lineRule="auto"/>
        <w:shd w:val="clear" w:color="auto" w:fill="ffffff"/>
        <w:rPr>
          <w:rFonts w:hint="eastAsia" w:ascii="宋体" w:hAnsi="宋体"/>
          <w:sz w:val="24"/>
          <w:highlight w:val="none"/>
        </w:rPr>
        <w:outlineLvl w:val="0"/>
      </w:pPr>
      <w:r>
        <w:rPr>
          <w:rFonts w:hint="eastAsia" w:ascii="宋体" w:hAnsi="宋体"/>
          <w:sz w:val="24"/>
          <w:highlight w:val="none"/>
        </w:rPr>
        <w:t xml:space="preserve">供应商全称（加盖公章）：</w:t>
      </w:r>
      <w:r>
        <w:rPr>
          <w:highlight w:val="none"/>
        </w:rPr>
      </w:r>
      <w:r/>
    </w:p>
    <w:p>
      <w:pPr>
        <w:pStyle w:val="1008"/>
        <w:ind w:firstLine="447"/>
        <w:spacing w:line="360" w:lineRule="auto"/>
        <w:shd w:val="clear" w:color="auto" w:fill="ffffff"/>
        <w:rPr>
          <w:rFonts w:hint="eastAsia" w:ascii="宋体" w:hAnsi="宋体"/>
          <w:sz w:val="24"/>
          <w:highlight w:val="none"/>
        </w:rPr>
        <w:outlineLvl w:val="0"/>
      </w:pPr>
      <w:r>
        <w:rPr>
          <w:rFonts w:hint="eastAsia" w:ascii="宋体" w:hAnsi="宋体"/>
          <w:sz w:val="24"/>
          <w:highlight w:val="none"/>
        </w:rPr>
        <w:t xml:space="preserve">法定代表人或授权委托人：（签字或盖章）</w:t>
      </w:r>
      <w:r>
        <w:rPr>
          <w:highlight w:val="none"/>
        </w:rPr>
      </w:r>
      <w:r/>
    </w:p>
    <w:p>
      <w:pPr>
        <w:pStyle w:val="1008"/>
        <w:ind w:firstLine="447"/>
        <w:spacing w:line="360" w:lineRule="auto"/>
        <w:shd w:val="clear" w:color="auto" w:fill="ffffff"/>
        <w:rPr>
          <w:rFonts w:hint="eastAsia" w:ascii="宋体" w:hAnsi="宋体"/>
          <w:sz w:val="24"/>
          <w:highlight w:val="none"/>
        </w:rPr>
        <w:outlineLvl w:val="0"/>
      </w:pPr>
      <w:r>
        <w:rPr>
          <w:rFonts w:hint="eastAsia" w:ascii="宋体" w:hAnsi="宋体"/>
          <w:sz w:val="24"/>
          <w:highlight w:val="none"/>
        </w:rPr>
        <w:t xml:space="preserve">日期：</w:t>
      </w:r>
      <w:r>
        <w:rPr>
          <w:highlight w:val="none"/>
        </w:rPr>
      </w:r>
      <w:r/>
    </w:p>
    <w:p>
      <w:pPr>
        <w:pStyle w:val="1018"/>
        <w:ind w:firstLine="0"/>
        <w:jc w:val="center"/>
        <w:spacing w:line="360" w:lineRule="auto"/>
        <w:rPr>
          <w:rFonts w:ascii="宋体" w:hAnsi="宋体"/>
          <w:b/>
          <w:sz w:val="36"/>
          <w:szCs w:val="36"/>
          <w:highlight w:val="none"/>
        </w:rPr>
      </w:pPr>
      <w:r>
        <w:rPr>
          <w:rFonts w:ascii="宋体" w:hAnsi="宋体"/>
          <w:b/>
          <w:sz w:val="36"/>
          <w:szCs w:val="36"/>
          <w:highlight w:val="none"/>
        </w:rPr>
      </w:r>
      <w:r>
        <w:rPr>
          <w:highlight w:val="none"/>
        </w:rPr>
      </w:r>
      <w:r/>
    </w:p>
    <w:p>
      <w:pPr>
        <w:pStyle w:val="1018"/>
        <w:ind w:firstLine="0"/>
        <w:jc w:val="center"/>
        <w:spacing w:line="360" w:lineRule="auto"/>
        <w:rPr>
          <w:rFonts w:ascii="宋体" w:hAnsi="宋体"/>
          <w:b/>
          <w:sz w:val="36"/>
          <w:szCs w:val="36"/>
          <w:highlight w:val="none"/>
        </w:rPr>
      </w:pPr>
      <w:r>
        <w:rPr>
          <w:rFonts w:ascii="宋体" w:hAnsi="宋体"/>
          <w:b/>
          <w:sz w:val="36"/>
          <w:szCs w:val="36"/>
          <w:highlight w:val="none"/>
        </w:rPr>
      </w:r>
      <w:r>
        <w:rPr>
          <w:highlight w:val="none"/>
        </w:rPr>
      </w:r>
      <w:r/>
    </w:p>
    <w:p>
      <w:pPr>
        <w:pStyle w:val="1018"/>
        <w:ind w:firstLine="0"/>
        <w:jc w:val="center"/>
        <w:spacing w:line="360" w:lineRule="auto"/>
        <w:rPr>
          <w:rFonts w:ascii="宋体" w:hAnsi="宋体"/>
          <w:b/>
          <w:sz w:val="36"/>
          <w:szCs w:val="36"/>
          <w:highlight w:val="none"/>
        </w:rPr>
      </w:pPr>
      <w:r>
        <w:rPr>
          <w:rFonts w:ascii="宋体" w:hAnsi="宋体"/>
          <w:b/>
          <w:sz w:val="36"/>
          <w:szCs w:val="36"/>
          <w:highlight w:val="none"/>
        </w:rPr>
      </w:r>
      <w:r>
        <w:rPr>
          <w:highlight w:val="none"/>
        </w:rPr>
      </w:r>
      <w:r/>
    </w:p>
    <w:p>
      <w:pPr>
        <w:pStyle w:val="1018"/>
        <w:ind w:firstLine="0"/>
        <w:jc w:val="center"/>
        <w:spacing w:line="360" w:lineRule="auto"/>
        <w:rPr>
          <w:rFonts w:ascii="宋体" w:hAnsi="宋体"/>
          <w:b/>
          <w:sz w:val="36"/>
          <w:szCs w:val="36"/>
          <w:highlight w:val="none"/>
        </w:rPr>
      </w:pPr>
      <w:r>
        <w:rPr>
          <w:rFonts w:ascii="宋体" w:hAnsi="宋体"/>
          <w:b/>
          <w:sz w:val="36"/>
          <w:szCs w:val="36"/>
          <w:highlight w:val="none"/>
        </w:rPr>
      </w:r>
      <w:r>
        <w:rPr>
          <w:highlight w:val="none"/>
        </w:rPr>
      </w:r>
      <w:r/>
    </w:p>
    <w:p>
      <w:pPr>
        <w:pStyle w:val="1008"/>
        <w:jc w:val="center"/>
        <w:spacing w:line="360" w:lineRule="auto"/>
        <w:rPr>
          <w:rFonts w:hint="eastAsia" w:ascii="黑体" w:eastAsia="黑体"/>
          <w:sz w:val="32"/>
          <w:szCs w:val="32"/>
          <w:highlight w:val="none"/>
        </w:rPr>
      </w:pPr>
      <w:r>
        <w:rPr>
          <w:rFonts w:hint="eastAsia" w:ascii="宋体" w:hAnsi="宋体"/>
          <w:b/>
          <w:sz w:val="36"/>
          <w:szCs w:val="36"/>
          <w:highlight w:val="none"/>
        </w:rPr>
        <w:t xml:space="preserve">七、技术参数响应及偏离表</w:t>
      </w:r>
      <w:r>
        <w:rPr>
          <w:highlight w:val="none"/>
        </w:rPr>
      </w:r>
      <w:r/>
    </w:p>
    <w:p>
      <w:pPr>
        <w:pStyle w:val="1008"/>
        <w:spacing w:line="360" w:lineRule="auto"/>
        <w:rPr>
          <w:rFonts w:hint="eastAsia" w:ascii="宋体" w:hAnsi="宋体"/>
          <w:sz w:val="24"/>
          <w:highlight w:val="none"/>
        </w:rPr>
      </w:pPr>
      <w:r>
        <w:rPr>
          <w:rFonts w:hint="eastAsia" w:ascii="宋体" w:hAnsi="宋体"/>
          <w:sz w:val="24"/>
          <w:highlight w:val="none"/>
        </w:rPr>
        <w:t xml:space="preserve">投标人全称（加盖公章）：       </w:t>
      </w:r>
      <w:r>
        <w:rPr>
          <w:highlight w:val="none"/>
        </w:rPr>
      </w:r>
      <w:r/>
    </w:p>
    <w:tbl>
      <w:tblPr>
        <w:tblW w:w="10013"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396"/>
        <w:gridCol w:w="2640"/>
        <w:gridCol w:w="2044"/>
        <w:gridCol w:w="1082"/>
      </w:tblGrid>
      <w:tr>
        <w:trPr>
          <w:trHeight w:val="709"/>
        </w:trPr>
        <w:tc>
          <w:tcPr>
            <w:tcW w:w="851" w:type="dxa"/>
            <w:vAlign w:val="center"/>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t xml:space="preserve">序号</w:t>
            </w:r>
            <w:r>
              <w:rPr>
                <w:highlight w:val="none"/>
              </w:rPr>
            </w:r>
            <w:r/>
          </w:p>
        </w:tc>
        <w:tc>
          <w:tcPr>
            <w:tcW w:w="3396" w:type="dxa"/>
            <w:vAlign w:val="center"/>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t xml:space="preserve">招标要求</w:t>
            </w:r>
            <w:r>
              <w:rPr>
                <w:highlight w:val="none"/>
              </w:rPr>
            </w:r>
            <w:r/>
          </w:p>
        </w:tc>
        <w:tc>
          <w:tcPr>
            <w:tcW w:w="2640" w:type="dxa"/>
            <w:vAlign w:val="center"/>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t xml:space="preserve">投标响应</w:t>
            </w:r>
            <w:r>
              <w:rPr>
                <w:highlight w:val="none"/>
              </w:rPr>
            </w:r>
            <w:r/>
          </w:p>
        </w:tc>
        <w:tc>
          <w:tcPr>
            <w:tcW w:w="2044" w:type="dxa"/>
            <w:vAlign w:val="center"/>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t xml:space="preserve">超出、符合或偏离</w:t>
            </w:r>
            <w:r>
              <w:rPr>
                <w:highlight w:val="none"/>
              </w:rPr>
            </w:r>
            <w:r/>
          </w:p>
        </w:tc>
        <w:tc>
          <w:tcPr>
            <w:tcW w:w="1082" w:type="dxa"/>
            <w:vAlign w:val="center"/>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t xml:space="preserve">原因</w:t>
            </w:r>
            <w:r>
              <w:rPr>
                <w:highlight w:val="none"/>
              </w:rPr>
            </w:r>
            <w:r/>
          </w:p>
        </w:tc>
      </w:tr>
      <w:tr>
        <w:trPr>
          <w:trHeight w:val="727"/>
        </w:trPr>
        <w:tc>
          <w:tcPr>
            <w:tcW w:w="851"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3396" w:type="dxa"/>
            <w:vAlign w:val="top"/>
            <w:textDirection w:val="lrTb"/>
            <w:noWrap w:val="false"/>
          </w:tcPr>
          <w:p>
            <w:pPr>
              <w:pStyle w:val="1008"/>
              <w:spacing w:line="360" w:lineRule="auto"/>
              <w:rPr>
                <w:sz w:val="22"/>
                <w:highlight w:val="none"/>
              </w:rPr>
            </w:pPr>
            <w:r>
              <w:rPr>
                <w:sz w:val="22"/>
                <w:highlight w:val="none"/>
              </w:rPr>
            </w:r>
            <w:r>
              <w:rPr>
                <w:highlight w:val="none"/>
              </w:rPr>
            </w:r>
            <w:r/>
          </w:p>
        </w:tc>
        <w:tc>
          <w:tcPr>
            <w:tcW w:w="2640"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2044"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1082"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r>
      <w:tr>
        <w:trPr>
          <w:trHeight w:val="727"/>
        </w:trPr>
        <w:tc>
          <w:tcPr>
            <w:tcW w:w="851"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3396" w:type="dxa"/>
            <w:vAlign w:val="top"/>
            <w:textDirection w:val="lrTb"/>
            <w:noWrap w:val="false"/>
          </w:tcPr>
          <w:p>
            <w:pPr>
              <w:pStyle w:val="1008"/>
              <w:spacing w:line="360" w:lineRule="auto"/>
              <w:rPr>
                <w:sz w:val="22"/>
                <w:highlight w:val="none"/>
              </w:rPr>
            </w:pPr>
            <w:r>
              <w:rPr>
                <w:sz w:val="22"/>
                <w:highlight w:val="none"/>
              </w:rPr>
            </w:r>
            <w:r>
              <w:rPr>
                <w:highlight w:val="none"/>
              </w:rPr>
            </w:r>
            <w:r/>
          </w:p>
        </w:tc>
        <w:tc>
          <w:tcPr>
            <w:tcW w:w="2640"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2044"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1082"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r>
      <w:tr>
        <w:trPr>
          <w:trHeight w:val="727"/>
        </w:trPr>
        <w:tc>
          <w:tcPr>
            <w:tcW w:w="851"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3396" w:type="dxa"/>
            <w:vAlign w:val="top"/>
            <w:textDirection w:val="lrTb"/>
            <w:noWrap w:val="false"/>
          </w:tcPr>
          <w:p>
            <w:pPr>
              <w:pStyle w:val="1008"/>
              <w:spacing w:line="360" w:lineRule="auto"/>
              <w:rPr>
                <w:sz w:val="22"/>
                <w:highlight w:val="none"/>
              </w:rPr>
            </w:pPr>
            <w:r>
              <w:rPr>
                <w:sz w:val="22"/>
                <w:highlight w:val="none"/>
              </w:rPr>
            </w:r>
            <w:r>
              <w:rPr>
                <w:highlight w:val="none"/>
              </w:rPr>
            </w:r>
            <w:r/>
          </w:p>
        </w:tc>
        <w:tc>
          <w:tcPr>
            <w:tcW w:w="2640"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2044"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1082"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r>
      <w:tr>
        <w:trPr>
          <w:trHeight w:val="727"/>
        </w:trPr>
        <w:tc>
          <w:tcPr>
            <w:tcW w:w="851"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3396" w:type="dxa"/>
            <w:vAlign w:val="top"/>
            <w:textDirection w:val="lrTb"/>
            <w:noWrap w:val="false"/>
          </w:tcPr>
          <w:p>
            <w:pPr>
              <w:pStyle w:val="1008"/>
              <w:spacing w:line="360" w:lineRule="auto"/>
              <w:rPr>
                <w:sz w:val="22"/>
                <w:highlight w:val="none"/>
              </w:rPr>
            </w:pPr>
            <w:r>
              <w:rPr>
                <w:sz w:val="22"/>
                <w:highlight w:val="none"/>
              </w:rPr>
            </w:r>
            <w:r>
              <w:rPr>
                <w:highlight w:val="none"/>
              </w:rPr>
            </w:r>
            <w:r/>
          </w:p>
        </w:tc>
        <w:tc>
          <w:tcPr>
            <w:tcW w:w="2640"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2044"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1082"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r>
      <w:tr>
        <w:trPr>
          <w:trHeight w:val="727"/>
        </w:trPr>
        <w:tc>
          <w:tcPr>
            <w:tcW w:w="851"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3396" w:type="dxa"/>
            <w:vAlign w:val="top"/>
            <w:textDirection w:val="lrTb"/>
            <w:noWrap w:val="false"/>
          </w:tcPr>
          <w:p>
            <w:pPr>
              <w:pStyle w:val="1008"/>
              <w:spacing w:line="360" w:lineRule="auto"/>
              <w:rPr>
                <w:sz w:val="22"/>
                <w:highlight w:val="none"/>
              </w:rPr>
            </w:pPr>
            <w:r>
              <w:rPr>
                <w:sz w:val="22"/>
                <w:highlight w:val="none"/>
              </w:rPr>
            </w:r>
            <w:r>
              <w:rPr>
                <w:highlight w:val="none"/>
              </w:rPr>
            </w:r>
            <w:r/>
          </w:p>
        </w:tc>
        <w:tc>
          <w:tcPr>
            <w:tcW w:w="2640"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2044"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1082"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r>
      <w:tr>
        <w:trPr>
          <w:trHeight w:val="727"/>
        </w:trPr>
        <w:tc>
          <w:tcPr>
            <w:tcW w:w="851"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3396" w:type="dxa"/>
            <w:vAlign w:val="top"/>
            <w:textDirection w:val="lrTb"/>
            <w:noWrap w:val="false"/>
          </w:tcPr>
          <w:p>
            <w:pPr>
              <w:pStyle w:val="1008"/>
              <w:spacing w:line="360" w:lineRule="auto"/>
              <w:rPr>
                <w:sz w:val="22"/>
                <w:highlight w:val="none"/>
              </w:rPr>
            </w:pPr>
            <w:r>
              <w:rPr>
                <w:sz w:val="22"/>
                <w:highlight w:val="none"/>
              </w:rPr>
            </w:r>
            <w:r>
              <w:rPr>
                <w:highlight w:val="none"/>
              </w:rPr>
            </w:r>
            <w:r/>
          </w:p>
        </w:tc>
        <w:tc>
          <w:tcPr>
            <w:tcW w:w="2640"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2044"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c>
          <w:tcPr>
            <w:tcW w:w="1082" w:type="dxa"/>
            <w:vAlign w:val="top"/>
            <w:textDirection w:val="lrTb"/>
            <w:noWrap w:val="false"/>
          </w:tcPr>
          <w:p>
            <w:pPr>
              <w:pStyle w:val="1008"/>
              <w:jc w:val="center"/>
              <w:spacing w:line="360" w:lineRule="auto"/>
              <w:rPr>
                <w:rFonts w:hint="eastAsia" w:ascii="宋体" w:hAnsi="宋体"/>
                <w:sz w:val="24"/>
                <w:highlight w:val="none"/>
              </w:rPr>
            </w:pPr>
            <w:r>
              <w:rPr>
                <w:rFonts w:hint="eastAsia" w:ascii="宋体" w:hAnsi="宋体"/>
                <w:sz w:val="24"/>
                <w:highlight w:val="none"/>
              </w:rPr>
            </w:r>
            <w:r>
              <w:rPr>
                <w:highlight w:val="none"/>
              </w:rPr>
            </w:r>
            <w:r/>
          </w:p>
        </w:tc>
      </w:tr>
    </w:tbl>
    <w:p>
      <w:pPr>
        <w:pStyle w:val="1008"/>
        <w:spacing w:line="360" w:lineRule="auto"/>
        <w:rPr>
          <w:rFonts w:hint="eastAsia" w:ascii="宋体" w:hAnsi="宋体"/>
          <w:sz w:val="24"/>
          <w:highlight w:val="none"/>
        </w:rPr>
      </w:pPr>
      <w:r>
        <w:rPr>
          <w:rFonts w:hint="eastAsia" w:ascii="宋体" w:hAnsi="宋体"/>
          <w:sz w:val="24"/>
          <w:highlight w:val="none"/>
        </w:rPr>
      </w:r>
      <w:r>
        <w:rPr>
          <w:highlight w:val="none"/>
        </w:rPr>
      </w:r>
      <w:r/>
    </w:p>
    <w:p>
      <w:pPr>
        <w:pStyle w:val="1008"/>
        <w:spacing w:line="360" w:lineRule="auto"/>
        <w:rPr>
          <w:rFonts w:hint="eastAsia" w:ascii="宋体" w:hAnsi="宋体"/>
          <w:sz w:val="24"/>
          <w:highlight w:val="none"/>
        </w:rPr>
      </w:pPr>
      <w:r>
        <w:rPr>
          <w:rFonts w:hint="eastAsia" w:ascii="宋体" w:hAnsi="宋体"/>
          <w:sz w:val="24"/>
          <w:highlight w:val="none"/>
        </w:rPr>
        <w:t xml:space="preserve">法定代表人或授权代表签字：</w:t>
      </w:r>
      <w:r>
        <w:rPr>
          <w:highlight w:val="none"/>
        </w:rPr>
      </w:r>
      <w:r/>
    </w:p>
    <w:p>
      <w:pPr>
        <w:pStyle w:val="1052"/>
        <w:ind w:firstLine="600"/>
        <w:rPr>
          <w:rFonts w:hint="eastAsia"/>
          <w:highlight w:val="none"/>
        </w:rPr>
      </w:pPr>
      <w:r>
        <w:rPr>
          <w:rFonts w:hint="eastAsia"/>
          <w:highlight w:val="none"/>
        </w:rPr>
      </w:r>
      <w:r>
        <w:rPr>
          <w:highlight w:val="none"/>
        </w:rPr>
      </w:r>
      <w:r/>
    </w:p>
    <w:p>
      <w:pPr>
        <w:pStyle w:val="1008"/>
        <w:spacing w:line="360" w:lineRule="auto"/>
        <w:rPr>
          <w:rFonts w:hint="eastAsia" w:ascii="宋体" w:hAnsi="宋体"/>
          <w:sz w:val="24"/>
          <w:highlight w:val="none"/>
        </w:rPr>
      </w:pPr>
      <w:r>
        <w:rPr>
          <w:rFonts w:hint="eastAsia" w:ascii="宋体" w:hAnsi="宋体"/>
          <w:sz w:val="24"/>
          <w:highlight w:val="none"/>
        </w:rPr>
        <w:t xml:space="preserve">注：</w:t>
      </w:r>
      <w:r>
        <w:rPr>
          <w:highlight w:val="none"/>
        </w:rPr>
      </w:r>
      <w:r/>
    </w:p>
    <w:p>
      <w:pPr>
        <w:pStyle w:val="1008"/>
        <w:spacing w:line="360" w:lineRule="auto"/>
        <w:rPr>
          <w:rFonts w:hint="eastAsia" w:ascii="宋体" w:hAnsi="宋体"/>
          <w:sz w:val="24"/>
          <w:highlight w:val="none"/>
        </w:rPr>
      </w:pPr>
      <w:r>
        <w:rPr>
          <w:rFonts w:hint="eastAsia" w:ascii="宋体" w:hAnsi="宋体"/>
          <w:sz w:val="24"/>
          <w:highlight w:val="none"/>
        </w:rPr>
        <w:t xml:space="preserve">1、行数不够，可自行添加。</w:t>
      </w:r>
      <w:r>
        <w:rPr>
          <w:highlight w:val="none"/>
        </w:rPr>
      </w:r>
      <w:r/>
    </w:p>
    <w:p>
      <w:pPr>
        <w:pStyle w:val="1008"/>
        <w:spacing w:line="360" w:lineRule="auto"/>
        <w:rPr>
          <w:rFonts w:ascii="宋体"/>
          <w:sz w:val="24"/>
          <w:highlight w:val="none"/>
        </w:rPr>
      </w:pPr>
      <w:r>
        <w:rPr>
          <w:rFonts w:hint="eastAsia" w:ascii="宋体" w:hAnsi="宋体"/>
          <w:sz w:val="24"/>
          <w:highlight w:val="none"/>
        </w:rPr>
        <w:t xml:space="preserve">2、如无超出或偏离项目，此表无需填写内容，直接盖章。</w:t>
      </w:r>
      <w:r>
        <w:rPr>
          <w:highlight w:val="none"/>
        </w:rPr>
      </w:r>
      <w:r/>
    </w:p>
    <w:p>
      <w:pPr>
        <w:pStyle w:val="1008"/>
        <w:ind w:left="480"/>
        <w:spacing w:line="360" w:lineRule="auto"/>
        <w:rPr>
          <w:rFonts w:hint="eastAsia" w:ascii="宋体" w:hAnsi="宋体"/>
          <w:bCs/>
          <w:sz w:val="24"/>
          <w:highlight w:val="none"/>
        </w:rPr>
      </w:pPr>
      <w:r>
        <w:rPr>
          <w:rFonts w:hint="eastAsia" w:ascii="宋体" w:hAnsi="宋体"/>
          <w:bCs/>
          <w:sz w:val="24"/>
          <w:highlight w:val="none"/>
        </w:rPr>
      </w:r>
      <w:r>
        <w:rPr>
          <w:highlight w:val="none"/>
        </w:rPr>
      </w:r>
      <w:r/>
    </w:p>
    <w:p>
      <w:pPr>
        <w:pStyle w:val="1008"/>
        <w:spacing w:line="360" w:lineRule="auto"/>
        <w:rPr>
          <w:rFonts w:hint="eastAsia" w:ascii="黑体" w:hAnsi="Arial" w:eastAsia="黑体"/>
          <w:b/>
          <w:sz w:val="36"/>
          <w:highlight w:val="none"/>
        </w:rPr>
      </w:pPr>
      <w:r>
        <w:rPr>
          <w:rFonts w:hint="eastAsia" w:ascii="黑体" w:hAnsi="Arial" w:eastAsia="黑体"/>
          <w:b/>
          <w:sz w:val="36"/>
          <w:highlight w:val="none"/>
        </w:rPr>
      </w:r>
      <w:r>
        <w:rPr>
          <w:highlight w:val="none"/>
        </w:rPr>
      </w:r>
      <w:r/>
    </w:p>
    <w:p>
      <w:pPr>
        <w:pStyle w:val="1008"/>
        <w:jc w:val="center"/>
        <w:spacing w:line="360" w:lineRule="auto"/>
        <w:rPr>
          <w:rFonts w:hint="eastAsia" w:ascii="黑体" w:hAnsi="Arial" w:eastAsia="黑体"/>
          <w:b/>
          <w:sz w:val="36"/>
          <w:highlight w:val="none"/>
        </w:rPr>
      </w:pPr>
      <w:r>
        <w:rPr>
          <w:rFonts w:hint="eastAsia" w:ascii="黑体" w:hAnsi="Arial" w:eastAsia="黑体"/>
          <w:b/>
          <w:sz w:val="36"/>
          <w:highlight w:val="none"/>
        </w:rPr>
      </w:r>
      <w:r>
        <w:rPr>
          <w:highlight w:val="none"/>
        </w:rPr>
      </w:r>
      <w:r/>
    </w:p>
    <w:p>
      <w:pPr>
        <w:pStyle w:val="1008"/>
        <w:jc w:val="center"/>
        <w:spacing w:line="360" w:lineRule="auto"/>
        <w:rPr>
          <w:rFonts w:hint="eastAsia" w:ascii="宋体" w:hAnsi="宋体"/>
          <w:b/>
          <w:sz w:val="36"/>
          <w:szCs w:val="36"/>
          <w:highlight w:val="none"/>
        </w:rPr>
      </w:pPr>
      <w:r>
        <w:rPr>
          <w:rFonts w:hint="eastAsia" w:ascii="宋体" w:hAnsi="宋体"/>
          <w:b/>
          <w:sz w:val="36"/>
          <w:szCs w:val="36"/>
          <w:highlight w:val="none"/>
        </w:rPr>
      </w:r>
      <w:r>
        <w:rPr>
          <w:highlight w:val="none"/>
        </w:rPr>
      </w:r>
      <w:r/>
    </w:p>
    <w:p>
      <w:pPr>
        <w:pStyle w:val="1052"/>
        <w:ind w:firstLine="723"/>
        <w:rPr>
          <w:rFonts w:hint="eastAsia" w:ascii="宋体" w:hAnsi="宋体"/>
          <w:b/>
          <w:sz w:val="36"/>
          <w:szCs w:val="36"/>
          <w:highlight w:val="none"/>
        </w:rPr>
      </w:pPr>
      <w:r>
        <w:rPr>
          <w:rFonts w:hint="eastAsia" w:ascii="宋体" w:hAnsi="宋体"/>
          <w:b/>
          <w:sz w:val="36"/>
          <w:szCs w:val="36"/>
          <w:highlight w:val="none"/>
        </w:rPr>
      </w:r>
      <w:r>
        <w:rPr>
          <w:highlight w:val="none"/>
        </w:rPr>
      </w:r>
      <w:r/>
    </w:p>
    <w:p>
      <w:pPr>
        <w:pStyle w:val="1052"/>
        <w:ind w:firstLine="723"/>
        <w:rPr>
          <w:rFonts w:hint="eastAsia" w:ascii="宋体" w:hAnsi="宋体"/>
          <w:b/>
          <w:sz w:val="36"/>
          <w:szCs w:val="36"/>
          <w:highlight w:val="none"/>
        </w:rPr>
      </w:pPr>
      <w:r>
        <w:rPr>
          <w:rFonts w:hint="eastAsia" w:ascii="宋体" w:hAnsi="宋体"/>
          <w:b/>
          <w:sz w:val="36"/>
          <w:szCs w:val="36"/>
          <w:highlight w:val="none"/>
        </w:rPr>
      </w:r>
      <w:r>
        <w:rPr>
          <w:highlight w:val="none"/>
        </w:rPr>
      </w:r>
      <w:r/>
    </w:p>
    <w:p>
      <w:pPr>
        <w:pStyle w:val="1008"/>
        <w:jc w:val="center"/>
        <w:spacing w:line="360" w:lineRule="auto"/>
        <w:rPr>
          <w:rFonts w:hint="eastAsia" w:ascii="宋体" w:hAnsi="宋体"/>
          <w:b/>
          <w:sz w:val="36"/>
          <w:szCs w:val="36"/>
          <w:highlight w:val="none"/>
        </w:rPr>
      </w:pPr>
      <w:r>
        <w:rPr>
          <w:rFonts w:hint="eastAsia" w:ascii="宋体" w:hAnsi="宋体"/>
          <w:b/>
          <w:sz w:val="36"/>
          <w:szCs w:val="36"/>
          <w:highlight w:val="none"/>
        </w:rPr>
      </w:r>
      <w:r>
        <w:rPr>
          <w:highlight w:val="none"/>
        </w:rPr>
      </w:r>
      <w:r/>
    </w:p>
    <w:p>
      <w:pPr>
        <w:pStyle w:val="1008"/>
        <w:jc w:val="center"/>
        <w:spacing w:line="360" w:lineRule="auto"/>
        <w:rPr>
          <w:rFonts w:hint="eastAsia" w:ascii="黑体" w:eastAsia="黑体"/>
          <w:sz w:val="32"/>
          <w:szCs w:val="32"/>
          <w:highlight w:val="none"/>
        </w:rPr>
      </w:pPr>
      <w:r>
        <w:rPr>
          <w:rFonts w:hint="eastAsia" w:ascii="宋体" w:hAnsi="宋体"/>
          <w:b/>
          <w:sz w:val="36"/>
          <w:szCs w:val="36"/>
          <w:highlight w:val="none"/>
        </w:rPr>
        <w:t xml:space="preserve">八、商务条款响应及偏离表</w:t>
      </w:r>
      <w:r>
        <w:rPr>
          <w:highlight w:val="none"/>
        </w:rPr>
      </w:r>
      <w:r/>
    </w:p>
    <w:p>
      <w:pPr>
        <w:pStyle w:val="1008"/>
        <w:spacing w:line="360" w:lineRule="auto"/>
        <w:rPr>
          <w:rFonts w:hint="eastAsia" w:ascii="宋体" w:hAnsi="宋体"/>
          <w:sz w:val="24"/>
          <w:highlight w:val="none"/>
        </w:rPr>
      </w:pPr>
      <w:r>
        <w:rPr>
          <w:rFonts w:hint="eastAsia" w:ascii="宋体" w:hAnsi="宋体"/>
          <w:sz w:val="24"/>
          <w:highlight w:val="none"/>
        </w:rPr>
        <w:t xml:space="preserve">投标人全称（加盖公章）：        </w:t>
      </w:r>
      <w:r>
        <w:rPr>
          <w:highlight w:val="none"/>
        </w:rPr>
      </w:r>
      <w:r/>
    </w:p>
    <w:tbl>
      <w:tblPr>
        <w:tblW w:w="9759"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71"/>
        <w:gridCol w:w="3090"/>
        <w:gridCol w:w="1442"/>
        <w:gridCol w:w="3456"/>
      </w:tblGrid>
      <w:tr>
        <w:trPr>
          <w:trHeight w:val="663"/>
        </w:trPr>
        <w:tc>
          <w:tcPr>
            <w:tcW w:w="1771" w:type="dxa"/>
            <w:vAlign w:val="top"/>
            <w:textDirection w:val="lrTb"/>
            <w:noWrap w:val="false"/>
          </w:tcPr>
          <w:p>
            <w:pPr>
              <w:pStyle w:val="1008"/>
              <w:jc w:val="center"/>
              <w:spacing w:line="360" w:lineRule="auto"/>
              <w:rPr>
                <w:rFonts w:ascii="仿宋_GB2312" w:hAnsi="宋体" w:eastAsia="仿宋_GB2312"/>
                <w:sz w:val="24"/>
                <w:szCs w:val="20"/>
                <w:highlight w:val="none"/>
              </w:rPr>
            </w:pPr>
            <w:r>
              <w:rPr>
                <w:rFonts w:hint="eastAsia" w:ascii="仿宋_GB2312" w:hAnsi="宋体"/>
                <w:sz w:val="24"/>
                <w:highlight w:val="none"/>
              </w:rPr>
              <w:t xml:space="preserve">项目</w:t>
            </w:r>
            <w:r>
              <w:rPr>
                <w:highlight w:val="none"/>
              </w:rPr>
            </w:r>
            <w:r/>
          </w:p>
        </w:tc>
        <w:tc>
          <w:tcPr>
            <w:tcW w:w="3090" w:type="dxa"/>
            <w:vAlign w:val="top"/>
            <w:textDirection w:val="lrTb"/>
            <w:noWrap w:val="false"/>
          </w:tcPr>
          <w:p>
            <w:pPr>
              <w:pStyle w:val="1008"/>
              <w:jc w:val="center"/>
              <w:spacing w:line="360" w:lineRule="auto"/>
              <w:rPr>
                <w:rFonts w:ascii="仿宋_GB2312" w:hAnsi="宋体" w:eastAsia="仿宋_GB2312"/>
                <w:sz w:val="24"/>
                <w:szCs w:val="20"/>
                <w:highlight w:val="none"/>
              </w:rPr>
            </w:pPr>
            <w:r>
              <w:rPr>
                <w:rFonts w:hint="eastAsia" w:ascii="仿宋_GB2312" w:hAnsi="宋体"/>
                <w:sz w:val="24"/>
                <w:highlight w:val="none"/>
              </w:rPr>
              <w:t xml:space="preserve">招标文件要求</w:t>
            </w:r>
            <w:r>
              <w:rPr>
                <w:highlight w:val="none"/>
              </w:rPr>
            </w:r>
            <w:r/>
          </w:p>
        </w:tc>
        <w:tc>
          <w:tcPr>
            <w:tcW w:w="1442" w:type="dxa"/>
            <w:vAlign w:val="top"/>
            <w:textDirection w:val="lrTb"/>
            <w:noWrap w:val="false"/>
          </w:tcPr>
          <w:p>
            <w:pPr>
              <w:pStyle w:val="1008"/>
              <w:jc w:val="center"/>
              <w:spacing w:line="360" w:lineRule="auto"/>
              <w:rPr>
                <w:rFonts w:ascii="仿宋_GB2312" w:hAnsi="宋体" w:eastAsia="仿宋_GB2312"/>
                <w:sz w:val="24"/>
                <w:szCs w:val="20"/>
                <w:highlight w:val="none"/>
              </w:rPr>
            </w:pPr>
            <w:r>
              <w:rPr>
                <w:rFonts w:hint="eastAsia" w:ascii="仿宋_GB2312" w:hAnsi="宋体"/>
                <w:sz w:val="24"/>
                <w:highlight w:val="none"/>
              </w:rPr>
              <w:t xml:space="preserve">是否响应</w:t>
            </w:r>
            <w:r>
              <w:rPr>
                <w:highlight w:val="none"/>
              </w:rPr>
            </w:r>
            <w:r/>
          </w:p>
        </w:tc>
        <w:tc>
          <w:tcPr>
            <w:tcW w:w="3456" w:type="dxa"/>
            <w:vAlign w:val="top"/>
            <w:textDirection w:val="lrTb"/>
            <w:noWrap w:val="false"/>
          </w:tcPr>
          <w:p>
            <w:pPr>
              <w:pStyle w:val="1008"/>
              <w:jc w:val="center"/>
              <w:spacing w:line="360" w:lineRule="auto"/>
              <w:rPr>
                <w:rFonts w:ascii="仿宋_GB2312" w:hAnsi="宋体" w:eastAsia="仿宋_GB2312"/>
                <w:sz w:val="24"/>
                <w:szCs w:val="20"/>
                <w:highlight w:val="none"/>
              </w:rPr>
            </w:pPr>
            <w:r>
              <w:rPr>
                <w:rFonts w:hint="eastAsia" w:ascii="仿宋_GB2312" w:hAnsi="宋体"/>
                <w:sz w:val="24"/>
                <w:highlight w:val="none"/>
              </w:rPr>
              <w:t xml:space="preserve">投标人的承诺或说明</w:t>
            </w:r>
            <w:r>
              <w:rPr>
                <w:highlight w:val="none"/>
              </w:rPr>
            </w:r>
            <w:r/>
          </w:p>
        </w:tc>
      </w:tr>
      <w:tr>
        <w:trPr>
          <w:trHeight w:val="487"/>
        </w:trPr>
        <w:tc>
          <w:tcPr>
            <w:tcW w:w="1771" w:type="dxa"/>
            <w:vAlign w:val="top"/>
            <w:textDirection w:val="lrTb"/>
            <w:noWrap w:val="false"/>
          </w:tcPr>
          <w:p>
            <w:pPr>
              <w:pStyle w:val="1008"/>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c>
          <w:tcPr>
            <w:tcW w:w="3090" w:type="dxa"/>
            <w:vAlign w:val="top"/>
            <w:textDirection w:val="lrTb"/>
            <w:noWrap w:val="false"/>
          </w:tcPr>
          <w:p>
            <w:pPr>
              <w:pStyle w:val="1008"/>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c>
          <w:tcPr>
            <w:tcW w:w="1442" w:type="dxa"/>
            <w:vAlign w:val="top"/>
            <w:textDirection w:val="lrTb"/>
            <w:noWrap w:val="false"/>
          </w:tcPr>
          <w:p>
            <w:pPr>
              <w:pStyle w:val="1008"/>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c>
          <w:tcPr>
            <w:tcW w:w="3456" w:type="dxa"/>
            <w:vAlign w:val="top"/>
            <w:textDirection w:val="lrTb"/>
            <w:noWrap w:val="false"/>
          </w:tcPr>
          <w:p>
            <w:pPr>
              <w:pStyle w:val="1008"/>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r>
      <w:tr>
        <w:trPr>
          <w:trHeight w:val="802"/>
        </w:trPr>
        <w:tc>
          <w:tcPr>
            <w:tcW w:w="1771" w:type="dxa"/>
            <w:vAlign w:val="top"/>
            <w:textDirection w:val="lrTb"/>
            <w:noWrap w:val="false"/>
          </w:tcPr>
          <w:p>
            <w:pPr>
              <w:pStyle w:val="1008"/>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c>
          <w:tcPr>
            <w:tcW w:w="3090" w:type="dxa"/>
            <w:vAlign w:val="top"/>
            <w:textDirection w:val="lrTb"/>
            <w:noWrap w:val="false"/>
          </w:tcPr>
          <w:p>
            <w:pPr>
              <w:pStyle w:val="1008"/>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c>
          <w:tcPr>
            <w:tcW w:w="1442" w:type="dxa"/>
            <w:vAlign w:val="top"/>
            <w:textDirection w:val="lrTb"/>
            <w:noWrap w:val="false"/>
          </w:tcPr>
          <w:p>
            <w:pPr>
              <w:pStyle w:val="1008"/>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c>
          <w:tcPr>
            <w:tcW w:w="3456" w:type="dxa"/>
            <w:vAlign w:val="top"/>
            <w:textDirection w:val="lrTb"/>
            <w:noWrap w:val="false"/>
          </w:tcPr>
          <w:p>
            <w:pPr>
              <w:pStyle w:val="1008"/>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r>
      <w:tr>
        <w:trPr>
          <w:trHeight w:val="559"/>
        </w:trPr>
        <w:tc>
          <w:tcPr>
            <w:tcW w:w="1771" w:type="dxa"/>
            <w:vAlign w:val="top"/>
            <w:textDirection w:val="lrTb"/>
            <w:noWrap w:val="false"/>
          </w:tcPr>
          <w:p>
            <w:pPr>
              <w:pStyle w:val="1008"/>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c>
          <w:tcPr>
            <w:tcW w:w="3090" w:type="dxa"/>
            <w:vAlign w:val="top"/>
            <w:textDirection w:val="lrTb"/>
            <w:noWrap w:val="false"/>
          </w:tcPr>
          <w:p>
            <w:pPr>
              <w:pStyle w:val="1008"/>
              <w:spacing w:line="360" w:lineRule="auto"/>
              <w:rPr>
                <w:rFonts w:ascii="仿宋_GB2312" w:hAnsi="宋体" w:eastAsia="仿宋_GB2312"/>
                <w:sz w:val="24"/>
                <w:szCs w:val="20"/>
                <w:highlight w:val="none"/>
              </w:rPr>
            </w:pPr>
            <w:r>
              <w:rPr>
                <w:rFonts w:hint="eastAsia" w:ascii="仿宋_GB2312" w:hAnsi="宋体"/>
                <w:sz w:val="24"/>
                <w:highlight w:val="none"/>
              </w:rPr>
              <w:t xml:space="preserve"> </w:t>
            </w:r>
            <w:r>
              <w:rPr>
                <w:highlight w:val="none"/>
              </w:rPr>
            </w:r>
            <w:r/>
          </w:p>
        </w:tc>
        <w:tc>
          <w:tcPr>
            <w:tcW w:w="1442" w:type="dxa"/>
            <w:vAlign w:val="top"/>
            <w:textDirection w:val="lrTb"/>
            <w:noWrap w:val="false"/>
          </w:tcPr>
          <w:p>
            <w:pPr>
              <w:pStyle w:val="1008"/>
              <w:ind w:left="43"/>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c>
          <w:tcPr>
            <w:tcW w:w="3456" w:type="dxa"/>
            <w:vAlign w:val="top"/>
            <w:textDirection w:val="lrTb"/>
            <w:noWrap w:val="false"/>
          </w:tcPr>
          <w:p>
            <w:pPr>
              <w:pStyle w:val="1008"/>
              <w:ind w:left="43"/>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r>
      <w:tr>
        <w:trPr>
          <w:trHeight w:val="960"/>
        </w:trPr>
        <w:tc>
          <w:tcPr>
            <w:tcW w:w="1771" w:type="dxa"/>
            <w:vAlign w:val="top"/>
            <w:textDirection w:val="lrTb"/>
            <w:noWrap w:val="false"/>
          </w:tcPr>
          <w:p>
            <w:pPr>
              <w:pStyle w:val="1008"/>
              <w:spacing w:line="360" w:lineRule="auto"/>
              <w:rPr>
                <w:rFonts w:hint="eastAsia" w:ascii="仿宋_GB2312"/>
                <w:sz w:val="24"/>
                <w:highlight w:val="none"/>
              </w:rPr>
            </w:pPr>
            <w:r>
              <w:rPr>
                <w:rFonts w:hint="eastAsia" w:ascii="仿宋_GB2312"/>
                <w:sz w:val="24"/>
                <w:highlight w:val="none"/>
              </w:rPr>
            </w:r>
            <w:r>
              <w:rPr>
                <w:highlight w:val="none"/>
              </w:rPr>
            </w:r>
            <w:r/>
          </w:p>
        </w:tc>
        <w:tc>
          <w:tcPr>
            <w:tcW w:w="3090" w:type="dxa"/>
            <w:vAlign w:val="top"/>
            <w:textDirection w:val="lrTb"/>
            <w:noWrap w:val="false"/>
          </w:tcPr>
          <w:p>
            <w:pPr>
              <w:pStyle w:val="1008"/>
              <w:spacing w:line="360" w:lineRule="auto"/>
              <w:rPr>
                <w:rFonts w:hint="eastAsia" w:ascii="仿宋_GB2312" w:hAnsi="宋体"/>
                <w:sz w:val="24"/>
                <w:highlight w:val="none"/>
              </w:rPr>
            </w:pPr>
            <w:r>
              <w:rPr>
                <w:rFonts w:hint="eastAsia" w:ascii="仿宋_GB2312" w:hAnsi="宋体"/>
                <w:sz w:val="24"/>
                <w:highlight w:val="none"/>
              </w:rPr>
            </w:r>
            <w:r>
              <w:rPr>
                <w:highlight w:val="none"/>
              </w:rPr>
            </w:r>
            <w:r/>
          </w:p>
          <w:p>
            <w:pPr>
              <w:pStyle w:val="1008"/>
              <w:spacing w:line="360" w:lineRule="auto"/>
              <w:rPr>
                <w:rFonts w:hint="eastAsia" w:ascii="仿宋_GB2312" w:hAnsi="宋体"/>
                <w:sz w:val="24"/>
                <w:highlight w:val="none"/>
              </w:rPr>
            </w:pPr>
            <w:r>
              <w:rPr>
                <w:rFonts w:hint="eastAsia" w:ascii="仿宋_GB2312" w:hAnsi="宋体"/>
                <w:sz w:val="24"/>
                <w:highlight w:val="none"/>
              </w:rPr>
            </w:r>
            <w:r>
              <w:rPr>
                <w:highlight w:val="none"/>
              </w:rPr>
            </w:r>
            <w:r/>
          </w:p>
        </w:tc>
        <w:tc>
          <w:tcPr>
            <w:tcW w:w="1442" w:type="dxa"/>
            <w:vAlign w:val="top"/>
            <w:textDirection w:val="lrTb"/>
            <w:noWrap w:val="false"/>
          </w:tcPr>
          <w:p>
            <w:pPr>
              <w:pStyle w:val="1008"/>
              <w:ind w:left="43"/>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c>
          <w:tcPr>
            <w:tcW w:w="3456" w:type="dxa"/>
            <w:vAlign w:val="top"/>
            <w:textDirection w:val="lrTb"/>
            <w:noWrap w:val="false"/>
          </w:tcPr>
          <w:p>
            <w:pPr>
              <w:pStyle w:val="1008"/>
              <w:ind w:left="43"/>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r>
      <w:tr>
        <w:trPr>
          <w:trHeight w:val="960"/>
        </w:trPr>
        <w:tc>
          <w:tcPr>
            <w:tcW w:w="1771" w:type="dxa"/>
            <w:vAlign w:val="top"/>
            <w:textDirection w:val="lrTb"/>
            <w:noWrap w:val="false"/>
          </w:tcPr>
          <w:p>
            <w:pPr>
              <w:pStyle w:val="1008"/>
              <w:spacing w:line="360" w:lineRule="auto"/>
              <w:rPr>
                <w:rFonts w:hint="eastAsia" w:ascii="仿宋_GB2312"/>
                <w:sz w:val="24"/>
                <w:highlight w:val="none"/>
              </w:rPr>
            </w:pPr>
            <w:r>
              <w:rPr>
                <w:rFonts w:hint="eastAsia" w:ascii="仿宋_GB2312"/>
                <w:sz w:val="24"/>
                <w:highlight w:val="none"/>
              </w:rPr>
            </w:r>
            <w:r>
              <w:rPr>
                <w:highlight w:val="none"/>
              </w:rPr>
            </w:r>
            <w:r/>
          </w:p>
        </w:tc>
        <w:tc>
          <w:tcPr>
            <w:tcW w:w="3090" w:type="dxa"/>
            <w:vAlign w:val="top"/>
            <w:textDirection w:val="lrTb"/>
            <w:noWrap w:val="false"/>
          </w:tcPr>
          <w:p>
            <w:pPr>
              <w:pStyle w:val="1008"/>
              <w:spacing w:line="360" w:lineRule="auto"/>
              <w:rPr>
                <w:rFonts w:hint="eastAsia" w:ascii="仿宋_GB2312" w:hAnsi="宋体"/>
                <w:sz w:val="24"/>
                <w:highlight w:val="none"/>
              </w:rPr>
            </w:pPr>
            <w:r>
              <w:rPr>
                <w:rFonts w:hint="eastAsia" w:ascii="仿宋_GB2312" w:hAnsi="宋体"/>
                <w:sz w:val="24"/>
                <w:highlight w:val="none"/>
              </w:rPr>
            </w:r>
            <w:r>
              <w:rPr>
                <w:highlight w:val="none"/>
              </w:rPr>
            </w:r>
            <w:r/>
          </w:p>
          <w:p>
            <w:pPr>
              <w:pStyle w:val="1008"/>
              <w:spacing w:line="360" w:lineRule="auto"/>
              <w:rPr>
                <w:rFonts w:hint="eastAsia" w:ascii="仿宋_GB2312" w:hAnsi="宋体"/>
                <w:sz w:val="24"/>
                <w:highlight w:val="none"/>
              </w:rPr>
            </w:pPr>
            <w:r>
              <w:rPr>
                <w:rFonts w:hint="eastAsia" w:ascii="仿宋_GB2312" w:hAnsi="宋体"/>
                <w:sz w:val="24"/>
                <w:highlight w:val="none"/>
              </w:rPr>
            </w:r>
            <w:r>
              <w:rPr>
                <w:highlight w:val="none"/>
              </w:rPr>
            </w:r>
            <w:r/>
          </w:p>
        </w:tc>
        <w:tc>
          <w:tcPr>
            <w:tcW w:w="1442" w:type="dxa"/>
            <w:vAlign w:val="top"/>
            <w:textDirection w:val="lrTb"/>
            <w:noWrap w:val="false"/>
          </w:tcPr>
          <w:p>
            <w:pPr>
              <w:pStyle w:val="1008"/>
              <w:ind w:left="43"/>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c>
          <w:tcPr>
            <w:tcW w:w="3456" w:type="dxa"/>
            <w:vAlign w:val="top"/>
            <w:textDirection w:val="lrTb"/>
            <w:noWrap w:val="false"/>
          </w:tcPr>
          <w:p>
            <w:pPr>
              <w:pStyle w:val="1008"/>
              <w:ind w:left="43"/>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r>
      <w:tr>
        <w:trPr>
          <w:trHeight w:val="844"/>
        </w:trPr>
        <w:tc>
          <w:tcPr>
            <w:tcW w:w="1771" w:type="dxa"/>
            <w:vAlign w:val="top"/>
            <w:textDirection w:val="lrTb"/>
            <w:noWrap w:val="false"/>
          </w:tcPr>
          <w:p>
            <w:pPr>
              <w:pStyle w:val="1008"/>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c>
          <w:tcPr>
            <w:tcW w:w="3090" w:type="dxa"/>
            <w:vAlign w:val="top"/>
            <w:textDirection w:val="lrTb"/>
            <w:noWrap w:val="false"/>
          </w:tcPr>
          <w:p>
            <w:pPr>
              <w:pStyle w:val="1008"/>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c>
          <w:tcPr>
            <w:tcW w:w="1442" w:type="dxa"/>
            <w:vAlign w:val="top"/>
            <w:textDirection w:val="lrTb"/>
            <w:noWrap w:val="false"/>
          </w:tcPr>
          <w:p>
            <w:pPr>
              <w:pStyle w:val="1008"/>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c>
          <w:tcPr>
            <w:tcW w:w="3456" w:type="dxa"/>
            <w:vAlign w:val="top"/>
            <w:textDirection w:val="lrTb"/>
            <w:noWrap w:val="false"/>
          </w:tcPr>
          <w:p>
            <w:pPr>
              <w:pStyle w:val="1008"/>
              <w:spacing w:line="360" w:lineRule="auto"/>
              <w:rPr>
                <w:rFonts w:ascii="仿宋_GB2312" w:hAnsi="宋体" w:eastAsia="仿宋_GB2312"/>
                <w:sz w:val="24"/>
                <w:szCs w:val="20"/>
                <w:highlight w:val="none"/>
              </w:rPr>
            </w:pPr>
            <w:r>
              <w:rPr>
                <w:rFonts w:ascii="仿宋_GB2312" w:hAnsi="宋体" w:eastAsia="仿宋_GB2312"/>
                <w:sz w:val="24"/>
                <w:szCs w:val="20"/>
                <w:highlight w:val="none"/>
              </w:rPr>
            </w:r>
            <w:r>
              <w:rPr>
                <w:highlight w:val="none"/>
              </w:rPr>
            </w:r>
            <w:r/>
          </w:p>
        </w:tc>
      </w:tr>
    </w:tbl>
    <w:p>
      <w:pPr>
        <w:pStyle w:val="1008"/>
        <w:spacing w:line="360" w:lineRule="auto"/>
        <w:rPr>
          <w:rFonts w:hint="eastAsia" w:ascii="宋体" w:hAnsi="宋体"/>
          <w:sz w:val="24"/>
          <w:highlight w:val="none"/>
        </w:rPr>
      </w:pPr>
      <w:r>
        <w:rPr>
          <w:rFonts w:hint="eastAsia" w:ascii="宋体" w:hAnsi="宋体"/>
          <w:sz w:val="24"/>
          <w:highlight w:val="none"/>
        </w:rPr>
      </w:r>
      <w:r>
        <w:rPr>
          <w:highlight w:val="none"/>
        </w:rPr>
      </w:r>
      <w:r/>
    </w:p>
    <w:p>
      <w:pPr>
        <w:pStyle w:val="1008"/>
        <w:spacing w:line="360" w:lineRule="auto"/>
        <w:rPr>
          <w:rFonts w:hint="eastAsia" w:ascii="宋体" w:hAnsi="宋体"/>
          <w:sz w:val="24"/>
          <w:highlight w:val="none"/>
        </w:rPr>
      </w:pPr>
      <w:r>
        <w:rPr>
          <w:rFonts w:hint="eastAsia" w:ascii="宋体" w:hAnsi="宋体"/>
          <w:sz w:val="24"/>
          <w:highlight w:val="none"/>
        </w:rPr>
        <w:t xml:space="preserve">法定代表人或授权代表签字：</w:t>
      </w:r>
      <w:r>
        <w:rPr>
          <w:highlight w:val="none"/>
        </w:rPr>
      </w:r>
      <w:r/>
    </w:p>
    <w:p>
      <w:pPr>
        <w:pStyle w:val="1052"/>
        <w:ind w:firstLine="600"/>
        <w:rPr>
          <w:rFonts w:hint="eastAsia"/>
          <w:highlight w:val="none"/>
        </w:rPr>
      </w:pPr>
      <w:r>
        <w:rPr>
          <w:rFonts w:hint="eastAsia"/>
          <w:highlight w:val="none"/>
        </w:rPr>
      </w:r>
      <w:r>
        <w:rPr>
          <w:highlight w:val="none"/>
        </w:rPr>
      </w:r>
      <w:r/>
    </w:p>
    <w:p>
      <w:pPr>
        <w:pStyle w:val="1008"/>
        <w:spacing w:line="360" w:lineRule="auto"/>
        <w:rPr>
          <w:rFonts w:hint="eastAsia"/>
          <w:highlight w:val="none"/>
        </w:rPr>
      </w:pPr>
      <w:r>
        <w:rPr>
          <w:rFonts w:hint="eastAsia" w:ascii="宋体" w:hAnsi="宋体"/>
          <w:sz w:val="24"/>
          <w:highlight w:val="none"/>
        </w:rPr>
        <w:t xml:space="preserve">注：</w:t>
      </w:r>
      <w:r>
        <w:rPr>
          <w:highlight w:val="none"/>
        </w:rPr>
      </w:r>
      <w:r/>
    </w:p>
    <w:p>
      <w:pPr>
        <w:pStyle w:val="1008"/>
        <w:spacing w:line="360" w:lineRule="auto"/>
        <w:rPr>
          <w:rFonts w:hint="eastAsia" w:ascii="宋体" w:hAnsi="宋体"/>
          <w:sz w:val="24"/>
          <w:highlight w:val="none"/>
        </w:rPr>
      </w:pPr>
      <w:r>
        <w:rPr>
          <w:rFonts w:hint="eastAsia" w:ascii="宋体" w:hAnsi="宋体"/>
          <w:sz w:val="24"/>
          <w:highlight w:val="none"/>
        </w:rPr>
        <w:t xml:space="preserve">1、行数不够，可自行添加。</w:t>
      </w:r>
      <w:r>
        <w:rPr>
          <w:highlight w:val="none"/>
        </w:rPr>
      </w:r>
      <w:r/>
    </w:p>
    <w:p>
      <w:pPr>
        <w:pStyle w:val="1008"/>
        <w:spacing w:line="360" w:lineRule="auto"/>
        <w:rPr>
          <w:rFonts w:ascii="宋体"/>
          <w:sz w:val="24"/>
          <w:highlight w:val="none"/>
        </w:rPr>
      </w:pPr>
      <w:r>
        <w:rPr>
          <w:rFonts w:hint="eastAsia" w:ascii="宋体" w:hAnsi="宋体"/>
          <w:sz w:val="24"/>
          <w:highlight w:val="none"/>
        </w:rPr>
        <w:t xml:space="preserve">2、如无超出或偏离项目，此表无需填写内容，直接盖章。</w:t>
      </w:r>
      <w:r>
        <w:rPr>
          <w:highlight w:val="none"/>
        </w:rPr>
      </w:r>
      <w:r/>
    </w:p>
    <w:p>
      <w:pPr>
        <w:pStyle w:val="1052"/>
        <w:ind w:firstLine="600"/>
        <w:rPr>
          <w:rFonts w:hint="eastAsia"/>
          <w:highlight w:val="none"/>
        </w:rPr>
      </w:pPr>
      <w:r>
        <w:rPr>
          <w:rFonts w:hint="eastAsia"/>
          <w:highlight w:val="none"/>
        </w:rPr>
      </w:r>
      <w:r>
        <w:rPr>
          <w:highlight w:val="none"/>
        </w:rPr>
      </w:r>
      <w:r/>
    </w:p>
    <w:p>
      <w:pPr>
        <w:pStyle w:val="1018"/>
        <w:spacing w:line="360" w:lineRule="auto"/>
        <w:rPr>
          <w:rFonts w:hint="eastAsia"/>
          <w:highlight w:val="none"/>
        </w:rPr>
      </w:pPr>
      <w:r>
        <w:rPr>
          <w:rFonts w:hint="eastAsia"/>
          <w:highlight w:val="none"/>
        </w:rPr>
      </w:r>
      <w:r>
        <w:rPr>
          <w:highlight w:val="none"/>
        </w:rPr>
      </w:r>
      <w:r/>
    </w:p>
    <w:p>
      <w:pPr>
        <w:pStyle w:val="1018"/>
        <w:spacing w:line="360" w:lineRule="auto"/>
        <w:rPr>
          <w:rFonts w:hint="eastAsia"/>
          <w:highlight w:val="none"/>
        </w:rPr>
      </w:pPr>
      <w:r>
        <w:rPr>
          <w:rFonts w:hint="eastAsia"/>
          <w:highlight w:val="none"/>
        </w:rPr>
      </w:r>
      <w:r>
        <w:rPr>
          <w:highlight w:val="none"/>
        </w:rPr>
      </w:r>
      <w:r/>
    </w:p>
    <w:p>
      <w:pPr>
        <w:pStyle w:val="1008"/>
        <w:spacing w:line="360" w:lineRule="auto"/>
        <w:rPr>
          <w:rFonts w:hint="eastAsia" w:ascii="仿宋_GB2312" w:hAnsi="Arial"/>
          <w:sz w:val="30"/>
          <w:highlight w:val="none"/>
        </w:rPr>
      </w:pPr>
      <w:r>
        <w:rPr>
          <w:highlight w:val="none"/>
        </w:rPr>
      </w:r>
      <w:bookmarkStart w:id="166" w:name="_Hlt26671343"/>
      <w:r>
        <w:rPr>
          <w:highlight w:val="none"/>
        </w:rPr>
      </w:r>
      <w:bookmarkEnd w:id="166"/>
      <w:r>
        <w:rPr>
          <w:highlight w:val="none"/>
        </w:rPr>
      </w:r>
      <w:bookmarkStart w:id="167" w:name="_Hlt26580838"/>
      <w:r>
        <w:rPr>
          <w:highlight w:val="none"/>
        </w:rPr>
      </w:r>
      <w:bookmarkEnd w:id="167"/>
      <w:r>
        <w:rPr>
          <w:highlight w:val="none"/>
        </w:rPr>
      </w:r>
      <w:bookmarkStart w:id="168" w:name="_Hlt26955056"/>
      <w:r>
        <w:rPr>
          <w:highlight w:val="none"/>
        </w:rPr>
      </w:r>
      <w:bookmarkEnd w:id="168"/>
      <w:r>
        <w:rPr>
          <w:highlight w:val="none"/>
        </w:rPr>
      </w:r>
      <w:bookmarkStart w:id="169" w:name="_Hlt26671372"/>
      <w:r>
        <w:rPr>
          <w:highlight w:val="none"/>
        </w:rPr>
      </w:r>
      <w:bookmarkEnd w:id="169"/>
      <w:r>
        <w:rPr>
          <w:highlight w:val="none"/>
        </w:rPr>
      </w:r>
      <w:bookmarkStart w:id="170" w:name="_Hlt26609391"/>
      <w:r>
        <w:rPr>
          <w:highlight w:val="none"/>
        </w:rPr>
      </w:r>
      <w:bookmarkEnd w:id="170"/>
      <w:r>
        <w:rPr>
          <w:highlight w:val="none"/>
        </w:rPr>
      </w:r>
      <w:bookmarkStart w:id="171" w:name="_Hlt26955064"/>
      <w:r>
        <w:rPr>
          <w:highlight w:val="none"/>
        </w:rPr>
      </w:r>
      <w:bookmarkEnd w:id="171"/>
      <w:r>
        <w:rPr>
          <w:highlight w:val="none"/>
        </w:rPr>
      </w:r>
      <w:bookmarkStart w:id="172" w:name="_Hlt24879081"/>
      <w:r>
        <w:rPr>
          <w:highlight w:val="none"/>
        </w:rPr>
      </w:r>
      <w:bookmarkEnd w:id="172"/>
      <w:r>
        <w:rPr>
          <w:highlight w:val="none"/>
        </w:rPr>
      </w:r>
      <w:bookmarkStart w:id="173" w:name="_Hlt26782999"/>
      <w:r>
        <w:rPr>
          <w:highlight w:val="none"/>
        </w:rPr>
      </w:r>
      <w:bookmarkEnd w:id="173"/>
      <w:r>
        <w:rPr>
          <w:rFonts w:hint="eastAsia" w:ascii="仿宋_GB2312" w:hAnsi="Arial"/>
          <w:sz w:val="30"/>
          <w:highlight w:val="none"/>
        </w:rPr>
        <w:t xml:space="preserve">    </w:t>
      </w:r>
      <w:bookmarkStart w:id="174" w:name="_Hlt26671374"/>
      <w:r>
        <w:rPr>
          <w:highlight w:val="none"/>
        </w:rPr>
      </w:r>
      <w:bookmarkEnd w:id="174"/>
      <w:r>
        <w:rPr>
          <w:highlight w:val="none"/>
        </w:rPr>
      </w:r>
      <w:bookmarkStart w:id="175" w:name="_Hlt26955066"/>
      <w:r>
        <w:rPr>
          <w:highlight w:val="none"/>
        </w:rPr>
      </w:r>
      <w:bookmarkEnd w:id="175"/>
      <w:r>
        <w:rPr>
          <w:highlight w:val="none"/>
        </w:rPr>
      </w:r>
      <w:bookmarkStart w:id="176" w:name="_Hlt26609389"/>
      <w:r>
        <w:rPr>
          <w:highlight w:val="none"/>
        </w:rPr>
      </w:r>
      <w:bookmarkEnd w:id="176"/>
      <w:r>
        <w:rPr>
          <w:highlight w:val="none"/>
        </w:rPr>
      </w:r>
      <w:r/>
    </w:p>
    <w:p>
      <w:pPr>
        <w:pStyle w:val="1018"/>
        <w:ind w:firstLine="480"/>
        <w:spacing w:line="360" w:lineRule="auto"/>
        <w:rPr>
          <w:rFonts w:hint="eastAsia" w:ascii="宋体" w:hAnsi="宋体"/>
          <w:sz w:val="24"/>
          <w:highlight w:val="none"/>
        </w:rPr>
      </w:pPr>
      <w:r>
        <w:rPr>
          <w:rFonts w:hint="eastAsia" w:ascii="宋体" w:hAnsi="宋体"/>
          <w:sz w:val="24"/>
          <w:highlight w:val="none"/>
        </w:rPr>
      </w:r>
      <w:r>
        <w:rPr>
          <w:highlight w:val="none"/>
        </w:rPr>
      </w:r>
      <w:r/>
    </w:p>
    <w:p>
      <w:pPr>
        <w:pStyle w:val="1008"/>
        <w:ind w:left="48" w:firstLine="320"/>
        <w:jc w:val="center"/>
        <w:spacing w:line="360" w:lineRule="auto"/>
        <w:rPr>
          <w:rFonts w:hint="eastAsia" w:ascii="黑体" w:eastAsia="黑体"/>
          <w:sz w:val="32"/>
          <w:szCs w:val="32"/>
          <w:highlight w:val="none"/>
        </w:rPr>
      </w:pPr>
      <w:r>
        <w:rPr>
          <w:rFonts w:ascii="黑体" w:eastAsia="黑体"/>
          <w:sz w:val="32"/>
          <w:szCs w:val="32"/>
          <w:highlight w:val="none"/>
        </w:rPr>
        <w:br w:type="page" w:clear="all"/>
      </w:r>
      <w:r>
        <w:rPr>
          <w:rFonts w:hint="eastAsia" w:ascii="黑体" w:eastAsia="黑体"/>
          <w:b/>
          <w:bCs/>
          <w:sz w:val="32"/>
          <w:szCs w:val="32"/>
          <w:highlight w:val="none"/>
        </w:rPr>
        <w:t xml:space="preserve">九、承诺函</w:t>
      </w:r>
      <w:r>
        <w:rPr>
          <w:highlight w:val="none"/>
        </w:rPr>
      </w:r>
      <w:r/>
    </w:p>
    <w:p>
      <w:pPr>
        <w:pStyle w:val="1008"/>
        <w:ind w:left="210" w:firstLine="480"/>
        <w:spacing w:line="360" w:lineRule="auto"/>
        <w:rPr>
          <w:rFonts w:hint="eastAsia"/>
          <w:bCs/>
          <w:sz w:val="24"/>
          <w:highlight w:val="none"/>
          <w:u w:val="single"/>
        </w:rPr>
      </w:pPr>
      <w:r>
        <w:rPr>
          <w:rFonts w:hint="eastAsia" w:ascii="宋体" w:hAnsi="宋体"/>
          <w:bCs/>
          <w:sz w:val="24"/>
          <w:highlight w:val="none"/>
          <w:u w:val="single"/>
        </w:rPr>
        <w:t xml:space="preserve">供应商</w:t>
      </w:r>
      <w:r>
        <w:rPr>
          <w:rFonts w:hint="eastAsia"/>
          <w:bCs/>
          <w:sz w:val="24"/>
          <w:highlight w:val="none"/>
          <w:u w:val="single"/>
        </w:rPr>
        <w:t xml:space="preserve">需承诺中标后</w:t>
      </w:r>
      <w:r>
        <w:rPr>
          <w:rFonts w:hint="eastAsia" w:ascii="宋体" w:hAnsi="宋体"/>
          <w:bCs/>
          <w:sz w:val="24"/>
          <w:highlight w:val="none"/>
          <w:u w:val="single"/>
        </w:rPr>
        <w:t xml:space="preserve">在盐城地区</w:t>
      </w:r>
      <w:r>
        <w:rPr>
          <w:rFonts w:hint="eastAsia"/>
          <w:bCs/>
          <w:sz w:val="24"/>
          <w:highlight w:val="none"/>
          <w:u w:val="single"/>
        </w:rPr>
        <w:t xml:space="preserve">设立</w:t>
      </w:r>
      <w:r>
        <w:rPr>
          <w:rFonts w:hint="eastAsia" w:ascii="宋体" w:hAnsi="宋体"/>
          <w:bCs/>
          <w:sz w:val="24"/>
          <w:highlight w:val="none"/>
          <w:u w:val="single"/>
        </w:rPr>
        <w:t xml:space="preserve">（CMA）资质认定(验收)复查的实验室</w:t>
      </w:r>
      <w:r>
        <w:rPr>
          <w:rFonts w:hint="eastAsia"/>
          <w:bCs/>
          <w:sz w:val="24"/>
          <w:highlight w:val="none"/>
          <w:u w:val="single"/>
        </w:rPr>
        <w:t xml:space="preserve">。</w:t>
      </w:r>
      <w:r>
        <w:rPr>
          <w:highlight w:val="none"/>
        </w:rPr>
      </w:r>
      <w:r/>
    </w:p>
    <w:p>
      <w:pPr>
        <w:pStyle w:val="1008"/>
        <w:ind w:left="210" w:firstLine="480"/>
        <w:spacing w:line="360" w:lineRule="auto"/>
        <w:rPr>
          <w:rFonts w:ascii="黑体" w:hAnsi="宋体" w:eastAsia="黑体"/>
          <w:bCs/>
          <w:sz w:val="32"/>
          <w:szCs w:val="32"/>
          <w:highlight w:val="none"/>
        </w:rPr>
      </w:pPr>
      <w:r>
        <w:rPr>
          <w:rFonts w:hint="eastAsia"/>
          <w:bCs/>
          <w:sz w:val="24"/>
          <w:highlight w:val="none"/>
          <w:u w:val="single"/>
        </w:rPr>
        <w:t xml:space="preserve">（原件，格式自拟）；</w:t>
      </w:r>
      <w:r>
        <w:rPr>
          <w:highlight w:val="none"/>
        </w:rPr>
      </w:r>
      <w:r/>
    </w:p>
    <w:p>
      <w:pPr>
        <w:pStyle w:val="1008"/>
        <w:jc w:val="center"/>
        <w:keepLines/>
        <w:keepNext/>
        <w:spacing w:line="360" w:lineRule="auto"/>
        <w:rPr>
          <w:rFonts w:hint="eastAsia" w:ascii="宋体" w:hAnsi="宋体"/>
          <w:b/>
          <w:bCs/>
          <w:sz w:val="32"/>
          <w:szCs w:val="32"/>
          <w:highlight w:val="none"/>
        </w:rPr>
        <w:outlineLvl w:val="1"/>
      </w:pPr>
      <w:r>
        <w:rPr>
          <w:rFonts w:hint="eastAsia" w:ascii="宋体" w:hAnsi="宋体"/>
          <w:b/>
          <w:bCs/>
          <w:sz w:val="32"/>
          <w:szCs w:val="32"/>
          <w:highlight w:val="none"/>
        </w:rPr>
      </w:r>
      <w:r>
        <w:rPr>
          <w:highlight w:val="none"/>
        </w:rPr>
      </w:r>
      <w:r/>
    </w:p>
    <w:p>
      <w:pPr>
        <w:pStyle w:val="1008"/>
        <w:jc w:val="center"/>
        <w:keepLines/>
        <w:keepNext/>
        <w:spacing w:line="360" w:lineRule="auto"/>
        <w:rPr>
          <w:rFonts w:hint="eastAsia" w:ascii="宋体" w:hAnsi="宋体"/>
          <w:b/>
          <w:bCs/>
          <w:sz w:val="32"/>
          <w:szCs w:val="32"/>
          <w:highlight w:val="none"/>
        </w:rPr>
        <w:outlineLvl w:val="1"/>
      </w:pPr>
      <w:r>
        <w:rPr>
          <w:rFonts w:hint="eastAsia" w:ascii="宋体" w:hAnsi="宋体"/>
          <w:b/>
          <w:bCs/>
          <w:sz w:val="32"/>
          <w:szCs w:val="32"/>
          <w:highlight w:val="none"/>
        </w:rPr>
      </w:r>
      <w:r>
        <w:rPr>
          <w:highlight w:val="none"/>
        </w:rPr>
      </w:r>
      <w:r/>
    </w:p>
    <w:p>
      <w:pPr>
        <w:pStyle w:val="1008"/>
        <w:jc w:val="center"/>
        <w:keepLines/>
        <w:keepNext/>
        <w:spacing w:line="360" w:lineRule="auto"/>
        <w:rPr>
          <w:rFonts w:hint="eastAsia" w:ascii="宋体" w:hAnsi="宋体"/>
          <w:b/>
          <w:bCs/>
          <w:sz w:val="32"/>
          <w:szCs w:val="32"/>
          <w:highlight w:val="none"/>
        </w:rPr>
        <w:outlineLvl w:val="1"/>
      </w:pPr>
      <w:r>
        <w:rPr>
          <w:rFonts w:hint="eastAsia" w:ascii="宋体" w:hAnsi="宋体"/>
          <w:b/>
          <w:bCs/>
          <w:sz w:val="32"/>
          <w:szCs w:val="32"/>
          <w:highlight w:val="none"/>
        </w:rPr>
      </w:r>
      <w:r>
        <w:rPr>
          <w:highlight w:val="none"/>
        </w:rPr>
      </w:r>
      <w:r/>
    </w:p>
    <w:p>
      <w:pPr>
        <w:pStyle w:val="1008"/>
        <w:jc w:val="center"/>
        <w:keepLines/>
        <w:keepNext/>
        <w:spacing w:line="360" w:lineRule="auto"/>
        <w:rPr>
          <w:rFonts w:hint="eastAsia" w:ascii="宋体" w:hAnsi="宋体"/>
          <w:b/>
          <w:bCs/>
          <w:sz w:val="32"/>
          <w:szCs w:val="32"/>
          <w:highlight w:val="none"/>
        </w:rPr>
        <w:outlineLvl w:val="1"/>
      </w:pPr>
      <w:r>
        <w:rPr>
          <w:rFonts w:hint="eastAsia" w:ascii="宋体" w:hAnsi="宋体"/>
          <w:b/>
          <w:bCs/>
          <w:sz w:val="32"/>
          <w:szCs w:val="32"/>
          <w:highlight w:val="none"/>
        </w:rPr>
      </w:r>
      <w:r>
        <w:rPr>
          <w:highlight w:val="none"/>
        </w:rPr>
      </w:r>
      <w:r/>
    </w:p>
    <w:p>
      <w:pPr>
        <w:pStyle w:val="1008"/>
        <w:jc w:val="center"/>
        <w:keepLines/>
        <w:keepNext/>
        <w:spacing w:line="360" w:lineRule="auto"/>
        <w:rPr>
          <w:rFonts w:hint="eastAsia" w:ascii="宋体" w:hAnsi="宋体"/>
          <w:b/>
          <w:bCs/>
          <w:sz w:val="32"/>
          <w:szCs w:val="32"/>
          <w:highlight w:val="none"/>
        </w:rPr>
        <w:outlineLvl w:val="1"/>
      </w:pPr>
      <w:r>
        <w:rPr>
          <w:rFonts w:hint="eastAsia" w:ascii="宋体" w:hAnsi="宋体"/>
          <w:b/>
          <w:bCs/>
          <w:sz w:val="32"/>
          <w:szCs w:val="32"/>
          <w:highlight w:val="none"/>
        </w:rPr>
      </w:r>
      <w:r>
        <w:rPr>
          <w:highlight w:val="none"/>
        </w:rPr>
      </w:r>
      <w:r/>
    </w:p>
    <w:p>
      <w:pPr>
        <w:pStyle w:val="1008"/>
        <w:jc w:val="center"/>
        <w:keepLines/>
        <w:keepNext/>
        <w:spacing w:line="360" w:lineRule="auto"/>
        <w:rPr>
          <w:rFonts w:hint="eastAsia" w:ascii="宋体" w:hAnsi="宋体"/>
          <w:b/>
          <w:bCs/>
          <w:sz w:val="32"/>
          <w:szCs w:val="32"/>
          <w:highlight w:val="none"/>
        </w:rPr>
        <w:outlineLvl w:val="1"/>
      </w:pPr>
      <w:r>
        <w:rPr>
          <w:rFonts w:hint="eastAsia" w:ascii="宋体" w:hAnsi="宋体"/>
          <w:b/>
          <w:bCs/>
          <w:sz w:val="32"/>
          <w:szCs w:val="32"/>
          <w:highlight w:val="none"/>
        </w:rPr>
      </w:r>
      <w:r>
        <w:rPr>
          <w:highlight w:val="none"/>
        </w:rPr>
      </w:r>
      <w:r/>
    </w:p>
    <w:p>
      <w:pPr>
        <w:pStyle w:val="1008"/>
        <w:jc w:val="center"/>
        <w:keepLines/>
        <w:keepNext/>
        <w:spacing w:line="360" w:lineRule="auto"/>
        <w:rPr>
          <w:rFonts w:hint="eastAsia" w:ascii="宋体" w:hAnsi="宋体"/>
          <w:b/>
          <w:bCs/>
          <w:sz w:val="32"/>
          <w:szCs w:val="32"/>
          <w:highlight w:val="none"/>
        </w:rPr>
        <w:outlineLvl w:val="1"/>
      </w:pPr>
      <w:r>
        <w:rPr>
          <w:rFonts w:hint="eastAsia" w:ascii="宋体" w:hAnsi="宋体"/>
          <w:b/>
          <w:bCs/>
          <w:sz w:val="32"/>
          <w:szCs w:val="32"/>
          <w:highlight w:val="none"/>
        </w:rPr>
      </w:r>
      <w:r>
        <w:rPr>
          <w:highlight w:val="none"/>
        </w:rPr>
      </w:r>
      <w:r/>
    </w:p>
    <w:p>
      <w:pPr>
        <w:pStyle w:val="1008"/>
        <w:jc w:val="center"/>
        <w:keepLines/>
        <w:keepNext/>
        <w:spacing w:line="360" w:lineRule="auto"/>
        <w:rPr>
          <w:rFonts w:hint="eastAsia" w:ascii="宋体" w:hAnsi="宋体"/>
          <w:b/>
          <w:bCs/>
          <w:sz w:val="32"/>
          <w:szCs w:val="32"/>
          <w:highlight w:val="none"/>
        </w:rPr>
        <w:outlineLvl w:val="1"/>
      </w:pPr>
      <w:r>
        <w:rPr>
          <w:rFonts w:hint="eastAsia" w:ascii="宋体" w:hAnsi="宋体"/>
          <w:b/>
          <w:bCs/>
          <w:sz w:val="32"/>
          <w:szCs w:val="32"/>
          <w:highlight w:val="none"/>
        </w:rPr>
      </w:r>
      <w:r>
        <w:rPr>
          <w:highlight w:val="none"/>
        </w:rPr>
      </w:r>
      <w:r/>
    </w:p>
    <w:p>
      <w:pPr>
        <w:pStyle w:val="1008"/>
        <w:jc w:val="center"/>
        <w:keepLines/>
        <w:keepNext/>
        <w:spacing w:line="360" w:lineRule="auto"/>
        <w:rPr>
          <w:rFonts w:hint="eastAsia" w:ascii="宋体" w:hAnsi="宋体" w:cs="宋体"/>
          <w:sz w:val="24"/>
          <w:highlight w:val="none"/>
        </w:rPr>
        <w:outlineLvl w:val="1"/>
      </w:pPr>
      <w:r>
        <w:rPr>
          <w:rFonts w:hint="eastAsia" w:ascii="宋体" w:hAnsi="宋体"/>
          <w:b/>
          <w:bCs/>
          <w:sz w:val="32"/>
          <w:szCs w:val="32"/>
          <w:highlight w:val="none"/>
        </w:rPr>
        <w:t xml:space="preserve">十</w:t>
      </w:r>
      <w:r>
        <w:rPr>
          <w:rFonts w:hint="eastAsia" w:ascii="宋体" w:hAnsi="宋体" w:cs="宋体"/>
          <w:sz w:val="24"/>
          <w:highlight w:val="none"/>
        </w:rPr>
        <w:t xml:space="preserve">、</w:t>
      </w:r>
      <w:r>
        <w:rPr>
          <w:rFonts w:hint="eastAsia" w:ascii="宋体" w:hAnsi="宋体" w:cs="宋体"/>
          <w:b/>
          <w:sz w:val="28"/>
          <w:highlight w:val="none"/>
        </w:rPr>
        <w:t xml:space="preserve">招标文件要求或投标人认为需要提供的其他材料</w:t>
      </w:r>
      <w:r>
        <w:rPr>
          <w:highlight w:val="none"/>
        </w:rPr>
      </w:r>
      <w:r/>
    </w:p>
    <w:p>
      <w:pPr>
        <w:pStyle w:val="1008"/>
        <w:jc w:val="center"/>
        <w:spacing w:line="360" w:lineRule="auto"/>
        <w:rPr>
          <w:rFonts w:hint="eastAsia" w:ascii="黑体" w:hAnsi="黑体" w:eastAsia="黑体"/>
          <w:b/>
          <w:sz w:val="32"/>
          <w:szCs w:val="32"/>
          <w:highlight w:val="none"/>
        </w:rPr>
      </w:pPr>
      <w:r>
        <w:rPr>
          <w:rFonts w:hint="eastAsia" w:ascii="宋体" w:hAnsi="宋体" w:cs="宋体"/>
          <w:b/>
          <w:sz w:val="24"/>
          <w:highlight w:val="none"/>
        </w:rPr>
        <w:br w:type="page" w:clear="all"/>
      </w:r>
      <w:r>
        <w:rPr>
          <w:rFonts w:hint="eastAsia" w:ascii="黑体" w:hAnsi="黑体" w:eastAsia="黑体"/>
          <w:b/>
          <w:sz w:val="32"/>
          <w:szCs w:val="32"/>
          <w:highlight w:val="none"/>
        </w:rPr>
        <w:t xml:space="preserve">十一、盐城市政府采购事前信用承诺书</w:t>
      </w:r>
      <w:r>
        <w:rPr>
          <w:highlight w:val="none"/>
        </w:rPr>
      </w:r>
      <w:r/>
    </w:p>
    <w:p>
      <w:pPr>
        <w:pStyle w:val="1008"/>
        <w:ind w:firstLine="480"/>
        <w:jc w:val="left"/>
        <w:spacing w:line="360" w:lineRule="auto"/>
        <w:widowControl/>
        <w:rPr>
          <w:rFonts w:hint="eastAsia" w:ascii="宋体" w:hAnsi="宋体"/>
          <w:sz w:val="24"/>
          <w:highlight w:val="none"/>
        </w:rPr>
      </w:pPr>
      <w:r>
        <w:rPr>
          <w:rFonts w:hint="eastAsia" w:ascii="宋体" w:hAnsi="宋体"/>
          <w:sz w:val="24"/>
          <w:highlight w:val="none"/>
        </w:rPr>
      </w:r>
      <w:r>
        <w:rPr>
          <w:highlight w:val="none"/>
        </w:rPr>
      </w:r>
      <w:r/>
    </w:p>
    <w:p>
      <w:pPr>
        <w:pStyle w:val="1008"/>
        <w:ind w:firstLine="480"/>
        <w:jc w:val="left"/>
        <w:spacing w:line="480" w:lineRule="exact"/>
        <w:widowControl/>
        <w:rPr>
          <w:rFonts w:hint="eastAsia" w:ascii="宋体" w:hAnsi="宋体"/>
          <w:sz w:val="24"/>
          <w:highlight w:val="none"/>
        </w:rPr>
      </w:pPr>
      <w:r>
        <w:rPr>
          <w:rFonts w:hint="eastAsia" w:ascii="宋体" w:hAnsi="宋体"/>
          <w:sz w:val="24"/>
          <w:highlight w:val="none"/>
        </w:rPr>
        <w:t xml:space="preserve">为营造我市公开、公平、公正、诚实守信的政府采购交易环境，树立诚信守法的投标人形象，本人代表本单位作出以下承诺：</w:t>
      </w:r>
      <w:r>
        <w:rPr>
          <w:highlight w:val="none"/>
        </w:rPr>
      </w:r>
      <w:r/>
    </w:p>
    <w:p>
      <w:pPr>
        <w:pStyle w:val="1008"/>
        <w:jc w:val="left"/>
        <w:spacing w:line="480" w:lineRule="exact"/>
        <w:widowControl/>
        <w:rPr>
          <w:rFonts w:hint="eastAsia" w:ascii="宋体" w:hAnsi="宋体"/>
          <w:sz w:val="24"/>
          <w:highlight w:val="none"/>
        </w:rPr>
      </w:pPr>
      <w:r>
        <w:rPr>
          <w:rFonts w:hint="eastAsia" w:ascii="宋体" w:hAnsi="宋体"/>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highlight w:val="none"/>
        </w:rPr>
      </w:r>
      <w:r/>
    </w:p>
    <w:p>
      <w:pPr>
        <w:pStyle w:val="1008"/>
        <w:ind w:firstLine="480"/>
        <w:jc w:val="left"/>
        <w:spacing w:line="480" w:lineRule="exact"/>
        <w:widowControl/>
        <w:rPr>
          <w:rFonts w:hint="eastAsia" w:ascii="宋体" w:hAnsi="宋体"/>
          <w:sz w:val="24"/>
          <w:highlight w:val="none"/>
        </w:rPr>
      </w:pPr>
      <w:r>
        <w:rPr>
          <w:rFonts w:hint="eastAsia" w:ascii="宋体" w:hAnsi="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highlight w:val="none"/>
        </w:rPr>
      </w:r>
      <w:r/>
    </w:p>
    <w:p>
      <w:pPr>
        <w:pStyle w:val="1008"/>
        <w:jc w:val="left"/>
        <w:spacing w:line="480" w:lineRule="exact"/>
        <w:widowControl/>
        <w:rPr>
          <w:rFonts w:hint="eastAsia" w:ascii="宋体" w:hAnsi="宋体"/>
          <w:sz w:val="24"/>
          <w:highlight w:val="none"/>
        </w:rPr>
      </w:pPr>
      <w:r>
        <w:rPr>
          <w:rFonts w:hint="eastAsia" w:ascii="宋体" w:hAnsi="宋体"/>
          <w:sz w:val="24"/>
          <w:highlight w:val="none"/>
        </w:rPr>
        <w:t xml:space="preserve">   （三）严格依照国家和省、市关于政府采购的法律、法规、规章、规范性文件，参加政府采购投标活动；积极履行社会责任，促进廉政建设； </w:t>
      </w:r>
      <w:r>
        <w:rPr>
          <w:highlight w:val="none"/>
        </w:rPr>
      </w:r>
      <w:r/>
    </w:p>
    <w:p>
      <w:pPr>
        <w:pStyle w:val="1008"/>
        <w:jc w:val="left"/>
        <w:spacing w:line="480" w:lineRule="exact"/>
        <w:widowControl/>
        <w:rPr>
          <w:rFonts w:hint="eastAsia" w:ascii="宋体" w:hAnsi="宋体"/>
          <w:sz w:val="24"/>
          <w:highlight w:val="none"/>
        </w:rPr>
      </w:pPr>
      <w:r>
        <w:rPr>
          <w:rFonts w:hint="eastAsia" w:ascii="宋体" w:hAnsi="宋体"/>
          <w:sz w:val="24"/>
          <w:highlight w:val="none"/>
        </w:rPr>
        <w:t xml:space="preserve">   （四）严格遵守即时信息公示规定，及时维护和更新维护和更新盐城市政府采购网中与本单位相关的信息；</w:t>
      </w:r>
      <w:r>
        <w:rPr>
          <w:highlight w:val="none"/>
        </w:rPr>
      </w:r>
      <w:r/>
    </w:p>
    <w:p>
      <w:pPr>
        <w:pStyle w:val="1008"/>
        <w:jc w:val="left"/>
        <w:spacing w:line="480" w:lineRule="exact"/>
        <w:widowControl/>
        <w:rPr>
          <w:rFonts w:hint="eastAsia" w:ascii="宋体" w:hAnsi="宋体"/>
          <w:sz w:val="24"/>
          <w:highlight w:val="none"/>
        </w:rPr>
      </w:pPr>
      <w:r>
        <w:rPr>
          <w:rFonts w:hint="eastAsia" w:ascii="宋体" w:hAnsi="宋体"/>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highlight w:val="none"/>
        </w:rPr>
      </w:r>
      <w:r/>
    </w:p>
    <w:p>
      <w:pPr>
        <w:pStyle w:val="1008"/>
        <w:jc w:val="left"/>
        <w:spacing w:line="480" w:lineRule="exact"/>
        <w:widowControl/>
        <w:rPr>
          <w:rFonts w:hint="eastAsia" w:ascii="宋体" w:hAnsi="宋体"/>
          <w:sz w:val="24"/>
          <w:highlight w:val="none"/>
        </w:rPr>
      </w:pPr>
      <w:r>
        <w:rPr>
          <w:rFonts w:hint="eastAsia" w:ascii="宋体" w:hAnsi="宋体"/>
          <w:sz w:val="24"/>
          <w:highlight w:val="none"/>
        </w:rPr>
        <w:t xml:space="preserve">   （六）自觉接受政府、行业组织、社会公众、新闻舆论的监督；</w:t>
      </w:r>
      <w:r>
        <w:rPr>
          <w:highlight w:val="none"/>
        </w:rPr>
      </w:r>
      <w:r/>
    </w:p>
    <w:p>
      <w:pPr>
        <w:pStyle w:val="1008"/>
        <w:ind w:firstLine="480"/>
        <w:jc w:val="left"/>
        <w:spacing w:line="480" w:lineRule="exact"/>
        <w:widowControl/>
        <w:rPr>
          <w:rFonts w:hint="eastAsia" w:ascii="宋体" w:hAnsi="宋体"/>
          <w:sz w:val="24"/>
          <w:highlight w:val="none"/>
        </w:rPr>
      </w:pPr>
      <w:r>
        <w:rPr>
          <w:rFonts w:hint="eastAsia" w:ascii="宋体" w:hAnsi="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highlight w:val="none"/>
        </w:rPr>
      </w:r>
      <w:r/>
    </w:p>
    <w:p>
      <w:pPr>
        <w:pStyle w:val="1008"/>
        <w:jc w:val="left"/>
        <w:spacing w:line="480" w:lineRule="exact"/>
        <w:widowControl/>
        <w:rPr>
          <w:rFonts w:hint="eastAsia" w:ascii="宋体" w:hAnsi="宋体"/>
          <w:sz w:val="24"/>
          <w:highlight w:val="none"/>
        </w:rPr>
      </w:pPr>
      <w:r>
        <w:rPr>
          <w:rFonts w:hint="eastAsia" w:ascii="宋体" w:hAnsi="宋体"/>
          <w:sz w:val="24"/>
          <w:highlight w:val="none"/>
        </w:rPr>
        <w:t xml:space="preserve">   （八）本人已认真阅读了上述承诺，并向本单位员工作了宣传教育。</w:t>
      </w:r>
      <w:r>
        <w:rPr>
          <w:highlight w:val="none"/>
        </w:rPr>
      </w:r>
      <w:r/>
    </w:p>
    <w:p>
      <w:pPr>
        <w:pStyle w:val="1008"/>
        <w:jc w:val="left"/>
        <w:spacing w:line="480" w:lineRule="exact"/>
        <w:widowControl/>
        <w:rPr>
          <w:rFonts w:hint="eastAsia" w:ascii="宋体" w:hAnsi="宋体"/>
          <w:sz w:val="24"/>
          <w:highlight w:val="none"/>
        </w:rPr>
      </w:pPr>
      <w:r>
        <w:rPr>
          <w:rFonts w:hint="eastAsia" w:ascii="宋体" w:hAnsi="宋体"/>
          <w:sz w:val="24"/>
          <w:highlight w:val="none"/>
        </w:rPr>
      </w:r>
      <w:r>
        <w:rPr>
          <w:highlight w:val="none"/>
        </w:rPr>
      </w:r>
      <w:r/>
    </w:p>
    <w:p>
      <w:pPr>
        <w:pStyle w:val="1008"/>
        <w:jc w:val="center"/>
        <w:spacing w:line="480" w:lineRule="exact"/>
        <w:widowControl/>
        <w:rPr>
          <w:rFonts w:hint="eastAsia" w:ascii="宋体" w:hAnsi="宋体"/>
          <w:sz w:val="24"/>
          <w:highlight w:val="none"/>
        </w:rPr>
      </w:pPr>
      <w:r>
        <w:rPr>
          <w:rFonts w:hint="eastAsia" w:ascii="宋体" w:hAnsi="宋体"/>
          <w:sz w:val="24"/>
          <w:highlight w:val="none"/>
        </w:rPr>
        <w:t xml:space="preserve">                 法定代表人签名：</w:t>
      </w:r>
      <w:r>
        <w:rPr>
          <w:highlight w:val="none"/>
        </w:rPr>
      </w:r>
      <w:r/>
    </w:p>
    <w:p>
      <w:pPr>
        <w:pStyle w:val="1008"/>
        <w:jc w:val="center"/>
        <w:spacing w:line="480" w:lineRule="exact"/>
        <w:widowControl/>
        <w:rPr>
          <w:rFonts w:hint="eastAsia" w:ascii="宋体" w:hAnsi="宋体"/>
          <w:sz w:val="24"/>
          <w:highlight w:val="none"/>
        </w:rPr>
      </w:pPr>
      <w:r>
        <w:rPr>
          <w:rFonts w:hint="eastAsia" w:ascii="宋体" w:hAnsi="宋体"/>
          <w:sz w:val="24"/>
          <w:highlight w:val="none"/>
        </w:rPr>
        <w:t xml:space="preserve">                   单位名称（盖章）：</w:t>
      </w:r>
      <w:r>
        <w:rPr>
          <w:highlight w:val="none"/>
        </w:rPr>
      </w:r>
      <w:r/>
    </w:p>
    <w:p>
      <w:pPr>
        <w:pStyle w:val="1008"/>
        <w:jc w:val="center"/>
        <w:spacing w:line="480" w:lineRule="exact"/>
        <w:widowControl/>
        <w:rPr>
          <w:rFonts w:hint="eastAsia" w:ascii="宋体" w:hAnsi="宋体"/>
          <w:sz w:val="24"/>
          <w:highlight w:val="none"/>
        </w:rPr>
      </w:pPr>
      <w:r>
        <w:rPr>
          <w:rFonts w:hint="eastAsia" w:ascii="宋体" w:hAnsi="宋体"/>
          <w:sz w:val="24"/>
          <w:highlight w:val="none"/>
        </w:rPr>
        <w:t xml:space="preserve">                      年    月    日</w:t>
      </w:r>
      <w:r>
        <w:rPr>
          <w:highlight w:val="none"/>
        </w:rPr>
      </w:r>
      <w:r/>
    </w:p>
    <w:sectPr>
      <w:headerReference w:type="default" r:id="rId9"/>
      <w:footerReference w:type="default" r:id="rId15"/>
      <w:footnotePr/>
      <w:endnotePr/>
      <w:type w:val="nextPage"/>
      <w:pgSz w:w="11906" w:h="16838" w:orient="portrait"/>
      <w:pgMar w:top="1525" w:right="1324" w:bottom="1491" w:left="1542"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Book Antiqua">
    <w:panose1 w:val="02040602050305030304"/>
  </w:font>
  <w:font w:name="Tahoma">
    <w:panose1 w:val="020B0604030504040204"/>
  </w:font>
  <w:font w:name="等线 Light">
    <w:panose1 w:val="02010600030101010101"/>
  </w:font>
  <w:font w:name="仿宋">
    <w:panose1 w:val="02010609060101010101"/>
  </w:font>
  <w:font w:name="方正楷体_GBK">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rPr>
        <w:rStyle w:val="1056"/>
      </w:rPr>
      <w:framePr w:wrap="around" w:vAnchor="text" w:hAnchor="margin" w:xAlign="center" w:y="1"/>
    </w:pPr>
    <w:r>
      <w:fldChar w:fldCharType="begin"/>
    </w:r>
    <w:r>
      <w:rPr>
        <w:rStyle w:val="1056"/>
      </w:rPr>
      <w:instrText xml:space="preserve">PAGE  </w:instrText>
    </w:r>
    <w:r>
      <w:fldChar w:fldCharType="separate"/>
    </w:r>
    <w:r>
      <w:rPr>
        <w:rStyle w:val="1056"/>
      </w:rPr>
      <w:t xml:space="preserve">1</w:t>
    </w:r>
    <w:r>
      <w:fldChar w:fldCharType="end"/>
    </w:r>
    <w:r>
      <w:rPr>
        <w:rStyle w:val="1056"/>
      </w:rPr>
    </w:r>
    <w:r/>
  </w:p>
  <w:p>
    <w:pPr>
      <w:pStyle w:val="103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725" w:leader="none"/>
        <w:tab w:val="right" w:pos="8306" w:leader="none"/>
      </w:tabs>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0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725"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0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10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0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1008"/>
                    </w:pPr>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left="286"/>
      <w:spacing w:line="184" w:lineRule="auto"/>
      <w:rPr>
        <w:rFonts w:ascii="微软雅黑" w:hAnsi="微软雅黑" w:eastAsia="微软雅黑" w:cs="微软雅黑"/>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- 24 -</w:t>
                          </w:r>
                          <w:r>
                            <w:fldChar w:fldCharType="end"/>
                          </w:r>
                          <w:r/>
                        </w:p>
                        <w:p>
                          <w:pPr>
                            <w:pStyle w:val="100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- 24 -</w:t>
                    </w:r>
                    <w:r>
                      <w:fldChar w:fldCharType="end"/>
                    </w:r>
                    <w:r/>
                  </w:p>
                  <w:p>
                    <w:pPr>
                      <w:pStyle w:val="1008"/>
                    </w:pPr>
                    <w:r/>
                    <w:r/>
                  </w:p>
                </w:txbxContent>
              </v:textbox>
            </v:shape>
          </w:pict>
        </mc:Fallback>
      </mc:AlternateContent>
    </w:r>
    <w:r>
      <w:rPr>
        <w:rFonts w:ascii="微软雅黑" w:hAnsi="微软雅黑" w:eastAsia="微软雅黑" w:cs="微软雅黑"/>
        <w:sz w:val="16"/>
        <w:szCs w:val="16"/>
      </w:rPr>
    </w:r>
    <w:r/>
  </w:p>
  <w:p>
    <w:pPr>
      <w:pStyle w:val="1008"/>
      <w:rPr>
        <w:rFonts w:ascii="微软雅黑" w:hAnsi="微软雅黑" w:eastAsia="微软雅黑" w:cs="微软雅黑"/>
        <w:sz w:val="16"/>
        <w:szCs w:val="16"/>
      </w:rPr>
    </w:pPr>
    <w:r>
      <w:rPr>
        <w:rFonts w:ascii="微软雅黑" w:hAnsi="微软雅黑" w:eastAsia="微软雅黑" w:cs="微软雅黑"/>
        <w:sz w:val="16"/>
        <w:szCs w:val="16"/>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49</w:t>
    </w:r>
    <w:r>
      <w:fldChar w:fldCharType="end"/>
    </w:r>
    <w:r/>
  </w:p>
  <w:p>
    <w:pPr>
      <w:pStyle w:val="103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0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6"/>
      <w:numFmt w:val="decimal"/>
      <w:isLgl w:val="false"/>
      <w:suff w:val="nothing"/>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08"/>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80"/>
      <w:isLgl w:val="false"/>
      <w:suff w:val="tab"/>
      <w:lvlText w:val="附录%1."/>
      <w:lvlJc w:val="left"/>
      <w:pPr>
        <w:pStyle w:val="100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pStyle w:val="1008"/>
        <w:ind w:left="1560" w:hanging="1560"/>
      </w:pPr>
    </w:lvl>
    <w:lvl w:ilvl="1">
      <w:start w:val="1"/>
      <w:numFmt w:val="lowerLetter"/>
      <w:isLgl w:val="false"/>
      <w:suff w:val="tab"/>
      <w:lvlText w:val="%2)"/>
      <w:lvlJc w:val="left"/>
      <w:pPr>
        <w:pStyle w:val="1008"/>
        <w:ind w:left="840" w:hanging="420"/>
      </w:pPr>
    </w:lvl>
    <w:lvl w:ilvl="2">
      <w:start w:val="1"/>
      <w:numFmt w:val="lowerRoman"/>
      <w:isLgl w:val="false"/>
      <w:suff w:val="tab"/>
      <w:lvlText w:val="%3."/>
      <w:lvlJc w:val="right"/>
      <w:pPr>
        <w:pStyle w:val="1008"/>
        <w:ind w:left="1260" w:hanging="420"/>
      </w:pPr>
    </w:lvl>
    <w:lvl w:ilvl="3">
      <w:start w:val="1"/>
      <w:numFmt w:val="decimal"/>
      <w:isLgl w:val="false"/>
      <w:suff w:val="tab"/>
      <w:lvlText w:val="%4."/>
      <w:lvlJc w:val="left"/>
      <w:pPr>
        <w:pStyle w:val="1008"/>
        <w:ind w:left="1680" w:hanging="420"/>
      </w:pPr>
    </w:lvl>
    <w:lvl w:ilvl="4">
      <w:start w:val="1"/>
      <w:numFmt w:val="lowerLetter"/>
      <w:isLgl w:val="false"/>
      <w:suff w:val="tab"/>
      <w:lvlText w:val="%5)"/>
      <w:lvlJc w:val="left"/>
      <w:pPr>
        <w:pStyle w:val="1008"/>
        <w:ind w:left="2100" w:hanging="420"/>
      </w:pPr>
    </w:lvl>
    <w:lvl w:ilvl="5">
      <w:start w:val="1"/>
      <w:numFmt w:val="lowerRoman"/>
      <w:isLgl w:val="false"/>
      <w:suff w:val="tab"/>
      <w:lvlText w:val="%6."/>
      <w:lvlJc w:val="right"/>
      <w:pPr>
        <w:pStyle w:val="1008"/>
        <w:ind w:left="2520" w:hanging="420"/>
      </w:pPr>
    </w:lvl>
    <w:lvl w:ilvl="6">
      <w:start w:val="1"/>
      <w:numFmt w:val="decimal"/>
      <w:isLgl w:val="false"/>
      <w:suff w:val="tab"/>
      <w:lvlText w:val="%7."/>
      <w:lvlJc w:val="left"/>
      <w:pPr>
        <w:pStyle w:val="1008"/>
        <w:ind w:left="2940" w:hanging="420"/>
      </w:pPr>
    </w:lvl>
    <w:lvl w:ilvl="7">
      <w:start w:val="1"/>
      <w:numFmt w:val="lowerLetter"/>
      <w:isLgl w:val="false"/>
      <w:suff w:val="tab"/>
      <w:lvlText w:val="%8)"/>
      <w:lvlJc w:val="left"/>
      <w:pPr>
        <w:pStyle w:val="1008"/>
        <w:ind w:left="3360" w:hanging="420"/>
      </w:pPr>
    </w:lvl>
    <w:lvl w:ilvl="8">
      <w:start w:val="1"/>
      <w:numFmt w:val="lowerRoman"/>
      <w:isLgl w:val="false"/>
      <w:suff w:val="tab"/>
      <w:lvlText w:val="%9."/>
      <w:lvlJc w:val="right"/>
      <w:pPr>
        <w:pStyle w:val="1008"/>
        <w:ind w:left="3780" w:hanging="420"/>
      </w:pPr>
    </w:lvl>
  </w:abstractNum>
  <w:abstractNum w:abstractNumId="5">
    <w:multiLevelType w:val="hybridMultilevel"/>
    <w:lvl w:ilvl="0">
      <w:start w:val="1"/>
      <w:numFmt w:val="japaneseCounting"/>
      <w:pStyle w:val="1091"/>
      <w:isLgl w:val="false"/>
      <w:suff w:val="tab"/>
      <w:lvlText w:val="第%1章"/>
      <w:lvlJc w:val="left"/>
      <w:pPr>
        <w:pStyle w:val="1008"/>
        <w:ind w:left="9351" w:hanging="420"/>
      </w:pPr>
      <w:rPr>
        <w:rFonts w:hint="eastAsia" w:ascii="黑体" w:eastAsia="黑体"/>
        <w:b w:val="0"/>
        <w:sz w:val="36"/>
        <w:lang w:val="en-US"/>
      </w:rPr>
    </w:lvl>
    <w:lvl w:ilvl="1">
      <w:start w:val="1"/>
      <w:numFmt w:val="decimal"/>
      <w:pStyle w:val="1092"/>
      <w:isLgl w:val="false"/>
      <w:suff w:val="tab"/>
      <w:lvlText w:val="%1.%2"/>
      <w:lvlJc w:val="left"/>
      <w:pPr>
        <w:pStyle w:val="1008"/>
        <w:ind w:left="0" w:firstLine="0"/>
        <w:tabs>
          <w:tab w:val="num"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1093"/>
      <w:isLgl w:val="false"/>
      <w:suff w:val="tab"/>
      <w:lvlText w:val="%1.%2.%3"/>
      <w:lvlJc w:val="left"/>
      <w:pPr>
        <w:pStyle w:val="1008"/>
        <w:ind w:left="0" w:firstLine="0"/>
        <w:tabs>
          <w:tab w:val="num"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113"/>
      <w:isLgl w:val="false"/>
      <w:suff w:val="tab"/>
      <w:lvlText w:val="%1.%2.%3.%4"/>
      <w:lvlJc w:val="left"/>
      <w:pPr>
        <w:pStyle w:val="1008"/>
        <w:ind w:left="0" w:firstLine="0"/>
        <w:tabs>
          <w:tab w:val="num" w:pos="1134" w:leader="none"/>
        </w:tabs>
      </w:pPr>
      <w:rPr>
        <w:rFonts w:hint="eastAsia"/>
      </w:rPr>
    </w:lvl>
    <w:lvl w:ilvl="4">
      <w:start w:val="1"/>
      <w:numFmt w:val="decimal"/>
      <w:isLgl w:val="false"/>
      <w:suff w:val="tab"/>
      <w:lvlText w:val="%1.%2.%3.%4.%5"/>
      <w:lvlJc w:val="left"/>
      <w:pPr>
        <w:pStyle w:val="1008"/>
        <w:ind w:left="4620" w:hanging="850"/>
        <w:tabs>
          <w:tab w:val="num" w:pos="4850" w:leader="none"/>
        </w:tabs>
      </w:pPr>
      <w:rPr>
        <w:rFonts w:hint="eastAsia"/>
      </w:rPr>
    </w:lvl>
    <w:lvl w:ilvl="5">
      <w:start w:val="1"/>
      <w:numFmt w:val="decimal"/>
      <w:isLgl w:val="false"/>
      <w:suff w:val="tab"/>
      <w:lvlText w:val="%1.%2.%3.%4.%5.%6"/>
      <w:lvlJc w:val="left"/>
      <w:pPr>
        <w:pStyle w:val="1008"/>
        <w:ind w:left="5329" w:hanging="1134"/>
        <w:tabs>
          <w:tab w:val="num" w:pos="5635" w:leader="none"/>
        </w:tabs>
      </w:pPr>
      <w:rPr>
        <w:rFonts w:hint="eastAsia"/>
      </w:rPr>
    </w:lvl>
    <w:lvl w:ilvl="6">
      <w:start w:val="1"/>
      <w:numFmt w:val="decimal"/>
      <w:isLgl w:val="false"/>
      <w:suff w:val="tab"/>
      <w:lvlText w:val="%1.%2.%3.%4.%5.%6.%7"/>
      <w:lvlJc w:val="left"/>
      <w:pPr>
        <w:pStyle w:val="1008"/>
        <w:ind w:left="5896" w:hanging="1276"/>
        <w:tabs>
          <w:tab w:val="num" w:pos="6420" w:leader="none"/>
        </w:tabs>
      </w:pPr>
      <w:rPr>
        <w:rFonts w:hint="eastAsia"/>
      </w:rPr>
    </w:lvl>
    <w:lvl w:ilvl="7">
      <w:start w:val="1"/>
      <w:numFmt w:val="decimal"/>
      <w:isLgl w:val="false"/>
      <w:suff w:val="tab"/>
      <w:lvlText w:val="%1.%2.%3.%4.%5.%6.%7.%8"/>
      <w:lvlJc w:val="left"/>
      <w:pPr>
        <w:pStyle w:val="1008"/>
        <w:ind w:left="6463" w:hanging="1418"/>
        <w:tabs>
          <w:tab w:val="num" w:pos="6845" w:leader="none"/>
        </w:tabs>
      </w:pPr>
      <w:rPr>
        <w:rFonts w:hint="eastAsia"/>
      </w:rPr>
    </w:lvl>
    <w:lvl w:ilvl="8">
      <w:start w:val="1"/>
      <w:numFmt w:val="decimal"/>
      <w:isLgl w:val="false"/>
      <w:suff w:val="tab"/>
      <w:lvlText w:val="%1.%2.%3.%4.%5.%6.%7.%8.%9"/>
      <w:lvlJc w:val="left"/>
      <w:pPr>
        <w:pStyle w:val="1008"/>
        <w:ind w:left="7171" w:hanging="1700"/>
        <w:tabs>
          <w:tab w:val="num" w:pos="7631" w:leader="none"/>
        </w:tabs>
      </w:pPr>
      <w:rPr>
        <w:rFonts w:hint="eastAsia"/>
      </w:rPr>
    </w:lvl>
  </w:abstractNum>
  <w:abstractNum w:abstractNumId="6">
    <w:multiLevelType w:val="hybridMultilevel"/>
    <w:lvl w:ilvl="0">
      <w:start w:val="1"/>
      <w:numFmt w:val="decimal"/>
      <w:isLgl w:val="false"/>
      <w:suff w:val="nothing"/>
      <w:lvlText w:val="%1、"/>
      <w:lvlJc w:val="left"/>
      <w:pPr>
        <w:pStyle w:val="1008"/>
      </w:p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pStyle w:val="10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pStyle w:val="1008"/>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4"/>
  </w:num>
  <w:num w:numId="4">
    <w:abstractNumId w:val="0"/>
  </w:num>
  <w:num w:numId="5">
    <w:abstractNumId w:val="1"/>
  </w:num>
  <w:num w:numId="6">
    <w:abstractNumId w:val="7"/>
  </w:num>
  <w:num w:numId="7">
    <w:abstractNumId w:val="8"/>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name w:val="Heading 1"/>
    <w:basedOn w:val="1008"/>
    <w:next w:val="1008"/>
    <w:link w:val="832"/>
    <w:uiPriority w:val="9"/>
    <w:qFormat/>
    <w:pPr>
      <w:keepLines/>
      <w:keepNext/>
      <w:spacing w:before="480" w:after="200"/>
      <w:outlineLvl w:val="0"/>
    </w:pPr>
    <w:rPr>
      <w:rFonts w:ascii="Arial" w:hAnsi="Arial" w:eastAsia="Arial" w:cs="Arial"/>
      <w:sz w:val="40"/>
      <w:szCs w:val="40"/>
    </w:rPr>
  </w:style>
  <w:style w:type="character" w:styleId="832">
    <w:name w:val="Heading 1 Char"/>
    <w:link w:val="831"/>
    <w:uiPriority w:val="9"/>
    <w:rPr>
      <w:rFonts w:ascii="Arial" w:hAnsi="Arial" w:eastAsia="Arial" w:cs="Arial"/>
      <w:sz w:val="40"/>
      <w:szCs w:val="40"/>
    </w:rPr>
  </w:style>
  <w:style w:type="paragraph" w:styleId="833">
    <w:name w:val="Heading 2"/>
    <w:basedOn w:val="1008"/>
    <w:next w:val="1008"/>
    <w:link w:val="834"/>
    <w:uiPriority w:val="9"/>
    <w:unhideWhenUsed/>
    <w:qFormat/>
    <w:pPr>
      <w:keepLines/>
      <w:keepNext/>
      <w:spacing w:before="360" w:after="200"/>
      <w:outlineLvl w:val="1"/>
    </w:pPr>
    <w:rPr>
      <w:rFonts w:ascii="Arial" w:hAnsi="Arial" w:eastAsia="Arial" w:cs="Arial"/>
      <w:sz w:val="34"/>
    </w:rPr>
  </w:style>
  <w:style w:type="character" w:styleId="834">
    <w:name w:val="Heading 2 Char"/>
    <w:link w:val="833"/>
    <w:uiPriority w:val="9"/>
    <w:rPr>
      <w:rFonts w:ascii="Arial" w:hAnsi="Arial" w:eastAsia="Arial" w:cs="Arial"/>
      <w:sz w:val="34"/>
    </w:rPr>
  </w:style>
  <w:style w:type="paragraph" w:styleId="835">
    <w:name w:val="Heading 3"/>
    <w:basedOn w:val="1008"/>
    <w:next w:val="1008"/>
    <w:link w:val="836"/>
    <w:uiPriority w:val="9"/>
    <w:unhideWhenUsed/>
    <w:qFormat/>
    <w:pPr>
      <w:keepLines/>
      <w:keepNext/>
      <w:spacing w:before="320" w:after="200"/>
      <w:outlineLvl w:val="2"/>
    </w:pPr>
    <w:rPr>
      <w:rFonts w:ascii="Arial" w:hAnsi="Arial" w:eastAsia="Arial" w:cs="Arial"/>
      <w:sz w:val="30"/>
      <w:szCs w:val="30"/>
    </w:rPr>
  </w:style>
  <w:style w:type="character" w:styleId="836">
    <w:name w:val="Heading 3 Char"/>
    <w:link w:val="835"/>
    <w:uiPriority w:val="9"/>
    <w:rPr>
      <w:rFonts w:ascii="Arial" w:hAnsi="Arial" w:eastAsia="Arial" w:cs="Arial"/>
      <w:sz w:val="30"/>
      <w:szCs w:val="30"/>
    </w:rPr>
  </w:style>
  <w:style w:type="paragraph" w:styleId="837">
    <w:name w:val="Heading 4"/>
    <w:basedOn w:val="1008"/>
    <w:next w:val="1008"/>
    <w:link w:val="838"/>
    <w:uiPriority w:val="9"/>
    <w:unhideWhenUsed/>
    <w:qFormat/>
    <w:pPr>
      <w:keepLines/>
      <w:keepNext/>
      <w:spacing w:before="320" w:after="200"/>
      <w:outlineLvl w:val="3"/>
    </w:pPr>
    <w:rPr>
      <w:rFonts w:ascii="Arial" w:hAnsi="Arial" w:eastAsia="Arial" w:cs="Arial"/>
      <w:b/>
      <w:bCs/>
      <w:sz w:val="26"/>
      <w:szCs w:val="26"/>
    </w:rPr>
  </w:style>
  <w:style w:type="character" w:styleId="838">
    <w:name w:val="Heading 4 Char"/>
    <w:link w:val="837"/>
    <w:uiPriority w:val="9"/>
    <w:rPr>
      <w:rFonts w:ascii="Arial" w:hAnsi="Arial" w:eastAsia="Arial" w:cs="Arial"/>
      <w:b/>
      <w:bCs/>
      <w:sz w:val="26"/>
      <w:szCs w:val="26"/>
    </w:rPr>
  </w:style>
  <w:style w:type="paragraph" w:styleId="839">
    <w:name w:val="Heading 5"/>
    <w:basedOn w:val="1008"/>
    <w:next w:val="1008"/>
    <w:link w:val="840"/>
    <w:uiPriority w:val="9"/>
    <w:unhideWhenUsed/>
    <w:qFormat/>
    <w:pPr>
      <w:keepLines/>
      <w:keepNext/>
      <w:spacing w:before="320" w:after="200"/>
      <w:outlineLvl w:val="4"/>
    </w:pPr>
    <w:rPr>
      <w:rFonts w:ascii="Arial" w:hAnsi="Arial" w:eastAsia="Arial" w:cs="Arial"/>
      <w:b/>
      <w:bCs/>
      <w:sz w:val="24"/>
      <w:szCs w:val="24"/>
    </w:rPr>
  </w:style>
  <w:style w:type="character" w:styleId="840">
    <w:name w:val="Heading 5 Char"/>
    <w:link w:val="839"/>
    <w:uiPriority w:val="9"/>
    <w:rPr>
      <w:rFonts w:ascii="Arial" w:hAnsi="Arial" w:eastAsia="Arial" w:cs="Arial"/>
      <w:b/>
      <w:bCs/>
      <w:sz w:val="24"/>
      <w:szCs w:val="24"/>
    </w:rPr>
  </w:style>
  <w:style w:type="paragraph" w:styleId="841">
    <w:name w:val="Heading 6"/>
    <w:basedOn w:val="1008"/>
    <w:next w:val="1008"/>
    <w:link w:val="842"/>
    <w:uiPriority w:val="9"/>
    <w:unhideWhenUsed/>
    <w:qFormat/>
    <w:pPr>
      <w:keepLines/>
      <w:keepNext/>
      <w:spacing w:before="320" w:after="200"/>
      <w:outlineLvl w:val="5"/>
    </w:pPr>
    <w:rPr>
      <w:rFonts w:ascii="Arial" w:hAnsi="Arial" w:eastAsia="Arial" w:cs="Arial"/>
      <w:b/>
      <w:bCs/>
      <w:sz w:val="22"/>
      <w:szCs w:val="22"/>
    </w:rPr>
  </w:style>
  <w:style w:type="character" w:styleId="842">
    <w:name w:val="Heading 6 Char"/>
    <w:link w:val="841"/>
    <w:uiPriority w:val="9"/>
    <w:rPr>
      <w:rFonts w:ascii="Arial" w:hAnsi="Arial" w:eastAsia="Arial" w:cs="Arial"/>
      <w:b/>
      <w:bCs/>
      <w:sz w:val="22"/>
      <w:szCs w:val="22"/>
    </w:rPr>
  </w:style>
  <w:style w:type="paragraph" w:styleId="843">
    <w:name w:val="Heading 7"/>
    <w:basedOn w:val="1008"/>
    <w:next w:val="1008"/>
    <w:link w:val="844"/>
    <w:uiPriority w:val="9"/>
    <w:unhideWhenUsed/>
    <w:qFormat/>
    <w:pPr>
      <w:keepLines/>
      <w:keepNext/>
      <w:spacing w:before="320" w:after="200"/>
      <w:outlineLvl w:val="6"/>
    </w:pPr>
    <w:rPr>
      <w:rFonts w:ascii="Arial" w:hAnsi="Arial" w:eastAsia="Arial" w:cs="Arial"/>
      <w:b/>
      <w:bCs/>
      <w:i/>
      <w:iCs/>
      <w:sz w:val="22"/>
      <w:szCs w:val="22"/>
    </w:rPr>
  </w:style>
  <w:style w:type="character" w:styleId="844">
    <w:name w:val="Heading 7 Char"/>
    <w:link w:val="843"/>
    <w:uiPriority w:val="9"/>
    <w:rPr>
      <w:rFonts w:ascii="Arial" w:hAnsi="Arial" w:eastAsia="Arial" w:cs="Arial"/>
      <w:b/>
      <w:bCs/>
      <w:i/>
      <w:iCs/>
      <w:sz w:val="22"/>
      <w:szCs w:val="22"/>
    </w:rPr>
  </w:style>
  <w:style w:type="paragraph" w:styleId="845">
    <w:name w:val="Heading 8"/>
    <w:basedOn w:val="1008"/>
    <w:next w:val="1008"/>
    <w:link w:val="846"/>
    <w:uiPriority w:val="9"/>
    <w:unhideWhenUsed/>
    <w:qFormat/>
    <w:pPr>
      <w:keepLines/>
      <w:keepNext/>
      <w:spacing w:before="320" w:after="200"/>
      <w:outlineLvl w:val="7"/>
    </w:pPr>
    <w:rPr>
      <w:rFonts w:ascii="Arial" w:hAnsi="Arial" w:eastAsia="Arial" w:cs="Arial"/>
      <w:i/>
      <w:iCs/>
      <w:sz w:val="22"/>
      <w:szCs w:val="22"/>
    </w:rPr>
  </w:style>
  <w:style w:type="character" w:styleId="846">
    <w:name w:val="Heading 8 Char"/>
    <w:link w:val="845"/>
    <w:uiPriority w:val="9"/>
    <w:rPr>
      <w:rFonts w:ascii="Arial" w:hAnsi="Arial" w:eastAsia="Arial" w:cs="Arial"/>
      <w:i/>
      <w:iCs/>
      <w:sz w:val="22"/>
      <w:szCs w:val="22"/>
    </w:rPr>
  </w:style>
  <w:style w:type="paragraph" w:styleId="847">
    <w:name w:val="Heading 9"/>
    <w:basedOn w:val="1008"/>
    <w:next w:val="1008"/>
    <w:link w:val="848"/>
    <w:uiPriority w:val="9"/>
    <w:unhideWhenUsed/>
    <w:qFormat/>
    <w:pPr>
      <w:keepLines/>
      <w:keepNext/>
      <w:spacing w:before="320" w:after="200"/>
      <w:outlineLvl w:val="8"/>
    </w:pPr>
    <w:rPr>
      <w:rFonts w:ascii="Arial" w:hAnsi="Arial" w:eastAsia="Arial" w:cs="Arial"/>
      <w:i/>
      <w:iCs/>
      <w:sz w:val="21"/>
      <w:szCs w:val="21"/>
    </w:rPr>
  </w:style>
  <w:style w:type="character" w:styleId="848">
    <w:name w:val="Heading 9 Char"/>
    <w:link w:val="847"/>
    <w:uiPriority w:val="9"/>
    <w:rPr>
      <w:rFonts w:ascii="Arial" w:hAnsi="Arial" w:eastAsia="Arial" w:cs="Arial"/>
      <w:i/>
      <w:iCs/>
      <w:sz w:val="21"/>
      <w:szCs w:val="21"/>
    </w:rPr>
  </w:style>
  <w:style w:type="paragraph" w:styleId="849">
    <w:name w:val="No Spacing"/>
    <w:uiPriority w:val="1"/>
    <w:qFormat/>
    <w:pPr>
      <w:spacing w:before="0" w:after="0" w:line="240" w:lineRule="auto"/>
    </w:pPr>
  </w:style>
  <w:style w:type="paragraph" w:styleId="850">
    <w:name w:val="Title"/>
    <w:basedOn w:val="1008"/>
    <w:next w:val="1008"/>
    <w:link w:val="851"/>
    <w:uiPriority w:val="10"/>
    <w:qFormat/>
    <w:pPr>
      <w:contextualSpacing/>
      <w:spacing w:before="300" w:after="200"/>
    </w:pPr>
    <w:rPr>
      <w:sz w:val="48"/>
      <w:szCs w:val="48"/>
    </w:rPr>
  </w:style>
  <w:style w:type="character" w:styleId="851">
    <w:name w:val="Title Char"/>
    <w:link w:val="850"/>
    <w:uiPriority w:val="10"/>
    <w:rPr>
      <w:sz w:val="48"/>
      <w:szCs w:val="48"/>
    </w:rPr>
  </w:style>
  <w:style w:type="paragraph" w:styleId="852">
    <w:name w:val="Subtitle"/>
    <w:basedOn w:val="1008"/>
    <w:next w:val="1008"/>
    <w:link w:val="853"/>
    <w:uiPriority w:val="11"/>
    <w:qFormat/>
    <w:pPr>
      <w:spacing w:before="200" w:after="200"/>
    </w:pPr>
    <w:rPr>
      <w:sz w:val="24"/>
      <w:szCs w:val="24"/>
    </w:rPr>
  </w:style>
  <w:style w:type="character" w:styleId="853">
    <w:name w:val="Subtitle Char"/>
    <w:link w:val="852"/>
    <w:uiPriority w:val="11"/>
    <w:rPr>
      <w:sz w:val="24"/>
      <w:szCs w:val="24"/>
    </w:rPr>
  </w:style>
  <w:style w:type="paragraph" w:styleId="854">
    <w:name w:val="Quote"/>
    <w:basedOn w:val="1008"/>
    <w:next w:val="1008"/>
    <w:link w:val="855"/>
    <w:uiPriority w:val="29"/>
    <w:qFormat/>
    <w:pPr>
      <w:ind w:left="720" w:right="720"/>
    </w:pPr>
    <w:rPr>
      <w:i/>
    </w:rPr>
  </w:style>
  <w:style w:type="character" w:styleId="855">
    <w:name w:val="Quote Char"/>
    <w:link w:val="854"/>
    <w:uiPriority w:val="29"/>
    <w:rPr>
      <w:i/>
    </w:rPr>
  </w:style>
  <w:style w:type="paragraph" w:styleId="856">
    <w:name w:val="Intense Quote"/>
    <w:basedOn w:val="1008"/>
    <w:next w:val="1008"/>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name w:val="Intense Quote Char"/>
    <w:link w:val="856"/>
    <w:uiPriority w:val="30"/>
    <w:rPr>
      <w:i/>
    </w:rPr>
  </w:style>
  <w:style w:type="paragraph" w:styleId="858">
    <w:name w:val="Header"/>
    <w:basedOn w:val="1008"/>
    <w:link w:val="859"/>
    <w:uiPriority w:val="99"/>
    <w:unhideWhenUsed/>
    <w:pPr>
      <w:spacing w:after="0" w:line="240" w:lineRule="auto"/>
      <w:tabs>
        <w:tab w:val="center" w:pos="7143" w:leader="none"/>
        <w:tab w:val="right" w:pos="14287" w:leader="none"/>
      </w:tabs>
    </w:pPr>
  </w:style>
  <w:style w:type="character" w:styleId="859">
    <w:name w:val="Header Char"/>
    <w:link w:val="858"/>
    <w:uiPriority w:val="99"/>
  </w:style>
  <w:style w:type="paragraph" w:styleId="860">
    <w:name w:val="Footer"/>
    <w:basedOn w:val="1008"/>
    <w:link w:val="863"/>
    <w:uiPriority w:val="99"/>
    <w:unhideWhenUsed/>
    <w:pPr>
      <w:spacing w:after="0" w:line="240" w:lineRule="auto"/>
      <w:tabs>
        <w:tab w:val="center" w:pos="7143" w:leader="none"/>
        <w:tab w:val="right" w:pos="14287" w:leader="none"/>
      </w:tabs>
    </w:pPr>
  </w:style>
  <w:style w:type="character" w:styleId="861">
    <w:name w:val="Footer Char"/>
    <w:link w:val="860"/>
    <w:uiPriority w:val="99"/>
  </w:style>
  <w:style w:type="paragraph" w:styleId="862">
    <w:name w:val="Caption"/>
    <w:basedOn w:val="1008"/>
    <w:next w:val="1008"/>
    <w:uiPriority w:val="35"/>
    <w:semiHidden/>
    <w:unhideWhenUsed/>
    <w:qFormat/>
    <w:pPr>
      <w:spacing w:line="276" w:lineRule="auto"/>
    </w:pPr>
    <w:rPr>
      <w:b/>
      <w:bCs/>
      <w:color w:val="4f81bd" w:themeColor="accent1"/>
      <w:sz w:val="18"/>
      <w:szCs w:val="18"/>
    </w:rPr>
  </w:style>
  <w:style w:type="character" w:styleId="863">
    <w:name w:val="Caption Char"/>
    <w:basedOn w:val="862"/>
    <w:link w:val="860"/>
    <w:uiPriority w:val="99"/>
  </w:style>
  <w:style w:type="table" w:styleId="8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Hyperlink"/>
    <w:uiPriority w:val="99"/>
    <w:unhideWhenUsed/>
    <w:rPr>
      <w:color w:val="0000ff" w:themeColor="hyperlink"/>
      <w:u w:val="single"/>
    </w:rPr>
  </w:style>
  <w:style w:type="paragraph" w:styleId="991">
    <w:name w:val="footnote text"/>
    <w:basedOn w:val="1008"/>
    <w:link w:val="992"/>
    <w:uiPriority w:val="99"/>
    <w:semiHidden/>
    <w:unhideWhenUsed/>
    <w:pPr>
      <w:spacing w:after="40" w:line="240" w:lineRule="auto"/>
    </w:pPr>
    <w:rPr>
      <w:sz w:val="18"/>
    </w:rPr>
  </w:style>
  <w:style w:type="character" w:styleId="992">
    <w:name w:val="Footnote Text Char"/>
    <w:link w:val="991"/>
    <w:uiPriority w:val="99"/>
    <w:rPr>
      <w:sz w:val="18"/>
    </w:rPr>
  </w:style>
  <w:style w:type="character" w:styleId="993">
    <w:name w:val="footnote reference"/>
    <w:uiPriority w:val="99"/>
    <w:unhideWhenUsed/>
    <w:rPr>
      <w:vertAlign w:val="superscript"/>
    </w:rPr>
  </w:style>
  <w:style w:type="paragraph" w:styleId="994">
    <w:name w:val="endnote text"/>
    <w:basedOn w:val="1008"/>
    <w:link w:val="995"/>
    <w:uiPriority w:val="99"/>
    <w:semiHidden/>
    <w:unhideWhenUsed/>
    <w:pPr>
      <w:spacing w:after="0" w:line="240" w:lineRule="auto"/>
    </w:pPr>
    <w:rPr>
      <w:sz w:val="20"/>
    </w:rPr>
  </w:style>
  <w:style w:type="character" w:styleId="995">
    <w:name w:val="Endnote Text Char"/>
    <w:link w:val="994"/>
    <w:uiPriority w:val="99"/>
    <w:rPr>
      <w:sz w:val="20"/>
    </w:rPr>
  </w:style>
  <w:style w:type="character" w:styleId="996">
    <w:name w:val="endnote reference"/>
    <w:uiPriority w:val="99"/>
    <w:semiHidden/>
    <w:unhideWhenUsed/>
    <w:rPr>
      <w:vertAlign w:val="superscript"/>
    </w:rPr>
  </w:style>
  <w:style w:type="paragraph" w:styleId="997">
    <w:name w:val="toc 1"/>
    <w:basedOn w:val="1008"/>
    <w:next w:val="1008"/>
    <w:uiPriority w:val="39"/>
    <w:unhideWhenUsed/>
    <w:pPr>
      <w:ind w:left="0" w:right="0" w:firstLine="0"/>
      <w:spacing w:after="57"/>
    </w:pPr>
  </w:style>
  <w:style w:type="paragraph" w:styleId="998">
    <w:name w:val="toc 2"/>
    <w:basedOn w:val="1008"/>
    <w:next w:val="1008"/>
    <w:uiPriority w:val="39"/>
    <w:unhideWhenUsed/>
    <w:pPr>
      <w:ind w:left="283" w:right="0" w:firstLine="0"/>
      <w:spacing w:after="57"/>
    </w:pPr>
  </w:style>
  <w:style w:type="paragraph" w:styleId="999">
    <w:name w:val="toc 3"/>
    <w:basedOn w:val="1008"/>
    <w:next w:val="1008"/>
    <w:uiPriority w:val="39"/>
    <w:unhideWhenUsed/>
    <w:pPr>
      <w:ind w:left="567" w:right="0" w:firstLine="0"/>
      <w:spacing w:after="57"/>
    </w:pPr>
  </w:style>
  <w:style w:type="paragraph" w:styleId="1000">
    <w:name w:val="toc 4"/>
    <w:basedOn w:val="1008"/>
    <w:next w:val="1008"/>
    <w:uiPriority w:val="39"/>
    <w:unhideWhenUsed/>
    <w:pPr>
      <w:ind w:left="850" w:right="0" w:firstLine="0"/>
      <w:spacing w:after="57"/>
    </w:pPr>
  </w:style>
  <w:style w:type="paragraph" w:styleId="1001">
    <w:name w:val="toc 5"/>
    <w:basedOn w:val="1008"/>
    <w:next w:val="1008"/>
    <w:uiPriority w:val="39"/>
    <w:unhideWhenUsed/>
    <w:pPr>
      <w:ind w:left="1134" w:right="0" w:firstLine="0"/>
      <w:spacing w:after="57"/>
    </w:pPr>
  </w:style>
  <w:style w:type="paragraph" w:styleId="1002">
    <w:name w:val="toc 6"/>
    <w:basedOn w:val="1008"/>
    <w:next w:val="1008"/>
    <w:uiPriority w:val="39"/>
    <w:unhideWhenUsed/>
    <w:pPr>
      <w:ind w:left="1417" w:right="0" w:firstLine="0"/>
      <w:spacing w:after="57"/>
    </w:pPr>
  </w:style>
  <w:style w:type="paragraph" w:styleId="1003">
    <w:name w:val="toc 7"/>
    <w:basedOn w:val="1008"/>
    <w:next w:val="1008"/>
    <w:uiPriority w:val="39"/>
    <w:unhideWhenUsed/>
    <w:pPr>
      <w:ind w:left="1701" w:right="0" w:firstLine="0"/>
      <w:spacing w:after="57"/>
    </w:pPr>
  </w:style>
  <w:style w:type="paragraph" w:styleId="1004">
    <w:name w:val="toc 8"/>
    <w:basedOn w:val="1008"/>
    <w:next w:val="1008"/>
    <w:uiPriority w:val="39"/>
    <w:unhideWhenUsed/>
    <w:pPr>
      <w:ind w:left="1984" w:right="0" w:firstLine="0"/>
      <w:spacing w:after="57"/>
    </w:pPr>
  </w:style>
  <w:style w:type="paragraph" w:styleId="1005">
    <w:name w:val="toc 9"/>
    <w:basedOn w:val="1008"/>
    <w:next w:val="1008"/>
    <w:uiPriority w:val="39"/>
    <w:unhideWhenUsed/>
    <w:pPr>
      <w:ind w:left="2268" w:right="0" w:firstLine="0"/>
      <w:spacing w:after="57"/>
    </w:pPr>
  </w:style>
  <w:style w:type="paragraph" w:styleId="1006">
    <w:name w:val="TOC Heading"/>
    <w:uiPriority w:val="39"/>
    <w:unhideWhenUsed/>
  </w:style>
  <w:style w:type="paragraph" w:styleId="1007">
    <w:name w:val="table of figures"/>
    <w:basedOn w:val="1008"/>
    <w:next w:val="1008"/>
    <w:uiPriority w:val="99"/>
    <w:unhideWhenUsed/>
    <w:pPr>
      <w:spacing w:after="0" w:afterAutospacing="0"/>
    </w:pPr>
  </w:style>
  <w:style w:type="paragraph" w:styleId="1008" w:default="1">
    <w:name w:val="Normal"/>
    <w:next w:val="1016"/>
    <w:link w:val="1008"/>
    <w:qFormat/>
    <w:pPr>
      <w:jc w:val="both"/>
      <w:widowControl w:val="off"/>
    </w:pPr>
    <w:rPr>
      <w:sz w:val="21"/>
      <w:szCs w:val="24"/>
      <w:lang w:val="en-US" w:eastAsia="zh-CN" w:bidi="ar-SA"/>
    </w:rPr>
  </w:style>
  <w:style w:type="paragraph" w:styleId="1009">
    <w:name w:val="标题 1"/>
    <w:basedOn w:val="1008"/>
    <w:next w:val="1008"/>
    <w:link w:val="1017"/>
    <w:qFormat/>
    <w:pPr>
      <w:keepNext/>
      <w:outlineLvl w:val="0"/>
    </w:pPr>
    <w:rPr>
      <w:rFonts w:ascii="楷体_GB2312" w:eastAsia="楷体_GB2312"/>
      <w:sz w:val="28"/>
      <w:szCs w:val="20"/>
    </w:rPr>
  </w:style>
  <w:style w:type="paragraph" w:styleId="1010">
    <w:name w:val="标题 2"/>
    <w:basedOn w:val="1008"/>
    <w:next w:val="1008"/>
    <w:link w:val="1008"/>
    <w:qFormat/>
    <w:pPr>
      <w:jc w:val="center"/>
      <w:keepLines/>
      <w:keepNext/>
      <w:spacing w:before="260" w:after="260" w:line="416" w:lineRule="auto"/>
      <w:outlineLvl w:val="1"/>
    </w:pPr>
    <w:rPr>
      <w:rFonts w:ascii="Arial" w:hAnsi="Arial" w:eastAsia="幼圆" w:cs="Times New Roman"/>
      <w:b/>
      <w:sz w:val="44"/>
      <w:szCs w:val="20"/>
    </w:rPr>
  </w:style>
  <w:style w:type="paragraph" w:styleId="1011">
    <w:name w:val="标题 3"/>
    <w:basedOn w:val="1008"/>
    <w:next w:val="1008"/>
    <w:link w:val="1008"/>
    <w:qFormat/>
    <w:pPr>
      <w:keepLines/>
      <w:keepNext/>
      <w:spacing w:before="260" w:after="260" w:line="416" w:lineRule="auto"/>
      <w:outlineLvl w:val="2"/>
    </w:pPr>
    <w:rPr>
      <w:rFonts w:ascii="Times New Roman" w:hAnsi="Times New Roman" w:eastAsia="宋体" w:cs="Times New Roman"/>
      <w:b/>
      <w:sz w:val="32"/>
      <w:szCs w:val="20"/>
    </w:rPr>
  </w:style>
  <w:style w:type="paragraph" w:styleId="1012">
    <w:name w:val="标题 4"/>
    <w:basedOn w:val="1008"/>
    <w:next w:val="1018"/>
    <w:link w:val="1008"/>
    <w:qFormat/>
    <w:pPr>
      <w:keepLines/>
      <w:keepNext/>
      <w:spacing w:before="280" w:after="290" w:line="376" w:lineRule="auto"/>
      <w:outlineLvl w:val="3"/>
    </w:pPr>
    <w:rPr>
      <w:rFonts w:ascii="Arial" w:hAnsi="Arial" w:eastAsia="黑体" w:cs="Times New Roman"/>
      <w:b/>
      <w:bCs/>
      <w:sz w:val="28"/>
      <w:szCs w:val="28"/>
    </w:rPr>
  </w:style>
  <w:style w:type="paragraph" w:styleId="1013">
    <w:name w:val="标题 5"/>
    <w:basedOn w:val="1008"/>
    <w:next w:val="1018"/>
    <w:link w:val="1008"/>
    <w:qFormat/>
    <w:pPr>
      <w:keepNext/>
      <w:outlineLvl w:val="4"/>
    </w:pPr>
    <w:rPr>
      <w:rFonts w:ascii="宋体" w:hAnsi="宋体" w:eastAsia="宋体" w:cs="Times New Roman"/>
      <w:b/>
      <w:bCs/>
    </w:rPr>
  </w:style>
  <w:style w:type="character" w:styleId="1014">
    <w:name w:val="默认段落字体"/>
    <w:next w:val="1014"/>
    <w:link w:val="1008"/>
    <w:rPr>
      <w:rFonts w:ascii="Times New Roman" w:hAnsi="Times New Roman" w:eastAsia="宋体" w:cs="Times New Roman"/>
    </w:rPr>
  </w:style>
  <w:style w:type="table" w:styleId="1015">
    <w:name w:val="普通表格"/>
    <w:next w:val="1015"/>
    <w:link w:val="1008"/>
    <w:rPr>
      <w:rFonts w:ascii="Times New Roman" w:hAnsi="Times New Roman" w:eastAsia="宋体" w:cs="Times New Roman"/>
    </w:rPr>
    <w:tblPr/>
  </w:style>
  <w:style w:type="paragraph" w:styleId="1016">
    <w:name w:val="正文文本"/>
    <w:basedOn w:val="1008"/>
    <w:next w:val="1016"/>
    <w:link w:val="1008"/>
    <w:rPr>
      <w:rFonts w:ascii="楷体_GB2312" w:hAnsi="Arial" w:eastAsia="楷体_GB2312" w:cs="Times New Roman"/>
      <w:sz w:val="28"/>
      <w:szCs w:val="20"/>
    </w:rPr>
  </w:style>
  <w:style w:type="character" w:styleId="1017">
    <w:name w:val="标题 1 Char"/>
    <w:next w:val="1017"/>
    <w:link w:val="1009"/>
    <w:rPr>
      <w:rFonts w:ascii="楷体_GB2312" w:hAnsi="Times New Roman" w:eastAsia="楷体_GB2312" w:cs="Times New Roman"/>
      <w:sz w:val="28"/>
      <w:lang w:val="en-US" w:eastAsia="zh-CN" w:bidi="ar-SA"/>
    </w:rPr>
  </w:style>
  <w:style w:type="paragraph" w:styleId="1018">
    <w:name w:val="正文缩进"/>
    <w:basedOn w:val="1008"/>
    <w:next w:val="1018"/>
    <w:link w:val="1019"/>
    <w:pPr>
      <w:ind w:firstLine="420"/>
    </w:pPr>
    <w:rPr>
      <w:szCs w:val="20"/>
    </w:rPr>
  </w:style>
  <w:style w:type="character" w:styleId="1019">
    <w:name w:val="正文缩进 Char"/>
    <w:next w:val="1019"/>
    <w:link w:val="1018"/>
    <w:rPr>
      <w:rFonts w:ascii="Times New Roman" w:hAnsi="Times New Roman" w:eastAsia="宋体" w:cs="Times New Roman"/>
      <w:sz w:val="21"/>
      <w:lang w:val="en-US" w:eastAsia="zh-CN" w:bidi="ar-SA"/>
    </w:rPr>
  </w:style>
  <w:style w:type="paragraph" w:styleId="1020">
    <w:name w:val="目录 7"/>
    <w:basedOn w:val="1008"/>
    <w:next w:val="1008"/>
    <w:link w:val="1008"/>
    <w:pPr>
      <w:ind w:left="2520"/>
    </w:pPr>
    <w:rPr>
      <w:rFonts w:ascii="Times New Roman" w:hAnsi="Times New Roman" w:eastAsia="宋体" w:cs="Times New Roman"/>
    </w:rPr>
  </w:style>
  <w:style w:type="paragraph" w:styleId="1021">
    <w:name w:val="文档结构图"/>
    <w:basedOn w:val="1008"/>
    <w:next w:val="1021"/>
    <w:link w:val="1008"/>
    <w:pPr>
      <w:shd w:val="clear" w:color="auto" w:fill="000080"/>
    </w:pPr>
    <w:rPr>
      <w:rFonts w:ascii="Times New Roman" w:hAnsi="Times New Roman" w:eastAsia="宋体" w:cs="Times New Roman"/>
    </w:rPr>
  </w:style>
  <w:style w:type="paragraph" w:styleId="1022">
    <w:name w:val="批注文字"/>
    <w:basedOn w:val="1008"/>
    <w:next w:val="1022"/>
    <w:link w:val="1023"/>
    <w:pPr>
      <w:jc w:val="left"/>
    </w:pPr>
  </w:style>
  <w:style w:type="character" w:styleId="1023">
    <w:name w:val="批注文字 Char"/>
    <w:next w:val="1023"/>
    <w:link w:val="1022"/>
    <w:rPr>
      <w:rFonts w:ascii="Times New Roman" w:hAnsi="Times New Roman" w:eastAsia="宋体" w:cs="Times New Roman"/>
      <w:sz w:val="21"/>
      <w:szCs w:val="24"/>
    </w:rPr>
  </w:style>
  <w:style w:type="paragraph" w:styleId="1024">
    <w:name w:val="正文文本 3"/>
    <w:basedOn w:val="1008"/>
    <w:next w:val="1024"/>
    <w:link w:val="1008"/>
    <w:rPr>
      <w:rFonts w:ascii="仿宋_GB2312" w:hAnsi="Arial" w:eastAsia="仿宋_GB2312" w:cs="Times New Roman"/>
      <w:sz w:val="32"/>
      <w:szCs w:val="20"/>
    </w:rPr>
  </w:style>
  <w:style w:type="paragraph" w:styleId="1025">
    <w:name w:val="正文文本缩进"/>
    <w:basedOn w:val="1008"/>
    <w:next w:val="1025"/>
    <w:link w:val="1008"/>
    <w:pPr>
      <w:ind w:firstLine="645"/>
    </w:pPr>
    <w:rPr>
      <w:rFonts w:ascii="楷体_GB2312" w:hAnsi="Times New Roman" w:eastAsia="楷体_GB2312" w:cs="Times New Roman"/>
      <w:sz w:val="32"/>
      <w:szCs w:val="20"/>
    </w:rPr>
  </w:style>
  <w:style w:type="paragraph" w:styleId="1026">
    <w:name w:val="文本块"/>
    <w:basedOn w:val="1008"/>
    <w:next w:val="1026"/>
    <w:link w:val="1008"/>
    <w:pPr>
      <w:ind w:left="1440" w:right="1440"/>
      <w:spacing w:after="120"/>
      <w:tabs>
        <w:tab w:val="left" w:pos="9000" w:leader="none"/>
      </w:tabs>
    </w:pPr>
    <w:rPr>
      <w:rFonts w:ascii="Times New Roman" w:hAnsi="Times New Roman" w:eastAsia="宋体" w:cs="Times New Roman"/>
    </w:rPr>
  </w:style>
  <w:style w:type="paragraph" w:styleId="1027">
    <w:name w:val="目录 5"/>
    <w:basedOn w:val="1008"/>
    <w:next w:val="1008"/>
    <w:link w:val="1008"/>
    <w:pPr>
      <w:ind w:left="1680"/>
    </w:pPr>
    <w:rPr>
      <w:rFonts w:ascii="Times New Roman" w:hAnsi="Times New Roman" w:eastAsia="宋体" w:cs="Times New Roman"/>
    </w:rPr>
  </w:style>
  <w:style w:type="paragraph" w:styleId="1028">
    <w:name w:val="目录 3"/>
    <w:basedOn w:val="1008"/>
    <w:next w:val="1008"/>
    <w:link w:val="1008"/>
    <w:pPr>
      <w:ind w:left="539"/>
      <w:jc w:val="left"/>
      <w:spacing w:line="240" w:lineRule="exact"/>
      <w:tabs>
        <w:tab w:val="right" w:pos="9440" w:leader="dot"/>
      </w:tabs>
    </w:pPr>
    <w:rPr>
      <w:rFonts w:ascii="黑体" w:hAnsi="宋体" w:eastAsia="黑体" w:cs="Times New Roman"/>
      <w:bCs/>
      <w:iCs/>
      <w:sz w:val="18"/>
      <w:szCs w:val="32"/>
    </w:rPr>
  </w:style>
  <w:style w:type="paragraph" w:styleId="1029">
    <w:name w:val="纯文本"/>
    <w:basedOn w:val="1008"/>
    <w:next w:val="1029"/>
    <w:link w:val="1030"/>
    <w:qFormat/>
    <w:rPr>
      <w:rFonts w:ascii="宋体" w:hAnsi="Courier New"/>
      <w:szCs w:val="20"/>
    </w:rPr>
  </w:style>
  <w:style w:type="character" w:styleId="1030">
    <w:name w:val="纯文本 Char"/>
    <w:next w:val="1030"/>
    <w:link w:val="1029"/>
    <w:qFormat/>
    <w:rPr>
      <w:rFonts w:ascii="宋体" w:hAnsi="Courier New"/>
      <w:sz w:val="21"/>
    </w:rPr>
  </w:style>
  <w:style w:type="paragraph" w:styleId="1031">
    <w:name w:val="目录 8"/>
    <w:basedOn w:val="1008"/>
    <w:next w:val="1008"/>
    <w:link w:val="1008"/>
    <w:pPr>
      <w:ind w:left="2940"/>
    </w:pPr>
    <w:rPr>
      <w:rFonts w:ascii="Times New Roman" w:hAnsi="Times New Roman" w:eastAsia="宋体" w:cs="Times New Roman"/>
    </w:rPr>
  </w:style>
  <w:style w:type="paragraph" w:styleId="1032">
    <w:name w:val="日期"/>
    <w:basedOn w:val="1008"/>
    <w:next w:val="1008"/>
    <w:link w:val="1008"/>
    <w:rPr>
      <w:rFonts w:ascii="Times New Roman" w:hAnsi="Times New Roman" w:eastAsia="宋体" w:cs="Times New Roman"/>
      <w:sz w:val="24"/>
      <w:szCs w:val="20"/>
    </w:rPr>
  </w:style>
  <w:style w:type="paragraph" w:styleId="1033">
    <w:name w:val="正文文本缩进 2"/>
    <w:basedOn w:val="1008"/>
    <w:next w:val="1033"/>
    <w:link w:val="1008"/>
    <w:pPr>
      <w:ind w:firstLine="560"/>
    </w:pPr>
    <w:rPr>
      <w:rFonts w:ascii="宋体" w:hAnsi="宋体" w:eastAsia="宋体" w:cs="Times New Roman"/>
      <w:sz w:val="28"/>
    </w:rPr>
  </w:style>
  <w:style w:type="paragraph" w:styleId="1034">
    <w:name w:val="批注框文本"/>
    <w:basedOn w:val="1008"/>
    <w:next w:val="1034"/>
    <w:link w:val="1008"/>
    <w:rPr>
      <w:rFonts w:ascii="Times New Roman" w:hAnsi="Times New Roman" w:eastAsia="宋体" w:cs="Times New Roman"/>
      <w:sz w:val="18"/>
      <w:szCs w:val="18"/>
    </w:rPr>
  </w:style>
  <w:style w:type="paragraph" w:styleId="1035">
    <w:name w:val="页脚"/>
    <w:basedOn w:val="1008"/>
    <w:next w:val="1035"/>
    <w:link w:val="1036"/>
    <w:uiPriority w:val="99"/>
    <w:pPr>
      <w:jc w:val="left"/>
      <w:tabs>
        <w:tab w:val="center" w:pos="4153" w:leader="none"/>
        <w:tab w:val="right" w:pos="8306" w:leader="none"/>
      </w:tabs>
    </w:pPr>
    <w:rPr>
      <w:sz w:val="18"/>
      <w:szCs w:val="20"/>
    </w:rPr>
  </w:style>
  <w:style w:type="character" w:styleId="1036">
    <w:name w:val="页脚 Char"/>
    <w:next w:val="1036"/>
    <w:link w:val="1035"/>
    <w:uiPriority w:val="99"/>
    <w:rPr>
      <w:rFonts w:ascii="Times New Roman" w:hAnsi="Times New Roman" w:eastAsia="宋体" w:cs="Times New Roman"/>
      <w:sz w:val="18"/>
    </w:rPr>
  </w:style>
  <w:style w:type="paragraph" w:styleId="1037">
    <w:name w:val="寄信人地址"/>
    <w:basedOn w:val="1008"/>
    <w:next w:val="1037"/>
    <w:link w:val="1008"/>
    <w:uiPriority w:val="99"/>
    <w:qFormat/>
    <w:rPr>
      <w:rFonts w:ascii="Arial" w:hAnsi="Arial" w:cs="Arial"/>
    </w:rPr>
  </w:style>
  <w:style w:type="paragraph" w:styleId="1038">
    <w:name w:val="页眉"/>
    <w:basedOn w:val="1008"/>
    <w:next w:val="1038"/>
    <w:link w:val="100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39">
    <w:name w:val="目录 1"/>
    <w:basedOn w:val="1008"/>
    <w:next w:val="1008"/>
    <w:link w:val="1008"/>
    <w:pPr>
      <w:jc w:val="left"/>
      <w:spacing w:before="120" w:after="120" w:line="300" w:lineRule="exact"/>
      <w:tabs>
        <w:tab w:val="right" w:pos="9440" w:leader="dot"/>
      </w:tabs>
    </w:pPr>
    <w:rPr>
      <w:rFonts w:ascii="黑体" w:hAnsi="Times New Roman" w:eastAsia="黑体" w:cs="Times New Roman"/>
      <w:b/>
      <w:caps/>
      <w:sz w:val="18"/>
      <w:szCs w:val="28"/>
    </w:rPr>
  </w:style>
  <w:style w:type="paragraph" w:styleId="1040">
    <w:name w:val="目录 4"/>
    <w:basedOn w:val="1008"/>
    <w:next w:val="1008"/>
    <w:link w:val="1008"/>
    <w:pPr>
      <w:ind w:left="1260"/>
    </w:pPr>
    <w:rPr>
      <w:rFonts w:ascii="Times New Roman" w:hAnsi="Times New Roman" w:eastAsia="宋体" w:cs="Times New Roman"/>
    </w:rPr>
  </w:style>
  <w:style w:type="paragraph" w:styleId="1041">
    <w:name w:val="目录 6"/>
    <w:basedOn w:val="1008"/>
    <w:next w:val="1008"/>
    <w:link w:val="1008"/>
    <w:pPr>
      <w:ind w:left="2100"/>
    </w:pPr>
    <w:rPr>
      <w:rFonts w:ascii="Times New Roman" w:hAnsi="Times New Roman" w:eastAsia="宋体" w:cs="Times New Roman"/>
    </w:rPr>
  </w:style>
  <w:style w:type="paragraph" w:styleId="1042">
    <w:name w:val="正文文本缩进 3"/>
    <w:basedOn w:val="1008"/>
    <w:next w:val="1042"/>
    <w:link w:val="1008"/>
    <w:pPr>
      <w:ind w:firstLine="523"/>
    </w:pPr>
    <w:rPr>
      <w:rFonts w:ascii="仿宋_GB2312" w:hAnsi="宋体" w:eastAsia="仿宋_GB2312" w:cs="Times New Roman"/>
      <w:sz w:val="24"/>
    </w:rPr>
  </w:style>
  <w:style w:type="paragraph" w:styleId="1043">
    <w:name w:val="目录 2"/>
    <w:basedOn w:val="1008"/>
    <w:next w:val="1008"/>
    <w:link w:val="1008"/>
    <w:pPr>
      <w:jc w:val="left"/>
      <w:spacing w:line="260" w:lineRule="exact"/>
      <w:tabs>
        <w:tab w:val="right" w:pos="9440" w:leader="dot"/>
      </w:tabs>
    </w:pPr>
    <w:rPr>
      <w:rFonts w:ascii="黑体" w:hAnsi="Times New Roman" w:eastAsia="黑体" w:cs="Times New Roman"/>
      <w:b/>
      <w:bCs/>
      <w:smallCaps/>
      <w:sz w:val="18"/>
      <w:szCs w:val="44"/>
    </w:rPr>
  </w:style>
  <w:style w:type="paragraph" w:styleId="1044">
    <w:name w:val="目录 9"/>
    <w:basedOn w:val="1008"/>
    <w:next w:val="1008"/>
    <w:link w:val="1008"/>
    <w:pPr>
      <w:ind w:left="3360"/>
    </w:pPr>
    <w:rPr>
      <w:rFonts w:ascii="Times New Roman" w:hAnsi="Times New Roman" w:eastAsia="宋体" w:cs="Times New Roman"/>
    </w:rPr>
  </w:style>
  <w:style w:type="paragraph" w:styleId="1045">
    <w:name w:val="正文文本 2"/>
    <w:basedOn w:val="1008"/>
    <w:next w:val="1045"/>
    <w:link w:val="1008"/>
    <w:pPr>
      <w:jc w:val="center"/>
    </w:pPr>
    <w:rPr>
      <w:rFonts w:ascii="仿宋_GB2312" w:hAnsi="Times New Roman" w:eastAsia="仿宋_GB2312" w:cs="Times New Roman"/>
      <w:sz w:val="44"/>
    </w:rPr>
  </w:style>
  <w:style w:type="paragraph" w:styleId="1046">
    <w:name w:val="HTML 预设格式"/>
    <w:basedOn w:val="1008"/>
    <w:next w:val="1046"/>
    <w:link w:val="104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47">
    <w:name w:val="HTML 预设格式 Char"/>
    <w:next w:val="1047"/>
    <w:link w:val="1046"/>
    <w:rPr>
      <w:rFonts w:ascii="黑体" w:hAnsi="Courier New" w:eastAsia="黑体" w:cs="Courier New"/>
    </w:rPr>
  </w:style>
  <w:style w:type="paragraph" w:styleId="1048">
    <w:name w:val="普通(网站)"/>
    <w:basedOn w:val="1008"/>
    <w:next w:val="1048"/>
    <w:link w:val="1008"/>
    <w:pPr>
      <w:jc w:val="left"/>
      <w:spacing w:before="100" w:beforeAutospacing="1" w:after="100" w:afterAutospacing="1"/>
      <w:widowControl/>
    </w:pPr>
    <w:rPr>
      <w:rFonts w:ascii="宋体" w:hAnsi="宋体" w:eastAsia="宋体" w:cs="宋体"/>
      <w:sz w:val="24"/>
    </w:rPr>
  </w:style>
  <w:style w:type="paragraph" w:styleId="1049">
    <w:name w:val="索引 1"/>
    <w:basedOn w:val="1008"/>
    <w:next w:val="1008"/>
    <w:link w:val="1008"/>
    <w:rPr>
      <w:rFonts w:ascii="宋体" w:hAnsi="宋体" w:eastAsia="宋体" w:cs="Times New Roman"/>
      <w:szCs w:val="18"/>
    </w:rPr>
  </w:style>
  <w:style w:type="paragraph" w:styleId="1050">
    <w:name w:val="批注主题"/>
    <w:basedOn w:val="1022"/>
    <w:next w:val="1022"/>
    <w:link w:val="1051"/>
    <w:rPr>
      <w:b/>
      <w:bCs/>
    </w:rPr>
  </w:style>
  <w:style w:type="character" w:styleId="1051">
    <w:name w:val="批注主题 Char"/>
    <w:next w:val="1051"/>
    <w:link w:val="1050"/>
    <w:rPr>
      <w:rFonts w:ascii="Times New Roman" w:hAnsi="Times New Roman" w:eastAsia="宋体" w:cs="Times New Roman"/>
      <w:b/>
      <w:bCs/>
      <w:sz w:val="21"/>
      <w:szCs w:val="24"/>
    </w:rPr>
  </w:style>
  <w:style w:type="paragraph" w:styleId="1052">
    <w:name w:val="正文首行缩进"/>
    <w:basedOn w:val="1008"/>
    <w:next w:val="1052"/>
    <w:link w:val="1008"/>
    <w:pPr>
      <w:ind w:firstLine="200"/>
      <w:spacing w:line="360" w:lineRule="auto"/>
    </w:pPr>
    <w:rPr>
      <w:rFonts w:ascii="仿宋_GB2312" w:hAnsi="Times New Roman" w:eastAsia="仿宋_GB2312" w:cs="Times New Roman"/>
      <w:sz w:val="30"/>
      <w:szCs w:val="30"/>
    </w:rPr>
  </w:style>
  <w:style w:type="paragraph" w:styleId="1053">
    <w:name w:val="正文首行缩进 2"/>
    <w:basedOn w:val="1025"/>
    <w:next w:val="1008"/>
    <w:link w:val="1008"/>
    <w:qFormat/>
    <w:pPr>
      <w:ind w:left="420" w:firstLine="420"/>
      <w:spacing w:after="120" w:line="240" w:lineRule="auto"/>
    </w:pPr>
    <w:rPr>
      <w:sz w:val="21"/>
    </w:rPr>
  </w:style>
  <w:style w:type="table" w:styleId="1054">
    <w:name w:val="网格型"/>
    <w:basedOn w:val="1015"/>
    <w:next w:val="1054"/>
    <w:link w:val="1008"/>
    <w:pPr>
      <w:jc w:val="both"/>
      <w:widowControl w:val="off"/>
    </w:pPr>
    <w:rPr>
      <w:rFonts w:ascii="Times New Roman" w:hAnsi="Times New Roman" w:eastAsia="宋体" w:cs="Times New Roman"/>
    </w:rPr>
    <w:tblPr/>
  </w:style>
  <w:style w:type="character" w:styleId="1055">
    <w:name w:val="要点"/>
    <w:next w:val="1055"/>
    <w:link w:val="1008"/>
    <w:qFormat/>
    <w:rPr>
      <w:rFonts w:ascii="Times New Roman" w:hAnsi="Times New Roman" w:eastAsia="宋体" w:cs="Times New Roman"/>
      <w:b/>
      <w:bCs/>
    </w:rPr>
  </w:style>
  <w:style w:type="character" w:styleId="1056">
    <w:name w:val="页码"/>
    <w:next w:val="1056"/>
    <w:link w:val="1008"/>
    <w:rPr>
      <w:rFonts w:ascii="Times New Roman" w:hAnsi="Times New Roman" w:eastAsia="宋体" w:cs="Times New Roman"/>
    </w:rPr>
  </w:style>
  <w:style w:type="character" w:styleId="1057">
    <w:name w:val="已访问的超链接"/>
    <w:next w:val="1057"/>
    <w:link w:val="1008"/>
    <w:rPr>
      <w:rFonts w:ascii="Times New Roman" w:hAnsi="Times New Roman" w:eastAsia="宋体" w:cs="Times New Roman"/>
      <w:color w:val="000000"/>
      <w:u w:val="none"/>
    </w:rPr>
  </w:style>
  <w:style w:type="character" w:styleId="1058">
    <w:name w:val="超链接"/>
    <w:next w:val="1058"/>
    <w:link w:val="1008"/>
    <w:rPr>
      <w:rFonts w:ascii="Times New Roman" w:hAnsi="Times New Roman" w:eastAsia="宋体" w:cs="Times New Roman"/>
      <w:color w:val="000000"/>
      <w:u w:val="none"/>
    </w:rPr>
  </w:style>
  <w:style w:type="character" w:styleId="1059">
    <w:name w:val="批注引用"/>
    <w:next w:val="1059"/>
    <w:link w:val="1008"/>
    <w:rPr>
      <w:rFonts w:ascii="Times New Roman" w:hAnsi="Times New Roman" w:eastAsia="宋体" w:cs="Times New Roman"/>
      <w:sz w:val="21"/>
      <w:szCs w:val="21"/>
    </w:rPr>
  </w:style>
  <w:style w:type="paragraph" w:styleId="1060">
    <w:name w:val="一级条标题"/>
    <w:basedOn w:val="1061"/>
    <w:next w:val="1062"/>
    <w:link w:val="1008"/>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1">
    <w:name w:val="章标题"/>
    <w:next w:val="1008"/>
    <w:link w:val="1008"/>
    <w:uiPriority w:val="99"/>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62">
    <w:name w:val="段"/>
    <w:next w:val="1063"/>
    <w:link w:val="1008"/>
    <w:qFormat/>
    <w:pPr>
      <w:ind w:firstLine="200"/>
      <w:jc w:val="both"/>
      <w:widowControl w:val="off"/>
    </w:pPr>
    <w:rPr>
      <w:rFonts w:ascii="宋体" w:hAnsi="宋体" w:cs="宋体"/>
      <w:color w:val="000000"/>
      <w:sz w:val="21"/>
      <w:szCs w:val="21"/>
      <w:lang w:val="en-US" w:eastAsia="zh-CN" w:bidi="ar-SA"/>
    </w:rPr>
  </w:style>
  <w:style w:type="paragraph" w:styleId="1063">
    <w:name w:val="正文 A"/>
    <w:next w:val="1062"/>
    <w:link w:val="1008"/>
    <w:qFormat/>
    <w:pPr>
      <w:jc w:val="both"/>
      <w:widowControl w:val="off"/>
    </w:pPr>
    <w:rPr>
      <w:rFonts w:eastAsia="Calibri" w:cs="Calibri"/>
      <w:color w:val="000000"/>
      <w:sz w:val="21"/>
      <w:szCs w:val="21"/>
      <w:lang w:val="en-US" w:eastAsia="zh-CN" w:bidi="ar-SA"/>
    </w:rPr>
  </w:style>
  <w:style w:type="paragraph" w:styleId="1064">
    <w:name w:val="正文首行缩进 21"/>
    <w:basedOn w:val="1065"/>
    <w:next w:val="1064"/>
    <w:link w:val="1008"/>
    <w:uiPriority w:val="99"/>
    <w:qFormat/>
    <w:pPr>
      <w:ind w:firstLine="420"/>
      <w:spacing w:line="360" w:lineRule="auto"/>
    </w:pPr>
    <w:rPr>
      <w:rFonts w:ascii="宋体" w:hAnsi="宋体" w:eastAsia="宋体" w:cs="Times New Roman"/>
      <w:sz w:val="21"/>
      <w:szCs w:val="20"/>
    </w:rPr>
  </w:style>
  <w:style w:type="paragraph" w:styleId="1065">
    <w:name w:val="正文文本缩进 New"/>
    <w:basedOn w:val="1066"/>
    <w:next w:val="1067"/>
    <w:link w:val="1008"/>
    <w:uiPriority w:val="99"/>
    <w:qFormat/>
    <w:pPr>
      <w:ind w:left="420"/>
      <w:spacing w:after="120"/>
    </w:pPr>
  </w:style>
  <w:style w:type="paragraph" w:styleId="1066">
    <w:name w:val="正文 New"/>
    <w:next w:val="1064"/>
    <w:link w:val="1008"/>
    <w:uiPriority w:val="99"/>
    <w:qFormat/>
    <w:pPr>
      <w:jc w:val="both"/>
      <w:widowControl w:val="off"/>
    </w:pPr>
    <w:rPr>
      <w:rFonts w:ascii="Calibri" w:hAnsi="Calibri"/>
      <w:sz w:val="21"/>
      <w:szCs w:val="22"/>
      <w:lang w:val="en-US" w:eastAsia="zh-CN" w:bidi="ar-SA"/>
    </w:rPr>
  </w:style>
  <w:style w:type="paragraph" w:styleId="1067">
    <w:name w:val="寄信人地址 New"/>
    <w:basedOn w:val="1066"/>
    <w:next w:val="1067"/>
    <w:link w:val="1008"/>
    <w:uiPriority w:val="99"/>
    <w:qFormat/>
    <w:rPr>
      <w:rFonts w:ascii="Arial" w:hAnsi="Arial"/>
    </w:rPr>
  </w:style>
  <w:style w:type="paragraph" w:styleId="1068">
    <w:name w:val="_Style 2"/>
    <w:basedOn w:val="1008"/>
    <w:next w:val="1068"/>
    <w:link w:val="1008"/>
    <w:qFormat/>
    <w:pPr>
      <w:ind w:firstLine="200"/>
    </w:pPr>
    <w:rPr>
      <w:rFonts w:ascii="Calibri" w:hAnsi="Calibri"/>
      <w:sz w:val="28"/>
      <w:szCs w:val="22"/>
    </w:rPr>
  </w:style>
  <w:style w:type="paragraph" w:styleId="1069">
    <w:name w:val="Default"/>
    <w:next w:val="1069"/>
    <w:link w:val="1008"/>
    <w:pPr>
      <w:widowControl w:val="off"/>
    </w:pPr>
    <w:rPr>
      <w:color w:val="000000"/>
      <w:sz w:val="24"/>
      <w:szCs w:val="24"/>
      <w:lang w:val="en-US" w:eastAsia="zh-CN" w:bidi="ar-SA"/>
    </w:rPr>
  </w:style>
  <w:style w:type="paragraph" w:styleId="1070">
    <w:name w:val="表格文字"/>
    <w:basedOn w:val="1008"/>
    <w:next w:val="1016"/>
    <w:link w:val="1008"/>
    <w:qFormat/>
    <w:pPr>
      <w:jc w:val="left"/>
      <w:spacing w:before="25" w:after="25"/>
    </w:pPr>
    <w:rPr>
      <w:rFonts w:ascii="Times New Roman" w:hAnsi="Times New Roman" w:eastAsia="宋体" w:cs="Times New Roman"/>
      <w:bCs/>
      <w:spacing w:val="10"/>
      <w:sz w:val="24"/>
      <w:szCs w:val="20"/>
    </w:rPr>
  </w:style>
  <w:style w:type="character" w:styleId="1071">
    <w:name w:val=" Char Char1"/>
    <w:next w:val="1071"/>
    <w:link w:val="1008"/>
    <w:rPr>
      <w:rFonts w:ascii="Times New Roman" w:hAnsi="Times New Roman" w:eastAsia="宋体" w:cs="Times New Roman"/>
      <w:sz w:val="21"/>
      <w:lang w:val="en-US" w:eastAsia="zh-CN" w:bidi="ar-SA"/>
    </w:rPr>
  </w:style>
  <w:style w:type="character" w:styleId="1072">
    <w:name w:val="列出段落 Char,Bullet List Char,numbered Char,FooterText Char,List Paragraph1 Char,Paragraphe de liste1 Char"/>
    <w:next w:val="1072"/>
    <w:link w:val="1073"/>
    <w:rPr>
      <w:rFonts w:ascii="Calibri" w:hAnsi="Calibri" w:eastAsia="宋体" w:cs="Times New Roman"/>
      <w:sz w:val="24"/>
      <w:szCs w:val="24"/>
      <w:lang w:eastAsia="en-US" w:bidi="en-US"/>
    </w:rPr>
  </w:style>
  <w:style w:type="paragraph" w:styleId="1073">
    <w:name w:val="列出段落1"/>
    <w:basedOn w:val="1008"/>
    <w:next w:val="1073"/>
    <w:link w:val="1072"/>
    <w:pPr>
      <w:contextualSpacing/>
      <w:ind w:left="720"/>
      <w:jc w:val="left"/>
      <w:widowControl/>
    </w:pPr>
    <w:rPr>
      <w:rFonts w:ascii="Calibri" w:hAnsi="Calibri"/>
      <w:sz w:val="24"/>
      <w:lang w:eastAsia="en-US" w:bidi="en-US"/>
    </w:rPr>
  </w:style>
  <w:style w:type="character" w:styleId="1074">
    <w:name w:val="标题2 Char"/>
    <w:next w:val="1074"/>
    <w:link w:val="1008"/>
    <w:rPr>
      <w:rFonts w:ascii="方正楷体_GBK" w:hAnsi="Book Antiqua" w:eastAsia="方正楷体_GBK" w:cs="Times New Roman"/>
      <w:sz w:val="32"/>
      <w:lang w:val="en-US" w:eastAsia="zh-CN" w:bidi="ar-SA"/>
    </w:rPr>
  </w:style>
  <w:style w:type="character" w:styleId="1075">
    <w:name w:val="jj1"/>
    <w:next w:val="1075"/>
    <w:link w:val="1008"/>
    <w:rPr>
      <w:rFonts w:ascii="Times New Roman" w:hAnsi="Times New Roman" w:eastAsia="宋体" w:cs="Times New Roman"/>
      <w:sz w:val="20"/>
      <w:szCs w:val="20"/>
      <w:u w:val="none"/>
    </w:rPr>
  </w:style>
  <w:style w:type="character" w:styleId="1076">
    <w:name w:val="font11"/>
    <w:next w:val="1076"/>
    <w:link w:val="1008"/>
    <w:rPr>
      <w:rFonts w:hint="eastAsia" w:ascii="宋体" w:hAnsi="宋体" w:eastAsia="宋体" w:cs="宋体"/>
      <w:color w:val="000000"/>
      <w:sz w:val="24"/>
      <w:szCs w:val="24"/>
      <w:u w:val="none"/>
    </w:rPr>
  </w:style>
  <w:style w:type="character" w:styleId="1077">
    <w:name w:val="font31"/>
    <w:next w:val="1077"/>
    <w:link w:val="1008"/>
    <w:rPr>
      <w:rFonts w:hint="eastAsia" w:ascii="宋体" w:hAnsi="宋体" w:eastAsia="宋体" w:cs="宋体"/>
      <w:i w:val="0"/>
      <w:color w:val="000000"/>
      <w:sz w:val="24"/>
      <w:szCs w:val="24"/>
      <w:u w:val="none"/>
    </w:rPr>
  </w:style>
  <w:style w:type="character" w:styleId="1078">
    <w:name w:val="font01"/>
    <w:next w:val="1078"/>
    <w:link w:val="1008"/>
    <w:rPr>
      <w:rFonts w:hint="eastAsia" w:ascii="宋体" w:hAnsi="宋体" w:eastAsia="宋体" w:cs="宋体"/>
      <w:i w:val="0"/>
      <w:color w:val="000000"/>
      <w:sz w:val="24"/>
      <w:szCs w:val="24"/>
      <w:u w:val="none"/>
      <w:vertAlign w:val="superscript"/>
    </w:rPr>
  </w:style>
  <w:style w:type="paragraph" w:styleId="1079">
    <w:name w:val="Char Char Char Char1 Char Char Char"/>
    <w:basedOn w:val="1021"/>
    <w:next w:val="1079"/>
    <w:link w:val="1008"/>
    <w:pPr>
      <w:spacing w:line="360" w:lineRule="auto"/>
    </w:pPr>
    <w:rPr>
      <w:rFonts w:ascii="Tahoma" w:hAnsi="Tahoma" w:eastAsia="宋体" w:cs="Times New Roman"/>
      <w:sz w:val="24"/>
    </w:rPr>
  </w:style>
  <w:style w:type="paragraph" w:styleId="1080">
    <w:name w:val="附录1"/>
    <w:next w:val="1080"/>
    <w:link w:val="1008"/>
    <w:pPr>
      <w:numPr>
        <w:ilvl w:val="0"/>
        <w:numId w:val="1"/>
      </w:numPr>
      <w:spacing w:before="240" w:line="600" w:lineRule="atLeast"/>
      <w:tabs>
        <w:tab w:val="left" w:pos="907" w:leader="none"/>
      </w:tabs>
    </w:pPr>
    <w:rPr>
      <w:b/>
      <w:i/>
      <w:sz w:val="28"/>
      <w:lang w:val="en-US" w:eastAsia="zh-CN" w:bidi="ar-SA"/>
    </w:rPr>
  </w:style>
  <w:style w:type="paragraph" w:styleId="1081">
    <w:name w:val="xl47"/>
    <w:basedOn w:val="1008"/>
    <w:next w:val="1081"/>
    <w:link w:val="1008"/>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082">
    <w:name w:val="列出段落2"/>
    <w:basedOn w:val="1008"/>
    <w:next w:val="1082"/>
    <w:link w:val="1008"/>
    <w:pPr>
      <w:ind w:firstLine="420"/>
    </w:pPr>
    <w:rPr>
      <w:rFonts w:ascii="Calibri" w:hAnsi="Calibri" w:eastAsia="宋体" w:cs="Times New Roman"/>
      <w:szCs w:val="22"/>
    </w:rPr>
  </w:style>
  <w:style w:type="paragraph" w:styleId="1083">
    <w:name w:val="Heading 411"/>
    <w:basedOn w:val="1008"/>
    <w:next w:val="1008"/>
    <w:link w:val="1008"/>
    <w:pPr>
      <w:keepLines/>
      <w:keepNext/>
      <w:spacing w:before="280" w:after="280" w:line="384" w:lineRule="auto"/>
    </w:pPr>
    <w:rPr>
      <w:rFonts w:hint="eastAsia" w:ascii="黑体" w:hAnsi="Times New Roman" w:eastAsia="黑体" w:cs="Times New Roman"/>
      <w:b/>
      <w:sz w:val="28"/>
    </w:rPr>
  </w:style>
  <w:style w:type="paragraph" w:styleId="1084">
    <w:name w:val="List Paragraph"/>
    <w:basedOn w:val="1008"/>
    <w:next w:val="1084"/>
    <w:link w:val="1008"/>
    <w:pPr>
      <w:ind w:firstLine="420"/>
    </w:pPr>
    <w:rPr>
      <w:rFonts w:ascii="Calibri" w:hAnsi="Calibri" w:eastAsia="宋体" w:cs="Times New Roman"/>
      <w:szCs w:val="22"/>
    </w:rPr>
  </w:style>
  <w:style w:type="paragraph" w:styleId="1085">
    <w:name w:val="标题1"/>
    <w:basedOn w:val="1008"/>
    <w:next w:val="1008"/>
    <w:link w:val="1008"/>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1086">
    <w:name w:val="正文空2格  1."/>
    <w:basedOn w:val="1008"/>
    <w:next w:val="1086"/>
    <w:link w:val="1008"/>
    <w:pPr>
      <w:ind w:firstLine="480"/>
      <w:spacing w:line="360" w:lineRule="auto"/>
    </w:pPr>
    <w:rPr>
      <w:rFonts w:ascii="宋体" w:hAnsi="Times New Roman" w:eastAsia="仿宋" w:cs="宋体"/>
      <w:sz w:val="28"/>
      <w:szCs w:val="20"/>
    </w:rPr>
  </w:style>
  <w:style w:type="paragraph" w:styleId="1087">
    <w:name w:val="Blockquote"/>
    <w:basedOn w:val="1008"/>
    <w:next w:val="1087"/>
    <w:link w:val="1008"/>
    <w:pPr>
      <w:ind w:left="360" w:right="360"/>
      <w:jc w:val="left"/>
      <w:spacing w:before="100" w:after="100"/>
    </w:pPr>
    <w:rPr>
      <w:rFonts w:ascii="Times New Roman" w:hAnsi="Times New Roman" w:eastAsia="宋体" w:cs="Times New Roman"/>
      <w:sz w:val="24"/>
    </w:rPr>
  </w:style>
  <w:style w:type="paragraph" w:styleId="1088">
    <w:name w:val=" Char"/>
    <w:basedOn w:val="1008"/>
    <w:next w:val="1088"/>
    <w:link w:val="1008"/>
    <w:rPr>
      <w:rFonts w:ascii="Tahoma" w:hAnsi="Tahoma" w:eastAsia="宋体" w:cs="Times New Roman"/>
      <w:sz w:val="24"/>
      <w:szCs w:val="20"/>
    </w:rPr>
  </w:style>
  <w:style w:type="paragraph" w:styleId="1089">
    <w:name w:val="修订"/>
    <w:next w:val="1089"/>
    <w:link w:val="1008"/>
    <w:rPr>
      <w:sz w:val="21"/>
      <w:szCs w:val="24"/>
      <w:lang w:val="en-US" w:eastAsia="zh-CN" w:bidi="ar-SA"/>
    </w:rPr>
  </w:style>
  <w:style w:type="paragraph" w:styleId="1090">
    <w:name w:val="默认段落字体 Para Char Char Char Char Char Char Char Char Char1 Char Char Char Char Char Char Char"/>
    <w:basedOn w:val="1021"/>
    <w:next w:val="1090"/>
    <w:link w:val="1008"/>
    <w:rPr>
      <w:rFonts w:ascii="Tahoma" w:hAnsi="Tahoma" w:eastAsia="宋体" w:cs="Times New Roman"/>
      <w:sz w:val="24"/>
    </w:rPr>
  </w:style>
  <w:style w:type="paragraph" w:styleId="1091">
    <w:name w:val="正文 第一章"/>
    <w:basedOn w:val="1008"/>
    <w:next w:val="1092"/>
    <w:link w:val="1008"/>
    <w:pPr>
      <w:numPr>
        <w:ilvl w:val="0"/>
        <w:numId w:val="2"/>
      </w:numPr>
      <w:jc w:val="center"/>
      <w:pageBreakBefore/>
      <w:spacing w:before="240" w:after="240" w:line="480" w:lineRule="auto"/>
      <w:outlineLvl w:val="0"/>
    </w:pPr>
    <w:rPr>
      <w:rFonts w:ascii="黑体" w:hAnsi="宋体" w:eastAsia="黑体" w:cs="Times New Roman"/>
      <w:sz w:val="36"/>
      <w:szCs w:val="21"/>
    </w:rPr>
  </w:style>
  <w:style w:type="paragraph" w:styleId="1092">
    <w:name w:val="正文 1.1"/>
    <w:basedOn w:val="1008"/>
    <w:next w:val="1093"/>
    <w:link w:val="1008"/>
    <w:pPr>
      <w:numPr>
        <w:ilvl w:val="1"/>
        <w:numId w:val="2"/>
      </w:numPr>
      <w:ind w:left="980" w:hanging="980"/>
      <w:spacing w:line="360" w:lineRule="auto"/>
      <w:tabs>
        <w:tab w:val="clear" w:pos="851" w:leader="none"/>
      </w:tabs>
      <w:outlineLvl w:val="1"/>
    </w:pPr>
    <w:rPr>
      <w:rFonts w:ascii="仿宋" w:hAnsi="仿宋" w:eastAsia="仿宋" w:cs="Times New Roman"/>
      <w:b/>
      <w:sz w:val="28"/>
      <w:szCs w:val="21"/>
    </w:rPr>
  </w:style>
  <w:style w:type="paragraph" w:styleId="1093">
    <w:name w:val="正文 1.1.1"/>
    <w:basedOn w:val="1008"/>
    <w:next w:val="1008"/>
    <w:link w:val="1008"/>
    <w:pPr>
      <w:numPr>
        <w:ilvl w:val="2"/>
        <w:numId w:val="2"/>
      </w:numPr>
      <w:spacing w:line="360" w:lineRule="auto"/>
      <w:tabs>
        <w:tab w:val="left" w:pos="851" w:leader="none"/>
      </w:tabs>
      <w:outlineLvl w:val="2"/>
    </w:pPr>
    <w:rPr>
      <w:rFonts w:ascii="宋体" w:hAnsi="宋体" w:eastAsia="宋体" w:cs="Times New Roman"/>
      <w:color w:val="000000"/>
      <w:sz w:val="28"/>
      <w:szCs w:val="21"/>
    </w:rPr>
  </w:style>
  <w:style w:type="paragraph" w:styleId="1094">
    <w:name w:val="标题2"/>
    <w:basedOn w:val="1008"/>
    <w:next w:val="1008"/>
    <w:link w:val="1008"/>
    <w:pPr>
      <w:jc w:val="center"/>
    </w:pPr>
    <w:rPr>
      <w:rFonts w:ascii="Times New Roman" w:hAnsi="Times New Roman" w:eastAsia="方正楷体_GBK" w:cs="Times New Roman"/>
    </w:rPr>
  </w:style>
  <w:style w:type="paragraph" w:styleId="1095">
    <w:name w:val="Char"/>
    <w:basedOn w:val="1008"/>
    <w:next w:val="1095"/>
    <w:link w:val="1008"/>
    <w:pPr>
      <w:tabs>
        <w:tab w:val="left" w:pos="360" w:leader="none"/>
      </w:tabs>
    </w:pPr>
    <w:rPr>
      <w:rFonts w:ascii="Times New Roman" w:hAnsi="Times New Roman" w:eastAsia="宋体" w:cs="Times New Roman"/>
      <w:sz w:val="24"/>
    </w:rPr>
  </w:style>
  <w:style w:type="paragraph" w:styleId="1096">
    <w:name w:val="列出段落"/>
    <w:basedOn w:val="1008"/>
    <w:next w:val="1096"/>
    <w:link w:val="1008"/>
    <w:qFormat/>
    <w:pPr>
      <w:ind w:firstLine="420"/>
    </w:pPr>
    <w:rPr>
      <w:rFonts w:ascii="Calibri" w:hAnsi="Calibri" w:eastAsia="宋体" w:cs="Times New Roman"/>
      <w:szCs w:val="22"/>
    </w:rPr>
  </w:style>
  <w:style w:type="paragraph" w:styleId="1097">
    <w:name w:val="BioQuote Tekst"/>
    <w:basedOn w:val="1008"/>
    <w:next w:val="1097"/>
    <w:link w:val="1008"/>
    <w:pPr>
      <w:ind w:right="-1"/>
    </w:pPr>
    <w:rPr>
      <w:rFonts w:ascii="Arial" w:hAnsi="Arial" w:eastAsia="宋体" w:cs="Times New Roman"/>
      <w:sz w:val="22"/>
      <w:szCs w:val="20"/>
      <w:lang w:eastAsia="en-US"/>
    </w:rPr>
  </w:style>
  <w:style w:type="paragraph" w:styleId="1098">
    <w:name w:val="无间隔"/>
    <w:next w:val="1098"/>
    <w:link w:val="1008"/>
    <w:qFormat/>
    <w:pPr>
      <w:jc w:val="both"/>
      <w:widowControl w:val="off"/>
    </w:pPr>
    <w:rPr>
      <w:sz w:val="28"/>
      <w:lang w:val="en-US" w:eastAsia="zh-CN" w:bidi="ar-SA"/>
    </w:rPr>
  </w:style>
  <w:style w:type="paragraph" w:styleId="1099">
    <w:name w:val="Table Paragraph"/>
    <w:basedOn w:val="1008"/>
    <w:next w:val="1099"/>
    <w:link w:val="1008"/>
    <w:uiPriority w:val="1"/>
    <w:qFormat/>
    <w:rPr>
      <w:rFonts w:ascii="宋体" w:hAnsi="宋体" w:eastAsia="宋体" w:cs="宋体"/>
      <w:lang w:val="zh-CN" w:eastAsia="zh-CN" w:bidi="zh-CN"/>
    </w:rPr>
  </w:style>
  <w:style w:type="paragraph" w:styleId="1100">
    <w:name w:val=" Char Char Char Char1 Char Char"/>
    <w:basedOn w:val="1008"/>
    <w:next w:val="1100"/>
    <w:link w:val="1008"/>
    <w:pPr>
      <w:tabs>
        <w:tab w:val="left" w:pos="360" w:leader="none"/>
      </w:tabs>
    </w:pPr>
    <w:rPr>
      <w:rFonts w:ascii="Times New Roman" w:hAnsi="Times New Roman" w:eastAsia="宋体" w:cs="Times New Roman"/>
      <w:sz w:val="24"/>
    </w:rPr>
  </w:style>
  <w:style w:type="paragraph" w:styleId="1101">
    <w:name w:val="标书正文格式"/>
    <w:next w:val="1101"/>
    <w:link w:val="1008"/>
    <w:pPr>
      <w:ind w:firstLine="200"/>
      <w:spacing w:line="360" w:lineRule="auto"/>
    </w:pPr>
    <w:rPr>
      <w:rFonts w:eastAsia="楷体_GB2312"/>
      <w:sz w:val="24"/>
      <w:szCs w:val="24"/>
      <w:lang w:val="en-US" w:eastAsia="zh-CN" w:bidi="ar-SA"/>
    </w:rPr>
  </w:style>
  <w:style w:type="paragraph" w:styleId="1102">
    <w:name w:val="标题3"/>
    <w:basedOn w:val="1008"/>
    <w:next w:val="1008"/>
    <w:link w:val="1008"/>
    <w:rPr>
      <w:rFonts w:ascii="Times New Roman" w:hAnsi="Times New Roman" w:eastAsia="方正黑体_GBK" w:cs="Times New Roman"/>
    </w:rPr>
  </w:style>
  <w:style w:type="paragraph" w:styleId="1103">
    <w:name w:val="HTML 预先格式化"/>
    <w:basedOn w:val="1008"/>
    <w:next w:val="1103"/>
    <w:link w:val="100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104">
    <w:name w:val="Char Char Char Char"/>
    <w:basedOn w:val="1021"/>
    <w:next w:val="1104"/>
    <w:link w:val="1008"/>
    <w:pPr>
      <w:spacing w:line="360" w:lineRule="auto"/>
    </w:pPr>
    <w:rPr>
      <w:rFonts w:ascii="Tahoma" w:hAnsi="Tahoma" w:eastAsia="宋体" w:cs="Times New Roman"/>
      <w:sz w:val="24"/>
    </w:rPr>
  </w:style>
  <w:style w:type="paragraph" w:styleId="1105">
    <w:name w:val="WPSOffice手动目录 1"/>
    <w:next w:val="1105"/>
    <w:link w:val="1008"/>
    <w:rPr>
      <w:lang w:val="en-US" w:eastAsia="zh-CN" w:bidi="ar-SA"/>
    </w:rPr>
  </w:style>
  <w:style w:type="paragraph" w:styleId="1106">
    <w:name w:val="表格正文"/>
    <w:basedOn w:val="1008"/>
    <w:next w:val="1106"/>
    <w:link w:val="1008"/>
    <w:rPr>
      <w:rFonts w:ascii="宋体" w:hAnsi="宋体" w:eastAsia="宋体" w:cs="Times New Roman"/>
      <w:szCs w:val="21"/>
    </w:rPr>
  </w:style>
  <w:style w:type="paragraph" w:styleId="1107">
    <w:name w:val="正文1"/>
    <w:basedOn w:val="1008"/>
    <w:next w:val="1107"/>
    <w:link w:val="1008"/>
    <w:pPr>
      <w:ind w:firstLine="566"/>
      <w:spacing w:line="360" w:lineRule="auto"/>
    </w:pPr>
    <w:rPr>
      <w:rFonts w:ascii="仿宋_GB2312" w:hAnsi="宋体" w:eastAsia="仿宋_GB2312" w:cs="Times New Roman"/>
      <w:sz w:val="28"/>
      <w:szCs w:val="20"/>
    </w:rPr>
  </w:style>
  <w:style w:type="paragraph" w:styleId="1108">
    <w:name w:val="Blockquote11"/>
    <w:basedOn w:val="1008"/>
    <w:next w:val="1108"/>
    <w:link w:val="1008"/>
    <w:pPr>
      <w:ind w:left="360" w:right="360"/>
      <w:jc w:val="left"/>
      <w:spacing w:before="100" w:after="100"/>
    </w:pPr>
    <w:rPr>
      <w:rFonts w:hint="eastAsia" w:ascii="Times New Roman" w:hAnsi="Times New Roman" w:eastAsia="宋体" w:cs="Times New Roman"/>
      <w:sz w:val="24"/>
    </w:rPr>
  </w:style>
  <w:style w:type="paragraph" w:styleId="1109">
    <w:name w:val="Coms Alinea"/>
    <w:next w:val="1109"/>
    <w:link w:val="1008"/>
    <w:pPr>
      <w:widowControl w:val="off"/>
    </w:pPr>
    <w:rPr>
      <w:rFonts w:ascii="Arial" w:hAnsi="Arial" w:cs="Arial"/>
      <w:lang w:val="en-US" w:eastAsia="zh-CN" w:bidi="ar-SA"/>
    </w:rPr>
  </w:style>
  <w:style w:type="paragraph" w:styleId="1110">
    <w:name w:val="Table Text"/>
    <w:next w:val="1110"/>
    <w:link w:val="1008"/>
    <w:pPr>
      <w:jc w:val="center"/>
      <w:spacing w:before="143" w:after="80"/>
    </w:pPr>
    <w:rPr>
      <w:rFonts w:ascii="仿宋_GB2312" w:hAnsi="宋体" w:eastAsia="仿宋_GB2312"/>
      <w:sz w:val="24"/>
      <w:lang w:val="en-US" w:eastAsia="zh-CN" w:bidi="ar-SA"/>
    </w:rPr>
  </w:style>
  <w:style w:type="paragraph" w:styleId="1111">
    <w:name w:val="普通正文"/>
    <w:basedOn w:val="1008"/>
    <w:next w:val="1111"/>
    <w:link w:val="1008"/>
    <w:pPr>
      <w:ind w:firstLine="480"/>
      <w:jc w:val="left"/>
      <w:spacing w:before="120" w:after="120" w:line="360" w:lineRule="auto"/>
    </w:pPr>
    <w:rPr>
      <w:rFonts w:ascii="Arial" w:hAnsi="Arial" w:eastAsia="宋体" w:cs="Times New Roman"/>
      <w:sz w:val="24"/>
    </w:rPr>
  </w:style>
  <w:style w:type="paragraph" w:styleId="1112">
    <w:name w:val="p0"/>
    <w:basedOn w:val="1008"/>
    <w:next w:val="1112"/>
    <w:link w:val="1008"/>
    <w:pPr>
      <w:spacing w:line="292" w:lineRule="auto"/>
      <w:widowControl/>
    </w:pPr>
    <w:rPr>
      <w:rFonts w:ascii="方正仿宋_GBK" w:hAnsi="方正仿宋_GBK" w:eastAsia="宋体" w:cs="宋体"/>
      <w:sz w:val="32"/>
      <w:szCs w:val="32"/>
    </w:rPr>
  </w:style>
  <w:style w:type="paragraph" w:styleId="1113">
    <w:name w:val="第四级"/>
    <w:basedOn w:val="1008"/>
    <w:next w:val="1008"/>
    <w:link w:val="1008"/>
    <w:pPr>
      <w:numPr>
        <w:ilvl w:val="3"/>
        <w:numId w:val="2"/>
      </w:numPr>
      <w:spacing w:line="360" w:lineRule="auto"/>
      <w:tabs>
        <w:tab w:val="left" w:pos="1134" w:leader="none"/>
      </w:tabs>
    </w:pPr>
    <w:rPr>
      <w:rFonts w:ascii="宋体" w:hAnsi="宋体" w:eastAsia="仿宋" w:cs="Times New Roman"/>
      <w:sz w:val="28"/>
      <w:szCs w:val="21"/>
    </w:rPr>
  </w:style>
  <w:style w:type="paragraph" w:styleId="1114">
    <w:name w:val="表格"/>
    <w:basedOn w:val="1008"/>
    <w:next w:val="1114"/>
    <w:link w:val="1008"/>
    <w:qFormat/>
    <w:pPr>
      <w:jc w:val="center"/>
      <w:spacing w:line="360" w:lineRule="exact"/>
    </w:pPr>
    <w:rPr>
      <w:sz w:val="28"/>
      <w:szCs w:val="21"/>
    </w:rPr>
  </w:style>
  <w:style w:type="character" w:styleId="1115">
    <w:name w:val="NormalCharacter1"/>
    <w:next w:val="1115"/>
    <w:link w:val="1008"/>
    <w:qFormat/>
  </w:style>
  <w:style w:type="paragraph" w:styleId="1116">
    <w:name w:val="正文_2"/>
    <w:next w:val="1116"/>
    <w:link w:val="1008"/>
    <w:qFormat/>
    <w:pPr>
      <w:jc w:val="both"/>
      <w:widowControl w:val="off"/>
    </w:pPr>
    <w:rPr>
      <w:sz w:val="21"/>
      <w:szCs w:val="24"/>
      <w:lang w:val="en-US" w:eastAsia="zh-CN" w:bidi="ar-SA"/>
    </w:rPr>
  </w:style>
  <w:style w:type="paragraph" w:styleId="1117">
    <w:name w:val="正文缩进_0"/>
    <w:basedOn w:val="1116"/>
    <w:next w:val="1117"/>
    <w:link w:val="1008"/>
    <w:pPr>
      <w:ind w:firstLine="420"/>
    </w:pPr>
    <w:rPr>
      <w:b/>
      <w:sz w:val="24"/>
      <w:szCs w:val="20"/>
    </w:rPr>
  </w:style>
  <w:style w:type="paragraph" w:styleId="1118">
    <w:name w:val="正文11"/>
    <w:next w:val="1119"/>
    <w:link w:val="1008"/>
    <w:qFormat/>
    <w:pPr>
      <w:jc w:val="both"/>
    </w:pPr>
    <w:rPr>
      <w:lang w:val="en-US" w:eastAsia="zh-CN" w:bidi="ar-SA"/>
    </w:rPr>
  </w:style>
  <w:style w:type="paragraph" w:styleId="1119">
    <w:name w:val="文本块1"/>
    <w:basedOn w:val="1118"/>
    <w:next w:val="1119"/>
    <w:link w:val="1008"/>
    <w:qFormat/>
    <w:pPr>
      <w:ind w:left="256" w:right="6" w:firstLine="624"/>
    </w:pPr>
    <w:rPr>
      <w:rFonts w:eastAsia="仿宋_GB2312"/>
      <w:sz w:val="28"/>
    </w:rPr>
  </w:style>
  <w:style w:type="character" w:styleId="1120">
    <w:name w:val="grame"/>
    <w:next w:val="1120"/>
    <w:link w:val="1008"/>
  </w:style>
  <w:style w:type="paragraph" w:styleId="1121">
    <w:name w:val="Heading11"/>
    <w:next w:val="1008"/>
    <w:link w:val="1008"/>
    <w:qFormat/>
    <w:pPr>
      <w:jc w:val="both"/>
      <w:keepNext/>
      <w:widowControl w:val="off"/>
    </w:pPr>
    <w:rPr>
      <w:rFonts w:ascii="等线 Light" w:eastAsia="等线 Light"/>
      <w:sz w:val="28"/>
      <w:lang w:val="en-US" w:eastAsia="zh-CN" w:bidi="ar-SA"/>
    </w:rPr>
  </w:style>
  <w:style w:type="paragraph" w:styleId="1122">
    <w:name w:val="表头"/>
    <w:basedOn w:val="1008"/>
    <w:next w:val="1122"/>
    <w:link w:val="1008"/>
    <w:qFormat/>
    <w:pPr>
      <w:spacing w:before="60" w:after="60" w:line="420" w:lineRule="atLeast"/>
    </w:pPr>
    <w:rPr>
      <w:rFonts w:ascii="黑体" w:eastAsia="黑体"/>
      <w:b/>
      <w:szCs w:val="20"/>
    </w:rPr>
  </w:style>
  <w:style w:type="character" w:styleId="1123">
    <w:name w:val="apple-converted-space"/>
    <w:next w:val="1123"/>
    <w:link w:val="1008"/>
    <w:qFormat/>
  </w:style>
  <w:style w:type="paragraph" w:styleId="1124">
    <w:name w:val="普通(网站)1"/>
    <w:basedOn w:val="1008"/>
    <w:next w:val="1124"/>
    <w:link w:val="1008"/>
    <w:uiPriority w:val="99"/>
    <w:qFormat/>
    <w:pPr>
      <w:jc w:val="left"/>
      <w:spacing w:before="100" w:beforeAutospacing="1" w:after="100" w:afterAutospacing="1"/>
      <w:widowControl/>
    </w:pPr>
    <w:rPr>
      <w:rFonts w:ascii="宋体" w:hAnsi="宋体" w:cs="宋体"/>
      <w:sz w:val="24"/>
    </w:rPr>
  </w:style>
  <w:style w:type="paragraph" w:styleId="1125">
    <w:name w:val="纯文本1"/>
    <w:basedOn w:val="1008"/>
    <w:next w:val="1125"/>
    <w:link w:val="1008"/>
    <w:uiPriority w:val="99"/>
    <w:qFormat/>
    <w:rPr>
      <w:rFonts w:ascii="宋体" w:hAnsi="Courier New"/>
      <w:szCs w:val="20"/>
    </w:rPr>
  </w:style>
  <w:style w:type="paragraph" w:styleId="1126">
    <w:name w:val="标题 11"/>
    <w:basedOn w:val="1008"/>
    <w:next w:val="1008"/>
    <w:link w:val="1008"/>
    <w:qFormat/>
    <w:pPr>
      <w:jc w:val="center"/>
      <w:keepNext/>
      <w:outlineLvl w:val="0"/>
    </w:pPr>
    <w:rPr>
      <w:rFonts w:ascii="楷体_GB2312" w:eastAsia="楷体_GB2312"/>
      <w:sz w:val="28"/>
      <w:szCs w:val="28"/>
      <w:lang w:val="en-US" w:eastAsia="en-US"/>
    </w:rPr>
  </w:style>
  <w:style w:type="paragraph" w:styleId="1127">
    <w:name w:val="正文文本缩进1"/>
    <w:basedOn w:val="1008"/>
    <w:next w:val="1128"/>
    <w:link w:val="1008"/>
    <w:qFormat/>
    <w:pPr>
      <w:ind w:firstLine="645"/>
    </w:pPr>
    <w:rPr>
      <w:rFonts w:ascii="楷体_GB2312" w:hAnsi="Times New Roman" w:eastAsia="楷体_GB2312" w:cs="Times New Roman"/>
      <w:sz w:val="32"/>
      <w:szCs w:val="32"/>
    </w:rPr>
  </w:style>
  <w:style w:type="paragraph" w:styleId="1128">
    <w:name w:val="寄信人地址1"/>
    <w:basedOn w:val="1008"/>
    <w:next w:val="1128"/>
    <w:link w:val="1008"/>
    <w:qFormat/>
    <w:rPr>
      <w:rFonts w:ascii="Arial" w:hAnsi="Arial" w:eastAsia="宋体" w:cs="Times New Roman"/>
    </w:rPr>
  </w:style>
  <w:style w:type="paragraph" w:styleId="1129">
    <w:name w:val="正文文本1"/>
    <w:basedOn w:val="1008"/>
    <w:next w:val="1008"/>
    <w:link w:val="1008"/>
    <w:qFormat/>
    <w:rPr>
      <w:rFonts w:ascii="楷体_GB2312" w:hAnsi="Arial" w:eastAsia="楷体_GB2312" w:cs="Times New Roman"/>
      <w:sz w:val="28"/>
      <w:szCs w:val="28"/>
    </w:rPr>
  </w:style>
  <w:style w:type="paragraph" w:styleId="1130">
    <w:name w:val="Char1"/>
    <w:basedOn w:val="1008"/>
    <w:next w:val="1130"/>
    <w:link w:val="1008"/>
    <w:qFormat/>
    <w:pPr>
      <w:ind w:firstLine="200"/>
      <w:tabs>
        <w:tab w:val="left" w:pos="360" w:leader="none"/>
      </w:tabs>
    </w:pPr>
    <w:rPr>
      <w:sz w:val="28"/>
      <w:szCs w:val="30"/>
    </w:rPr>
  </w:style>
  <w:style w:type="paragraph" w:styleId="1131">
    <w:name w:val="列出段落3"/>
    <w:basedOn w:val="1008"/>
    <w:next w:val="1131"/>
    <w:link w:val="1008"/>
    <w:qFormat/>
    <w:pPr>
      <w:ind w:firstLine="420"/>
    </w:pPr>
    <w:rPr>
      <w:szCs w:val="20"/>
    </w:rPr>
  </w:style>
  <w:style w:type="character" w:styleId="1132" w:default="1">
    <w:name w:val="Default Paragraph Font"/>
    <w:uiPriority w:val="1"/>
    <w:semiHidden/>
    <w:unhideWhenUsed/>
  </w:style>
  <w:style w:type="numbering" w:styleId="1133" w:default="1">
    <w:name w:val="No List"/>
    <w:uiPriority w:val="99"/>
    <w:semiHidden/>
    <w:unhideWhenUsed/>
  </w:style>
  <w:style w:type="table" w:styleId="11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蔡海</dc:creator>
  <cp:lastModifiedBy>蔡海云</cp:lastModifiedBy>
  <cp:revision>9</cp:revision>
  <dcterms:created xsi:type="dcterms:W3CDTF">2024-07-04T09:53:00Z</dcterms:created>
  <dcterms:modified xsi:type="dcterms:W3CDTF">2024-07-05T08:15:51Z</dcterms:modified>
</cp:coreProperties>
</file>