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E43FC">
      <w:pPr>
        <w:rPr>
          <w:highlight w:val="none"/>
        </w:rPr>
      </w:pPr>
      <w:bookmarkStart w:id="0" w:name="EBaddf5a20ddec4a45badb628643bc3e2d"/>
      <w:r>
        <w:rPr>
          <w:rFonts w:hint="eastAsia" w:ascii="华文琥珀" w:eastAsia="华文琥珀"/>
          <w:sz w:val="44"/>
          <w:szCs w:val="44"/>
          <w:highlight w:val="none"/>
        </w:rPr>
        <w:drawing>
          <wp:anchor distT="0" distB="0" distL="114300" distR="114300" simplePos="0" relativeHeight="251660288" behindDoc="1" locked="0" layoutInCell="1" allowOverlap="1">
            <wp:simplePos x="0" y="0"/>
            <wp:positionH relativeFrom="column">
              <wp:posOffset>-122555</wp:posOffset>
            </wp:positionH>
            <wp:positionV relativeFrom="paragraph">
              <wp:posOffset>-154940</wp:posOffset>
            </wp:positionV>
            <wp:extent cx="1824990" cy="1315720"/>
            <wp:effectExtent l="0" t="0" r="0" b="0"/>
            <wp:wrapTight wrapText="bothSides">
              <wp:wrapPolygon>
                <wp:start x="21592" y="-2"/>
                <wp:lineTo x="0" y="0"/>
                <wp:lineTo x="0" y="21600"/>
                <wp:lineTo x="21592" y="21602"/>
                <wp:lineTo x="8" y="21602"/>
                <wp:lineTo x="21600" y="21600"/>
                <wp:lineTo x="21600" y="0"/>
                <wp:lineTo x="8" y="-2"/>
                <wp:lineTo x="21592" y="-2"/>
              </wp:wrapPolygon>
            </wp:wrapTight>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1824990" cy="1315720"/>
                    </a:xfrm>
                    <a:prstGeom prst="rect">
                      <a:avLst/>
                    </a:prstGeom>
                    <a:noFill/>
                    <a:ln>
                      <a:noFill/>
                    </a:ln>
                  </pic:spPr>
                </pic:pic>
              </a:graphicData>
            </a:graphic>
          </wp:anchor>
        </w:drawing>
      </w:r>
      <w:r>
        <w:rPr>
          <w:rFonts w:hint="eastAsia"/>
          <w:color w:val="000080"/>
          <w:sz w:val="20"/>
          <w:highlight w:val="none"/>
        </w:rPr>
        <w:t xml:space="preserve"> </w:t>
      </w:r>
      <w:bookmarkEnd w:id="0"/>
      <w:bookmarkStart w:id="1" w:name="EBc1c964fd06f847058d3fdc2c2ed70bc5"/>
      <w:r>
        <w:rPr>
          <w:rFonts w:hint="eastAsia"/>
          <w:color w:val="000080"/>
          <w:sz w:val="20"/>
          <w:highlight w:val="none"/>
        </w:rPr>
        <w:t xml:space="preserve"> </w:t>
      </w:r>
      <w:bookmarkEnd w:id="1"/>
    </w:p>
    <w:p w14:paraId="7810C974">
      <w:pPr>
        <w:rPr>
          <w:highlight w:val="none"/>
        </w:rPr>
      </w:pPr>
    </w:p>
    <w:p w14:paraId="31FEE2DD">
      <w:pPr>
        <w:jc w:val="right"/>
        <w:rPr>
          <w:rFonts w:ascii="华文琥珀" w:eastAsia="华文琥珀"/>
          <w:sz w:val="44"/>
          <w:szCs w:val="44"/>
          <w:highlight w:val="none"/>
        </w:rPr>
      </w:pPr>
    </w:p>
    <w:p w14:paraId="0F500306">
      <w:pPr>
        <w:rPr>
          <w:rFonts w:ascii="华文琥珀" w:eastAsia="华文琥珀"/>
          <w:sz w:val="36"/>
          <w:szCs w:val="36"/>
          <w:highlight w:val="none"/>
        </w:rPr>
      </w:pPr>
    </w:p>
    <w:p w14:paraId="49F74CAE">
      <w:pPr>
        <w:rPr>
          <w:rFonts w:ascii="华文琥珀" w:eastAsia="华文琥珀"/>
          <w:sz w:val="10"/>
          <w:szCs w:val="10"/>
          <w:highlight w:val="none"/>
        </w:rPr>
      </w:pPr>
    </w:p>
    <w:p w14:paraId="7CA8F063">
      <w:pPr>
        <w:rPr>
          <w:rFonts w:ascii="华文琥珀" w:eastAsia="华文琥珀"/>
          <w:sz w:val="21"/>
          <w:szCs w:val="21"/>
          <w:highlight w:val="none"/>
        </w:rPr>
      </w:pPr>
    </w:p>
    <w:p w14:paraId="4F026DB6">
      <w:pPr>
        <w:spacing w:line="360" w:lineRule="auto"/>
        <w:ind w:right="120" w:rightChars="50"/>
        <w:jc w:val="both"/>
        <w:rPr>
          <w:rFonts w:hint="eastAsia" w:ascii="仿宋" w:hAnsi="仿宋" w:eastAsia="仿宋" w:cs="仿宋"/>
          <w:b/>
          <w:bCs/>
          <w:kern w:val="2"/>
          <w:sz w:val="60"/>
          <w:szCs w:val="60"/>
          <w:highlight w:val="none"/>
        </w:rPr>
      </w:pPr>
      <w:bookmarkStart w:id="2" w:name="_Toc5147"/>
    </w:p>
    <w:bookmarkEnd w:id="2"/>
    <w:p w14:paraId="06D2AA98">
      <w:pPr>
        <w:spacing w:line="360" w:lineRule="auto"/>
        <w:ind w:right="120" w:rightChars="50"/>
        <w:jc w:val="center"/>
        <w:rPr>
          <w:rFonts w:hint="eastAsia" w:ascii="仿宋" w:hAnsi="仿宋" w:eastAsia="仿宋" w:cs="仿宋"/>
          <w:b/>
          <w:bCs/>
          <w:sz w:val="96"/>
          <w:szCs w:val="96"/>
          <w:highlight w:val="none"/>
          <w:lang w:eastAsia="zh-CN"/>
        </w:rPr>
      </w:pPr>
      <w:r>
        <w:rPr>
          <w:rFonts w:hint="eastAsia" w:ascii="仿宋" w:hAnsi="仿宋" w:eastAsia="仿宋" w:cs="仿宋"/>
          <w:b/>
          <w:bCs/>
          <w:kern w:val="2"/>
          <w:sz w:val="60"/>
          <w:szCs w:val="60"/>
          <w:highlight w:val="none"/>
          <w:lang w:eastAsia="zh-CN"/>
        </w:rPr>
        <w:t>江苏省第二中医院成本管理系统</w:t>
      </w:r>
    </w:p>
    <w:p w14:paraId="6A288B30">
      <w:pPr>
        <w:ind w:right="120"/>
        <w:jc w:val="both"/>
        <w:rPr>
          <w:rFonts w:ascii="仿宋" w:hAnsi="仿宋" w:eastAsia="仿宋" w:cs="仿宋"/>
          <w:b/>
          <w:bCs/>
          <w:sz w:val="28"/>
          <w:szCs w:val="28"/>
          <w:highlight w:val="none"/>
        </w:rPr>
      </w:pPr>
    </w:p>
    <w:p w14:paraId="2B2AA759">
      <w:pPr>
        <w:ind w:right="120"/>
        <w:jc w:val="both"/>
        <w:rPr>
          <w:rFonts w:ascii="仿宋" w:hAnsi="仿宋" w:eastAsia="仿宋" w:cs="仿宋"/>
          <w:b/>
          <w:bCs/>
          <w:sz w:val="28"/>
          <w:szCs w:val="28"/>
          <w:highlight w:val="none"/>
        </w:rPr>
      </w:pPr>
    </w:p>
    <w:p w14:paraId="442750D0">
      <w:pPr>
        <w:ind w:right="120"/>
        <w:jc w:val="center"/>
        <w:rPr>
          <w:rFonts w:ascii="仿宋" w:hAnsi="仿宋" w:eastAsia="仿宋" w:cs="仿宋"/>
          <w:b/>
          <w:bCs/>
          <w:sz w:val="82"/>
          <w:szCs w:val="82"/>
          <w:highlight w:val="none"/>
        </w:rPr>
      </w:pPr>
    </w:p>
    <w:p w14:paraId="5FC68FAA">
      <w:pPr>
        <w:spacing w:line="360" w:lineRule="auto"/>
        <w:ind w:right="120" w:rightChars="50"/>
        <w:jc w:val="center"/>
        <w:rPr>
          <w:rFonts w:ascii="仿宋" w:hAnsi="仿宋" w:eastAsia="仿宋" w:cs="仿宋"/>
          <w:b/>
          <w:bCs/>
          <w:kern w:val="2"/>
          <w:sz w:val="72"/>
          <w:szCs w:val="72"/>
          <w:highlight w:val="none"/>
        </w:rPr>
      </w:pPr>
      <w:r>
        <w:rPr>
          <w:rFonts w:hint="eastAsia" w:ascii="仿宋" w:hAnsi="仿宋" w:eastAsia="仿宋" w:cs="仿宋"/>
          <w:b/>
          <w:bCs/>
          <w:kern w:val="2"/>
          <w:sz w:val="72"/>
          <w:szCs w:val="72"/>
          <w:highlight w:val="none"/>
        </w:rPr>
        <w:t>招标文件</w:t>
      </w:r>
    </w:p>
    <w:p w14:paraId="5CFDCDD5">
      <w:pPr>
        <w:spacing w:line="500" w:lineRule="exact"/>
        <w:ind w:firstLine="1980"/>
        <w:jc w:val="left"/>
        <w:rPr>
          <w:rFonts w:ascii="仿宋" w:hAnsi="仿宋" w:eastAsia="仿宋" w:cs="仿宋"/>
          <w:b/>
          <w:bCs/>
          <w:sz w:val="36"/>
          <w:szCs w:val="36"/>
          <w:highlight w:val="none"/>
        </w:rPr>
      </w:pPr>
    </w:p>
    <w:p w14:paraId="3D513F68">
      <w:pPr>
        <w:spacing w:line="500" w:lineRule="exact"/>
        <w:ind w:firstLine="1980"/>
        <w:jc w:val="left"/>
        <w:rPr>
          <w:rFonts w:ascii="仿宋" w:hAnsi="仿宋" w:eastAsia="仿宋" w:cs="仿宋"/>
          <w:b/>
          <w:bCs/>
          <w:sz w:val="36"/>
          <w:szCs w:val="36"/>
          <w:highlight w:val="none"/>
        </w:rPr>
      </w:pPr>
    </w:p>
    <w:p w14:paraId="099B9A85">
      <w:pPr>
        <w:spacing w:line="360" w:lineRule="auto"/>
        <w:ind w:right="120" w:rightChars="50"/>
        <w:jc w:val="center"/>
        <w:rPr>
          <w:rFonts w:hint="eastAsia" w:ascii="仿宋" w:hAnsi="仿宋" w:eastAsia="仿宋" w:cs="仿宋"/>
          <w:kern w:val="2"/>
          <w:sz w:val="40"/>
          <w:szCs w:val="40"/>
          <w:highlight w:val="none"/>
          <w:lang w:eastAsia="zh-CN"/>
        </w:rPr>
      </w:pPr>
      <w:r>
        <w:rPr>
          <w:rFonts w:hint="eastAsia" w:ascii="仿宋" w:hAnsi="仿宋" w:eastAsia="仿宋" w:cs="仿宋"/>
          <w:kern w:val="2"/>
          <w:sz w:val="40"/>
          <w:szCs w:val="40"/>
          <w:highlight w:val="none"/>
        </w:rPr>
        <w:t>项目编号：</w:t>
      </w:r>
      <w:r>
        <w:rPr>
          <w:rFonts w:hint="eastAsia" w:ascii="仿宋" w:hAnsi="仿宋" w:eastAsia="仿宋" w:cs="仿宋"/>
          <w:sz w:val="40"/>
          <w:szCs w:val="40"/>
          <w:lang w:eastAsia="zh-CN"/>
        </w:rPr>
        <w:t>JSZC-320000-NJXD-G2025-0050</w:t>
      </w:r>
    </w:p>
    <w:p w14:paraId="2CFD599D">
      <w:pPr>
        <w:spacing w:line="500" w:lineRule="exact"/>
        <w:jc w:val="left"/>
        <w:rPr>
          <w:rFonts w:ascii="仿宋" w:hAnsi="仿宋" w:eastAsia="仿宋" w:cs="仿宋"/>
          <w:b/>
          <w:bCs/>
          <w:sz w:val="36"/>
          <w:szCs w:val="36"/>
          <w:highlight w:val="none"/>
        </w:rPr>
      </w:pPr>
    </w:p>
    <w:p w14:paraId="513569C1">
      <w:pPr>
        <w:spacing w:line="500" w:lineRule="exact"/>
        <w:jc w:val="left"/>
        <w:rPr>
          <w:rFonts w:ascii="仿宋" w:hAnsi="仿宋" w:eastAsia="仿宋" w:cs="仿宋"/>
          <w:b/>
          <w:bCs/>
          <w:sz w:val="36"/>
          <w:szCs w:val="36"/>
          <w:highlight w:val="none"/>
        </w:rPr>
      </w:pPr>
    </w:p>
    <w:p w14:paraId="1168C4BB">
      <w:pPr>
        <w:spacing w:line="500" w:lineRule="exact"/>
        <w:ind w:firstLine="1980"/>
        <w:jc w:val="left"/>
        <w:rPr>
          <w:rFonts w:ascii="仿宋" w:hAnsi="仿宋" w:eastAsia="仿宋" w:cs="仿宋"/>
          <w:b/>
          <w:bCs/>
          <w:sz w:val="36"/>
          <w:szCs w:val="36"/>
          <w:highlight w:val="none"/>
        </w:rPr>
      </w:pPr>
    </w:p>
    <w:p w14:paraId="7610839F">
      <w:pPr>
        <w:rPr>
          <w:rFonts w:ascii="仿宋" w:hAnsi="仿宋" w:eastAsia="仿宋" w:cs="仿宋"/>
          <w:b/>
          <w:bCs/>
          <w:sz w:val="36"/>
          <w:szCs w:val="36"/>
          <w:highlight w:val="none"/>
        </w:rPr>
      </w:pPr>
    </w:p>
    <w:p w14:paraId="0C2D1BC8">
      <w:pPr>
        <w:rPr>
          <w:rFonts w:ascii="仿宋" w:hAnsi="仿宋" w:eastAsia="仿宋" w:cs="仿宋"/>
          <w:b/>
          <w:bCs/>
          <w:sz w:val="20"/>
          <w:highlight w:val="none"/>
        </w:rPr>
      </w:pPr>
    </w:p>
    <w:p w14:paraId="4EE8DAD4">
      <w:pPr>
        <w:autoSpaceDE w:val="0"/>
        <w:autoSpaceDN w:val="0"/>
        <w:adjustRightInd w:val="0"/>
        <w:spacing w:line="360" w:lineRule="auto"/>
        <w:jc w:val="center"/>
        <w:rPr>
          <w:rFonts w:ascii="仿宋" w:hAnsi="仿宋" w:eastAsia="仿宋" w:cs="仿宋"/>
          <w:color w:val="000000"/>
          <w:sz w:val="36"/>
          <w:szCs w:val="36"/>
          <w:highlight w:val="none"/>
        </w:rPr>
      </w:pPr>
      <w:r>
        <w:rPr>
          <w:rFonts w:hint="eastAsia" w:ascii="仿宋" w:hAnsi="仿宋" w:eastAsia="仿宋" w:cs="仿宋"/>
          <w:color w:val="000000"/>
          <w:sz w:val="36"/>
          <w:szCs w:val="36"/>
          <w:highlight w:val="none"/>
          <w:lang w:val="en-US" w:eastAsia="zh-CN"/>
        </w:rPr>
        <w:t>采购</w:t>
      </w:r>
      <w:r>
        <w:rPr>
          <w:rFonts w:hint="eastAsia" w:ascii="仿宋" w:hAnsi="仿宋" w:eastAsia="仿宋" w:cs="仿宋"/>
          <w:color w:val="000000"/>
          <w:sz w:val="36"/>
          <w:szCs w:val="36"/>
          <w:highlight w:val="none"/>
        </w:rPr>
        <w:t>代理机构</w:t>
      </w:r>
      <w:r>
        <w:rPr>
          <w:rFonts w:hint="eastAsia" w:ascii="仿宋" w:hAnsi="仿宋" w:eastAsia="仿宋" w:cs="仿宋"/>
          <w:color w:val="000000"/>
          <w:sz w:val="36"/>
          <w:szCs w:val="36"/>
          <w:highlight w:val="none"/>
          <w:lang w:eastAsia="zh-CN"/>
        </w:rPr>
        <w:t>：</w:t>
      </w:r>
      <w:r>
        <w:rPr>
          <w:rFonts w:hint="eastAsia" w:ascii="仿宋" w:hAnsi="仿宋" w:eastAsia="仿宋" w:cs="仿宋"/>
          <w:color w:val="000000"/>
          <w:sz w:val="36"/>
          <w:szCs w:val="36"/>
          <w:highlight w:val="none"/>
        </w:rPr>
        <w:t>南京相度工程咨询有限公司</w:t>
      </w:r>
    </w:p>
    <w:p w14:paraId="0EB57971">
      <w:pPr>
        <w:jc w:val="center"/>
        <w:rPr>
          <w:rFonts w:ascii="仿宋" w:hAnsi="仿宋" w:eastAsia="仿宋" w:cs="仿宋"/>
          <w:highlight w:val="none"/>
        </w:rPr>
      </w:pPr>
      <w:r>
        <w:rPr>
          <w:rFonts w:hint="eastAsia" w:ascii="仿宋" w:hAnsi="仿宋" w:eastAsia="仿宋" w:cs="仿宋"/>
          <w:color w:val="000000"/>
          <w:sz w:val="36"/>
          <w:szCs w:val="36"/>
          <w:highlight w:val="none"/>
        </w:rPr>
        <w:t>日期</w:t>
      </w:r>
      <w:r>
        <w:rPr>
          <w:rFonts w:hint="eastAsia" w:ascii="仿宋" w:hAnsi="仿宋" w:eastAsia="仿宋" w:cs="仿宋"/>
          <w:color w:val="000000"/>
          <w:sz w:val="36"/>
          <w:szCs w:val="36"/>
          <w:highlight w:val="none"/>
          <w:lang w:eastAsia="zh-CN"/>
        </w:rPr>
        <w:t>：</w:t>
      </w:r>
      <w:r>
        <w:rPr>
          <w:rFonts w:hint="eastAsia" w:ascii="仿宋" w:hAnsi="仿宋" w:eastAsia="仿宋" w:cs="仿宋"/>
          <w:color w:val="000000"/>
          <w:sz w:val="36"/>
          <w:szCs w:val="36"/>
        </w:rPr>
        <w:t>2025年</w:t>
      </w:r>
      <w:r>
        <w:rPr>
          <w:rFonts w:hint="eastAsia" w:ascii="仿宋" w:hAnsi="仿宋" w:eastAsia="仿宋" w:cs="仿宋"/>
          <w:color w:val="000000"/>
          <w:sz w:val="36"/>
          <w:szCs w:val="36"/>
          <w:lang w:val="en-US" w:eastAsia="zh-CN"/>
        </w:rPr>
        <w:t>9</w:t>
      </w:r>
      <w:r>
        <w:rPr>
          <w:rFonts w:hint="eastAsia" w:ascii="仿宋" w:hAnsi="仿宋" w:eastAsia="仿宋" w:cs="仿宋"/>
          <w:color w:val="000000"/>
          <w:sz w:val="36"/>
          <w:szCs w:val="36"/>
          <w:highlight w:val="none"/>
        </w:rPr>
        <w:t>月</w:t>
      </w:r>
    </w:p>
    <w:p w14:paraId="44374FF1">
      <w:pPr>
        <w:spacing w:before="312" w:after="312"/>
        <w:jc w:val="center"/>
        <w:rPr>
          <w:rFonts w:ascii="宋体" w:hAnsi="Calibri"/>
          <w:b/>
          <w:sz w:val="52"/>
          <w:szCs w:val="22"/>
          <w:highlight w:val="none"/>
        </w:rPr>
      </w:pPr>
      <w:r>
        <w:rPr>
          <w:rFonts w:hint="eastAsia" w:ascii="宋体"/>
          <w:b/>
          <w:sz w:val="52"/>
          <w:highlight w:val="none"/>
        </w:rPr>
        <w:br w:type="page" w:clear="all"/>
      </w:r>
      <w:r>
        <w:rPr>
          <w:rFonts w:hint="eastAsia" w:ascii="黑体" w:hAnsi="黑体" w:eastAsia="黑体" w:cs="黑体"/>
          <w:b/>
          <w:color w:val="auto"/>
          <w:sz w:val="44"/>
          <w:szCs w:val="44"/>
          <w:highlight w:val="none"/>
        </w:rPr>
        <w:t>目  录</w:t>
      </w:r>
      <w:r>
        <w:rPr>
          <w:rFonts w:ascii="宋体" w:hAnsi="宋体"/>
          <w:b/>
          <w:sz w:val="32"/>
          <w:szCs w:val="32"/>
          <w:highlight w:val="none"/>
        </w:rPr>
        <w:fldChar w:fldCharType="begin"/>
      </w:r>
      <w:r>
        <w:rPr>
          <w:rFonts w:ascii="宋体" w:hAnsi="宋体"/>
          <w:b/>
          <w:sz w:val="32"/>
          <w:szCs w:val="32"/>
          <w:highlight w:val="none"/>
        </w:rPr>
        <w:instrText xml:space="preserve"> </w:instrText>
      </w:r>
      <w:r>
        <w:rPr>
          <w:rFonts w:hint="eastAsia" w:ascii="宋体" w:hAnsi="宋体"/>
          <w:b/>
          <w:sz w:val="32"/>
          <w:szCs w:val="32"/>
          <w:highlight w:val="none"/>
        </w:rPr>
        <w:instrText xml:space="preserve">TOC \o "1-3" \h \z \u</w:instrText>
      </w:r>
      <w:r>
        <w:rPr>
          <w:rFonts w:ascii="宋体" w:hAnsi="宋体"/>
          <w:b/>
          <w:sz w:val="32"/>
          <w:szCs w:val="32"/>
          <w:highlight w:val="none"/>
        </w:rPr>
        <w:instrText xml:space="preserve"> </w:instrText>
      </w:r>
      <w:r>
        <w:rPr>
          <w:rFonts w:ascii="宋体" w:hAnsi="宋体"/>
          <w:b/>
          <w:sz w:val="32"/>
          <w:szCs w:val="32"/>
          <w:highlight w:val="none"/>
        </w:rPr>
        <w:fldChar w:fldCharType="separate"/>
      </w:r>
    </w:p>
    <w:p w14:paraId="2DFD663A">
      <w:pPr>
        <w:spacing w:before="312" w:after="312"/>
        <w:rPr>
          <w:highlight w:val="none"/>
        </w:rPr>
      </w:pPr>
      <w:r>
        <w:rPr>
          <w:rFonts w:ascii="宋体"/>
          <w:b/>
          <w:sz w:val="52"/>
          <w:highlight w:val="none"/>
        </w:rPr>
        <w:fldChar w:fldCharType="end"/>
      </w:r>
    </w:p>
    <w:sdt>
      <w:sdtPr>
        <w:rPr>
          <w:rFonts w:hint="eastAsia" w:ascii="仿宋" w:hAnsi="仿宋" w:eastAsia="仿宋" w:cs="仿宋"/>
          <w:sz w:val="28"/>
          <w:szCs w:val="28"/>
          <w:highlight w:val="none"/>
        </w:rPr>
        <w:id w:val="147469067"/>
        <w15:color w:val="DBDBDB"/>
        <w:docPartObj>
          <w:docPartGallery w:val="Table of Contents"/>
          <w:docPartUnique/>
        </w:docPartObj>
      </w:sdtPr>
      <w:sdtEndPr>
        <w:rPr>
          <w:rFonts w:hint="eastAsia" w:ascii="宋体" w:hAnsi="宋体" w:eastAsia="宋体" w:cs="仿宋"/>
          <w:sz w:val="21"/>
          <w:szCs w:val="28"/>
          <w:highlight w:val="none"/>
        </w:rPr>
      </w:sdtEndPr>
      <w:sdtContent>
        <w:p w14:paraId="26A5034E">
          <w:pPr>
            <w:spacing w:before="312" w:after="312"/>
            <w:rPr>
              <w:rFonts w:hint="eastAsia" w:ascii="仿宋" w:hAnsi="仿宋" w:eastAsia="仿宋" w:cs="仿宋"/>
              <w:sz w:val="28"/>
              <w:szCs w:val="28"/>
              <w:highlight w:val="none"/>
            </w:rPr>
          </w:pPr>
        </w:p>
        <w:p w14:paraId="649BAF71">
          <w:pPr>
            <w:pStyle w:val="24"/>
            <w:keepNext w:val="0"/>
            <w:keepLines w:val="0"/>
            <w:pageBreakBefore w:val="0"/>
            <w:widowControl w:val="0"/>
            <w:tabs>
              <w:tab w:val="right" w:leader="dot" w:pos="8844"/>
            </w:tabs>
            <w:kinsoku/>
            <w:wordWrap/>
            <w:overflowPunct/>
            <w:topLinePunct w:val="0"/>
            <w:autoSpaceDE/>
            <w:autoSpaceDN/>
            <w:bidi w:val="0"/>
            <w:adjustRightInd/>
            <w:snapToGrid/>
            <w:spacing w:after="0" w:line="360" w:lineRule="auto"/>
            <w:textAlignment w:val="auto"/>
            <w:rPr>
              <w:rFonts w:hint="eastAsia" w:ascii="仿宋" w:hAnsi="仿宋" w:eastAsia="仿宋" w:cs="仿宋"/>
              <w:sz w:val="28"/>
              <w:szCs w:val="28"/>
            </w:rPr>
          </w:pPr>
          <w:r>
            <w:rPr>
              <w:rFonts w:hint="eastAsia" w:ascii="仿宋" w:hAnsi="仿宋" w:eastAsia="仿宋" w:cs="仿宋"/>
              <w:b/>
              <w:sz w:val="28"/>
              <w:szCs w:val="28"/>
              <w:highlight w:val="none"/>
            </w:rPr>
            <w:fldChar w:fldCharType="begin"/>
          </w:r>
          <w:r>
            <w:rPr>
              <w:rFonts w:hint="eastAsia" w:ascii="仿宋" w:hAnsi="仿宋" w:eastAsia="仿宋" w:cs="仿宋"/>
              <w:b/>
              <w:sz w:val="28"/>
              <w:szCs w:val="28"/>
              <w:highlight w:val="none"/>
            </w:rPr>
            <w:instrText xml:space="preserve">TOC \o "1-1" \h \u </w:instrText>
          </w:r>
          <w:r>
            <w:rPr>
              <w:rFonts w:hint="eastAsia" w:ascii="仿宋" w:hAnsi="仿宋" w:eastAsia="仿宋" w:cs="仿宋"/>
              <w:b/>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_Toc6112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第一部分  招标公告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_Toc6112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highlight w:val="none"/>
            </w:rPr>
            <w:fldChar w:fldCharType="end"/>
          </w:r>
        </w:p>
        <w:p w14:paraId="6B2408C0">
          <w:pPr>
            <w:pStyle w:val="24"/>
            <w:keepNext w:val="0"/>
            <w:keepLines w:val="0"/>
            <w:pageBreakBefore w:val="0"/>
            <w:widowControl w:val="0"/>
            <w:tabs>
              <w:tab w:val="right" w:leader="dot" w:pos="8844"/>
            </w:tabs>
            <w:kinsoku/>
            <w:wordWrap/>
            <w:overflowPunct/>
            <w:topLinePunct w:val="0"/>
            <w:autoSpaceDE/>
            <w:autoSpaceDN/>
            <w:bidi w:val="0"/>
            <w:adjustRightInd/>
            <w:snapToGrid/>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_Toc2104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第二部分  </w:t>
          </w:r>
          <w:r>
            <w:rPr>
              <w:rFonts w:hint="eastAsia" w:ascii="仿宋" w:hAnsi="仿宋" w:eastAsia="仿宋" w:cs="仿宋"/>
              <w:sz w:val="28"/>
              <w:szCs w:val="28"/>
              <w:highlight w:val="none"/>
              <w:lang w:eastAsia="zh-CN"/>
            </w:rPr>
            <w:t>投标人</w:t>
          </w:r>
          <w:r>
            <w:rPr>
              <w:rFonts w:hint="eastAsia" w:ascii="仿宋" w:hAnsi="仿宋" w:eastAsia="仿宋" w:cs="仿宋"/>
              <w:sz w:val="28"/>
              <w:szCs w:val="28"/>
              <w:highlight w:val="none"/>
            </w:rPr>
            <w:t>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_Toc2104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highlight w:val="none"/>
            </w:rPr>
            <w:fldChar w:fldCharType="end"/>
          </w:r>
        </w:p>
        <w:p w14:paraId="11F4136D">
          <w:pPr>
            <w:pStyle w:val="24"/>
            <w:keepNext w:val="0"/>
            <w:keepLines w:val="0"/>
            <w:pageBreakBefore w:val="0"/>
            <w:widowControl w:val="0"/>
            <w:tabs>
              <w:tab w:val="right" w:leader="dot" w:pos="8844"/>
            </w:tabs>
            <w:kinsoku/>
            <w:wordWrap/>
            <w:overflowPunct/>
            <w:topLinePunct w:val="0"/>
            <w:autoSpaceDE/>
            <w:autoSpaceDN/>
            <w:bidi w:val="0"/>
            <w:adjustRightInd/>
            <w:snapToGrid/>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_Toc29669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 xml:space="preserve">部分  </w:t>
          </w:r>
          <w:r>
            <w:rPr>
              <w:rFonts w:hint="eastAsia" w:ascii="仿宋" w:hAnsi="仿宋" w:eastAsia="仿宋" w:cs="仿宋"/>
              <w:sz w:val="28"/>
              <w:szCs w:val="28"/>
              <w:highlight w:val="none"/>
              <w:lang w:val="en-US" w:eastAsia="zh-CN"/>
            </w:rPr>
            <w:t>合同文本</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_Toc29669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hint="eastAsia" w:ascii="仿宋" w:hAnsi="仿宋" w:eastAsia="仿宋" w:cs="仿宋"/>
              <w:sz w:val="28"/>
              <w:szCs w:val="28"/>
              <w:highlight w:val="none"/>
            </w:rPr>
            <w:fldChar w:fldCharType="end"/>
          </w:r>
        </w:p>
        <w:p w14:paraId="45F4E2FA">
          <w:pPr>
            <w:pStyle w:val="24"/>
            <w:keepNext w:val="0"/>
            <w:keepLines w:val="0"/>
            <w:pageBreakBefore w:val="0"/>
            <w:widowControl w:val="0"/>
            <w:tabs>
              <w:tab w:val="right" w:leader="dot" w:pos="8844"/>
            </w:tabs>
            <w:kinsoku/>
            <w:wordWrap/>
            <w:overflowPunct/>
            <w:topLinePunct w:val="0"/>
            <w:autoSpaceDE/>
            <w:autoSpaceDN/>
            <w:bidi w:val="0"/>
            <w:adjustRightInd/>
            <w:snapToGrid/>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_Toc12463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第四部分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_Toc12463 \h </w:instrText>
          </w:r>
          <w:r>
            <w:rPr>
              <w:rFonts w:hint="eastAsia" w:ascii="仿宋" w:hAnsi="仿宋" w:eastAsia="仿宋" w:cs="仿宋"/>
              <w:sz w:val="28"/>
              <w:szCs w:val="28"/>
            </w:rPr>
            <w:fldChar w:fldCharType="separate"/>
          </w:r>
          <w:r>
            <w:rPr>
              <w:rFonts w:hint="eastAsia" w:ascii="仿宋" w:hAnsi="仿宋" w:eastAsia="仿宋" w:cs="仿宋"/>
              <w:sz w:val="28"/>
              <w:szCs w:val="28"/>
            </w:rPr>
            <w:t>30</w:t>
          </w:r>
          <w:r>
            <w:rPr>
              <w:rFonts w:hint="eastAsia" w:ascii="仿宋" w:hAnsi="仿宋" w:eastAsia="仿宋" w:cs="仿宋"/>
              <w:sz w:val="28"/>
              <w:szCs w:val="28"/>
            </w:rPr>
            <w:fldChar w:fldCharType="end"/>
          </w:r>
          <w:r>
            <w:rPr>
              <w:rFonts w:hint="eastAsia" w:ascii="仿宋" w:hAnsi="仿宋" w:eastAsia="仿宋" w:cs="仿宋"/>
              <w:sz w:val="28"/>
              <w:szCs w:val="28"/>
              <w:highlight w:val="none"/>
            </w:rPr>
            <w:fldChar w:fldCharType="end"/>
          </w:r>
        </w:p>
        <w:p w14:paraId="15A6A905">
          <w:pPr>
            <w:pStyle w:val="24"/>
            <w:keepNext w:val="0"/>
            <w:keepLines w:val="0"/>
            <w:pageBreakBefore w:val="0"/>
            <w:widowControl w:val="0"/>
            <w:tabs>
              <w:tab w:val="right" w:leader="dot" w:pos="8844"/>
            </w:tabs>
            <w:kinsoku/>
            <w:wordWrap/>
            <w:overflowPunct/>
            <w:topLinePunct w:val="0"/>
            <w:autoSpaceDE/>
            <w:autoSpaceDN/>
            <w:bidi w:val="0"/>
            <w:adjustRightInd/>
            <w:snapToGrid/>
            <w:spacing w:after="0" w:line="360" w:lineRule="auto"/>
            <w:textAlignment w:val="auto"/>
            <w:rPr>
              <w:rFonts w:hint="eastAsia" w:ascii="仿宋" w:hAnsi="仿宋" w:eastAsia="仿宋" w:cs="仿宋"/>
              <w:sz w:val="28"/>
              <w:szCs w:val="28"/>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_Toc6412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部分  评标</w:t>
          </w:r>
          <w:r>
            <w:rPr>
              <w:rFonts w:hint="eastAsia" w:ascii="仿宋" w:hAnsi="仿宋" w:eastAsia="仿宋" w:cs="仿宋"/>
              <w:sz w:val="28"/>
              <w:szCs w:val="28"/>
              <w:highlight w:val="none"/>
              <w:lang w:val="en-US" w:eastAsia="zh-CN"/>
            </w:rPr>
            <w:t>方法和标准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_Toc6412 \h </w:instrText>
          </w:r>
          <w:r>
            <w:rPr>
              <w:rFonts w:hint="eastAsia" w:ascii="仿宋" w:hAnsi="仿宋" w:eastAsia="仿宋" w:cs="仿宋"/>
              <w:sz w:val="28"/>
              <w:szCs w:val="28"/>
            </w:rPr>
            <w:fldChar w:fldCharType="separate"/>
          </w:r>
          <w:r>
            <w:rPr>
              <w:rFonts w:hint="eastAsia" w:ascii="仿宋" w:hAnsi="仿宋" w:eastAsia="仿宋" w:cs="仿宋"/>
              <w:sz w:val="28"/>
              <w:szCs w:val="28"/>
            </w:rPr>
            <w:t>56</w:t>
          </w:r>
          <w:r>
            <w:rPr>
              <w:rFonts w:hint="eastAsia" w:ascii="仿宋" w:hAnsi="仿宋" w:eastAsia="仿宋" w:cs="仿宋"/>
              <w:sz w:val="28"/>
              <w:szCs w:val="28"/>
            </w:rPr>
            <w:fldChar w:fldCharType="end"/>
          </w:r>
          <w:r>
            <w:rPr>
              <w:rFonts w:hint="eastAsia" w:ascii="仿宋" w:hAnsi="仿宋" w:eastAsia="仿宋" w:cs="仿宋"/>
              <w:sz w:val="28"/>
              <w:szCs w:val="28"/>
              <w:highlight w:val="none"/>
            </w:rPr>
            <w:fldChar w:fldCharType="end"/>
          </w:r>
        </w:p>
        <w:p w14:paraId="48EBEA38">
          <w:pPr>
            <w:pStyle w:val="24"/>
            <w:keepNext w:val="0"/>
            <w:keepLines w:val="0"/>
            <w:pageBreakBefore w:val="0"/>
            <w:widowControl w:val="0"/>
            <w:tabs>
              <w:tab w:val="right" w:leader="dot" w:pos="8844"/>
            </w:tabs>
            <w:kinsoku/>
            <w:wordWrap/>
            <w:overflowPunct/>
            <w:topLinePunct w:val="0"/>
            <w:autoSpaceDE/>
            <w:autoSpaceDN/>
            <w:bidi w:val="0"/>
            <w:adjustRightInd/>
            <w:snapToGrid/>
            <w:spacing w:after="0" w:line="360" w:lineRule="auto"/>
            <w:textAlignment w:val="auto"/>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_Toc26933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第六部分  投标文件格式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_Toc26933 \h </w:instrText>
          </w:r>
          <w:r>
            <w:rPr>
              <w:rFonts w:hint="eastAsia" w:ascii="仿宋" w:hAnsi="仿宋" w:eastAsia="仿宋" w:cs="仿宋"/>
              <w:sz w:val="28"/>
              <w:szCs w:val="28"/>
            </w:rPr>
            <w:fldChar w:fldCharType="separate"/>
          </w:r>
          <w:r>
            <w:rPr>
              <w:rFonts w:hint="eastAsia" w:ascii="仿宋" w:hAnsi="仿宋" w:eastAsia="仿宋" w:cs="仿宋"/>
              <w:sz w:val="28"/>
              <w:szCs w:val="28"/>
            </w:rPr>
            <w:t>61</w:t>
          </w:r>
          <w:r>
            <w:rPr>
              <w:rFonts w:hint="eastAsia" w:ascii="仿宋" w:hAnsi="仿宋" w:eastAsia="仿宋" w:cs="仿宋"/>
              <w:sz w:val="28"/>
              <w:szCs w:val="28"/>
            </w:rPr>
            <w:fldChar w:fldCharType="end"/>
          </w:r>
          <w:r>
            <w:rPr>
              <w:rFonts w:hint="eastAsia" w:ascii="仿宋" w:hAnsi="仿宋" w:eastAsia="仿宋" w:cs="仿宋"/>
              <w:sz w:val="28"/>
              <w:szCs w:val="28"/>
              <w:highlight w:val="none"/>
            </w:rPr>
            <w:fldChar w:fldCharType="end"/>
          </w:r>
        </w:p>
        <w:p w14:paraId="56AF1F8F">
          <w:pPr>
            <w:spacing w:before="120" w:beforeLines="50" w:after="120" w:afterLines="50" w:line="520" w:lineRule="exact"/>
            <w:jc w:val="center"/>
            <w:rPr>
              <w:rFonts w:ascii="宋体"/>
              <w:b/>
              <w:sz w:val="52"/>
              <w:highlight w:val="none"/>
            </w:rPr>
          </w:pPr>
          <w:r>
            <w:rPr>
              <w:rFonts w:hint="eastAsia" w:ascii="仿宋" w:hAnsi="仿宋" w:eastAsia="仿宋" w:cs="仿宋"/>
              <w:szCs w:val="28"/>
              <w:highlight w:val="none"/>
            </w:rPr>
            <w:fldChar w:fldCharType="end"/>
          </w:r>
        </w:p>
      </w:sdtContent>
    </w:sdt>
    <w:p w14:paraId="5C903B44">
      <w:pPr>
        <w:pStyle w:val="204"/>
        <w:spacing w:line="240" w:lineRule="auto"/>
        <w:jc w:val="center"/>
        <w:rPr>
          <w:highlight w:val="none"/>
        </w:rPr>
        <w:sectPr>
          <w:footerReference r:id="rId4" w:type="default"/>
          <w:pgSz w:w="11906" w:h="16838"/>
          <w:pgMar w:top="1440" w:right="1474" w:bottom="1440" w:left="1588" w:header="851" w:footer="992" w:gutter="0"/>
          <w:pgNumType w:start="1"/>
          <w:cols w:space="1701" w:num="1"/>
          <w:docGrid w:linePitch="360" w:charSpace="0"/>
        </w:sectPr>
      </w:pPr>
      <w:bookmarkStart w:id="3" w:name="_Toc8061"/>
    </w:p>
    <w:p w14:paraId="63C2F8A0">
      <w:pPr>
        <w:pStyle w:val="204"/>
        <w:spacing w:line="240" w:lineRule="auto"/>
        <w:jc w:val="center"/>
        <w:rPr>
          <w:highlight w:val="none"/>
        </w:rPr>
      </w:pPr>
      <w:bookmarkStart w:id="4" w:name="_Toc6112"/>
      <w:r>
        <w:rPr>
          <w:rFonts w:hint="eastAsia"/>
          <w:highlight w:val="none"/>
        </w:rPr>
        <w:t xml:space="preserve">第一部分  </w:t>
      </w:r>
      <w:bookmarkEnd w:id="3"/>
      <w:r>
        <w:rPr>
          <w:rFonts w:hint="eastAsia"/>
          <w:highlight w:val="none"/>
        </w:rPr>
        <w:t>招标公告</w:t>
      </w:r>
      <w:bookmarkEnd w:id="4"/>
    </w:p>
    <w:p w14:paraId="14BA30FD">
      <w:pPr>
        <w:pBdr>
          <w:top w:val="single" w:color="000000" w:sz="4" w:space="1"/>
          <w:left w:val="single" w:color="000000" w:sz="4" w:space="4"/>
          <w:bottom w:val="single" w:color="000000" w:sz="4" w:space="1"/>
          <w:right w:val="single" w:color="000000" w:sz="4" w:space="4"/>
        </w:pBdr>
        <w:spacing w:line="500" w:lineRule="exact"/>
        <w:ind w:firstLine="480"/>
        <w:rPr>
          <w:rFonts w:ascii="仿宋" w:hAnsi="仿宋" w:eastAsia="仿宋" w:cs="仿宋"/>
          <w:highlight w:val="none"/>
        </w:rPr>
      </w:pPr>
      <w:r>
        <w:rPr>
          <w:rFonts w:hint="eastAsia" w:ascii="仿宋" w:hAnsi="仿宋" w:eastAsia="仿宋" w:cs="仿宋"/>
          <w:bCs/>
          <w:iCs/>
          <w:highlight w:val="none"/>
        </w:rPr>
        <w:t>项目概况</w:t>
      </w:r>
    </w:p>
    <w:p w14:paraId="4D8F47AB">
      <w:pPr>
        <w:pBdr>
          <w:top w:val="single" w:color="000000" w:sz="4" w:space="1"/>
          <w:left w:val="single" w:color="000000" w:sz="4" w:space="4"/>
          <w:bottom w:val="single" w:color="000000" w:sz="4" w:space="1"/>
          <w:right w:val="single" w:color="000000" w:sz="4" w:space="4"/>
        </w:pBdr>
        <w:spacing w:line="500" w:lineRule="exact"/>
        <w:ind w:firstLine="480"/>
        <w:rPr>
          <w:rFonts w:ascii="仿宋" w:hAnsi="仿宋" w:eastAsia="仿宋" w:cs="仿宋"/>
          <w:highlight w:val="none"/>
        </w:rPr>
      </w:pPr>
      <w:r>
        <w:rPr>
          <w:rFonts w:hint="eastAsia" w:ascii="仿宋" w:hAnsi="仿宋" w:eastAsia="仿宋" w:cs="仿宋"/>
          <w:bCs/>
          <w:iCs/>
          <w:color w:val="000000"/>
          <w:highlight w:val="none"/>
          <w:lang w:eastAsia="zh-CN"/>
        </w:rPr>
        <w:t>江苏省第二中医院成本管理系统</w:t>
      </w:r>
      <w:r>
        <w:rPr>
          <w:rFonts w:hint="eastAsia" w:ascii="仿宋" w:hAnsi="仿宋" w:eastAsia="仿宋" w:cs="仿宋"/>
          <w:bCs/>
          <w:iCs/>
          <w:color w:val="000000"/>
          <w:highlight w:val="none"/>
        </w:rPr>
        <w:t xml:space="preserve"> </w:t>
      </w:r>
      <w:r>
        <w:rPr>
          <w:rFonts w:hint="eastAsia" w:ascii="仿宋" w:hAnsi="仿宋" w:eastAsia="仿宋" w:cs="仿宋"/>
          <w:bCs/>
          <w:iCs/>
          <w:color w:val="000000"/>
          <w:highlight w:val="none"/>
          <w:lang w:eastAsia="zh-CN"/>
        </w:rPr>
        <w:t>JSZC-320000-NJXD-G2025-0050</w:t>
      </w:r>
      <w:r>
        <w:rPr>
          <w:rFonts w:hint="eastAsia" w:ascii="仿宋" w:hAnsi="仿宋" w:eastAsia="仿宋" w:cs="仿宋"/>
          <w:bCs/>
          <w:iCs/>
          <w:color w:val="000000"/>
          <w:highlight w:val="none"/>
        </w:rPr>
        <w:t xml:space="preserve"> 招标项目</w:t>
      </w:r>
      <w:r>
        <w:rPr>
          <w:rFonts w:hint="eastAsia" w:ascii="仿宋" w:hAnsi="仿宋" w:eastAsia="仿宋" w:cs="仿宋"/>
          <w:bCs/>
          <w:iCs/>
          <w:highlight w:val="none"/>
        </w:rPr>
        <w:t>的潜在投标人应在南京相度工程咨询</w:t>
      </w:r>
      <w:r>
        <w:rPr>
          <w:rFonts w:hint="eastAsia" w:ascii="仿宋" w:hAnsi="仿宋" w:eastAsia="仿宋" w:cs="仿宋"/>
          <w:bCs/>
          <w:iCs/>
          <w:color w:val="auto"/>
          <w:highlight w:val="none"/>
        </w:rPr>
        <w:t>有限公司获取招标文件，并于</w:t>
      </w:r>
      <w:r>
        <w:rPr>
          <w:rFonts w:hint="eastAsia" w:ascii="仿宋" w:hAnsi="仿宋" w:eastAsia="仿宋" w:cs="仿宋"/>
          <w:bCs/>
          <w:iCs/>
          <w:color w:val="auto"/>
          <w:highlight w:val="none"/>
          <w:lang w:eastAsia="zh-CN"/>
        </w:rPr>
        <w:t>202</w:t>
      </w:r>
      <w:r>
        <w:rPr>
          <w:rFonts w:hint="eastAsia" w:ascii="仿宋" w:hAnsi="仿宋" w:eastAsia="仿宋" w:cs="仿宋"/>
          <w:bCs/>
          <w:iCs/>
          <w:color w:val="auto"/>
          <w:highlight w:val="none"/>
          <w:lang w:val="en-US" w:eastAsia="zh-CN"/>
        </w:rPr>
        <w:t>5</w:t>
      </w:r>
      <w:r>
        <w:rPr>
          <w:rFonts w:hint="eastAsia" w:ascii="仿宋" w:hAnsi="仿宋" w:eastAsia="仿宋" w:cs="仿宋"/>
          <w:bCs/>
          <w:iCs/>
          <w:color w:val="auto"/>
          <w:highlight w:val="none"/>
          <w:lang w:eastAsia="zh-CN"/>
        </w:rPr>
        <w:t>年</w:t>
      </w:r>
      <w:r>
        <w:rPr>
          <w:rFonts w:hint="eastAsia" w:ascii="仿宋" w:hAnsi="仿宋" w:eastAsia="仿宋" w:cs="仿宋"/>
          <w:bCs/>
          <w:iCs/>
          <w:color w:val="auto"/>
          <w:highlight w:val="none"/>
          <w:lang w:val="en-US" w:eastAsia="zh-CN"/>
        </w:rPr>
        <w:t>9月22日 14:30</w:t>
      </w:r>
      <w:r>
        <w:rPr>
          <w:rFonts w:hint="eastAsia" w:ascii="仿宋" w:hAnsi="仿宋" w:eastAsia="仿宋" w:cs="仿宋"/>
          <w:bCs/>
          <w:iCs/>
          <w:color w:val="auto"/>
          <w:highlight w:val="none"/>
        </w:rPr>
        <w:t>（北京时间）前递交投标文件。</w:t>
      </w:r>
    </w:p>
    <w:p w14:paraId="16C6D0DA">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一、项目基本情况</w:t>
      </w:r>
    </w:p>
    <w:p w14:paraId="728BC5EA">
      <w:pPr>
        <w:spacing w:line="500" w:lineRule="exact"/>
        <w:ind w:firstLine="480"/>
        <w:rPr>
          <w:rFonts w:hint="eastAsia" w:ascii="仿宋" w:hAnsi="仿宋" w:eastAsia="仿宋" w:cs="仿宋"/>
          <w:color w:val="FF0000"/>
          <w:highlight w:val="none"/>
          <w:lang w:eastAsia="zh-CN"/>
        </w:rPr>
      </w:pPr>
      <w:r>
        <w:rPr>
          <w:rFonts w:hint="eastAsia" w:ascii="仿宋" w:hAnsi="仿宋" w:eastAsia="仿宋" w:cs="仿宋"/>
          <w:highlight w:val="none"/>
        </w:rPr>
        <w:t>（一）项目编号：</w:t>
      </w:r>
      <w:r>
        <w:rPr>
          <w:rFonts w:hint="eastAsia" w:ascii="仿宋" w:hAnsi="仿宋" w:eastAsia="仿宋" w:cs="仿宋"/>
          <w:bCs/>
          <w:iCs/>
          <w:color w:val="000000"/>
          <w:highlight w:val="none"/>
          <w:lang w:eastAsia="zh-CN"/>
        </w:rPr>
        <w:t>JSZC-320000-NJXD-G2025-0050</w:t>
      </w:r>
    </w:p>
    <w:p w14:paraId="0E8642C3">
      <w:pPr>
        <w:spacing w:line="500" w:lineRule="exact"/>
        <w:ind w:firstLine="480"/>
        <w:rPr>
          <w:rFonts w:hint="eastAsia" w:ascii="仿宋" w:hAnsi="仿宋" w:eastAsia="仿宋" w:cs="仿宋"/>
          <w:highlight w:val="none"/>
          <w:lang w:eastAsia="zh-CN"/>
        </w:rPr>
      </w:pPr>
      <w:r>
        <w:rPr>
          <w:rFonts w:hint="eastAsia" w:ascii="仿宋" w:hAnsi="仿宋" w:eastAsia="仿宋" w:cs="仿宋"/>
          <w:highlight w:val="none"/>
        </w:rPr>
        <w:t>（二）项目名称：</w:t>
      </w:r>
      <w:r>
        <w:rPr>
          <w:rFonts w:hint="eastAsia" w:ascii="仿宋" w:hAnsi="仿宋" w:eastAsia="仿宋" w:cs="仿宋"/>
          <w:highlight w:val="none"/>
          <w:lang w:eastAsia="zh-CN"/>
        </w:rPr>
        <w:t>江苏省第二中医院成本管理系统</w:t>
      </w:r>
    </w:p>
    <w:p w14:paraId="748FDE2E">
      <w:pPr>
        <w:spacing w:line="500" w:lineRule="exact"/>
        <w:ind w:firstLine="480"/>
        <w:rPr>
          <w:rFonts w:ascii="仿宋" w:hAnsi="仿宋" w:eastAsia="仿宋" w:cs="仿宋"/>
          <w:highlight w:val="none"/>
        </w:rPr>
      </w:pPr>
      <w:r>
        <w:rPr>
          <w:rFonts w:hint="eastAsia" w:ascii="仿宋" w:hAnsi="仿宋" w:eastAsia="仿宋" w:cs="仿宋"/>
          <w:highlight w:val="none"/>
        </w:rPr>
        <w:t>（三）预算金额：</w:t>
      </w:r>
      <w:bookmarkStart w:id="5" w:name="EB839e973c1f9b45a6b4f805f81d6f9994"/>
      <w:bookmarkEnd w:id="5"/>
      <w:r>
        <w:rPr>
          <w:rFonts w:hint="eastAsia" w:ascii="仿宋" w:hAnsi="仿宋" w:eastAsia="仿宋" w:cs="仿宋"/>
          <w:color w:val="auto"/>
          <w:highlight w:val="none"/>
          <w:lang w:val="en-US" w:eastAsia="zh-CN"/>
        </w:rPr>
        <w:t>120万元</w:t>
      </w:r>
    </w:p>
    <w:p w14:paraId="069EBDED">
      <w:pPr>
        <w:spacing w:line="500" w:lineRule="exact"/>
        <w:ind w:firstLine="480"/>
        <w:rPr>
          <w:rFonts w:ascii="仿宋" w:hAnsi="仿宋" w:eastAsia="仿宋" w:cs="仿宋"/>
          <w:highlight w:val="none"/>
        </w:rPr>
      </w:pPr>
      <w:r>
        <w:rPr>
          <w:rFonts w:hint="eastAsia" w:ascii="仿宋" w:hAnsi="仿宋" w:eastAsia="仿宋" w:cs="仿宋"/>
          <w:highlight w:val="none"/>
        </w:rPr>
        <w:t>（四）最高限价（如有）：</w:t>
      </w:r>
      <w:r>
        <w:rPr>
          <w:rFonts w:hint="eastAsia" w:ascii="仿宋" w:hAnsi="仿宋" w:eastAsia="仿宋" w:cs="仿宋"/>
          <w:color w:val="auto"/>
          <w:highlight w:val="none"/>
          <w:lang w:val="en-US" w:eastAsia="zh-CN"/>
        </w:rPr>
        <w:t>120万元</w:t>
      </w:r>
    </w:p>
    <w:p w14:paraId="207AF4B3">
      <w:pPr>
        <w:keepNext w:val="0"/>
        <w:keepLines w:val="0"/>
        <w:pageBreakBefore w:val="0"/>
        <w:kinsoku/>
        <w:wordWrap/>
        <w:overflowPunct/>
        <w:topLinePunct w:val="0"/>
        <w:autoSpaceDE/>
        <w:autoSpaceDN/>
        <w:bidi w:val="0"/>
        <w:adjustRightInd/>
        <w:spacing w:line="520" w:lineRule="exact"/>
        <w:ind w:firstLine="480"/>
        <w:textAlignment w:val="auto"/>
        <w:rPr>
          <w:rFonts w:hint="eastAsia" w:ascii="仿宋" w:hAnsi="仿宋" w:eastAsia="仿宋" w:cs="仿宋"/>
          <w:highlight w:val="none"/>
        </w:rPr>
      </w:pPr>
      <w:r>
        <w:rPr>
          <w:rFonts w:hint="eastAsia" w:ascii="仿宋" w:hAnsi="仿宋" w:eastAsia="仿宋" w:cs="仿宋"/>
          <w:highlight w:val="none"/>
        </w:rPr>
        <w:t>（五）采购需求：</w:t>
      </w:r>
      <w:r>
        <w:rPr>
          <w:rFonts w:hint="eastAsia" w:ascii="仿宋" w:hAnsi="仿宋" w:eastAsia="仿宋" w:cs="仿宋"/>
          <w:highlight w:val="none"/>
          <w:lang w:eastAsia="zh-CN"/>
        </w:rPr>
        <w:t>江苏省第二中医院</w:t>
      </w:r>
      <w:r>
        <w:rPr>
          <w:rFonts w:hint="eastAsia" w:ascii="仿宋" w:hAnsi="仿宋" w:eastAsia="仿宋" w:cs="仿宋"/>
          <w:highlight w:val="none"/>
          <w:lang w:val="en-US" w:eastAsia="zh-CN"/>
        </w:rPr>
        <w:t>采购医院</w:t>
      </w:r>
      <w:r>
        <w:rPr>
          <w:rFonts w:hint="eastAsia" w:ascii="仿宋" w:hAnsi="仿宋" w:eastAsia="仿宋" w:cs="仿宋"/>
          <w:highlight w:val="none"/>
          <w:lang w:eastAsia="zh-CN"/>
        </w:rPr>
        <w:t>成本管理系统、DRG运营分析系统</w:t>
      </w:r>
      <w:r>
        <w:rPr>
          <w:rFonts w:hint="eastAsia" w:ascii="仿宋" w:hAnsi="仿宋" w:eastAsia="仿宋" w:cs="仿宋"/>
          <w:highlight w:val="none"/>
        </w:rPr>
        <w:t>，具体要求见招标文件。</w:t>
      </w:r>
    </w:p>
    <w:tbl>
      <w:tblPr>
        <w:tblStyle w:val="35"/>
        <w:tblW w:w="7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673"/>
        <w:gridCol w:w="1254"/>
        <w:gridCol w:w="2728"/>
      </w:tblGrid>
      <w:tr w14:paraId="6D80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4" w:type="dxa"/>
            <w:vAlign w:val="center"/>
          </w:tcPr>
          <w:p w14:paraId="4CD6B352">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序号</w:t>
            </w:r>
          </w:p>
        </w:tc>
        <w:tc>
          <w:tcPr>
            <w:tcW w:w="2673" w:type="dxa"/>
            <w:vAlign w:val="center"/>
          </w:tcPr>
          <w:p w14:paraId="63AA27C7">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标项内容</w:t>
            </w:r>
          </w:p>
        </w:tc>
        <w:tc>
          <w:tcPr>
            <w:tcW w:w="1254" w:type="dxa"/>
            <w:shd w:val="clear" w:color="auto" w:fill="auto"/>
            <w:vAlign w:val="center"/>
          </w:tcPr>
          <w:p w14:paraId="11C4F914">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数量</w:t>
            </w:r>
          </w:p>
        </w:tc>
        <w:tc>
          <w:tcPr>
            <w:tcW w:w="2728" w:type="dxa"/>
            <w:vAlign w:val="center"/>
          </w:tcPr>
          <w:p w14:paraId="6B2CF10A">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highlight w:val="yellow"/>
              </w:rPr>
            </w:pPr>
            <w:r>
              <w:rPr>
                <w:rFonts w:hint="eastAsia" w:ascii="仿宋" w:hAnsi="仿宋" w:eastAsia="仿宋" w:cs="仿宋"/>
                <w:kern w:val="2"/>
                <w:sz w:val="24"/>
                <w:szCs w:val="24"/>
              </w:rPr>
              <w:t>预算金额</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万元</w:t>
            </w:r>
            <w:r>
              <w:rPr>
                <w:rFonts w:hint="eastAsia" w:ascii="仿宋" w:hAnsi="仿宋" w:eastAsia="仿宋" w:cs="仿宋"/>
                <w:kern w:val="2"/>
                <w:sz w:val="24"/>
                <w:szCs w:val="24"/>
                <w:lang w:eastAsia="zh-CN"/>
              </w:rPr>
              <w:t>）</w:t>
            </w:r>
          </w:p>
        </w:tc>
      </w:tr>
      <w:tr w14:paraId="5C1A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84" w:type="dxa"/>
            <w:vAlign w:val="center"/>
          </w:tcPr>
          <w:p w14:paraId="66829F9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1</w:t>
            </w:r>
          </w:p>
        </w:tc>
        <w:tc>
          <w:tcPr>
            <w:tcW w:w="2673" w:type="dxa"/>
            <w:vAlign w:val="center"/>
          </w:tcPr>
          <w:p w14:paraId="3C303ABE">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医院</w:t>
            </w:r>
            <w:r>
              <w:rPr>
                <w:rFonts w:hint="eastAsia" w:ascii="仿宋" w:hAnsi="仿宋" w:eastAsia="仿宋" w:cs="仿宋"/>
                <w:kern w:val="2"/>
                <w:sz w:val="24"/>
                <w:szCs w:val="24"/>
              </w:rPr>
              <w:t>成本管理系统</w:t>
            </w:r>
          </w:p>
        </w:tc>
        <w:tc>
          <w:tcPr>
            <w:tcW w:w="1254" w:type="dxa"/>
            <w:shd w:val="clear" w:color="auto" w:fill="auto"/>
            <w:vAlign w:val="center"/>
          </w:tcPr>
          <w:p w14:paraId="214A664A">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1套</w:t>
            </w:r>
          </w:p>
        </w:tc>
        <w:tc>
          <w:tcPr>
            <w:tcW w:w="2728" w:type="dxa"/>
            <w:vMerge w:val="restart"/>
            <w:vAlign w:val="center"/>
          </w:tcPr>
          <w:p w14:paraId="3E42E18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120</w:t>
            </w:r>
            <w:r>
              <w:rPr>
                <w:rFonts w:hint="eastAsia" w:ascii="仿宋" w:hAnsi="仿宋" w:eastAsia="仿宋" w:cs="仿宋"/>
                <w:kern w:val="2"/>
                <w:sz w:val="24"/>
                <w:szCs w:val="24"/>
                <w:highlight w:val="none"/>
              </w:rPr>
              <w:t>万元</w:t>
            </w:r>
          </w:p>
        </w:tc>
      </w:tr>
      <w:tr w14:paraId="6690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84" w:type="dxa"/>
            <w:vAlign w:val="center"/>
          </w:tcPr>
          <w:p w14:paraId="42C98E75">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2</w:t>
            </w:r>
          </w:p>
        </w:tc>
        <w:tc>
          <w:tcPr>
            <w:tcW w:w="2673" w:type="dxa"/>
            <w:vAlign w:val="center"/>
          </w:tcPr>
          <w:p w14:paraId="496AF472">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DRG运营分析系统</w:t>
            </w:r>
          </w:p>
        </w:tc>
        <w:tc>
          <w:tcPr>
            <w:tcW w:w="1254" w:type="dxa"/>
            <w:shd w:val="clear" w:color="auto" w:fill="auto"/>
            <w:vAlign w:val="center"/>
          </w:tcPr>
          <w:p w14:paraId="2730A05E">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rPr>
            </w:pPr>
            <w:r>
              <w:rPr>
                <w:rFonts w:hint="eastAsia" w:ascii="仿宋" w:hAnsi="仿宋" w:eastAsia="仿宋" w:cs="仿宋"/>
                <w:kern w:val="2"/>
                <w:sz w:val="24"/>
                <w:szCs w:val="24"/>
              </w:rPr>
              <w:t>1套</w:t>
            </w:r>
          </w:p>
        </w:tc>
        <w:tc>
          <w:tcPr>
            <w:tcW w:w="2728" w:type="dxa"/>
            <w:vMerge w:val="continue"/>
            <w:vAlign w:val="center"/>
          </w:tcPr>
          <w:p w14:paraId="0F84FFA8">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eastAsia" w:ascii="仿宋" w:hAnsi="仿宋" w:eastAsia="仿宋" w:cs="仿宋"/>
                <w:kern w:val="2"/>
                <w:sz w:val="24"/>
                <w:szCs w:val="24"/>
                <w:highlight w:val="yellow"/>
              </w:rPr>
            </w:pPr>
          </w:p>
        </w:tc>
      </w:tr>
    </w:tbl>
    <w:p w14:paraId="76D0E96D">
      <w:pPr>
        <w:spacing w:line="500" w:lineRule="exact"/>
        <w:ind w:firstLine="480"/>
        <w:rPr>
          <w:rFonts w:ascii="仿宋" w:hAnsi="仿宋" w:eastAsia="仿宋" w:cs="仿宋"/>
          <w:highlight w:val="none"/>
        </w:rPr>
      </w:pPr>
      <w:r>
        <w:rPr>
          <w:rFonts w:hint="eastAsia" w:ascii="仿宋" w:hAnsi="仿宋" w:eastAsia="仿宋" w:cs="仿宋"/>
          <w:highlight w:val="none"/>
        </w:rPr>
        <w:t>（六）合同履行期限：</w:t>
      </w:r>
      <w:r>
        <w:rPr>
          <w:rFonts w:hint="eastAsia" w:ascii="仿宋" w:hAnsi="仿宋" w:eastAsia="仿宋" w:cs="仿宋"/>
          <w:color w:val="auto"/>
          <w:highlight w:val="none"/>
          <w:lang w:val="en-US" w:eastAsia="zh-CN"/>
        </w:rPr>
        <w:t>合同签订后5个月内。</w:t>
      </w:r>
    </w:p>
    <w:p w14:paraId="0CC3ECD2">
      <w:pPr>
        <w:spacing w:line="500" w:lineRule="exact"/>
        <w:ind w:firstLine="480"/>
        <w:rPr>
          <w:rFonts w:ascii="仿宋" w:hAnsi="仿宋" w:eastAsia="仿宋" w:cs="仿宋"/>
          <w:highlight w:val="none"/>
        </w:rPr>
      </w:pPr>
      <w:r>
        <w:rPr>
          <w:rFonts w:hint="eastAsia" w:ascii="仿宋" w:hAnsi="仿宋" w:eastAsia="仿宋" w:cs="仿宋"/>
          <w:highlight w:val="none"/>
        </w:rPr>
        <w:t>（七）本项目不接受联合体。</w:t>
      </w:r>
    </w:p>
    <w:p w14:paraId="34956976">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二、申请人的资格要求</w:t>
      </w:r>
    </w:p>
    <w:p w14:paraId="0A753195">
      <w:pPr>
        <w:spacing w:line="50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（一）基本资格条件：</w:t>
      </w:r>
    </w:p>
    <w:p w14:paraId="4EFFDA97">
      <w:pPr>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法人或者其他组织的营业执照等证明文件，自然人的身份证明</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p w14:paraId="4F522976">
      <w:pPr>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上一年度的财务状况报告，至少包括利润表和资产负债表，成立不满一年的无需提供</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p>
    <w:p w14:paraId="3B801B2E">
      <w:pPr>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3.依法缴纳税收和社会保障资金的</w:t>
      </w:r>
      <w:r>
        <w:rPr>
          <w:rFonts w:hint="eastAsia" w:ascii="仿宋" w:hAnsi="仿宋" w:eastAsia="仿宋" w:cs="仿宋"/>
          <w:color w:val="auto"/>
          <w:highlight w:val="none"/>
          <w:lang w:val="en-US" w:eastAsia="zh-CN"/>
        </w:rPr>
        <w:t>相关材料</w:t>
      </w:r>
      <w:r>
        <w:rPr>
          <w:rFonts w:hint="eastAsia" w:ascii="仿宋" w:hAnsi="仿宋" w:eastAsia="仿宋" w:cs="仿宋"/>
          <w:color w:val="auto"/>
          <w:highlight w:val="none"/>
        </w:rPr>
        <w:t>。</w:t>
      </w:r>
    </w:p>
    <w:p w14:paraId="6CF3F193">
      <w:pPr>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4.具备履行合同所必需的设备和专业技术能力</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en-US" w:eastAsia="zh-CN"/>
        </w:rPr>
        <w:t>书面声明</w:t>
      </w:r>
      <w:r>
        <w:rPr>
          <w:rFonts w:hint="eastAsia" w:ascii="仿宋" w:hAnsi="仿宋" w:eastAsia="仿宋" w:cs="仿宋"/>
          <w:color w:val="auto"/>
          <w:highlight w:val="none"/>
        </w:rPr>
        <w:t>。</w:t>
      </w:r>
    </w:p>
    <w:p w14:paraId="0BF83029">
      <w:pPr>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5.参加采购活动前3年内在经营活动中没有重大违法记录</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en-US" w:eastAsia="zh-CN"/>
        </w:rPr>
        <w:t>书面声明</w:t>
      </w:r>
      <w:r>
        <w:rPr>
          <w:rFonts w:hint="eastAsia" w:ascii="仿宋" w:hAnsi="仿宋" w:eastAsia="仿宋" w:cs="仿宋"/>
          <w:color w:val="auto"/>
          <w:highlight w:val="none"/>
        </w:rPr>
        <w:t>。</w:t>
      </w:r>
    </w:p>
    <w:p w14:paraId="3220C289">
      <w:pPr>
        <w:spacing w:line="500" w:lineRule="exact"/>
        <w:ind w:firstLine="480"/>
        <w:rPr>
          <w:rFonts w:hint="eastAsia" w:ascii="仿宋" w:hAnsi="仿宋" w:eastAsia="仿宋" w:cs="仿宋"/>
          <w:color w:val="000000"/>
          <w:highlight w:val="none"/>
          <w:lang w:eastAsia="zh-CN"/>
        </w:rPr>
      </w:pPr>
      <w:r>
        <w:rPr>
          <w:rFonts w:hint="eastAsia" w:ascii="仿宋" w:hAnsi="仿宋" w:eastAsia="仿宋" w:cs="仿宋"/>
          <w:color w:val="auto"/>
          <w:highlight w:val="none"/>
        </w:rPr>
        <w:t>6.</w:t>
      </w:r>
      <w:r>
        <w:rPr>
          <w:rFonts w:hint="eastAsia" w:ascii="仿宋" w:hAnsi="仿宋" w:eastAsia="仿宋" w:cs="仿宋"/>
          <w:color w:val="000000"/>
          <w:highlight w:val="none"/>
        </w:rPr>
        <w:t>未被“信用中国”网、“中国政府采购”网、江苏政府采购网列入失信被执行人、重大税收违法案件当事人名单、政府采购严重失信行为记录名单</w:t>
      </w:r>
      <w:r>
        <w:rPr>
          <w:rFonts w:hint="eastAsia" w:ascii="仿宋" w:hAnsi="仿宋" w:eastAsia="仿宋" w:cs="仿宋"/>
          <w:color w:val="000000"/>
          <w:highlight w:val="none"/>
          <w:lang w:eastAsia="zh-CN"/>
        </w:rPr>
        <w:t>。</w:t>
      </w:r>
    </w:p>
    <w:p w14:paraId="2DE9CBF2">
      <w:pPr>
        <w:spacing w:line="50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7.</w:t>
      </w:r>
      <w:r>
        <w:rPr>
          <w:rFonts w:hint="eastAsia" w:ascii="仿宋" w:hAnsi="仿宋" w:eastAsia="仿宋" w:cs="仿宋"/>
          <w:color w:val="000000"/>
          <w:highlight w:val="none"/>
        </w:rPr>
        <w:t>单位负责人为同一人或者存在直接控股、管理关系的不同</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，不得参加同一合同项下的政府采购活动。为采购项目提供整体设计、规范编制或者项目管理、监理、检测等服务的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，不得参加本项目的采购活动。</w:t>
      </w:r>
    </w:p>
    <w:p w14:paraId="71388D94">
      <w:pPr>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rPr>
        <w:t>法律、行政法规规定的其他条件。</w:t>
      </w:r>
    </w:p>
    <w:p w14:paraId="40769671">
      <w:pPr>
        <w:spacing w:line="500" w:lineRule="exact"/>
        <w:ind w:firstLine="480"/>
        <w:rPr>
          <w:rFonts w:hint="eastAsia" w:ascii="仿宋" w:hAnsi="仿宋" w:eastAsia="仿宋" w:cs="仿宋"/>
          <w:color w:val="000000"/>
          <w:highlight w:val="none"/>
          <w:lang w:eastAsia="zh-CN"/>
        </w:rPr>
      </w:pPr>
      <w:r>
        <w:rPr>
          <w:rFonts w:hint="eastAsia" w:ascii="仿宋" w:hAnsi="仿宋" w:eastAsia="仿宋" w:cs="仿宋"/>
          <w:color w:val="000000"/>
          <w:highlight w:val="none"/>
        </w:rPr>
        <w:t>（二）落实政府采购政策需满足的资格要求：本项目无落实政府采购政策需满足的资格要求</w:t>
      </w:r>
      <w:r>
        <w:rPr>
          <w:rFonts w:hint="eastAsia" w:ascii="仿宋" w:hAnsi="仿宋" w:eastAsia="仿宋" w:cs="仿宋"/>
          <w:color w:val="000000"/>
          <w:highlight w:val="none"/>
          <w:lang w:eastAsia="zh-CN"/>
        </w:rPr>
        <w:t>。</w:t>
      </w:r>
    </w:p>
    <w:p w14:paraId="097297F1">
      <w:pPr>
        <w:spacing w:line="500" w:lineRule="exact"/>
        <w:ind w:firstLine="480"/>
        <w:rPr>
          <w:rFonts w:hint="eastAsia" w:ascii="仿宋" w:hAnsi="仿宋" w:eastAsia="仿宋" w:cs="仿宋"/>
          <w:color w:val="000000"/>
          <w:highlight w:val="none"/>
          <w:lang w:eastAsia="zh-CN"/>
        </w:rPr>
      </w:pPr>
      <w:r>
        <w:rPr>
          <w:rFonts w:hint="eastAsia" w:ascii="仿宋" w:hAnsi="仿宋" w:eastAsia="仿宋" w:cs="仿宋"/>
          <w:color w:val="000000"/>
          <w:highlight w:val="none"/>
        </w:rPr>
        <w:t>（三）本项目的特定资格要求：本项目无特定资格要求</w:t>
      </w:r>
      <w:r>
        <w:rPr>
          <w:rFonts w:hint="eastAsia" w:ascii="仿宋" w:hAnsi="仿宋" w:eastAsia="仿宋" w:cs="仿宋"/>
          <w:color w:val="000000"/>
          <w:highlight w:val="none"/>
          <w:lang w:eastAsia="zh-CN"/>
        </w:rPr>
        <w:t>。</w:t>
      </w:r>
    </w:p>
    <w:p w14:paraId="77DA4B9D">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三、获取招标文件</w:t>
      </w:r>
    </w:p>
    <w:p w14:paraId="78807AD0">
      <w:pPr>
        <w:spacing w:line="500" w:lineRule="exact"/>
        <w:ind w:firstLine="480"/>
        <w:rPr>
          <w:rFonts w:hint="eastAsia" w:ascii="仿宋" w:hAnsi="仿宋" w:eastAsia="仿宋" w:cs="仿宋"/>
          <w:bCs/>
          <w:color w:val="000000"/>
          <w:sz w:val="24"/>
          <w:szCs w:val="24"/>
          <w:highlight w:val="none"/>
        </w:rPr>
      </w:pPr>
      <w:r>
        <w:rPr>
          <w:rFonts w:hint="eastAsia" w:ascii="仿宋" w:hAnsi="仿宋" w:eastAsia="仿宋" w:cs="仿宋"/>
          <w:bCs/>
          <w:color w:val="000000"/>
          <w:highlight w:val="none"/>
        </w:rPr>
        <w:t>（一）时间：</w:t>
      </w:r>
      <w:bookmarkStart w:id="6" w:name="EBd6e08bd78d674b669f89e3eb71dbbd3d"/>
      <w:r>
        <w:rPr>
          <w:rFonts w:hint="eastAsia" w:ascii="仿宋" w:hAnsi="仿宋" w:eastAsia="仿宋" w:cs="仿宋"/>
          <w:bCs/>
          <w:color w:val="000000"/>
          <w:sz w:val="24"/>
          <w:szCs w:val="24"/>
          <w:highlight w:val="none"/>
        </w:rPr>
        <w:t>2025年</w:t>
      </w:r>
      <w:r>
        <w:rPr>
          <w:rFonts w:hint="eastAsia" w:ascii="仿宋" w:hAnsi="仿宋" w:eastAsia="仿宋" w:cs="仿宋"/>
          <w:bCs/>
          <w:color w:val="000000"/>
          <w:sz w:val="24"/>
          <w:szCs w:val="24"/>
          <w:highlight w:val="none"/>
          <w:lang w:val="en-US" w:eastAsia="zh-CN"/>
        </w:rPr>
        <w:t>9</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lang w:val="en-US" w:eastAsia="zh-CN"/>
        </w:rPr>
        <w:t>1</w:t>
      </w:r>
      <w:r>
        <w:rPr>
          <w:rFonts w:hint="eastAsia" w:ascii="仿宋" w:hAnsi="仿宋" w:eastAsia="仿宋" w:cs="仿宋"/>
          <w:bCs/>
          <w:color w:val="000000"/>
          <w:sz w:val="24"/>
          <w:szCs w:val="24"/>
          <w:highlight w:val="none"/>
        </w:rPr>
        <w:t xml:space="preserve">日 </w:t>
      </w:r>
      <w:r>
        <w:rPr>
          <w:rFonts w:hint="eastAsia" w:ascii="仿宋" w:hAnsi="仿宋" w:eastAsia="仿宋" w:cs="仿宋"/>
          <w:bCs/>
          <w:color w:val="000000"/>
          <w:sz w:val="24"/>
          <w:szCs w:val="24"/>
          <w:highlight w:val="none"/>
          <w:lang w:val="en-US" w:eastAsia="zh-CN"/>
        </w:rPr>
        <w:t>9</w:t>
      </w:r>
      <w:r>
        <w:rPr>
          <w:rFonts w:hint="eastAsia" w:ascii="仿宋" w:hAnsi="仿宋" w:eastAsia="仿宋" w:cs="仿宋"/>
          <w:bCs/>
          <w:color w:val="000000"/>
          <w:sz w:val="24"/>
          <w:szCs w:val="24"/>
          <w:highlight w:val="none"/>
        </w:rPr>
        <w:t>:00</w:t>
      </w:r>
      <w:bookmarkEnd w:id="6"/>
      <w:r>
        <w:rPr>
          <w:rFonts w:hint="eastAsia" w:ascii="仿宋" w:hAnsi="仿宋" w:eastAsia="仿宋" w:cs="仿宋"/>
          <w:bCs/>
          <w:color w:val="000000"/>
          <w:sz w:val="24"/>
          <w:szCs w:val="24"/>
          <w:highlight w:val="none"/>
        </w:rPr>
        <w:t>至</w:t>
      </w:r>
      <w:bookmarkStart w:id="7" w:name="EB4a82fe30d91a48338ebb02b9012d939c"/>
      <w:r>
        <w:rPr>
          <w:rFonts w:hint="eastAsia" w:ascii="仿宋" w:hAnsi="仿宋" w:eastAsia="仿宋" w:cs="仿宋"/>
          <w:bCs/>
          <w:color w:val="000000"/>
          <w:sz w:val="24"/>
          <w:szCs w:val="24"/>
          <w:highlight w:val="none"/>
        </w:rPr>
        <w:t>2025年</w:t>
      </w:r>
      <w:r>
        <w:rPr>
          <w:rFonts w:hint="eastAsia" w:ascii="仿宋" w:hAnsi="仿宋" w:eastAsia="仿宋" w:cs="仿宋"/>
          <w:bCs/>
          <w:color w:val="000000"/>
          <w:sz w:val="24"/>
          <w:szCs w:val="24"/>
          <w:highlight w:val="none"/>
          <w:lang w:val="en-US" w:eastAsia="zh-CN"/>
        </w:rPr>
        <w:t>9</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lang w:val="en-US" w:eastAsia="zh-CN"/>
        </w:rPr>
        <w:t>8</w:t>
      </w:r>
      <w:r>
        <w:rPr>
          <w:rFonts w:hint="eastAsia" w:ascii="仿宋" w:hAnsi="仿宋" w:eastAsia="仿宋" w:cs="仿宋"/>
          <w:bCs/>
          <w:color w:val="000000"/>
          <w:sz w:val="24"/>
          <w:szCs w:val="24"/>
          <w:highlight w:val="none"/>
        </w:rPr>
        <w:t>日 17:00</w:t>
      </w:r>
      <w:bookmarkEnd w:id="7"/>
      <w:r>
        <w:rPr>
          <w:rFonts w:hint="eastAsia" w:ascii="仿宋" w:hAnsi="仿宋" w:eastAsia="仿宋" w:cs="仿宋"/>
          <w:bCs/>
          <w:color w:val="000000"/>
          <w:sz w:val="24"/>
          <w:szCs w:val="24"/>
          <w:highlight w:val="none"/>
        </w:rPr>
        <w:t>，每天上午9:00-11:30，下午14:00-17:00（北京时间）。</w:t>
      </w:r>
    </w:p>
    <w:p w14:paraId="63D0842E">
      <w:pPr>
        <w:spacing w:line="500" w:lineRule="exact"/>
        <w:ind w:firstLine="480"/>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提供期限届满后，获取采购文件的潜在供应商不足3家的，可以顺延提供期限，并予公告。</w:t>
      </w:r>
    </w:p>
    <w:p w14:paraId="18479CD9">
      <w:pPr>
        <w:spacing w:line="500" w:lineRule="exact"/>
        <w:ind w:firstLine="480"/>
        <w:rPr>
          <w:rFonts w:ascii="仿宋" w:hAnsi="仿宋" w:eastAsia="仿宋" w:cs="仿宋"/>
          <w:bCs/>
          <w:color w:val="000000"/>
          <w:highlight w:val="none"/>
        </w:rPr>
      </w:pPr>
      <w:r>
        <w:rPr>
          <w:rFonts w:hint="eastAsia" w:ascii="仿宋" w:hAnsi="仿宋" w:eastAsia="仿宋" w:cs="仿宋"/>
          <w:bCs/>
          <w:color w:val="000000"/>
          <w:highlight w:val="none"/>
        </w:rPr>
        <w:t>（二）地点：南京相度工程咨询有限公司</w:t>
      </w:r>
    </w:p>
    <w:p w14:paraId="3A792E92">
      <w:pPr>
        <w:spacing w:line="500" w:lineRule="exact"/>
        <w:ind w:firstLine="480"/>
        <w:rPr>
          <w:rFonts w:hint="eastAsia" w:ascii="仿宋" w:hAnsi="仿宋" w:eastAsia="仿宋" w:cs="仿宋"/>
          <w:bCs/>
          <w:color w:val="000000"/>
          <w:highlight w:val="none"/>
        </w:rPr>
      </w:pPr>
      <w:r>
        <w:rPr>
          <w:rFonts w:hint="eastAsia" w:ascii="仿宋" w:hAnsi="仿宋" w:eastAsia="仿宋" w:cs="仿宋"/>
          <w:bCs/>
          <w:color w:val="000000"/>
          <w:highlight w:val="none"/>
        </w:rPr>
        <w:t>（三）方式：微信公众号（服务号）下方菜单栏“文件获取”中填写信息，获取纸质采购文件。微信公众号（服务号）名称：南京相度工程咨询有限公司。</w:t>
      </w:r>
    </w:p>
    <w:p w14:paraId="4BD3DA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000000"/>
          <w:highlight w:val="none"/>
        </w:rPr>
      </w:pPr>
      <w:r>
        <w:rPr>
          <w:rFonts w:hint="eastAsia" w:ascii="Times New Roman" w:hAnsi="仿宋_GB2312" w:eastAsia="仿宋_GB2312" w:cs="Times New Roman"/>
          <w:bCs/>
          <w:color w:val="000000"/>
          <w:sz w:val="24"/>
          <w:szCs w:val="24"/>
          <w:highlight w:val="none"/>
          <w:lang w:eastAsia="zh-CN"/>
        </w:rPr>
        <w:drawing>
          <wp:inline distT="0" distB="0" distL="114300" distR="114300">
            <wp:extent cx="1403985" cy="1403985"/>
            <wp:effectExtent l="0" t="0" r="5715" b="5715"/>
            <wp:docPr id="3"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图片1"/>
                    <pic:cNvPicPr>
                      <a:picLocks noChangeAspect="1"/>
                    </pic:cNvPicPr>
                  </pic:nvPicPr>
                  <pic:blipFill>
                    <a:blip r:embed="rId8"/>
                    <a:stretch>
                      <a:fillRect/>
                    </a:stretch>
                  </pic:blipFill>
                  <pic:spPr>
                    <a:xfrm>
                      <a:off x="0" y="0"/>
                      <a:ext cx="1403985" cy="1403985"/>
                    </a:xfrm>
                    <a:prstGeom prst="rect">
                      <a:avLst/>
                    </a:prstGeom>
                    <a:noFill/>
                    <a:ln>
                      <a:noFill/>
                    </a:ln>
                  </pic:spPr>
                </pic:pic>
              </a:graphicData>
            </a:graphic>
          </wp:inline>
        </w:drawing>
      </w:r>
    </w:p>
    <w:p w14:paraId="122C1B6B">
      <w:pPr>
        <w:spacing w:line="500" w:lineRule="exact"/>
        <w:ind w:firstLine="480"/>
        <w:rPr>
          <w:rFonts w:ascii="仿宋" w:hAnsi="仿宋" w:eastAsia="仿宋" w:cs="仿宋"/>
          <w:bCs/>
          <w:color w:val="000000"/>
          <w:highlight w:val="none"/>
        </w:rPr>
      </w:pPr>
      <w:r>
        <w:rPr>
          <w:rFonts w:hint="eastAsia" w:ascii="仿宋" w:hAnsi="仿宋" w:eastAsia="仿宋" w:cs="仿宋"/>
          <w:bCs/>
          <w:color w:val="000000"/>
          <w:highlight w:val="none"/>
        </w:rPr>
        <w:t>（四）售</w:t>
      </w:r>
      <w:r>
        <w:rPr>
          <w:rFonts w:hint="eastAsia" w:ascii="仿宋" w:hAnsi="仿宋" w:eastAsia="仿宋" w:cs="仿宋"/>
          <w:color w:val="000000"/>
          <w:highlight w:val="none"/>
        </w:rPr>
        <w:t>价：</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00元/</w:t>
      </w:r>
      <w:r>
        <w:rPr>
          <w:rFonts w:hint="eastAsia" w:ascii="仿宋" w:hAnsi="仿宋" w:eastAsia="仿宋" w:cs="仿宋"/>
          <w:color w:val="000000"/>
          <w:highlight w:val="none"/>
          <w:lang w:val="en-US" w:eastAsia="zh-CN"/>
        </w:rPr>
        <w:t>包</w:t>
      </w:r>
      <w:r>
        <w:rPr>
          <w:rFonts w:hint="eastAsia" w:ascii="仿宋" w:hAnsi="仿宋" w:eastAsia="仿宋" w:cs="仿宋"/>
          <w:color w:val="000000"/>
          <w:highlight w:val="none"/>
        </w:rPr>
        <w:t>，售后不</w:t>
      </w:r>
      <w:r>
        <w:rPr>
          <w:rFonts w:hint="eastAsia" w:ascii="仿宋" w:hAnsi="仿宋" w:eastAsia="仿宋" w:cs="仿宋"/>
          <w:bCs/>
          <w:color w:val="000000"/>
          <w:highlight w:val="none"/>
        </w:rPr>
        <w:t>退。</w:t>
      </w:r>
    </w:p>
    <w:p w14:paraId="7F816AD9">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四、提交投标文件截止时间、开标时间和地点</w:t>
      </w:r>
    </w:p>
    <w:p w14:paraId="3CED4402">
      <w:pPr>
        <w:spacing w:line="500" w:lineRule="exact"/>
        <w:ind w:firstLine="480"/>
        <w:rPr>
          <w:rFonts w:ascii="仿宋" w:hAnsi="仿宋" w:eastAsia="仿宋" w:cs="仿宋"/>
          <w:highlight w:val="none"/>
        </w:rPr>
      </w:pPr>
      <w:r>
        <w:rPr>
          <w:rFonts w:hint="eastAsia" w:ascii="仿宋" w:hAnsi="仿宋" w:eastAsia="仿宋" w:cs="仿宋"/>
          <w:highlight w:val="none"/>
        </w:rPr>
        <w:t>（一）时间</w:t>
      </w:r>
      <w:r>
        <w:rPr>
          <w:rFonts w:hint="eastAsia" w:ascii="仿宋" w:hAnsi="仿宋" w:eastAsia="仿宋" w:cs="仿宋"/>
          <w:color w:val="auto"/>
          <w:highlight w:val="none"/>
        </w:rPr>
        <w:t>：</w:t>
      </w:r>
      <w:bookmarkStart w:id="8" w:name="EB32f26f7a56ea4234ac2c058c48587799"/>
      <w:bookmarkEnd w:id="8"/>
      <w:r>
        <w:rPr>
          <w:rFonts w:hint="eastAsia" w:ascii="仿宋" w:hAnsi="仿宋" w:eastAsia="仿宋" w:cs="仿宋"/>
          <w:bCs/>
          <w:color w:val="000000"/>
          <w:sz w:val="24"/>
          <w:szCs w:val="24"/>
          <w:highlight w:val="none"/>
        </w:rPr>
        <w:t>2025年</w:t>
      </w:r>
      <w:r>
        <w:rPr>
          <w:rFonts w:hint="eastAsia" w:ascii="仿宋" w:hAnsi="仿宋" w:eastAsia="仿宋" w:cs="仿宋"/>
          <w:bCs/>
          <w:color w:val="000000"/>
          <w:sz w:val="24"/>
          <w:szCs w:val="24"/>
          <w:highlight w:val="none"/>
          <w:lang w:val="en-US" w:eastAsia="zh-CN"/>
        </w:rPr>
        <w:t>9</w:t>
      </w:r>
      <w:r>
        <w:rPr>
          <w:rFonts w:hint="eastAsia" w:ascii="仿宋" w:hAnsi="仿宋" w:eastAsia="仿宋" w:cs="仿宋"/>
          <w:bCs/>
          <w:color w:val="000000"/>
          <w:sz w:val="24"/>
          <w:szCs w:val="24"/>
          <w:highlight w:val="none"/>
        </w:rPr>
        <w:t>月</w:t>
      </w:r>
      <w:r>
        <w:rPr>
          <w:rFonts w:hint="eastAsia" w:ascii="仿宋" w:hAnsi="仿宋" w:eastAsia="仿宋" w:cs="仿宋"/>
          <w:bCs/>
          <w:color w:val="000000"/>
          <w:sz w:val="24"/>
          <w:szCs w:val="24"/>
          <w:highlight w:val="none"/>
          <w:lang w:val="en-US" w:eastAsia="zh-CN"/>
        </w:rPr>
        <w:t>22</w:t>
      </w:r>
      <w:r>
        <w:rPr>
          <w:rFonts w:hint="eastAsia" w:ascii="仿宋" w:hAnsi="仿宋" w:eastAsia="仿宋" w:cs="仿宋"/>
          <w:bCs/>
          <w:color w:val="000000"/>
          <w:sz w:val="24"/>
          <w:szCs w:val="24"/>
          <w:highlight w:val="none"/>
        </w:rPr>
        <w:t>日</w:t>
      </w:r>
      <w:r>
        <w:rPr>
          <w:rFonts w:hint="eastAsia" w:ascii="仿宋" w:hAnsi="仿宋" w:eastAsia="仿宋" w:cs="仿宋"/>
          <w:bCs/>
          <w:iCs/>
          <w:color w:val="000000"/>
          <w:sz w:val="24"/>
          <w:highlight w:val="none"/>
        </w:rPr>
        <w:t xml:space="preserve"> </w:t>
      </w:r>
      <w:r>
        <w:rPr>
          <w:rFonts w:hint="eastAsia" w:ascii="仿宋" w:hAnsi="仿宋" w:eastAsia="仿宋" w:cs="仿宋"/>
          <w:bCs/>
          <w:iCs/>
          <w:color w:val="000000"/>
          <w:sz w:val="24"/>
          <w:highlight w:val="none"/>
          <w:lang w:val="en-US" w:eastAsia="zh-CN"/>
        </w:rPr>
        <w:t>14:3</w:t>
      </w:r>
      <w:r>
        <w:rPr>
          <w:rFonts w:hint="eastAsia" w:ascii="仿宋" w:hAnsi="仿宋" w:eastAsia="仿宋" w:cs="仿宋"/>
          <w:bCs/>
          <w:iCs/>
          <w:color w:val="000000"/>
          <w:sz w:val="24"/>
          <w:highlight w:val="none"/>
        </w:rPr>
        <w:t>0</w:t>
      </w:r>
      <w:r>
        <w:rPr>
          <w:rFonts w:hint="eastAsia" w:ascii="仿宋" w:hAnsi="仿宋" w:eastAsia="仿宋" w:cs="仿宋"/>
          <w:bCs/>
          <w:iCs/>
          <w:color w:val="auto"/>
          <w:highlight w:val="none"/>
        </w:rPr>
        <w:t>（北</w:t>
      </w:r>
      <w:r>
        <w:rPr>
          <w:rFonts w:hint="eastAsia" w:ascii="仿宋" w:hAnsi="仿宋" w:eastAsia="仿宋" w:cs="仿宋"/>
          <w:bCs/>
          <w:iCs/>
          <w:color w:val="000000"/>
          <w:highlight w:val="none"/>
        </w:rPr>
        <w:t>京时间）</w:t>
      </w:r>
    </w:p>
    <w:p w14:paraId="380652CA">
      <w:pPr>
        <w:spacing w:line="500" w:lineRule="exact"/>
        <w:ind w:firstLine="480"/>
        <w:rPr>
          <w:rFonts w:ascii="仿宋" w:hAnsi="仿宋" w:eastAsia="仿宋" w:cs="仿宋"/>
          <w:color w:val="000000"/>
          <w:highlight w:val="none"/>
        </w:rPr>
      </w:pPr>
      <w:r>
        <w:rPr>
          <w:rFonts w:hint="eastAsia" w:ascii="仿宋" w:hAnsi="仿宋" w:eastAsia="仿宋" w:cs="仿宋"/>
          <w:highlight w:val="none"/>
        </w:rPr>
        <w:t>（二）地点</w:t>
      </w:r>
      <w:r>
        <w:rPr>
          <w:rFonts w:hint="eastAsia" w:ascii="仿宋" w:hAnsi="仿宋" w:eastAsia="仿宋" w:cs="仿宋"/>
          <w:color w:val="000000"/>
          <w:highlight w:val="none"/>
        </w:rPr>
        <w:t>：</w:t>
      </w:r>
      <w:bookmarkStart w:id="9" w:name="EB5915918a541e40afa5d8d4e64ad5179a"/>
      <w:r>
        <w:rPr>
          <w:rFonts w:hint="eastAsia" w:ascii="仿宋" w:hAnsi="仿宋" w:eastAsia="仿宋" w:cs="仿宋"/>
          <w:color w:val="000000"/>
          <w:highlight w:val="none"/>
        </w:rPr>
        <w:t>南京市中山南路414号投资大厦A层（13层）C室开标厅。</w:t>
      </w:r>
      <w:bookmarkEnd w:id="9"/>
    </w:p>
    <w:p w14:paraId="6F8ECF4A">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五、公告期限</w:t>
      </w:r>
    </w:p>
    <w:p w14:paraId="661FCA7F">
      <w:pPr>
        <w:spacing w:line="500" w:lineRule="exact"/>
        <w:ind w:firstLine="480"/>
        <w:rPr>
          <w:rFonts w:ascii="仿宋" w:hAnsi="仿宋" w:eastAsia="仿宋" w:cs="仿宋"/>
          <w:highlight w:val="none"/>
        </w:rPr>
      </w:pPr>
      <w:r>
        <w:rPr>
          <w:rFonts w:hint="eastAsia" w:ascii="仿宋" w:hAnsi="仿宋" w:eastAsia="仿宋" w:cs="仿宋"/>
          <w:highlight w:val="none"/>
        </w:rPr>
        <w:t>自公告发布之日起5个工作日。</w:t>
      </w:r>
    </w:p>
    <w:p w14:paraId="6C75FF94">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六、其他补充事宜</w:t>
      </w:r>
    </w:p>
    <w:p w14:paraId="51290292">
      <w:pPr>
        <w:spacing w:line="500" w:lineRule="exact"/>
        <w:ind w:firstLine="482"/>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无</w:t>
      </w:r>
    </w:p>
    <w:p w14:paraId="42097004">
      <w:pPr>
        <w:spacing w:line="500" w:lineRule="exact"/>
        <w:ind w:firstLine="482"/>
        <w:rPr>
          <w:rFonts w:hint="eastAsia" w:ascii="仿宋" w:hAnsi="仿宋" w:eastAsia="仿宋" w:cs="仿宋"/>
          <w:b/>
          <w:color w:val="auto"/>
          <w:highlight w:val="none"/>
        </w:rPr>
      </w:pPr>
      <w:r>
        <w:rPr>
          <w:rFonts w:hint="eastAsia" w:ascii="仿宋" w:hAnsi="仿宋" w:eastAsia="仿宋" w:cs="仿宋"/>
          <w:b/>
          <w:color w:val="auto"/>
          <w:highlight w:val="none"/>
        </w:rPr>
        <w:t>七、对本次采购提出询问，请按以下方式联系。</w:t>
      </w:r>
    </w:p>
    <w:p w14:paraId="350D154F">
      <w:pPr>
        <w:spacing w:line="500" w:lineRule="exact"/>
        <w:ind w:firstLine="480"/>
        <w:rPr>
          <w:rFonts w:hint="eastAsia" w:ascii="仿宋" w:hAnsi="仿宋" w:eastAsia="仿宋" w:cs="仿宋"/>
          <w:highlight w:val="none"/>
        </w:rPr>
      </w:pPr>
      <w:r>
        <w:rPr>
          <w:rFonts w:hint="eastAsia" w:ascii="仿宋" w:hAnsi="仿宋" w:eastAsia="仿宋" w:cs="仿宋"/>
          <w:highlight w:val="none"/>
        </w:rPr>
        <w:t>1.采购人信息</w:t>
      </w:r>
    </w:p>
    <w:p w14:paraId="602E211C">
      <w:pPr>
        <w:spacing w:line="500" w:lineRule="exact"/>
        <w:ind w:firstLine="480"/>
        <w:rPr>
          <w:rFonts w:hint="eastAsia" w:ascii="仿宋" w:hAnsi="仿宋" w:eastAsia="仿宋" w:cs="仿宋"/>
          <w:highlight w:val="none"/>
        </w:rPr>
      </w:pPr>
      <w:r>
        <w:rPr>
          <w:rFonts w:hint="eastAsia" w:ascii="仿宋" w:hAnsi="仿宋" w:eastAsia="仿宋" w:cs="仿宋"/>
          <w:highlight w:val="none"/>
        </w:rPr>
        <w:t>名称：</w:t>
      </w:r>
      <w:r>
        <w:rPr>
          <w:rFonts w:hint="eastAsia" w:ascii="仿宋" w:hAnsi="仿宋" w:eastAsia="仿宋" w:cs="仿宋"/>
          <w:highlight w:val="none"/>
          <w:lang w:eastAsia="zh-CN"/>
        </w:rPr>
        <w:t>江苏省第二中医院</w:t>
      </w:r>
    </w:p>
    <w:p w14:paraId="583D1E98">
      <w:pPr>
        <w:spacing w:line="500" w:lineRule="exact"/>
        <w:ind w:firstLine="480"/>
        <w:rPr>
          <w:rFonts w:hint="eastAsia" w:ascii="仿宋" w:hAnsi="仿宋" w:eastAsia="仿宋" w:cs="仿宋"/>
          <w:highlight w:val="none"/>
        </w:rPr>
      </w:pPr>
      <w:r>
        <w:rPr>
          <w:rFonts w:hint="eastAsia" w:ascii="仿宋" w:hAnsi="仿宋" w:eastAsia="仿宋" w:cs="仿宋"/>
          <w:highlight w:val="none"/>
        </w:rPr>
        <w:t>地址：南京市建邺区南湖路23号</w:t>
      </w:r>
    </w:p>
    <w:p w14:paraId="464031F8">
      <w:pPr>
        <w:spacing w:line="500" w:lineRule="exact"/>
        <w:ind w:firstLine="480"/>
        <w:rPr>
          <w:rFonts w:hint="eastAsia" w:ascii="仿宋" w:hAnsi="仿宋" w:eastAsia="仿宋" w:cs="仿宋"/>
          <w:highlight w:val="none"/>
          <w:lang w:val="en-US" w:eastAsia="zh-CN"/>
        </w:rPr>
      </w:pPr>
      <w:r>
        <w:rPr>
          <w:rFonts w:hint="eastAsia" w:ascii="仿宋" w:hAnsi="仿宋" w:eastAsia="仿宋" w:cs="仿宋"/>
          <w:highlight w:val="none"/>
        </w:rPr>
        <w:t>联系人：</w:t>
      </w:r>
      <w:r>
        <w:rPr>
          <w:rFonts w:hint="eastAsia" w:ascii="仿宋" w:hAnsi="仿宋" w:eastAsia="仿宋" w:cs="仿宋"/>
          <w:highlight w:val="none"/>
          <w:lang w:val="en-US" w:eastAsia="zh-CN"/>
        </w:rPr>
        <w:t>纪老师</w:t>
      </w:r>
    </w:p>
    <w:p w14:paraId="2B1E7329">
      <w:pPr>
        <w:spacing w:line="500" w:lineRule="exact"/>
        <w:ind w:firstLine="480"/>
        <w:rPr>
          <w:rFonts w:ascii="仿宋" w:hAnsi="仿宋" w:eastAsia="仿宋" w:cs="仿宋"/>
          <w:highlight w:val="none"/>
        </w:rPr>
      </w:pPr>
      <w:r>
        <w:rPr>
          <w:rFonts w:hint="eastAsia" w:ascii="仿宋" w:hAnsi="仿宋" w:eastAsia="仿宋" w:cs="仿宋"/>
          <w:highlight w:val="none"/>
        </w:rPr>
        <w:t>联系方式：025-83291402</w:t>
      </w:r>
    </w:p>
    <w:p w14:paraId="464EDE89">
      <w:pPr>
        <w:spacing w:line="500" w:lineRule="exact"/>
        <w:ind w:firstLine="480"/>
        <w:rPr>
          <w:rFonts w:ascii="仿宋" w:hAnsi="仿宋" w:eastAsia="仿宋" w:cs="仿宋"/>
          <w:highlight w:val="none"/>
        </w:rPr>
      </w:pPr>
      <w:r>
        <w:rPr>
          <w:rFonts w:hint="eastAsia" w:ascii="仿宋" w:hAnsi="仿宋" w:eastAsia="仿宋" w:cs="仿宋"/>
          <w:highlight w:val="none"/>
        </w:rPr>
        <w:t>2.采购代理机构信息</w:t>
      </w:r>
    </w:p>
    <w:p w14:paraId="05F8CCE0">
      <w:pPr>
        <w:spacing w:line="500" w:lineRule="exact"/>
        <w:ind w:firstLine="480"/>
        <w:rPr>
          <w:rFonts w:ascii="仿宋" w:hAnsi="仿宋" w:eastAsia="仿宋" w:cs="仿宋"/>
          <w:highlight w:val="none"/>
        </w:rPr>
      </w:pPr>
      <w:r>
        <w:rPr>
          <w:rFonts w:hint="eastAsia" w:ascii="仿宋" w:hAnsi="仿宋" w:eastAsia="仿宋" w:cs="仿宋"/>
          <w:highlight w:val="none"/>
        </w:rPr>
        <w:t>名称：南京相度工程咨询有限公司</w:t>
      </w:r>
    </w:p>
    <w:p w14:paraId="53F3B589">
      <w:pPr>
        <w:spacing w:line="500" w:lineRule="exact"/>
        <w:ind w:firstLine="480"/>
        <w:rPr>
          <w:rFonts w:ascii="仿宋" w:hAnsi="仿宋" w:eastAsia="仿宋" w:cs="仿宋"/>
          <w:highlight w:val="none"/>
        </w:rPr>
      </w:pPr>
      <w:r>
        <w:rPr>
          <w:rFonts w:hint="eastAsia" w:ascii="仿宋" w:hAnsi="仿宋" w:eastAsia="仿宋" w:cs="仿宋"/>
          <w:highlight w:val="none"/>
        </w:rPr>
        <w:t>地址：南京市中山南路414号投资大厦A层（13层）C室</w:t>
      </w:r>
    </w:p>
    <w:p w14:paraId="6A27A73C">
      <w:pPr>
        <w:spacing w:line="500" w:lineRule="exact"/>
        <w:ind w:firstLine="480"/>
        <w:rPr>
          <w:rFonts w:hint="eastAsia" w:ascii="仿宋" w:hAnsi="仿宋" w:eastAsia="仿宋" w:cs="仿宋"/>
          <w:highlight w:val="none"/>
          <w:lang w:eastAsia="zh-CN"/>
        </w:rPr>
      </w:pPr>
      <w:r>
        <w:rPr>
          <w:rFonts w:hint="eastAsia" w:ascii="仿宋" w:hAnsi="仿宋" w:eastAsia="仿宋" w:cs="仿宋"/>
          <w:highlight w:val="none"/>
        </w:rPr>
        <w:t>联系人：阮登湖</w:t>
      </w:r>
      <w:r>
        <w:rPr>
          <w:rFonts w:hint="eastAsia" w:ascii="仿宋" w:hAnsi="仿宋" w:eastAsia="仿宋" w:cs="仿宋"/>
          <w:highlight w:val="none"/>
          <w:lang w:eastAsia="zh-CN"/>
        </w:rPr>
        <w:t>（</w:t>
      </w:r>
      <w:r>
        <w:rPr>
          <w:rFonts w:hint="eastAsia" w:ascii="仿宋" w:hAnsi="仿宋" w:eastAsia="仿宋" w:cs="仿宋"/>
          <w:highlight w:val="none"/>
          <w:lang w:val="en-US" w:eastAsia="zh-CN"/>
        </w:rPr>
        <w:t>项目负责人</w:t>
      </w:r>
      <w:r>
        <w:rPr>
          <w:rFonts w:hint="eastAsia" w:ascii="仿宋" w:hAnsi="仿宋" w:eastAsia="仿宋" w:cs="仿宋"/>
          <w:highlight w:val="none"/>
          <w:lang w:eastAsia="zh-CN"/>
        </w:rPr>
        <w:t>）、</w:t>
      </w:r>
      <w:r>
        <w:rPr>
          <w:rFonts w:hint="eastAsia" w:ascii="仿宋" w:hAnsi="仿宋" w:eastAsia="仿宋" w:cs="仿宋"/>
          <w:highlight w:val="none"/>
        </w:rPr>
        <w:t>万晗晓</w:t>
      </w:r>
    </w:p>
    <w:p w14:paraId="32EA6E2B">
      <w:pPr>
        <w:spacing w:line="500" w:lineRule="exact"/>
        <w:ind w:firstLine="480"/>
        <w:rPr>
          <w:rFonts w:ascii="仿宋" w:hAnsi="仿宋" w:eastAsia="仿宋" w:cs="仿宋"/>
          <w:highlight w:val="none"/>
        </w:rPr>
      </w:pPr>
      <w:r>
        <w:rPr>
          <w:rFonts w:hint="eastAsia" w:ascii="仿宋" w:hAnsi="仿宋" w:eastAsia="仿宋" w:cs="仿宋"/>
          <w:highlight w:val="none"/>
        </w:rPr>
        <w:t>联系方式：025-85507079</w:t>
      </w:r>
    </w:p>
    <w:p w14:paraId="28BE843C">
      <w:pPr>
        <w:spacing w:line="500" w:lineRule="exact"/>
        <w:ind w:firstLine="480"/>
        <w:rPr>
          <w:rFonts w:ascii="仿宋" w:hAnsi="仿宋" w:eastAsia="仿宋" w:cs="仿宋"/>
          <w:highlight w:val="none"/>
        </w:rPr>
      </w:pPr>
      <w:r>
        <w:rPr>
          <w:rFonts w:hint="eastAsia" w:ascii="仿宋" w:hAnsi="仿宋" w:eastAsia="仿宋" w:cs="仿宋"/>
          <w:highlight w:val="none"/>
        </w:rPr>
        <w:t>3.项目联系方式</w:t>
      </w:r>
    </w:p>
    <w:p w14:paraId="7E442B69">
      <w:pPr>
        <w:spacing w:line="500" w:lineRule="exact"/>
        <w:ind w:firstLine="480"/>
        <w:rPr>
          <w:rFonts w:ascii="仿宋" w:hAnsi="仿宋" w:eastAsia="仿宋" w:cs="仿宋"/>
          <w:highlight w:val="none"/>
        </w:rPr>
      </w:pPr>
      <w:bookmarkStart w:id="10" w:name="EB6c5d4254c80a4b9cbed1a4ace593426e"/>
      <w:r>
        <w:rPr>
          <w:rFonts w:hint="eastAsia" w:ascii="仿宋" w:hAnsi="仿宋" w:eastAsia="仿宋" w:cs="仿宋"/>
          <w:highlight w:val="none"/>
        </w:rPr>
        <w:t>项目联系人：阮登湖</w:t>
      </w:r>
      <w:r>
        <w:rPr>
          <w:rFonts w:hint="eastAsia" w:ascii="仿宋" w:hAnsi="仿宋" w:eastAsia="仿宋" w:cs="仿宋"/>
          <w:highlight w:val="none"/>
          <w:lang w:eastAsia="zh-CN"/>
        </w:rPr>
        <w:t>（</w:t>
      </w:r>
      <w:r>
        <w:rPr>
          <w:rFonts w:hint="eastAsia" w:ascii="仿宋" w:hAnsi="仿宋" w:eastAsia="仿宋" w:cs="仿宋"/>
          <w:highlight w:val="none"/>
          <w:lang w:val="en-US" w:eastAsia="zh-CN"/>
        </w:rPr>
        <w:t>项目负责人</w:t>
      </w:r>
      <w:r>
        <w:rPr>
          <w:rFonts w:hint="eastAsia" w:ascii="仿宋" w:hAnsi="仿宋" w:eastAsia="仿宋" w:cs="仿宋"/>
          <w:highlight w:val="none"/>
          <w:lang w:eastAsia="zh-CN"/>
        </w:rPr>
        <w:t>）、</w:t>
      </w:r>
      <w:r>
        <w:rPr>
          <w:rFonts w:hint="eastAsia" w:ascii="仿宋" w:hAnsi="仿宋" w:eastAsia="仿宋" w:cs="仿宋"/>
          <w:highlight w:val="none"/>
        </w:rPr>
        <w:t>万晗晓</w:t>
      </w:r>
    </w:p>
    <w:p w14:paraId="4706D9BB">
      <w:pPr>
        <w:spacing w:line="500" w:lineRule="exact"/>
        <w:ind w:firstLine="480"/>
        <w:rPr>
          <w:rFonts w:ascii="仿宋" w:hAnsi="仿宋" w:eastAsia="仿宋" w:cs="仿宋"/>
          <w:highlight w:val="none"/>
        </w:rPr>
      </w:pPr>
      <w:r>
        <w:rPr>
          <w:rFonts w:hint="eastAsia" w:ascii="仿宋" w:hAnsi="仿宋" w:eastAsia="仿宋" w:cs="仿宋"/>
          <w:highlight w:val="none"/>
        </w:rPr>
        <w:t>电话：025-85507079</w:t>
      </w:r>
    </w:p>
    <w:p w14:paraId="0C47F8CB">
      <w:pPr>
        <w:rPr>
          <w:highlight w:val="none"/>
        </w:rPr>
      </w:pPr>
      <w:r>
        <w:rPr>
          <w:rFonts w:hint="eastAsia"/>
          <w:color w:val="000080"/>
          <w:sz w:val="20"/>
          <w:highlight w:val="none"/>
        </w:rPr>
        <w:t xml:space="preserve"> </w:t>
      </w:r>
      <w:bookmarkEnd w:id="10"/>
    </w:p>
    <w:p w14:paraId="56270C72">
      <w:pPr>
        <w:rPr>
          <w:highlight w:val="none"/>
        </w:rPr>
      </w:pPr>
      <w:r>
        <w:rPr>
          <w:highlight w:val="none"/>
        </w:rPr>
        <w:br w:type="page" w:clear="all"/>
      </w:r>
    </w:p>
    <w:p w14:paraId="30568148">
      <w:pPr>
        <w:pStyle w:val="204"/>
        <w:spacing w:line="240" w:lineRule="auto"/>
        <w:jc w:val="center"/>
        <w:rPr>
          <w:highlight w:val="none"/>
        </w:rPr>
      </w:pPr>
      <w:bookmarkStart w:id="11" w:name="_Toc4509"/>
      <w:bookmarkStart w:id="12" w:name="_Toc2104"/>
      <w:r>
        <w:rPr>
          <w:rFonts w:hint="eastAsia"/>
          <w:highlight w:val="none"/>
        </w:rPr>
        <w:t xml:space="preserve">第二部分  </w:t>
      </w:r>
      <w:r>
        <w:rPr>
          <w:rFonts w:hint="eastAsia"/>
          <w:highlight w:val="none"/>
          <w:lang w:eastAsia="zh-CN"/>
        </w:rPr>
        <w:t>投标人</w:t>
      </w:r>
      <w:r>
        <w:rPr>
          <w:rFonts w:hint="eastAsia"/>
          <w:highlight w:val="none"/>
        </w:rPr>
        <w:t>须知</w:t>
      </w:r>
      <w:bookmarkEnd w:id="11"/>
      <w:bookmarkEnd w:id="12"/>
    </w:p>
    <w:p w14:paraId="0C59A9D3">
      <w:pPr>
        <w:pStyle w:val="205"/>
        <w:spacing w:before="0" w:after="0" w:line="240" w:lineRule="auto"/>
        <w:rPr>
          <w:highlight w:val="none"/>
        </w:rPr>
      </w:pPr>
      <w:bookmarkStart w:id="13" w:name="_Toc921"/>
      <w:r>
        <w:rPr>
          <w:rFonts w:hint="eastAsia"/>
          <w:highlight w:val="none"/>
          <w:lang w:eastAsia="zh-CN"/>
        </w:rPr>
        <w:t>投标人</w:t>
      </w:r>
      <w:r>
        <w:rPr>
          <w:rFonts w:hint="eastAsia"/>
          <w:highlight w:val="none"/>
        </w:rPr>
        <w:t>须知前附表：</w:t>
      </w:r>
      <w:bookmarkEnd w:id="13"/>
    </w:p>
    <w:tbl>
      <w:tblPr>
        <w:tblStyle w:val="35"/>
        <w:tblW w:w="9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2013"/>
        <w:gridCol w:w="6859"/>
      </w:tblGrid>
      <w:tr w14:paraId="1C8B9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trPr>
        <w:tc>
          <w:tcPr>
            <w:tcW w:w="760" w:type="dxa"/>
            <w:vAlign w:val="center"/>
          </w:tcPr>
          <w:p w14:paraId="54DF45ED">
            <w:pPr>
              <w:spacing w:line="560" w:lineRule="exact"/>
              <w:jc w:val="center"/>
              <w:rPr>
                <w:rFonts w:ascii="仿宋" w:hAnsi="仿宋" w:eastAsia="仿宋" w:cs="仿宋"/>
                <w:b/>
                <w:bCs/>
                <w:color w:val="000000"/>
                <w:highlight w:val="none"/>
              </w:rPr>
            </w:pPr>
            <w:bookmarkStart w:id="14" w:name="EBc9d8a0a6c333409599b28034cbc893d2"/>
            <w:r>
              <w:rPr>
                <w:rFonts w:hint="eastAsia" w:ascii="仿宋" w:hAnsi="仿宋" w:eastAsia="仿宋" w:cs="仿宋"/>
                <w:b/>
                <w:bCs/>
                <w:color w:val="000000"/>
                <w:highlight w:val="none"/>
              </w:rPr>
              <w:t>序号</w:t>
            </w:r>
          </w:p>
        </w:tc>
        <w:tc>
          <w:tcPr>
            <w:tcW w:w="2013" w:type="dxa"/>
            <w:vAlign w:val="center"/>
          </w:tcPr>
          <w:p w14:paraId="33EA3FBC">
            <w:pPr>
              <w:spacing w:line="560" w:lineRule="exact"/>
              <w:jc w:val="center"/>
              <w:rPr>
                <w:rFonts w:ascii="仿宋" w:hAnsi="仿宋" w:eastAsia="仿宋" w:cs="仿宋"/>
                <w:b/>
                <w:color w:val="000000"/>
                <w:highlight w:val="none"/>
              </w:rPr>
            </w:pPr>
            <w:r>
              <w:rPr>
                <w:rFonts w:hint="eastAsia" w:ascii="仿宋" w:hAnsi="仿宋" w:eastAsia="仿宋" w:cs="仿宋"/>
                <w:b/>
                <w:color w:val="000000"/>
                <w:highlight w:val="none"/>
              </w:rPr>
              <w:t>内容</w:t>
            </w:r>
          </w:p>
        </w:tc>
        <w:tc>
          <w:tcPr>
            <w:tcW w:w="6859" w:type="dxa"/>
            <w:vAlign w:val="center"/>
          </w:tcPr>
          <w:p w14:paraId="6F0C53D4">
            <w:pPr>
              <w:spacing w:line="560" w:lineRule="exact"/>
              <w:jc w:val="center"/>
              <w:rPr>
                <w:rFonts w:ascii="仿宋" w:hAnsi="仿宋" w:eastAsia="仿宋" w:cs="仿宋"/>
                <w:b/>
                <w:bCs/>
                <w:color w:val="000000"/>
                <w:highlight w:val="none"/>
              </w:rPr>
            </w:pPr>
            <w:r>
              <w:rPr>
                <w:rFonts w:hint="eastAsia" w:ascii="仿宋" w:hAnsi="仿宋" w:eastAsia="仿宋" w:cs="仿宋"/>
                <w:b/>
                <w:bCs/>
                <w:color w:val="000000"/>
                <w:highlight w:val="none"/>
              </w:rPr>
              <w:t>说明及要求</w:t>
            </w:r>
          </w:p>
        </w:tc>
      </w:tr>
      <w:tr w14:paraId="38D06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20B15B43">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1</w:t>
            </w:r>
          </w:p>
        </w:tc>
        <w:tc>
          <w:tcPr>
            <w:tcW w:w="2013" w:type="dxa"/>
            <w:vAlign w:val="center"/>
          </w:tcPr>
          <w:p w14:paraId="122A5242">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特别说明</w:t>
            </w:r>
          </w:p>
        </w:tc>
        <w:tc>
          <w:tcPr>
            <w:tcW w:w="6859" w:type="dxa"/>
            <w:vAlign w:val="center"/>
          </w:tcPr>
          <w:p w14:paraId="78EC0E26">
            <w:pPr>
              <w:spacing w:line="560" w:lineRule="exact"/>
              <w:rPr>
                <w:rFonts w:ascii="仿宋" w:hAnsi="仿宋" w:eastAsia="仿宋" w:cs="仿宋"/>
                <w:color w:val="000000"/>
                <w:highlight w:val="none"/>
                <w:shd w:val="clear" w:color="auto" w:fill="FFC000"/>
              </w:rPr>
            </w:pPr>
            <w:r>
              <w:rPr>
                <w:rFonts w:hint="eastAsia" w:ascii="仿宋" w:hAnsi="仿宋" w:eastAsia="仿宋" w:cs="仿宋"/>
                <w:color w:val="000000"/>
                <w:highlight w:val="none"/>
              </w:rPr>
              <w:t>若有内容与</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须知前附表内容不一致时，以</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须知前附表为准。</w:t>
            </w:r>
          </w:p>
        </w:tc>
      </w:tr>
      <w:tr w14:paraId="34C73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46726528">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2</w:t>
            </w:r>
          </w:p>
        </w:tc>
        <w:tc>
          <w:tcPr>
            <w:tcW w:w="2013" w:type="dxa"/>
            <w:vAlign w:val="center"/>
          </w:tcPr>
          <w:p w14:paraId="2314A681">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投标保证金</w:t>
            </w:r>
          </w:p>
        </w:tc>
        <w:tc>
          <w:tcPr>
            <w:tcW w:w="6859" w:type="dxa"/>
            <w:vAlign w:val="center"/>
          </w:tcPr>
          <w:p w14:paraId="29C88E3E">
            <w:pPr>
              <w:spacing w:line="560" w:lineRule="exact"/>
              <w:rPr>
                <w:rFonts w:ascii="仿宋" w:hAnsi="仿宋" w:eastAsia="仿宋" w:cs="仿宋"/>
                <w:color w:val="000000"/>
                <w:highlight w:val="none"/>
              </w:rPr>
            </w:pPr>
            <w:r>
              <w:rPr>
                <w:rFonts w:hint="eastAsia" w:ascii="仿宋" w:hAnsi="仿宋" w:eastAsia="仿宋" w:cs="仿宋"/>
                <w:color w:val="000000"/>
                <w:highlight w:val="none"/>
              </w:rPr>
              <w:t>本项目不收取投标保证金。</w:t>
            </w:r>
          </w:p>
        </w:tc>
      </w:tr>
      <w:tr w14:paraId="535A1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72D6A28C">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3</w:t>
            </w:r>
          </w:p>
        </w:tc>
        <w:tc>
          <w:tcPr>
            <w:tcW w:w="2013" w:type="dxa"/>
            <w:vAlign w:val="center"/>
          </w:tcPr>
          <w:p w14:paraId="003EA4E8">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投标有效期</w:t>
            </w:r>
          </w:p>
        </w:tc>
        <w:tc>
          <w:tcPr>
            <w:tcW w:w="6859" w:type="dxa"/>
            <w:vAlign w:val="center"/>
          </w:tcPr>
          <w:p w14:paraId="26FF949F">
            <w:pPr>
              <w:spacing w:line="560" w:lineRule="exact"/>
              <w:rPr>
                <w:rFonts w:ascii="仿宋" w:hAnsi="仿宋" w:eastAsia="仿宋" w:cs="仿宋"/>
                <w:color w:val="000000"/>
                <w:highlight w:val="none"/>
              </w:rPr>
            </w:pPr>
            <w:r>
              <w:rPr>
                <w:rFonts w:hint="eastAsia" w:ascii="仿宋" w:hAnsi="仿宋" w:eastAsia="仿宋" w:cs="仿宋"/>
                <w:color w:val="000000"/>
                <w:highlight w:val="none"/>
              </w:rPr>
              <w:t>90日（从提交投标文件截止之日起算）</w:t>
            </w:r>
          </w:p>
        </w:tc>
      </w:tr>
      <w:tr w14:paraId="30E03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4BF1EB45">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4</w:t>
            </w:r>
          </w:p>
        </w:tc>
        <w:tc>
          <w:tcPr>
            <w:tcW w:w="2013" w:type="dxa"/>
            <w:vAlign w:val="center"/>
          </w:tcPr>
          <w:p w14:paraId="66917C9F">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投标文件份数</w:t>
            </w:r>
          </w:p>
        </w:tc>
        <w:tc>
          <w:tcPr>
            <w:tcW w:w="6859" w:type="dxa"/>
            <w:vAlign w:val="center"/>
          </w:tcPr>
          <w:p w14:paraId="11FFD20E">
            <w:pPr>
              <w:widowControl/>
              <w:spacing w:line="560" w:lineRule="exact"/>
              <w:rPr>
                <w:rFonts w:hint="eastAsia" w:ascii="仿宋" w:hAnsi="仿宋" w:eastAsia="仿宋" w:cs="仿宋"/>
                <w:color w:val="000000"/>
                <w:highlight w:val="none"/>
              </w:rPr>
            </w:pPr>
            <w:bookmarkStart w:id="15" w:name="EBf2540e281f614ac8b4efc83b6e64d4d2"/>
            <w:bookmarkEnd w:id="15"/>
            <w:r>
              <w:rPr>
                <w:rFonts w:hint="eastAsia" w:ascii="仿宋" w:hAnsi="仿宋" w:eastAsia="仿宋" w:cs="仿宋"/>
                <w:color w:val="000000"/>
                <w:highlight w:val="none"/>
              </w:rPr>
              <w:t>纸质版文件正本1份，副本</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份</w:t>
            </w:r>
            <w:r>
              <w:rPr>
                <w:rFonts w:hint="eastAsia" w:ascii="仿宋" w:hAnsi="仿宋" w:eastAsia="仿宋" w:cs="仿宋"/>
                <w:highlight w:val="none"/>
              </w:rPr>
              <w:t>，</w:t>
            </w:r>
            <w:r>
              <w:rPr>
                <w:rFonts w:hint="eastAsia" w:ascii="仿宋" w:hAnsi="仿宋" w:eastAsia="仿宋" w:cs="仿宋"/>
                <w:color w:val="000000"/>
                <w:highlight w:val="none"/>
              </w:rPr>
              <w:t>电子版文件1份（包含盖章pdf扫描件的U盘，在U盘上标注</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名称及项目编号，U盘递交后不予退还)。</w:t>
            </w:r>
          </w:p>
          <w:p w14:paraId="1CBB3EE7">
            <w:pPr>
              <w:widowControl/>
              <w:spacing w:line="560" w:lineRule="exact"/>
              <w:rPr>
                <w:rFonts w:hint="eastAsia" w:ascii="仿宋" w:hAnsi="仿宋" w:eastAsia="仿宋" w:cs="仿宋"/>
                <w:color w:val="000000"/>
                <w:highlight w:val="none"/>
              </w:rPr>
            </w:pPr>
            <w:r>
              <w:rPr>
                <w:rFonts w:hint="eastAsia" w:ascii="仿宋" w:hAnsi="仿宋" w:eastAsia="仿宋" w:cs="仿宋"/>
                <w:color w:val="000000"/>
                <w:highlight w:val="none"/>
              </w:rPr>
              <w:t>副本投标（响应）文件为正本复印件，电子版投标（响应）文件为正本扫描件，二者内容均须与正本一致。正本、副本及电子版文件须清晰可辨，内容出现不一致的，以正本为准。</w:t>
            </w:r>
            <w:bookmarkStart w:id="91" w:name="_GoBack"/>
            <w:bookmarkEnd w:id="91"/>
          </w:p>
        </w:tc>
      </w:tr>
      <w:tr w14:paraId="0DC76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7F2EEBC0">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5</w:t>
            </w:r>
          </w:p>
        </w:tc>
        <w:tc>
          <w:tcPr>
            <w:tcW w:w="2013" w:type="dxa"/>
            <w:vAlign w:val="center"/>
          </w:tcPr>
          <w:p w14:paraId="1DB755F4">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投标文件的装订、密封及标记</w:t>
            </w:r>
          </w:p>
        </w:tc>
        <w:tc>
          <w:tcPr>
            <w:tcW w:w="6859" w:type="dxa"/>
            <w:vAlign w:val="center"/>
          </w:tcPr>
          <w:p w14:paraId="6FCB1244">
            <w:pPr>
              <w:spacing w:line="560" w:lineRule="exact"/>
              <w:rPr>
                <w:rFonts w:ascii="仿宋" w:hAnsi="仿宋" w:eastAsia="仿宋" w:cs="仿宋"/>
                <w:color w:val="000000"/>
                <w:highlight w:val="none"/>
              </w:rPr>
            </w:pPr>
            <w:r>
              <w:rPr>
                <w:rFonts w:hint="eastAsia" w:ascii="仿宋" w:hAnsi="仿宋" w:eastAsia="仿宋" w:cs="仿宋"/>
                <w:color w:val="000000"/>
                <w:highlight w:val="none"/>
              </w:rPr>
              <w:t>(1)投标文件必须装订成册，文件不可轻易拆页换页。</w:t>
            </w:r>
          </w:p>
          <w:p w14:paraId="794AF399">
            <w:pPr>
              <w:spacing w:line="560" w:lineRule="exact"/>
              <w:rPr>
                <w:rFonts w:ascii="仿宋" w:hAnsi="仿宋" w:eastAsia="仿宋" w:cs="仿宋"/>
                <w:color w:val="000000"/>
                <w:highlight w:val="none"/>
              </w:rPr>
            </w:pPr>
            <w:r>
              <w:rPr>
                <w:rFonts w:hint="eastAsia" w:ascii="仿宋" w:hAnsi="仿宋" w:eastAsia="仿宋" w:cs="仿宋"/>
                <w:color w:val="000000"/>
                <w:highlight w:val="none"/>
              </w:rPr>
              <w:t>(2)“开标一览表”、“投标文件正本”、“投标文件副本”、“电子投标文件”均应单独密封，单独递交。</w:t>
            </w:r>
          </w:p>
          <w:p w14:paraId="6DDD80A3">
            <w:pPr>
              <w:spacing w:line="560" w:lineRule="exact"/>
              <w:rPr>
                <w:rFonts w:ascii="仿宋" w:hAnsi="仿宋" w:eastAsia="仿宋" w:cs="仿宋"/>
                <w:color w:val="000000"/>
                <w:highlight w:val="none"/>
              </w:rPr>
            </w:pPr>
            <w:r>
              <w:rPr>
                <w:rFonts w:hint="eastAsia" w:ascii="仿宋" w:hAnsi="仿宋" w:eastAsia="仿宋" w:cs="仿宋"/>
                <w:color w:val="000000"/>
                <w:highlight w:val="none"/>
              </w:rPr>
              <w:t>(3)“开标一览表”、“投标文件正本”、“投标文件副本”、“电子投标文件”在封套上注明“开标一览表”、“投标文件正本”、“投标文件副本”、“电子投标文件”。</w:t>
            </w:r>
          </w:p>
          <w:p w14:paraId="650D9DFD">
            <w:pPr>
              <w:spacing w:line="560" w:lineRule="exact"/>
              <w:rPr>
                <w:rFonts w:ascii="仿宋" w:hAnsi="仿宋" w:eastAsia="仿宋" w:cs="仿宋"/>
                <w:color w:val="000000"/>
                <w:highlight w:val="none"/>
              </w:rPr>
            </w:pPr>
            <w:r>
              <w:rPr>
                <w:rFonts w:hint="eastAsia" w:ascii="仿宋" w:hAnsi="仿宋" w:eastAsia="仿宋" w:cs="仿宋"/>
                <w:color w:val="000000"/>
                <w:highlight w:val="none"/>
              </w:rPr>
              <w:t>(4)所有封套上均须按如下格式写明：</w:t>
            </w:r>
          </w:p>
          <w:p w14:paraId="190D7B6C">
            <w:pPr>
              <w:spacing w:line="560" w:lineRule="exact"/>
              <w:rPr>
                <w:rFonts w:ascii="仿宋" w:hAnsi="仿宋" w:eastAsia="仿宋" w:cs="仿宋"/>
                <w:color w:val="000000"/>
                <w:highlight w:val="none"/>
              </w:rPr>
            </w:pPr>
            <w:r>
              <w:rPr>
                <w:rFonts w:hint="eastAsia" w:ascii="仿宋" w:hAnsi="仿宋" w:eastAsia="仿宋" w:cs="仿宋"/>
                <w:color w:val="000000"/>
                <w:highlight w:val="none"/>
              </w:rPr>
              <w:t xml:space="preserve">  招标项目名称：</w:t>
            </w:r>
          </w:p>
          <w:p w14:paraId="0564090E">
            <w:pPr>
              <w:spacing w:line="560" w:lineRule="exact"/>
              <w:ind w:firstLine="240"/>
              <w:rPr>
                <w:rFonts w:ascii="仿宋" w:hAnsi="仿宋" w:eastAsia="仿宋" w:cs="仿宋"/>
                <w:color w:val="000000"/>
                <w:highlight w:val="none"/>
              </w:rPr>
            </w:pPr>
            <w:r>
              <w:rPr>
                <w:rFonts w:hint="eastAsia" w:ascii="仿宋" w:hAnsi="仿宋" w:eastAsia="仿宋" w:cs="仿宋"/>
                <w:color w:val="000000"/>
                <w:highlight w:val="none"/>
              </w:rPr>
              <w:t>招标项目编号：</w:t>
            </w:r>
          </w:p>
          <w:p w14:paraId="5A56072A">
            <w:pPr>
              <w:spacing w:line="560" w:lineRule="exact"/>
              <w:rPr>
                <w:rFonts w:ascii="仿宋" w:hAnsi="仿宋" w:eastAsia="仿宋" w:cs="仿宋"/>
                <w:color w:val="000000"/>
                <w:highlight w:val="none"/>
              </w:rPr>
            </w:pPr>
            <w:r>
              <w:rPr>
                <w:rFonts w:hint="eastAsia" w:ascii="仿宋" w:hAnsi="仿宋" w:eastAsia="仿宋" w:cs="仿宋"/>
                <w:color w:val="000000"/>
                <w:highlight w:val="none"/>
              </w:rPr>
              <w:t xml:space="preserve">  </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的全称、地址、邮编和电话。</w:t>
            </w:r>
          </w:p>
          <w:p w14:paraId="64F957E8">
            <w:pPr>
              <w:spacing w:line="560" w:lineRule="exact"/>
              <w:rPr>
                <w:rFonts w:ascii="仿宋" w:hAnsi="仿宋" w:eastAsia="仿宋" w:cs="仿宋"/>
                <w:color w:val="000000"/>
                <w:highlight w:val="none"/>
              </w:rPr>
            </w:pPr>
            <w:r>
              <w:rPr>
                <w:rFonts w:hint="eastAsia" w:ascii="仿宋" w:hAnsi="仿宋" w:eastAsia="仿宋" w:cs="仿宋"/>
                <w:color w:val="000000"/>
                <w:highlight w:val="none"/>
              </w:rPr>
              <w:t>并写明“在（投标截止时间）之前不得启封”字样。</w:t>
            </w:r>
          </w:p>
          <w:p w14:paraId="71DDCCB3">
            <w:pPr>
              <w:spacing w:line="560" w:lineRule="exact"/>
              <w:rPr>
                <w:rFonts w:ascii="仿宋" w:hAnsi="仿宋" w:eastAsia="仿宋" w:cs="仿宋"/>
                <w:color w:val="000000"/>
                <w:highlight w:val="none"/>
              </w:rPr>
            </w:pPr>
            <w:r>
              <w:rPr>
                <w:rFonts w:hint="eastAsia" w:ascii="仿宋" w:hAnsi="仿宋" w:eastAsia="仿宋" w:cs="仿宋"/>
                <w:color w:val="000000"/>
                <w:highlight w:val="none"/>
              </w:rPr>
              <w:t>未按上述规定密封的投标文件,采购代理机构将拒绝接收。</w:t>
            </w:r>
          </w:p>
        </w:tc>
      </w:tr>
      <w:tr w14:paraId="03F5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28C3C83B">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6</w:t>
            </w:r>
          </w:p>
        </w:tc>
        <w:tc>
          <w:tcPr>
            <w:tcW w:w="2013" w:type="dxa"/>
            <w:vAlign w:val="center"/>
          </w:tcPr>
          <w:p w14:paraId="6C89A994">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评分办法</w:t>
            </w:r>
          </w:p>
        </w:tc>
        <w:tc>
          <w:tcPr>
            <w:tcW w:w="6859" w:type="dxa"/>
            <w:vAlign w:val="center"/>
          </w:tcPr>
          <w:p w14:paraId="617BAF96">
            <w:pPr>
              <w:pStyle w:val="228"/>
              <w:spacing w:line="560" w:lineRule="exact"/>
              <w:jc w:val="both"/>
              <w:rPr>
                <w:rFonts w:ascii="仿宋" w:hAnsi="仿宋" w:eastAsia="仿宋" w:cs="仿宋"/>
                <w:color w:val="000000"/>
                <w:sz w:val="21"/>
                <w:highlight w:val="none"/>
              </w:rPr>
            </w:pPr>
            <w:r>
              <w:rPr>
                <w:rFonts w:hint="eastAsia" w:ascii="仿宋" w:hAnsi="仿宋" w:eastAsia="仿宋" w:cs="仿宋"/>
                <w:color w:val="000000"/>
                <w:szCs w:val="24"/>
                <w:highlight w:val="none"/>
              </w:rPr>
              <w:t>综合评分法。具体细则详见招标文件评标办法部分。</w:t>
            </w:r>
          </w:p>
        </w:tc>
      </w:tr>
      <w:tr w14:paraId="3ED0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606665AA">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7</w:t>
            </w:r>
          </w:p>
        </w:tc>
        <w:tc>
          <w:tcPr>
            <w:tcW w:w="2013" w:type="dxa"/>
            <w:vAlign w:val="center"/>
          </w:tcPr>
          <w:p w14:paraId="373B3DA7">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分包、转包要求</w:t>
            </w:r>
          </w:p>
        </w:tc>
        <w:tc>
          <w:tcPr>
            <w:tcW w:w="6859" w:type="dxa"/>
            <w:vAlign w:val="center"/>
          </w:tcPr>
          <w:p w14:paraId="2370AC6F">
            <w:pPr>
              <w:spacing w:line="560" w:lineRule="exact"/>
              <w:rPr>
                <w:rFonts w:ascii="仿宋" w:hAnsi="仿宋" w:eastAsia="仿宋" w:cs="仿宋"/>
                <w:color w:val="000000"/>
                <w:sz w:val="21"/>
                <w:szCs w:val="22"/>
                <w:highlight w:val="none"/>
              </w:rPr>
            </w:pPr>
            <w:r>
              <w:rPr>
                <w:rFonts w:hint="eastAsia" w:ascii="仿宋" w:hAnsi="仿宋" w:eastAsia="仿宋" w:cs="仿宋"/>
                <w:color w:val="000000"/>
                <w:highlight w:val="none"/>
              </w:rPr>
              <w:t>本项目不允许分包、转包。</w:t>
            </w:r>
          </w:p>
        </w:tc>
      </w:tr>
      <w:tr w14:paraId="5CA70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3" w:hRule="atLeast"/>
        </w:trPr>
        <w:tc>
          <w:tcPr>
            <w:tcW w:w="760" w:type="dxa"/>
            <w:vAlign w:val="center"/>
          </w:tcPr>
          <w:p w14:paraId="5F2519D3">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8</w:t>
            </w:r>
          </w:p>
        </w:tc>
        <w:tc>
          <w:tcPr>
            <w:tcW w:w="2013" w:type="dxa"/>
            <w:vAlign w:val="center"/>
          </w:tcPr>
          <w:p w14:paraId="31F80543">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代理费用收取方式及标准</w:t>
            </w:r>
          </w:p>
        </w:tc>
        <w:tc>
          <w:tcPr>
            <w:tcW w:w="6859" w:type="dxa"/>
            <w:vAlign w:val="center"/>
          </w:tcPr>
          <w:p w14:paraId="449B54FB">
            <w:pPr>
              <w:tabs>
                <w:tab w:val="left" w:pos="851"/>
                <w:tab w:val="left" w:pos="1134"/>
              </w:tabs>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本项目采购代理服务费按计价格</w:t>
            </w:r>
            <w:r>
              <w:rPr>
                <w:rFonts w:hint="eastAsia" w:ascii="仿宋" w:hAnsi="仿宋" w:eastAsia="仿宋" w:cs="仿宋"/>
                <w:sz w:val="24"/>
                <w:szCs w:val="24"/>
                <w:highlight w:val="none"/>
                <w:lang w:eastAsia="zh-CN"/>
              </w:rPr>
              <w:t>〔2002〕1980号</w:t>
            </w:r>
            <w:r>
              <w:rPr>
                <w:rFonts w:hint="eastAsia" w:ascii="仿宋" w:hAnsi="仿宋" w:eastAsia="仿宋" w:cs="仿宋"/>
                <w:sz w:val="24"/>
                <w:szCs w:val="24"/>
                <w:highlight w:val="none"/>
              </w:rPr>
              <w:t>文标准的60%计取，在领取成交通知书前一次性缴纳。</w:t>
            </w:r>
          </w:p>
          <w:p w14:paraId="20576A94">
            <w:pPr>
              <w:tabs>
                <w:tab w:val="left" w:pos="851"/>
                <w:tab w:val="left" w:pos="1134"/>
              </w:tabs>
              <w:spacing w:line="560" w:lineRule="exact"/>
              <w:rPr>
                <w:rFonts w:ascii="仿宋" w:hAnsi="仿宋" w:eastAsia="仿宋" w:cs="仿宋"/>
                <w:color w:val="000000"/>
                <w:highlight w:val="none"/>
              </w:rPr>
            </w:pPr>
            <w:r>
              <w:rPr>
                <w:rFonts w:hint="eastAsia" w:ascii="仿宋" w:hAnsi="仿宋" w:eastAsia="仿宋" w:cs="仿宋"/>
                <w:color w:val="000000"/>
                <w:highlight w:val="none"/>
              </w:rPr>
              <w:t>账户信息：</w:t>
            </w:r>
          </w:p>
          <w:p w14:paraId="4D1D3984">
            <w:pPr>
              <w:tabs>
                <w:tab w:val="left" w:pos="851"/>
                <w:tab w:val="left" w:pos="1134"/>
              </w:tabs>
              <w:spacing w:line="560" w:lineRule="exact"/>
              <w:rPr>
                <w:rFonts w:ascii="仿宋" w:hAnsi="仿宋" w:eastAsia="仿宋" w:cs="仿宋"/>
                <w:color w:val="000000"/>
                <w:highlight w:val="none"/>
              </w:rPr>
            </w:pPr>
            <w:r>
              <w:rPr>
                <w:rFonts w:hint="eastAsia" w:ascii="仿宋" w:hAnsi="仿宋" w:eastAsia="仿宋" w:cs="仿宋"/>
                <w:color w:val="000000"/>
                <w:highlight w:val="none"/>
              </w:rPr>
              <w:t>账户名称：南京相度工程咨询有限公司</w:t>
            </w:r>
          </w:p>
          <w:p w14:paraId="5D213717">
            <w:pPr>
              <w:tabs>
                <w:tab w:val="left" w:pos="851"/>
                <w:tab w:val="left" w:pos="1134"/>
              </w:tabs>
              <w:spacing w:line="560" w:lineRule="exact"/>
              <w:rPr>
                <w:rFonts w:ascii="仿宋" w:hAnsi="仿宋" w:eastAsia="仿宋" w:cs="仿宋"/>
                <w:color w:val="000000"/>
                <w:highlight w:val="none"/>
              </w:rPr>
            </w:pPr>
            <w:r>
              <w:rPr>
                <w:rFonts w:hint="eastAsia" w:ascii="仿宋" w:hAnsi="仿宋" w:eastAsia="仿宋" w:cs="仿宋"/>
                <w:color w:val="000000"/>
                <w:highlight w:val="none"/>
              </w:rPr>
              <w:t>开户银行：中国银行南京市中华路支行</w:t>
            </w:r>
          </w:p>
          <w:p w14:paraId="445ECBA8">
            <w:pPr>
              <w:widowControl/>
              <w:spacing w:line="560" w:lineRule="exact"/>
              <w:rPr>
                <w:rFonts w:ascii="仿宋" w:hAnsi="仿宋" w:eastAsia="仿宋" w:cs="仿宋"/>
                <w:color w:val="000000"/>
                <w:highlight w:val="none"/>
              </w:rPr>
            </w:pPr>
            <w:r>
              <w:rPr>
                <w:rFonts w:hint="eastAsia" w:ascii="仿宋" w:hAnsi="仿宋" w:eastAsia="仿宋" w:cs="仿宋"/>
                <w:color w:val="000000"/>
                <w:highlight w:val="none"/>
              </w:rPr>
              <w:t>银行账号：5261 7880 4478</w:t>
            </w:r>
          </w:p>
        </w:tc>
      </w:tr>
      <w:tr w14:paraId="1BA95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087AF766">
            <w:pPr>
              <w:spacing w:line="560" w:lineRule="exact"/>
              <w:jc w:val="center"/>
              <w:rPr>
                <w:rFonts w:ascii="仿宋" w:hAnsi="仿宋" w:eastAsia="仿宋" w:cs="仿宋"/>
                <w:color w:val="000000"/>
                <w:highlight w:val="none"/>
              </w:rPr>
            </w:pPr>
            <w:r>
              <w:rPr>
                <w:rFonts w:hint="eastAsia" w:ascii="仿宋" w:hAnsi="仿宋" w:eastAsia="仿宋" w:cs="仿宋"/>
                <w:color w:val="000000"/>
                <w:highlight w:val="none"/>
              </w:rPr>
              <w:t>9</w:t>
            </w:r>
          </w:p>
        </w:tc>
        <w:tc>
          <w:tcPr>
            <w:tcW w:w="2013" w:type="dxa"/>
            <w:vAlign w:val="center"/>
          </w:tcPr>
          <w:p w14:paraId="05899B8A">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履约保证金</w:t>
            </w:r>
          </w:p>
        </w:tc>
        <w:tc>
          <w:tcPr>
            <w:tcW w:w="6859" w:type="dxa"/>
            <w:vAlign w:val="center"/>
          </w:tcPr>
          <w:p w14:paraId="13B73CC0">
            <w:pPr>
              <w:spacing w:line="560" w:lineRule="exact"/>
              <w:rPr>
                <w:rFonts w:ascii="仿宋" w:hAnsi="仿宋" w:eastAsia="仿宋" w:cs="仿宋"/>
                <w:color w:val="000000"/>
                <w:highlight w:val="none"/>
              </w:rPr>
            </w:pPr>
            <w:r>
              <w:rPr>
                <w:rFonts w:hint="eastAsia" w:ascii="仿宋" w:hAnsi="仿宋" w:eastAsia="仿宋" w:cs="仿宋"/>
                <w:b w:val="0"/>
                <w:bCs/>
                <w:highlight w:val="none"/>
                <w:lang w:val="en-US" w:eastAsia="zh-CN"/>
              </w:rPr>
              <w:t>按照招标文件付款方式约定需要缴纳履约保证金的，应按要求缴纳</w:t>
            </w:r>
            <w:r>
              <w:rPr>
                <w:rFonts w:hint="eastAsia" w:ascii="仿宋" w:hAnsi="仿宋" w:eastAsia="仿宋" w:cs="仿宋"/>
                <w:color w:val="auto"/>
                <w:highlight w:val="none"/>
              </w:rPr>
              <w:t>。</w:t>
            </w:r>
          </w:p>
        </w:tc>
      </w:tr>
      <w:tr w14:paraId="2A577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23EB44E6">
            <w:pPr>
              <w:spacing w:line="560" w:lineRule="exact"/>
              <w:jc w:val="center"/>
              <w:rPr>
                <w:rFonts w:ascii="仿宋" w:hAnsi="仿宋" w:eastAsia="仿宋" w:cs="仿宋"/>
                <w:color w:val="000000"/>
                <w:highlight w:val="none"/>
              </w:rPr>
            </w:pPr>
            <w:bookmarkStart w:id="16" w:name="_Toc6204"/>
            <w:r>
              <w:rPr>
                <w:rFonts w:hint="eastAsia" w:ascii="仿宋" w:hAnsi="仿宋" w:eastAsia="仿宋" w:cs="仿宋"/>
                <w:color w:val="000000"/>
                <w:highlight w:val="none"/>
              </w:rPr>
              <w:t>10</w:t>
            </w:r>
          </w:p>
        </w:tc>
        <w:tc>
          <w:tcPr>
            <w:tcW w:w="2013" w:type="dxa"/>
            <w:vAlign w:val="center"/>
          </w:tcPr>
          <w:p w14:paraId="5FA02CCB">
            <w:pPr>
              <w:spacing w:line="560" w:lineRule="exact"/>
              <w:jc w:val="left"/>
              <w:rPr>
                <w:rFonts w:ascii="仿宋" w:hAnsi="仿宋" w:eastAsia="仿宋" w:cs="仿宋"/>
                <w:color w:val="000000"/>
                <w:highlight w:val="none"/>
              </w:rPr>
            </w:pPr>
            <w:r>
              <w:rPr>
                <w:rFonts w:hint="eastAsia" w:ascii="仿宋" w:hAnsi="仿宋" w:eastAsia="仿宋" w:cs="仿宋"/>
                <w:color w:val="000000"/>
                <w:highlight w:val="none"/>
              </w:rPr>
              <w:t>中小企业划分标准所属行业</w:t>
            </w:r>
          </w:p>
        </w:tc>
        <w:tc>
          <w:tcPr>
            <w:tcW w:w="6859" w:type="dxa"/>
            <w:vAlign w:val="center"/>
          </w:tcPr>
          <w:p w14:paraId="16737794">
            <w:pPr>
              <w:spacing w:line="560" w:lineRule="exact"/>
              <w:rPr>
                <w:rFonts w:ascii="仿宋" w:hAnsi="仿宋" w:eastAsia="仿宋" w:cs="仿宋"/>
                <w:color w:val="000000"/>
                <w:highlight w:val="none"/>
              </w:rPr>
            </w:pPr>
            <w:r>
              <w:rPr>
                <w:rFonts w:hint="eastAsia" w:ascii="仿宋" w:hAnsi="仿宋" w:eastAsia="仿宋" w:cs="仿宋"/>
                <w:color w:val="000000"/>
                <w:highlight w:val="none"/>
              </w:rPr>
              <w:t>本项目采购的标的对应的中小企业划分标准所属行业为</w:t>
            </w:r>
            <w:r>
              <w:rPr>
                <w:rFonts w:hint="eastAsia" w:ascii="仿宋" w:hAnsi="仿宋" w:eastAsia="仿宋" w:cs="仿宋"/>
                <w:color w:val="000000"/>
                <w:highlight w:val="none"/>
                <w:u w:val="single"/>
                <w:lang w:val="en-US" w:eastAsia="zh-CN"/>
              </w:rPr>
              <w:t>零售业</w:t>
            </w:r>
            <w:r>
              <w:rPr>
                <w:rFonts w:hint="eastAsia" w:ascii="仿宋" w:hAnsi="仿宋" w:eastAsia="仿宋" w:cs="仿宋"/>
                <w:color w:val="000000"/>
                <w:highlight w:val="none"/>
              </w:rPr>
              <w:t>。</w:t>
            </w:r>
            <w:bookmarkEnd w:id="14"/>
          </w:p>
        </w:tc>
      </w:tr>
      <w:tr w14:paraId="0D48B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0" w:type="dxa"/>
            <w:vAlign w:val="center"/>
          </w:tcPr>
          <w:p w14:paraId="384D1F63">
            <w:pPr>
              <w:spacing w:line="560" w:lineRule="exact"/>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11</w:t>
            </w:r>
          </w:p>
        </w:tc>
        <w:tc>
          <w:tcPr>
            <w:tcW w:w="8872" w:type="dxa"/>
            <w:gridSpan w:val="2"/>
            <w:vAlign w:val="center"/>
          </w:tcPr>
          <w:p w14:paraId="47C68AE4">
            <w:pPr>
              <w:spacing w:line="560" w:lineRule="exact"/>
              <w:rPr>
                <w:rFonts w:hint="eastAsia" w:ascii="仿宋" w:hAnsi="仿宋" w:eastAsia="仿宋" w:cs="仿宋"/>
                <w:color w:val="000000"/>
                <w:highlight w:val="none"/>
              </w:rPr>
            </w:pPr>
            <w:r>
              <w:rPr>
                <w:rFonts w:hint="eastAsia" w:ascii="仿宋" w:hAnsi="仿宋" w:eastAsia="仿宋" w:cs="仿宋"/>
                <w:color w:val="000000"/>
                <w:highlight w:val="none"/>
              </w:rPr>
              <w:t>本项目属于</w:t>
            </w:r>
            <w:r>
              <w:rPr>
                <w:rFonts w:hint="eastAsia" w:ascii="仿宋" w:hAnsi="仿宋" w:eastAsia="仿宋" w:cs="仿宋"/>
                <w:color w:val="000000"/>
                <w:highlight w:val="none"/>
                <w:u w:val="single"/>
              </w:rPr>
              <w:t>货物类</w:t>
            </w:r>
            <w:r>
              <w:rPr>
                <w:rFonts w:hint="eastAsia" w:ascii="仿宋" w:hAnsi="仿宋" w:eastAsia="仿宋" w:cs="仿宋"/>
                <w:color w:val="000000"/>
                <w:highlight w:val="none"/>
              </w:rPr>
              <w:t>采购，</w:t>
            </w:r>
            <w:r>
              <w:rPr>
                <w:rFonts w:hint="eastAsia" w:ascii="仿宋" w:hAnsi="仿宋" w:eastAsia="仿宋" w:cs="仿宋"/>
                <w:color w:val="000000"/>
                <w:highlight w:val="none"/>
                <w:u w:val="single"/>
              </w:rPr>
              <w:t>非专门面向中小企业</w:t>
            </w:r>
            <w:r>
              <w:rPr>
                <w:rFonts w:hint="eastAsia" w:ascii="仿宋" w:hAnsi="仿宋" w:eastAsia="仿宋" w:cs="仿宋"/>
                <w:color w:val="000000"/>
                <w:highlight w:val="none"/>
              </w:rPr>
              <w:t>。</w:t>
            </w:r>
          </w:p>
        </w:tc>
      </w:tr>
    </w:tbl>
    <w:p w14:paraId="5A2FE44E">
      <w:pPr>
        <w:pStyle w:val="205"/>
        <w:keepNext w:val="0"/>
        <w:keepLines w:val="0"/>
        <w:spacing w:before="0" w:after="0" w:line="520" w:lineRule="exact"/>
        <w:rPr>
          <w:highlight w:val="none"/>
        </w:rPr>
      </w:pPr>
      <w:r>
        <w:rPr>
          <w:rFonts w:hint="eastAsia"/>
          <w:highlight w:val="none"/>
        </w:rPr>
        <w:br w:type="page" w:clear="all"/>
      </w:r>
      <w:r>
        <w:rPr>
          <w:rFonts w:hint="eastAsia"/>
          <w:highlight w:val="none"/>
        </w:rPr>
        <w:t>一、总 则</w:t>
      </w:r>
      <w:bookmarkEnd w:id="16"/>
    </w:p>
    <w:p w14:paraId="5CB0A783">
      <w:pPr>
        <w:spacing w:line="520" w:lineRule="exact"/>
        <w:ind w:firstLine="482"/>
        <w:rPr>
          <w:rFonts w:ascii="仿宋" w:hAnsi="仿宋" w:eastAsia="仿宋" w:cs="仿宋"/>
          <w:b/>
          <w:color w:val="000000"/>
          <w:highlight w:val="none"/>
        </w:rPr>
      </w:pPr>
      <w:bookmarkStart w:id="17" w:name="EBd75356d70bcd41c3a14bfd1185da698c"/>
      <w:r>
        <w:rPr>
          <w:rFonts w:hint="eastAsia" w:ascii="仿宋" w:hAnsi="仿宋" w:eastAsia="仿宋" w:cs="仿宋"/>
          <w:b/>
          <w:color w:val="000000"/>
          <w:highlight w:val="none"/>
        </w:rPr>
        <w:t>1</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招标方式</w:t>
      </w:r>
    </w:p>
    <w:p w14:paraId="210130ED">
      <w:pPr>
        <w:pStyle w:val="234"/>
        <w:spacing w:line="520" w:lineRule="exact"/>
        <w:ind w:firstLine="480"/>
        <w:rPr>
          <w:rFonts w:ascii="仿宋" w:hAnsi="仿宋" w:eastAsia="仿宋" w:cs="仿宋"/>
          <w:color w:val="000000"/>
          <w:sz w:val="24"/>
          <w:highlight w:val="none"/>
        </w:rPr>
      </w:pPr>
      <w:r>
        <w:rPr>
          <w:rFonts w:hint="eastAsia" w:ascii="仿宋" w:hAnsi="仿宋" w:eastAsia="仿宋" w:cs="仿宋"/>
          <w:color w:val="000000"/>
          <w:sz w:val="24"/>
          <w:highlight w:val="none"/>
        </w:rPr>
        <w:t>本次招标采取公开招标方式。</w:t>
      </w:r>
    </w:p>
    <w:p w14:paraId="529D4776">
      <w:pPr>
        <w:spacing w:line="520" w:lineRule="exact"/>
        <w:ind w:firstLine="482"/>
        <w:rPr>
          <w:rFonts w:hint="eastAsia" w:ascii="仿宋" w:hAnsi="仿宋" w:eastAsia="仿宋" w:cs="仿宋"/>
          <w:b/>
          <w:color w:val="000000"/>
          <w:highlight w:val="none"/>
          <w:lang w:eastAsia="zh-CN"/>
        </w:rPr>
      </w:pPr>
      <w:r>
        <w:rPr>
          <w:rFonts w:hint="eastAsia" w:ascii="仿宋" w:hAnsi="仿宋" w:eastAsia="仿宋" w:cs="仿宋"/>
          <w:b/>
          <w:color w:val="000000"/>
          <w:highlight w:val="none"/>
        </w:rPr>
        <w:t>2</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合格的</w:t>
      </w:r>
      <w:r>
        <w:rPr>
          <w:rFonts w:hint="eastAsia" w:ascii="仿宋" w:hAnsi="仿宋" w:eastAsia="仿宋" w:cs="仿宋"/>
          <w:b/>
          <w:color w:val="000000"/>
          <w:highlight w:val="none"/>
          <w:lang w:eastAsia="zh-CN"/>
        </w:rPr>
        <w:t>投标人</w:t>
      </w:r>
    </w:p>
    <w:p w14:paraId="123926AB">
      <w:pPr>
        <w:spacing w:line="520" w:lineRule="exact"/>
        <w:ind w:firstLine="480"/>
        <w:rPr>
          <w:rFonts w:ascii="仿宋" w:hAnsi="仿宋" w:eastAsia="仿宋" w:cs="仿宋"/>
          <w:color w:val="000000"/>
          <w:highlight w:val="none"/>
          <w:shd w:val="clear" w:color="auto" w:fill="FFC000"/>
        </w:rPr>
      </w:pPr>
      <w:r>
        <w:rPr>
          <w:rFonts w:hint="eastAsia" w:ascii="仿宋" w:hAnsi="仿宋" w:eastAsia="仿宋" w:cs="仿宋"/>
          <w:color w:val="000000"/>
          <w:highlight w:val="none"/>
        </w:rPr>
        <w:t>2.1合格的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必须是有能力按照本招标文件规定的要求提供设备和相关服务，且具有独立承担民事等法律责任的法人或</w:t>
      </w:r>
      <w:r>
        <w:rPr>
          <w:rFonts w:hint="eastAsia" w:ascii="仿宋" w:hAnsi="仿宋" w:eastAsia="仿宋" w:cs="仿宋"/>
          <w:color w:val="000000"/>
          <w:highlight w:val="none"/>
          <w:lang w:eastAsia="zh-CN"/>
        </w:rPr>
        <w:t>其他</w:t>
      </w:r>
      <w:r>
        <w:rPr>
          <w:rFonts w:hint="eastAsia" w:ascii="仿宋" w:hAnsi="仿宋" w:eastAsia="仿宋" w:cs="仿宋"/>
          <w:color w:val="000000"/>
          <w:highlight w:val="none"/>
        </w:rPr>
        <w:t>经济组织。</w:t>
      </w:r>
    </w:p>
    <w:p w14:paraId="3E5A866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2.2合格的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必须符合招标文件第一部分《招标公告》第二条及须知前附表相关规定，且具备独立完成本项目的能力，中标后不允许分包、转包。</w:t>
      </w:r>
    </w:p>
    <w:p w14:paraId="64359D42">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2.3合格的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应遵守《中华人民共和国政府采购法</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中华人民共和国招标投标法</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中华人民共和国民法典》等有关法律、法规。</w:t>
      </w:r>
    </w:p>
    <w:p w14:paraId="4BE78E98">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3</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适用法律</w:t>
      </w:r>
    </w:p>
    <w:p w14:paraId="75053ED5">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本次招标及由本次招标产生的合同受中华人民共和国的相关法律、法规制约和保护。</w:t>
      </w:r>
    </w:p>
    <w:p w14:paraId="6E09E443">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4</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投标费用</w:t>
      </w:r>
    </w:p>
    <w:p w14:paraId="7AF22C6E">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应自行承担所有参加投标有关的费用。</w:t>
      </w:r>
    </w:p>
    <w:p w14:paraId="25E09FF1">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5</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招标文件的约束力</w:t>
      </w:r>
    </w:p>
    <w:p w14:paraId="67133C4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一旦参加本项目投标，即被认为接受了本招标文件的所有条件和规定。</w:t>
      </w:r>
    </w:p>
    <w:p w14:paraId="5536FFAD">
      <w:pPr>
        <w:spacing w:line="520" w:lineRule="exact"/>
        <w:ind w:firstLine="482"/>
        <w:rPr>
          <w:rFonts w:hint="eastAsia" w:ascii="仿宋" w:hAnsi="仿宋" w:eastAsia="仿宋" w:cs="仿宋"/>
          <w:b/>
          <w:color w:val="000000"/>
          <w:highlight w:val="none"/>
        </w:rPr>
      </w:pPr>
      <w:r>
        <w:rPr>
          <w:rFonts w:hint="eastAsia" w:ascii="仿宋" w:hAnsi="仿宋" w:eastAsia="仿宋" w:cs="仿宋"/>
          <w:b/>
          <w:color w:val="000000"/>
          <w:highlight w:val="none"/>
          <w:lang w:val="en-US" w:eastAsia="zh-CN"/>
        </w:rPr>
        <w:t>6.</w:t>
      </w:r>
      <w:r>
        <w:rPr>
          <w:rFonts w:hint="eastAsia" w:ascii="仿宋" w:hAnsi="仿宋" w:eastAsia="仿宋" w:cs="仿宋"/>
          <w:b/>
          <w:color w:val="000000"/>
          <w:highlight w:val="none"/>
        </w:rPr>
        <w:t>相同品牌投标</w:t>
      </w:r>
      <w:bookmarkEnd w:id="17"/>
    </w:p>
    <w:p w14:paraId="0247961C">
      <w:pPr>
        <w:spacing w:line="520" w:lineRule="exact"/>
        <w:ind w:firstLine="480"/>
        <w:rPr>
          <w:rFonts w:ascii="仿宋" w:hAnsi="仿宋" w:eastAsia="仿宋" w:cs="仿宋"/>
          <w:highlight w:val="none"/>
        </w:rPr>
      </w:pPr>
      <w:bookmarkStart w:id="18" w:name="EBc63a4b6a45fa4577844509e4bed90a6e"/>
      <w:r>
        <w:rPr>
          <w:rFonts w:hint="eastAsia" w:ascii="仿宋" w:hAnsi="仿宋" w:eastAsia="仿宋" w:cs="仿宋"/>
          <w:highlight w:val="none"/>
        </w:rPr>
        <w:t>采用最低评标价法的采购项目，提供相同品牌产品的不同</w:t>
      </w:r>
      <w:r>
        <w:rPr>
          <w:rFonts w:hint="eastAsia" w:ascii="仿宋" w:hAnsi="仿宋" w:eastAsia="仿宋" w:cs="仿宋"/>
          <w:highlight w:val="none"/>
          <w:lang w:eastAsia="zh-CN"/>
        </w:rPr>
        <w:t>投标人</w:t>
      </w:r>
      <w:r>
        <w:rPr>
          <w:rFonts w:hint="eastAsia" w:ascii="仿宋" w:hAnsi="仿宋" w:eastAsia="仿宋" w:cs="仿宋"/>
          <w:highlight w:val="none"/>
        </w:rPr>
        <w:t>参加同一合同项下投标的，以其中通过资格审查、符合性审查且报价最低的参加评标；报价相同的，由采购人或者采购人委托评标委员会采用随机抽取的方式确定1个参加评标的</w:t>
      </w:r>
      <w:r>
        <w:rPr>
          <w:rFonts w:hint="eastAsia" w:ascii="仿宋" w:hAnsi="仿宋" w:eastAsia="仿宋" w:cs="仿宋"/>
          <w:highlight w:val="none"/>
          <w:lang w:eastAsia="zh-CN"/>
        </w:rPr>
        <w:t>投标人</w:t>
      </w:r>
      <w:r>
        <w:rPr>
          <w:rFonts w:hint="eastAsia" w:ascii="仿宋" w:hAnsi="仿宋" w:eastAsia="仿宋" w:cs="仿宋"/>
          <w:highlight w:val="none"/>
        </w:rPr>
        <w:t>，其他投标无效。</w:t>
      </w:r>
    </w:p>
    <w:p w14:paraId="4A275520">
      <w:pPr>
        <w:spacing w:line="520" w:lineRule="exact"/>
        <w:ind w:firstLine="480"/>
        <w:rPr>
          <w:rFonts w:ascii="仿宋" w:hAnsi="仿宋" w:eastAsia="仿宋" w:cs="仿宋"/>
          <w:highlight w:val="none"/>
        </w:rPr>
      </w:pPr>
      <w:r>
        <w:rPr>
          <w:rFonts w:hint="eastAsia" w:ascii="仿宋" w:hAnsi="仿宋" w:eastAsia="仿宋" w:cs="仿宋"/>
          <w:highlight w:val="none"/>
        </w:rPr>
        <w:t>使用综合评分法的采购项目，提供相同品牌产品且通过资格审查、符合性审查的不同</w:t>
      </w:r>
      <w:r>
        <w:rPr>
          <w:rFonts w:hint="eastAsia" w:ascii="仿宋" w:hAnsi="仿宋" w:eastAsia="仿宋" w:cs="仿宋"/>
          <w:highlight w:val="none"/>
          <w:lang w:eastAsia="zh-CN"/>
        </w:rPr>
        <w:t>投标人</w:t>
      </w:r>
      <w:r>
        <w:rPr>
          <w:rFonts w:hint="eastAsia" w:ascii="仿宋" w:hAnsi="仿宋" w:eastAsia="仿宋" w:cs="仿宋"/>
          <w:highlight w:val="none"/>
        </w:rPr>
        <w:t>参加同一合同项下投标的，按1家</w:t>
      </w:r>
      <w:r>
        <w:rPr>
          <w:rFonts w:hint="eastAsia" w:ascii="仿宋" w:hAnsi="仿宋" w:eastAsia="仿宋" w:cs="仿宋"/>
          <w:highlight w:val="none"/>
          <w:lang w:eastAsia="zh-CN"/>
        </w:rPr>
        <w:t>投标人</w:t>
      </w:r>
      <w:r>
        <w:rPr>
          <w:rFonts w:hint="eastAsia" w:ascii="仿宋" w:hAnsi="仿宋" w:eastAsia="仿宋" w:cs="仿宋"/>
          <w:highlight w:val="none"/>
        </w:rPr>
        <w:t>计算，评审后得分最高的同品牌</w:t>
      </w:r>
      <w:r>
        <w:rPr>
          <w:rFonts w:hint="eastAsia" w:ascii="仿宋" w:hAnsi="仿宋" w:eastAsia="仿宋" w:cs="仿宋"/>
          <w:highlight w:val="none"/>
          <w:lang w:eastAsia="zh-CN"/>
        </w:rPr>
        <w:t>投标人</w:t>
      </w:r>
      <w:r>
        <w:rPr>
          <w:rFonts w:hint="eastAsia" w:ascii="仿宋" w:hAnsi="仿宋" w:eastAsia="仿宋" w:cs="仿宋"/>
          <w:highlight w:val="none"/>
        </w:rPr>
        <w:t>获得中标人推荐资格；评审得分相同的，由采购人或者采购人委托评标委员会采用随机抽取的方式确定1个</w:t>
      </w:r>
      <w:r>
        <w:rPr>
          <w:rFonts w:hint="eastAsia" w:ascii="仿宋" w:hAnsi="仿宋" w:eastAsia="仿宋" w:cs="仿宋"/>
          <w:highlight w:val="none"/>
          <w:lang w:eastAsia="zh-CN"/>
        </w:rPr>
        <w:t>投标人</w:t>
      </w:r>
      <w:r>
        <w:rPr>
          <w:rFonts w:hint="eastAsia" w:ascii="仿宋" w:hAnsi="仿宋" w:eastAsia="仿宋" w:cs="仿宋"/>
          <w:highlight w:val="none"/>
        </w:rPr>
        <w:t>获得中标人推荐资格，其他同品牌</w:t>
      </w:r>
      <w:r>
        <w:rPr>
          <w:rFonts w:hint="eastAsia" w:ascii="仿宋" w:hAnsi="仿宋" w:eastAsia="仿宋" w:cs="仿宋"/>
          <w:highlight w:val="none"/>
          <w:lang w:eastAsia="zh-CN"/>
        </w:rPr>
        <w:t>投标人</w:t>
      </w:r>
      <w:r>
        <w:rPr>
          <w:rFonts w:hint="eastAsia" w:ascii="仿宋" w:hAnsi="仿宋" w:eastAsia="仿宋" w:cs="仿宋"/>
          <w:highlight w:val="none"/>
        </w:rPr>
        <w:t>不作为中标候选人。</w:t>
      </w:r>
    </w:p>
    <w:p w14:paraId="3D0C3419">
      <w:pPr>
        <w:spacing w:line="520" w:lineRule="exact"/>
        <w:ind w:firstLine="480"/>
        <w:rPr>
          <w:rFonts w:ascii="仿宋" w:hAnsi="仿宋" w:eastAsia="仿宋" w:cs="仿宋"/>
          <w:highlight w:val="none"/>
        </w:rPr>
      </w:pPr>
      <w:r>
        <w:rPr>
          <w:rFonts w:hint="eastAsia" w:ascii="仿宋" w:hAnsi="仿宋" w:eastAsia="仿宋" w:cs="仿宋"/>
          <w:highlight w:val="none"/>
        </w:rPr>
        <w:t>非单一产品采购项目，采购人应当根据采购项目技术构成、产品价格比重等合理确定核心产品，并在招标文件中载明。多家</w:t>
      </w:r>
      <w:r>
        <w:rPr>
          <w:rFonts w:hint="eastAsia" w:ascii="仿宋" w:hAnsi="仿宋" w:eastAsia="仿宋" w:cs="仿宋"/>
          <w:highlight w:val="none"/>
          <w:lang w:eastAsia="zh-CN"/>
        </w:rPr>
        <w:t>投标人</w:t>
      </w:r>
      <w:r>
        <w:rPr>
          <w:rFonts w:hint="eastAsia" w:ascii="仿宋" w:hAnsi="仿宋" w:eastAsia="仿宋" w:cs="仿宋"/>
          <w:highlight w:val="none"/>
        </w:rPr>
        <w:t>提供的核心产品品牌相同的，按前两款规定处理。</w:t>
      </w:r>
    </w:p>
    <w:p w14:paraId="6783B338">
      <w:pPr>
        <w:spacing w:line="520" w:lineRule="exact"/>
        <w:rPr>
          <w:highlight w:val="none"/>
        </w:rPr>
      </w:pPr>
      <w:r>
        <w:rPr>
          <w:rFonts w:hint="eastAsia"/>
          <w:color w:val="000080"/>
          <w:sz w:val="20"/>
          <w:highlight w:val="none"/>
        </w:rPr>
        <w:t xml:space="preserve"> </w:t>
      </w:r>
      <w:bookmarkEnd w:id="18"/>
    </w:p>
    <w:p w14:paraId="4C8101B2">
      <w:pPr>
        <w:pStyle w:val="205"/>
        <w:keepNext w:val="0"/>
        <w:keepLines w:val="0"/>
        <w:spacing w:before="0" w:after="0" w:line="520" w:lineRule="exact"/>
        <w:rPr>
          <w:highlight w:val="none"/>
        </w:rPr>
      </w:pPr>
      <w:bookmarkStart w:id="19" w:name="_Toc3962"/>
      <w:r>
        <w:rPr>
          <w:rFonts w:hint="eastAsia"/>
          <w:highlight w:val="none"/>
        </w:rPr>
        <w:t>二、招标文件</w:t>
      </w:r>
      <w:bookmarkEnd w:id="19"/>
    </w:p>
    <w:p w14:paraId="1FBA1DCF">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7</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招标文件构成</w:t>
      </w:r>
    </w:p>
    <w:p w14:paraId="7182FB45">
      <w:pPr>
        <w:spacing w:line="520" w:lineRule="exact"/>
        <w:ind w:firstLine="480"/>
        <w:rPr>
          <w:rFonts w:ascii="仿宋" w:hAnsi="仿宋" w:eastAsia="仿宋" w:cs="仿宋"/>
          <w:color w:val="auto"/>
          <w:highlight w:val="none"/>
        </w:rPr>
      </w:pPr>
      <w:r>
        <w:rPr>
          <w:rFonts w:hint="eastAsia" w:ascii="仿宋" w:hAnsi="仿宋" w:eastAsia="仿宋" w:cs="仿宋"/>
          <w:color w:val="auto"/>
          <w:highlight w:val="none"/>
        </w:rPr>
        <w:t>第一部分：招标公告；</w:t>
      </w:r>
    </w:p>
    <w:p w14:paraId="5D96EEC6">
      <w:pPr>
        <w:spacing w:line="520" w:lineRule="exact"/>
        <w:ind w:firstLine="480"/>
        <w:rPr>
          <w:rFonts w:ascii="仿宋" w:hAnsi="仿宋" w:eastAsia="仿宋" w:cs="仿宋"/>
          <w:color w:val="auto"/>
          <w:highlight w:val="none"/>
        </w:rPr>
      </w:pPr>
      <w:r>
        <w:rPr>
          <w:rFonts w:hint="eastAsia" w:ascii="仿宋" w:hAnsi="仿宋" w:eastAsia="仿宋" w:cs="仿宋"/>
          <w:color w:val="auto"/>
          <w:highlight w:val="none"/>
        </w:rPr>
        <w:t>第二部分：</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 xml:space="preserve">须知； </w:t>
      </w:r>
    </w:p>
    <w:p w14:paraId="55E234D1">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部分：合同</w:t>
      </w:r>
      <w:r>
        <w:rPr>
          <w:rFonts w:hint="eastAsia" w:ascii="仿宋" w:hAnsi="仿宋" w:eastAsia="仿宋" w:cs="仿宋"/>
          <w:color w:val="auto"/>
          <w:highlight w:val="none"/>
          <w:lang w:val="en-US" w:eastAsia="zh-CN"/>
        </w:rPr>
        <w:t>文本</w:t>
      </w:r>
      <w:r>
        <w:rPr>
          <w:rFonts w:hint="eastAsia" w:ascii="仿宋" w:hAnsi="仿宋" w:eastAsia="仿宋" w:cs="仿宋"/>
          <w:color w:val="auto"/>
          <w:highlight w:val="none"/>
        </w:rPr>
        <w:t>；</w:t>
      </w:r>
    </w:p>
    <w:p w14:paraId="0FAC9716">
      <w:pPr>
        <w:spacing w:line="520" w:lineRule="exact"/>
        <w:ind w:firstLine="480"/>
        <w:rPr>
          <w:rFonts w:ascii="仿宋" w:hAnsi="仿宋" w:eastAsia="仿宋" w:cs="仿宋"/>
          <w:color w:val="auto"/>
          <w:highlight w:val="none"/>
        </w:rPr>
      </w:pPr>
      <w:r>
        <w:rPr>
          <w:rFonts w:hint="eastAsia" w:ascii="仿宋" w:hAnsi="仿宋" w:eastAsia="仿宋" w:cs="仿宋"/>
          <w:color w:val="auto"/>
          <w:highlight w:val="none"/>
        </w:rPr>
        <w:t>第四部分：采购需求；</w:t>
      </w:r>
    </w:p>
    <w:p w14:paraId="12DFE72B">
      <w:pPr>
        <w:spacing w:line="520" w:lineRule="exact"/>
        <w:ind w:firstLine="480"/>
        <w:rPr>
          <w:rFonts w:ascii="仿宋" w:hAnsi="仿宋" w:eastAsia="仿宋" w:cs="仿宋"/>
          <w:color w:val="auto"/>
          <w:highlight w:val="none"/>
        </w:rPr>
      </w:pPr>
      <w:r>
        <w:rPr>
          <w:rFonts w:hint="eastAsia" w:ascii="仿宋" w:hAnsi="仿宋" w:eastAsia="仿宋" w:cs="仿宋"/>
          <w:color w:val="auto"/>
          <w:highlight w:val="none"/>
        </w:rPr>
        <w:t>第</w:t>
      </w:r>
      <w:r>
        <w:rPr>
          <w:rFonts w:hint="eastAsia" w:ascii="仿宋" w:hAnsi="仿宋" w:eastAsia="仿宋" w:cs="仿宋"/>
          <w:color w:val="auto"/>
          <w:highlight w:val="none"/>
          <w:lang w:val="en-US" w:eastAsia="zh-CN"/>
        </w:rPr>
        <w:t>五</w:t>
      </w:r>
      <w:r>
        <w:rPr>
          <w:rFonts w:hint="eastAsia" w:ascii="仿宋" w:hAnsi="仿宋" w:eastAsia="仿宋" w:cs="仿宋"/>
          <w:color w:val="auto"/>
          <w:highlight w:val="none"/>
        </w:rPr>
        <w:t>部分：</w:t>
      </w:r>
      <w:r>
        <w:rPr>
          <w:rFonts w:hint="eastAsia" w:ascii="仿宋" w:hAnsi="仿宋" w:eastAsia="仿宋" w:cs="仿宋"/>
          <w:color w:val="auto"/>
          <w:highlight w:val="none"/>
          <w:lang w:val="en-US" w:eastAsia="zh-CN"/>
        </w:rPr>
        <w:t>评标方法和标准</w:t>
      </w:r>
      <w:r>
        <w:rPr>
          <w:rFonts w:hint="eastAsia" w:ascii="仿宋" w:hAnsi="仿宋" w:eastAsia="仿宋" w:cs="仿宋"/>
          <w:color w:val="auto"/>
          <w:highlight w:val="none"/>
        </w:rPr>
        <w:t>；</w:t>
      </w:r>
    </w:p>
    <w:p w14:paraId="1FFA75FF">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第六部分：投标文件格式。</w:t>
      </w:r>
    </w:p>
    <w:p w14:paraId="1CB7DBD4">
      <w:pPr>
        <w:spacing w:line="520" w:lineRule="exact"/>
        <w:ind w:firstLine="480"/>
        <w:rPr>
          <w:rFonts w:hint="eastAsia" w:ascii="仿宋" w:hAnsi="仿宋" w:eastAsia="仿宋" w:cs="仿宋"/>
          <w:color w:val="auto"/>
          <w:highlight w:val="none"/>
        </w:rPr>
      </w:pPr>
      <w:r>
        <w:rPr>
          <w:rFonts w:hint="eastAsia" w:ascii="仿宋" w:hAnsi="仿宋" w:eastAsia="仿宋" w:cs="仿宋"/>
          <w:b/>
          <w:color w:val="auto"/>
          <w:highlight w:val="none"/>
          <w:lang w:val="en-US" w:eastAsia="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253B8CEF">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8</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招标文件的澄清</w:t>
      </w:r>
    </w:p>
    <w:p w14:paraId="739161F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任何要求对招标文件澄清的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，均应在法律法规规定的时间内提出，采购代理机构对规定时间内收到的澄清要求予以答复，答复不包括问题的来源。</w:t>
      </w:r>
    </w:p>
    <w:p w14:paraId="731C5B02">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9</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招标文件的修改</w:t>
      </w:r>
    </w:p>
    <w:p w14:paraId="46496AE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9.1</w:t>
      </w:r>
      <w:r>
        <w:rPr>
          <w:rFonts w:hint="eastAsia" w:ascii="仿宋" w:hAnsi="仿宋" w:eastAsia="仿宋" w:cs="仿宋"/>
          <w:color w:val="auto"/>
          <w:highlight w:val="none"/>
        </w:rPr>
        <w:t>在提交</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rPr>
        <w:t>文件接收截止之日前，采购代理机构可以更正公告或补充文件的形式对</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文件进行澄清或者修改。澄清或者修改的内容可能影响</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rPr>
        <w:t>文件编制的，应当在提交首次</w:t>
      </w:r>
      <w:r>
        <w:rPr>
          <w:rFonts w:hint="eastAsia" w:ascii="仿宋" w:hAnsi="仿宋" w:eastAsia="仿宋" w:cs="仿宋"/>
          <w:color w:val="auto"/>
          <w:highlight w:val="none"/>
          <w:lang w:val="en-US" w:eastAsia="zh-CN"/>
        </w:rPr>
        <w:t>投标</w:t>
      </w:r>
      <w:r>
        <w:rPr>
          <w:rFonts w:hint="eastAsia" w:ascii="仿宋" w:hAnsi="仿宋" w:eastAsia="仿宋" w:cs="仿宋"/>
          <w:color w:val="auto"/>
          <w:highlight w:val="none"/>
        </w:rPr>
        <w:t>文件截止之日</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5日前发出，不足</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5日的，应当顺延提交首次响应文件截止之日。采购代理机构可以更正公告或补充文件的形式对招标文件进行修改。</w:t>
      </w:r>
    </w:p>
    <w:p w14:paraId="19C4EA1A">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9.2招标文件的修改</w:t>
      </w:r>
      <w:r>
        <w:rPr>
          <w:rFonts w:hint="eastAsia" w:ascii="仿宋" w:hAnsi="仿宋" w:eastAsia="仿宋" w:cs="仿宋"/>
          <w:color w:val="000000"/>
          <w:highlight w:val="none"/>
          <w:lang w:eastAsia="zh-CN"/>
        </w:rPr>
        <w:t>将</w:t>
      </w:r>
      <w:r>
        <w:rPr>
          <w:rFonts w:hint="eastAsia" w:ascii="仿宋" w:hAnsi="仿宋" w:eastAsia="仿宋" w:cs="仿宋"/>
          <w:color w:val="000000"/>
          <w:highlight w:val="none"/>
        </w:rPr>
        <w:t>通过邮件通知所有已获取招标文件的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，并对</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具有约束力。</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 xml:space="preserve">收到修改文件后，应于1个工作日内予以确认，逾期未确认的，视同已收。 </w:t>
      </w:r>
    </w:p>
    <w:p w14:paraId="41F12FA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9.3为使</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有充分的时间对招标文件的修改部分进行分析、研究，采购代理机构有权推迟投标文件接收截止日期和开标日期，并将此变更通知所有已获取招标文件的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w:t>
      </w:r>
    </w:p>
    <w:p w14:paraId="46FFD032">
      <w:pPr>
        <w:spacing w:line="520" w:lineRule="exact"/>
        <w:ind w:firstLine="480"/>
        <w:rPr>
          <w:rFonts w:ascii="仿宋" w:hAnsi="仿宋" w:eastAsia="仿宋" w:cs="仿宋"/>
          <w:highlight w:val="none"/>
        </w:rPr>
      </w:pPr>
      <w:r>
        <w:rPr>
          <w:rFonts w:hint="eastAsia" w:ascii="仿宋" w:hAnsi="仿宋" w:eastAsia="仿宋" w:cs="仿宋"/>
          <w:color w:val="000000"/>
          <w:highlight w:val="none"/>
        </w:rPr>
        <w:t>9.4采购代理机构发出的所有补充、修改和变更文件均作为招标文件的组成部分，与招标文件具有同等法律效力。</w:t>
      </w:r>
      <w:r>
        <w:rPr>
          <w:rFonts w:hint="eastAsia" w:ascii="仿宋" w:hAnsi="仿宋" w:eastAsia="仿宋" w:cs="仿宋"/>
          <w:color w:val="auto"/>
          <w:highlight w:val="none"/>
        </w:rPr>
        <w:t>如因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原因未能及时获取澄清和修改，由此造成的相关责任，由</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承担。</w:t>
      </w:r>
    </w:p>
    <w:p w14:paraId="118BCE96">
      <w:pPr>
        <w:spacing w:line="520" w:lineRule="exact"/>
        <w:rPr>
          <w:rFonts w:ascii="仿宋_GB2312" w:eastAsia="仿宋_GB2312"/>
          <w:highlight w:val="none"/>
        </w:rPr>
      </w:pPr>
      <w:bookmarkStart w:id="20" w:name="EBebf7ede40ba2404eabfa943e46b0c520"/>
      <w:r>
        <w:rPr>
          <w:rFonts w:hint="eastAsia" w:ascii="仿宋_GB2312" w:eastAsia="仿宋_GB2312"/>
          <w:color w:val="000080"/>
          <w:sz w:val="20"/>
          <w:highlight w:val="none"/>
        </w:rPr>
        <w:t xml:space="preserve"> </w:t>
      </w:r>
      <w:bookmarkEnd w:id="20"/>
      <w:bookmarkStart w:id="21" w:name="EB27df85fc5a574ebaaed6d5868f4535a1"/>
      <w:r>
        <w:rPr>
          <w:rFonts w:hint="eastAsia" w:ascii="仿宋_GB2312" w:eastAsia="仿宋_GB2312"/>
          <w:color w:val="000080"/>
          <w:sz w:val="20"/>
          <w:highlight w:val="none"/>
        </w:rPr>
        <w:t xml:space="preserve"> </w:t>
      </w:r>
      <w:bookmarkEnd w:id="21"/>
      <w:bookmarkStart w:id="22" w:name="EB3eb7ea0b01144628b9ffe3df796b5351"/>
      <w:r>
        <w:rPr>
          <w:rFonts w:hint="eastAsia" w:ascii="仿宋_GB2312" w:eastAsia="仿宋_GB2312"/>
          <w:color w:val="000080"/>
          <w:sz w:val="20"/>
          <w:highlight w:val="none"/>
        </w:rPr>
        <w:t xml:space="preserve"> </w:t>
      </w:r>
      <w:bookmarkEnd w:id="22"/>
    </w:p>
    <w:p w14:paraId="557A857F">
      <w:pPr>
        <w:pStyle w:val="205"/>
        <w:keepNext w:val="0"/>
        <w:keepLines w:val="0"/>
        <w:spacing w:before="0" w:after="0" w:line="520" w:lineRule="exact"/>
        <w:rPr>
          <w:highlight w:val="none"/>
        </w:rPr>
      </w:pPr>
      <w:bookmarkStart w:id="23" w:name="_Toc27518"/>
      <w:r>
        <w:rPr>
          <w:rFonts w:hint="eastAsia"/>
          <w:highlight w:val="none"/>
        </w:rPr>
        <w:t>三、投标文件的编制</w:t>
      </w:r>
      <w:bookmarkEnd w:id="23"/>
    </w:p>
    <w:p w14:paraId="64E8FDF8">
      <w:pPr>
        <w:spacing w:line="520" w:lineRule="exact"/>
        <w:ind w:firstLine="482"/>
        <w:rPr>
          <w:rFonts w:ascii="仿宋" w:hAnsi="仿宋" w:eastAsia="仿宋" w:cs="仿宋"/>
          <w:b/>
          <w:color w:val="000000"/>
          <w:highlight w:val="none"/>
        </w:rPr>
      </w:pPr>
      <w:bookmarkStart w:id="24" w:name="EB2ca96763a7244d75908a3586115531a8"/>
      <w:r>
        <w:rPr>
          <w:rFonts w:hint="eastAsia" w:ascii="仿宋" w:hAnsi="仿宋" w:eastAsia="仿宋" w:cs="仿宋"/>
          <w:b/>
          <w:color w:val="000000"/>
          <w:highlight w:val="none"/>
        </w:rPr>
        <w:t>10</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投标文件的编制要求</w:t>
      </w:r>
    </w:p>
    <w:p w14:paraId="1BE7FC8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10.1</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应仔细阅读“招标文件”的所有内容，按“招标文件”第六部分“投标文件格式”编制投标文件，如有必要，可以增加附页，作为投标文件的组成部分。</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须保证所提供的全部资料的真实性、完整性及有效性，以使其投标对“招标文件”作出实质性响应。</w:t>
      </w:r>
    </w:p>
    <w:p w14:paraId="5C95110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10.2投标文件应当对招标文件有关投标有效期、技术标准和要求、</w:t>
      </w:r>
      <w:r>
        <w:rPr>
          <w:rFonts w:hint="eastAsia" w:ascii="仿宋" w:hAnsi="仿宋" w:eastAsia="仿宋" w:cs="仿宋"/>
          <w:color w:val="auto"/>
          <w:highlight w:val="none"/>
          <w:lang w:val="en-US" w:eastAsia="zh-CN"/>
        </w:rPr>
        <w:t>配置要求、</w:t>
      </w:r>
      <w:r>
        <w:rPr>
          <w:rFonts w:hint="eastAsia" w:ascii="仿宋" w:hAnsi="仿宋" w:eastAsia="仿宋" w:cs="仿宋"/>
          <w:color w:val="000000"/>
          <w:highlight w:val="none"/>
        </w:rPr>
        <w:t>招标范围等实质性内容作出响应。</w:t>
      </w:r>
    </w:p>
    <w:p w14:paraId="0CC7D7AA">
      <w:pPr>
        <w:spacing w:line="520" w:lineRule="exact"/>
        <w:ind w:firstLine="480"/>
        <w:rPr>
          <w:rFonts w:hint="eastAsia" w:ascii="仿宋" w:hAnsi="仿宋" w:eastAsia="仿宋" w:cs="仿宋"/>
          <w:b/>
          <w:bCs/>
          <w:color w:val="000000"/>
          <w:highlight w:val="yellow"/>
        </w:rPr>
      </w:pPr>
      <w:r>
        <w:rPr>
          <w:rFonts w:hint="eastAsia" w:ascii="宋体" w:hAnsi="宋体" w:eastAsia="宋体" w:cs="宋体"/>
          <w:b w:val="0"/>
          <w:bCs w:val="0"/>
          <w:color w:val="000000"/>
          <w:highlight w:val="none"/>
        </w:rPr>
        <w:t>※</w:t>
      </w:r>
      <w:r>
        <w:rPr>
          <w:rFonts w:hint="eastAsia" w:ascii="仿宋" w:hAnsi="仿宋" w:eastAsia="仿宋" w:cs="仿宋"/>
          <w:b/>
          <w:bCs/>
          <w:color w:val="000000"/>
          <w:highlight w:val="none"/>
          <w:lang w:val="en-US" w:eastAsia="zh-CN"/>
        </w:rPr>
        <w:t>10.3投标人</w:t>
      </w:r>
      <w:r>
        <w:rPr>
          <w:rFonts w:hint="eastAsia" w:ascii="仿宋" w:hAnsi="仿宋" w:eastAsia="仿宋" w:cs="仿宋"/>
          <w:b/>
          <w:bCs/>
          <w:color w:val="000000"/>
          <w:highlight w:val="none"/>
        </w:rPr>
        <w:t>如同时参与多个</w:t>
      </w:r>
      <w:r>
        <w:rPr>
          <w:rFonts w:hint="eastAsia" w:ascii="仿宋" w:hAnsi="仿宋" w:eastAsia="仿宋" w:cs="仿宋"/>
          <w:b/>
          <w:bCs/>
          <w:color w:val="000000"/>
          <w:highlight w:val="none"/>
          <w:lang w:val="en-US" w:eastAsia="zh-CN"/>
        </w:rPr>
        <w:t>采购</w:t>
      </w:r>
      <w:r>
        <w:rPr>
          <w:rFonts w:hint="eastAsia" w:ascii="仿宋" w:hAnsi="仿宋" w:eastAsia="仿宋" w:cs="仿宋"/>
          <w:b/>
          <w:bCs/>
          <w:color w:val="000000"/>
          <w:highlight w:val="none"/>
        </w:rPr>
        <w:t>包（如有）</w:t>
      </w:r>
      <w:r>
        <w:rPr>
          <w:rFonts w:hint="eastAsia" w:ascii="仿宋" w:hAnsi="仿宋" w:eastAsia="仿宋" w:cs="仿宋"/>
          <w:b/>
          <w:bCs/>
          <w:color w:val="000000"/>
          <w:highlight w:val="none"/>
          <w:lang w:val="en-US" w:eastAsia="zh-CN"/>
        </w:rPr>
        <w:t>投标</w:t>
      </w:r>
      <w:r>
        <w:rPr>
          <w:rFonts w:hint="eastAsia" w:ascii="仿宋" w:hAnsi="仿宋" w:eastAsia="仿宋" w:cs="仿宋"/>
          <w:b/>
          <w:bCs/>
          <w:color w:val="000000"/>
          <w:highlight w:val="none"/>
        </w:rPr>
        <w:t>，则应按</w:t>
      </w:r>
      <w:r>
        <w:rPr>
          <w:rFonts w:hint="eastAsia" w:ascii="仿宋" w:hAnsi="仿宋" w:eastAsia="仿宋" w:cs="仿宋"/>
          <w:b/>
          <w:bCs/>
          <w:color w:val="000000"/>
          <w:highlight w:val="none"/>
          <w:lang w:val="en-US" w:eastAsia="zh-CN"/>
        </w:rPr>
        <w:t>采购</w:t>
      </w:r>
      <w:r>
        <w:rPr>
          <w:rFonts w:hint="eastAsia" w:ascii="仿宋" w:hAnsi="仿宋" w:eastAsia="仿宋" w:cs="仿宋"/>
          <w:b/>
          <w:bCs/>
          <w:color w:val="000000"/>
          <w:highlight w:val="none"/>
        </w:rPr>
        <w:t>包分别制作</w:t>
      </w:r>
      <w:r>
        <w:rPr>
          <w:rFonts w:hint="eastAsia" w:ascii="仿宋" w:hAnsi="仿宋" w:eastAsia="仿宋" w:cs="仿宋"/>
          <w:b/>
          <w:bCs/>
          <w:color w:val="000000"/>
          <w:highlight w:val="none"/>
          <w:lang w:val="en-US" w:eastAsia="zh-CN"/>
        </w:rPr>
        <w:t>投标</w:t>
      </w:r>
      <w:r>
        <w:rPr>
          <w:rFonts w:hint="eastAsia" w:ascii="仿宋" w:hAnsi="仿宋" w:eastAsia="仿宋" w:cs="仿宋"/>
          <w:b/>
          <w:bCs/>
          <w:color w:val="000000"/>
          <w:highlight w:val="none"/>
        </w:rPr>
        <w:t>文件，否则将视为无效</w:t>
      </w:r>
      <w:r>
        <w:rPr>
          <w:rFonts w:hint="eastAsia" w:ascii="仿宋" w:hAnsi="仿宋" w:eastAsia="仿宋" w:cs="仿宋"/>
          <w:b/>
          <w:bCs/>
          <w:color w:val="000000"/>
          <w:highlight w:val="none"/>
          <w:lang w:val="en-US" w:eastAsia="zh-CN"/>
        </w:rPr>
        <w:t>响应</w:t>
      </w:r>
      <w:r>
        <w:rPr>
          <w:rFonts w:hint="eastAsia" w:ascii="仿宋" w:hAnsi="仿宋" w:eastAsia="仿宋" w:cs="仿宋"/>
          <w:b/>
          <w:bCs/>
          <w:color w:val="000000"/>
          <w:highlight w:val="none"/>
        </w:rPr>
        <w:t>文件。</w:t>
      </w:r>
    </w:p>
    <w:p w14:paraId="454314C7">
      <w:pPr>
        <w:spacing w:line="520" w:lineRule="exact"/>
        <w:ind w:firstLine="482"/>
        <w:rPr>
          <w:rFonts w:hint="eastAsia" w:ascii="仿宋" w:hAnsi="仿宋" w:eastAsia="仿宋" w:cs="仿宋"/>
          <w:b/>
          <w:bCs/>
          <w:color w:val="000000"/>
          <w:highlight w:val="none"/>
        </w:rPr>
      </w:pPr>
      <w:r>
        <w:rPr>
          <w:rFonts w:hint="eastAsia" w:ascii="宋体" w:hAnsi="宋体" w:eastAsia="宋体" w:cs="宋体"/>
          <w:color w:val="000000"/>
          <w:highlight w:val="none"/>
        </w:rPr>
        <w:t>※</w:t>
      </w:r>
      <w:r>
        <w:rPr>
          <w:rFonts w:hint="eastAsia" w:ascii="仿宋" w:hAnsi="仿宋" w:eastAsia="仿宋" w:cs="仿宋"/>
          <w:b/>
          <w:bCs/>
          <w:color w:val="000000"/>
          <w:highlight w:val="none"/>
        </w:rPr>
        <w:t>10.</w:t>
      </w:r>
      <w:r>
        <w:rPr>
          <w:rFonts w:hint="eastAsia" w:ascii="仿宋" w:hAnsi="仿宋" w:eastAsia="仿宋" w:cs="仿宋"/>
          <w:b/>
          <w:bCs/>
          <w:color w:val="000000"/>
          <w:highlight w:val="none"/>
          <w:lang w:val="en-US" w:eastAsia="zh-CN"/>
        </w:rPr>
        <w:t>4</w:t>
      </w:r>
      <w:r>
        <w:rPr>
          <w:rFonts w:hint="eastAsia" w:ascii="仿宋" w:hAnsi="仿宋" w:eastAsia="仿宋" w:cs="仿宋"/>
          <w:b/>
          <w:bCs/>
          <w:color w:val="000000"/>
          <w:highlight w:val="none"/>
        </w:rPr>
        <w:t xml:space="preserve"> 投标文件须加盖公章之处，应按要求加盖与投标单位名称一致的标准公章，不得使用其他形式（如带有“专用章</w:t>
      </w:r>
      <w:r>
        <w:rPr>
          <w:rFonts w:hint="eastAsia" w:ascii="仿宋" w:hAnsi="仿宋" w:eastAsia="仿宋" w:cs="仿宋"/>
          <w:b/>
          <w:bCs/>
          <w:color w:val="000000"/>
          <w:highlight w:val="none"/>
          <w:lang w:eastAsia="zh-CN"/>
        </w:rPr>
        <w:t>”“</w:t>
      </w:r>
      <w:r>
        <w:rPr>
          <w:rFonts w:hint="eastAsia" w:ascii="仿宋" w:hAnsi="仿宋" w:eastAsia="仿宋" w:cs="仿宋"/>
          <w:b/>
          <w:bCs/>
          <w:color w:val="000000"/>
          <w:highlight w:val="none"/>
        </w:rPr>
        <w:t>合同章</w:t>
      </w:r>
      <w:r>
        <w:rPr>
          <w:rFonts w:hint="eastAsia" w:ascii="仿宋" w:hAnsi="仿宋" w:eastAsia="仿宋" w:cs="仿宋"/>
          <w:b/>
          <w:bCs/>
          <w:color w:val="000000"/>
          <w:highlight w:val="none"/>
          <w:lang w:eastAsia="zh-CN"/>
        </w:rPr>
        <w:t>”“</w:t>
      </w:r>
      <w:r>
        <w:rPr>
          <w:rFonts w:hint="eastAsia" w:ascii="仿宋" w:hAnsi="仿宋" w:eastAsia="仿宋" w:cs="仿宋"/>
          <w:b/>
          <w:bCs/>
          <w:color w:val="000000"/>
          <w:highlight w:val="none"/>
        </w:rPr>
        <w:t>财务章</w:t>
      </w:r>
      <w:r>
        <w:rPr>
          <w:rFonts w:hint="eastAsia" w:ascii="仿宋" w:hAnsi="仿宋" w:eastAsia="仿宋" w:cs="仿宋"/>
          <w:b/>
          <w:bCs/>
          <w:color w:val="000000"/>
          <w:highlight w:val="none"/>
          <w:lang w:eastAsia="zh-CN"/>
        </w:rPr>
        <w:t>”“</w:t>
      </w:r>
      <w:r>
        <w:rPr>
          <w:rFonts w:hint="eastAsia" w:ascii="仿宋" w:hAnsi="仿宋" w:eastAsia="仿宋" w:cs="仿宋"/>
          <w:b/>
          <w:bCs/>
          <w:color w:val="000000"/>
          <w:highlight w:val="none"/>
        </w:rPr>
        <w:t>业务章”等字样）的印章。</w:t>
      </w:r>
    </w:p>
    <w:p w14:paraId="108F5716">
      <w:pPr>
        <w:spacing w:line="520" w:lineRule="exact"/>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10.5 招标文件要求提供复印件的，提供复印件或扫描件均可；招标文件要求提供扫描件的，必须提供扫描件。未按本条要求提供的，评标委员会可视为未提供。</w:t>
      </w:r>
    </w:p>
    <w:p w14:paraId="3C4F190E">
      <w:pPr>
        <w:spacing w:line="520" w:lineRule="exact"/>
        <w:ind w:firstLine="482"/>
        <w:rPr>
          <w:rFonts w:hint="eastAsia" w:ascii="仿宋" w:hAnsi="仿宋" w:eastAsia="仿宋" w:cs="仿宋"/>
          <w:b/>
          <w:bCs/>
          <w:color w:val="000000"/>
          <w:highlight w:val="none"/>
        </w:rPr>
      </w:pPr>
      <w:r>
        <w:rPr>
          <w:rFonts w:hint="eastAsia" w:ascii="仿宋" w:hAnsi="仿宋" w:eastAsia="仿宋" w:cs="仿宋"/>
          <w:color w:val="auto"/>
          <w:highlight w:val="none"/>
          <w:lang w:val="en-US" w:eastAsia="zh-CN"/>
        </w:rPr>
        <w:t>10.6 除招标文件另有规定外，投标文件所使用的度量衡单位，均须采用国家法定计量单位。</w:t>
      </w:r>
    </w:p>
    <w:p w14:paraId="3D4FDE80">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11</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投标文件构成</w:t>
      </w:r>
    </w:p>
    <w:p w14:paraId="2FAA47D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11.1投标声明及承诺函</w:t>
      </w:r>
    </w:p>
    <w:p w14:paraId="767AA4B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11.2资格证明文件；</w:t>
      </w:r>
    </w:p>
    <w:p w14:paraId="6B2809A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11.2.1招标文件第一部分《招标公告》申请人的资格要求中的证明材料；</w:t>
      </w:r>
    </w:p>
    <w:p w14:paraId="47F7A790">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11.2.2</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认为与本项目相关的其他资格证明资料；</w:t>
      </w:r>
    </w:p>
    <w:p w14:paraId="2E5A9E5D">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11.3报价文件</w:t>
      </w:r>
    </w:p>
    <w:p w14:paraId="7C15FC7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11.3.1开标一览表；</w:t>
      </w:r>
    </w:p>
    <w:p w14:paraId="4E93F3AA">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11.3.2明细报价表。</w:t>
      </w:r>
    </w:p>
    <w:p w14:paraId="2D839B84">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11.4技术文件</w:t>
      </w:r>
    </w:p>
    <w:p w14:paraId="3956EF85">
      <w:pPr>
        <w:spacing w:line="520" w:lineRule="exact"/>
        <w:ind w:firstLine="480"/>
        <w:rPr>
          <w:rFonts w:ascii="仿宋" w:hAnsi="仿宋" w:eastAsia="仿宋" w:cs="仿宋"/>
          <w:color w:val="0000FF"/>
          <w:highlight w:val="none"/>
        </w:rPr>
      </w:pPr>
      <w:bookmarkStart w:id="25" w:name="EB7f6b24a996964930b08d6b290b36e3fd"/>
      <w:r>
        <w:rPr>
          <w:rFonts w:hint="eastAsia" w:ascii="仿宋" w:hAnsi="仿宋" w:eastAsia="仿宋" w:cs="仿宋"/>
          <w:color w:val="000000"/>
          <w:highlight w:val="none"/>
        </w:rPr>
        <w:t>11.4.1</w:t>
      </w:r>
      <w:r>
        <w:rPr>
          <w:rFonts w:hint="eastAsia" w:ascii="仿宋" w:hAnsi="仿宋" w:eastAsia="仿宋" w:cs="仿宋"/>
          <w:color w:val="000000"/>
          <w:highlight w:val="none"/>
          <w:lang w:val="en-US" w:eastAsia="zh-CN"/>
        </w:rPr>
        <w:t>服务方案</w:t>
      </w:r>
      <w:r>
        <w:rPr>
          <w:rFonts w:hint="eastAsia" w:ascii="仿宋" w:hAnsi="仿宋" w:eastAsia="仿宋" w:cs="仿宋"/>
          <w:color w:val="000000"/>
          <w:highlight w:val="none"/>
        </w:rPr>
        <w:t>等（格式自拟）；</w:t>
      </w:r>
    </w:p>
    <w:p w14:paraId="1DECCDE6">
      <w:pPr>
        <w:spacing w:line="520" w:lineRule="exact"/>
        <w:ind w:firstLine="480"/>
        <w:rPr>
          <w:rFonts w:hint="eastAsia" w:ascii="仿宋" w:hAnsi="仿宋" w:eastAsia="仿宋" w:cs="仿宋"/>
          <w:color w:val="000000"/>
          <w:highlight w:val="none"/>
          <w:lang w:eastAsia="zh-CN"/>
        </w:rPr>
      </w:pPr>
      <w:r>
        <w:rPr>
          <w:rFonts w:hint="eastAsia" w:ascii="仿宋" w:hAnsi="仿宋" w:eastAsia="仿宋" w:cs="仿宋"/>
          <w:color w:val="000000"/>
          <w:highlight w:val="none"/>
        </w:rPr>
        <w:t>11.4.2配置清单、配件（耗材）清单</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如有</w:t>
      </w:r>
      <w:r>
        <w:rPr>
          <w:rFonts w:hint="eastAsia" w:ascii="仿宋" w:hAnsi="仿宋" w:eastAsia="仿宋" w:cs="仿宋"/>
          <w:color w:val="000000"/>
          <w:highlight w:val="none"/>
          <w:lang w:eastAsia="zh-CN"/>
        </w:rPr>
        <w:t>）</w:t>
      </w:r>
    </w:p>
    <w:p w14:paraId="205E3777">
      <w:pPr>
        <w:spacing w:line="520" w:lineRule="exact"/>
        <w:ind w:firstLine="480"/>
        <w:rPr>
          <w:rFonts w:ascii="仿宋" w:hAnsi="仿宋" w:eastAsia="仿宋" w:cs="仿宋"/>
          <w:color w:val="0000FF"/>
          <w:highlight w:val="none"/>
        </w:rPr>
      </w:pPr>
      <w:r>
        <w:rPr>
          <w:rFonts w:hint="eastAsia" w:ascii="仿宋" w:hAnsi="仿宋" w:eastAsia="仿宋" w:cs="仿宋"/>
          <w:color w:val="000000"/>
          <w:highlight w:val="none"/>
        </w:rPr>
        <w:t>11.4.3主要货物技术资料（包括实物样图、使用手册、</w:t>
      </w:r>
      <w:r>
        <w:rPr>
          <w:rFonts w:hint="eastAsia" w:ascii="仿宋" w:hAnsi="仿宋" w:eastAsia="仿宋" w:cs="仿宋"/>
          <w:color w:val="000000"/>
          <w:highlight w:val="none"/>
          <w:lang w:val="en-US" w:eastAsia="zh-CN"/>
        </w:rPr>
        <w:t>彩页</w:t>
      </w:r>
      <w:r>
        <w:rPr>
          <w:rFonts w:hint="eastAsia" w:ascii="仿宋" w:hAnsi="仿宋" w:eastAsia="仿宋" w:cs="仿宋"/>
          <w:color w:val="000000"/>
          <w:highlight w:val="none"/>
        </w:rPr>
        <w:t>等）（格式自拟）；</w:t>
      </w:r>
    </w:p>
    <w:p w14:paraId="23C2B1C8">
      <w:pPr>
        <w:spacing w:line="520" w:lineRule="exact"/>
        <w:ind w:firstLine="480"/>
        <w:rPr>
          <w:rFonts w:ascii="仿宋" w:hAnsi="仿宋" w:eastAsia="仿宋" w:cs="仿宋"/>
          <w:color w:val="0000FF"/>
          <w:highlight w:val="none"/>
        </w:rPr>
      </w:pPr>
      <w:r>
        <w:rPr>
          <w:rFonts w:hint="eastAsia" w:ascii="仿宋" w:hAnsi="仿宋" w:eastAsia="仿宋" w:cs="仿宋"/>
          <w:color w:val="000000"/>
          <w:highlight w:val="none"/>
        </w:rPr>
        <w:t>11.4.4</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项目管理、技术及服务人员一览表；</w:t>
      </w:r>
    </w:p>
    <w:p w14:paraId="2100028A">
      <w:pPr>
        <w:spacing w:line="520" w:lineRule="exact"/>
        <w:ind w:firstLine="480"/>
        <w:rPr>
          <w:rFonts w:ascii="仿宋" w:hAnsi="仿宋" w:eastAsia="仿宋" w:cs="仿宋"/>
          <w:color w:val="0000FF"/>
          <w:highlight w:val="none"/>
        </w:rPr>
      </w:pPr>
      <w:r>
        <w:rPr>
          <w:rFonts w:hint="eastAsia" w:ascii="仿宋" w:hAnsi="仿宋" w:eastAsia="仿宋" w:cs="仿宋"/>
          <w:color w:val="000000"/>
          <w:highlight w:val="none"/>
        </w:rPr>
        <w:t>11.4.5质量保证及详细售后服务方案（格式自拟）；</w:t>
      </w:r>
    </w:p>
    <w:p w14:paraId="5D7807CC">
      <w:pPr>
        <w:spacing w:line="520" w:lineRule="exact"/>
        <w:ind w:firstLine="480"/>
        <w:rPr>
          <w:rFonts w:ascii="仿宋" w:hAnsi="仿宋" w:eastAsia="仿宋" w:cs="仿宋"/>
          <w:color w:val="0000FF"/>
          <w:highlight w:val="none"/>
        </w:rPr>
      </w:pPr>
      <w:r>
        <w:rPr>
          <w:rFonts w:hint="eastAsia" w:ascii="仿宋" w:hAnsi="仿宋" w:eastAsia="仿宋" w:cs="仿宋"/>
          <w:color w:val="000000"/>
          <w:highlight w:val="none"/>
        </w:rPr>
        <w:t>11.4.6技术响应偏离表。</w:t>
      </w:r>
      <w:bookmarkEnd w:id="25"/>
    </w:p>
    <w:p w14:paraId="19FC235E">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11.5商务文件</w:t>
      </w:r>
    </w:p>
    <w:p w14:paraId="5EDD551B">
      <w:pPr>
        <w:spacing w:line="520" w:lineRule="exact"/>
        <w:ind w:firstLine="480"/>
        <w:rPr>
          <w:rFonts w:ascii="仿宋" w:hAnsi="仿宋" w:eastAsia="仿宋" w:cs="仿宋"/>
          <w:color w:val="000000"/>
          <w:highlight w:val="none"/>
        </w:rPr>
      </w:pPr>
      <w:bookmarkStart w:id="26" w:name="EBdc2c24f6358343e896cd43bd6621a619"/>
      <w:r>
        <w:rPr>
          <w:rFonts w:hint="eastAsia" w:ascii="仿宋" w:hAnsi="仿宋" w:eastAsia="仿宋" w:cs="仿宋"/>
          <w:color w:val="000000"/>
          <w:highlight w:val="none"/>
        </w:rPr>
        <w:t>11.5.1业绩一览表，提供</w:t>
      </w:r>
      <w:r>
        <w:rPr>
          <w:rFonts w:hint="eastAsia" w:ascii="仿宋" w:hAnsi="仿宋" w:eastAsia="仿宋" w:cs="仿宋"/>
          <w:color w:val="000000"/>
          <w:highlight w:val="none"/>
          <w:lang w:val="en-US" w:eastAsia="zh-CN"/>
        </w:rPr>
        <w:t>证明材料</w:t>
      </w:r>
      <w:r>
        <w:rPr>
          <w:rFonts w:hint="eastAsia" w:ascii="仿宋" w:hAnsi="仿宋" w:eastAsia="仿宋" w:cs="仿宋"/>
          <w:color w:val="000000"/>
          <w:highlight w:val="none"/>
        </w:rPr>
        <w:t>（以招标文件第三部分约定为准）。</w:t>
      </w:r>
    </w:p>
    <w:p w14:paraId="0948D4BE">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11.5.2 商务响应偏离表。</w:t>
      </w:r>
    </w:p>
    <w:p w14:paraId="7DC3CAFE">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11.5.3其他商务文件。</w:t>
      </w:r>
      <w:bookmarkEnd w:id="26"/>
    </w:p>
    <w:p w14:paraId="79701E5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11.</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认为有必要提供的</w:t>
      </w:r>
      <w:r>
        <w:rPr>
          <w:rFonts w:hint="eastAsia" w:ascii="仿宋" w:hAnsi="仿宋" w:eastAsia="仿宋" w:cs="仿宋"/>
          <w:color w:val="000000"/>
          <w:highlight w:val="none"/>
          <w:lang w:eastAsia="zh-CN"/>
        </w:rPr>
        <w:t>其他</w:t>
      </w:r>
      <w:r>
        <w:rPr>
          <w:rFonts w:hint="eastAsia" w:ascii="仿宋" w:hAnsi="仿宋" w:eastAsia="仿宋" w:cs="仿宋"/>
          <w:color w:val="000000"/>
          <w:highlight w:val="none"/>
        </w:rPr>
        <w:t>材料。</w:t>
      </w:r>
    </w:p>
    <w:p w14:paraId="03D1AEBF">
      <w:pPr>
        <w:numPr>
          <w:ilvl w:val="0"/>
          <w:numId w:val="0"/>
        </w:numPr>
        <w:spacing w:line="520" w:lineRule="exact"/>
        <w:ind w:firstLine="482" w:firstLineChars="0"/>
        <w:rPr>
          <w:rFonts w:ascii="仿宋" w:hAnsi="仿宋" w:eastAsia="仿宋" w:cs="仿宋"/>
          <w:b/>
          <w:color w:val="000000"/>
          <w:highlight w:val="none"/>
        </w:rPr>
      </w:pPr>
      <w:r>
        <w:rPr>
          <w:rFonts w:ascii="仿宋" w:hAnsi="仿宋" w:eastAsia="仿宋" w:cs="仿宋"/>
          <w:b/>
          <w:color w:val="000000"/>
          <w:sz w:val="24"/>
          <w:szCs w:val="24"/>
          <w:highlight w:val="none"/>
          <w:lang w:val="en-US" w:eastAsia="zh-CN" w:bidi="ar-SA"/>
        </w:rPr>
        <w:t>12</w:t>
      </w:r>
      <w:r>
        <w:rPr>
          <w:rFonts w:hint="eastAsia" w:ascii="仿宋" w:hAnsi="仿宋" w:eastAsia="仿宋" w:cs="仿宋"/>
          <w:b/>
          <w:color w:val="000000"/>
          <w:sz w:val="24"/>
          <w:szCs w:val="24"/>
          <w:highlight w:val="none"/>
          <w:lang w:val="en-US" w:eastAsia="zh-CN" w:bidi="ar-SA"/>
        </w:rPr>
        <w:t>.</w:t>
      </w:r>
      <w:r>
        <w:rPr>
          <w:rFonts w:hint="eastAsia" w:ascii="仿宋" w:hAnsi="仿宋" w:eastAsia="仿宋" w:cs="仿宋"/>
          <w:b/>
          <w:color w:val="000000"/>
          <w:highlight w:val="none"/>
        </w:rPr>
        <w:t>编制投标文件应注意的事项</w:t>
      </w:r>
    </w:p>
    <w:p w14:paraId="061B0047">
      <w:pPr>
        <w:spacing w:line="520" w:lineRule="exact"/>
        <w:ind w:firstLine="482"/>
        <w:rPr>
          <w:rFonts w:ascii="仿宋" w:hAnsi="仿宋" w:eastAsia="仿宋" w:cs="仿宋"/>
          <w:b/>
          <w:bCs/>
          <w:color w:val="000000"/>
          <w:highlight w:val="none"/>
        </w:rPr>
      </w:pPr>
      <w:r>
        <w:rPr>
          <w:rFonts w:hint="eastAsia" w:ascii="仿宋" w:hAnsi="仿宋" w:eastAsia="仿宋" w:cs="仿宋"/>
          <w:b/>
          <w:bCs/>
          <w:color w:val="000000"/>
          <w:highlight w:val="none"/>
        </w:rPr>
        <w:t>（1）投标文件构成资料为非中文时应提供中文译版，否则评标委员会可以视为未提供；</w:t>
      </w:r>
    </w:p>
    <w:p w14:paraId="12EABF18">
      <w:pPr>
        <w:spacing w:line="520" w:lineRule="exact"/>
        <w:ind w:firstLine="482"/>
        <w:rPr>
          <w:rFonts w:ascii="仿宋" w:hAnsi="仿宋" w:eastAsia="仿宋" w:cs="仿宋"/>
          <w:b/>
          <w:bCs/>
          <w:color w:val="000000"/>
          <w:highlight w:val="none"/>
        </w:rPr>
      </w:pPr>
      <w:r>
        <w:rPr>
          <w:rFonts w:hint="eastAsia" w:ascii="仿宋" w:hAnsi="仿宋" w:eastAsia="仿宋" w:cs="仿宋"/>
          <w:b/>
          <w:bCs/>
          <w:color w:val="000000"/>
          <w:highlight w:val="none"/>
        </w:rPr>
        <w:t>（2）招标文件要求提供证书证件等复印件的，</w:t>
      </w:r>
      <w:r>
        <w:rPr>
          <w:rFonts w:hint="eastAsia" w:ascii="仿宋" w:hAnsi="仿宋" w:eastAsia="仿宋" w:cs="仿宋"/>
          <w:b/>
          <w:bCs/>
          <w:color w:val="000000"/>
          <w:highlight w:val="none"/>
          <w:lang w:eastAsia="zh-CN"/>
        </w:rPr>
        <w:t>投标人</w:t>
      </w:r>
      <w:r>
        <w:rPr>
          <w:rFonts w:hint="eastAsia" w:ascii="仿宋" w:hAnsi="仿宋" w:eastAsia="仿宋" w:cs="仿宋"/>
          <w:b/>
          <w:bCs/>
          <w:color w:val="000000"/>
          <w:highlight w:val="none"/>
        </w:rPr>
        <w:t>提供的应是与正本保持一致的清晰复印件，复印件内容无法辨析的，评标委员会可以视其未提供。</w:t>
      </w:r>
    </w:p>
    <w:p w14:paraId="6C867F63">
      <w:pPr>
        <w:spacing w:line="520" w:lineRule="exact"/>
        <w:ind w:firstLine="482"/>
        <w:rPr>
          <w:rFonts w:ascii="仿宋" w:hAnsi="仿宋" w:eastAsia="仿宋" w:cs="仿宋"/>
          <w:b/>
          <w:bCs/>
          <w:color w:val="000000"/>
          <w:highlight w:val="none"/>
        </w:rPr>
      </w:pPr>
      <w:r>
        <w:rPr>
          <w:rFonts w:hint="eastAsia" w:ascii="仿宋" w:hAnsi="仿宋" w:eastAsia="仿宋" w:cs="仿宋"/>
          <w:b/>
          <w:bCs/>
          <w:color w:val="000000"/>
          <w:highlight w:val="none"/>
        </w:rPr>
        <w:t>（3）无论何种原因，即使</w:t>
      </w:r>
      <w:r>
        <w:rPr>
          <w:rFonts w:hint="eastAsia" w:ascii="仿宋" w:hAnsi="仿宋" w:eastAsia="仿宋" w:cs="仿宋"/>
          <w:b/>
          <w:bCs/>
          <w:color w:val="000000"/>
          <w:highlight w:val="none"/>
          <w:lang w:eastAsia="zh-CN"/>
        </w:rPr>
        <w:t>投标人</w:t>
      </w:r>
      <w:r>
        <w:rPr>
          <w:rFonts w:hint="eastAsia" w:ascii="仿宋" w:hAnsi="仿宋" w:eastAsia="仿宋" w:cs="仿宋"/>
          <w:b/>
          <w:bCs/>
          <w:color w:val="000000"/>
          <w:highlight w:val="none"/>
        </w:rPr>
        <w:t>投标时携带了证书证明资料的原件，但投标文件中未包含相关资料的，评标委员会可以视同其未提供。</w:t>
      </w:r>
    </w:p>
    <w:p w14:paraId="0611FB8D">
      <w:pPr>
        <w:spacing w:line="520" w:lineRule="exact"/>
        <w:ind w:firstLine="482"/>
        <w:rPr>
          <w:rFonts w:hint="eastAsia" w:ascii="仿宋" w:hAnsi="仿宋" w:eastAsia="仿宋" w:cs="仿宋"/>
          <w:b/>
          <w:bCs/>
          <w:color w:val="000000"/>
          <w:highlight w:val="none"/>
        </w:rPr>
      </w:pPr>
      <w:r>
        <w:rPr>
          <w:rFonts w:hint="eastAsia" w:ascii="仿宋" w:hAnsi="仿宋" w:eastAsia="仿宋" w:cs="仿宋"/>
          <w:b/>
          <w:bCs/>
          <w:color w:val="000000"/>
          <w:highlight w:val="none"/>
        </w:rPr>
        <w:t>（4）</w:t>
      </w:r>
      <w:r>
        <w:rPr>
          <w:rFonts w:hint="eastAsia" w:ascii="仿宋" w:hAnsi="仿宋" w:eastAsia="仿宋" w:cs="仿宋"/>
          <w:b/>
          <w:bCs/>
          <w:color w:val="000000"/>
          <w:highlight w:val="none"/>
          <w:lang w:eastAsia="zh-CN"/>
        </w:rPr>
        <w:t>投标人</w:t>
      </w:r>
      <w:r>
        <w:rPr>
          <w:rFonts w:hint="eastAsia" w:ascii="仿宋" w:hAnsi="仿宋" w:eastAsia="仿宋" w:cs="仿宋"/>
          <w:b/>
          <w:bCs/>
          <w:color w:val="000000"/>
          <w:highlight w:val="none"/>
        </w:rPr>
        <w:t>递交的投标文件，所有内容均应真实有效；</w:t>
      </w:r>
      <w:r>
        <w:rPr>
          <w:rFonts w:hint="eastAsia" w:ascii="仿宋" w:hAnsi="仿宋" w:eastAsia="仿宋" w:cs="仿宋"/>
          <w:b/>
          <w:bCs/>
          <w:color w:val="000000"/>
          <w:highlight w:val="none"/>
          <w:lang w:eastAsia="zh-CN"/>
        </w:rPr>
        <w:t>投标人</w:t>
      </w:r>
      <w:r>
        <w:rPr>
          <w:rFonts w:hint="eastAsia" w:ascii="仿宋" w:hAnsi="仿宋" w:eastAsia="仿宋" w:cs="仿宋"/>
          <w:b/>
          <w:bCs/>
          <w:color w:val="000000"/>
          <w:highlight w:val="none"/>
        </w:rPr>
        <w:t>所提供的产品或服务，必须满足国家相关强制性规定要求（如CCC认证、计量器具生产许可证、医疗器械注册证、电器电子产品有害物质限制使用标识等）；一旦成为中标/成交候选人后，由于因</w:t>
      </w:r>
      <w:r>
        <w:rPr>
          <w:rFonts w:hint="eastAsia" w:ascii="仿宋" w:hAnsi="仿宋" w:eastAsia="仿宋" w:cs="仿宋"/>
          <w:b/>
          <w:bCs/>
          <w:color w:val="000000"/>
          <w:highlight w:val="none"/>
          <w:lang w:eastAsia="zh-CN"/>
        </w:rPr>
        <w:t>投标人</w:t>
      </w:r>
      <w:r>
        <w:rPr>
          <w:rFonts w:hint="eastAsia" w:ascii="仿宋" w:hAnsi="仿宋" w:eastAsia="仿宋" w:cs="仿宋"/>
          <w:b/>
          <w:bCs/>
          <w:color w:val="000000"/>
          <w:highlight w:val="none"/>
        </w:rPr>
        <w:t>违反国家相关强制性规定或弄虚作假，而给采购人造成损失，一切责任和后果均由</w:t>
      </w:r>
      <w:r>
        <w:rPr>
          <w:rFonts w:hint="eastAsia" w:ascii="仿宋" w:hAnsi="仿宋" w:eastAsia="仿宋" w:cs="仿宋"/>
          <w:b/>
          <w:bCs/>
          <w:color w:val="000000"/>
          <w:highlight w:val="none"/>
          <w:lang w:eastAsia="zh-CN"/>
        </w:rPr>
        <w:t>投标人</w:t>
      </w:r>
      <w:r>
        <w:rPr>
          <w:rFonts w:hint="eastAsia" w:ascii="仿宋" w:hAnsi="仿宋" w:eastAsia="仿宋" w:cs="仿宋"/>
          <w:b/>
          <w:bCs/>
          <w:color w:val="000000"/>
          <w:highlight w:val="none"/>
        </w:rPr>
        <w:t>承担。</w:t>
      </w:r>
    </w:p>
    <w:p w14:paraId="0CF0FA7D">
      <w:pPr>
        <w:spacing w:line="520" w:lineRule="exact"/>
        <w:ind w:firstLine="482"/>
        <w:rPr>
          <w:rFonts w:hint="eastAsia" w:ascii="仿宋" w:hAnsi="仿宋" w:eastAsia="仿宋" w:cs="仿宋"/>
          <w:b/>
          <w:bCs/>
          <w:color w:val="000000"/>
          <w:highlight w:val="none"/>
        </w:rPr>
      </w:pPr>
      <w:r>
        <w:rPr>
          <w:rFonts w:hint="eastAsia" w:ascii="仿宋" w:hAnsi="仿宋" w:eastAsia="仿宋" w:cs="仿宋"/>
          <w:b/>
          <w:bCs/>
          <w:color w:val="000000"/>
          <w:highlight w:val="none"/>
          <w:lang w:eastAsia="zh-CN"/>
        </w:rPr>
        <w:t>（</w:t>
      </w:r>
      <w:r>
        <w:rPr>
          <w:rFonts w:hint="eastAsia" w:ascii="仿宋" w:hAnsi="仿宋" w:eastAsia="仿宋" w:cs="仿宋"/>
          <w:b/>
          <w:bCs/>
          <w:color w:val="000000"/>
          <w:highlight w:val="none"/>
          <w:lang w:val="en-US" w:eastAsia="zh-CN"/>
        </w:rPr>
        <w:t>5</w:t>
      </w:r>
      <w:r>
        <w:rPr>
          <w:rFonts w:hint="eastAsia" w:ascii="仿宋" w:hAnsi="仿宋" w:eastAsia="仿宋" w:cs="仿宋"/>
          <w:b/>
          <w:bCs/>
          <w:color w:val="000000"/>
          <w:highlight w:val="none"/>
          <w:lang w:eastAsia="zh-CN"/>
        </w:rPr>
        <w:t>）在</w:t>
      </w:r>
      <w:r>
        <w:rPr>
          <w:rFonts w:hint="eastAsia" w:ascii="仿宋" w:hAnsi="仿宋" w:eastAsia="仿宋" w:cs="仿宋"/>
          <w:b/>
          <w:bCs/>
          <w:color w:val="000000"/>
          <w:highlight w:val="none"/>
        </w:rPr>
        <w:t>进行资格审查时，将在“信用中国”网站查询</w:t>
      </w:r>
      <w:r>
        <w:rPr>
          <w:rFonts w:hint="eastAsia" w:ascii="仿宋" w:hAnsi="仿宋" w:eastAsia="仿宋" w:cs="仿宋"/>
          <w:b/>
          <w:bCs/>
          <w:color w:val="000000"/>
          <w:highlight w:val="none"/>
          <w:lang w:val="en-US" w:eastAsia="zh-CN"/>
        </w:rPr>
        <w:t>投标人</w:t>
      </w:r>
      <w:r>
        <w:rPr>
          <w:rFonts w:hint="eastAsia" w:ascii="仿宋" w:hAnsi="仿宋" w:eastAsia="仿宋" w:cs="仿宋"/>
          <w:b/>
          <w:bCs/>
          <w:color w:val="000000"/>
          <w:highlight w:val="none"/>
        </w:rPr>
        <w:t>的信用记录</w:t>
      </w:r>
      <w:r>
        <w:rPr>
          <w:rFonts w:hint="eastAsia" w:ascii="仿宋" w:hAnsi="仿宋" w:eastAsia="仿宋" w:cs="仿宋"/>
          <w:b/>
          <w:bCs/>
          <w:color w:val="000000"/>
          <w:highlight w:val="none"/>
          <w:lang w:val="en-US" w:eastAsia="zh-CN"/>
        </w:rPr>
        <w:t>并以现场查询结果为准</w:t>
      </w:r>
      <w:r>
        <w:rPr>
          <w:rFonts w:hint="eastAsia" w:ascii="仿宋" w:hAnsi="仿宋" w:eastAsia="仿宋" w:cs="仿宋"/>
          <w:b/>
          <w:bCs/>
          <w:color w:val="000000"/>
          <w:highlight w:val="none"/>
        </w:rPr>
        <w:t>。</w:t>
      </w:r>
    </w:p>
    <w:p w14:paraId="6C08B263">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13</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投标报价</w:t>
      </w:r>
    </w:p>
    <w:p w14:paraId="088789E8">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13.1报价为一次报价，于开标会议当场宣读。</w:t>
      </w:r>
    </w:p>
    <w:p w14:paraId="6F3582BC">
      <w:pPr>
        <w:spacing w:line="520" w:lineRule="exact"/>
        <w:ind w:firstLine="480"/>
        <w:rPr>
          <w:rFonts w:ascii="仿宋" w:hAnsi="仿宋" w:eastAsia="仿宋" w:cs="仿宋"/>
          <w:color w:val="000000"/>
          <w:highlight w:val="none"/>
          <w:shd w:val="clear" w:color="auto" w:fill="FFC000"/>
        </w:rPr>
      </w:pPr>
      <w:r>
        <w:rPr>
          <w:rFonts w:hint="eastAsia" w:ascii="仿宋" w:hAnsi="仿宋" w:eastAsia="仿宋" w:cs="仿宋"/>
          <w:color w:val="000000"/>
          <w:highlight w:val="none"/>
        </w:rPr>
        <w:t>13.2本项目不接受备选的投标方案或有选择的报价，只允许有一个报价。投标报价内容包括</w:t>
      </w:r>
      <w:bookmarkStart w:id="27" w:name="EB54dd097a55df4796bd5f9b6bdf2ddc40"/>
      <w:r>
        <w:rPr>
          <w:rFonts w:hint="eastAsia" w:ascii="仿宋" w:hAnsi="仿宋" w:eastAsia="仿宋" w:cs="仿宋"/>
          <w:color w:val="000000"/>
          <w:highlight w:val="none"/>
        </w:rPr>
        <w:t>招标文件中涉及到的其他一切费用。</w:t>
      </w:r>
      <w:bookmarkEnd w:id="27"/>
    </w:p>
    <w:p w14:paraId="7BE47029">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13.3报价注意事项：</w:t>
      </w:r>
    </w:p>
    <w:p w14:paraId="2C00DEA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13.3.1价格一律以人民币计算，以元为单位标准；</w:t>
      </w:r>
    </w:p>
    <w:p w14:paraId="1909FFF1">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13.3.2</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报价时应充分考虑所有可能影响到报价的因素，一旦评标结束最终中标，任何情况都将被认为是中标人的报价让利行为，损失自负。</w:t>
      </w:r>
    </w:p>
    <w:p w14:paraId="57EF5437">
      <w:pPr>
        <w:spacing w:line="520" w:lineRule="exact"/>
        <w:ind w:firstLine="480"/>
        <w:rPr>
          <w:rFonts w:ascii="仿宋" w:hAnsi="仿宋" w:eastAsia="仿宋" w:cs="仿宋"/>
          <w:color w:val="auto"/>
          <w:highlight w:val="none"/>
        </w:rPr>
      </w:pPr>
      <w:r>
        <w:rPr>
          <w:rFonts w:hint="eastAsia" w:ascii="仿宋" w:hAnsi="仿宋" w:eastAsia="仿宋" w:cs="仿宋"/>
          <w:color w:val="auto"/>
          <w:highlight w:val="none"/>
        </w:rPr>
        <w:t>13.3.3报价应包含本次招标标的有关的所有费用，包括但不限于技术资料、支付给员工的工资和国家强制缴纳的各种社会保障资金，以及</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认为需要的其他费用等。</w:t>
      </w:r>
    </w:p>
    <w:p w14:paraId="4B6F46CC">
      <w:pPr>
        <w:spacing w:line="520" w:lineRule="exact"/>
        <w:ind w:firstLine="48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13.3.4</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的任何错漏、优惠、竞争性报价不得作为减轻责任、减少服务、增加收费、降低质量的理由。</w:t>
      </w:r>
    </w:p>
    <w:p w14:paraId="75342C54">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13.3.5</w:t>
      </w:r>
      <w:r>
        <w:rPr>
          <w:rFonts w:hint="eastAsia" w:ascii="仿宋" w:hAnsi="仿宋" w:eastAsia="仿宋" w:cs="仿宋"/>
          <w:color w:val="auto"/>
          <w:highlight w:val="none"/>
        </w:rPr>
        <w:t>招标文件未列明，而投标人认为履行本项目合同所必需的费用也需列入报价。</w:t>
      </w:r>
    </w:p>
    <w:p w14:paraId="5B39CFAC">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13.4本项目评审中出现下列情形之⼀的，评标委员会应当启动异常低价投标（响应）审查程序：</w:t>
      </w:r>
    </w:p>
    <w:p w14:paraId="73E31AF4">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13.4.1投标（响应）报价低于采购项目预算50%的，即投标（响应）报价＜采购项目预算×50%；</w:t>
      </w:r>
    </w:p>
    <w:p w14:paraId="5A9A8D8A">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13.4.2投标（响应）报价低于采购项目最高限价45%的，即投标（响应）报价＜采购项目最高限价×45%；</w:t>
      </w:r>
    </w:p>
    <w:p w14:paraId="21382404">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13.4.3评标委员会认为供应商报价过低，有可能影响产品质量或者不能诚信履约的其他情形。</w:t>
      </w:r>
    </w:p>
    <w:p w14:paraId="55BAD98C">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评标委员会启动异常低价响应审查后，应当要求相关供应商在评审现场合理的时间内提供书面说明及必要的证明材料，对响应价格作出解释。书面说明、证明材料主要是项目具体成本测算等与报价合理性相关的说明、材料。</w:t>
      </w:r>
    </w:p>
    <w:p w14:paraId="5B957E92">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启动异常低价投标（响应）审查后，评标委员会应当要求相关供应商在评标现场合理的时间内，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6244269C">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14</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投标保证金</w:t>
      </w:r>
    </w:p>
    <w:p w14:paraId="61CDD645">
      <w:pPr>
        <w:spacing w:line="520" w:lineRule="exact"/>
        <w:ind w:firstLine="480"/>
        <w:rPr>
          <w:rFonts w:ascii="仿宋" w:hAnsi="仿宋" w:eastAsia="仿宋" w:cs="仿宋"/>
          <w:color w:val="000000"/>
          <w:highlight w:val="none"/>
        </w:rPr>
      </w:pPr>
      <w:r>
        <w:rPr>
          <w:rFonts w:hint="eastAsia" w:ascii="仿宋" w:hAnsi="仿宋" w:eastAsia="仿宋" w:cs="仿宋"/>
          <w:color w:val="auto"/>
          <w:highlight w:val="none"/>
        </w:rPr>
        <w:t>详见</w:t>
      </w:r>
      <w:r>
        <w:rPr>
          <w:rFonts w:hint="eastAsia" w:ascii="仿宋" w:hAnsi="仿宋" w:eastAsia="仿宋" w:cs="仿宋"/>
          <w:color w:val="auto"/>
          <w:highlight w:val="none"/>
          <w:lang w:val="en-US" w:eastAsia="zh-CN"/>
        </w:rPr>
        <w:t>投标人须知</w:t>
      </w:r>
      <w:r>
        <w:rPr>
          <w:rFonts w:hint="eastAsia" w:ascii="仿宋" w:hAnsi="仿宋" w:eastAsia="仿宋" w:cs="仿宋"/>
          <w:color w:val="auto"/>
          <w:highlight w:val="none"/>
        </w:rPr>
        <w:t>前附表。</w:t>
      </w:r>
    </w:p>
    <w:p w14:paraId="25DAB3CF">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15</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投标有效期</w:t>
      </w:r>
    </w:p>
    <w:p w14:paraId="6D61D23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15.1在</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须知前附表规定的投标有效期内，</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 xml:space="preserve">不得要求撤销或者修改其投标文件。 </w:t>
      </w:r>
    </w:p>
    <w:p w14:paraId="548EA1E4">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15.2在特殊情况下，采购人于原投标有效期满之前，可向</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提出延长投标有效期的要求，这种要求与答复均应采用书面形式（如信件、传真或电子邮件等），</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可拒绝采购人的这一要求而放弃投标，同意延长的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既不能要求也不允许修改其投标文件。招标文件有关投标保证金的没收和退还的规定在延长期内继续有效。</w:t>
      </w:r>
    </w:p>
    <w:p w14:paraId="623CAA4E">
      <w:pPr>
        <w:spacing w:line="520" w:lineRule="exact"/>
        <w:rPr>
          <w:rFonts w:ascii="仿宋_GB2312" w:eastAsia="仿宋_GB2312"/>
          <w:highlight w:val="none"/>
        </w:rPr>
      </w:pPr>
      <w:r>
        <w:rPr>
          <w:rFonts w:hint="eastAsia" w:ascii="仿宋_GB2312" w:eastAsia="仿宋_GB2312"/>
          <w:color w:val="000080"/>
          <w:sz w:val="20"/>
          <w:highlight w:val="none"/>
        </w:rPr>
        <w:t xml:space="preserve"> </w:t>
      </w:r>
      <w:bookmarkEnd w:id="24"/>
      <w:bookmarkStart w:id="28" w:name="EBaba05b8f22db47c3ae604c949d101942"/>
      <w:r>
        <w:rPr>
          <w:rFonts w:hint="eastAsia" w:ascii="仿宋_GB2312" w:eastAsia="仿宋_GB2312"/>
          <w:color w:val="000080"/>
          <w:sz w:val="20"/>
          <w:highlight w:val="none"/>
        </w:rPr>
        <w:t xml:space="preserve"> </w:t>
      </w:r>
      <w:bookmarkEnd w:id="28"/>
      <w:bookmarkStart w:id="29" w:name="EB473de9cb146c4384b72e7eac9a23572d"/>
      <w:r>
        <w:rPr>
          <w:rFonts w:hint="eastAsia" w:ascii="仿宋_GB2312" w:eastAsia="仿宋_GB2312"/>
          <w:color w:val="000080"/>
          <w:sz w:val="20"/>
          <w:highlight w:val="none"/>
        </w:rPr>
        <w:t xml:space="preserve"> </w:t>
      </w:r>
      <w:bookmarkEnd w:id="29"/>
    </w:p>
    <w:p w14:paraId="0DC882BB">
      <w:pPr>
        <w:pStyle w:val="205"/>
        <w:keepNext w:val="0"/>
        <w:keepLines w:val="0"/>
        <w:spacing w:before="0" w:after="0" w:line="520" w:lineRule="exact"/>
        <w:rPr>
          <w:highlight w:val="none"/>
        </w:rPr>
      </w:pPr>
      <w:bookmarkStart w:id="30" w:name="_Toc11947"/>
      <w:r>
        <w:rPr>
          <w:rFonts w:hint="eastAsia"/>
          <w:highlight w:val="none"/>
        </w:rPr>
        <w:t>四、投标文件的提交</w:t>
      </w:r>
      <w:bookmarkEnd w:id="30"/>
    </w:p>
    <w:p w14:paraId="6FAEB996">
      <w:pPr>
        <w:spacing w:line="520" w:lineRule="exact"/>
        <w:ind w:firstLine="482"/>
        <w:rPr>
          <w:rFonts w:ascii="仿宋" w:hAnsi="仿宋" w:eastAsia="仿宋" w:cs="仿宋"/>
          <w:b/>
          <w:color w:val="000000"/>
          <w:highlight w:val="none"/>
        </w:rPr>
      </w:pPr>
      <w:bookmarkStart w:id="31" w:name="EB82427615ec5445cbadccda2f6802a77a"/>
      <w:r>
        <w:rPr>
          <w:rFonts w:hint="eastAsia" w:ascii="仿宋" w:hAnsi="仿宋" w:eastAsia="仿宋" w:cs="仿宋"/>
          <w:b/>
          <w:color w:val="000000"/>
          <w:highlight w:val="none"/>
        </w:rPr>
        <w:t>16</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投标文件的提交</w:t>
      </w:r>
    </w:p>
    <w:p w14:paraId="58DF253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16.1</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应在招标文件规定的投标截止时间前提交投标文件。投标文件提交截止时间后，</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 xml:space="preserve">对投标报价或其他实质性内容修正的函件和增加的任何优惠条件，一律拒绝接收。 </w:t>
      </w:r>
    </w:p>
    <w:p w14:paraId="58ABDF10">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16.2在递交投标文件截止时间前，</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有权修改、撤回其投标文件，以截止时间前最终完成递交的为准；在递交投标文件截止时间后，除招标文件另有规定外，</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所提交的投标文件不予退还。</w:t>
      </w:r>
    </w:p>
    <w:p w14:paraId="6FC7B97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16.3 采购人或采购代理机构可以通过修改招标文件酌情延长投标文件接收截止日期，在此情况下，</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的所有权利和义务以及</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受制约的截止日期均应以延长后新的截止日期为准。</w:t>
      </w:r>
    </w:p>
    <w:p w14:paraId="4B5F4494">
      <w:pPr>
        <w:spacing w:line="520" w:lineRule="exact"/>
        <w:rPr>
          <w:rFonts w:ascii="仿宋_GB2312" w:eastAsia="仿宋_GB2312" w:cs="Arial"/>
          <w:highlight w:val="none"/>
        </w:rPr>
      </w:pPr>
      <w:r>
        <w:rPr>
          <w:rFonts w:hint="eastAsia" w:ascii="仿宋_GB2312" w:eastAsia="仿宋_GB2312" w:cs="Arial"/>
          <w:color w:val="000080"/>
          <w:sz w:val="20"/>
          <w:highlight w:val="none"/>
        </w:rPr>
        <w:t xml:space="preserve"> </w:t>
      </w:r>
      <w:bookmarkEnd w:id="31"/>
      <w:bookmarkStart w:id="32" w:name="EBbd858dfecb054350ab3238111d87b478"/>
      <w:r>
        <w:rPr>
          <w:rFonts w:hint="eastAsia" w:ascii="仿宋_GB2312" w:eastAsia="仿宋_GB2312" w:cs="Arial"/>
          <w:color w:val="000080"/>
          <w:sz w:val="20"/>
          <w:highlight w:val="none"/>
        </w:rPr>
        <w:t xml:space="preserve"> </w:t>
      </w:r>
      <w:bookmarkEnd w:id="32"/>
      <w:bookmarkStart w:id="33" w:name="EBe3355d5557764c49b0f869f3a4abe972"/>
      <w:r>
        <w:rPr>
          <w:rFonts w:hint="eastAsia" w:ascii="仿宋_GB2312" w:eastAsia="仿宋_GB2312" w:cs="Arial"/>
          <w:color w:val="000080"/>
          <w:sz w:val="20"/>
          <w:highlight w:val="none"/>
        </w:rPr>
        <w:t xml:space="preserve"> </w:t>
      </w:r>
      <w:bookmarkEnd w:id="33"/>
    </w:p>
    <w:p w14:paraId="2FA66FF6">
      <w:pPr>
        <w:pStyle w:val="205"/>
        <w:keepNext w:val="0"/>
        <w:keepLines w:val="0"/>
        <w:spacing w:before="0" w:after="0" w:line="520" w:lineRule="exact"/>
        <w:rPr>
          <w:highlight w:val="none"/>
        </w:rPr>
      </w:pPr>
      <w:bookmarkStart w:id="34" w:name="_Toc18981"/>
      <w:r>
        <w:rPr>
          <w:rFonts w:hint="eastAsia"/>
          <w:highlight w:val="none"/>
        </w:rPr>
        <w:t>五、</w:t>
      </w:r>
      <w:bookmarkEnd w:id="34"/>
      <w:r>
        <w:rPr>
          <w:rFonts w:hint="eastAsia"/>
          <w:highlight w:val="none"/>
        </w:rPr>
        <w:t>无效标、</w:t>
      </w:r>
      <w:r>
        <w:rPr>
          <w:rFonts w:hint="eastAsia"/>
          <w:highlight w:val="none"/>
          <w:lang w:val="en-US" w:eastAsia="zh-CN"/>
        </w:rPr>
        <w:t>废标</w:t>
      </w:r>
      <w:r>
        <w:rPr>
          <w:rFonts w:hint="eastAsia"/>
          <w:highlight w:val="none"/>
        </w:rPr>
        <w:t>、串通投标认定条款</w:t>
      </w:r>
    </w:p>
    <w:p w14:paraId="4A60DA00">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17</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投标文件被拒绝接收的情形</w:t>
      </w:r>
    </w:p>
    <w:p w14:paraId="46DC2279">
      <w:pPr>
        <w:spacing w:line="520" w:lineRule="exact"/>
        <w:ind w:right="120" w:firstLine="480"/>
        <w:rPr>
          <w:rFonts w:ascii="仿宋" w:hAnsi="仿宋" w:eastAsia="仿宋" w:cs="仿宋"/>
          <w:color w:val="000000"/>
          <w:highlight w:val="none"/>
        </w:rPr>
      </w:pPr>
      <w:r>
        <w:rPr>
          <w:rFonts w:hint="eastAsia" w:ascii="仿宋" w:hAnsi="仿宋" w:eastAsia="仿宋" w:cs="仿宋"/>
          <w:color w:val="000000"/>
          <w:highlight w:val="none"/>
        </w:rPr>
        <w:t>17.1在招标文件规定的投标截止时间后递交的投标文件。</w:t>
      </w:r>
    </w:p>
    <w:p w14:paraId="19EA75E5">
      <w:pPr>
        <w:spacing w:line="520" w:lineRule="exact"/>
        <w:ind w:right="120" w:firstLine="480"/>
        <w:rPr>
          <w:rFonts w:ascii="仿宋" w:hAnsi="仿宋" w:eastAsia="仿宋" w:cs="仿宋"/>
          <w:color w:val="000000"/>
          <w:highlight w:val="none"/>
        </w:rPr>
      </w:pPr>
      <w:r>
        <w:rPr>
          <w:rFonts w:hint="eastAsia" w:ascii="仿宋" w:hAnsi="仿宋" w:eastAsia="仿宋" w:cs="仿宋"/>
          <w:color w:val="000000"/>
          <w:highlight w:val="none"/>
        </w:rPr>
        <w:t>17.2 未按本招标文件前附表要求密封的投标文件。“开标一览表</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投标文件正本</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投标文件副本</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电子投标文件”均应单独密封，单独递交。</w:t>
      </w:r>
    </w:p>
    <w:p w14:paraId="61F7B8CC">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18</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以下情形将视为无效投标</w:t>
      </w:r>
      <w:bookmarkStart w:id="35" w:name="EB94942e5430df4fb8a077f3cf7667f212"/>
    </w:p>
    <w:p w14:paraId="6D2C9B78">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18.1</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不符合招标文件规定的资格要求或未按规定提交资质证件的；</w:t>
      </w:r>
    </w:p>
    <w:p w14:paraId="3528697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18.2投标文件签署、盖章不符合招标文件要求的；</w:t>
      </w:r>
    </w:p>
    <w:p w14:paraId="65A51B26">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18.3未按招标文件要求提供投标文件的；</w:t>
      </w:r>
    </w:p>
    <w:p w14:paraId="672B5920">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18.4</w:t>
      </w:r>
      <w:r>
        <w:rPr>
          <w:rFonts w:hint="eastAsia" w:ascii="仿宋" w:hAnsi="仿宋" w:eastAsia="仿宋" w:cs="仿宋"/>
          <w:color w:val="000000"/>
          <w:highlight w:val="none"/>
          <w:lang w:val="en-US" w:eastAsia="zh-CN"/>
        </w:rPr>
        <w:t>同一投标人提交两个（含两个）以上不同的报价的；</w:t>
      </w:r>
    </w:p>
    <w:p w14:paraId="7024A418">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18.5报价超过招标文件中规定的预算金额或者最高限价的；</w:t>
      </w:r>
    </w:p>
    <w:p w14:paraId="34AE4935">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18.6投标报价出现前后不一致，按照招标文件规定进行修正，修正后的报价，</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不确认的；</w:t>
      </w:r>
    </w:p>
    <w:p w14:paraId="5E8850D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投标文件出现重大偏离，未对招标文件进行实质性响应的（“</w:t>
      </w:r>
      <w:r>
        <w:rPr>
          <w:rFonts w:hint="eastAsia" w:ascii="宋体" w:hAnsi="宋体" w:eastAsia="宋体" w:cs="宋体"/>
          <w:color w:val="000000"/>
          <w:highlight w:val="none"/>
        </w:rPr>
        <w:t>※</w:t>
      </w:r>
      <w:r>
        <w:rPr>
          <w:rFonts w:hint="eastAsia" w:ascii="仿宋" w:hAnsi="仿宋" w:eastAsia="仿宋" w:cs="仿宋"/>
          <w:color w:val="000000"/>
          <w:highlight w:val="none"/>
        </w:rPr>
        <w:t>”部分为实质性要求）；</w:t>
      </w:r>
    </w:p>
    <w:p w14:paraId="739CA2D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18.7投标文件技术参数及要求中一般指标超出招标文件规定允许偏离最大范围或最高项数的；</w:t>
      </w:r>
    </w:p>
    <w:p w14:paraId="256EA797">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18.8</w:t>
      </w:r>
      <w:r>
        <w:rPr>
          <w:rFonts w:hint="eastAsia" w:ascii="仿宋" w:hAnsi="仿宋" w:eastAsia="仿宋" w:cs="仿宋"/>
          <w:color w:val="000000"/>
          <w:highlight w:val="none"/>
          <w:lang w:eastAsia="zh-CN"/>
        </w:rPr>
        <w:t>评标委员会</w:t>
      </w:r>
      <w:r>
        <w:rPr>
          <w:rFonts w:hint="eastAsia" w:ascii="仿宋" w:hAnsi="仿宋" w:eastAsia="仿宋" w:cs="仿宋"/>
          <w:color w:val="000000"/>
          <w:highlight w:val="none"/>
        </w:rPr>
        <w:t>认为</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的报价明显低于其他通过符合性审查的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报价，有可能影响产品质量或者不能诚信履约的，将通过</w:t>
      </w:r>
      <w:r>
        <w:rPr>
          <w:rFonts w:hint="eastAsia" w:ascii="仿宋" w:hAnsi="仿宋" w:eastAsia="仿宋" w:cs="仿宋"/>
          <w:color w:val="000000"/>
          <w:highlight w:val="none"/>
          <w:lang w:val="en-US" w:eastAsia="zh-CN"/>
        </w:rPr>
        <w:t>书面</w:t>
      </w:r>
      <w:r>
        <w:rPr>
          <w:rFonts w:hint="eastAsia" w:ascii="仿宋" w:hAnsi="仿宋" w:eastAsia="仿宋" w:cs="仿宋"/>
          <w:color w:val="000000"/>
          <w:highlight w:val="none"/>
        </w:rPr>
        <w:t>要求其在合理的时间内提供说明，必要时提交相关证明材料；</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不能证明其报价合理性的，</w:t>
      </w:r>
      <w:r>
        <w:rPr>
          <w:rFonts w:hint="eastAsia" w:ascii="仿宋" w:hAnsi="仿宋" w:eastAsia="仿宋" w:cs="仿宋"/>
          <w:color w:val="000000"/>
          <w:highlight w:val="none"/>
          <w:lang w:eastAsia="zh-CN"/>
        </w:rPr>
        <w:t>评标委员会</w:t>
      </w:r>
      <w:r>
        <w:rPr>
          <w:rFonts w:hint="eastAsia" w:ascii="仿宋" w:hAnsi="仿宋" w:eastAsia="仿宋" w:cs="仿宋"/>
          <w:color w:val="000000"/>
          <w:highlight w:val="none"/>
        </w:rPr>
        <w:t>应当将其作为无效</w:t>
      </w:r>
      <w:r>
        <w:rPr>
          <w:rFonts w:hint="eastAsia" w:ascii="仿宋" w:hAnsi="仿宋" w:eastAsia="仿宋" w:cs="仿宋"/>
          <w:color w:val="000000"/>
          <w:highlight w:val="none"/>
          <w:lang w:val="en-US" w:eastAsia="zh-CN"/>
        </w:rPr>
        <w:t>投标</w:t>
      </w:r>
      <w:r>
        <w:rPr>
          <w:rFonts w:hint="eastAsia" w:ascii="仿宋" w:hAnsi="仿宋" w:eastAsia="仿宋" w:cs="仿宋"/>
          <w:color w:val="000000"/>
          <w:highlight w:val="none"/>
        </w:rPr>
        <w:t>处理。</w:t>
      </w:r>
    </w:p>
    <w:p w14:paraId="1C2CBACA">
      <w:pPr>
        <w:spacing w:line="520" w:lineRule="exact"/>
        <w:ind w:firstLine="480"/>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18.9本项目采购产品如被财政部、国家发展改革委、生态环境部等列入“节能产品品目清单”“环境标志产品品目清单”强制采购范围，而投标人所投产品不在强制采购范围内的。（所投产品如属于政府强制采购节能产品品目清单范围内，响应文件中必须提供国家确定的认证机构出具、处于有效期之内的节能产品认证证书）</w:t>
      </w:r>
    </w:p>
    <w:p w14:paraId="6FBD9D45">
      <w:pPr>
        <w:spacing w:line="520" w:lineRule="exact"/>
        <w:ind w:firstLine="480"/>
        <w:rPr>
          <w:rFonts w:hint="eastAsia" w:ascii="仿宋" w:hAnsi="仿宋" w:eastAsia="仿宋" w:cs="仿宋"/>
          <w:color w:val="000000"/>
          <w:highlight w:val="none"/>
          <w:lang w:val="zh-CN" w:eastAsia="zh-CN"/>
        </w:rPr>
      </w:pPr>
      <w:r>
        <w:rPr>
          <w:rFonts w:hint="eastAsia" w:ascii="仿宋" w:hAnsi="仿宋" w:eastAsia="仿宋" w:cs="仿宋"/>
          <w:color w:val="000000"/>
          <w:highlight w:val="none"/>
          <w:lang w:val="en-US" w:eastAsia="zh-CN"/>
        </w:rPr>
        <w:t>18.10</w:t>
      </w:r>
      <w:r>
        <w:rPr>
          <w:rFonts w:hint="eastAsia" w:ascii="仿宋" w:hAnsi="仿宋" w:eastAsia="仿宋" w:cs="仿宋"/>
          <w:color w:val="000000"/>
          <w:highlight w:val="none"/>
          <w:lang w:val="zh-CN" w:eastAsia="zh-CN"/>
        </w:rPr>
        <w:t>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22E93B19">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lang w:val="en-US" w:eastAsia="zh-CN"/>
        </w:rPr>
        <w:t>18.11</w:t>
      </w:r>
      <w:r>
        <w:rPr>
          <w:rFonts w:hint="eastAsia" w:ascii="仿宋" w:hAnsi="仿宋" w:eastAsia="仿宋" w:cs="仿宋"/>
          <w:color w:val="000000"/>
          <w:highlight w:val="none"/>
        </w:rPr>
        <w:t>投标文件中响应内容完全复制招标文件采购需求的内容的；</w:t>
      </w:r>
    </w:p>
    <w:p w14:paraId="29F9231D">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w:t>
      </w:r>
      <w:r>
        <w:rPr>
          <w:rFonts w:hint="eastAsia" w:ascii="仿宋" w:hAnsi="仿宋" w:eastAsia="仿宋" w:cs="仿宋"/>
          <w:color w:val="000000"/>
          <w:highlight w:val="none"/>
          <w:lang w:val="en-US" w:eastAsia="zh-CN"/>
        </w:rPr>
        <w:t>12</w:t>
      </w:r>
      <w:r>
        <w:rPr>
          <w:rFonts w:hint="eastAsia" w:ascii="仿宋" w:hAnsi="仿宋" w:eastAsia="仿宋" w:cs="仿宋"/>
          <w:color w:val="000000"/>
          <w:highlight w:val="none"/>
        </w:rPr>
        <w:t>投标文件出现商务条款的负偏离，视为未对招标文件进行实质性响应；</w:t>
      </w:r>
    </w:p>
    <w:p w14:paraId="2BC814C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18.1</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投标文件含有采购人不能接受的附加条件的；</w:t>
      </w:r>
    </w:p>
    <w:p w14:paraId="6244253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18.1</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有本招标文件规定的串通投标情形的；</w:t>
      </w:r>
    </w:p>
    <w:p w14:paraId="388E6619">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18.1</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lang w:eastAsia="zh-CN"/>
        </w:rPr>
        <w:t>其他</w:t>
      </w:r>
      <w:r>
        <w:rPr>
          <w:rFonts w:hint="eastAsia" w:ascii="仿宋" w:hAnsi="仿宋" w:eastAsia="仿宋" w:cs="仿宋"/>
          <w:color w:val="000000"/>
          <w:highlight w:val="none"/>
        </w:rPr>
        <w:t>评标委员会认为有必要取消的投标；</w:t>
      </w:r>
    </w:p>
    <w:p w14:paraId="64367E6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18.1</w:t>
      </w:r>
      <w:r>
        <w:rPr>
          <w:rFonts w:hint="eastAsia" w:ascii="仿宋" w:hAnsi="仿宋" w:eastAsia="仿宋" w:cs="仿宋"/>
          <w:color w:val="000000"/>
          <w:highlight w:val="none"/>
          <w:lang w:val="en-US" w:eastAsia="zh-CN"/>
        </w:rPr>
        <w:t>6</w:t>
      </w:r>
      <w:r>
        <w:rPr>
          <w:rFonts w:hint="eastAsia" w:ascii="仿宋" w:hAnsi="仿宋" w:eastAsia="仿宋" w:cs="仿宋"/>
          <w:color w:val="000000"/>
          <w:highlight w:val="none"/>
        </w:rPr>
        <w:t>法律、法规规定的</w:t>
      </w:r>
      <w:r>
        <w:rPr>
          <w:rFonts w:hint="eastAsia" w:ascii="仿宋" w:hAnsi="仿宋" w:eastAsia="仿宋" w:cs="仿宋"/>
          <w:color w:val="000000"/>
          <w:highlight w:val="none"/>
          <w:lang w:eastAsia="zh-CN"/>
        </w:rPr>
        <w:t>其他</w:t>
      </w:r>
      <w:r>
        <w:rPr>
          <w:rFonts w:hint="eastAsia" w:ascii="仿宋" w:hAnsi="仿宋" w:eastAsia="仿宋" w:cs="仿宋"/>
          <w:color w:val="000000"/>
          <w:highlight w:val="none"/>
        </w:rPr>
        <w:t>情况。</w:t>
      </w:r>
      <w:bookmarkEnd w:id="35"/>
    </w:p>
    <w:p w14:paraId="28198A5F">
      <w:pPr>
        <w:spacing w:line="520" w:lineRule="exact"/>
        <w:ind w:firstLine="482"/>
        <w:rPr>
          <w:rFonts w:hint="eastAsia" w:ascii="仿宋" w:hAnsi="仿宋" w:eastAsia="仿宋" w:cs="仿宋"/>
          <w:b/>
          <w:color w:val="000000"/>
          <w:highlight w:val="none"/>
          <w:lang w:eastAsia="zh-CN"/>
        </w:rPr>
      </w:pPr>
      <w:r>
        <w:rPr>
          <w:rFonts w:hint="eastAsia" w:ascii="仿宋" w:hAnsi="仿宋" w:eastAsia="仿宋" w:cs="仿宋"/>
          <w:b/>
          <w:color w:val="000000"/>
          <w:highlight w:val="none"/>
        </w:rPr>
        <w:t>19</w:t>
      </w:r>
      <w:r>
        <w:rPr>
          <w:rFonts w:hint="eastAsia" w:ascii="仿宋" w:hAnsi="仿宋" w:eastAsia="仿宋" w:cs="仿宋"/>
          <w:b/>
          <w:color w:val="000000"/>
          <w:highlight w:val="none"/>
          <w:lang w:val="en-US" w:eastAsia="zh-CN"/>
        </w:rPr>
        <w:t>.废标</w:t>
      </w:r>
    </w:p>
    <w:p w14:paraId="33FF5E15">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19.1符合专业条件的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或者对招标文件作实质响应的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不足三家的</w:t>
      </w:r>
      <w:r>
        <w:rPr>
          <w:rFonts w:hint="eastAsia" w:ascii="仿宋" w:hAnsi="仿宋" w:eastAsia="仿宋" w:cs="仿宋"/>
          <w:highlight w:val="none"/>
        </w:rPr>
        <w:t>（符合20条情形除外）；</w:t>
      </w:r>
    </w:p>
    <w:p w14:paraId="0951D480">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19.2出现影响招标公正的违法、违规行为的；</w:t>
      </w:r>
    </w:p>
    <w:p w14:paraId="6B6A6D39">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19.3因重大变故，招标任务取消的；</w:t>
      </w:r>
    </w:p>
    <w:p w14:paraId="057D7BCA">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19.4</w:t>
      </w:r>
      <w:r>
        <w:rPr>
          <w:rFonts w:hint="eastAsia" w:ascii="仿宋" w:hAnsi="仿宋" w:eastAsia="仿宋" w:cs="仿宋"/>
          <w:color w:val="000000"/>
          <w:highlight w:val="none"/>
          <w:lang w:eastAsia="zh-CN"/>
        </w:rPr>
        <w:t>评标委员会</w:t>
      </w:r>
      <w:r>
        <w:rPr>
          <w:rFonts w:hint="eastAsia" w:ascii="仿宋" w:hAnsi="仿宋" w:eastAsia="仿宋" w:cs="仿宋"/>
          <w:color w:val="000000"/>
          <w:highlight w:val="none"/>
        </w:rPr>
        <w:t>认定</w:t>
      </w:r>
      <w:r>
        <w:rPr>
          <w:rFonts w:hint="eastAsia" w:ascii="仿宋" w:hAnsi="仿宋" w:eastAsia="仿宋" w:cs="仿宋"/>
          <w:color w:val="000000"/>
          <w:highlight w:val="none"/>
          <w:lang w:val="en-US" w:eastAsia="zh-CN"/>
        </w:rPr>
        <w:t>招标</w:t>
      </w:r>
      <w:r>
        <w:rPr>
          <w:rFonts w:hint="eastAsia" w:ascii="仿宋" w:hAnsi="仿宋" w:eastAsia="仿宋" w:cs="仿宋"/>
          <w:color w:val="000000"/>
          <w:highlight w:val="none"/>
        </w:rPr>
        <w:t>文件存在歧义、重大缺陷导致评审工作无法进行的；</w:t>
      </w:r>
    </w:p>
    <w:p w14:paraId="04963715">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19</w:t>
      </w:r>
      <w:r>
        <w:rPr>
          <w:rFonts w:hint="eastAsia" w:ascii="仿宋" w:hAnsi="仿宋" w:eastAsia="仿宋" w:cs="仿宋"/>
          <w:color w:val="000000"/>
          <w:highlight w:val="none"/>
        </w:rPr>
        <w:t>.5</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的报价均超过了采购预算，采购人不能支付的；</w:t>
      </w:r>
    </w:p>
    <w:p w14:paraId="3A035076">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lang w:val="en-US" w:eastAsia="zh-CN"/>
        </w:rPr>
        <w:t>19.6</w:t>
      </w:r>
      <w:r>
        <w:rPr>
          <w:rFonts w:hint="eastAsia" w:ascii="仿宋" w:hAnsi="仿宋" w:eastAsia="仿宋" w:cs="仿宋"/>
          <w:color w:val="000000"/>
          <w:highlight w:val="none"/>
        </w:rPr>
        <w:t>招标文件中约定的其他情形。</w:t>
      </w:r>
    </w:p>
    <w:p w14:paraId="018ED1A8">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20</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lang w:eastAsia="zh-CN"/>
        </w:rPr>
        <w:t>投标人</w:t>
      </w:r>
      <w:r>
        <w:rPr>
          <w:rFonts w:hint="eastAsia" w:ascii="仿宋" w:hAnsi="仿宋" w:eastAsia="仿宋" w:cs="仿宋"/>
          <w:b/>
          <w:color w:val="000000"/>
          <w:highlight w:val="none"/>
        </w:rPr>
        <w:t>不足三家情形处理</w:t>
      </w:r>
    </w:p>
    <w:p w14:paraId="4EE1C7F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投标截止后</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不足三家或者通过资格审查或符合性审查的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不足三家的，除招标任务取消情形外，若招标文件存在不合理条款或者招标程序不符合规定的，采购人、采购代理机构改正后依法重新招标。</w:t>
      </w:r>
    </w:p>
    <w:p w14:paraId="6731296D">
      <w:pPr>
        <w:spacing w:line="520" w:lineRule="exact"/>
        <w:ind w:firstLine="480"/>
        <w:rPr>
          <w:rFonts w:ascii="仿宋" w:hAnsi="仿宋" w:eastAsia="仿宋" w:cs="仿宋"/>
          <w:color w:val="FF0000"/>
          <w:szCs w:val="22"/>
          <w:highlight w:val="none"/>
        </w:rPr>
      </w:pPr>
      <w:r>
        <w:rPr>
          <w:rFonts w:hint="eastAsia" w:ascii="仿宋" w:hAnsi="仿宋" w:eastAsia="仿宋" w:cs="仿宋"/>
          <w:color w:val="FF0000"/>
          <w:szCs w:val="22"/>
          <w:highlight w:val="none"/>
        </w:rPr>
        <w:t>21</w:t>
      </w:r>
      <w:r>
        <w:rPr>
          <w:rFonts w:hint="eastAsia" w:ascii="仿宋" w:hAnsi="仿宋" w:eastAsia="仿宋" w:cs="仿宋"/>
          <w:color w:val="FF0000"/>
          <w:szCs w:val="22"/>
          <w:highlight w:val="none"/>
          <w:lang w:val="en-US" w:eastAsia="zh-CN"/>
        </w:rPr>
        <w:t>.</w:t>
      </w:r>
      <w:r>
        <w:rPr>
          <w:rFonts w:hint="eastAsia" w:ascii="仿宋" w:hAnsi="仿宋" w:eastAsia="仿宋" w:cs="仿宋"/>
          <w:color w:val="FF0000"/>
          <w:szCs w:val="22"/>
          <w:highlight w:val="none"/>
        </w:rPr>
        <w:t>凡有以下情形者，一经查实，取消中标候选人资格条款</w:t>
      </w:r>
    </w:p>
    <w:p w14:paraId="289E071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21.1提供虚假材料谋取中标的；</w:t>
      </w:r>
    </w:p>
    <w:p w14:paraId="349FC62D">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21.2采取不正当手段诋毁、排挤其他</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w:t>
      </w:r>
    </w:p>
    <w:p w14:paraId="5BA9A382">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21.3与采购人、其他</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或者采购代理机构恶意串通的；</w:t>
      </w:r>
    </w:p>
    <w:p w14:paraId="352993CD">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21.4向采购人、采购代理机构行贿或者提供其他不正当利益的；</w:t>
      </w:r>
    </w:p>
    <w:p w14:paraId="5DF72A7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21.5未在规定时间内与采购人签订合同的；</w:t>
      </w:r>
    </w:p>
    <w:p w14:paraId="327944FD">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21.6法律、法规规定的</w:t>
      </w:r>
      <w:r>
        <w:rPr>
          <w:rFonts w:hint="eastAsia" w:ascii="仿宋" w:hAnsi="仿宋" w:eastAsia="仿宋" w:cs="仿宋"/>
          <w:color w:val="000000"/>
          <w:highlight w:val="none"/>
          <w:lang w:eastAsia="zh-CN"/>
        </w:rPr>
        <w:t>其他</w:t>
      </w:r>
      <w:r>
        <w:rPr>
          <w:rFonts w:hint="eastAsia" w:ascii="仿宋" w:hAnsi="仿宋" w:eastAsia="仿宋" w:cs="仿宋"/>
          <w:color w:val="000000"/>
          <w:highlight w:val="none"/>
        </w:rPr>
        <w:t>情况。</w:t>
      </w:r>
    </w:p>
    <w:p w14:paraId="7F37E98E">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22</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恶意串通投标的情形</w:t>
      </w:r>
    </w:p>
    <w:p w14:paraId="511BBE18">
      <w:pPr>
        <w:spacing w:line="520" w:lineRule="exact"/>
        <w:ind w:firstLine="480"/>
        <w:rPr>
          <w:rFonts w:ascii="仿宋" w:hAnsi="仿宋" w:eastAsia="仿宋" w:cs="仿宋"/>
          <w:color w:val="FF0000"/>
          <w:szCs w:val="22"/>
          <w:highlight w:val="none"/>
        </w:rPr>
      </w:pPr>
      <w:r>
        <w:rPr>
          <w:rFonts w:hint="eastAsia" w:ascii="仿宋" w:hAnsi="仿宋" w:eastAsia="仿宋" w:cs="仿宋"/>
          <w:color w:val="FF0000"/>
          <w:szCs w:val="22"/>
          <w:highlight w:val="none"/>
        </w:rPr>
        <w:t>有下列情形之一的，属于恶意串通投标：</w:t>
      </w:r>
    </w:p>
    <w:p w14:paraId="3D01E02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22.1</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直接或间接从采购人或采购代理机构处获得其他</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的投标情况，并修改其投标文件；</w:t>
      </w:r>
    </w:p>
    <w:p w14:paraId="3D77859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22.2评审活动开始前</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直接或间接从采购人或采购代理机构处获得评标委员会组成人员情况；</w:t>
      </w:r>
    </w:p>
    <w:p w14:paraId="5F5A045A">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22.3</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接受采购人或采购代理机构授意撤换、修改投标文件；</w:t>
      </w:r>
    </w:p>
    <w:p w14:paraId="53685EC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22.4</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之间协商投标报价、技术方案等投标文件实质性内容；</w:t>
      </w:r>
    </w:p>
    <w:p w14:paraId="02FBB88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22.5属同一集团、协会、商会等组织成员的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按照该组织要求协同投标；</w:t>
      </w:r>
    </w:p>
    <w:p w14:paraId="1711DD2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22.6</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之间事先约定由某一特定</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中标、成交；</w:t>
      </w:r>
    </w:p>
    <w:p w14:paraId="3DFD1FE4">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22.7</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之间商定部分</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放弃投标或者放弃中标、成交；</w:t>
      </w:r>
    </w:p>
    <w:p w14:paraId="3096F650">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22.8</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与采购人或采购代理机构之间、</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相互之间为谋求特定</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中标、成交或者排斥其他</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的其他串通行为；</w:t>
      </w:r>
    </w:p>
    <w:p w14:paraId="20D7FB9F">
      <w:pPr>
        <w:spacing w:line="520" w:lineRule="exact"/>
        <w:ind w:firstLine="480"/>
        <w:rPr>
          <w:rFonts w:ascii="仿宋" w:hAnsi="仿宋" w:eastAsia="仿宋" w:cs="仿宋"/>
          <w:color w:val="FF0000"/>
          <w:szCs w:val="22"/>
          <w:highlight w:val="none"/>
        </w:rPr>
      </w:pPr>
      <w:r>
        <w:rPr>
          <w:rFonts w:hint="eastAsia" w:ascii="仿宋" w:hAnsi="仿宋" w:eastAsia="仿宋" w:cs="仿宋"/>
          <w:color w:val="FF0000"/>
          <w:szCs w:val="22"/>
          <w:highlight w:val="none"/>
        </w:rPr>
        <w:t>有下列情形之一的，视为</w:t>
      </w:r>
      <w:r>
        <w:rPr>
          <w:rFonts w:hint="eastAsia" w:ascii="仿宋" w:hAnsi="仿宋" w:eastAsia="仿宋" w:cs="仿宋"/>
          <w:color w:val="FF0000"/>
          <w:szCs w:val="22"/>
          <w:highlight w:val="none"/>
          <w:lang w:eastAsia="zh-CN"/>
        </w:rPr>
        <w:t>投标人</w:t>
      </w:r>
      <w:r>
        <w:rPr>
          <w:rFonts w:hint="eastAsia" w:ascii="仿宋" w:hAnsi="仿宋" w:eastAsia="仿宋" w:cs="仿宋"/>
          <w:color w:val="FF0000"/>
          <w:szCs w:val="22"/>
          <w:highlight w:val="none"/>
        </w:rPr>
        <w:t>串通投标，其投标无效：</w:t>
      </w:r>
    </w:p>
    <w:p w14:paraId="3BFAD72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22.9不同</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的投标文件由同一单位或者个人编制；</w:t>
      </w:r>
    </w:p>
    <w:p w14:paraId="413A5345">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22.10不同</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委托同一单位或者个人办理投标事宜；</w:t>
      </w:r>
    </w:p>
    <w:p w14:paraId="341F074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22.11不同</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的投标文件载明的项目管理成员或者联系人员为同一人；</w:t>
      </w:r>
    </w:p>
    <w:p w14:paraId="046D218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22.12不同</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的投标文件异常一致或者投标报价呈规律性差异；</w:t>
      </w:r>
    </w:p>
    <w:p w14:paraId="1647467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22.13不同</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的投标文件相互混装。</w:t>
      </w:r>
    </w:p>
    <w:p w14:paraId="10D7DB20">
      <w:pPr>
        <w:spacing w:line="520" w:lineRule="exact"/>
        <w:ind w:firstLine="480"/>
        <w:rPr>
          <w:rFonts w:ascii="宋体" w:hAnsi="宋体" w:eastAsia="宋体" w:cs="宋体"/>
          <w:color w:val="000000"/>
          <w:highlight w:val="none"/>
        </w:rPr>
      </w:pPr>
    </w:p>
    <w:p w14:paraId="6BB8165E">
      <w:pPr>
        <w:pStyle w:val="205"/>
        <w:keepNext w:val="0"/>
        <w:keepLines w:val="0"/>
        <w:spacing w:before="0" w:after="0" w:line="520" w:lineRule="exact"/>
        <w:rPr>
          <w:highlight w:val="none"/>
        </w:rPr>
      </w:pPr>
      <w:r>
        <w:rPr>
          <w:rFonts w:hint="eastAsia"/>
          <w:highlight w:val="none"/>
        </w:rPr>
        <w:t>六、开标程序</w:t>
      </w:r>
    </w:p>
    <w:p w14:paraId="371D31FD">
      <w:pPr>
        <w:spacing w:line="520" w:lineRule="exact"/>
        <w:ind w:firstLine="482"/>
        <w:rPr>
          <w:rFonts w:ascii="仿宋" w:hAnsi="仿宋" w:eastAsia="仿宋" w:cs="仿宋"/>
          <w:b/>
          <w:color w:val="000000"/>
          <w:highlight w:val="none"/>
        </w:rPr>
      </w:pPr>
      <w:bookmarkStart w:id="36" w:name="EBc833af1256b54b54a5b37c156d946632"/>
      <w:r>
        <w:rPr>
          <w:rFonts w:hint="eastAsia" w:ascii="仿宋" w:hAnsi="仿宋" w:eastAsia="仿宋" w:cs="仿宋"/>
          <w:b/>
          <w:color w:val="000000"/>
          <w:highlight w:val="none"/>
        </w:rPr>
        <w:t>23</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开标会议</w:t>
      </w:r>
    </w:p>
    <w:p w14:paraId="6AAD41B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23.1采购代理机构工作人员按招标文件规定的时间、地点组织公开开标。采购人代表及有关工作人员参加，招标监管等部门代表有权参与监管。</w:t>
      </w:r>
    </w:p>
    <w:p w14:paraId="7365E6E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23.2开标会议由采购代理机构工作人员主持。</w:t>
      </w:r>
    </w:p>
    <w:p w14:paraId="7ED5277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23.3开标会议上将当众公布</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名称、投标报价等主要内容。</w:t>
      </w:r>
    </w:p>
    <w:p w14:paraId="06CFCA8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23.4开标过程的相关记录，由参加开标的各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代表和相关工作人员签字确认。因</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原因未签字确认的，视同认可开标结果。</w:t>
      </w:r>
    </w:p>
    <w:p w14:paraId="03224413">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24</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开标流程</w:t>
      </w:r>
    </w:p>
    <w:p w14:paraId="2F5DC37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主持人按下列程序进行开标，开标按分包顺序进行。</w:t>
      </w:r>
    </w:p>
    <w:p w14:paraId="32B9AC34">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24.1宣读开标会议纪律；</w:t>
      </w:r>
    </w:p>
    <w:p w14:paraId="0D22062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24.2公布投标单位名单；</w:t>
      </w:r>
    </w:p>
    <w:p w14:paraId="13D21355">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24.3唱标；</w:t>
      </w:r>
    </w:p>
    <w:p w14:paraId="70C2B36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24.3.1 如项目有多个分包，按项目分包顺序依次唱标；</w:t>
      </w:r>
    </w:p>
    <w:p w14:paraId="459100BE">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24.3.2 每一分包按照递交投标文件的逆顺序唱标；</w:t>
      </w:r>
    </w:p>
    <w:p w14:paraId="1A22A6F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24.4开标会议结束。</w:t>
      </w:r>
    </w:p>
    <w:p w14:paraId="34AC6B0C">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25</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资格审查</w:t>
      </w:r>
    </w:p>
    <w:p w14:paraId="6E8202B7">
      <w:pPr>
        <w:spacing w:line="520" w:lineRule="exact"/>
        <w:ind w:firstLine="480"/>
        <w:rPr>
          <w:rFonts w:ascii="仿宋" w:hAnsi="仿宋" w:eastAsia="仿宋" w:cs="仿宋"/>
          <w:color w:val="000000"/>
          <w:highlight w:val="none"/>
        </w:rPr>
      </w:pPr>
      <w:bookmarkStart w:id="37" w:name="EBa9c0a2c9e523494487594c65b2a92370"/>
      <w:r>
        <w:rPr>
          <w:rFonts w:hint="eastAsia" w:ascii="仿宋" w:hAnsi="仿宋" w:eastAsia="仿宋" w:cs="仿宋"/>
          <w:color w:val="auto"/>
          <w:highlight w:val="none"/>
        </w:rPr>
        <w:t>开标结束后，采购人或采购代理机构依法对</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的资格证明文件等进行审查。</w:t>
      </w:r>
      <w:bookmarkEnd w:id="37"/>
      <w:r>
        <w:rPr>
          <w:rFonts w:hint="eastAsia" w:ascii="仿宋" w:hAnsi="仿宋" w:eastAsia="仿宋" w:cs="仿宋"/>
          <w:color w:val="auto"/>
          <w:highlight w:val="none"/>
        </w:rPr>
        <w:t>接受联合体的项目，联合体成员存在不良信用记录的，视同联合体存在不良信用记录。</w:t>
      </w:r>
    </w:p>
    <w:p w14:paraId="43BB2A83">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26</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评标委员会</w:t>
      </w:r>
    </w:p>
    <w:p w14:paraId="70ADC254">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采购人或采购代理机构应根据本项目的特点依法组建评标委员会。评标委员会负责具体评标事务，对资格审查合格的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进行评标，并独立履行相关职责。</w:t>
      </w:r>
    </w:p>
    <w:p w14:paraId="3F0B31AC">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27</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评标原则</w:t>
      </w:r>
    </w:p>
    <w:p w14:paraId="01A3E72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“公平、公正、客观、择优”为评标的基本原则，评标委员会将根据这一原则，公正、平等地对待各</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w:t>
      </w:r>
    </w:p>
    <w:p w14:paraId="59018A23">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28</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评标程序</w:t>
      </w:r>
    </w:p>
    <w:p w14:paraId="46E26222">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28.1符合性检查：</w:t>
      </w:r>
      <w:r>
        <w:rPr>
          <w:rFonts w:hint="eastAsia" w:ascii="仿宋" w:hAnsi="仿宋" w:eastAsia="仿宋" w:cs="仿宋"/>
          <w:color w:val="auto"/>
          <w:highlight w:val="none"/>
        </w:rPr>
        <w:t>审查、评价投标文件是否符合招标文件的实质性要求。评标委员会依据招标文件的规定，从投标文件的有效性、完整性和对招标文件的响应程度进行审查，以确定是否对招标文件的要求作出了实质性的响应。存在重大偏离的投标文件为无效标。所谓重大偏离或保留是指与招标文件规定的实质性要求存在负偏离，或者在实质上与招标文件不一致，而且限制了合同中采购人的权利或</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的义务，纠正这些偏离或保留将会对其他实质性响应的</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产生不公正的影响。重大偏离的认定须经评标委员会三分之二以上同意。</w:t>
      </w:r>
    </w:p>
    <w:p w14:paraId="69736F52">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评标委员会判断“投标文件”的响应性，基于“投标文件”本身和招标文件要求提供的技术支持而不靠外部证据。对非实质性响应的投标文件，</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不能通过修正或撤销不符之处，而使其成为实质性响应。</w:t>
      </w:r>
    </w:p>
    <w:p w14:paraId="3CC87F1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28.2澄清有关问题。</w:t>
      </w:r>
    </w:p>
    <w:p w14:paraId="03E2F606">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28.2.1对投标文件中含义不明确、同类问题表述不一致或者有明显文字和计算错误的内容，评标委员会可以书面形式（应当由评标委员会专家签字）要求</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作出必要的澄清、说明或者纠正。</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的澄清、说明或者补正应当采用书面形式，并加盖公章或者由法定代表人或其授权的代表签字。</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的澄清、说明或者补正不得超出投标文件的范围或者改变投标文件的实质性内容。</w:t>
      </w:r>
    </w:p>
    <w:p w14:paraId="5E701F6A">
      <w:pPr>
        <w:spacing w:line="520" w:lineRule="exact"/>
        <w:ind w:firstLine="480"/>
        <w:rPr>
          <w:rFonts w:hint="eastAsia" w:ascii="仿宋" w:hAnsi="仿宋" w:eastAsia="仿宋" w:cs="仿宋"/>
          <w:color w:val="auto"/>
          <w:highlight w:val="none"/>
        </w:rPr>
      </w:pPr>
      <w:r>
        <w:rPr>
          <w:rFonts w:hint="eastAsia" w:ascii="仿宋" w:hAnsi="仿宋" w:eastAsia="仿宋" w:cs="仿宋"/>
          <w:color w:val="000000"/>
          <w:highlight w:val="none"/>
        </w:rPr>
        <w:t>28.2.2</w:t>
      </w:r>
      <w:r>
        <w:rPr>
          <w:rFonts w:hint="eastAsia" w:ascii="仿宋" w:hAnsi="仿宋" w:eastAsia="仿宋" w:cs="仿宋"/>
          <w:color w:val="auto"/>
          <w:highlight w:val="none"/>
        </w:rPr>
        <w:t>评标委员会并非对每个</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都做澄清要求。</w:t>
      </w:r>
    </w:p>
    <w:p w14:paraId="20F31AA7">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28.2.</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接到评标委员会澄清、说明和补正要求的投标人如未按规定做出澄清、说明和补正，其风险由</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自行承担。</w:t>
      </w:r>
    </w:p>
    <w:p w14:paraId="0B0C9568">
      <w:pPr>
        <w:spacing w:line="520" w:lineRule="exact"/>
        <w:ind w:firstLine="480" w:firstLineChars="200"/>
        <w:rPr>
          <w:rFonts w:ascii="仿宋" w:hAnsi="仿宋" w:eastAsia="仿宋" w:cs="仿宋"/>
          <w:color w:val="000000"/>
          <w:highlight w:val="none"/>
        </w:rPr>
      </w:pPr>
      <w:r>
        <w:rPr>
          <w:rFonts w:hint="eastAsia" w:ascii="仿宋" w:hAnsi="仿宋" w:eastAsia="仿宋" w:cs="仿宋"/>
          <w:color w:val="000000"/>
          <w:highlight w:val="none"/>
        </w:rPr>
        <w:t>28.2.</w:t>
      </w:r>
      <w:r>
        <w:rPr>
          <w:rFonts w:hint="eastAsia" w:ascii="仿宋" w:hAnsi="仿宋" w:eastAsia="仿宋" w:cs="仿宋"/>
          <w:color w:val="000000"/>
          <w:highlight w:val="none"/>
          <w:lang w:val="en-US" w:eastAsia="zh-CN"/>
        </w:rPr>
        <w:t>4</w:t>
      </w:r>
      <w:r>
        <w:rPr>
          <w:rFonts w:hint="eastAsia" w:ascii="仿宋" w:hAnsi="仿宋" w:eastAsia="仿宋" w:cs="仿宋"/>
          <w:color w:val="000000"/>
          <w:highlight w:val="none"/>
        </w:rPr>
        <w:t>投标文件报价出现前后不一致的，除招标文件另有规定外，按照下列规定修正：</w:t>
      </w:r>
    </w:p>
    <w:p w14:paraId="724B00C2">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①投标文件中开标一览表（报价表）内容与投标文件中相应内容不一致的，以开标一览表（报价表）为准；</w:t>
      </w:r>
    </w:p>
    <w:p w14:paraId="6368620B">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②大写和小写不一致的，以大写为准；</w:t>
      </w:r>
    </w:p>
    <w:p w14:paraId="5775E73C">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③单价金额小数点或者百分比有明显错位的，以开标一览表的总价为准，并修改单价；</w:t>
      </w:r>
    </w:p>
    <w:p w14:paraId="21980A3A">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④总价金额与按单价汇总金额不一致的，以单价金额计算结果为准。</w:t>
      </w:r>
    </w:p>
    <w:p w14:paraId="43F476D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同时出现两种以上不一致的，按照前款规定的顺序修正。修正后的报价，经</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确认后产生约束力，</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不确认的，其投标无效。</w:t>
      </w:r>
    </w:p>
    <w:p w14:paraId="0A9AF53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28.3评标委员会认为</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的报价明显低于其他通过符合性审查</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的报价，有可能不能诚信履约的，应当要求其在评标现场合理的时间内提供书面说明，必要时提交相关证明材料；</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不能证明其报价合理性的，评标委员会应当将其作为无效投标处理。</w:t>
      </w:r>
    </w:p>
    <w:p w14:paraId="11EDAFA6">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28.4比较。评标委员会将按招标文件中规定的评标方法和标准，对符合性检查合格的投标文件进行商务和技术评比。</w:t>
      </w:r>
      <w:bookmarkEnd w:id="36"/>
    </w:p>
    <w:p w14:paraId="19DDCF38">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 xml:space="preserve">28.5推荐中标候选人。评标委员会按照招标文件中规定的评标方法和标准推荐中标候选人。 </w:t>
      </w:r>
    </w:p>
    <w:p w14:paraId="063F5319">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若有充分证据证明，</w:t>
      </w:r>
      <w:r>
        <w:rPr>
          <w:rFonts w:hint="eastAsia" w:ascii="仿宋" w:hAnsi="仿宋" w:eastAsia="仿宋" w:cs="仿宋"/>
          <w:color w:val="000000"/>
          <w:highlight w:val="none"/>
          <w:lang w:val="en-US" w:eastAsia="zh-CN"/>
        </w:rPr>
        <w:t>中标</w:t>
      </w:r>
      <w:r>
        <w:rPr>
          <w:rFonts w:hint="eastAsia" w:ascii="仿宋" w:hAnsi="仿宋" w:eastAsia="仿宋" w:cs="仿宋"/>
          <w:color w:val="000000"/>
          <w:highlight w:val="none"/>
        </w:rPr>
        <w:t>候选人出现下列情况之一的，一经查实，采购人有权提</w:t>
      </w:r>
      <w:r>
        <w:rPr>
          <w:rFonts w:hint="eastAsia" w:ascii="仿宋" w:hAnsi="仿宋" w:eastAsia="仿宋" w:cs="仿宋"/>
          <w:color w:val="000000"/>
          <w:highlight w:val="none"/>
          <w:lang w:val="en-US" w:eastAsia="zh-CN"/>
        </w:rPr>
        <w:t>评标委员会</w:t>
      </w:r>
      <w:r>
        <w:rPr>
          <w:rFonts w:hint="eastAsia" w:ascii="仿宋" w:hAnsi="仿宋" w:eastAsia="仿宋" w:cs="仿宋"/>
          <w:color w:val="000000"/>
          <w:highlight w:val="none"/>
        </w:rPr>
        <w:t>或财政部门重新确定其</w:t>
      </w:r>
      <w:r>
        <w:rPr>
          <w:rFonts w:hint="eastAsia" w:ascii="仿宋" w:hAnsi="仿宋" w:eastAsia="仿宋" w:cs="仿宋"/>
          <w:color w:val="000000"/>
          <w:highlight w:val="none"/>
          <w:lang w:val="en-US" w:eastAsia="zh-CN"/>
        </w:rPr>
        <w:t>中标</w:t>
      </w:r>
      <w:r>
        <w:rPr>
          <w:rFonts w:hint="eastAsia" w:ascii="仿宋" w:hAnsi="仿宋" w:eastAsia="仿宋" w:cs="仿宋"/>
          <w:color w:val="000000"/>
          <w:highlight w:val="none"/>
        </w:rPr>
        <w:t>资格：</w:t>
      </w:r>
    </w:p>
    <w:p w14:paraId="60BE8430">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（1）提供虚假材料谋取</w:t>
      </w:r>
      <w:r>
        <w:rPr>
          <w:rFonts w:hint="eastAsia" w:ascii="仿宋" w:hAnsi="仿宋" w:eastAsia="仿宋" w:cs="仿宋"/>
          <w:color w:val="000000"/>
          <w:highlight w:val="none"/>
          <w:lang w:val="en-US" w:eastAsia="zh-CN"/>
        </w:rPr>
        <w:t>成交</w:t>
      </w:r>
      <w:r>
        <w:rPr>
          <w:rFonts w:hint="eastAsia" w:ascii="仿宋" w:hAnsi="仿宋" w:eastAsia="仿宋" w:cs="仿宋"/>
          <w:color w:val="000000"/>
          <w:highlight w:val="none"/>
        </w:rPr>
        <w:t>的；</w:t>
      </w:r>
    </w:p>
    <w:p w14:paraId="3DA7F52B">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（2）与评审专家、采购人、其他</w:t>
      </w:r>
      <w:r>
        <w:rPr>
          <w:rFonts w:hint="eastAsia" w:ascii="仿宋" w:hAnsi="仿宋" w:eastAsia="仿宋" w:cs="仿宋"/>
          <w:color w:val="000000"/>
          <w:highlight w:val="none"/>
          <w:lang w:val="en-US" w:eastAsia="zh-CN"/>
        </w:rPr>
        <w:t>投标人</w:t>
      </w:r>
      <w:r>
        <w:rPr>
          <w:rFonts w:hint="eastAsia" w:ascii="仿宋" w:hAnsi="仿宋" w:eastAsia="仿宋" w:cs="仿宋"/>
          <w:color w:val="000000"/>
          <w:highlight w:val="none"/>
        </w:rPr>
        <w:t>或者采购代理机构工作人员恶意串通的；</w:t>
      </w:r>
    </w:p>
    <w:p w14:paraId="13BB9585">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（3）向评审专家、采购人或采购代理机构工作人员行贿或者提供其他不正当利益的；</w:t>
      </w:r>
    </w:p>
    <w:p w14:paraId="5DCFBEE4">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（4）不满足本</w:t>
      </w:r>
      <w:r>
        <w:rPr>
          <w:rFonts w:hint="eastAsia" w:ascii="仿宋" w:hAnsi="仿宋" w:eastAsia="仿宋" w:cs="仿宋"/>
          <w:color w:val="000000"/>
          <w:highlight w:val="none"/>
          <w:lang w:val="en-US" w:eastAsia="zh-CN"/>
        </w:rPr>
        <w:t>招标</w:t>
      </w:r>
      <w:r>
        <w:rPr>
          <w:rFonts w:hint="eastAsia" w:ascii="仿宋" w:hAnsi="仿宋" w:eastAsia="仿宋" w:cs="仿宋"/>
          <w:color w:val="000000"/>
          <w:highlight w:val="none"/>
          <w:lang w:eastAsia="zh-CN"/>
        </w:rPr>
        <w:t>文件</w:t>
      </w:r>
      <w:r>
        <w:rPr>
          <w:rFonts w:hint="eastAsia" w:ascii="仿宋" w:hAnsi="仿宋" w:eastAsia="仿宋" w:cs="仿宋"/>
          <w:color w:val="000000"/>
          <w:highlight w:val="none"/>
        </w:rPr>
        <w:t>规定的实质性要求，但</w:t>
      </w:r>
      <w:r>
        <w:rPr>
          <w:rFonts w:hint="eastAsia" w:ascii="仿宋" w:hAnsi="仿宋" w:eastAsia="仿宋" w:cs="仿宋"/>
          <w:color w:val="000000"/>
          <w:highlight w:val="none"/>
          <w:lang w:val="en-US" w:eastAsia="zh-CN"/>
        </w:rPr>
        <w:t>评标</w:t>
      </w:r>
      <w:r>
        <w:rPr>
          <w:rFonts w:hint="eastAsia" w:ascii="仿宋" w:hAnsi="仿宋" w:eastAsia="仿宋" w:cs="仿宋"/>
          <w:color w:val="000000"/>
          <w:highlight w:val="none"/>
        </w:rPr>
        <w:t>过程中又未被</w:t>
      </w:r>
      <w:r>
        <w:rPr>
          <w:rFonts w:hint="eastAsia" w:ascii="仿宋" w:hAnsi="仿宋" w:eastAsia="仿宋" w:cs="仿宋"/>
          <w:color w:val="000000"/>
          <w:highlight w:val="none"/>
          <w:lang w:val="en-US" w:eastAsia="zh-CN"/>
        </w:rPr>
        <w:t>评标委员会</w:t>
      </w:r>
      <w:r>
        <w:rPr>
          <w:rFonts w:hint="eastAsia" w:ascii="仿宋" w:hAnsi="仿宋" w:eastAsia="仿宋" w:cs="仿宋"/>
          <w:color w:val="000000"/>
          <w:highlight w:val="none"/>
        </w:rPr>
        <w:t>发现的；</w:t>
      </w:r>
    </w:p>
    <w:p w14:paraId="0C448DC2">
      <w:pPr>
        <w:spacing w:line="520" w:lineRule="exact"/>
        <w:ind w:firstLine="480"/>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（5）</w:t>
      </w:r>
      <w:r>
        <w:rPr>
          <w:rFonts w:hint="eastAsia" w:ascii="仿宋" w:hAnsi="仿宋" w:eastAsia="仿宋" w:cs="仿宋"/>
          <w:color w:val="000000"/>
          <w:highlight w:val="none"/>
          <w:lang w:val="en-US" w:eastAsia="zh-CN"/>
        </w:rPr>
        <w:t>出现投标人</w:t>
      </w:r>
      <w:r>
        <w:rPr>
          <w:rFonts w:hint="eastAsia" w:ascii="仿宋" w:hAnsi="仿宋" w:eastAsia="仿宋" w:cs="仿宋"/>
          <w:color w:val="000000"/>
          <w:highlight w:val="none"/>
        </w:rPr>
        <w:t>串通投标</w:t>
      </w:r>
      <w:r>
        <w:rPr>
          <w:rFonts w:hint="eastAsia" w:ascii="仿宋" w:hAnsi="仿宋" w:eastAsia="仿宋" w:cs="仿宋"/>
          <w:color w:val="000000"/>
          <w:highlight w:val="none"/>
          <w:lang w:val="en-US" w:eastAsia="zh-CN"/>
        </w:rPr>
        <w:t>情形的；</w:t>
      </w:r>
    </w:p>
    <w:p w14:paraId="431780F7">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（6）不符合法律、法规的规定的其他情形。</w:t>
      </w:r>
    </w:p>
    <w:p w14:paraId="3F1ADB92">
      <w:pPr>
        <w:spacing w:line="520" w:lineRule="exact"/>
        <w:ind w:firstLine="480"/>
        <w:rPr>
          <w:rFonts w:hint="eastAsia" w:ascii="仿宋" w:hAnsi="仿宋" w:eastAsia="仿宋" w:cs="仿宋"/>
          <w:color w:val="000000"/>
          <w:highlight w:val="none"/>
        </w:rPr>
      </w:pPr>
      <w:r>
        <w:rPr>
          <w:rFonts w:hint="eastAsia" w:ascii="仿宋" w:hAnsi="仿宋" w:eastAsia="仿宋" w:cs="仿宋"/>
          <w:color w:val="000000"/>
          <w:highlight w:val="none"/>
        </w:rPr>
        <w:t>不符合法定</w:t>
      </w:r>
      <w:r>
        <w:rPr>
          <w:rFonts w:hint="eastAsia" w:ascii="仿宋" w:hAnsi="仿宋" w:eastAsia="仿宋" w:cs="仿宋"/>
          <w:color w:val="000000"/>
          <w:highlight w:val="none"/>
          <w:lang w:val="en-US" w:eastAsia="zh-CN"/>
        </w:rPr>
        <w:t>中标</w:t>
      </w:r>
      <w:r>
        <w:rPr>
          <w:rFonts w:hint="eastAsia" w:ascii="仿宋" w:hAnsi="仿宋" w:eastAsia="仿宋" w:cs="仿宋"/>
          <w:color w:val="000000"/>
          <w:highlight w:val="none"/>
        </w:rPr>
        <w:t>条件的，采购人可按评委会推荐的</w:t>
      </w:r>
      <w:r>
        <w:rPr>
          <w:rFonts w:hint="eastAsia" w:ascii="仿宋" w:hAnsi="仿宋" w:eastAsia="仿宋" w:cs="仿宋"/>
          <w:color w:val="000000"/>
          <w:highlight w:val="none"/>
          <w:lang w:val="en-US" w:eastAsia="zh-CN"/>
        </w:rPr>
        <w:t>中标</w:t>
      </w:r>
      <w:r>
        <w:rPr>
          <w:rFonts w:hint="eastAsia" w:ascii="仿宋" w:hAnsi="仿宋" w:eastAsia="仿宋" w:cs="仿宋"/>
          <w:color w:val="000000"/>
          <w:highlight w:val="none"/>
        </w:rPr>
        <w:t>候选人名单排序，确定下一候选人为</w:t>
      </w:r>
      <w:r>
        <w:rPr>
          <w:rFonts w:hint="eastAsia" w:ascii="仿宋" w:hAnsi="仿宋" w:eastAsia="仿宋" w:cs="仿宋"/>
          <w:color w:val="000000"/>
          <w:highlight w:val="none"/>
          <w:lang w:val="en-US" w:eastAsia="zh-CN"/>
        </w:rPr>
        <w:t>中标人</w:t>
      </w:r>
      <w:r>
        <w:rPr>
          <w:rFonts w:hint="eastAsia" w:ascii="仿宋" w:hAnsi="仿宋" w:eastAsia="仿宋" w:cs="仿宋"/>
          <w:color w:val="000000"/>
          <w:highlight w:val="none"/>
        </w:rPr>
        <w:t>，也可以重新开展政府采购活动。</w:t>
      </w:r>
    </w:p>
    <w:p w14:paraId="2BB4C668">
      <w:pPr>
        <w:spacing w:line="520" w:lineRule="exact"/>
        <w:ind w:firstLine="480"/>
        <w:rPr>
          <w:rFonts w:hint="eastAsia" w:ascii="仿宋" w:hAnsi="仿宋" w:eastAsia="仿宋" w:cs="仿宋"/>
          <w:color w:val="000000"/>
          <w:highlight w:val="none"/>
        </w:rPr>
      </w:pPr>
    </w:p>
    <w:p w14:paraId="57C81187">
      <w:pPr>
        <w:spacing w:line="520" w:lineRule="exact"/>
        <w:rPr>
          <w:rFonts w:ascii="仿宋_GB2312" w:hAnsi="宋体" w:eastAsia="仿宋_GB2312"/>
          <w:color w:val="000080"/>
          <w:sz w:val="20"/>
          <w:highlight w:val="none"/>
        </w:rPr>
      </w:pPr>
    </w:p>
    <w:p w14:paraId="7BAED6FB">
      <w:pPr>
        <w:pStyle w:val="205"/>
        <w:keepNext w:val="0"/>
        <w:keepLines w:val="0"/>
        <w:spacing w:before="0" w:after="0" w:line="520" w:lineRule="exact"/>
        <w:rPr>
          <w:highlight w:val="none"/>
        </w:rPr>
      </w:pPr>
      <w:bookmarkStart w:id="38" w:name="_Toc6774"/>
      <w:r>
        <w:rPr>
          <w:rFonts w:hint="eastAsia"/>
          <w:highlight w:val="none"/>
        </w:rPr>
        <w:t>七、中标及合同签订</w:t>
      </w:r>
      <w:bookmarkEnd w:id="38"/>
    </w:p>
    <w:p w14:paraId="7127C7C0">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29</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标后审查</w:t>
      </w:r>
    </w:p>
    <w:p w14:paraId="659B12F1">
      <w:pPr>
        <w:spacing w:line="520" w:lineRule="exact"/>
        <w:ind w:firstLine="480"/>
        <w:rPr>
          <w:rFonts w:ascii="仿宋" w:hAnsi="仿宋" w:eastAsia="仿宋" w:cs="仿宋"/>
          <w:color w:val="000000"/>
          <w:highlight w:val="none"/>
        </w:rPr>
      </w:pPr>
      <w:bookmarkStart w:id="39" w:name="EB17cdacdfdd1244abbb73389fe0bfffe7"/>
      <w:r>
        <w:rPr>
          <w:rFonts w:hint="eastAsia" w:ascii="仿宋" w:hAnsi="仿宋" w:eastAsia="仿宋" w:cs="仿宋"/>
          <w:color w:val="000000"/>
          <w:highlight w:val="none"/>
        </w:rPr>
        <w:t>29.1采购人将在签订合同前对中标候选人是否能圆满地履行合同进行审查。审查包括中标候选人投标文件中提供的所有资格证明材料原件，中标候选人投标文件及补充承诺中涉及的其他相关资料原件，以及对本项目实施可能存在风险的其他因素。</w:t>
      </w:r>
    </w:p>
    <w:p w14:paraId="780B9E81">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29.2采购人若发现中标候选人在投标过程中提供虚假证明文件，故意隐瞒公司不良信誉和财务状况，以及存在可能对合同圆满履行造成风险的其他因素等，则报经监管部门按规定取消其中标资格，监管部门依法处理。如果确定第一中标候选人无法履行合同，采购人可以按排名依次对其余中标候选人进行类似的审查</w:t>
      </w:r>
      <w:r>
        <w:rPr>
          <w:rFonts w:hint="eastAsia" w:ascii="仿宋" w:hAnsi="仿宋" w:eastAsia="仿宋" w:cs="仿宋"/>
          <w:color w:val="auto"/>
          <w:highlight w:val="none"/>
        </w:rPr>
        <w:t>或重新招标</w:t>
      </w:r>
      <w:r>
        <w:rPr>
          <w:rFonts w:hint="eastAsia" w:ascii="仿宋" w:hAnsi="仿宋" w:eastAsia="仿宋" w:cs="仿宋"/>
          <w:color w:val="000000"/>
          <w:highlight w:val="none"/>
        </w:rPr>
        <w:t>。</w:t>
      </w:r>
      <w:bookmarkEnd w:id="39"/>
    </w:p>
    <w:p w14:paraId="2AB2D3CF">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30</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确定中标人</w:t>
      </w:r>
    </w:p>
    <w:p w14:paraId="06097C6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30.1采购人应当自收到评标报告之日起5个工作日内，在评标报告确定的中标候选人名单中确定中标人。中标候选人并列的，由采购人在相关部门监督下通过随机抽取的方式确定。</w:t>
      </w:r>
    </w:p>
    <w:p w14:paraId="6A650D17">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30.2在中标结果公告届满之前，中标人被列为失信被执行人的，取消其中标资格，并重新确定中标人</w:t>
      </w:r>
      <w:r>
        <w:rPr>
          <w:rFonts w:hint="eastAsia" w:ascii="仿宋" w:hAnsi="仿宋" w:eastAsia="仿宋" w:cs="仿宋"/>
          <w:color w:val="auto"/>
          <w:highlight w:val="none"/>
        </w:rPr>
        <w:t>或重新招标</w:t>
      </w:r>
      <w:r>
        <w:rPr>
          <w:rFonts w:hint="eastAsia" w:ascii="仿宋" w:hAnsi="仿宋" w:eastAsia="仿宋" w:cs="仿宋"/>
          <w:color w:val="000000"/>
          <w:highlight w:val="none"/>
        </w:rPr>
        <w:t>。</w:t>
      </w:r>
    </w:p>
    <w:p w14:paraId="7956E95F">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30.3采购人不得通过对样品进行检测、对</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进行考察等方式改变评审结果。</w:t>
      </w:r>
    </w:p>
    <w:p w14:paraId="0E4F9625">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30.4中标人（或中标候选人）放弃中标、因不可抗力不能履行合同、提供虚假材料谋取中标或者被查实存在影响中标结果的违法行为等情形，不符合中标条件的，采购人可以按照评标委员会确定的中标候选人名单排序依次确定其他中标候选人为中标人，也可以重新招标。</w:t>
      </w:r>
    </w:p>
    <w:p w14:paraId="540D5DF4">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31</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中标通知书</w:t>
      </w:r>
    </w:p>
    <w:p w14:paraId="39C1345F">
      <w:pPr>
        <w:spacing w:line="520" w:lineRule="exact"/>
        <w:ind w:firstLine="480"/>
        <w:rPr>
          <w:rFonts w:hint="eastAsia" w:ascii="仿宋" w:hAnsi="仿宋" w:eastAsia="仿宋" w:cs="仿宋"/>
          <w:color w:val="auto"/>
          <w:highlight w:val="none"/>
          <w:lang w:eastAsia="zh-CN"/>
        </w:rPr>
      </w:pPr>
      <w:r>
        <w:rPr>
          <w:rFonts w:hint="eastAsia" w:ascii="仿宋" w:hAnsi="仿宋" w:eastAsia="仿宋" w:cs="仿宋"/>
          <w:color w:val="auto"/>
          <w:highlight w:val="none"/>
        </w:rPr>
        <w:t>31.1中标结果在指定信息媒体上发布公告，</w:t>
      </w:r>
      <w:r>
        <w:rPr>
          <w:rFonts w:hint="eastAsia" w:ascii="仿宋" w:hAnsi="仿宋" w:eastAsia="仿宋" w:cs="仿宋"/>
          <w:color w:val="auto"/>
          <w:highlight w:val="none"/>
          <w:lang w:eastAsia="zh-CN"/>
        </w:rPr>
        <w:t>公告期限为1个工作日。</w:t>
      </w:r>
    </w:p>
    <w:p w14:paraId="70ABF066">
      <w:pPr>
        <w:spacing w:line="520" w:lineRule="exact"/>
        <w:ind w:firstLine="480"/>
        <w:rPr>
          <w:rFonts w:ascii="仿宋" w:hAnsi="仿宋" w:eastAsia="仿宋" w:cs="仿宋"/>
          <w:color w:val="auto"/>
          <w:highlight w:val="none"/>
        </w:rPr>
      </w:pPr>
      <w:r>
        <w:rPr>
          <w:rFonts w:hint="eastAsia" w:ascii="仿宋" w:hAnsi="仿宋" w:eastAsia="仿宋" w:cs="仿宋"/>
          <w:color w:val="auto"/>
          <w:highlight w:val="none"/>
          <w:lang w:val="en-US" w:eastAsia="zh-CN"/>
        </w:rPr>
        <w:t>31.2</w:t>
      </w:r>
      <w:r>
        <w:rPr>
          <w:rFonts w:hint="eastAsia" w:ascii="仿宋" w:hAnsi="仿宋" w:eastAsia="仿宋" w:cs="仿宋"/>
          <w:color w:val="auto"/>
          <w:highlight w:val="none"/>
        </w:rPr>
        <w:t>在公告中标结果的同时，</w:t>
      </w:r>
      <w:r>
        <w:rPr>
          <w:rFonts w:hint="eastAsia" w:ascii="仿宋" w:hAnsi="仿宋" w:eastAsia="仿宋" w:cs="仿宋"/>
          <w:color w:val="auto"/>
          <w:highlight w:val="none"/>
          <w:lang w:val="en-US" w:eastAsia="zh-CN"/>
        </w:rPr>
        <w:t>采购人或</w:t>
      </w:r>
      <w:r>
        <w:rPr>
          <w:rFonts w:hint="eastAsia" w:ascii="仿宋" w:hAnsi="仿宋" w:eastAsia="仿宋" w:cs="仿宋"/>
          <w:color w:val="auto"/>
          <w:highlight w:val="none"/>
        </w:rPr>
        <w:t>采购代理机构将向中标人发出中标通知书。</w:t>
      </w:r>
    </w:p>
    <w:p w14:paraId="0D2FF9B7">
      <w:pPr>
        <w:spacing w:line="520" w:lineRule="exact"/>
        <w:ind w:firstLine="480"/>
        <w:rPr>
          <w:rFonts w:ascii="仿宋" w:hAnsi="仿宋" w:eastAsia="仿宋" w:cs="仿宋"/>
          <w:color w:val="000000"/>
          <w:highlight w:val="none"/>
        </w:rPr>
      </w:pPr>
      <w:r>
        <w:rPr>
          <w:rFonts w:hint="eastAsia" w:ascii="仿宋" w:hAnsi="仿宋" w:eastAsia="仿宋" w:cs="仿宋"/>
          <w:color w:val="auto"/>
          <w:highlight w:val="none"/>
        </w:rPr>
        <w:t>31.</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中标人应及时领取中标通知书，中标通知书是签订合同的依据和组成部分。</w:t>
      </w:r>
    </w:p>
    <w:p w14:paraId="3FAC1F4E">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32</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签订合同</w:t>
      </w:r>
    </w:p>
    <w:p w14:paraId="1708DE06">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32.1中标人与采购人应当在中标通知书发出之日起30日内签订书面合同。中标通知书、招标文件、中标人的投标文件以及评标过程中有关澄清文件均作为合同附件。</w:t>
      </w:r>
    </w:p>
    <w:p w14:paraId="07F62223">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32.2中标人无正当理由未在规定时间内与采购人签订合同的，采购人有权建议取消其中标资格，监管部门将对其依法处理。</w:t>
      </w:r>
    </w:p>
    <w:p w14:paraId="72DB17A4">
      <w:pPr>
        <w:spacing w:line="520" w:lineRule="exact"/>
        <w:ind w:firstLine="482"/>
        <w:rPr>
          <w:rFonts w:ascii="仿宋" w:hAnsi="仿宋" w:eastAsia="仿宋" w:cs="仿宋"/>
          <w:b/>
          <w:color w:val="000000"/>
          <w:highlight w:val="none"/>
        </w:rPr>
      </w:pPr>
      <w:r>
        <w:rPr>
          <w:rFonts w:hint="eastAsia" w:ascii="仿宋" w:hAnsi="仿宋" w:eastAsia="仿宋" w:cs="仿宋"/>
          <w:b/>
          <w:color w:val="000000"/>
          <w:highlight w:val="none"/>
        </w:rPr>
        <w:t>33</w:t>
      </w:r>
      <w:r>
        <w:rPr>
          <w:rFonts w:hint="eastAsia" w:ascii="仿宋" w:hAnsi="仿宋" w:eastAsia="仿宋" w:cs="仿宋"/>
          <w:b/>
          <w:color w:val="000000"/>
          <w:highlight w:val="none"/>
          <w:lang w:val="en-US" w:eastAsia="zh-CN"/>
        </w:rPr>
        <w:t>.</w:t>
      </w:r>
      <w:r>
        <w:rPr>
          <w:rFonts w:hint="eastAsia" w:ascii="仿宋" w:hAnsi="仿宋" w:eastAsia="仿宋" w:cs="仿宋"/>
          <w:b/>
          <w:color w:val="000000"/>
          <w:highlight w:val="none"/>
        </w:rPr>
        <w:t>履约保证金</w:t>
      </w:r>
      <w:r>
        <w:rPr>
          <w:rFonts w:hint="eastAsia" w:ascii="仿宋" w:hAnsi="仿宋" w:eastAsia="仿宋" w:cs="仿宋"/>
          <w:b/>
          <w:color w:val="auto"/>
          <w:highlight w:val="none"/>
          <w:lang w:eastAsia="zh-CN"/>
        </w:rPr>
        <w:t>（</w:t>
      </w:r>
      <w:r>
        <w:rPr>
          <w:rFonts w:hint="eastAsia" w:ascii="仿宋" w:hAnsi="仿宋" w:eastAsia="仿宋" w:cs="仿宋"/>
          <w:b/>
          <w:color w:val="auto"/>
          <w:highlight w:val="none"/>
          <w:lang w:val="en-US" w:eastAsia="zh-CN"/>
        </w:rPr>
        <w:t>如适用</w:t>
      </w:r>
      <w:r>
        <w:rPr>
          <w:rFonts w:hint="eastAsia" w:ascii="仿宋" w:hAnsi="仿宋" w:eastAsia="仿宋" w:cs="仿宋"/>
          <w:b/>
          <w:color w:val="auto"/>
          <w:highlight w:val="none"/>
          <w:lang w:eastAsia="zh-CN"/>
        </w:rPr>
        <w:t>）</w:t>
      </w:r>
    </w:p>
    <w:p w14:paraId="6AFDBA8C">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详见投标人须知前附表。</w:t>
      </w:r>
    </w:p>
    <w:p w14:paraId="0FADA789">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33.1</w:t>
      </w:r>
      <w:r>
        <w:rPr>
          <w:rFonts w:hint="eastAsia" w:ascii="仿宋" w:hAnsi="仿宋" w:eastAsia="仿宋" w:cs="仿宋"/>
          <w:color w:val="auto"/>
          <w:highlight w:val="none"/>
        </w:rPr>
        <w:t>履约保证金应在采购合同签订前提交</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除银行电汇、网上银行、数字人民币外，投标人还可选用银行保函、担保公司的保证担保或保险公司的保证保险</w:t>
      </w:r>
      <w:r>
        <w:rPr>
          <w:rFonts w:hint="eastAsia" w:ascii="仿宋" w:hAnsi="仿宋" w:eastAsia="仿宋" w:cs="仿宋"/>
          <w:color w:val="auto"/>
          <w:highlight w:val="none"/>
          <w:lang w:eastAsia="zh-CN"/>
        </w:rPr>
        <w:t>等</w:t>
      </w:r>
      <w:r>
        <w:rPr>
          <w:rFonts w:hint="eastAsia" w:ascii="仿宋" w:hAnsi="仿宋" w:eastAsia="仿宋" w:cs="仿宋"/>
          <w:color w:val="auto"/>
          <w:highlight w:val="none"/>
        </w:rPr>
        <w:t>多种形式向采购人缴纳；</w:t>
      </w:r>
    </w:p>
    <w:p w14:paraId="6D7AE64D">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33.2</w:t>
      </w:r>
      <w:r>
        <w:rPr>
          <w:rFonts w:hint="eastAsia" w:ascii="仿宋" w:hAnsi="仿宋" w:eastAsia="仿宋" w:cs="仿宋"/>
          <w:color w:val="auto"/>
          <w:highlight w:val="none"/>
        </w:rPr>
        <w:t>履约保证金退还的方式：以银行电汇、网上银行、数字人民币形式缴纳履约保证金的，退回至投标人存款账户或投标人数字人民币账户；以保函、担保、保险等形式缴纳履约保证金的，在保函、担保、保险约定的保证期限届满之日起自行失效；</w:t>
      </w:r>
    </w:p>
    <w:p w14:paraId="4DB4361F">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33.3</w:t>
      </w:r>
      <w:r>
        <w:rPr>
          <w:rFonts w:hint="eastAsia" w:ascii="仿宋" w:hAnsi="仿宋" w:eastAsia="仿宋" w:cs="仿宋"/>
          <w:color w:val="auto"/>
          <w:highlight w:val="none"/>
        </w:rPr>
        <w:t>履约保证金退还的条件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按以下方式实行：</w:t>
      </w:r>
    </w:p>
    <w:p w14:paraId="63BC4AB0">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货物类项目，项目验收合格</w:t>
      </w:r>
      <w:r>
        <w:rPr>
          <w:rFonts w:hint="eastAsia" w:ascii="仿宋" w:hAnsi="仿宋" w:eastAsia="仿宋" w:cs="仿宋"/>
          <w:color w:val="auto"/>
          <w:highlight w:val="none"/>
          <w:lang w:val="en-US" w:eastAsia="zh-CN"/>
        </w:rPr>
        <w:t>且正常使用一年后</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收到</w:t>
      </w:r>
      <w:r>
        <w:rPr>
          <w:rFonts w:hint="eastAsia" w:ascii="仿宋" w:hAnsi="仿宋" w:eastAsia="仿宋" w:cs="仿宋"/>
          <w:color w:val="auto"/>
          <w:highlight w:val="none"/>
        </w:rPr>
        <w:t>履约保证金收据申请退付；</w:t>
      </w:r>
    </w:p>
    <w:p w14:paraId="4D35157E">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履约保证金退还时间：采购单位收到投标人退付申请后5个工作日内退还；</w:t>
      </w:r>
    </w:p>
    <w:p w14:paraId="14A43C6F">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履约保证金不予退还情形：除不可抗力外，投标人不履行与采购人订立的采购合同的，履约保证金不予退还，给采购人造成的损失超过履约保证金数额的，还应当对超过部分予以赔偿；</w:t>
      </w:r>
    </w:p>
    <w:p w14:paraId="70640FFB">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33.4</w:t>
      </w:r>
      <w:r>
        <w:rPr>
          <w:rFonts w:hint="eastAsia" w:ascii="仿宋" w:hAnsi="仿宋" w:eastAsia="仿宋" w:cs="仿宋"/>
          <w:color w:val="auto"/>
          <w:highlight w:val="none"/>
        </w:rPr>
        <w:t>逾期退还履约保证金的违约责任：除应当退还履约保证金外，还应当按中国人民银行同期贷款基准利率上浮 20％后的利率支付超期资金占用费，但因投标人自身原因导致无法及时退还的除外。</w:t>
      </w:r>
    </w:p>
    <w:p w14:paraId="07436B2D">
      <w:pPr>
        <w:spacing w:line="520" w:lineRule="exact"/>
        <w:ind w:firstLine="480"/>
        <w:rPr>
          <w:rFonts w:ascii="仿宋" w:hAnsi="仿宋" w:eastAsia="仿宋" w:cs="仿宋"/>
          <w:color w:val="000000"/>
          <w:highlight w:val="none"/>
        </w:rPr>
      </w:pPr>
      <w:r>
        <w:rPr>
          <w:rFonts w:hint="eastAsia" w:ascii="仿宋" w:hAnsi="仿宋" w:eastAsia="仿宋" w:cs="仿宋"/>
          <w:color w:val="auto"/>
          <w:highlight w:val="none"/>
          <w:lang w:val="en-US" w:eastAsia="zh-CN"/>
        </w:rPr>
        <w:t>33.5</w:t>
      </w:r>
      <w:r>
        <w:rPr>
          <w:rFonts w:hint="eastAsia" w:ascii="仿宋" w:hAnsi="仿宋" w:eastAsia="仿宋" w:cs="仿宋"/>
          <w:color w:val="auto"/>
          <w:highlight w:val="none"/>
        </w:rPr>
        <w:t>本项目支持和鼓励供应商使用江苏政府采购电子履约保函（保险）代替缴纳履约保证金。关于办理流程、偿付等内容详见江苏省政府采购网《关于在全省政府采购领域推行电子履约保函(保险) 的通知》 (苏财购﹝2023﹞150号)。</w:t>
      </w:r>
    </w:p>
    <w:p w14:paraId="67C9FF5D">
      <w:pPr>
        <w:pStyle w:val="286"/>
        <w:spacing w:line="520" w:lineRule="exact"/>
        <w:ind w:left="0"/>
        <w:rPr>
          <w:highlight w:val="none"/>
        </w:rPr>
      </w:pPr>
    </w:p>
    <w:p w14:paraId="4A1C22EA">
      <w:pPr>
        <w:pStyle w:val="205"/>
        <w:keepNext w:val="0"/>
        <w:keepLines w:val="0"/>
        <w:spacing w:before="0" w:after="0" w:line="520" w:lineRule="exact"/>
        <w:rPr>
          <w:highlight w:val="none"/>
        </w:rPr>
      </w:pPr>
      <w:bookmarkStart w:id="40" w:name="_Toc15475"/>
      <w:r>
        <w:rPr>
          <w:rFonts w:hint="eastAsia"/>
          <w:highlight w:val="none"/>
        </w:rPr>
        <w:t>八、验收及付款</w:t>
      </w:r>
      <w:bookmarkEnd w:id="40"/>
    </w:p>
    <w:p w14:paraId="7DBFAF0B">
      <w:pPr>
        <w:spacing w:line="520" w:lineRule="exact"/>
        <w:ind w:firstLine="482"/>
        <w:rPr>
          <w:rFonts w:ascii="仿宋" w:hAnsi="仿宋" w:eastAsia="仿宋" w:cs="仿宋"/>
          <w:b/>
          <w:highlight w:val="none"/>
        </w:rPr>
      </w:pPr>
      <w:r>
        <w:rPr>
          <w:rFonts w:hint="eastAsia" w:ascii="仿宋" w:hAnsi="仿宋" w:eastAsia="仿宋" w:cs="仿宋"/>
          <w:b/>
          <w:highlight w:val="none"/>
        </w:rPr>
        <w:t>34</w:t>
      </w:r>
      <w:r>
        <w:rPr>
          <w:rFonts w:hint="eastAsia" w:ascii="仿宋" w:hAnsi="仿宋" w:eastAsia="仿宋" w:cs="仿宋"/>
          <w:b/>
          <w:highlight w:val="none"/>
          <w:lang w:val="en-US" w:eastAsia="zh-CN"/>
        </w:rPr>
        <w:t>.</w:t>
      </w:r>
      <w:r>
        <w:rPr>
          <w:rFonts w:hint="eastAsia" w:ascii="仿宋" w:hAnsi="仿宋" w:eastAsia="仿宋" w:cs="仿宋"/>
          <w:b/>
          <w:highlight w:val="none"/>
        </w:rPr>
        <w:t>验收及付款</w:t>
      </w:r>
    </w:p>
    <w:p w14:paraId="73ACC20E">
      <w:pPr>
        <w:spacing w:line="520" w:lineRule="exact"/>
        <w:ind w:firstLine="480"/>
        <w:rPr>
          <w:rFonts w:hint="eastAsia" w:ascii="仿宋" w:hAnsi="仿宋" w:eastAsia="仿宋" w:cs="仿宋"/>
          <w:color w:val="000000"/>
          <w:highlight w:val="none"/>
          <w:lang w:eastAsia="zh-CN"/>
        </w:rPr>
      </w:pPr>
      <w:r>
        <w:rPr>
          <w:rFonts w:hint="eastAsia" w:ascii="仿宋" w:hAnsi="仿宋" w:eastAsia="仿宋" w:cs="仿宋"/>
          <w:color w:val="000000"/>
          <w:highlight w:val="none"/>
        </w:rPr>
        <w:t>34.1采购人或采购代理机构应当组成验收小组，验收人员应当按照约定的验收标准，对</w:t>
      </w:r>
      <w:r>
        <w:rPr>
          <w:rFonts w:hint="eastAsia" w:ascii="仿宋" w:hAnsi="仿宋" w:eastAsia="仿宋" w:cs="仿宋"/>
          <w:color w:val="000000"/>
          <w:highlight w:val="none"/>
          <w:lang w:eastAsia="zh-CN"/>
        </w:rPr>
        <w:t>投标人</w:t>
      </w:r>
      <w:r>
        <w:rPr>
          <w:rFonts w:hint="eastAsia" w:ascii="仿宋" w:hAnsi="仿宋" w:eastAsia="仿宋" w:cs="仿宋"/>
          <w:color w:val="000000"/>
          <w:highlight w:val="none"/>
        </w:rPr>
        <w:t>的履约情况开展验收。验收结束后，验收人员应当出具验收报告</w:t>
      </w:r>
      <w:r>
        <w:rPr>
          <w:rFonts w:hint="eastAsia" w:ascii="仿宋" w:hAnsi="仿宋" w:eastAsia="仿宋" w:cs="仿宋"/>
          <w:color w:val="000000"/>
          <w:highlight w:val="none"/>
          <w:lang w:eastAsia="zh-CN"/>
        </w:rPr>
        <w:t>。</w:t>
      </w:r>
    </w:p>
    <w:p w14:paraId="0845204A">
      <w:pPr>
        <w:spacing w:line="520" w:lineRule="exact"/>
        <w:ind w:firstLine="480"/>
        <w:rPr>
          <w:rFonts w:ascii="仿宋" w:hAnsi="仿宋" w:eastAsia="仿宋" w:cs="仿宋"/>
          <w:color w:val="000000"/>
          <w:highlight w:val="none"/>
        </w:rPr>
      </w:pPr>
      <w:r>
        <w:rPr>
          <w:rFonts w:hint="eastAsia" w:ascii="仿宋" w:hAnsi="仿宋" w:eastAsia="仿宋" w:cs="仿宋"/>
          <w:color w:val="000000"/>
          <w:highlight w:val="none"/>
        </w:rPr>
        <w:t>34.2按照招标文件和合同约定的付款方式，采购人及时办理付款手续</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 xml:space="preserve"> </w:t>
      </w:r>
    </w:p>
    <w:p w14:paraId="0733621F">
      <w:pPr>
        <w:spacing w:line="520" w:lineRule="exact"/>
        <w:ind w:firstLine="480"/>
        <w:rPr>
          <w:rFonts w:hint="eastAsia" w:ascii="仿宋" w:hAnsi="仿宋" w:eastAsia="仿宋" w:cs="仿宋"/>
          <w:color w:val="auto"/>
          <w:highlight w:val="none"/>
        </w:rPr>
      </w:pPr>
      <w:bookmarkStart w:id="41" w:name="EB120ac03ab710494bb42e662066a04c8d"/>
      <w:r>
        <w:rPr>
          <w:rFonts w:hint="eastAsia" w:ascii="仿宋" w:hAnsi="仿宋" w:eastAsia="仿宋" w:cs="仿宋"/>
          <w:color w:val="auto"/>
          <w:highlight w:val="none"/>
        </w:rPr>
        <w:t>34.3 政府采购合同履行中，需追加与合同标的相同的货物</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包含与货物相关的服务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的，在不改变价格水平、合同及其他条款的前提下，采购人可以与中标人协商签订补充合同，但所有补充合同的采购金额不得超过原合同采购金额的百分之十。</w:t>
      </w:r>
    </w:p>
    <w:p w14:paraId="7349051F">
      <w:pPr>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34.4</w:t>
      </w:r>
      <w:r>
        <w:rPr>
          <w:rFonts w:hint="eastAsia" w:ascii="仿宋" w:hAnsi="仿宋" w:eastAsia="仿宋" w:cs="仿宋"/>
          <w:color w:val="auto"/>
          <w:highlight w:val="none"/>
        </w:rPr>
        <w:t>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FFBE905">
      <w:pPr>
        <w:spacing w:line="520" w:lineRule="exact"/>
        <w:ind w:firstLine="480"/>
        <w:rPr>
          <w:rFonts w:ascii="仿宋_GB2312" w:eastAsia="仿宋_GB2312"/>
          <w:highlight w:val="none"/>
        </w:rPr>
      </w:pPr>
      <w:r>
        <w:rPr>
          <w:rFonts w:hint="eastAsia" w:ascii="仿宋_GB2312" w:hAnsi="宋体" w:eastAsia="仿宋_GB2312"/>
          <w:color w:val="0000FF"/>
          <w:highlight w:val="none"/>
        </w:rPr>
        <w:t xml:space="preserve"> </w:t>
      </w:r>
      <w:bookmarkEnd w:id="41"/>
      <w:bookmarkStart w:id="42" w:name="EB3dfb2d4b0d1a4c49b19eebbcbcf2070f"/>
      <w:r>
        <w:rPr>
          <w:rFonts w:hint="eastAsia" w:ascii="仿宋_GB2312" w:eastAsia="仿宋_GB2312"/>
          <w:color w:val="000080"/>
          <w:sz w:val="20"/>
          <w:highlight w:val="none"/>
        </w:rPr>
        <w:t xml:space="preserve"> </w:t>
      </w:r>
      <w:bookmarkEnd w:id="42"/>
      <w:bookmarkStart w:id="43" w:name="EBd8825445671b41caa2ae06e4240964e2"/>
      <w:r>
        <w:rPr>
          <w:rFonts w:hint="eastAsia" w:ascii="仿宋_GB2312" w:eastAsia="仿宋_GB2312"/>
          <w:color w:val="000080"/>
          <w:sz w:val="20"/>
          <w:highlight w:val="none"/>
        </w:rPr>
        <w:t xml:space="preserve"> </w:t>
      </w:r>
      <w:bookmarkEnd w:id="43"/>
      <w:bookmarkStart w:id="44" w:name="EBb2af26a7e37c4a4e85e6f11d4b1f7485"/>
      <w:r>
        <w:rPr>
          <w:rFonts w:hint="eastAsia" w:ascii="仿宋_GB2312" w:eastAsia="仿宋_GB2312"/>
          <w:color w:val="000080"/>
          <w:sz w:val="20"/>
          <w:highlight w:val="none"/>
        </w:rPr>
        <w:t xml:space="preserve"> </w:t>
      </w:r>
      <w:bookmarkEnd w:id="44"/>
    </w:p>
    <w:p w14:paraId="274319DC">
      <w:pPr>
        <w:pStyle w:val="205"/>
        <w:keepNext w:val="0"/>
        <w:keepLines w:val="0"/>
        <w:spacing w:before="0" w:after="0" w:line="520" w:lineRule="exact"/>
        <w:rPr>
          <w:highlight w:val="none"/>
        </w:rPr>
      </w:pPr>
      <w:bookmarkStart w:id="45" w:name="_Toc20991"/>
      <w:r>
        <w:rPr>
          <w:rFonts w:hint="eastAsia"/>
          <w:highlight w:val="none"/>
        </w:rPr>
        <w:t>九、质疑与投诉</w:t>
      </w:r>
      <w:bookmarkEnd w:id="45"/>
    </w:p>
    <w:p w14:paraId="7B5CB94D">
      <w:pPr>
        <w:spacing w:line="520" w:lineRule="exact"/>
        <w:ind w:firstLine="480"/>
        <w:rPr>
          <w:rFonts w:ascii="仿宋" w:hAnsi="仿宋" w:eastAsia="仿宋" w:cs="仿宋"/>
          <w:b/>
          <w:highlight w:val="none"/>
        </w:rPr>
      </w:pPr>
      <w:r>
        <w:rPr>
          <w:rFonts w:hint="eastAsia" w:ascii="仿宋" w:hAnsi="仿宋" w:eastAsia="仿宋" w:cs="仿宋"/>
          <w:b/>
          <w:highlight w:val="none"/>
        </w:rPr>
        <w:t>35</w:t>
      </w:r>
      <w:r>
        <w:rPr>
          <w:rFonts w:hint="eastAsia" w:ascii="仿宋" w:hAnsi="仿宋" w:eastAsia="仿宋" w:cs="仿宋"/>
          <w:b/>
          <w:highlight w:val="none"/>
          <w:lang w:val="en-US" w:eastAsia="zh-CN"/>
        </w:rPr>
        <w:t>.</w:t>
      </w:r>
      <w:r>
        <w:rPr>
          <w:rFonts w:hint="eastAsia" w:ascii="仿宋" w:hAnsi="仿宋" w:eastAsia="仿宋" w:cs="仿宋"/>
          <w:b/>
          <w:highlight w:val="none"/>
        </w:rPr>
        <w:t>质疑与投诉</w:t>
      </w:r>
    </w:p>
    <w:p w14:paraId="33C20692">
      <w:pPr>
        <w:spacing w:line="520" w:lineRule="exact"/>
        <w:ind w:firstLine="480"/>
        <w:rPr>
          <w:rFonts w:ascii="仿宋" w:hAnsi="仿宋" w:eastAsia="仿宋" w:cs="仿宋"/>
          <w:highlight w:val="none"/>
        </w:rPr>
      </w:pPr>
      <w:r>
        <w:rPr>
          <w:rFonts w:hint="eastAsia" w:ascii="仿宋" w:hAnsi="仿宋" w:eastAsia="仿宋" w:cs="仿宋"/>
          <w:highlight w:val="none"/>
        </w:rPr>
        <w:t>35.1</w:t>
      </w:r>
      <w:r>
        <w:rPr>
          <w:rFonts w:hint="eastAsia" w:ascii="仿宋" w:hAnsi="仿宋" w:eastAsia="仿宋" w:cs="仿宋"/>
          <w:highlight w:val="none"/>
          <w:lang w:eastAsia="zh-CN"/>
        </w:rPr>
        <w:t>投标人</w:t>
      </w:r>
      <w:r>
        <w:rPr>
          <w:rFonts w:hint="eastAsia" w:ascii="仿宋" w:hAnsi="仿宋" w:eastAsia="仿宋" w:cs="仿宋"/>
          <w:highlight w:val="none"/>
        </w:rPr>
        <w:t>认为招标文件、采购过程和中标结果使自己的权益受到损害的，可以在知道或者应知其权益受到损害之日起七个工作日内（具体起算时间见35.2），以书面形式向采购人或者其委托的采购代理机构提出质疑。质疑超出采购机构代理范围的，</w:t>
      </w:r>
      <w:r>
        <w:rPr>
          <w:rFonts w:hint="eastAsia" w:ascii="仿宋" w:hAnsi="仿宋" w:eastAsia="仿宋" w:cs="仿宋"/>
          <w:highlight w:val="none"/>
          <w:lang w:eastAsia="zh-CN"/>
        </w:rPr>
        <w:t>投标人</w:t>
      </w:r>
      <w:r>
        <w:rPr>
          <w:rFonts w:hint="eastAsia" w:ascii="仿宋" w:hAnsi="仿宋" w:eastAsia="仿宋" w:cs="仿宋"/>
          <w:highlight w:val="none"/>
        </w:rPr>
        <w:t>应当向采购人提出。</w:t>
      </w:r>
    </w:p>
    <w:p w14:paraId="13CFDB0E">
      <w:pPr>
        <w:spacing w:line="520" w:lineRule="exact"/>
        <w:ind w:firstLine="480"/>
        <w:rPr>
          <w:rFonts w:ascii="仿宋" w:hAnsi="仿宋" w:eastAsia="仿宋" w:cs="仿宋"/>
          <w:highlight w:val="none"/>
        </w:rPr>
      </w:pPr>
      <w:r>
        <w:rPr>
          <w:rFonts w:hint="eastAsia" w:ascii="仿宋" w:hAnsi="仿宋" w:eastAsia="仿宋" w:cs="仿宋"/>
          <w:highlight w:val="none"/>
        </w:rPr>
        <w:t>本项目接收质疑函的方式：</w:t>
      </w:r>
      <w:bookmarkStart w:id="46" w:name="EBf7accddeb64e419786dca6f2920f0c2c"/>
      <w:r>
        <w:rPr>
          <w:rFonts w:hint="eastAsia" w:ascii="仿宋" w:hAnsi="仿宋" w:eastAsia="仿宋" w:cs="仿宋"/>
          <w:color w:val="0000FF"/>
          <w:highlight w:val="none"/>
        </w:rPr>
        <w:t xml:space="preserve"> </w:t>
      </w:r>
      <w:bookmarkEnd w:id="46"/>
    </w:p>
    <w:p w14:paraId="2E173204">
      <w:pPr>
        <w:spacing w:line="520" w:lineRule="exact"/>
        <w:ind w:firstLine="480"/>
        <w:rPr>
          <w:rFonts w:ascii="仿宋" w:hAnsi="仿宋" w:eastAsia="仿宋" w:cs="仿宋"/>
          <w:highlight w:val="none"/>
        </w:rPr>
      </w:pPr>
      <w:r>
        <w:rPr>
          <w:rFonts w:hint="eastAsia" w:ascii="仿宋" w:hAnsi="仿宋" w:eastAsia="仿宋" w:cs="仿宋"/>
          <w:highlight w:val="none"/>
        </w:rPr>
        <w:t>联系人：万晗晓</w:t>
      </w:r>
    </w:p>
    <w:p w14:paraId="75105125">
      <w:pPr>
        <w:spacing w:line="520" w:lineRule="exact"/>
        <w:ind w:firstLine="480"/>
        <w:rPr>
          <w:rFonts w:ascii="仿宋" w:hAnsi="仿宋" w:eastAsia="仿宋" w:cs="仿宋"/>
          <w:highlight w:val="none"/>
        </w:rPr>
      </w:pPr>
      <w:r>
        <w:rPr>
          <w:rFonts w:hint="eastAsia" w:ascii="仿宋" w:hAnsi="仿宋" w:eastAsia="仿宋" w:cs="仿宋"/>
          <w:highlight w:val="none"/>
        </w:rPr>
        <w:t>联系电话：025-85507079</w:t>
      </w:r>
    </w:p>
    <w:p w14:paraId="65E8BDC3">
      <w:pPr>
        <w:spacing w:line="520" w:lineRule="exact"/>
        <w:ind w:firstLine="480"/>
        <w:rPr>
          <w:rFonts w:ascii="仿宋" w:hAnsi="仿宋" w:eastAsia="仿宋" w:cs="仿宋"/>
          <w:highlight w:val="none"/>
        </w:rPr>
      </w:pPr>
      <w:r>
        <w:rPr>
          <w:rFonts w:hint="eastAsia" w:ascii="仿宋" w:hAnsi="仿宋" w:eastAsia="仿宋" w:cs="仿宋"/>
          <w:highlight w:val="none"/>
        </w:rPr>
        <w:t>通讯地址：南京市中山南路414号投资大厦A层（13层）C室</w:t>
      </w:r>
    </w:p>
    <w:p w14:paraId="40B6553C">
      <w:pPr>
        <w:spacing w:line="520" w:lineRule="exact"/>
        <w:ind w:firstLine="480"/>
        <w:rPr>
          <w:rFonts w:ascii="仿宋" w:hAnsi="仿宋" w:eastAsia="仿宋" w:cs="仿宋"/>
          <w:highlight w:val="none"/>
        </w:rPr>
      </w:pPr>
      <w:r>
        <w:rPr>
          <w:rFonts w:hint="eastAsia" w:ascii="仿宋" w:hAnsi="仿宋" w:eastAsia="仿宋" w:cs="仿宋"/>
          <w:highlight w:val="none"/>
        </w:rPr>
        <w:t>35.2</w:t>
      </w:r>
      <w:r>
        <w:rPr>
          <w:rFonts w:hint="eastAsia" w:ascii="仿宋" w:hAnsi="仿宋" w:eastAsia="仿宋" w:cs="仿宋"/>
          <w:highlight w:val="none"/>
          <w:lang w:eastAsia="zh-CN"/>
        </w:rPr>
        <w:t>投标人</w:t>
      </w:r>
      <w:r>
        <w:rPr>
          <w:rFonts w:hint="eastAsia" w:ascii="仿宋" w:hAnsi="仿宋" w:eastAsia="仿宋" w:cs="仿宋"/>
          <w:highlight w:val="none"/>
        </w:rPr>
        <w:t>应知其权益受到损害之日，是指：</w:t>
      </w:r>
    </w:p>
    <w:p w14:paraId="0C98FB62">
      <w:pPr>
        <w:spacing w:line="520" w:lineRule="exact"/>
        <w:ind w:firstLine="480"/>
        <w:rPr>
          <w:rFonts w:ascii="仿宋" w:hAnsi="仿宋" w:eastAsia="仿宋" w:cs="仿宋"/>
          <w:highlight w:val="none"/>
        </w:rPr>
      </w:pPr>
      <w:r>
        <w:rPr>
          <w:rFonts w:hint="eastAsia" w:ascii="仿宋" w:hAnsi="仿宋" w:eastAsia="仿宋" w:cs="仿宋"/>
          <w:highlight w:val="none"/>
        </w:rPr>
        <w:t>（1）对本项目招标文件提出质疑的，为获取招标文件之日或者招标文件公告期限届满之日；</w:t>
      </w:r>
    </w:p>
    <w:p w14:paraId="4DFC17F0">
      <w:pPr>
        <w:spacing w:line="520" w:lineRule="exact"/>
        <w:ind w:firstLine="480"/>
        <w:rPr>
          <w:rFonts w:ascii="仿宋" w:hAnsi="仿宋" w:eastAsia="仿宋" w:cs="仿宋"/>
          <w:highlight w:val="none"/>
        </w:rPr>
      </w:pPr>
      <w:r>
        <w:rPr>
          <w:rFonts w:hint="eastAsia" w:ascii="仿宋" w:hAnsi="仿宋" w:eastAsia="仿宋" w:cs="仿宋"/>
          <w:highlight w:val="none"/>
        </w:rPr>
        <w:t>（2）对本项目采购过程提出质疑的，为各采购程序环节结束之日；</w:t>
      </w:r>
    </w:p>
    <w:p w14:paraId="5DBA513C">
      <w:pPr>
        <w:spacing w:line="520" w:lineRule="exact"/>
        <w:ind w:firstLine="480"/>
        <w:rPr>
          <w:rFonts w:ascii="仿宋" w:hAnsi="仿宋" w:eastAsia="仿宋" w:cs="仿宋"/>
          <w:highlight w:val="none"/>
        </w:rPr>
      </w:pPr>
      <w:r>
        <w:rPr>
          <w:rFonts w:hint="eastAsia" w:ascii="仿宋" w:hAnsi="仿宋" w:eastAsia="仿宋" w:cs="仿宋"/>
          <w:highlight w:val="none"/>
        </w:rPr>
        <w:t>（3）对本项目中标或者成交结果提出质疑的，为中标或者成交结果公告期限届满之日。</w:t>
      </w:r>
    </w:p>
    <w:p w14:paraId="74FEF0A3">
      <w:pPr>
        <w:spacing w:line="520" w:lineRule="exact"/>
        <w:ind w:firstLine="480"/>
        <w:rPr>
          <w:rFonts w:ascii="仿宋" w:hAnsi="仿宋" w:eastAsia="仿宋" w:cs="仿宋"/>
          <w:highlight w:val="none"/>
        </w:rPr>
      </w:pPr>
      <w:r>
        <w:rPr>
          <w:rFonts w:hint="eastAsia" w:ascii="仿宋" w:hAnsi="仿宋" w:eastAsia="仿宋" w:cs="仿宋"/>
          <w:highlight w:val="none"/>
        </w:rPr>
        <w:t>35.3 质疑</w:t>
      </w:r>
      <w:r>
        <w:rPr>
          <w:rFonts w:hint="eastAsia" w:ascii="仿宋" w:hAnsi="仿宋" w:eastAsia="仿宋" w:cs="仿宋"/>
          <w:highlight w:val="none"/>
          <w:lang w:eastAsia="zh-CN"/>
        </w:rPr>
        <w:t>投标人</w:t>
      </w:r>
      <w:r>
        <w:rPr>
          <w:rFonts w:hint="eastAsia" w:ascii="仿宋" w:hAnsi="仿宋" w:eastAsia="仿宋" w:cs="仿宋"/>
          <w:highlight w:val="none"/>
        </w:rPr>
        <w:t>应当是参与所质疑项目采购活动的</w:t>
      </w:r>
      <w:r>
        <w:rPr>
          <w:rFonts w:hint="eastAsia" w:ascii="仿宋" w:hAnsi="仿宋" w:eastAsia="仿宋" w:cs="仿宋"/>
          <w:highlight w:val="none"/>
          <w:lang w:eastAsia="zh-CN"/>
        </w:rPr>
        <w:t>投标人</w:t>
      </w:r>
      <w:r>
        <w:rPr>
          <w:rFonts w:hint="eastAsia" w:ascii="仿宋" w:hAnsi="仿宋" w:eastAsia="仿宋" w:cs="仿宋"/>
          <w:highlight w:val="none"/>
        </w:rPr>
        <w:t>。潜在</w:t>
      </w:r>
      <w:r>
        <w:rPr>
          <w:rFonts w:hint="eastAsia" w:ascii="仿宋" w:hAnsi="仿宋" w:eastAsia="仿宋" w:cs="仿宋"/>
          <w:highlight w:val="none"/>
          <w:lang w:eastAsia="zh-CN"/>
        </w:rPr>
        <w:t>投标人</w:t>
      </w:r>
      <w:r>
        <w:rPr>
          <w:rFonts w:hint="eastAsia" w:ascii="仿宋" w:hAnsi="仿宋" w:eastAsia="仿宋" w:cs="仿宋"/>
          <w:highlight w:val="none"/>
        </w:rPr>
        <w:t>已依法获取其可质疑的招标文件的，方可对该文件提出质疑。</w:t>
      </w:r>
      <w:r>
        <w:rPr>
          <w:rFonts w:hint="eastAsia" w:ascii="仿宋" w:hAnsi="仿宋" w:eastAsia="仿宋" w:cs="仿宋"/>
          <w:highlight w:val="none"/>
          <w:lang w:eastAsia="zh-CN"/>
        </w:rPr>
        <w:t>投标人</w:t>
      </w:r>
      <w:r>
        <w:rPr>
          <w:rFonts w:hint="eastAsia" w:ascii="仿宋" w:hAnsi="仿宋" w:eastAsia="仿宋" w:cs="仿宋"/>
          <w:highlight w:val="none"/>
        </w:rPr>
        <w:t>在法定质疑期内应一次性提出针对同一采购程序环节的质疑。</w:t>
      </w:r>
    </w:p>
    <w:p w14:paraId="42E5D933">
      <w:pPr>
        <w:spacing w:line="520" w:lineRule="exact"/>
        <w:ind w:firstLine="480"/>
        <w:rPr>
          <w:rFonts w:ascii="仿宋" w:hAnsi="仿宋" w:eastAsia="仿宋" w:cs="仿宋"/>
          <w:highlight w:val="none"/>
        </w:rPr>
      </w:pPr>
      <w:r>
        <w:rPr>
          <w:rFonts w:hint="eastAsia" w:ascii="仿宋" w:hAnsi="仿宋" w:eastAsia="仿宋" w:cs="仿宋"/>
          <w:highlight w:val="none"/>
        </w:rPr>
        <w:t>35.4</w:t>
      </w:r>
      <w:r>
        <w:rPr>
          <w:rFonts w:hint="eastAsia" w:ascii="仿宋" w:hAnsi="仿宋" w:eastAsia="仿宋" w:cs="仿宋"/>
          <w:highlight w:val="none"/>
          <w:lang w:eastAsia="zh-CN"/>
        </w:rPr>
        <w:t>投标人</w:t>
      </w:r>
      <w:r>
        <w:rPr>
          <w:rFonts w:hint="eastAsia" w:ascii="仿宋" w:hAnsi="仿宋" w:eastAsia="仿宋" w:cs="仿宋"/>
          <w:highlight w:val="none"/>
        </w:rPr>
        <w:t>提出质疑应当提交质疑函和必要的证明材料。质疑函的必备内容：</w:t>
      </w:r>
    </w:p>
    <w:p w14:paraId="1B961C6D">
      <w:pPr>
        <w:spacing w:line="520" w:lineRule="exact"/>
        <w:ind w:firstLine="480"/>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eastAsia="zh-CN"/>
        </w:rPr>
        <w:t>投标人</w:t>
      </w:r>
      <w:r>
        <w:rPr>
          <w:rFonts w:hint="eastAsia" w:ascii="仿宋" w:hAnsi="仿宋" w:eastAsia="仿宋" w:cs="仿宋"/>
          <w:highlight w:val="none"/>
        </w:rPr>
        <w:t>的姓名或者名称、地址、邮编、联系人及联系电话；</w:t>
      </w:r>
    </w:p>
    <w:p w14:paraId="106AAC1F">
      <w:pPr>
        <w:spacing w:line="520" w:lineRule="exact"/>
        <w:ind w:firstLine="480"/>
        <w:rPr>
          <w:rFonts w:ascii="仿宋" w:hAnsi="仿宋" w:eastAsia="仿宋" w:cs="仿宋"/>
          <w:highlight w:val="none"/>
        </w:rPr>
      </w:pPr>
      <w:r>
        <w:rPr>
          <w:rFonts w:hint="eastAsia" w:ascii="仿宋" w:hAnsi="仿宋" w:eastAsia="仿宋" w:cs="仿宋"/>
          <w:highlight w:val="none"/>
        </w:rPr>
        <w:t>（2）质疑项目的名称、编号；</w:t>
      </w:r>
    </w:p>
    <w:p w14:paraId="37C9115A">
      <w:pPr>
        <w:spacing w:line="520" w:lineRule="exact"/>
        <w:ind w:firstLine="480"/>
        <w:rPr>
          <w:rFonts w:ascii="仿宋" w:hAnsi="仿宋" w:eastAsia="仿宋" w:cs="仿宋"/>
          <w:highlight w:val="none"/>
        </w:rPr>
      </w:pPr>
      <w:r>
        <w:rPr>
          <w:rFonts w:hint="eastAsia" w:ascii="仿宋" w:hAnsi="仿宋" w:eastAsia="仿宋" w:cs="仿宋"/>
          <w:highlight w:val="none"/>
        </w:rPr>
        <w:t>（3）获取招标文件的时间；</w:t>
      </w:r>
    </w:p>
    <w:p w14:paraId="059273B9">
      <w:pPr>
        <w:spacing w:line="520" w:lineRule="exact"/>
        <w:ind w:firstLine="480"/>
        <w:rPr>
          <w:rFonts w:ascii="仿宋" w:hAnsi="仿宋" w:eastAsia="仿宋" w:cs="仿宋"/>
          <w:highlight w:val="none"/>
        </w:rPr>
      </w:pPr>
      <w:r>
        <w:rPr>
          <w:rFonts w:hint="eastAsia" w:ascii="仿宋" w:hAnsi="仿宋" w:eastAsia="仿宋" w:cs="仿宋"/>
          <w:highlight w:val="none"/>
        </w:rPr>
        <w:t>（4）具体、明确的质疑事项和质疑事项相关的请求；</w:t>
      </w:r>
    </w:p>
    <w:p w14:paraId="455A1F80">
      <w:pPr>
        <w:spacing w:line="520" w:lineRule="exact"/>
        <w:ind w:firstLine="480"/>
        <w:rPr>
          <w:rFonts w:ascii="仿宋" w:hAnsi="仿宋" w:eastAsia="仿宋" w:cs="仿宋"/>
          <w:highlight w:val="none"/>
        </w:rPr>
      </w:pPr>
      <w:r>
        <w:rPr>
          <w:rFonts w:hint="eastAsia" w:ascii="仿宋" w:hAnsi="仿宋" w:eastAsia="仿宋" w:cs="仿宋"/>
          <w:highlight w:val="none"/>
        </w:rPr>
        <w:t>（5）事实依据；</w:t>
      </w:r>
    </w:p>
    <w:p w14:paraId="239E2E00">
      <w:pPr>
        <w:spacing w:line="520" w:lineRule="exact"/>
        <w:ind w:firstLine="480"/>
        <w:rPr>
          <w:rFonts w:ascii="仿宋" w:hAnsi="仿宋" w:eastAsia="仿宋" w:cs="仿宋"/>
          <w:highlight w:val="none"/>
        </w:rPr>
      </w:pPr>
      <w:r>
        <w:rPr>
          <w:rFonts w:hint="eastAsia" w:ascii="仿宋" w:hAnsi="仿宋" w:eastAsia="仿宋" w:cs="仿宋"/>
          <w:highlight w:val="none"/>
        </w:rPr>
        <w:t>（6）必要的法律依据；</w:t>
      </w:r>
    </w:p>
    <w:p w14:paraId="494B1AAD">
      <w:pPr>
        <w:spacing w:line="520" w:lineRule="exact"/>
        <w:ind w:firstLine="480"/>
        <w:rPr>
          <w:rFonts w:ascii="仿宋" w:hAnsi="仿宋" w:eastAsia="仿宋" w:cs="仿宋"/>
          <w:highlight w:val="none"/>
        </w:rPr>
      </w:pPr>
      <w:r>
        <w:rPr>
          <w:rFonts w:hint="eastAsia" w:ascii="仿宋" w:hAnsi="仿宋" w:eastAsia="仿宋" w:cs="仿宋"/>
          <w:highlight w:val="none"/>
        </w:rPr>
        <w:t>（7）提出质疑的日期；</w:t>
      </w:r>
    </w:p>
    <w:p w14:paraId="1E5AAC32">
      <w:pPr>
        <w:spacing w:line="520" w:lineRule="exact"/>
        <w:ind w:firstLine="480"/>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eastAsia="zh-CN"/>
        </w:rPr>
        <w:t>投标人</w:t>
      </w:r>
      <w:r>
        <w:rPr>
          <w:rFonts w:hint="eastAsia" w:ascii="仿宋" w:hAnsi="仿宋" w:eastAsia="仿宋" w:cs="仿宋"/>
          <w:highlight w:val="none"/>
        </w:rPr>
        <w:t>为自然人的，由本人签字；</w:t>
      </w:r>
      <w:r>
        <w:rPr>
          <w:rFonts w:hint="eastAsia" w:ascii="仿宋" w:hAnsi="仿宋" w:eastAsia="仿宋" w:cs="仿宋"/>
          <w:highlight w:val="none"/>
          <w:lang w:eastAsia="zh-CN"/>
        </w:rPr>
        <w:t>投标人</w:t>
      </w:r>
      <w:r>
        <w:rPr>
          <w:rFonts w:hint="eastAsia" w:ascii="仿宋" w:hAnsi="仿宋" w:eastAsia="仿宋" w:cs="仿宋"/>
          <w:highlight w:val="none"/>
        </w:rPr>
        <w:t>为法人或者其他组织的，应当由法定代表人、主要负责人，或者其授权代表签字或者盖章，并加盖公章。</w:t>
      </w:r>
    </w:p>
    <w:p w14:paraId="149EBC5C">
      <w:pPr>
        <w:spacing w:line="520" w:lineRule="exact"/>
        <w:ind w:firstLine="480"/>
        <w:rPr>
          <w:rFonts w:ascii="仿宋" w:hAnsi="仿宋" w:eastAsia="仿宋" w:cs="仿宋"/>
          <w:highlight w:val="none"/>
        </w:rPr>
      </w:pPr>
      <w:r>
        <w:rPr>
          <w:rFonts w:hint="eastAsia" w:ascii="仿宋" w:hAnsi="仿宋" w:eastAsia="仿宋" w:cs="仿宋"/>
          <w:highlight w:val="none"/>
        </w:rPr>
        <w:t>（9）</w:t>
      </w:r>
      <w:r>
        <w:rPr>
          <w:rFonts w:hint="eastAsia" w:ascii="仿宋" w:hAnsi="仿宋" w:eastAsia="仿宋" w:cs="仿宋"/>
          <w:highlight w:val="none"/>
          <w:lang w:eastAsia="zh-CN"/>
        </w:rPr>
        <w:t>投标人</w:t>
      </w:r>
      <w:r>
        <w:rPr>
          <w:rFonts w:hint="eastAsia" w:ascii="仿宋" w:hAnsi="仿宋" w:eastAsia="仿宋" w:cs="仿宋"/>
          <w:highlight w:val="none"/>
        </w:rPr>
        <w:t>委托代理人进行质疑的，代理人同时应当提交</w:t>
      </w:r>
      <w:r>
        <w:rPr>
          <w:rFonts w:hint="eastAsia" w:ascii="仿宋" w:hAnsi="仿宋" w:eastAsia="仿宋" w:cs="仿宋"/>
          <w:highlight w:val="none"/>
          <w:lang w:eastAsia="zh-CN"/>
        </w:rPr>
        <w:t>投标人</w:t>
      </w:r>
      <w:r>
        <w:rPr>
          <w:rFonts w:hint="eastAsia" w:ascii="仿宋" w:hAnsi="仿宋" w:eastAsia="仿宋" w:cs="仿宋"/>
          <w:highlight w:val="none"/>
        </w:rPr>
        <w:t>签署的授权委托书。授权委托书载明代理人的姓名或者名称、代理事项、具体权限、期限和相关事项。</w:t>
      </w:r>
      <w:r>
        <w:rPr>
          <w:rFonts w:hint="eastAsia" w:ascii="仿宋" w:hAnsi="仿宋" w:eastAsia="仿宋" w:cs="仿宋"/>
          <w:highlight w:val="none"/>
          <w:lang w:eastAsia="zh-CN"/>
        </w:rPr>
        <w:t>投标人</w:t>
      </w:r>
      <w:r>
        <w:rPr>
          <w:rFonts w:hint="eastAsia" w:ascii="仿宋" w:hAnsi="仿宋" w:eastAsia="仿宋" w:cs="仿宋"/>
          <w:highlight w:val="none"/>
        </w:rPr>
        <w:t>为自然人的，授权委托书应当由本人签字；</w:t>
      </w:r>
      <w:r>
        <w:rPr>
          <w:rFonts w:hint="eastAsia" w:ascii="仿宋" w:hAnsi="仿宋" w:eastAsia="仿宋" w:cs="仿宋"/>
          <w:highlight w:val="none"/>
          <w:lang w:eastAsia="zh-CN"/>
        </w:rPr>
        <w:t>投标人</w:t>
      </w:r>
      <w:r>
        <w:rPr>
          <w:rFonts w:hint="eastAsia" w:ascii="仿宋" w:hAnsi="仿宋" w:eastAsia="仿宋" w:cs="仿宋"/>
          <w:highlight w:val="none"/>
        </w:rPr>
        <w:t>为法人或者其他组织的，授权委托书应当由法定代表人、主要负责人签字或者盖章，并加盖单位公章。</w:t>
      </w:r>
    </w:p>
    <w:p w14:paraId="265C8663">
      <w:pPr>
        <w:spacing w:line="520" w:lineRule="exact"/>
        <w:ind w:firstLine="480"/>
        <w:rPr>
          <w:rFonts w:ascii="仿宋" w:hAnsi="仿宋" w:eastAsia="仿宋" w:cs="仿宋"/>
          <w:highlight w:val="none"/>
        </w:rPr>
      </w:pPr>
      <w:r>
        <w:rPr>
          <w:rFonts w:hint="eastAsia" w:ascii="仿宋" w:hAnsi="仿宋" w:eastAsia="仿宋" w:cs="仿宋"/>
          <w:highlight w:val="none"/>
        </w:rPr>
        <w:t>35.5采购人、采购代理机构在收到质疑函后7个工作日内作出答复，并以书面形式通知质疑</w:t>
      </w:r>
      <w:r>
        <w:rPr>
          <w:rFonts w:hint="eastAsia" w:ascii="仿宋" w:hAnsi="仿宋" w:eastAsia="仿宋" w:cs="仿宋"/>
          <w:highlight w:val="none"/>
          <w:lang w:eastAsia="zh-CN"/>
        </w:rPr>
        <w:t>投标人</w:t>
      </w:r>
      <w:r>
        <w:rPr>
          <w:rFonts w:hint="eastAsia" w:ascii="仿宋" w:hAnsi="仿宋" w:eastAsia="仿宋" w:cs="仿宋"/>
          <w:highlight w:val="none"/>
        </w:rPr>
        <w:t>和其他有关</w:t>
      </w:r>
      <w:r>
        <w:rPr>
          <w:rFonts w:hint="eastAsia" w:ascii="仿宋" w:hAnsi="仿宋" w:eastAsia="仿宋" w:cs="仿宋"/>
          <w:highlight w:val="none"/>
          <w:lang w:eastAsia="zh-CN"/>
        </w:rPr>
        <w:t>投标人</w:t>
      </w:r>
      <w:r>
        <w:rPr>
          <w:rFonts w:hint="eastAsia" w:ascii="仿宋" w:hAnsi="仿宋" w:eastAsia="仿宋" w:cs="仿宋"/>
          <w:highlight w:val="none"/>
        </w:rPr>
        <w:t>，但质疑答复的内容不涉及商业秘密。</w:t>
      </w:r>
    </w:p>
    <w:p w14:paraId="683F0E3D">
      <w:pPr>
        <w:spacing w:line="520" w:lineRule="exact"/>
        <w:ind w:firstLine="480"/>
        <w:rPr>
          <w:rFonts w:hint="eastAsia" w:ascii="仿宋" w:hAnsi="仿宋" w:eastAsia="仿宋" w:cs="仿宋"/>
          <w:highlight w:val="none"/>
        </w:rPr>
      </w:pPr>
      <w:r>
        <w:rPr>
          <w:rFonts w:hint="eastAsia" w:ascii="仿宋" w:hAnsi="仿宋" w:eastAsia="仿宋" w:cs="仿宋"/>
          <w:highlight w:val="none"/>
        </w:rPr>
        <w:t>35.6质疑</w:t>
      </w:r>
      <w:r>
        <w:rPr>
          <w:rFonts w:hint="eastAsia" w:ascii="仿宋" w:hAnsi="仿宋" w:eastAsia="仿宋" w:cs="仿宋"/>
          <w:highlight w:val="none"/>
          <w:lang w:eastAsia="zh-CN"/>
        </w:rPr>
        <w:t>投标人</w:t>
      </w:r>
      <w:r>
        <w:rPr>
          <w:rFonts w:hint="eastAsia" w:ascii="仿宋" w:hAnsi="仿宋" w:eastAsia="仿宋" w:cs="仿宋"/>
          <w:highlight w:val="none"/>
        </w:rPr>
        <w:t>对采购人、采购代理机构的答复不满意，或者采购人、采购代理机构未在规定时间内作出答复的，可以在答复期满后15个工作日内向《政府采购质疑和投诉办法》第六条规定的财政部门提起投诉。</w:t>
      </w:r>
    </w:p>
    <w:p w14:paraId="313310E5">
      <w:pPr>
        <w:spacing w:line="520" w:lineRule="exact"/>
        <w:ind w:firstLine="480"/>
        <w:rPr>
          <w:rFonts w:hint="eastAsia" w:ascii="仿宋" w:hAnsi="仿宋" w:eastAsia="仿宋" w:cs="仿宋"/>
          <w:highlight w:val="none"/>
        </w:rPr>
      </w:pPr>
      <w:r>
        <w:rPr>
          <w:rFonts w:hint="eastAsia" w:ascii="仿宋" w:hAnsi="仿宋" w:eastAsia="仿宋" w:cs="仿宋"/>
          <w:highlight w:val="none"/>
        </w:rPr>
        <w:t>35.7投标人在全国范围12个月内三次以上投诉查无实据的，由财政部门列入不良行为记录名单。</w:t>
      </w:r>
    </w:p>
    <w:p w14:paraId="2B556D02">
      <w:pPr>
        <w:spacing w:line="520" w:lineRule="exact"/>
        <w:ind w:firstLine="480"/>
        <w:rPr>
          <w:rFonts w:hint="eastAsia" w:ascii="仿宋" w:hAnsi="仿宋" w:eastAsia="仿宋" w:cs="仿宋"/>
          <w:highlight w:val="none"/>
        </w:rPr>
      </w:pPr>
      <w:r>
        <w:rPr>
          <w:rFonts w:hint="eastAsia" w:ascii="仿宋" w:hAnsi="仿宋" w:eastAsia="仿宋" w:cs="仿宋"/>
          <w:highlight w:val="none"/>
        </w:rPr>
        <w:t>35.8投标人有下列行为之一的，属于虚假、恶意投诉，由财政部门列入不良行为记录名单，禁止其1至3年内参加政府采购活动：</w:t>
      </w:r>
    </w:p>
    <w:p w14:paraId="2FC180BE">
      <w:pPr>
        <w:spacing w:line="520" w:lineRule="exact"/>
        <w:ind w:firstLine="480"/>
        <w:rPr>
          <w:rFonts w:hint="eastAsia" w:ascii="仿宋" w:hAnsi="仿宋" w:eastAsia="仿宋" w:cs="仿宋"/>
          <w:highlight w:val="none"/>
        </w:rPr>
      </w:pPr>
      <w:r>
        <w:rPr>
          <w:rFonts w:hint="eastAsia" w:ascii="仿宋" w:hAnsi="仿宋" w:eastAsia="仿宋" w:cs="仿宋"/>
          <w:highlight w:val="none"/>
        </w:rPr>
        <w:t>（一）捏造事实;</w:t>
      </w:r>
    </w:p>
    <w:p w14:paraId="7B060C7D">
      <w:pPr>
        <w:spacing w:line="520" w:lineRule="exact"/>
        <w:ind w:firstLine="480"/>
        <w:rPr>
          <w:rFonts w:hint="eastAsia" w:ascii="仿宋" w:hAnsi="仿宋" w:eastAsia="仿宋" w:cs="仿宋"/>
          <w:highlight w:val="none"/>
        </w:rPr>
      </w:pPr>
      <w:r>
        <w:rPr>
          <w:rFonts w:hint="eastAsia" w:ascii="仿宋" w:hAnsi="仿宋" w:eastAsia="仿宋" w:cs="仿宋"/>
          <w:highlight w:val="none"/>
        </w:rPr>
        <w:t>（二）提供虚假材料;</w:t>
      </w:r>
    </w:p>
    <w:p w14:paraId="041C1D18">
      <w:pPr>
        <w:spacing w:line="520" w:lineRule="exact"/>
        <w:ind w:firstLine="480"/>
        <w:rPr>
          <w:rFonts w:hint="eastAsia" w:ascii="仿宋" w:hAnsi="仿宋" w:eastAsia="仿宋" w:cs="仿宋"/>
          <w:highlight w:val="none"/>
        </w:rPr>
      </w:pPr>
      <w:r>
        <w:rPr>
          <w:rFonts w:hint="eastAsia" w:ascii="仿宋" w:hAnsi="仿宋" w:eastAsia="仿宋" w:cs="仿宋"/>
          <w:highlight w:val="none"/>
        </w:rPr>
        <w:t>（三）以非法手段取得证明材料。证据来源的合法性存在明显疑问，投标人无法证明其取得方式合法的，视为以非法手段取得证明材料。</w:t>
      </w:r>
    </w:p>
    <w:p w14:paraId="1F299BD0">
      <w:pPr>
        <w:pStyle w:val="234"/>
        <w:spacing w:line="520" w:lineRule="exact"/>
        <w:rPr>
          <w:highlight w:val="none"/>
        </w:rPr>
      </w:pPr>
    </w:p>
    <w:p w14:paraId="61A0F90C">
      <w:pPr>
        <w:pStyle w:val="205"/>
        <w:keepNext w:val="0"/>
        <w:keepLines w:val="0"/>
        <w:spacing w:before="160" w:after="160" w:line="520" w:lineRule="exact"/>
        <w:rPr>
          <w:highlight w:val="none"/>
        </w:rPr>
      </w:pPr>
      <w:r>
        <w:rPr>
          <w:rFonts w:hint="eastAsia"/>
          <w:highlight w:val="none"/>
        </w:rPr>
        <w:t>十、政府采购政策落实</w:t>
      </w:r>
    </w:p>
    <w:p w14:paraId="2750A986">
      <w:pPr>
        <w:spacing w:line="520" w:lineRule="exact"/>
        <w:ind w:firstLine="480"/>
        <w:rPr>
          <w:rFonts w:ascii="仿宋" w:hAnsi="仿宋" w:eastAsia="仿宋" w:cs="仿宋"/>
          <w:highlight w:val="none"/>
        </w:rPr>
      </w:pPr>
      <w:r>
        <w:rPr>
          <w:rFonts w:hint="eastAsia" w:ascii="仿宋" w:hAnsi="仿宋" w:eastAsia="仿宋" w:cs="仿宋"/>
          <w:highlight w:val="none"/>
        </w:rPr>
        <w:t>37</w:t>
      </w:r>
      <w:r>
        <w:rPr>
          <w:rFonts w:hint="eastAsia" w:ascii="仿宋" w:hAnsi="仿宋" w:eastAsia="仿宋" w:cs="仿宋"/>
          <w:highlight w:val="none"/>
          <w:lang w:val="en-US" w:eastAsia="zh-CN"/>
        </w:rPr>
        <w:t>.</w:t>
      </w:r>
      <w:r>
        <w:rPr>
          <w:rFonts w:hint="eastAsia" w:ascii="仿宋" w:hAnsi="仿宋" w:eastAsia="仿宋" w:cs="仿宋"/>
          <w:highlight w:val="none"/>
        </w:rPr>
        <w:t>中小企业、监狱和戒毒企业及残疾人福利性单位</w:t>
      </w:r>
    </w:p>
    <w:p w14:paraId="00D772CE">
      <w:pPr>
        <w:spacing w:line="520" w:lineRule="exact"/>
        <w:ind w:firstLine="480"/>
        <w:rPr>
          <w:rFonts w:ascii="仿宋" w:hAnsi="仿宋" w:eastAsia="仿宋" w:cs="仿宋"/>
          <w:highlight w:val="none"/>
        </w:rPr>
      </w:pPr>
      <w:r>
        <w:rPr>
          <w:rFonts w:hint="eastAsia" w:ascii="仿宋" w:hAnsi="仿宋" w:eastAsia="仿宋" w:cs="仿宋"/>
          <w:highlight w:val="none"/>
        </w:rPr>
        <w:t>37.1 政府采购促进中小企业发展，在政府采购活动中，</w:t>
      </w:r>
      <w:r>
        <w:rPr>
          <w:rFonts w:hint="eastAsia" w:ascii="仿宋" w:hAnsi="仿宋" w:eastAsia="仿宋" w:cs="仿宋"/>
          <w:highlight w:val="none"/>
          <w:lang w:eastAsia="zh-CN"/>
        </w:rPr>
        <w:t>投标人</w:t>
      </w:r>
      <w:r>
        <w:rPr>
          <w:rFonts w:hint="eastAsia" w:ascii="仿宋" w:hAnsi="仿宋" w:eastAsia="仿宋" w:cs="仿宋"/>
          <w:highlight w:val="none"/>
        </w:rPr>
        <w:t>提供的货物、工程或者服务符合下列情形的，享受中小企业扶持政策：</w:t>
      </w:r>
    </w:p>
    <w:p w14:paraId="2F212F57">
      <w:pPr>
        <w:spacing w:line="520" w:lineRule="exact"/>
        <w:ind w:firstLine="480"/>
        <w:rPr>
          <w:rFonts w:ascii="仿宋" w:hAnsi="仿宋" w:eastAsia="仿宋" w:cs="仿宋"/>
          <w:highlight w:val="none"/>
        </w:rPr>
      </w:pPr>
      <w:r>
        <w:rPr>
          <w:rFonts w:hint="eastAsia" w:ascii="仿宋" w:hAnsi="仿宋" w:eastAsia="仿宋" w:cs="仿宋"/>
          <w:highlight w:val="none"/>
        </w:rPr>
        <w:t>（1）在货物采购项目中，货物由中小企业制造，即货物由中小企业生产且使用该中小企业商号或者注册商标；</w:t>
      </w:r>
    </w:p>
    <w:p w14:paraId="3003F327">
      <w:pPr>
        <w:spacing w:line="520" w:lineRule="exact"/>
        <w:ind w:firstLine="480"/>
        <w:rPr>
          <w:rFonts w:ascii="仿宋" w:hAnsi="仿宋" w:eastAsia="仿宋" w:cs="仿宋"/>
          <w:highlight w:val="none"/>
        </w:rPr>
      </w:pPr>
      <w:r>
        <w:rPr>
          <w:rFonts w:hint="eastAsia" w:ascii="仿宋" w:hAnsi="仿宋" w:eastAsia="仿宋" w:cs="仿宋"/>
          <w:highlight w:val="none"/>
        </w:rPr>
        <w:t>（2）在工程采购项目中，工程由中小企业承建，即工程施工单位为中小企业；</w:t>
      </w:r>
    </w:p>
    <w:p w14:paraId="45F3B0CF">
      <w:pPr>
        <w:spacing w:line="520" w:lineRule="exact"/>
        <w:ind w:firstLine="480"/>
        <w:rPr>
          <w:rFonts w:ascii="仿宋" w:hAnsi="仿宋" w:eastAsia="仿宋" w:cs="仿宋"/>
          <w:highlight w:val="none"/>
        </w:rPr>
      </w:pPr>
      <w:r>
        <w:rPr>
          <w:rFonts w:hint="eastAsia" w:ascii="仿宋" w:hAnsi="仿宋" w:eastAsia="仿宋" w:cs="仿宋"/>
          <w:highlight w:val="none"/>
        </w:rPr>
        <w:t>（3）在服务采购项目中，服务由中小企业承接，即提供服务的人员为中小企业依照《中华人民共和国劳动合同法》订立劳动合同的从业人员。</w:t>
      </w:r>
    </w:p>
    <w:p w14:paraId="0420E43D">
      <w:pPr>
        <w:spacing w:line="520" w:lineRule="exact"/>
        <w:ind w:firstLine="480"/>
        <w:rPr>
          <w:rFonts w:ascii="仿宋" w:hAnsi="仿宋" w:eastAsia="仿宋" w:cs="仿宋"/>
          <w:highlight w:val="none"/>
        </w:rPr>
      </w:pPr>
      <w:r>
        <w:rPr>
          <w:rFonts w:hint="eastAsia" w:ascii="仿宋" w:hAnsi="仿宋" w:eastAsia="仿宋" w:cs="仿宋"/>
          <w:highlight w:val="none"/>
        </w:rPr>
        <w:t>在货物采购项目中，</w:t>
      </w:r>
      <w:r>
        <w:rPr>
          <w:rFonts w:hint="eastAsia" w:ascii="仿宋" w:hAnsi="仿宋" w:eastAsia="仿宋" w:cs="仿宋"/>
          <w:highlight w:val="none"/>
          <w:lang w:eastAsia="zh-CN"/>
        </w:rPr>
        <w:t>投标人</w:t>
      </w:r>
      <w:r>
        <w:rPr>
          <w:rFonts w:hint="eastAsia" w:ascii="仿宋" w:hAnsi="仿宋" w:eastAsia="仿宋" w:cs="仿宋"/>
          <w:highlight w:val="none"/>
        </w:rPr>
        <w:t>提供的货物既有中小企业制造货物，也有大型企业制造货物的，不享受中小企业扶持政策。</w:t>
      </w:r>
    </w:p>
    <w:p w14:paraId="6FE216B5">
      <w:pPr>
        <w:spacing w:line="520" w:lineRule="exact"/>
        <w:ind w:firstLine="480"/>
        <w:rPr>
          <w:rFonts w:ascii="仿宋" w:hAnsi="仿宋" w:eastAsia="仿宋" w:cs="仿宋"/>
          <w:highlight w:val="none"/>
        </w:rPr>
      </w:pPr>
      <w:r>
        <w:rPr>
          <w:rFonts w:hint="eastAsia" w:ascii="仿宋" w:hAnsi="仿宋" w:eastAsia="仿宋" w:cs="仿宋"/>
          <w:highlight w:val="none"/>
        </w:rPr>
        <w:t>以联合体形式参加政府采购活动，联合体各方均为中小企业的，联合体视同中小企业。其中，联合体各方均为小微企业的，联合体视同小微企业。</w:t>
      </w:r>
    </w:p>
    <w:p w14:paraId="7A234FD2">
      <w:pPr>
        <w:spacing w:line="520" w:lineRule="exact"/>
        <w:ind w:firstLine="480"/>
        <w:rPr>
          <w:rFonts w:ascii="仿宋" w:hAnsi="仿宋" w:eastAsia="仿宋" w:cs="仿宋"/>
          <w:highlight w:val="none"/>
        </w:rPr>
      </w:pPr>
      <w:r>
        <w:rPr>
          <w:rFonts w:hint="eastAsia" w:ascii="仿宋" w:hAnsi="仿宋" w:eastAsia="仿宋" w:cs="仿宋"/>
          <w:highlight w:val="none"/>
        </w:rPr>
        <w:t>中小企业</w:t>
      </w:r>
      <w:r>
        <w:rPr>
          <w:rFonts w:hint="eastAsia" w:ascii="仿宋" w:hAnsi="仿宋" w:eastAsia="仿宋" w:cs="仿宋"/>
          <w:highlight w:val="none"/>
          <w:lang w:eastAsia="zh-CN"/>
        </w:rPr>
        <w:t>投标人</w:t>
      </w:r>
      <w:r>
        <w:rPr>
          <w:rFonts w:hint="eastAsia" w:ascii="仿宋" w:hAnsi="仿宋" w:eastAsia="仿宋" w:cs="仿宋"/>
          <w:highlight w:val="none"/>
        </w:rPr>
        <w:t>参加政府采购活动，应当出具《中小企业声明函》（格式见后附件），否则不得享受相关中小企业扶持政策。</w:t>
      </w:r>
    </w:p>
    <w:p w14:paraId="4005DBE1">
      <w:pPr>
        <w:spacing w:line="520" w:lineRule="exact"/>
        <w:ind w:firstLine="480"/>
        <w:rPr>
          <w:rFonts w:ascii="仿宋" w:hAnsi="仿宋" w:eastAsia="仿宋" w:cs="仿宋"/>
          <w:highlight w:val="none"/>
        </w:rPr>
      </w:pPr>
      <w:r>
        <w:rPr>
          <w:rFonts w:hint="eastAsia" w:ascii="仿宋" w:hAnsi="仿宋" w:eastAsia="仿宋" w:cs="仿宋"/>
          <w:highlight w:val="none"/>
        </w:rPr>
        <w:t>中小企业，是指在中华人民共和国境内依法设立，依据国务院批准的中小企业划分标准（详见《关于印发中小企业划型标准规定的通知》</w:t>
      </w:r>
    </w:p>
    <w:p w14:paraId="5E5E5647">
      <w:pPr>
        <w:spacing w:line="520" w:lineRule="exact"/>
        <w:ind w:firstLine="480"/>
        <w:rPr>
          <w:rFonts w:ascii="仿宋" w:hAnsi="仿宋" w:eastAsia="仿宋" w:cs="仿宋"/>
          <w:highlight w:val="none"/>
        </w:rPr>
      </w:pPr>
      <w:r>
        <w:rPr>
          <w:rFonts w:hint="eastAsia" w:ascii="仿宋" w:hAnsi="仿宋" w:eastAsia="仿宋" w:cs="仿宋"/>
          <w:highlight w:val="none"/>
        </w:rPr>
        <w:t>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2EDC19B7">
      <w:pPr>
        <w:spacing w:line="520" w:lineRule="exact"/>
        <w:ind w:firstLine="480"/>
        <w:rPr>
          <w:rFonts w:ascii="仿宋" w:hAnsi="仿宋" w:eastAsia="仿宋" w:cs="仿宋"/>
          <w:highlight w:val="none"/>
        </w:rPr>
      </w:pPr>
      <w:r>
        <w:rPr>
          <w:rFonts w:hint="eastAsia" w:ascii="仿宋" w:hAnsi="仿宋" w:eastAsia="仿宋" w:cs="仿宋"/>
          <w:highlight w:val="none"/>
        </w:rPr>
        <w:t>37.2 政府采购支持监狱和戒毒企业发展政策，监狱和戒毒企业提供的产品和服务在评标时将获得优势，参加</w:t>
      </w:r>
      <w:r>
        <w:rPr>
          <w:rFonts w:hint="eastAsia" w:ascii="仿宋" w:hAnsi="仿宋" w:eastAsia="仿宋" w:cs="仿宋"/>
          <w:highlight w:val="none"/>
          <w:lang w:val="en-US" w:eastAsia="zh-CN"/>
        </w:rPr>
        <w:t>公开招标</w:t>
      </w:r>
      <w:r>
        <w:rPr>
          <w:rFonts w:hint="eastAsia" w:ascii="仿宋" w:hAnsi="仿宋" w:eastAsia="仿宋" w:cs="仿宋"/>
          <w:highlight w:val="none"/>
        </w:rPr>
        <w:t>的监狱和戒毒企业，应当提供由省级以上监狱管理局、戒毒管理局（含新疆生产建设兵团）出具的属于监狱企业的证明文件，监狱和戒毒企业享受政府采购支持政策的要求详见财库〔2014〕68号。</w:t>
      </w:r>
    </w:p>
    <w:p w14:paraId="7F6AC7CD">
      <w:pPr>
        <w:spacing w:line="520" w:lineRule="exact"/>
        <w:ind w:firstLine="480"/>
        <w:rPr>
          <w:rFonts w:ascii="仿宋" w:hAnsi="仿宋" w:eastAsia="仿宋" w:cs="仿宋"/>
          <w:highlight w:val="none"/>
        </w:rPr>
      </w:pPr>
      <w:r>
        <w:rPr>
          <w:rFonts w:hint="eastAsia" w:ascii="仿宋" w:hAnsi="仿宋" w:eastAsia="仿宋" w:cs="仿宋"/>
          <w:highlight w:val="none"/>
        </w:rPr>
        <w:t>37.3 政府采购促进残疾人就业政策，残疾人福利性单位提供的产品和服务在评标时将获得优势，参加</w:t>
      </w:r>
      <w:r>
        <w:rPr>
          <w:rFonts w:hint="eastAsia" w:ascii="仿宋" w:hAnsi="仿宋" w:eastAsia="仿宋" w:cs="仿宋"/>
          <w:highlight w:val="none"/>
          <w:lang w:val="en-US" w:eastAsia="zh-CN"/>
        </w:rPr>
        <w:t>公开招标</w:t>
      </w:r>
      <w:r>
        <w:rPr>
          <w:rFonts w:hint="eastAsia" w:ascii="仿宋" w:hAnsi="仿宋" w:eastAsia="仿宋" w:cs="仿宋"/>
          <w:highlight w:val="none"/>
        </w:rPr>
        <w:t>的残疾人福利性单位，应当提供《残疾人福利性单位声明函》，残疾人福利性单位享受政府采购支持政策的要求详见财库〔2017〕141号。</w:t>
      </w:r>
    </w:p>
    <w:p w14:paraId="6FB84A18">
      <w:pPr>
        <w:spacing w:line="520" w:lineRule="exact"/>
        <w:ind w:firstLine="480"/>
        <w:rPr>
          <w:rFonts w:ascii="仿宋" w:hAnsi="仿宋" w:eastAsia="仿宋" w:cs="仿宋"/>
          <w:highlight w:val="none"/>
        </w:rPr>
      </w:pPr>
      <w:r>
        <w:rPr>
          <w:rFonts w:hint="eastAsia" w:ascii="仿宋" w:hAnsi="仿宋" w:eastAsia="仿宋" w:cs="仿宋"/>
          <w:highlight w:val="none"/>
        </w:rPr>
        <w:t>注：①参加</w:t>
      </w:r>
      <w:r>
        <w:rPr>
          <w:rFonts w:hint="eastAsia" w:ascii="仿宋" w:hAnsi="仿宋" w:eastAsia="仿宋" w:cs="仿宋"/>
          <w:highlight w:val="none"/>
          <w:lang w:val="en-US" w:eastAsia="zh-CN"/>
        </w:rPr>
        <w:t>公开招标</w:t>
      </w:r>
      <w:r>
        <w:rPr>
          <w:rFonts w:hint="eastAsia" w:ascii="仿宋" w:hAnsi="仿宋" w:eastAsia="仿宋" w:cs="仿宋"/>
          <w:highlight w:val="none"/>
        </w:rPr>
        <w:t>的中小企业，应当按照《政府采购促进中小企业发展管理办法》（财库〔2020〕46号）规定，出具《中小企业声明函》，否则不得享受相关中小企业扶持政策。</w:t>
      </w:r>
    </w:p>
    <w:p w14:paraId="0CA1ED29">
      <w:pPr>
        <w:spacing w:line="520" w:lineRule="exact"/>
        <w:ind w:firstLine="480"/>
        <w:rPr>
          <w:rFonts w:ascii="仿宋" w:hAnsi="仿宋" w:eastAsia="仿宋" w:cs="仿宋"/>
          <w:highlight w:val="none"/>
        </w:rPr>
      </w:pPr>
      <w:r>
        <w:rPr>
          <w:rFonts w:hint="eastAsia" w:ascii="仿宋" w:hAnsi="仿宋" w:eastAsia="仿宋" w:cs="仿宋"/>
          <w:highlight w:val="none"/>
        </w:rPr>
        <w:t>②参加</w:t>
      </w:r>
      <w:r>
        <w:rPr>
          <w:rFonts w:hint="eastAsia" w:ascii="仿宋" w:hAnsi="仿宋" w:eastAsia="仿宋" w:cs="仿宋"/>
          <w:highlight w:val="none"/>
          <w:lang w:val="en-US" w:eastAsia="zh-CN"/>
        </w:rPr>
        <w:t>公开招标</w:t>
      </w:r>
      <w:r>
        <w:rPr>
          <w:rFonts w:hint="eastAsia" w:ascii="仿宋" w:hAnsi="仿宋" w:eastAsia="仿宋" w:cs="仿宋"/>
          <w:highlight w:val="none"/>
        </w:rPr>
        <w:t>的监狱企业，视同小型、微型企业。监狱企业应当按照《财政部 司法部关于政府采购支持监狱企业发展有关问题的通知》（财库〔2014〕68号）的规定，提供由省级以上监狱管理局、戒毒管理局(含新疆生产建设兵团)出具的属于监狱企业的证明文件（</w:t>
      </w:r>
      <w:r>
        <w:rPr>
          <w:rFonts w:hint="eastAsia" w:ascii="仿宋" w:hAnsi="仿宋" w:eastAsia="仿宋" w:cs="仿宋"/>
          <w:highlight w:val="none"/>
          <w:lang w:eastAsia="zh-CN"/>
        </w:rPr>
        <w:t>响应文件</w:t>
      </w:r>
      <w:r>
        <w:rPr>
          <w:rFonts w:hint="eastAsia" w:ascii="仿宋" w:hAnsi="仿宋" w:eastAsia="仿宋" w:cs="仿宋"/>
          <w:highlight w:val="none"/>
        </w:rPr>
        <w:t>中上传加盖出具单位公章的电子件）。</w:t>
      </w:r>
    </w:p>
    <w:p w14:paraId="75F62A49">
      <w:pPr>
        <w:spacing w:line="520" w:lineRule="exact"/>
        <w:ind w:firstLine="480"/>
        <w:rPr>
          <w:rFonts w:ascii="仿宋" w:hAnsi="仿宋" w:eastAsia="仿宋" w:cs="仿宋"/>
          <w:highlight w:val="none"/>
        </w:rPr>
      </w:pPr>
      <w:r>
        <w:rPr>
          <w:rFonts w:hint="eastAsia" w:ascii="仿宋" w:hAnsi="仿宋" w:eastAsia="仿宋" w:cs="仿宋"/>
          <w:highlight w:val="none"/>
        </w:rPr>
        <w:t>③参加</w:t>
      </w:r>
      <w:r>
        <w:rPr>
          <w:rFonts w:hint="eastAsia" w:ascii="仿宋" w:hAnsi="仿宋" w:eastAsia="仿宋" w:cs="仿宋"/>
          <w:highlight w:val="none"/>
          <w:lang w:val="en-US" w:eastAsia="zh-CN"/>
        </w:rPr>
        <w:t>公开招标</w:t>
      </w:r>
      <w:r>
        <w:rPr>
          <w:rFonts w:hint="eastAsia" w:ascii="仿宋" w:hAnsi="仿宋" w:eastAsia="仿宋" w:cs="仿宋"/>
          <w:highlight w:val="none"/>
        </w:rPr>
        <w:t>的残疾人福利性单位，视同小型、微型企业。残疾人福利性单位应当按照《财政部 民政部 中国残疾人联合会关于促进残疾人就业政府采购政策的通知》（财库〔2017〕141号）的规定，提供《残疾人福利性单位声明函》。</w:t>
      </w:r>
    </w:p>
    <w:p w14:paraId="71AD427C">
      <w:pPr>
        <w:spacing w:line="520" w:lineRule="exact"/>
        <w:ind w:firstLine="480"/>
        <w:rPr>
          <w:rFonts w:ascii="仿宋" w:hAnsi="仿宋" w:eastAsia="仿宋" w:cs="仿宋"/>
          <w:highlight w:val="none"/>
        </w:rPr>
      </w:pPr>
      <w:r>
        <w:rPr>
          <w:rFonts w:hint="eastAsia" w:ascii="仿宋" w:hAnsi="仿宋" w:eastAsia="仿宋" w:cs="仿宋"/>
          <w:highlight w:val="none"/>
        </w:rPr>
        <w:t>④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仿宋" w:hAnsi="仿宋" w:eastAsia="仿宋" w:cs="仿宋"/>
          <w:highlight w:val="none"/>
          <w:lang w:val="en-US" w:eastAsia="zh-CN"/>
        </w:rPr>
        <w:t>4%</w:t>
      </w:r>
      <w:r>
        <w:rPr>
          <w:rFonts w:hint="eastAsia" w:ascii="仿宋" w:hAnsi="仿宋" w:eastAsia="仿宋" w:cs="仿宋"/>
          <w:highlight w:val="none"/>
        </w:rPr>
        <w:t>的扣除，用扣除后的价格参加评审。（是否接受联合体以</w:t>
      </w:r>
      <w:r>
        <w:rPr>
          <w:rFonts w:hint="eastAsia" w:ascii="仿宋" w:hAnsi="仿宋" w:eastAsia="仿宋" w:cs="仿宋"/>
          <w:highlight w:val="none"/>
          <w:lang w:val="en-US" w:eastAsia="zh-CN"/>
        </w:rPr>
        <w:t>招标</w:t>
      </w:r>
      <w:r>
        <w:rPr>
          <w:rFonts w:hint="eastAsia" w:ascii="仿宋" w:hAnsi="仿宋" w:eastAsia="仿宋" w:cs="仿宋"/>
          <w:highlight w:val="none"/>
          <w:lang w:eastAsia="zh-CN"/>
        </w:rPr>
        <w:t>文件</w:t>
      </w:r>
      <w:r>
        <w:rPr>
          <w:rFonts w:hint="eastAsia" w:ascii="仿宋" w:hAnsi="仿宋" w:eastAsia="仿宋" w:cs="仿宋"/>
          <w:highlight w:val="none"/>
        </w:rPr>
        <w:t>中相关内容为准，是否允许大中型企业向一家或者多家小微企业分包以</w:t>
      </w:r>
      <w:r>
        <w:rPr>
          <w:rFonts w:hint="eastAsia" w:ascii="仿宋" w:hAnsi="仿宋" w:eastAsia="仿宋" w:cs="仿宋"/>
          <w:highlight w:val="none"/>
          <w:lang w:val="en-US" w:eastAsia="zh-CN"/>
        </w:rPr>
        <w:t>招标</w:t>
      </w:r>
      <w:r>
        <w:rPr>
          <w:rFonts w:hint="eastAsia" w:ascii="仿宋" w:hAnsi="仿宋" w:eastAsia="仿宋" w:cs="仿宋"/>
          <w:highlight w:val="none"/>
          <w:lang w:eastAsia="zh-CN"/>
        </w:rPr>
        <w:t>文件</w:t>
      </w:r>
      <w:r>
        <w:rPr>
          <w:rFonts w:hint="eastAsia" w:ascii="仿宋" w:hAnsi="仿宋" w:eastAsia="仿宋" w:cs="仿宋"/>
          <w:highlight w:val="none"/>
        </w:rPr>
        <w:t>中相关内容为准。）</w:t>
      </w:r>
    </w:p>
    <w:p w14:paraId="00B176A1">
      <w:pPr>
        <w:spacing w:line="520" w:lineRule="exact"/>
        <w:ind w:firstLine="480"/>
        <w:rPr>
          <w:rFonts w:ascii="仿宋" w:hAnsi="仿宋" w:eastAsia="仿宋" w:cs="仿宋"/>
          <w:highlight w:val="none"/>
        </w:rPr>
      </w:pPr>
      <w:r>
        <w:rPr>
          <w:rFonts w:hint="eastAsia" w:ascii="仿宋" w:hAnsi="仿宋" w:eastAsia="仿宋" w:cs="仿宋"/>
          <w:highlight w:val="none"/>
          <w:lang w:val="en-US" w:eastAsia="zh-CN"/>
        </w:rPr>
        <w:t>⑤</w:t>
      </w:r>
      <w:r>
        <w:rPr>
          <w:rFonts w:hint="eastAsia" w:ascii="仿宋" w:hAnsi="仿宋" w:eastAsia="仿宋" w:cs="仿宋"/>
          <w:highlight w:val="none"/>
        </w:rPr>
        <w:t>工信部联企业〔2011〕300号及《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38E9720C">
      <w:pPr>
        <w:spacing w:line="520" w:lineRule="exact"/>
        <w:ind w:firstLine="482"/>
        <w:rPr>
          <w:rFonts w:ascii="仿宋" w:hAnsi="仿宋" w:eastAsia="仿宋" w:cs="仿宋"/>
          <w:b/>
          <w:bCs/>
          <w:highlight w:val="none"/>
        </w:rPr>
      </w:pPr>
      <w:r>
        <w:rPr>
          <w:rFonts w:hint="eastAsia" w:ascii="仿宋" w:hAnsi="仿宋" w:eastAsia="仿宋" w:cs="仿宋"/>
          <w:b/>
          <w:bCs/>
          <w:highlight w:val="none"/>
        </w:rPr>
        <w:t>注：未按要求提供相关材料的，不享受相关政策。</w:t>
      </w:r>
    </w:p>
    <w:p w14:paraId="7013297D">
      <w:pPr>
        <w:pStyle w:val="205"/>
        <w:keepNext w:val="0"/>
        <w:keepLines w:val="0"/>
        <w:spacing w:before="0" w:after="0" w:line="520" w:lineRule="exact"/>
        <w:outlineLvl w:val="9"/>
        <w:rPr>
          <w:rFonts w:hint="eastAsia"/>
          <w:highlight w:val="none"/>
        </w:rPr>
      </w:pPr>
      <w:bookmarkStart w:id="47" w:name="_Toc23826"/>
    </w:p>
    <w:p w14:paraId="13055063">
      <w:pPr>
        <w:pStyle w:val="205"/>
        <w:keepNext w:val="0"/>
        <w:keepLines w:val="0"/>
        <w:spacing w:before="0" w:after="0" w:line="520" w:lineRule="exact"/>
        <w:rPr>
          <w:highlight w:val="none"/>
        </w:rPr>
      </w:pPr>
      <w:r>
        <w:rPr>
          <w:rFonts w:hint="eastAsia"/>
          <w:highlight w:val="none"/>
        </w:rPr>
        <w:t>十一、保密</w:t>
      </w:r>
      <w:bookmarkEnd w:id="47"/>
    </w:p>
    <w:p w14:paraId="72654941">
      <w:pPr>
        <w:spacing w:line="520" w:lineRule="exact"/>
        <w:ind w:firstLine="482" w:firstLineChars="200"/>
        <w:rPr>
          <w:rFonts w:hint="eastAsia" w:ascii="仿宋" w:hAnsi="仿宋" w:eastAsia="仿宋" w:cs="仿宋"/>
          <w:b/>
          <w:bCs/>
          <w:color w:val="000000"/>
          <w:sz w:val="24"/>
          <w:szCs w:val="22"/>
          <w:highlight w:val="none"/>
          <w:lang w:val="en-US" w:eastAsia="zh-CN" w:bidi="ar-SA"/>
        </w:rPr>
      </w:pPr>
      <w:r>
        <w:rPr>
          <w:rFonts w:hint="eastAsia" w:ascii="仿宋" w:hAnsi="仿宋" w:eastAsia="仿宋" w:cs="仿宋"/>
          <w:b/>
          <w:bCs/>
          <w:color w:val="000000"/>
          <w:sz w:val="24"/>
          <w:szCs w:val="22"/>
          <w:highlight w:val="none"/>
          <w:lang w:val="en-US" w:eastAsia="zh-CN" w:bidi="ar-SA"/>
        </w:rPr>
        <w:t>38.保密</w:t>
      </w:r>
    </w:p>
    <w:p w14:paraId="033DCDCE">
      <w:pPr>
        <w:pStyle w:val="286"/>
        <w:spacing w:line="520" w:lineRule="exact"/>
        <w:ind w:left="0" w:firstLine="420"/>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38</w:t>
      </w:r>
      <w:r>
        <w:rPr>
          <w:rFonts w:hint="eastAsia" w:ascii="仿宋" w:hAnsi="仿宋" w:eastAsia="仿宋" w:cs="仿宋"/>
          <w:color w:val="000000"/>
          <w:szCs w:val="22"/>
          <w:highlight w:val="none"/>
        </w:rPr>
        <w:t xml:space="preserve">.1参与本次招标投标活动的各方应对招标文件和投标文件中的商业和技术等秘密保密，违者应对由此造成的后果承担法律责任。 </w:t>
      </w:r>
    </w:p>
    <w:p w14:paraId="1BEF8866">
      <w:pPr>
        <w:pStyle w:val="286"/>
        <w:spacing w:line="520" w:lineRule="exact"/>
        <w:ind w:left="0" w:firstLine="420"/>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38.2</w:t>
      </w:r>
      <w:r>
        <w:rPr>
          <w:rFonts w:hint="eastAsia" w:ascii="仿宋" w:hAnsi="仿宋" w:eastAsia="仿宋" w:cs="仿宋"/>
          <w:color w:val="000000"/>
          <w:szCs w:val="22"/>
          <w:highlight w:val="none"/>
        </w:rPr>
        <w:t>凡是与审查、澄清、评价和</w:t>
      </w:r>
      <w:r>
        <w:rPr>
          <w:rFonts w:hint="eastAsia" w:ascii="仿宋" w:hAnsi="仿宋" w:eastAsia="仿宋" w:cs="仿宋"/>
          <w:color w:val="000000"/>
          <w:szCs w:val="22"/>
          <w:highlight w:val="none"/>
          <w:lang w:val="en-US" w:eastAsia="zh-CN"/>
        </w:rPr>
        <w:t>招标文件</w:t>
      </w:r>
      <w:r>
        <w:rPr>
          <w:rFonts w:hint="eastAsia" w:ascii="仿宋" w:hAnsi="仿宋" w:eastAsia="仿宋" w:cs="仿宋"/>
          <w:color w:val="000000"/>
          <w:szCs w:val="22"/>
          <w:highlight w:val="none"/>
        </w:rPr>
        <w:t>的有关资料以及授标建议等，采购人、评委、采购代理机构均不得向</w:t>
      </w:r>
      <w:r>
        <w:rPr>
          <w:rFonts w:hint="eastAsia" w:ascii="仿宋" w:hAnsi="仿宋" w:eastAsia="仿宋" w:cs="仿宋"/>
          <w:color w:val="000000"/>
          <w:szCs w:val="22"/>
          <w:highlight w:val="none"/>
          <w:lang w:eastAsia="zh-CN"/>
        </w:rPr>
        <w:t>投标人</w:t>
      </w:r>
      <w:r>
        <w:rPr>
          <w:rFonts w:hint="eastAsia" w:ascii="仿宋" w:hAnsi="仿宋" w:eastAsia="仿宋" w:cs="仿宋"/>
          <w:color w:val="000000"/>
          <w:szCs w:val="22"/>
          <w:highlight w:val="none"/>
        </w:rPr>
        <w:t>或与</w:t>
      </w:r>
      <w:r>
        <w:rPr>
          <w:rFonts w:hint="eastAsia" w:ascii="仿宋" w:hAnsi="仿宋" w:eastAsia="仿宋" w:cs="仿宋"/>
          <w:color w:val="000000"/>
          <w:szCs w:val="22"/>
          <w:highlight w:val="none"/>
          <w:lang w:val="en-US" w:eastAsia="zh-CN"/>
        </w:rPr>
        <w:t>招标</w:t>
      </w:r>
      <w:r>
        <w:rPr>
          <w:rFonts w:hint="eastAsia" w:ascii="仿宋" w:hAnsi="仿宋" w:eastAsia="仿宋" w:cs="仿宋"/>
          <w:color w:val="000000"/>
          <w:szCs w:val="22"/>
          <w:highlight w:val="none"/>
        </w:rPr>
        <w:t>无关的其他人员透露。</w:t>
      </w:r>
    </w:p>
    <w:p w14:paraId="7F9867C7">
      <w:pPr>
        <w:pStyle w:val="286"/>
        <w:spacing w:line="520" w:lineRule="exact"/>
        <w:ind w:left="0" w:firstLine="420"/>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38.3</w:t>
      </w:r>
      <w:r>
        <w:rPr>
          <w:rFonts w:hint="eastAsia" w:ascii="仿宋" w:hAnsi="仿宋" w:eastAsia="仿宋" w:cs="仿宋"/>
          <w:color w:val="000000"/>
          <w:szCs w:val="22"/>
          <w:highlight w:val="none"/>
        </w:rPr>
        <w:t>在</w:t>
      </w:r>
      <w:r>
        <w:rPr>
          <w:rFonts w:hint="eastAsia" w:ascii="仿宋" w:hAnsi="仿宋" w:eastAsia="仿宋" w:cs="仿宋"/>
          <w:color w:val="000000"/>
          <w:szCs w:val="22"/>
          <w:highlight w:val="none"/>
          <w:lang w:val="en-US" w:eastAsia="zh-CN"/>
        </w:rPr>
        <w:t>招标</w:t>
      </w:r>
      <w:r>
        <w:rPr>
          <w:rFonts w:hint="eastAsia" w:ascii="仿宋" w:hAnsi="仿宋" w:eastAsia="仿宋" w:cs="仿宋"/>
          <w:color w:val="000000"/>
          <w:szCs w:val="22"/>
          <w:highlight w:val="none"/>
        </w:rPr>
        <w:t>过程中，</w:t>
      </w:r>
      <w:r>
        <w:rPr>
          <w:rFonts w:hint="eastAsia" w:ascii="仿宋" w:hAnsi="仿宋" w:eastAsia="仿宋" w:cs="仿宋"/>
          <w:color w:val="000000"/>
          <w:szCs w:val="22"/>
          <w:highlight w:val="none"/>
          <w:lang w:eastAsia="zh-CN"/>
        </w:rPr>
        <w:t>投标人</w:t>
      </w:r>
      <w:r>
        <w:rPr>
          <w:rFonts w:hint="eastAsia" w:ascii="仿宋" w:hAnsi="仿宋" w:eastAsia="仿宋" w:cs="仿宋"/>
          <w:color w:val="000000"/>
          <w:szCs w:val="22"/>
          <w:highlight w:val="none"/>
        </w:rPr>
        <w:t>不得以任何行为影响</w:t>
      </w:r>
      <w:r>
        <w:rPr>
          <w:rFonts w:hint="eastAsia" w:ascii="仿宋" w:hAnsi="仿宋" w:eastAsia="仿宋" w:cs="仿宋"/>
          <w:color w:val="000000"/>
          <w:szCs w:val="22"/>
          <w:highlight w:val="none"/>
          <w:lang w:val="en-US" w:eastAsia="zh-CN"/>
        </w:rPr>
        <w:t>招标</w:t>
      </w:r>
      <w:r>
        <w:rPr>
          <w:rFonts w:hint="eastAsia" w:ascii="仿宋" w:hAnsi="仿宋" w:eastAsia="仿宋" w:cs="仿宋"/>
          <w:color w:val="000000"/>
          <w:szCs w:val="22"/>
          <w:highlight w:val="none"/>
        </w:rPr>
        <w:t>过程，否则其</w:t>
      </w:r>
      <w:r>
        <w:rPr>
          <w:rFonts w:hint="eastAsia" w:ascii="仿宋" w:hAnsi="仿宋" w:eastAsia="仿宋" w:cs="仿宋"/>
          <w:color w:val="000000"/>
          <w:szCs w:val="22"/>
          <w:highlight w:val="none"/>
          <w:lang w:eastAsia="zh-CN"/>
        </w:rPr>
        <w:t>响应文件</w:t>
      </w:r>
      <w:r>
        <w:rPr>
          <w:rFonts w:hint="eastAsia" w:ascii="仿宋" w:hAnsi="仿宋" w:eastAsia="仿宋" w:cs="仿宋"/>
          <w:color w:val="000000"/>
          <w:szCs w:val="22"/>
          <w:highlight w:val="none"/>
        </w:rPr>
        <w:t>将被作为无效</w:t>
      </w:r>
      <w:r>
        <w:rPr>
          <w:rFonts w:hint="eastAsia" w:ascii="仿宋" w:hAnsi="仿宋" w:eastAsia="仿宋" w:cs="仿宋"/>
          <w:color w:val="000000"/>
          <w:szCs w:val="22"/>
          <w:highlight w:val="none"/>
          <w:lang w:eastAsia="zh-CN"/>
        </w:rPr>
        <w:t>响应文件</w:t>
      </w:r>
      <w:r>
        <w:rPr>
          <w:rFonts w:hint="eastAsia" w:ascii="仿宋" w:hAnsi="仿宋" w:eastAsia="仿宋" w:cs="仿宋"/>
          <w:color w:val="000000"/>
          <w:szCs w:val="22"/>
          <w:highlight w:val="none"/>
        </w:rPr>
        <w:t>。</w:t>
      </w:r>
    </w:p>
    <w:p w14:paraId="14547129">
      <w:pPr>
        <w:pStyle w:val="286"/>
        <w:spacing w:line="520" w:lineRule="exact"/>
        <w:ind w:left="0" w:firstLine="420"/>
        <w:rPr>
          <w:rFonts w:hint="eastAsia" w:ascii="仿宋" w:hAnsi="仿宋" w:eastAsia="仿宋" w:cs="仿宋"/>
          <w:color w:val="000000"/>
          <w:szCs w:val="22"/>
          <w:highlight w:val="none"/>
        </w:rPr>
      </w:pPr>
      <w:r>
        <w:rPr>
          <w:rFonts w:hint="eastAsia" w:ascii="仿宋" w:hAnsi="仿宋" w:eastAsia="仿宋" w:cs="仿宋"/>
          <w:color w:val="000000"/>
          <w:szCs w:val="22"/>
          <w:highlight w:val="none"/>
          <w:lang w:val="en-US" w:eastAsia="zh-CN"/>
        </w:rPr>
        <w:t>38.4</w:t>
      </w:r>
      <w:r>
        <w:rPr>
          <w:rFonts w:hint="eastAsia" w:ascii="仿宋" w:hAnsi="仿宋" w:eastAsia="仿宋" w:cs="仿宋"/>
          <w:color w:val="000000"/>
          <w:szCs w:val="22"/>
          <w:highlight w:val="none"/>
        </w:rPr>
        <w:t>采购代理机构和</w:t>
      </w:r>
      <w:r>
        <w:rPr>
          <w:rFonts w:hint="eastAsia" w:ascii="仿宋" w:hAnsi="仿宋" w:eastAsia="仿宋" w:cs="仿宋"/>
          <w:color w:val="000000"/>
          <w:szCs w:val="22"/>
          <w:highlight w:val="none"/>
          <w:lang w:val="en-US" w:eastAsia="zh-CN"/>
        </w:rPr>
        <w:t>评标委员会</w:t>
      </w:r>
      <w:r>
        <w:rPr>
          <w:rFonts w:hint="eastAsia" w:ascii="仿宋" w:hAnsi="仿宋" w:eastAsia="仿宋" w:cs="仿宋"/>
          <w:color w:val="000000"/>
          <w:szCs w:val="22"/>
          <w:highlight w:val="none"/>
        </w:rPr>
        <w:t>不向未</w:t>
      </w:r>
      <w:r>
        <w:rPr>
          <w:rFonts w:hint="eastAsia" w:ascii="仿宋" w:hAnsi="仿宋" w:eastAsia="仿宋" w:cs="仿宋"/>
          <w:color w:val="000000"/>
          <w:szCs w:val="22"/>
          <w:highlight w:val="none"/>
          <w:lang w:val="en-US" w:eastAsia="zh-CN"/>
        </w:rPr>
        <w:t>中标</w:t>
      </w:r>
      <w:r>
        <w:rPr>
          <w:rFonts w:hint="eastAsia" w:ascii="仿宋" w:hAnsi="仿宋" w:eastAsia="仿宋" w:cs="仿宋"/>
          <w:color w:val="000000"/>
          <w:szCs w:val="22"/>
          <w:highlight w:val="none"/>
        </w:rPr>
        <w:t>的</w:t>
      </w:r>
      <w:r>
        <w:rPr>
          <w:rFonts w:hint="eastAsia" w:ascii="仿宋" w:hAnsi="仿宋" w:eastAsia="仿宋" w:cs="仿宋"/>
          <w:color w:val="000000"/>
          <w:szCs w:val="22"/>
          <w:highlight w:val="none"/>
          <w:lang w:eastAsia="zh-CN"/>
        </w:rPr>
        <w:t>投标人</w:t>
      </w:r>
      <w:r>
        <w:rPr>
          <w:rFonts w:hint="eastAsia" w:ascii="仿宋" w:hAnsi="仿宋" w:eastAsia="仿宋" w:cs="仿宋"/>
          <w:color w:val="000000"/>
          <w:szCs w:val="22"/>
          <w:highlight w:val="none"/>
        </w:rPr>
        <w:t>解释未</w:t>
      </w:r>
      <w:r>
        <w:rPr>
          <w:rFonts w:hint="eastAsia" w:ascii="仿宋" w:hAnsi="仿宋" w:eastAsia="仿宋" w:cs="仿宋"/>
          <w:color w:val="000000"/>
          <w:szCs w:val="22"/>
          <w:highlight w:val="none"/>
          <w:lang w:val="en-US" w:eastAsia="zh-CN"/>
        </w:rPr>
        <w:t>中标</w:t>
      </w:r>
      <w:r>
        <w:rPr>
          <w:rFonts w:hint="eastAsia" w:ascii="仿宋" w:hAnsi="仿宋" w:eastAsia="仿宋" w:cs="仿宋"/>
          <w:color w:val="000000"/>
          <w:szCs w:val="22"/>
          <w:highlight w:val="none"/>
        </w:rPr>
        <w:t>原因，也不公布</w:t>
      </w:r>
      <w:r>
        <w:rPr>
          <w:rFonts w:hint="eastAsia" w:ascii="仿宋" w:hAnsi="仿宋" w:eastAsia="仿宋" w:cs="仿宋"/>
          <w:color w:val="000000"/>
          <w:szCs w:val="22"/>
          <w:highlight w:val="none"/>
          <w:lang w:val="en-US" w:eastAsia="zh-CN"/>
        </w:rPr>
        <w:t>评标</w:t>
      </w:r>
      <w:r>
        <w:rPr>
          <w:rFonts w:hint="eastAsia" w:ascii="仿宋" w:hAnsi="仿宋" w:eastAsia="仿宋" w:cs="仿宋"/>
          <w:color w:val="000000"/>
          <w:szCs w:val="22"/>
          <w:highlight w:val="none"/>
        </w:rPr>
        <w:t>过程中的相关细节。</w:t>
      </w:r>
    </w:p>
    <w:p w14:paraId="2F99A81A">
      <w:pPr>
        <w:rPr>
          <w:highlight w:val="none"/>
        </w:rPr>
      </w:pPr>
    </w:p>
    <w:p w14:paraId="6A697FEA">
      <w:pPr>
        <w:rPr>
          <w:rFonts w:hint="eastAsia"/>
          <w:highlight w:val="none"/>
        </w:rPr>
      </w:pPr>
      <w:bookmarkStart w:id="48" w:name="_Toc6597"/>
      <w:r>
        <w:rPr>
          <w:rFonts w:hint="eastAsia"/>
          <w:highlight w:val="none"/>
        </w:rPr>
        <w:br w:type="page"/>
      </w:r>
    </w:p>
    <w:p w14:paraId="3BFE00CC">
      <w:pPr>
        <w:pStyle w:val="204"/>
        <w:spacing w:line="240" w:lineRule="auto"/>
        <w:jc w:val="center"/>
        <w:rPr>
          <w:rFonts w:hint="eastAsia" w:eastAsia="宋体"/>
          <w:highlight w:val="none"/>
          <w:lang w:eastAsia="zh-CN"/>
        </w:rPr>
      </w:pPr>
      <w:bookmarkStart w:id="49" w:name="_Toc29669"/>
      <w:r>
        <w:rPr>
          <w:rFonts w:hint="eastAsia"/>
          <w:highlight w:val="none"/>
        </w:rPr>
        <w:t>第</w:t>
      </w:r>
      <w:r>
        <w:rPr>
          <w:rFonts w:hint="eastAsia"/>
          <w:highlight w:val="none"/>
          <w:lang w:val="en-US" w:eastAsia="zh-CN"/>
        </w:rPr>
        <w:t>三</w:t>
      </w:r>
      <w:r>
        <w:rPr>
          <w:rFonts w:hint="eastAsia"/>
          <w:highlight w:val="none"/>
        </w:rPr>
        <w:t>部分</w:t>
      </w:r>
      <w:r>
        <w:rPr>
          <w:highlight w:val="none"/>
        </w:rPr>
        <w:t xml:space="preserve">  </w:t>
      </w:r>
      <w:r>
        <w:rPr>
          <w:rFonts w:hint="eastAsia"/>
          <w:highlight w:val="none"/>
          <w:lang w:val="en-US" w:eastAsia="zh-CN"/>
        </w:rPr>
        <w:t>合同文本</w:t>
      </w:r>
      <w:bookmarkEnd w:id="49"/>
    </w:p>
    <w:p w14:paraId="7846B906">
      <w:pPr>
        <w:keepNext w:val="0"/>
        <w:keepLines w:val="0"/>
        <w:pageBreakBefore w:val="0"/>
        <w:kinsoku/>
        <w:wordWrap/>
        <w:overflowPunct/>
        <w:topLinePunct w:val="0"/>
        <w:autoSpaceDE/>
        <w:autoSpaceDN/>
        <w:bidi w:val="0"/>
        <w:adjustRightInd/>
        <w:spacing w:line="440" w:lineRule="exact"/>
        <w:textAlignment w:val="auto"/>
        <w:rPr>
          <w:rFonts w:hint="eastAsia" w:ascii="仿宋" w:hAnsi="仿宋" w:eastAsia="仿宋" w:cs="仿宋"/>
          <w:kern w:val="0"/>
          <w:sz w:val="24"/>
          <w:szCs w:val="24"/>
        </w:rPr>
      </w:pPr>
      <w:r>
        <w:rPr>
          <w:rFonts w:hint="eastAsia" w:ascii="仿宋" w:hAnsi="仿宋" w:eastAsia="仿宋" w:cs="仿宋"/>
          <w:kern w:val="0"/>
          <w:sz w:val="24"/>
          <w:szCs w:val="24"/>
        </w:rPr>
        <w:t>（以下为成交后签订本项目合同的通用条款，成交供应商不得提出实质性修改，关于专用条款将由采购人与成交供应商结合本项目具体情况协商后签订）</w:t>
      </w:r>
    </w:p>
    <w:p w14:paraId="1ED7BD7A">
      <w:pPr>
        <w:widowControl w:val="0"/>
        <w:autoSpaceDE w:val="0"/>
        <w:autoSpaceDN w:val="0"/>
        <w:adjustRightInd w:val="0"/>
        <w:snapToGrid w:val="0"/>
        <w:ind w:firstLine="420"/>
        <w:jc w:val="both"/>
        <w:rPr>
          <w:rFonts w:hint="eastAsia" w:ascii="宋体" w:hAnsi="Times New Roman" w:eastAsia="Times New Roman" w:cs="Times New Roman"/>
          <w:color w:val="000000"/>
          <w:sz w:val="24"/>
          <w:szCs w:val="20"/>
          <w:lang w:val="en-US" w:eastAsia="zh-CN" w:bidi="ar-SA"/>
        </w:rPr>
      </w:pPr>
    </w:p>
    <w:p w14:paraId="7D53B51E">
      <w:pPr>
        <w:widowControl w:val="0"/>
        <w:spacing w:line="480" w:lineRule="exact"/>
        <w:jc w:val="both"/>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lang w:val="en-US" w:eastAsia="zh-CN" w:bidi="ar-SA"/>
        </w:rPr>
        <w:t>采购人（甲方）：</w:t>
      </w:r>
      <w:r>
        <w:rPr>
          <w:rFonts w:hint="eastAsia" w:ascii="仿宋" w:hAnsi="仿宋" w:eastAsia="仿宋" w:cs="仿宋"/>
          <w:kern w:val="2"/>
          <w:sz w:val="24"/>
          <w:szCs w:val="24"/>
          <w:u w:val="single"/>
          <w:lang w:val="en-US" w:eastAsia="zh-CN" w:bidi="ar-SA"/>
        </w:rPr>
        <w:t xml:space="preserve">               </w:t>
      </w:r>
    </w:p>
    <w:p w14:paraId="008F3760">
      <w:pPr>
        <w:widowControl w:val="0"/>
        <w:spacing w:line="480" w:lineRule="exact"/>
        <w:jc w:val="both"/>
        <w:rPr>
          <w:rFonts w:hint="eastAsia" w:ascii="仿宋" w:hAnsi="仿宋" w:eastAsia="仿宋" w:cs="仿宋"/>
          <w:kern w:val="2"/>
          <w:sz w:val="24"/>
          <w:szCs w:val="24"/>
          <w:u w:val="single"/>
          <w:lang w:val="en-US" w:eastAsia="zh-CN" w:bidi="ar-SA"/>
        </w:rPr>
      </w:pPr>
      <w:r>
        <w:rPr>
          <w:rFonts w:hint="eastAsia" w:ascii="仿宋" w:hAnsi="仿宋" w:eastAsia="仿宋" w:cs="仿宋"/>
          <w:kern w:val="2"/>
          <w:sz w:val="24"/>
          <w:szCs w:val="24"/>
          <w:lang w:val="en-US" w:eastAsia="zh-CN" w:bidi="ar-SA"/>
        </w:rPr>
        <w:t>供应商（乙方）：</w:t>
      </w:r>
      <w:r>
        <w:rPr>
          <w:rFonts w:hint="eastAsia" w:ascii="仿宋" w:hAnsi="仿宋" w:eastAsia="仿宋" w:cs="仿宋"/>
          <w:kern w:val="2"/>
          <w:sz w:val="24"/>
          <w:szCs w:val="24"/>
          <w:u w:val="single"/>
          <w:lang w:val="en-US" w:eastAsia="zh-CN" w:bidi="ar-SA"/>
        </w:rPr>
        <w:t xml:space="preserve">               </w:t>
      </w:r>
    </w:p>
    <w:p w14:paraId="28331804">
      <w:pPr>
        <w:widowControl w:val="0"/>
        <w:spacing w:line="480" w:lineRule="exact"/>
        <w:ind w:firstLine="480"/>
        <w:jc w:val="both"/>
        <w:rPr>
          <w:rFonts w:hint="eastAsia" w:ascii="仿宋" w:hAnsi="仿宋" w:eastAsia="仿宋" w:cs="仿宋"/>
          <w:kern w:val="2"/>
          <w:sz w:val="24"/>
          <w:szCs w:val="24"/>
          <w:lang w:val="en-US" w:eastAsia="zh-CN" w:bidi="ar-SA"/>
        </w:rPr>
      </w:pPr>
    </w:p>
    <w:p w14:paraId="4DD8829B">
      <w:pPr>
        <w:widowControl w:val="0"/>
        <w:spacing w:line="480" w:lineRule="exact"/>
        <w:ind w:firstLine="48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兹经甲、乙双方充分协商，签订本合同，共同信守。</w:t>
      </w:r>
    </w:p>
    <w:p w14:paraId="668110C2">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一、设备清单</w:t>
      </w:r>
    </w:p>
    <w:tbl>
      <w:tblPr>
        <w:tblStyle w:val="35"/>
        <w:tblpPr w:leftFromText="180" w:rightFromText="180" w:vertAnchor="text" w:horzAnchor="page" w:tblpX="1334" w:tblpY="122"/>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247"/>
        <w:gridCol w:w="853"/>
        <w:gridCol w:w="1379"/>
        <w:gridCol w:w="1031"/>
        <w:gridCol w:w="617"/>
        <w:gridCol w:w="679"/>
        <w:gridCol w:w="1041"/>
        <w:gridCol w:w="1024"/>
      </w:tblGrid>
      <w:tr w14:paraId="710D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66" w:type="dxa"/>
            <w:noWrap w:val="0"/>
            <w:vAlign w:val="center"/>
          </w:tcPr>
          <w:p w14:paraId="17031394">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设备或器械名称</w:t>
            </w:r>
          </w:p>
        </w:tc>
        <w:tc>
          <w:tcPr>
            <w:tcW w:w="1247" w:type="dxa"/>
            <w:noWrap w:val="0"/>
            <w:vAlign w:val="center"/>
          </w:tcPr>
          <w:p w14:paraId="4EF750C1">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品牌</w:t>
            </w:r>
          </w:p>
        </w:tc>
        <w:tc>
          <w:tcPr>
            <w:tcW w:w="853" w:type="dxa"/>
            <w:noWrap w:val="0"/>
            <w:vAlign w:val="center"/>
          </w:tcPr>
          <w:p w14:paraId="400F4E4C">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型号规格</w:t>
            </w:r>
          </w:p>
        </w:tc>
        <w:tc>
          <w:tcPr>
            <w:tcW w:w="1379" w:type="dxa"/>
            <w:noWrap w:val="0"/>
            <w:vAlign w:val="center"/>
          </w:tcPr>
          <w:p w14:paraId="54CE83EB">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医疗器械注册证</w:t>
            </w:r>
          </w:p>
        </w:tc>
        <w:tc>
          <w:tcPr>
            <w:tcW w:w="1031" w:type="dxa"/>
            <w:noWrap w:val="0"/>
            <w:vAlign w:val="center"/>
          </w:tcPr>
          <w:p w14:paraId="6BCF96CF">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产地</w:t>
            </w:r>
          </w:p>
        </w:tc>
        <w:tc>
          <w:tcPr>
            <w:tcW w:w="617" w:type="dxa"/>
            <w:noWrap w:val="0"/>
            <w:vAlign w:val="center"/>
          </w:tcPr>
          <w:p w14:paraId="78050F98">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单位</w:t>
            </w:r>
          </w:p>
        </w:tc>
        <w:tc>
          <w:tcPr>
            <w:tcW w:w="679" w:type="dxa"/>
            <w:noWrap w:val="0"/>
            <w:vAlign w:val="center"/>
          </w:tcPr>
          <w:p w14:paraId="0546FB3D">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w:t>
            </w:r>
          </w:p>
        </w:tc>
        <w:tc>
          <w:tcPr>
            <w:tcW w:w="1041" w:type="dxa"/>
            <w:noWrap w:val="0"/>
            <w:vAlign w:val="center"/>
          </w:tcPr>
          <w:p w14:paraId="4AC0D9A6">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单价（元）</w:t>
            </w:r>
          </w:p>
        </w:tc>
        <w:tc>
          <w:tcPr>
            <w:tcW w:w="1024" w:type="dxa"/>
            <w:noWrap w:val="0"/>
            <w:vAlign w:val="center"/>
          </w:tcPr>
          <w:p w14:paraId="6BB302AD">
            <w:pPr>
              <w:widowControl w:val="0"/>
              <w:spacing w:line="480" w:lineRule="exact"/>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总价（元）</w:t>
            </w:r>
          </w:p>
        </w:tc>
      </w:tr>
      <w:tr w14:paraId="1497A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266" w:type="dxa"/>
            <w:noWrap w:val="0"/>
            <w:vAlign w:val="center"/>
          </w:tcPr>
          <w:p w14:paraId="69E1B382">
            <w:pPr>
              <w:widowControl w:val="0"/>
              <w:tabs>
                <w:tab w:val="center" w:pos="675"/>
                <w:tab w:val="right" w:pos="1231"/>
              </w:tabs>
              <w:spacing w:line="480" w:lineRule="exact"/>
              <w:jc w:val="center"/>
              <w:rPr>
                <w:rFonts w:hint="eastAsia" w:ascii="仿宋" w:hAnsi="仿宋" w:eastAsia="仿宋" w:cs="仿宋"/>
                <w:kern w:val="2"/>
                <w:sz w:val="24"/>
                <w:szCs w:val="24"/>
                <w:lang w:val="en-US" w:eastAsia="zh-CN" w:bidi="ar-SA"/>
              </w:rPr>
            </w:pPr>
          </w:p>
        </w:tc>
        <w:tc>
          <w:tcPr>
            <w:tcW w:w="1247" w:type="dxa"/>
            <w:noWrap w:val="0"/>
            <w:vAlign w:val="center"/>
          </w:tcPr>
          <w:p w14:paraId="03417069">
            <w:pPr>
              <w:widowControl w:val="0"/>
              <w:tabs>
                <w:tab w:val="center" w:pos="675"/>
                <w:tab w:val="right" w:pos="1231"/>
              </w:tabs>
              <w:spacing w:line="480" w:lineRule="exact"/>
              <w:jc w:val="center"/>
              <w:rPr>
                <w:rFonts w:hint="eastAsia" w:ascii="仿宋" w:hAnsi="仿宋" w:eastAsia="仿宋" w:cs="仿宋"/>
                <w:kern w:val="2"/>
                <w:sz w:val="24"/>
                <w:szCs w:val="24"/>
                <w:lang w:val="en-US" w:eastAsia="zh-CN" w:bidi="ar-SA"/>
              </w:rPr>
            </w:pPr>
          </w:p>
        </w:tc>
        <w:tc>
          <w:tcPr>
            <w:tcW w:w="853" w:type="dxa"/>
            <w:noWrap w:val="0"/>
            <w:vAlign w:val="center"/>
          </w:tcPr>
          <w:p w14:paraId="3C1D545B">
            <w:pPr>
              <w:widowControl w:val="0"/>
              <w:tabs>
                <w:tab w:val="center" w:pos="675"/>
                <w:tab w:val="right" w:pos="1231"/>
              </w:tabs>
              <w:spacing w:line="480" w:lineRule="exact"/>
              <w:jc w:val="center"/>
              <w:rPr>
                <w:rFonts w:hint="eastAsia" w:ascii="仿宋" w:hAnsi="仿宋" w:eastAsia="仿宋" w:cs="仿宋"/>
                <w:kern w:val="2"/>
                <w:sz w:val="24"/>
                <w:szCs w:val="24"/>
                <w:lang w:val="en-US" w:eastAsia="zh-CN" w:bidi="ar-SA"/>
              </w:rPr>
            </w:pPr>
          </w:p>
        </w:tc>
        <w:tc>
          <w:tcPr>
            <w:tcW w:w="1379" w:type="dxa"/>
            <w:noWrap w:val="0"/>
            <w:vAlign w:val="center"/>
          </w:tcPr>
          <w:p w14:paraId="69B4F0C0">
            <w:pPr>
              <w:widowControl w:val="0"/>
              <w:tabs>
                <w:tab w:val="center" w:pos="675"/>
                <w:tab w:val="right" w:pos="1231"/>
              </w:tabs>
              <w:spacing w:line="480" w:lineRule="exact"/>
              <w:jc w:val="both"/>
              <w:rPr>
                <w:rFonts w:hint="eastAsia" w:ascii="仿宋" w:hAnsi="仿宋" w:eastAsia="仿宋" w:cs="仿宋"/>
                <w:kern w:val="2"/>
                <w:sz w:val="24"/>
                <w:szCs w:val="24"/>
                <w:lang w:val="en-US" w:eastAsia="zh-CN" w:bidi="ar-SA"/>
              </w:rPr>
            </w:pPr>
          </w:p>
        </w:tc>
        <w:tc>
          <w:tcPr>
            <w:tcW w:w="1031" w:type="dxa"/>
            <w:noWrap w:val="0"/>
            <w:vAlign w:val="center"/>
          </w:tcPr>
          <w:p w14:paraId="26786AD2">
            <w:pPr>
              <w:widowControl w:val="0"/>
              <w:spacing w:line="480" w:lineRule="exact"/>
              <w:jc w:val="center"/>
              <w:rPr>
                <w:rFonts w:hint="eastAsia" w:ascii="仿宋" w:hAnsi="仿宋" w:eastAsia="仿宋" w:cs="仿宋"/>
                <w:kern w:val="2"/>
                <w:sz w:val="24"/>
                <w:szCs w:val="24"/>
                <w:lang w:val="en-US" w:eastAsia="zh-CN" w:bidi="ar-SA"/>
              </w:rPr>
            </w:pPr>
          </w:p>
        </w:tc>
        <w:tc>
          <w:tcPr>
            <w:tcW w:w="617" w:type="dxa"/>
            <w:noWrap w:val="0"/>
            <w:vAlign w:val="center"/>
          </w:tcPr>
          <w:p w14:paraId="4EACF36D">
            <w:pPr>
              <w:widowControl w:val="0"/>
              <w:spacing w:line="480" w:lineRule="exact"/>
              <w:jc w:val="center"/>
              <w:rPr>
                <w:rFonts w:hint="eastAsia" w:ascii="仿宋" w:hAnsi="仿宋" w:eastAsia="仿宋" w:cs="仿宋"/>
                <w:kern w:val="2"/>
                <w:sz w:val="24"/>
                <w:szCs w:val="24"/>
                <w:lang w:val="en-US" w:eastAsia="zh-CN" w:bidi="ar-SA"/>
              </w:rPr>
            </w:pPr>
          </w:p>
        </w:tc>
        <w:tc>
          <w:tcPr>
            <w:tcW w:w="679" w:type="dxa"/>
            <w:noWrap w:val="0"/>
            <w:vAlign w:val="center"/>
          </w:tcPr>
          <w:p w14:paraId="44D92CD4">
            <w:pPr>
              <w:widowControl w:val="0"/>
              <w:spacing w:line="480" w:lineRule="exact"/>
              <w:jc w:val="center"/>
              <w:rPr>
                <w:rFonts w:hint="eastAsia" w:ascii="仿宋" w:hAnsi="仿宋" w:eastAsia="仿宋" w:cs="仿宋"/>
                <w:kern w:val="2"/>
                <w:sz w:val="24"/>
                <w:szCs w:val="24"/>
                <w:lang w:val="en-US" w:eastAsia="zh-CN" w:bidi="ar-SA"/>
              </w:rPr>
            </w:pPr>
          </w:p>
        </w:tc>
        <w:tc>
          <w:tcPr>
            <w:tcW w:w="1041" w:type="dxa"/>
            <w:noWrap w:val="0"/>
            <w:vAlign w:val="center"/>
          </w:tcPr>
          <w:p w14:paraId="741764DF">
            <w:pPr>
              <w:widowControl w:val="0"/>
              <w:spacing w:line="480" w:lineRule="exact"/>
              <w:jc w:val="center"/>
              <w:rPr>
                <w:rFonts w:hint="eastAsia" w:ascii="仿宋" w:hAnsi="仿宋" w:eastAsia="仿宋" w:cs="仿宋"/>
                <w:kern w:val="2"/>
                <w:sz w:val="24"/>
                <w:szCs w:val="24"/>
                <w:lang w:val="en-US" w:eastAsia="zh-CN" w:bidi="ar-SA"/>
              </w:rPr>
            </w:pPr>
          </w:p>
        </w:tc>
        <w:tc>
          <w:tcPr>
            <w:tcW w:w="1024" w:type="dxa"/>
            <w:noWrap w:val="0"/>
            <w:vAlign w:val="center"/>
          </w:tcPr>
          <w:p w14:paraId="266F9E0F">
            <w:pPr>
              <w:widowControl w:val="0"/>
              <w:spacing w:line="480" w:lineRule="exact"/>
              <w:jc w:val="center"/>
              <w:rPr>
                <w:rFonts w:hint="eastAsia" w:ascii="仿宋" w:hAnsi="仿宋" w:eastAsia="仿宋" w:cs="仿宋"/>
                <w:kern w:val="2"/>
                <w:sz w:val="24"/>
                <w:szCs w:val="24"/>
                <w:lang w:val="en-US" w:eastAsia="zh-CN" w:bidi="ar-SA"/>
              </w:rPr>
            </w:pPr>
          </w:p>
        </w:tc>
      </w:tr>
    </w:tbl>
    <w:p w14:paraId="33EB7C5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备注:上述价格含设备、包装、仓储、运输、安装及验收合格之前及质保期内备品、备件发生的所有含税费用，以及包装拆除物的清理费用。</w:t>
      </w:r>
    </w:p>
    <w:p w14:paraId="24086CB7">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二、合同金额</w:t>
      </w:r>
    </w:p>
    <w:p w14:paraId="2C90FCA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2.1 本合同金额为（大写）：人民币</w:t>
      </w:r>
      <w:r>
        <w:rPr>
          <w:rFonts w:hint="eastAsia" w:ascii="仿宋" w:hAnsi="仿宋" w:eastAsia="仿宋" w:cs="仿宋"/>
          <w:sz w:val="24"/>
          <w:szCs w:val="24"/>
          <w:u w:val="single"/>
        </w:rPr>
        <w:t xml:space="preserve">       元整</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376584A7">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三、货款支付</w:t>
      </w:r>
    </w:p>
    <w:p w14:paraId="2ABEE30A">
      <w:pPr>
        <w:widowControl w:val="0"/>
        <w:spacing w:line="480" w:lineRule="exact"/>
        <w:ind w:firstLine="480"/>
        <w:jc w:val="both"/>
        <w:rPr>
          <w:rFonts w:hint="eastAsia" w:ascii="仿宋" w:hAnsi="仿宋" w:eastAsia="仿宋" w:cs="仿宋"/>
          <w:kern w:val="2"/>
          <w:sz w:val="24"/>
          <w:szCs w:val="24"/>
          <w:lang w:val="en-US" w:eastAsia="zh-CN" w:bidi="ar-SA"/>
        </w:rPr>
      </w:pPr>
      <w:r>
        <w:rPr>
          <w:rFonts w:hint="eastAsia" w:ascii="仿宋" w:hAnsi="仿宋" w:eastAsia="仿宋" w:cs="仿宋"/>
          <w:bCs/>
          <w:kern w:val="2"/>
          <w:sz w:val="24"/>
          <w:szCs w:val="24"/>
          <w:lang w:val="en-US" w:eastAsia="zh-CN" w:bidi="ar-SA"/>
        </w:rPr>
        <w:t>3.1 付款方式：</w:t>
      </w:r>
    </w:p>
    <w:p w14:paraId="5C97B253">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四、质保期</w:t>
      </w:r>
    </w:p>
    <w:p w14:paraId="1A38BD4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4.1 免费质保期：</w:t>
      </w:r>
      <w:r>
        <w:rPr>
          <w:rFonts w:hint="eastAsia" w:ascii="仿宋" w:hAnsi="仿宋" w:eastAsia="仿宋" w:cs="仿宋"/>
          <w:sz w:val="24"/>
          <w:szCs w:val="24"/>
          <w:u w:val="single"/>
        </w:rPr>
        <w:t xml:space="preserve">     </w:t>
      </w:r>
      <w:r>
        <w:rPr>
          <w:rFonts w:hint="eastAsia" w:ascii="仿宋" w:hAnsi="仿宋" w:eastAsia="仿宋" w:cs="仿宋"/>
          <w:sz w:val="24"/>
          <w:szCs w:val="24"/>
        </w:rPr>
        <w:t>年。（自交货验收合格之日起计算）</w:t>
      </w:r>
    </w:p>
    <w:p w14:paraId="5A6F0E15">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五、交货期、交货方式及验收</w:t>
      </w:r>
    </w:p>
    <w:p w14:paraId="3419ED8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5.1 交货期：合同签订后</w:t>
      </w:r>
      <w:r>
        <w:rPr>
          <w:rFonts w:hint="eastAsia" w:ascii="仿宋" w:hAnsi="仿宋" w:eastAsia="仿宋" w:cs="仿宋"/>
          <w:sz w:val="24"/>
          <w:szCs w:val="24"/>
          <w:u w:val="single"/>
        </w:rPr>
        <w:t xml:space="preserve">      个</w:t>
      </w:r>
      <w:r>
        <w:rPr>
          <w:rFonts w:hint="eastAsia" w:ascii="仿宋" w:hAnsi="仿宋" w:eastAsia="仿宋" w:cs="仿宋"/>
          <w:sz w:val="24"/>
          <w:szCs w:val="24"/>
        </w:rPr>
        <w:t xml:space="preserve">日历天内。交货地点：免费送货到甲方指定地点。           </w:t>
      </w:r>
    </w:p>
    <w:p w14:paraId="53EDADE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5.2乙方保证向甲方提供的设备满足中国国家标准及相关行业标准。根据国家规定，如需要提供3C认证证书和标记的设备及有关配置，必须提供上述证书和标记。</w:t>
      </w:r>
    </w:p>
    <w:p w14:paraId="479B66B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5.3乙方应按合同和投标文件规定的设备性能、技术要求、质量标准提供未经使用的全新、原包装产品。如果设备的质量或规格与合同（包括投标文件）不符，或证实设备有缺陷(包括潜在的缺陷或使用不符合要求的材料等)，乙方应在接到甲方通知后5个工作日内更换成达标设备，其费用由乙方负责。同时，甲方有权要求延长设备的质保期。由于设备质量问题引起的医疗事故和纠纷，乙方承担全部的法律和经济责任。</w:t>
      </w:r>
    </w:p>
    <w:p w14:paraId="6BAD323D">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5.4设备安装后，乙方应配合甲方按厂方技术参数、国家标准等进行质量验收。若有歧义，甲方有权委托国内具有相关资质的单位对该设备进行质量检测，费用由乙方承担。</w:t>
      </w:r>
    </w:p>
    <w:p w14:paraId="227A0F99">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5.5乙方所供设备如验收不合格，根据甲方的要求，乙方必须无条件换货或退货，由此引起的一切损失由乙方承担。</w:t>
      </w:r>
    </w:p>
    <w:p w14:paraId="42A49457">
      <w:pPr>
        <w:widowControl w:val="0"/>
        <w:spacing w:line="480" w:lineRule="exact"/>
        <w:jc w:val="both"/>
        <w:rPr>
          <w:rFonts w:hint="eastAsia" w:ascii="仿宋" w:hAnsi="仿宋" w:eastAsia="仿宋" w:cs="仿宋"/>
          <w:kern w:val="2"/>
          <w:sz w:val="24"/>
          <w:szCs w:val="24"/>
          <w:lang w:val="en-US" w:eastAsia="zh-CN" w:bidi="ar-SA"/>
        </w:rPr>
      </w:pPr>
      <w:r>
        <w:rPr>
          <w:rFonts w:hint="eastAsia" w:ascii="仿宋" w:hAnsi="仿宋" w:eastAsia="仿宋" w:cs="仿宋"/>
          <w:b/>
          <w:kern w:val="2"/>
          <w:sz w:val="24"/>
          <w:szCs w:val="24"/>
          <w:lang w:val="en-US" w:eastAsia="zh-CN" w:bidi="ar-SA"/>
        </w:rPr>
        <w:t>六、质量保证、权利与义务</w:t>
      </w:r>
    </w:p>
    <w:p w14:paraId="59BC919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6.1乙方免费提前为甲方提供设备安装图纸，并充分协助甲方做好设备安装前的准备工作(需要时)。</w:t>
      </w:r>
    </w:p>
    <w:p w14:paraId="46A9BA5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6.2设备安装时，乙方负责设备的免费安装和调试，但乙方必须事先与甲方的设备科联系，并与设备科共同参与，否则引起的一切责任由乙方承担。</w:t>
      </w:r>
    </w:p>
    <w:p w14:paraId="1DCCDEE5">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6.3设备安装、调试结束后，甲方对设备试用后进行验收(时间由甲、乙双方商定)，乙方免费派工程师到达现场协助验收工作。质保期自甲方验收合格之日算起，质保期外故障待修复后只收取配件费（详见附件），免收上门费、人工费和其他工时杂费。</w:t>
      </w:r>
    </w:p>
    <w:p w14:paraId="396F978D">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6.4免费保修范围包括合同中所有配置（有特别约定的除外），并确保设备质保期内开机率≥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%（按一年365天计算，停机最多</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日历天，超过1天，质保期延长</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天）。质保期外乙方对本设备终身负责维修，并确保原厂消耗品及维修备件十年内正常供应。</w:t>
      </w:r>
    </w:p>
    <w:p w14:paraId="71E1642F">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6.5如设备发生故障，乙方在接到甲方报修电话后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小时之内响应，</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小时内到达甲方现场(若无维修站点，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小时内到达现场)，</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小时内修复或免费提供备用机，所产生的所有费用包括但不限于人工费、差旅费、配件费等均由乙方承担。否则甲方可自行采取必要的措施，由此产生的风险和费用由乙方承担。如有特殊情况，乙方应立即电话通知甲方不能响应的原因，在获得甲方同意后，方可推迟响应时间。</w:t>
      </w:r>
    </w:p>
    <w:p w14:paraId="726A25E1">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6.6质保期内提供每年≥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次定期维护保养。</w:t>
      </w:r>
    </w:p>
    <w:p w14:paraId="0659EC3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6.7无论在质保期内还是质保期外，乙方必须上门维修。乙方工程师至甲方维修时，必须事先与甲方设备科取得联系，并做相应登记:在维修过程中与甲方工程师共同完成维修工作。否则引起的一切责任由乙方负责。</w:t>
      </w:r>
    </w:p>
    <w:p w14:paraId="4381EDC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6.8如设备软件升级，乙方负责免费软件升级，保证软件为最新、最高版本。</w:t>
      </w:r>
    </w:p>
    <w:p w14:paraId="10F679C3">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6.9如有设备具有远程维修诊断功能，乙方负责免费为甲方安装。</w:t>
      </w:r>
    </w:p>
    <w:p w14:paraId="42388BED">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6.10乙方免费提供全套资料并加盖公章，含产品合格证、出厂计量合格证(强检设备)、操作手册、维修手册(含详细电路图)、海关报关单、商检合格证明，如技术资料不全，甲方有权不支付货款，因此产生的损失由乙方自行承担。</w:t>
      </w:r>
    </w:p>
    <w:p w14:paraId="4314FDA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6.11技术培训:在安装过程中或安装结束后，乙方工程师或有关</w:t>
      </w:r>
      <w:r>
        <w:rPr>
          <w:rFonts w:hint="eastAsia" w:ascii="仿宋" w:hAnsi="仿宋" w:eastAsia="仿宋" w:cs="仿宋"/>
          <w:sz w:val="24"/>
          <w:szCs w:val="24"/>
          <w:lang w:eastAsia="zh-CN"/>
        </w:rPr>
        <w:t>人员</w:t>
      </w:r>
      <w:r>
        <w:rPr>
          <w:rFonts w:hint="eastAsia" w:ascii="仿宋" w:hAnsi="仿宋" w:eastAsia="仿宋" w:cs="仿宋"/>
          <w:sz w:val="24"/>
          <w:szCs w:val="24"/>
        </w:rPr>
        <w:t>负责对操作人员和甲方工程师进行现场维修、保养、操作培训，并提供快捷操作指南(过塑后封好，挂在设备上)，解答甲方人员提出的问题。必要时免费安排正规培训班培训，确保操作人员掌握完成日常工作所需的基本操作方法为止，工程师掌握基本的维护保养操作技术为止。</w:t>
      </w:r>
    </w:p>
    <w:p w14:paraId="407F933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6.12如乙方提供的设备设有维修密码，乙方保证无条件地为甲方永久免费打开，直至最底层维修模式。</w:t>
      </w:r>
    </w:p>
    <w:p w14:paraId="1B1B0E2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6.13若该设备涉及网络问题，甲方只负责提供一个网络接口，设备内部的局域网建设由乙方负责提供。</w:t>
      </w:r>
    </w:p>
    <w:p w14:paraId="46BB30A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6.14 乙方提供的设备在质保期内因设备本身的质量问题发生故障，乙方应负责免费维修。对维修后达不到技术要求者，根据实际情况，经双方协商，可按以下办法处理：</w:t>
      </w:r>
    </w:p>
    <w:p w14:paraId="13FC717E">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⑴ 更换：由乙方承担所发生的全部费用。</w:t>
      </w:r>
    </w:p>
    <w:p w14:paraId="02CC4D1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⑵ 贬值处理：由甲乙双方合议定价。</w:t>
      </w:r>
    </w:p>
    <w:p w14:paraId="5310750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⑶ 退货处理：乙方应退还甲方支付的合同款，同时应承担该设备的直接费用（运输、保险、检验、货款利息及银行手续费等）。</w:t>
      </w:r>
    </w:p>
    <w:p w14:paraId="4488B42A">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6.15 在质保期内，乙方应对设备出现的质量及安全问题负责处理解决并承担一切费用。</w:t>
      </w:r>
    </w:p>
    <w:p w14:paraId="4B2EE6D9">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七、违约责任及合同纠纷处理</w:t>
      </w:r>
    </w:p>
    <w:p w14:paraId="50EE4336">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7.1自本合同生效之日起，双方应严格依约履行。任何一方违反本合同规定，应赔偿由此给守约方造成的损失。</w:t>
      </w:r>
    </w:p>
    <w:p w14:paraId="4F84DD4D">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7.2如果乙方没有按照合同规定时间交货的，每逾期一日，乙方应按逾期交付设备价款总值的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计算，向甲方支付逾期交货违约金。乙方延期交货10日以上的，则视为乙方不能交货，甲方有权因此解除本合同。</w:t>
      </w:r>
    </w:p>
    <w:p w14:paraId="6BC4D73C">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7.3乙方向甲方提供假冒伪劣产品的，乙方应按合同总金额的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倍向甲方支付违约金。</w:t>
      </w:r>
    </w:p>
    <w:p w14:paraId="2A1EB2BC">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7.4乙方有其他违约行为的，乙方应按合同总金额的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%/次计算，向甲方支付违约金。如果乙方违约，在收到甲方通知后的</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日内没有或拒不承担违约责任的，则甲方有权从尚未支付乙方的购货价款中扣回违约金。</w:t>
      </w:r>
    </w:p>
    <w:p w14:paraId="4421954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7.5乙方若违反本合同5.2、9.1任一条均视为对本合同的重大违约，甲方随时有权书面通知乙方立即终止本合同。</w:t>
      </w:r>
    </w:p>
    <w:p w14:paraId="08FD18A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7.6因乙方的违约行为给甲方造成损失的(包括所有直接和间接损失)，如果违约金不足以补偿该损失部分的，甲方有权继续要求乙方赔偿甲方所有实际损失，并保留起诉的权利。</w:t>
      </w:r>
    </w:p>
    <w:p w14:paraId="0DBE7C77">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7.7乙方对本合同所约定的设备价格负责，如果产生与设备价值、成本相关的任何法律纠纷由乙方承担，甲方不承担任何相关法律责任。</w:t>
      </w:r>
    </w:p>
    <w:p w14:paraId="49A73128">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7.8乙方保证提供的设备、服务不存在任何法律纠纷，甲方在使用该设备或服务以及其中的任何一部分时，不侵犯任何的专利权、商标权、工业设计权或其他知识产权，如收到来自第三方的侵权诉讼或索赔，所有责任及由此造成的损失由乙方承担。</w:t>
      </w:r>
    </w:p>
    <w:p w14:paraId="40C334AD">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7.9设备运到甲方使用现场，安装调试超过一个月仍然不能正常使用的，甲方有权退货并终止合同。</w:t>
      </w:r>
    </w:p>
    <w:p w14:paraId="266A31B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7.10有关纠纷的未尽事宜，甲乙双方应友好协商解决，协商不成的，合同任一方均可向甲方所在地人民法院提起诉讼。</w:t>
      </w:r>
    </w:p>
    <w:p w14:paraId="5F13ED3F">
      <w:pPr>
        <w:widowControl w:val="0"/>
        <w:spacing w:line="480" w:lineRule="exact"/>
        <w:jc w:val="both"/>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九、合同生效及其他</w:t>
      </w:r>
    </w:p>
    <w:p w14:paraId="2F061174">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9.1《医疗卫生机构医疗设备廉洁购销合同》作为本合同的附件，具有同等法律效力。双方均不可撤销地认同并遵守《医疗卫生机构医疗设备廉洁购销合同》。</w:t>
      </w:r>
    </w:p>
    <w:p w14:paraId="47EE63CB">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9.2 本合同经双方法定代表人或授权代表签字并加盖单位公章（合同章）后生效。本合同生效后，双方对合同内容的变更或补充应当采取书面形式，并经双方签字确认，作为本合同的附件。合同附件为本合同组成部分，具有同等法律效力。</w:t>
      </w:r>
    </w:p>
    <w:p w14:paraId="67C02DF2">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9.3本合同未尽事宜，遵照《中华人民共和国民法典》有关条款执行。</w:t>
      </w:r>
    </w:p>
    <w:p w14:paraId="5C8DEAE0">
      <w:pPr>
        <w:spacing w:line="480" w:lineRule="exact"/>
        <w:ind w:firstLine="480"/>
        <w:rPr>
          <w:rFonts w:hint="eastAsia" w:ascii="仿宋" w:hAnsi="仿宋" w:eastAsia="仿宋" w:cs="仿宋"/>
          <w:sz w:val="24"/>
          <w:szCs w:val="24"/>
        </w:rPr>
      </w:pPr>
      <w:r>
        <w:rPr>
          <w:rFonts w:hint="eastAsia" w:ascii="仿宋" w:hAnsi="仿宋" w:eastAsia="仿宋" w:cs="仿宋"/>
          <w:sz w:val="24"/>
          <w:szCs w:val="24"/>
        </w:rPr>
        <w:t>9.4本合同一式</w:t>
      </w:r>
      <w:r>
        <w:rPr>
          <w:rFonts w:hint="eastAsia" w:ascii="仿宋" w:hAnsi="仿宋" w:eastAsia="仿宋" w:cs="仿宋"/>
          <w:sz w:val="24"/>
          <w:szCs w:val="24"/>
          <w:u w:val="single"/>
          <w:lang w:val="en-US" w:eastAsia="zh-CN"/>
        </w:rPr>
        <w:t>陆</w:t>
      </w:r>
      <w:r>
        <w:rPr>
          <w:rFonts w:hint="eastAsia" w:ascii="仿宋" w:hAnsi="仿宋" w:eastAsia="仿宋" w:cs="仿宋"/>
          <w:sz w:val="24"/>
          <w:szCs w:val="24"/>
        </w:rPr>
        <w:t>份，甲方</w:t>
      </w:r>
      <w:r>
        <w:rPr>
          <w:rFonts w:hint="eastAsia" w:ascii="仿宋" w:hAnsi="仿宋" w:eastAsia="仿宋" w:cs="仿宋"/>
          <w:sz w:val="24"/>
          <w:szCs w:val="24"/>
          <w:u w:val="single"/>
        </w:rPr>
        <w:t>肆</w:t>
      </w:r>
      <w:r>
        <w:rPr>
          <w:rFonts w:hint="eastAsia" w:ascii="仿宋" w:hAnsi="仿宋" w:eastAsia="仿宋" w:cs="仿宋"/>
          <w:sz w:val="24"/>
          <w:szCs w:val="24"/>
        </w:rPr>
        <w:t>份，乙方</w:t>
      </w:r>
      <w:r>
        <w:rPr>
          <w:rFonts w:hint="eastAsia" w:ascii="仿宋" w:hAnsi="仿宋" w:eastAsia="仿宋" w:cs="仿宋"/>
          <w:sz w:val="24"/>
          <w:szCs w:val="24"/>
          <w:u w:val="single"/>
          <w:lang w:val="en-US" w:eastAsia="zh-CN"/>
        </w:rPr>
        <w:t>贰</w:t>
      </w:r>
      <w:r>
        <w:rPr>
          <w:rFonts w:hint="eastAsia" w:ascii="仿宋" w:hAnsi="仿宋" w:eastAsia="仿宋" w:cs="仿宋"/>
          <w:sz w:val="24"/>
          <w:szCs w:val="24"/>
        </w:rPr>
        <w:t>份，具同等法律效力。</w:t>
      </w:r>
    </w:p>
    <w:p w14:paraId="4E122A38">
      <w:pPr>
        <w:spacing w:line="480" w:lineRule="exact"/>
        <w:ind w:firstLine="480"/>
        <w:rPr>
          <w:rFonts w:hint="default" w:ascii="仿宋" w:hAnsi="仿宋" w:eastAsia="仿宋" w:cs="仿宋"/>
          <w:sz w:val="24"/>
          <w:szCs w:val="24"/>
          <w:u w:val="single"/>
          <w:lang w:val="en-US" w:eastAsia="zh-CN"/>
        </w:rPr>
      </w:pPr>
      <w:r>
        <w:rPr>
          <w:rFonts w:hint="eastAsia" w:ascii="仿宋" w:hAnsi="仿宋" w:eastAsia="仿宋" w:cs="仿宋"/>
          <w:sz w:val="24"/>
          <w:szCs w:val="24"/>
        </w:rPr>
        <w:t>9.5合同签署地点:</w:t>
      </w:r>
      <w:r>
        <w:rPr>
          <w:rFonts w:hint="eastAsia" w:ascii="仿宋" w:hAnsi="仿宋" w:eastAsia="仿宋" w:cs="仿宋"/>
          <w:sz w:val="24"/>
          <w:szCs w:val="24"/>
          <w:u w:val="single"/>
          <w:lang w:val="en-US" w:eastAsia="zh-CN"/>
        </w:rPr>
        <w:t xml:space="preserve">                  </w:t>
      </w:r>
    </w:p>
    <w:p w14:paraId="168348E2">
      <w:pPr>
        <w:spacing w:line="480" w:lineRule="exact"/>
        <w:rPr>
          <w:rFonts w:hint="eastAsia" w:ascii="仿宋" w:hAnsi="仿宋" w:eastAsia="仿宋" w:cs="仿宋"/>
          <w:bCs/>
          <w:sz w:val="24"/>
          <w:szCs w:val="24"/>
        </w:rPr>
      </w:pPr>
    </w:p>
    <w:p w14:paraId="75C14BCA">
      <w:pPr>
        <w:spacing w:line="480" w:lineRule="exact"/>
        <w:rPr>
          <w:rFonts w:hint="eastAsia" w:ascii="仿宋" w:hAnsi="仿宋" w:eastAsia="仿宋" w:cs="仿宋"/>
          <w:bCs/>
          <w:sz w:val="24"/>
          <w:szCs w:val="24"/>
        </w:rPr>
      </w:pPr>
      <w:r>
        <w:rPr>
          <w:rFonts w:hint="eastAsia" w:ascii="仿宋" w:hAnsi="仿宋" w:eastAsia="仿宋" w:cs="仿宋"/>
          <w:bCs/>
          <w:sz w:val="24"/>
          <w:szCs w:val="24"/>
        </w:rPr>
        <w:t>甲方（单位公章）：</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乙方（单位公章）：</w:t>
      </w:r>
    </w:p>
    <w:p w14:paraId="7A62D014">
      <w:pPr>
        <w:spacing w:line="480" w:lineRule="exact"/>
        <w:rPr>
          <w:rFonts w:hint="eastAsia" w:ascii="仿宋" w:hAnsi="仿宋" w:eastAsia="仿宋" w:cs="仿宋"/>
          <w:bCs/>
          <w:sz w:val="24"/>
          <w:szCs w:val="24"/>
        </w:rPr>
      </w:pPr>
      <w:r>
        <w:rPr>
          <w:rFonts w:hint="eastAsia" w:ascii="仿宋" w:hAnsi="仿宋" w:eastAsia="仿宋" w:cs="仿宋"/>
          <w:bCs/>
          <w:sz w:val="24"/>
          <w:szCs w:val="24"/>
        </w:rPr>
        <w:t>法定代表人或                         法定代表人或</w:t>
      </w:r>
    </w:p>
    <w:p w14:paraId="6B1B242B">
      <w:pPr>
        <w:spacing w:line="480" w:lineRule="exact"/>
        <w:rPr>
          <w:rFonts w:hint="eastAsia" w:ascii="仿宋" w:hAnsi="仿宋" w:eastAsia="仿宋" w:cs="仿宋"/>
          <w:bCs/>
          <w:sz w:val="24"/>
          <w:szCs w:val="24"/>
        </w:rPr>
      </w:pPr>
      <w:r>
        <w:rPr>
          <w:rFonts w:hint="eastAsia" w:ascii="仿宋" w:hAnsi="仿宋" w:eastAsia="仿宋" w:cs="仿宋"/>
          <w:bCs/>
          <w:sz w:val="24"/>
          <w:szCs w:val="24"/>
        </w:rPr>
        <w:t>授权代表签字：                       授权代表签字：</w:t>
      </w:r>
    </w:p>
    <w:p w14:paraId="17450CFC">
      <w:pPr>
        <w:spacing w:line="480" w:lineRule="exact"/>
        <w:rPr>
          <w:rFonts w:hint="eastAsia" w:ascii="仿宋" w:hAnsi="仿宋" w:eastAsia="仿宋" w:cs="仿宋"/>
          <w:bCs/>
          <w:sz w:val="24"/>
          <w:szCs w:val="24"/>
        </w:rPr>
      </w:pPr>
      <w:r>
        <w:rPr>
          <w:rFonts w:hint="eastAsia" w:ascii="仿宋" w:hAnsi="仿宋" w:eastAsia="仿宋" w:cs="仿宋"/>
          <w:bCs/>
          <w:sz w:val="24"/>
          <w:szCs w:val="24"/>
        </w:rPr>
        <w:t>单位地址：</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单位地址： </w:t>
      </w:r>
    </w:p>
    <w:p w14:paraId="54878282">
      <w:pPr>
        <w:spacing w:line="480" w:lineRule="exact"/>
        <w:rPr>
          <w:rFonts w:hint="eastAsia" w:ascii="仿宋" w:hAnsi="仿宋" w:eastAsia="仿宋" w:cs="仿宋"/>
          <w:bCs/>
          <w:sz w:val="24"/>
          <w:szCs w:val="24"/>
        </w:rPr>
      </w:pPr>
      <w:r>
        <w:rPr>
          <w:rFonts w:hint="eastAsia" w:ascii="仿宋" w:hAnsi="仿宋" w:eastAsia="仿宋" w:cs="仿宋"/>
          <w:bCs/>
          <w:sz w:val="24"/>
          <w:szCs w:val="24"/>
        </w:rPr>
        <w:t>电话：</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电话： </w:t>
      </w:r>
    </w:p>
    <w:p w14:paraId="6531B175">
      <w:pPr>
        <w:spacing w:line="480" w:lineRule="exact"/>
        <w:rPr>
          <w:rFonts w:hint="eastAsia" w:ascii="仿宋" w:hAnsi="仿宋" w:eastAsia="仿宋" w:cs="仿宋"/>
          <w:bCs/>
          <w:sz w:val="24"/>
          <w:szCs w:val="24"/>
        </w:rPr>
      </w:pPr>
      <w:r>
        <w:rPr>
          <w:rFonts w:hint="eastAsia" w:ascii="仿宋" w:hAnsi="仿宋" w:eastAsia="仿宋" w:cs="仿宋"/>
          <w:bCs/>
          <w:sz w:val="24"/>
          <w:szCs w:val="24"/>
        </w:rPr>
        <w:t>开户行：</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开户行： </w:t>
      </w:r>
    </w:p>
    <w:p w14:paraId="1BB4D948">
      <w:pPr>
        <w:spacing w:line="480" w:lineRule="exact"/>
        <w:rPr>
          <w:rFonts w:hint="eastAsia" w:ascii="仿宋" w:hAnsi="仿宋" w:eastAsia="仿宋" w:cs="仿宋"/>
          <w:b/>
          <w:bCs/>
          <w:sz w:val="24"/>
          <w:szCs w:val="24"/>
          <w:u w:val="single"/>
        </w:rPr>
      </w:pPr>
      <w:r>
        <w:rPr>
          <w:rFonts w:hint="eastAsia" w:ascii="仿宋" w:hAnsi="仿宋" w:eastAsia="仿宋" w:cs="仿宋"/>
          <w:bCs/>
          <w:sz w:val="24"/>
          <w:szCs w:val="24"/>
        </w:rPr>
        <w:t xml:space="preserve">账号：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                            账号： </w:t>
      </w:r>
    </w:p>
    <w:p w14:paraId="22701D16">
      <w:pPr>
        <w:spacing w:line="480" w:lineRule="exact"/>
        <w:rPr>
          <w:rFonts w:hint="eastAsia" w:ascii="仿宋" w:hAnsi="仿宋" w:eastAsia="仿宋" w:cs="仿宋"/>
          <w:bCs/>
          <w:sz w:val="24"/>
          <w:szCs w:val="24"/>
        </w:rPr>
      </w:pPr>
      <w:r>
        <w:rPr>
          <w:rFonts w:hint="eastAsia" w:ascii="仿宋" w:hAnsi="仿宋" w:eastAsia="仿宋" w:cs="仿宋"/>
          <w:sz w:val="24"/>
          <w:szCs w:val="24"/>
        </w:rPr>
        <w:t>邮编：</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邮编：</w:t>
      </w:r>
    </w:p>
    <w:p w14:paraId="187345D2">
      <w:pPr>
        <w:spacing w:line="480" w:lineRule="exact"/>
        <w:rPr>
          <w:rFonts w:hint="eastAsia" w:ascii="仿宋" w:hAnsi="仿宋" w:eastAsia="仿宋" w:cs="仿宋"/>
          <w:sz w:val="24"/>
          <w:szCs w:val="24"/>
        </w:rPr>
      </w:pPr>
      <w:bookmarkStart w:id="50" w:name="_Toc26165"/>
      <w:r>
        <w:rPr>
          <w:rFonts w:hint="eastAsia" w:ascii="仿宋" w:hAnsi="仿宋" w:eastAsia="仿宋" w:cs="仿宋"/>
          <w:sz w:val="24"/>
          <w:szCs w:val="24"/>
        </w:rPr>
        <w:t>日期：     年    月   日             日期：      年     月   日</w:t>
      </w:r>
      <w:bookmarkEnd w:id="50"/>
      <w:r>
        <w:rPr>
          <w:rFonts w:hint="eastAsia" w:ascii="仿宋" w:hAnsi="仿宋" w:eastAsia="仿宋" w:cs="仿宋"/>
          <w:sz w:val="24"/>
          <w:szCs w:val="24"/>
        </w:rPr>
        <w:t xml:space="preserve">     </w:t>
      </w:r>
    </w:p>
    <w:p w14:paraId="4B1DAD2F">
      <w:pPr>
        <w:pStyle w:val="14"/>
        <w:outlineLvl w:val="9"/>
        <w:rPr>
          <w:rFonts w:hint="eastAsia"/>
          <w:highlight w:val="none"/>
        </w:rPr>
      </w:pPr>
    </w:p>
    <w:p w14:paraId="5F004D01">
      <w:pPr>
        <w:pStyle w:val="204"/>
        <w:spacing w:line="240" w:lineRule="auto"/>
        <w:jc w:val="center"/>
        <w:outlineLvl w:val="9"/>
        <w:rPr>
          <w:rFonts w:hint="eastAsia"/>
          <w:highlight w:val="none"/>
        </w:rPr>
      </w:pPr>
      <w:bookmarkStart w:id="51" w:name="_Toc30821"/>
    </w:p>
    <w:p w14:paraId="7AEC1818">
      <w:pPr>
        <w:bidi w:val="0"/>
        <w:rPr>
          <w:rFonts w:hint="eastAsia"/>
          <w:highlight w:val="none"/>
        </w:rPr>
      </w:pPr>
    </w:p>
    <w:p w14:paraId="5EB9CDD3">
      <w:pPr>
        <w:bidi w:val="0"/>
        <w:rPr>
          <w:rFonts w:hint="eastAsia"/>
          <w:highlight w:val="none"/>
        </w:rPr>
      </w:pPr>
    </w:p>
    <w:p w14:paraId="79DD4283">
      <w:pPr>
        <w:bidi w:val="0"/>
        <w:rPr>
          <w:rFonts w:hint="eastAsia"/>
          <w:highlight w:val="none"/>
        </w:rPr>
      </w:pPr>
    </w:p>
    <w:p w14:paraId="7AF3A827">
      <w:pPr>
        <w:numPr>
          <w:ilvl w:val="0"/>
          <w:numId w:val="0"/>
        </w:numPr>
        <w:bidi w:val="0"/>
        <w:spacing w:line="360" w:lineRule="auto"/>
        <w:jc w:val="center"/>
        <w:outlineLvl w:val="0"/>
        <w:rPr>
          <w:rFonts w:hint="eastAsia" w:ascii="Times New Roman" w:hAnsi="Times New Roman" w:eastAsia="宋体" w:cs="Times New Roman"/>
          <w:highlight w:val="none"/>
        </w:rPr>
      </w:pPr>
      <w:r>
        <w:rPr>
          <w:rFonts w:hint="eastAsia"/>
          <w:highlight w:val="none"/>
        </w:rPr>
        <w:br w:type="page" w:clear="all"/>
      </w:r>
      <w:bookmarkStart w:id="52" w:name="_Toc12463"/>
      <w:r>
        <w:rPr>
          <w:rFonts w:hint="eastAsia" w:ascii="Times New Roman" w:hAnsi="Times New Roman" w:eastAsia="宋体" w:cs="Times New Roman"/>
          <w:b/>
          <w:sz w:val="44"/>
          <w:szCs w:val="20"/>
          <w:highlight w:val="none"/>
          <w:lang w:val="en-US" w:eastAsia="zh-CN" w:bidi="ar-SA"/>
        </w:rPr>
        <w:t>第四部分  采购需求</w:t>
      </w:r>
      <w:bookmarkEnd w:id="51"/>
      <w:bookmarkEnd w:id="52"/>
    </w:p>
    <w:p w14:paraId="1E4E46E1">
      <w:pPr>
        <w:spacing w:line="360" w:lineRule="auto"/>
        <w:jc w:val="center"/>
        <w:rPr>
          <w:rFonts w:hint="eastAsia" w:ascii="黑体" w:hAnsi="黑体" w:eastAsia="黑体" w:cs="宋体"/>
          <w:b/>
          <w:color w:val="auto"/>
          <w:sz w:val="36"/>
          <w:szCs w:val="36"/>
          <w:highlight w:val="none"/>
        </w:rPr>
      </w:pPr>
      <w:r>
        <w:rPr>
          <w:rFonts w:hint="eastAsia" w:ascii="黑体" w:hAnsi="黑体" w:eastAsia="黑体" w:cs="宋体"/>
          <w:b/>
          <w:color w:val="auto"/>
          <w:sz w:val="36"/>
          <w:szCs w:val="36"/>
          <w:highlight w:val="none"/>
        </w:rPr>
        <w:t>一、货物需求一览表</w:t>
      </w:r>
    </w:p>
    <w:tbl>
      <w:tblPr>
        <w:tblStyle w:val="35"/>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1"/>
        <w:gridCol w:w="3464"/>
        <w:gridCol w:w="705"/>
        <w:gridCol w:w="868"/>
        <w:gridCol w:w="2911"/>
      </w:tblGrid>
      <w:tr w14:paraId="2098B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36" w:type="pct"/>
            <w:shd w:val="clear" w:color="auto" w:fill="auto"/>
            <w:noWrap/>
            <w:tcMar>
              <w:top w:w="15" w:type="dxa"/>
              <w:left w:w="15" w:type="dxa"/>
              <w:right w:w="15" w:type="dxa"/>
            </w:tcMar>
            <w:vAlign w:val="center"/>
          </w:tcPr>
          <w:p w14:paraId="000F63F7">
            <w:pPr>
              <w:widowControl/>
              <w:jc w:val="center"/>
              <w:rPr>
                <w:rFonts w:hint="eastAsia" w:ascii="仿宋" w:hAnsi="仿宋" w:eastAsia="仿宋" w:cs="仿宋"/>
                <w:b/>
                <w:bCs/>
                <w:color w:val="auto"/>
              </w:rPr>
            </w:pPr>
            <w:r>
              <w:rPr>
                <w:rFonts w:hint="eastAsia" w:ascii="仿宋" w:hAnsi="仿宋" w:eastAsia="仿宋" w:cs="仿宋"/>
                <w:b/>
                <w:bCs/>
                <w:color w:val="auto"/>
                <w:lang w:bidi="ar"/>
              </w:rPr>
              <w:t>序号</w:t>
            </w:r>
          </w:p>
        </w:tc>
        <w:tc>
          <w:tcPr>
            <w:tcW w:w="1969" w:type="pct"/>
            <w:shd w:val="clear" w:color="auto" w:fill="auto"/>
            <w:noWrap/>
            <w:tcMar>
              <w:top w:w="15" w:type="dxa"/>
              <w:left w:w="15" w:type="dxa"/>
              <w:right w:w="15" w:type="dxa"/>
            </w:tcMar>
            <w:vAlign w:val="center"/>
          </w:tcPr>
          <w:p w14:paraId="5056493E">
            <w:pPr>
              <w:widowControl/>
              <w:jc w:val="center"/>
              <w:rPr>
                <w:rFonts w:hint="eastAsia" w:ascii="仿宋" w:hAnsi="仿宋" w:eastAsia="仿宋" w:cs="仿宋"/>
                <w:b/>
                <w:bCs/>
                <w:color w:val="auto"/>
              </w:rPr>
            </w:pPr>
            <w:r>
              <w:rPr>
                <w:rFonts w:hint="eastAsia" w:ascii="仿宋" w:hAnsi="仿宋" w:eastAsia="仿宋" w:cs="仿宋"/>
                <w:b/>
                <w:bCs/>
                <w:color w:val="auto"/>
                <w:lang w:bidi="ar"/>
              </w:rPr>
              <w:t>名称</w:t>
            </w:r>
          </w:p>
        </w:tc>
        <w:tc>
          <w:tcPr>
            <w:tcW w:w="414" w:type="pct"/>
            <w:shd w:val="clear" w:color="auto" w:fill="auto"/>
            <w:noWrap/>
            <w:tcMar>
              <w:top w:w="15" w:type="dxa"/>
              <w:left w:w="15" w:type="dxa"/>
              <w:right w:w="15" w:type="dxa"/>
            </w:tcMar>
            <w:vAlign w:val="center"/>
          </w:tcPr>
          <w:p w14:paraId="42F29DF6">
            <w:pPr>
              <w:widowControl/>
              <w:jc w:val="center"/>
              <w:rPr>
                <w:rFonts w:hint="eastAsia" w:ascii="仿宋" w:hAnsi="仿宋" w:eastAsia="仿宋" w:cs="仿宋"/>
                <w:b/>
                <w:bCs/>
                <w:color w:val="auto"/>
              </w:rPr>
            </w:pPr>
            <w:r>
              <w:rPr>
                <w:rFonts w:hint="eastAsia" w:ascii="仿宋" w:hAnsi="仿宋" w:eastAsia="仿宋" w:cs="仿宋"/>
                <w:b/>
                <w:bCs/>
                <w:color w:val="auto"/>
                <w:lang w:bidi="ar"/>
              </w:rPr>
              <w:t>单位</w:t>
            </w:r>
          </w:p>
        </w:tc>
        <w:tc>
          <w:tcPr>
            <w:tcW w:w="506" w:type="pct"/>
            <w:shd w:val="clear" w:color="auto" w:fill="FFFFFF"/>
            <w:noWrap/>
            <w:tcMar>
              <w:top w:w="15" w:type="dxa"/>
              <w:left w:w="15" w:type="dxa"/>
              <w:right w:w="15" w:type="dxa"/>
            </w:tcMar>
            <w:vAlign w:val="center"/>
          </w:tcPr>
          <w:p w14:paraId="508AA677">
            <w:pPr>
              <w:widowControl/>
              <w:jc w:val="center"/>
              <w:rPr>
                <w:rFonts w:hint="eastAsia" w:ascii="仿宋" w:hAnsi="仿宋" w:eastAsia="仿宋" w:cs="仿宋"/>
                <w:b/>
                <w:bCs/>
                <w:color w:val="auto"/>
              </w:rPr>
            </w:pPr>
            <w:r>
              <w:rPr>
                <w:rFonts w:hint="eastAsia" w:ascii="仿宋" w:hAnsi="仿宋" w:eastAsia="仿宋" w:cs="仿宋"/>
                <w:b/>
                <w:bCs/>
                <w:color w:val="auto"/>
                <w:lang w:bidi="ar"/>
              </w:rPr>
              <w:t>数量</w:t>
            </w:r>
          </w:p>
        </w:tc>
        <w:tc>
          <w:tcPr>
            <w:tcW w:w="1573" w:type="pct"/>
            <w:shd w:val="clear" w:color="auto" w:fill="auto"/>
            <w:noWrap/>
            <w:tcMar>
              <w:top w:w="15" w:type="dxa"/>
              <w:left w:w="15" w:type="dxa"/>
              <w:right w:w="15" w:type="dxa"/>
            </w:tcMar>
            <w:vAlign w:val="center"/>
          </w:tcPr>
          <w:p w14:paraId="17C37224">
            <w:pPr>
              <w:jc w:val="center"/>
              <w:rPr>
                <w:rFonts w:hint="eastAsia" w:ascii="仿宋" w:hAnsi="仿宋" w:eastAsia="仿宋" w:cs="仿宋"/>
                <w:b/>
                <w:bCs/>
                <w:color w:val="auto"/>
              </w:rPr>
            </w:pPr>
            <w:r>
              <w:rPr>
                <w:rFonts w:hint="eastAsia" w:ascii="仿宋" w:hAnsi="仿宋" w:eastAsia="仿宋" w:cs="仿宋"/>
                <w:b/>
                <w:bCs/>
                <w:color w:val="auto"/>
                <w:szCs w:val="21"/>
                <w:highlight w:val="none"/>
              </w:rPr>
              <w:t>交货地点</w:t>
            </w:r>
          </w:p>
        </w:tc>
      </w:tr>
      <w:tr w14:paraId="2DBD3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36" w:type="pct"/>
            <w:shd w:val="clear" w:color="auto" w:fill="auto"/>
            <w:noWrap/>
            <w:tcMar>
              <w:top w:w="15" w:type="dxa"/>
              <w:left w:w="15" w:type="dxa"/>
              <w:right w:w="15" w:type="dxa"/>
            </w:tcMar>
            <w:vAlign w:val="center"/>
          </w:tcPr>
          <w:p w14:paraId="4CFBF574">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1969" w:type="pct"/>
            <w:shd w:val="clear" w:color="auto" w:fill="auto"/>
            <w:noWrap/>
            <w:tcMar>
              <w:top w:w="15" w:type="dxa"/>
              <w:left w:w="15" w:type="dxa"/>
              <w:right w:w="15" w:type="dxa"/>
            </w:tcMar>
            <w:vAlign w:val="center"/>
          </w:tcPr>
          <w:p w14:paraId="3021883C">
            <w:pPr>
              <w:widowControl/>
              <w:jc w:val="center"/>
              <w:rPr>
                <w:rFonts w:hint="eastAsia" w:ascii="仿宋" w:hAnsi="仿宋" w:eastAsia="仿宋" w:cs="仿宋"/>
                <w:color w:val="auto"/>
                <w:highlight w:val="none"/>
              </w:rPr>
            </w:pPr>
            <w:r>
              <w:rPr>
                <w:rFonts w:hint="eastAsia" w:ascii="宋体" w:hAnsi="宋体" w:eastAsia="宋体" w:cs="宋体"/>
                <w:b w:val="0"/>
                <w:bCs w:val="0"/>
                <w:color w:val="auto"/>
                <w:highlight w:val="none"/>
              </w:rPr>
              <w:t>◎</w:t>
            </w:r>
            <w:r>
              <w:rPr>
                <w:rFonts w:hint="eastAsia" w:ascii="仿宋" w:hAnsi="仿宋" w:eastAsia="仿宋" w:cs="仿宋"/>
                <w:b w:val="0"/>
                <w:bCs w:val="0"/>
                <w:color w:val="auto"/>
                <w:highlight w:val="none"/>
                <w:lang w:val="en-US" w:eastAsia="zh-CN"/>
              </w:rPr>
              <w:t>医院</w:t>
            </w:r>
            <w:r>
              <w:rPr>
                <w:rFonts w:hint="eastAsia" w:ascii="仿宋" w:hAnsi="仿宋" w:eastAsia="仿宋" w:cs="仿宋"/>
                <w:color w:val="auto"/>
                <w:highlight w:val="none"/>
              </w:rPr>
              <w:t>成本管理系统</w:t>
            </w:r>
          </w:p>
        </w:tc>
        <w:tc>
          <w:tcPr>
            <w:tcW w:w="414" w:type="pct"/>
            <w:shd w:val="clear" w:color="auto" w:fill="auto"/>
            <w:noWrap/>
            <w:tcMar>
              <w:top w:w="15" w:type="dxa"/>
              <w:left w:w="15" w:type="dxa"/>
              <w:right w:w="15" w:type="dxa"/>
            </w:tcMar>
            <w:vAlign w:val="center"/>
          </w:tcPr>
          <w:p w14:paraId="54C4342B">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套</w:t>
            </w:r>
          </w:p>
        </w:tc>
        <w:tc>
          <w:tcPr>
            <w:tcW w:w="506" w:type="pct"/>
            <w:shd w:val="clear" w:color="auto" w:fill="FFFFFF"/>
            <w:noWrap/>
            <w:tcMar>
              <w:top w:w="15" w:type="dxa"/>
              <w:left w:w="15" w:type="dxa"/>
              <w:right w:w="15" w:type="dxa"/>
            </w:tcMar>
            <w:vAlign w:val="center"/>
          </w:tcPr>
          <w:p w14:paraId="35C85FD5">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1573" w:type="pct"/>
            <w:vMerge w:val="restart"/>
            <w:shd w:val="clear" w:color="auto" w:fill="auto"/>
            <w:noWrap/>
            <w:tcMar>
              <w:top w:w="15" w:type="dxa"/>
              <w:left w:w="15" w:type="dxa"/>
              <w:right w:w="15" w:type="dxa"/>
            </w:tcMar>
            <w:vAlign w:val="center"/>
          </w:tcPr>
          <w:p w14:paraId="021173F6">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江苏省第二中医院指定地点</w:t>
            </w:r>
          </w:p>
        </w:tc>
      </w:tr>
      <w:tr w14:paraId="3BED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36" w:type="pct"/>
            <w:shd w:val="clear" w:color="auto" w:fill="auto"/>
            <w:noWrap/>
            <w:tcMar>
              <w:top w:w="15" w:type="dxa"/>
              <w:left w:w="15" w:type="dxa"/>
              <w:right w:w="15" w:type="dxa"/>
            </w:tcMar>
            <w:vAlign w:val="center"/>
          </w:tcPr>
          <w:p w14:paraId="7E4D40EC">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c>
          <w:tcPr>
            <w:tcW w:w="1969" w:type="pct"/>
            <w:shd w:val="clear" w:color="auto" w:fill="auto"/>
            <w:noWrap/>
            <w:tcMar>
              <w:top w:w="15" w:type="dxa"/>
              <w:left w:w="15" w:type="dxa"/>
              <w:right w:w="15" w:type="dxa"/>
            </w:tcMar>
            <w:vAlign w:val="center"/>
          </w:tcPr>
          <w:p w14:paraId="7B6A7D8F">
            <w:pPr>
              <w:widowControl/>
              <w:jc w:val="center"/>
              <w:rPr>
                <w:rFonts w:hint="eastAsia" w:ascii="仿宋" w:hAnsi="仿宋" w:eastAsia="仿宋" w:cs="仿宋"/>
                <w:color w:val="auto"/>
                <w:highlight w:val="none"/>
              </w:rPr>
            </w:pPr>
            <w:r>
              <w:rPr>
                <w:rFonts w:hint="eastAsia" w:ascii="仿宋" w:hAnsi="仿宋" w:eastAsia="仿宋" w:cs="仿宋"/>
                <w:color w:val="auto"/>
                <w:highlight w:val="none"/>
              </w:rPr>
              <w:t>DRG运营分析系统</w:t>
            </w:r>
          </w:p>
        </w:tc>
        <w:tc>
          <w:tcPr>
            <w:tcW w:w="414" w:type="pct"/>
            <w:shd w:val="clear" w:color="auto" w:fill="auto"/>
            <w:noWrap/>
            <w:tcMar>
              <w:top w:w="15" w:type="dxa"/>
              <w:left w:w="15" w:type="dxa"/>
              <w:right w:w="15" w:type="dxa"/>
            </w:tcMar>
            <w:vAlign w:val="center"/>
          </w:tcPr>
          <w:p w14:paraId="1C4FEEDA">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套</w:t>
            </w:r>
          </w:p>
        </w:tc>
        <w:tc>
          <w:tcPr>
            <w:tcW w:w="506" w:type="pct"/>
            <w:shd w:val="clear" w:color="auto" w:fill="FFFFFF"/>
            <w:noWrap/>
            <w:tcMar>
              <w:top w:w="15" w:type="dxa"/>
              <w:left w:w="15" w:type="dxa"/>
              <w:right w:w="15" w:type="dxa"/>
            </w:tcMar>
            <w:vAlign w:val="center"/>
          </w:tcPr>
          <w:p w14:paraId="2618F12F">
            <w:pPr>
              <w:widowControl/>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1573" w:type="pct"/>
            <w:vMerge w:val="continue"/>
            <w:shd w:val="clear" w:color="auto" w:fill="auto"/>
            <w:noWrap/>
            <w:tcMar>
              <w:top w:w="15" w:type="dxa"/>
              <w:left w:w="15" w:type="dxa"/>
              <w:right w:w="15" w:type="dxa"/>
            </w:tcMar>
            <w:vAlign w:val="center"/>
          </w:tcPr>
          <w:p w14:paraId="783EB9B4">
            <w:pPr>
              <w:jc w:val="center"/>
              <w:rPr>
                <w:rFonts w:hint="eastAsia" w:ascii="仿宋" w:hAnsi="仿宋" w:eastAsia="仿宋" w:cs="仿宋"/>
                <w:color w:val="auto"/>
                <w:szCs w:val="21"/>
                <w:highlight w:val="none"/>
                <w:lang w:val="en-US" w:eastAsia="zh-CN"/>
              </w:rPr>
            </w:pPr>
          </w:p>
        </w:tc>
      </w:tr>
    </w:tbl>
    <w:p w14:paraId="2C59CE7A">
      <w:pPr>
        <w:rPr>
          <w:rFonts w:hint="eastAsia" w:ascii="仿宋" w:hAnsi="仿宋" w:eastAsia="仿宋" w:cs="仿宋"/>
          <w:b/>
          <w:color w:val="auto"/>
          <w:sz w:val="24"/>
          <w:szCs w:val="24"/>
          <w:highlight w:val="yellow"/>
          <w:lang w:val="en-US" w:eastAsia="zh-CN"/>
        </w:rPr>
      </w:pPr>
      <w:r>
        <w:rPr>
          <w:rFonts w:hint="eastAsia" w:ascii="仿宋" w:hAnsi="仿宋" w:eastAsia="仿宋" w:cs="仿宋"/>
          <w:b/>
          <w:color w:val="auto"/>
          <w:sz w:val="24"/>
          <w:szCs w:val="24"/>
          <w:highlight w:val="none"/>
          <w:lang w:val="en-US" w:eastAsia="zh-CN"/>
        </w:rPr>
        <w:t>注：标注“◎”的为核心产品</w:t>
      </w:r>
    </w:p>
    <w:p w14:paraId="5C017E82">
      <w:pPr>
        <w:rPr>
          <w:rFonts w:hint="default" w:ascii="仿宋" w:hAnsi="仿宋" w:eastAsia="仿宋" w:cs="仿宋"/>
          <w:b/>
          <w:color w:val="auto"/>
          <w:sz w:val="24"/>
          <w:szCs w:val="24"/>
          <w:highlight w:val="none"/>
          <w:lang w:val="en-US" w:eastAsia="zh-CN"/>
        </w:rPr>
      </w:pPr>
    </w:p>
    <w:p w14:paraId="662E10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宋体"/>
          <w:b/>
          <w:color w:val="auto"/>
          <w:sz w:val="36"/>
          <w:szCs w:val="36"/>
          <w:highlight w:val="none"/>
        </w:rPr>
      </w:pPr>
      <w:r>
        <w:rPr>
          <w:rFonts w:hint="eastAsia" w:ascii="黑体" w:hAnsi="黑体" w:eastAsia="黑体" w:cs="宋体"/>
          <w:b/>
          <w:color w:val="auto"/>
          <w:sz w:val="36"/>
          <w:szCs w:val="36"/>
          <w:highlight w:val="none"/>
          <w:lang w:val="en-US" w:eastAsia="zh-CN"/>
        </w:rPr>
        <w:t>二、</w:t>
      </w:r>
      <w:r>
        <w:rPr>
          <w:rFonts w:hint="eastAsia" w:ascii="黑体" w:hAnsi="黑体" w:eastAsia="黑体" w:cs="宋体"/>
          <w:b/>
          <w:color w:val="auto"/>
          <w:sz w:val="36"/>
          <w:szCs w:val="36"/>
          <w:highlight w:val="none"/>
        </w:rPr>
        <w:t>技术参数及要求（逐一应答）</w:t>
      </w:r>
    </w:p>
    <w:p w14:paraId="019D6A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jc w:val="both"/>
        <w:textAlignment w:val="auto"/>
        <w:rPr>
          <w:rFonts w:hint="eastAsia" w:ascii="仿宋" w:hAnsi="仿宋" w:eastAsia="仿宋" w:cs="仿宋"/>
          <w:b/>
          <w:bCs w:val="0"/>
          <w:color w:val="auto"/>
          <w:sz w:val="24"/>
          <w:szCs w:val="24"/>
          <w:lang w:val="en-US" w:eastAsia="zh-CN" w:bidi="ar-SA"/>
        </w:rPr>
      </w:pPr>
      <w:r>
        <w:rPr>
          <w:rFonts w:hint="eastAsia" w:ascii="仿宋" w:hAnsi="仿宋" w:eastAsia="仿宋" w:cs="仿宋"/>
          <w:b/>
          <w:bCs w:val="0"/>
          <w:color w:val="auto"/>
          <w:sz w:val="24"/>
          <w:szCs w:val="24"/>
          <w:lang w:val="en-US" w:eastAsia="zh-CN" w:bidi="ar-SA"/>
        </w:rPr>
        <w:t>（一）技术要求</w:t>
      </w:r>
      <w:bookmarkStart w:id="53" w:name="_Toc202991339"/>
      <w:bookmarkStart w:id="54" w:name="_Toc166148137"/>
    </w:p>
    <w:p w14:paraId="6804C29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firstLine="482" w:firstLineChars="200"/>
        <w:jc w:val="both"/>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1.项目目标</w:t>
      </w:r>
      <w:bookmarkEnd w:id="53"/>
      <w:bookmarkEnd w:id="54"/>
    </w:p>
    <w:p w14:paraId="19AAEBBC">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color w:val="auto"/>
          <w:kern w:val="2"/>
          <w:sz w:val="24"/>
          <w:szCs w:val="24"/>
          <w:shd w:val="clear" w:color="auto" w:fill="FFFFFF"/>
        </w:rPr>
      </w:pPr>
      <w:bookmarkStart w:id="55" w:name="_Hlk32999059"/>
      <w:r>
        <w:rPr>
          <w:rFonts w:hint="eastAsia" w:ascii="仿宋" w:hAnsi="仿宋" w:eastAsia="仿宋" w:cs="仿宋"/>
          <w:kern w:val="2"/>
          <w:sz w:val="24"/>
          <w:szCs w:val="24"/>
          <w:shd w:val="clear" w:color="auto" w:fill="FFFFFF"/>
        </w:rPr>
        <w:t>为满足《公立医院成本核算规范》要求，通过原医院成本管理系统升级，规范源头数据存储过程，拆分细化支出项目列支渠道及科室国标分类，产生对内对外的标准报表格式，发挥成本核算在医疗服务定价、公立医院成本控制和绩效评价中的</w:t>
      </w:r>
      <w:r>
        <w:rPr>
          <w:rFonts w:hint="eastAsia" w:ascii="仿宋" w:hAnsi="仿宋" w:eastAsia="仿宋" w:cs="仿宋"/>
          <w:color w:val="auto"/>
          <w:kern w:val="2"/>
          <w:sz w:val="24"/>
          <w:szCs w:val="24"/>
          <w:shd w:val="clear" w:color="auto" w:fill="FFFFFF"/>
        </w:rPr>
        <w:t>作用，提升单位内部管理水平和运营效率，推进公立医院高质量发展。本项目</w:t>
      </w:r>
      <w:r>
        <w:rPr>
          <w:rFonts w:hint="eastAsia" w:ascii="仿宋" w:hAnsi="仿宋" w:eastAsia="仿宋" w:cs="仿宋"/>
          <w:color w:val="auto"/>
          <w:kern w:val="2"/>
          <w:sz w:val="24"/>
          <w:szCs w:val="24"/>
          <w:shd w:val="clear" w:color="auto" w:fill="FFFFFF"/>
          <w:lang w:val="en-US" w:eastAsia="zh-CN"/>
        </w:rPr>
        <w:t>采购成本管理系统</w:t>
      </w:r>
      <w:r>
        <w:rPr>
          <w:rFonts w:hint="eastAsia" w:ascii="仿宋" w:hAnsi="仿宋" w:eastAsia="仿宋" w:cs="仿宋"/>
          <w:color w:val="auto"/>
          <w:kern w:val="2"/>
          <w:sz w:val="24"/>
          <w:szCs w:val="24"/>
          <w:shd w:val="clear" w:color="auto" w:fill="FFFFFF"/>
        </w:rPr>
        <w:t>需完成以下目标：</w:t>
      </w:r>
    </w:p>
    <w:bookmarkEnd w:id="55"/>
    <w:p w14:paraId="6AC6AE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1.1全面支持最新《政府会计制度》及2021年国家卫健委《公立医院成本核算规范》科室成本核算要求，建立基于全院所有核算单元的科室成本核算体系。</w:t>
      </w:r>
    </w:p>
    <w:p w14:paraId="55D3CE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1.2通过规范源头数据存储过程，拆分细化支出项目列支渠道及科室国标分类，产生对内对外的标准报表格式。</w:t>
      </w:r>
    </w:p>
    <w:p w14:paraId="6FD471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1.3根据报表中《医院医疗服务项目成本汇总表》项目类别定义项目分类规则，拆分医疗收费项目对应分类，增加报表查询功能；增加DRGS成本分配及相关查询报表。</w:t>
      </w:r>
    </w:p>
    <w:p w14:paraId="4D2257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1.4通过DRGs数据治理服务的建模处理将临床医生使用的疾病诊断和手术操作诊断转化为医保DRGs支付政策所要求的ICD-10和ICD-9-CM3，以减少病案室人工纠</w:t>
      </w:r>
      <w:r>
        <w:rPr>
          <w:rFonts w:hint="eastAsia" w:ascii="仿宋" w:hAnsi="仿宋" w:eastAsia="仿宋" w:cs="仿宋"/>
          <w:kern w:val="2"/>
          <w:sz w:val="24"/>
          <w:szCs w:val="24"/>
          <w:shd w:val="clear" w:color="auto" w:fill="FFFFFF"/>
          <w:lang w:val="en-US" w:eastAsia="zh-CN" w:bidi="ar-SA"/>
        </w:rPr>
        <w:t>错率，提升医保费用获取率。</w:t>
      </w:r>
    </w:p>
    <w:p w14:paraId="3994D8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kern w:val="2"/>
          <w:sz w:val="24"/>
          <w:szCs w:val="24"/>
          <w:shd w:val="clear" w:fill="FFFFFF"/>
          <w:lang w:val="en-US" w:eastAsia="zh-CN" w:bidi="ar-SA"/>
        </w:rPr>
        <w:t>1.5</w:t>
      </w:r>
      <w:r>
        <w:rPr>
          <w:rFonts w:hint="eastAsia" w:ascii="仿宋" w:hAnsi="仿宋" w:eastAsia="仿宋" w:cs="仿宋"/>
          <w:kern w:val="2"/>
          <w:sz w:val="24"/>
          <w:szCs w:val="24"/>
          <w:shd w:val="clear" w:color="auto" w:fill="FFFFFF"/>
          <w:lang w:val="en-US" w:eastAsia="zh-CN" w:bidi="ar-SA"/>
        </w:rPr>
        <w:t>应根据当地统筹医保局返回的医保支付数据模拟分组器，在临床治疗过程中“事前提醒”，避免病人出院或诊疗结束后出现来不及补救的现象，以减少医院的事实性损失。</w:t>
      </w:r>
    </w:p>
    <w:p w14:paraId="1E34FF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kern w:val="2"/>
          <w:sz w:val="24"/>
          <w:szCs w:val="24"/>
          <w:shd w:val="clear" w:fill="FFFFFF"/>
          <w:lang w:val="en-US" w:eastAsia="zh-CN" w:bidi="ar-SA"/>
        </w:rPr>
        <w:t>1.6</w:t>
      </w:r>
      <w:r>
        <w:rPr>
          <w:rFonts w:hint="eastAsia" w:ascii="仿宋" w:hAnsi="仿宋" w:eastAsia="仿宋" w:cs="仿宋"/>
          <w:kern w:val="2"/>
          <w:sz w:val="24"/>
          <w:szCs w:val="24"/>
          <w:shd w:val="clear" w:color="auto" w:fill="FFFFFF"/>
          <w:lang w:val="en-US" w:eastAsia="zh-CN" w:bidi="ar-SA"/>
        </w:rPr>
        <w:t>在保障医疗质量的前提下，有效降低医疗成本，实现医院付费方式改革的信息化，给DRGs的推广提供有力支撑。</w:t>
      </w:r>
    </w:p>
    <w:p w14:paraId="6B7619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仿宋" w:hAnsi="仿宋" w:eastAsia="仿宋" w:cs="仿宋"/>
          <w:kern w:val="2"/>
          <w:sz w:val="24"/>
          <w:szCs w:val="24"/>
          <w:shd w:val="clear" w:color="auto" w:fill="FFFFFF"/>
          <w:lang w:val="en-US" w:eastAsia="zh-CN" w:bidi="ar-SA"/>
        </w:rPr>
      </w:pPr>
      <w:r>
        <w:rPr>
          <w:rFonts w:hint="eastAsia" w:ascii="仿宋" w:hAnsi="仿宋" w:eastAsia="仿宋" w:cs="仿宋"/>
          <w:kern w:val="2"/>
          <w:sz w:val="24"/>
          <w:szCs w:val="24"/>
          <w:shd w:val="clear" w:fill="FFFFFF"/>
          <w:lang w:val="en-US" w:eastAsia="zh-CN" w:bidi="ar-SA"/>
        </w:rPr>
        <w:t>1.7</w:t>
      </w:r>
      <w:r>
        <w:rPr>
          <w:rFonts w:hint="eastAsia" w:ascii="仿宋" w:hAnsi="仿宋" w:eastAsia="仿宋" w:cs="仿宋"/>
          <w:kern w:val="2"/>
          <w:sz w:val="24"/>
          <w:szCs w:val="24"/>
          <w:shd w:val="clear" w:color="auto" w:fill="FFFFFF"/>
          <w:lang w:val="en-US" w:eastAsia="zh-CN" w:bidi="ar-SA"/>
        </w:rPr>
        <w:t>为管理决策层提供经营决策的辅助依据，实现对医院运营情况及时监控，提前预判，从而优化资源配置，有效提高医务工作者的工作效率，提升医院整体经济效益。</w:t>
      </w:r>
      <w:bookmarkStart w:id="56" w:name="_Toc202991340"/>
    </w:p>
    <w:p w14:paraId="3BAC530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eastAsia" w:ascii="仿宋" w:hAnsi="仿宋" w:eastAsia="仿宋" w:cs="仿宋"/>
          <w:b/>
          <w:bCs/>
          <w:kern w:val="44"/>
          <w:sz w:val="24"/>
          <w:szCs w:val="24"/>
          <w:lang w:val="en-US" w:eastAsia="zh-CN" w:bidi="ar-SA"/>
        </w:rPr>
      </w:pPr>
      <w:r>
        <w:rPr>
          <w:rFonts w:hint="eastAsia" w:ascii="仿宋" w:hAnsi="仿宋" w:eastAsia="仿宋" w:cs="仿宋"/>
          <w:b/>
          <w:bCs/>
          <w:kern w:val="44"/>
          <w:sz w:val="24"/>
          <w:szCs w:val="24"/>
          <w:lang w:val="en-US" w:eastAsia="zh-CN" w:bidi="ar-SA"/>
        </w:rPr>
        <w:t>2.项目要求</w:t>
      </w:r>
      <w:bookmarkEnd w:id="56"/>
    </w:p>
    <w:p w14:paraId="2157E336">
      <w:pPr>
        <w:keepNext/>
        <w:keepLines/>
        <w:pageBreakBefore w:val="0"/>
        <w:numPr>
          <w:ilvl w:val="1"/>
          <w:numId w:val="0"/>
        </w:numPr>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eastAsia" w:ascii="仿宋" w:hAnsi="仿宋" w:eastAsia="仿宋" w:cs="仿宋"/>
          <w:b/>
          <w:bCs/>
          <w:kern w:val="2"/>
          <w:sz w:val="24"/>
          <w:szCs w:val="24"/>
          <w:lang w:val="en-US" w:eastAsia="zh-CN" w:bidi="ar-SA"/>
        </w:rPr>
      </w:pPr>
      <w:bookmarkStart w:id="57" w:name="_Toc22746229"/>
      <w:bookmarkStart w:id="58" w:name="_Toc166148139"/>
      <w:bookmarkStart w:id="59" w:name="_Toc202991341"/>
      <w:r>
        <w:rPr>
          <w:rFonts w:hint="eastAsia" w:ascii="仿宋" w:hAnsi="仿宋" w:eastAsia="仿宋" w:cs="仿宋"/>
          <w:b/>
          <w:bCs/>
          <w:kern w:val="2"/>
          <w:sz w:val="24"/>
          <w:szCs w:val="24"/>
          <w:lang w:val="en-US" w:eastAsia="zh-CN" w:bidi="ar-SA"/>
        </w:rPr>
        <w:t>2.1总体技术要求</w:t>
      </w:r>
      <w:bookmarkEnd w:id="57"/>
      <w:bookmarkEnd w:id="58"/>
      <w:bookmarkEnd w:id="59"/>
    </w:p>
    <w:p w14:paraId="43B45B0B">
      <w:pPr>
        <w:pageBreakBefore w:val="0"/>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本次项目为软件系统采购项目，网络、安全</w:t>
      </w:r>
      <w:r>
        <w:rPr>
          <w:rFonts w:hint="eastAsia" w:ascii="仿宋" w:hAnsi="仿宋" w:eastAsia="仿宋" w:cs="仿宋"/>
          <w:kern w:val="2"/>
          <w:sz w:val="24"/>
          <w:szCs w:val="24"/>
          <w:lang w:eastAsia="zh-CN"/>
        </w:rPr>
        <w:t>等</w:t>
      </w:r>
      <w:r>
        <w:rPr>
          <w:rFonts w:hint="eastAsia" w:ascii="仿宋" w:hAnsi="仿宋" w:eastAsia="仿宋" w:cs="仿宋"/>
          <w:kern w:val="2"/>
          <w:sz w:val="24"/>
          <w:szCs w:val="24"/>
        </w:rPr>
        <w:t>利用现有医院资源，不另行采购。总体技术需求如下：</w:t>
      </w:r>
    </w:p>
    <w:p w14:paraId="79159952">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2.1.1</w:t>
      </w:r>
      <w:r>
        <w:rPr>
          <w:rFonts w:hint="eastAsia" w:ascii="仿宋" w:hAnsi="仿宋" w:eastAsia="仿宋" w:cs="仿宋"/>
          <w:kern w:val="2"/>
          <w:sz w:val="24"/>
          <w:szCs w:val="24"/>
        </w:rPr>
        <w:t>采用多层架构的B/S结构，应用展示端建议采用HTML5技术；</w:t>
      </w:r>
    </w:p>
    <w:p w14:paraId="4CA7E74F">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2.1.2</w:t>
      </w:r>
      <w:r>
        <w:rPr>
          <w:rFonts w:hint="eastAsia" w:ascii="仿宋" w:hAnsi="仿宋" w:eastAsia="仿宋" w:cs="仿宋"/>
          <w:kern w:val="2"/>
          <w:sz w:val="24"/>
          <w:szCs w:val="24"/>
        </w:rPr>
        <w:t>考虑到平台将来的可扩展性，平台必须是开放式的：展示页面可视化配置；具有数据集，且数据集可自定义配置；</w:t>
      </w:r>
    </w:p>
    <w:p w14:paraId="606199BD">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2.1.3</w:t>
      </w:r>
      <w:r>
        <w:rPr>
          <w:rFonts w:hint="eastAsia" w:ascii="仿宋" w:hAnsi="仿宋" w:eastAsia="仿宋" w:cs="仿宋"/>
          <w:kern w:val="2"/>
          <w:sz w:val="24"/>
          <w:szCs w:val="24"/>
        </w:rPr>
        <w:t>要有数据展现引擎，可以根据医院需求配置相关管理指标的呈现；</w:t>
      </w:r>
    </w:p>
    <w:p w14:paraId="3E280602">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2.1.4</w:t>
      </w:r>
      <w:r>
        <w:rPr>
          <w:rFonts w:hint="eastAsia" w:ascii="仿宋" w:hAnsi="仿宋" w:eastAsia="仿宋" w:cs="仿宋"/>
          <w:kern w:val="2"/>
          <w:sz w:val="24"/>
          <w:szCs w:val="24"/>
        </w:rPr>
        <w:t>系统支持ORACLE数据库系统，</w:t>
      </w:r>
      <w:r>
        <w:rPr>
          <w:rFonts w:hint="eastAsia" w:ascii="仿宋" w:hAnsi="仿宋" w:eastAsia="仿宋" w:cs="仿宋"/>
          <w:kern w:val="2"/>
          <w:sz w:val="24"/>
          <w:szCs w:val="24"/>
          <w:lang w:val="en-US" w:eastAsia="zh-CN"/>
        </w:rPr>
        <w:t>主流</w:t>
      </w:r>
      <w:r>
        <w:rPr>
          <w:rFonts w:hint="eastAsia" w:ascii="仿宋" w:hAnsi="仿宋" w:eastAsia="仿宋" w:cs="仿宋"/>
          <w:kern w:val="2"/>
          <w:sz w:val="24"/>
          <w:szCs w:val="24"/>
        </w:rPr>
        <w:t>大型数</w:t>
      </w:r>
      <w:r>
        <w:rPr>
          <w:rFonts w:hint="eastAsia" w:ascii="仿宋" w:hAnsi="仿宋" w:eastAsia="仿宋" w:cs="仿宋"/>
          <w:kern w:val="2"/>
          <w:sz w:val="24"/>
          <w:szCs w:val="24"/>
          <w:highlight w:val="none"/>
        </w:rPr>
        <w:t>据库；支持</w:t>
      </w:r>
      <w:r>
        <w:rPr>
          <w:rFonts w:hint="eastAsia" w:ascii="仿宋" w:hAnsi="仿宋" w:eastAsia="仿宋" w:cs="仿宋"/>
          <w:kern w:val="2"/>
          <w:sz w:val="24"/>
          <w:szCs w:val="24"/>
          <w:highlight w:val="none"/>
          <w:lang w:val="en-US" w:eastAsia="zh-CN"/>
        </w:rPr>
        <w:t>主流</w:t>
      </w:r>
      <w:r>
        <w:rPr>
          <w:rFonts w:hint="eastAsia" w:ascii="仿宋" w:hAnsi="仿宋" w:eastAsia="仿宋" w:cs="仿宋"/>
          <w:kern w:val="2"/>
          <w:sz w:val="24"/>
          <w:szCs w:val="24"/>
          <w:highlight w:val="none"/>
        </w:rPr>
        <w:t>厂商的硬件及操作系统平台；支持Unix、Linux 、Windows</w:t>
      </w:r>
      <w:r>
        <w:rPr>
          <w:rFonts w:hint="eastAsia" w:ascii="仿宋" w:hAnsi="仿宋" w:eastAsia="仿宋" w:cs="仿宋"/>
          <w:kern w:val="2"/>
          <w:sz w:val="24"/>
          <w:szCs w:val="24"/>
          <w:highlight w:val="none"/>
          <w:lang w:val="en-US" w:eastAsia="zh-CN"/>
        </w:rPr>
        <w:t>等</w:t>
      </w:r>
      <w:r>
        <w:rPr>
          <w:rFonts w:hint="eastAsia" w:ascii="仿宋" w:hAnsi="仿宋" w:eastAsia="仿宋" w:cs="仿宋"/>
          <w:kern w:val="2"/>
          <w:sz w:val="24"/>
          <w:szCs w:val="24"/>
          <w:highlight w:val="none"/>
        </w:rPr>
        <w:t>操作系统，支持C/S或B/S的体系结构；支持关系模型，支持分布式处理；支持</w:t>
      </w:r>
      <w:r>
        <w:rPr>
          <w:rFonts w:hint="eastAsia" w:ascii="仿宋" w:hAnsi="仿宋" w:eastAsia="仿宋" w:cs="仿宋"/>
          <w:kern w:val="2"/>
          <w:sz w:val="24"/>
          <w:szCs w:val="24"/>
          <w:highlight w:val="none"/>
          <w:lang w:val="en-US" w:eastAsia="zh-CN"/>
        </w:rPr>
        <w:t>主流的</w:t>
      </w:r>
      <w:r>
        <w:rPr>
          <w:rFonts w:hint="eastAsia" w:ascii="仿宋" w:hAnsi="仿宋" w:eastAsia="仿宋" w:cs="仿宋"/>
          <w:kern w:val="2"/>
          <w:sz w:val="24"/>
          <w:szCs w:val="24"/>
          <w:highlight w:val="none"/>
        </w:rPr>
        <w:t>网络协议（TCP/IP、IPX/S</w:t>
      </w:r>
      <w:r>
        <w:rPr>
          <w:rFonts w:hint="eastAsia" w:ascii="仿宋" w:hAnsi="仿宋" w:eastAsia="仿宋" w:cs="仿宋"/>
          <w:kern w:val="2"/>
          <w:sz w:val="24"/>
          <w:szCs w:val="24"/>
        </w:rPr>
        <w:t>PX、NETBIOS及混合协议等）；</w:t>
      </w:r>
    </w:p>
    <w:p w14:paraId="207B5504">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2.1.5</w:t>
      </w:r>
      <w:r>
        <w:rPr>
          <w:rFonts w:hint="eastAsia" w:ascii="仿宋" w:hAnsi="仿宋" w:eastAsia="仿宋" w:cs="仿宋"/>
          <w:kern w:val="2"/>
          <w:sz w:val="24"/>
          <w:szCs w:val="24"/>
        </w:rPr>
        <w:t>提供配套的ETL工具、数据订阅工具、消息引擎、规则库、报表工具、数据共享引擎等一系列应用工具，可确保各种临床和管理应用效果的配置扩展实现。</w:t>
      </w:r>
    </w:p>
    <w:p w14:paraId="36794F93">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lang w:val="en-US" w:eastAsia="zh-CN"/>
        </w:rPr>
        <w:t>2.1.6</w:t>
      </w:r>
      <w:r>
        <w:rPr>
          <w:rFonts w:hint="eastAsia" w:ascii="仿宋" w:hAnsi="仿宋" w:eastAsia="仿宋" w:cs="仿宋"/>
          <w:kern w:val="2"/>
          <w:sz w:val="24"/>
          <w:szCs w:val="24"/>
        </w:rPr>
        <w:t>为确保业务系统的稳定，要求有独立的DRG数据中心的数据模型,要求不能直接引用当前业务系统模型或消息模型。要通过ETL技术对原始业务数据进行抽取、转换、清洗并转存到CDR数据模型中，形成集中存储的DRG数据集。</w:t>
      </w:r>
    </w:p>
    <w:p w14:paraId="2DB1CF7B">
      <w:pPr>
        <w:widowControl/>
        <w:kinsoku/>
        <w:wordWrap/>
        <w:overflowPunct/>
        <w:topLinePunct w:val="0"/>
        <w:autoSpaceDE/>
        <w:autoSpaceDN/>
        <w:bidi w:val="0"/>
        <w:adjustRightInd/>
        <w:snapToGrid/>
        <w:spacing w:line="440" w:lineRule="exact"/>
        <w:ind w:left="0" w:firstLine="480" w:firstLineChars="200"/>
        <w:textAlignment w:val="auto"/>
        <w:rPr>
          <w:rFonts w:hint="eastAsia" w:ascii="仿宋" w:hAnsi="仿宋" w:eastAsia="仿宋" w:cs="仿宋"/>
          <w:kern w:val="2"/>
          <w:sz w:val="24"/>
          <w:szCs w:val="24"/>
        </w:rPr>
      </w:pPr>
    </w:p>
    <w:p w14:paraId="00ADF6EE">
      <w:pPr>
        <w:keepNext/>
        <w:keepLines/>
        <w:pageBreakBefore/>
        <w:widowControl w:val="0"/>
        <w:numPr>
          <w:ilvl w:val="1"/>
          <w:numId w:val="0"/>
        </w:numPr>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default" w:ascii="仿宋" w:hAnsi="仿宋" w:eastAsia="仿宋" w:cs="仿宋"/>
          <w:b/>
          <w:bCs/>
          <w:kern w:val="2"/>
          <w:sz w:val="24"/>
          <w:szCs w:val="24"/>
          <w:lang w:val="en-US" w:eastAsia="zh-CN" w:bidi="ar-SA"/>
        </w:rPr>
      </w:pPr>
      <w:bookmarkStart w:id="60" w:name="_Toc202991342"/>
      <w:r>
        <w:rPr>
          <w:rFonts w:hint="eastAsia" w:ascii="仿宋" w:hAnsi="仿宋" w:eastAsia="仿宋" w:cs="仿宋"/>
          <w:b/>
          <w:bCs/>
          <w:kern w:val="2"/>
          <w:sz w:val="24"/>
          <w:szCs w:val="24"/>
          <w:lang w:val="en-US" w:eastAsia="zh-CN" w:bidi="ar-SA"/>
        </w:rPr>
        <w:t>2.2系统具体</w:t>
      </w:r>
      <w:bookmarkEnd w:id="60"/>
      <w:r>
        <w:rPr>
          <w:rFonts w:hint="eastAsia" w:ascii="仿宋" w:hAnsi="仿宋" w:eastAsia="仿宋" w:cs="仿宋"/>
          <w:b/>
          <w:bCs/>
          <w:kern w:val="2"/>
          <w:sz w:val="24"/>
          <w:szCs w:val="24"/>
          <w:lang w:val="en-US" w:eastAsia="zh-CN" w:bidi="ar-SA"/>
        </w:rPr>
        <w:t>技术和性能要求</w:t>
      </w:r>
    </w:p>
    <w:p w14:paraId="6A7E8297">
      <w:pPr>
        <w:keepNext/>
        <w:keepLines/>
        <w:widowControl w:val="0"/>
        <w:numPr>
          <w:ilvl w:val="2"/>
          <w:numId w:val="0"/>
        </w:numPr>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eastAsia" w:ascii="仿宋" w:hAnsi="仿宋" w:eastAsia="仿宋" w:cs="仿宋"/>
          <w:b/>
          <w:bCs/>
          <w:kern w:val="2"/>
          <w:sz w:val="24"/>
          <w:szCs w:val="24"/>
          <w:lang w:val="en-US" w:eastAsia="zh-CN" w:bidi="ar-SA"/>
        </w:rPr>
      </w:pPr>
      <w:bookmarkStart w:id="61" w:name="_Toc202991343"/>
      <w:r>
        <w:rPr>
          <w:rFonts w:hint="eastAsia" w:ascii="仿宋" w:hAnsi="仿宋" w:eastAsia="仿宋" w:cs="仿宋"/>
          <w:b/>
          <w:bCs/>
          <w:kern w:val="2"/>
          <w:sz w:val="24"/>
          <w:szCs w:val="24"/>
          <w:lang w:val="en-US" w:eastAsia="zh-CN" w:bidi="ar-SA"/>
        </w:rPr>
        <w:t>2.2.1医院成本管理系统</w:t>
      </w:r>
      <w:bookmarkEnd w:id="61"/>
    </w:p>
    <w:tbl>
      <w:tblPr>
        <w:tblStyle w:val="35"/>
        <w:tblW w:w="8573" w:type="dxa"/>
        <w:jc w:val="center"/>
        <w:tblLayout w:type="fixed"/>
        <w:tblCellMar>
          <w:top w:w="0" w:type="dxa"/>
          <w:left w:w="108" w:type="dxa"/>
          <w:bottom w:w="0" w:type="dxa"/>
          <w:right w:w="108" w:type="dxa"/>
        </w:tblCellMar>
      </w:tblPr>
      <w:tblGrid>
        <w:gridCol w:w="2573"/>
        <w:gridCol w:w="6000"/>
      </w:tblGrid>
      <w:tr w14:paraId="3AB9B2C8">
        <w:tblPrEx>
          <w:tblCellMar>
            <w:top w:w="0" w:type="dxa"/>
            <w:left w:w="108" w:type="dxa"/>
            <w:bottom w:w="0" w:type="dxa"/>
            <w:right w:w="108" w:type="dxa"/>
          </w:tblCellMar>
        </w:tblPrEx>
        <w:trPr>
          <w:trHeight w:val="285" w:hRule="atLeast"/>
          <w:jc w:val="center"/>
        </w:trPr>
        <w:tc>
          <w:tcPr>
            <w:tcW w:w="2573" w:type="dxa"/>
            <w:tcBorders>
              <w:top w:val="single" w:color="auto" w:sz="4" w:space="0"/>
              <w:left w:val="nil"/>
              <w:bottom w:val="single" w:color="auto" w:sz="4" w:space="0"/>
              <w:right w:val="single" w:color="auto" w:sz="4" w:space="0"/>
            </w:tcBorders>
            <w:shd w:val="clear" w:color="auto" w:fill="auto"/>
            <w:vAlign w:val="center"/>
          </w:tcPr>
          <w:p w14:paraId="41C1A54B">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功能名称</w:t>
            </w:r>
          </w:p>
        </w:tc>
        <w:tc>
          <w:tcPr>
            <w:tcW w:w="6000" w:type="dxa"/>
            <w:tcBorders>
              <w:top w:val="single" w:color="auto" w:sz="4" w:space="0"/>
              <w:left w:val="nil"/>
              <w:bottom w:val="single" w:color="auto" w:sz="4" w:space="0"/>
              <w:right w:val="single" w:color="auto" w:sz="4" w:space="0"/>
            </w:tcBorders>
            <w:shd w:val="clear" w:color="auto" w:fill="auto"/>
          </w:tcPr>
          <w:p w14:paraId="3CEF1306">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b/>
                <w:bCs/>
                <w:color w:val="000000"/>
                <w:kern w:val="2"/>
                <w:sz w:val="24"/>
                <w:szCs w:val="24"/>
              </w:rPr>
            </w:pPr>
            <w:r>
              <w:rPr>
                <w:rFonts w:hint="eastAsia" w:ascii="仿宋" w:hAnsi="仿宋" w:eastAsia="仿宋" w:cs="仿宋"/>
                <w:b/>
                <w:bCs/>
                <w:color w:val="000000"/>
                <w:kern w:val="2"/>
                <w:sz w:val="24"/>
                <w:szCs w:val="24"/>
              </w:rPr>
              <w:t>技术和性能参数</w:t>
            </w:r>
          </w:p>
        </w:tc>
      </w:tr>
      <w:tr w14:paraId="44B8153C">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00670AE6">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基本功能</w:t>
            </w:r>
          </w:p>
          <w:p w14:paraId="58D151A2">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要求</w:t>
            </w:r>
          </w:p>
        </w:tc>
        <w:tc>
          <w:tcPr>
            <w:tcW w:w="6000" w:type="dxa"/>
            <w:tcBorders>
              <w:top w:val="single" w:color="auto" w:sz="4" w:space="0"/>
              <w:left w:val="single" w:color="auto" w:sz="4" w:space="0"/>
              <w:bottom w:val="single" w:color="auto" w:sz="4" w:space="0"/>
              <w:right w:val="single" w:color="auto" w:sz="4" w:space="0"/>
            </w:tcBorders>
            <w:vAlign w:val="center"/>
          </w:tcPr>
          <w:p w14:paraId="71359688">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全面支持最新《政府会计制度》及2021年国家卫健委《公立医院成本核算规范》科室成本核算要求，建立基于全院所有核算单元的科室成本核算体系；</w:t>
            </w:r>
          </w:p>
          <w:p w14:paraId="2FDCCD2D">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提供基础信息维护功能，包含成本核算单元、人员基本信息、成本项目、收入项目、支出项目、内部服务项目、分摊规则、参数值等基础信息进行维护的功能，支持科室成本、床日成本、诊次成本、医疗服务项目成本、病种成本、DRGs成本的归集与分摊。能够进行制度所定义的医疗业务成本、医疗成本、医疗全成本及医院全成本核算。</w:t>
            </w:r>
          </w:p>
        </w:tc>
      </w:tr>
      <w:tr w14:paraId="67A5E030">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34B4D1A8">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基础体系分类更新</w:t>
            </w:r>
          </w:p>
        </w:tc>
        <w:tc>
          <w:tcPr>
            <w:tcW w:w="6000" w:type="dxa"/>
            <w:tcBorders>
              <w:top w:val="single" w:color="auto" w:sz="4" w:space="0"/>
              <w:left w:val="single" w:color="auto" w:sz="4" w:space="0"/>
              <w:bottom w:val="single" w:color="auto" w:sz="4" w:space="0"/>
              <w:right w:val="single" w:color="auto" w:sz="4" w:space="0"/>
            </w:tcBorders>
          </w:tcPr>
          <w:p w14:paraId="17DBFC7D">
            <w:pPr>
              <w:widowControl/>
              <w:kinsoku/>
              <w:wordWrap/>
              <w:overflowPunct/>
              <w:topLinePunct w:val="0"/>
              <w:bidi w:val="0"/>
              <w:adjustRightInd w:val="0"/>
              <w:snapToGrid w:val="0"/>
              <w:spacing w:line="440" w:lineRule="exact"/>
              <w:ind w:left="0"/>
              <w:jc w:val="left"/>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责任中心定义增加三个分类：国标分类、国标分类2、服务单元分类；删除原有成本分类中不计入成本选项；</w:t>
            </w:r>
          </w:p>
          <w:p w14:paraId="6D7214CF">
            <w:pPr>
              <w:widowControl/>
              <w:kinsoku/>
              <w:wordWrap/>
              <w:overflowPunct/>
              <w:topLinePunct w:val="0"/>
              <w:bidi w:val="0"/>
              <w:adjustRightInd w:val="0"/>
              <w:snapToGrid w:val="0"/>
              <w:spacing w:line="440" w:lineRule="exact"/>
              <w:ind w:left="0"/>
              <w:jc w:val="left"/>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支出项目定义增加两个分类：列支渠道、成本口径；调整原有两个分类：成本项目分类、费用要素分类；</w:t>
            </w:r>
          </w:p>
          <w:p w14:paraId="4C953B64">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(3)</w:t>
            </w:r>
            <w:r>
              <w:rPr>
                <w:rFonts w:hint="eastAsia" w:ascii="仿宋" w:hAnsi="仿宋" w:eastAsia="仿宋" w:cs="仿宋"/>
                <w:color w:val="000000"/>
                <w:kern w:val="2"/>
                <w:sz w:val="24"/>
                <w:szCs w:val="24"/>
              </w:rPr>
              <w:t>项目成本基础定义增加国标分类；</w:t>
            </w:r>
          </w:p>
          <w:p w14:paraId="14143E47">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(4)</w:t>
            </w:r>
            <w:r>
              <w:rPr>
                <w:rFonts w:hint="eastAsia" w:ascii="仿宋" w:hAnsi="仿宋" w:eastAsia="仿宋" w:cs="仿宋"/>
                <w:color w:val="000000"/>
                <w:kern w:val="2"/>
                <w:sz w:val="24"/>
                <w:szCs w:val="24"/>
              </w:rPr>
              <w:t>新增DRG基础定义界面：获取DRG接口数据，更新病人的DRG分组信息，满足DRG成本报表的需要；</w:t>
            </w:r>
          </w:p>
        </w:tc>
      </w:tr>
      <w:tr w14:paraId="0E3126F0">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00CB70BA">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rPr>
              <w:t>报表功能</w:t>
            </w:r>
          </w:p>
        </w:tc>
        <w:tc>
          <w:tcPr>
            <w:tcW w:w="6000" w:type="dxa"/>
            <w:tcBorders>
              <w:top w:val="single" w:color="auto" w:sz="4" w:space="0"/>
              <w:left w:val="single" w:color="auto" w:sz="4" w:space="0"/>
              <w:bottom w:val="single" w:color="auto" w:sz="4" w:space="0"/>
              <w:right w:val="single" w:color="auto" w:sz="4" w:space="0"/>
            </w:tcBorders>
          </w:tcPr>
          <w:p w14:paraId="0DC7ADDC">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highlight w:val="none"/>
              </w:rPr>
              <w:t>根据规范中附件2中的报表格式要求，通</w:t>
            </w:r>
            <w:r>
              <w:rPr>
                <w:rFonts w:hint="eastAsia" w:ascii="仿宋" w:hAnsi="仿宋" w:eastAsia="仿宋" w:cs="仿宋"/>
                <w:color w:val="000000"/>
                <w:kern w:val="2"/>
                <w:sz w:val="24"/>
                <w:szCs w:val="24"/>
              </w:rPr>
              <w:t>过规范源头数据存储过程，拆分细化支出项目列支渠道及科室国标分类，产生对内对外的标准报表格式；</w:t>
            </w:r>
          </w:p>
          <w:p w14:paraId="4065866C">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国标18种报表，其中对外报表3张，对内报表15张；其中科室成本6个（对外3个），分别是《科室01表 医院科室直接成本表（医疗成本）</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科室02表 医院科室直接成本表（医疗全成本和医院全成本）</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科室03表 医院临床服务类科室全成本表（医疗成本）</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科室04表 医院临床服务类科室全成本表（医疗全成本和医院全成本）</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科室05表 医院临床服务类科室全成本构成分析表》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科室06表 医院科室成本分摊汇总表》；诊次床日成本4个，分别是：《诊次01表 医院诊次成本构成表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诊次02表 医院科室诊次成本表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床日01表 医院床日成本构成表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床日02表 医院科室床日成本表》；项目成本2个，分别是：《项目01表 医院医疗服务项目成本汇总表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项目02表 医院医疗服务项目成本明细表》；病种成本3个，分别是：《病种01表 医院病种成本明细表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病种02表 医院病种成本构成明细表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病种03表 医院服务单元病种成本构成明细表》；DRG成本3个，分别是：《DRG01表 医院DRG成本明细表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DRG02表 医院DRG成本构成明细表</w:t>
            </w:r>
            <w:r>
              <w:rPr>
                <w:rFonts w:hint="eastAsia" w:ascii="仿宋" w:hAnsi="仿宋" w:eastAsia="仿宋" w:cs="仿宋"/>
                <w:color w:val="000000"/>
                <w:kern w:val="2"/>
                <w:sz w:val="24"/>
                <w:szCs w:val="24"/>
                <w:lang w:eastAsia="zh-CN"/>
              </w:rPr>
              <w:t>》《</w:t>
            </w:r>
            <w:r>
              <w:rPr>
                <w:rFonts w:hint="eastAsia" w:ascii="仿宋" w:hAnsi="仿宋" w:eastAsia="仿宋" w:cs="仿宋"/>
                <w:color w:val="000000"/>
                <w:kern w:val="2"/>
                <w:sz w:val="24"/>
                <w:szCs w:val="24"/>
              </w:rPr>
              <w:t>DRG 03表 医院服务单元DRG成本构成明细表》。分别集成在责任成本、项目成本、病种成本报表菜单中（原国标三个自定义报表停用）；</w:t>
            </w:r>
          </w:p>
          <w:p w14:paraId="11E2AB3D">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国标报表中增加选项，同时用于内部的需要；如：科室分类选择、成本口径、院区、科室级别、单位成本总成本的选择等；</w:t>
            </w:r>
          </w:p>
          <w:p w14:paraId="3FCFFA02">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(3)</w:t>
            </w:r>
            <w:r>
              <w:rPr>
                <w:rFonts w:hint="eastAsia" w:ascii="仿宋" w:hAnsi="仿宋" w:eastAsia="仿宋" w:cs="仿宋"/>
                <w:color w:val="000000"/>
                <w:kern w:val="2"/>
                <w:sz w:val="24"/>
                <w:szCs w:val="24"/>
              </w:rPr>
              <w:t>科室成本报表内容中不能区分医疗成本、医疗全成本、医院全成本的基本都增加了“成本口径”选项；</w:t>
            </w:r>
          </w:p>
          <w:p w14:paraId="28B6F712">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针对医院对各分院（区）不同需求报表汇总的需求，大部分报表支持院区多选，实现多院区组合汇总报表的生成，自定义报表全面支持多选功能，便于满足不同需要的不同口径汇报表的生成。</w:t>
            </w:r>
          </w:p>
        </w:tc>
      </w:tr>
      <w:tr w14:paraId="004ACBDE">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7D7E1A60">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项目病种成本报表升级</w:t>
            </w:r>
          </w:p>
        </w:tc>
        <w:tc>
          <w:tcPr>
            <w:tcW w:w="6000" w:type="dxa"/>
            <w:tcBorders>
              <w:top w:val="single" w:color="auto" w:sz="4" w:space="0"/>
              <w:left w:val="single" w:color="auto" w:sz="4" w:space="0"/>
              <w:bottom w:val="single" w:color="auto" w:sz="4" w:space="0"/>
              <w:right w:val="single" w:color="auto" w:sz="4" w:space="0"/>
            </w:tcBorders>
          </w:tcPr>
          <w:p w14:paraId="69C6C0B2">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根据报表中《医院医疗服务项目成本汇总表》项目类别定义项目分类规则，拆分医疗收费项目对应分类，增加报表查询功能；增加DRGS成本分配及相关查询报表；</w:t>
            </w:r>
          </w:p>
          <w:p w14:paraId="08DB5531">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项目成本与报表国标分类的对照；</w:t>
            </w:r>
          </w:p>
          <w:p w14:paraId="615FFB2F">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病种成本增加按科室病种分析，病种科室的分析表；</w:t>
            </w:r>
          </w:p>
          <w:p w14:paraId="3A3437BB">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(3)</w:t>
            </w:r>
            <w:r>
              <w:rPr>
                <w:rFonts w:hint="eastAsia" w:ascii="仿宋" w:hAnsi="仿宋" w:eastAsia="仿宋" w:cs="仿宋"/>
                <w:color w:val="000000"/>
                <w:kern w:val="2"/>
                <w:sz w:val="24"/>
                <w:szCs w:val="24"/>
              </w:rPr>
              <w:t>项目成本、病种成本报表增加 “成本口径”选项。</w:t>
            </w:r>
          </w:p>
        </w:tc>
      </w:tr>
      <w:tr w14:paraId="22571116">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331C3018">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与HIS系统数据对接</w:t>
            </w:r>
          </w:p>
        </w:tc>
        <w:tc>
          <w:tcPr>
            <w:tcW w:w="6000" w:type="dxa"/>
            <w:tcBorders>
              <w:top w:val="single" w:color="auto" w:sz="4" w:space="0"/>
              <w:left w:val="single" w:color="auto" w:sz="4" w:space="0"/>
              <w:bottom w:val="single" w:color="auto" w:sz="4" w:space="0"/>
              <w:right w:val="single" w:color="auto" w:sz="4" w:space="0"/>
            </w:tcBorders>
            <w:vAlign w:val="center"/>
          </w:tcPr>
          <w:p w14:paraId="5B6DE780">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获取门诊收入、住院收入、业务量、医技执行收入、药剂执行收入、病人诊断信息等业务数据。</w:t>
            </w:r>
          </w:p>
        </w:tc>
      </w:tr>
      <w:tr w14:paraId="2B0702AF">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41DC0DC7">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与财务核算软件对接</w:t>
            </w:r>
          </w:p>
        </w:tc>
        <w:tc>
          <w:tcPr>
            <w:tcW w:w="6000" w:type="dxa"/>
            <w:tcBorders>
              <w:top w:val="single" w:color="auto" w:sz="4" w:space="0"/>
              <w:left w:val="single" w:color="auto" w:sz="4" w:space="0"/>
              <w:bottom w:val="single" w:color="auto" w:sz="4" w:space="0"/>
              <w:right w:val="single" w:color="auto" w:sz="4" w:space="0"/>
            </w:tcBorders>
            <w:vAlign w:val="center"/>
          </w:tcPr>
          <w:p w14:paraId="320954CD">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生成财务凭证传送到财务核算软件。</w:t>
            </w:r>
          </w:p>
        </w:tc>
      </w:tr>
      <w:tr w14:paraId="01FB6D77">
        <w:tblPrEx>
          <w:tblCellMar>
            <w:top w:w="0" w:type="dxa"/>
            <w:left w:w="108" w:type="dxa"/>
            <w:bottom w:w="0" w:type="dxa"/>
            <w:right w:w="108" w:type="dxa"/>
          </w:tblCellMar>
        </w:tblPrEx>
        <w:trPr>
          <w:trHeight w:val="523" w:hRule="atLeast"/>
          <w:jc w:val="center"/>
        </w:trPr>
        <w:tc>
          <w:tcPr>
            <w:tcW w:w="2573" w:type="dxa"/>
            <w:tcBorders>
              <w:top w:val="single" w:color="auto" w:sz="4" w:space="0"/>
              <w:left w:val="single" w:color="auto" w:sz="4" w:space="0"/>
              <w:bottom w:val="single" w:color="auto" w:sz="4" w:space="0"/>
              <w:right w:val="single" w:color="auto" w:sz="4" w:space="0"/>
            </w:tcBorders>
            <w:vAlign w:val="center"/>
          </w:tcPr>
          <w:p w14:paraId="70456400">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DRG成本</w:t>
            </w:r>
          </w:p>
          <w:p w14:paraId="337DC255">
            <w:pPr>
              <w:widowControl/>
              <w:kinsoku/>
              <w:wordWrap/>
              <w:overflowPunct/>
              <w:topLinePunct w:val="0"/>
              <w:bidi w:val="0"/>
              <w:adjustRightInd w:val="0"/>
              <w:snapToGrid w:val="0"/>
              <w:spacing w:line="440" w:lineRule="exact"/>
              <w:ind w:left="0"/>
              <w:jc w:val="center"/>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核算系统</w:t>
            </w:r>
          </w:p>
        </w:tc>
        <w:tc>
          <w:tcPr>
            <w:tcW w:w="6000" w:type="dxa"/>
            <w:tcBorders>
              <w:top w:val="single" w:color="auto" w:sz="4" w:space="0"/>
              <w:left w:val="single" w:color="auto" w:sz="4" w:space="0"/>
              <w:bottom w:val="single" w:color="auto" w:sz="4" w:space="0"/>
              <w:right w:val="single" w:color="auto" w:sz="4" w:space="0"/>
            </w:tcBorders>
            <w:vAlign w:val="center"/>
          </w:tcPr>
          <w:p w14:paraId="7A951609">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支持以DRG组为核算对象，按照自下而上的流程和方法归集相关费用计算DRG组成本。</w:t>
            </w:r>
          </w:p>
          <w:p w14:paraId="447B4B55">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val="en-US" w:eastAsia="zh-CN"/>
              </w:rPr>
              <w:t>(1)</w:t>
            </w:r>
            <w:r>
              <w:rPr>
                <w:rFonts w:hint="eastAsia" w:ascii="仿宋" w:hAnsi="仿宋" w:eastAsia="仿宋" w:cs="仿宋"/>
                <w:color w:val="000000"/>
                <w:kern w:val="2"/>
                <w:sz w:val="24"/>
                <w:szCs w:val="24"/>
              </w:rPr>
              <w:t>DRG基础定义界面：获取DRG接口数据，更新病人的DRG分组信息，满足DRG成本报表的需要；</w:t>
            </w:r>
          </w:p>
          <w:p w14:paraId="4905E3A8">
            <w:pPr>
              <w:widowControl/>
              <w:kinsoku/>
              <w:wordWrap/>
              <w:overflowPunct/>
              <w:topLinePunct w:val="0"/>
              <w:bidi w:val="0"/>
              <w:adjustRightInd w:val="0"/>
              <w:snapToGrid w:val="0"/>
              <w:spacing w:line="440" w:lineRule="exact"/>
              <w:ind w:left="0"/>
              <w:textAlignment w:val="auto"/>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w:t>
            </w:r>
            <w:r>
              <w:rPr>
                <w:rFonts w:hint="eastAsia" w:ascii="仿宋" w:hAnsi="仿宋" w:eastAsia="仿宋" w:cs="仿宋"/>
                <w:color w:val="000000"/>
                <w:kern w:val="2"/>
                <w:sz w:val="24"/>
                <w:szCs w:val="24"/>
                <w:lang w:val="en-US" w:eastAsia="zh-CN"/>
              </w:rPr>
              <w:t>(2)</w:t>
            </w:r>
            <w:r>
              <w:rPr>
                <w:rFonts w:hint="eastAsia" w:ascii="仿宋" w:hAnsi="仿宋" w:eastAsia="仿宋" w:cs="仿宋"/>
                <w:color w:val="000000"/>
                <w:kern w:val="2"/>
                <w:sz w:val="24"/>
                <w:szCs w:val="24"/>
              </w:rPr>
              <w:t>DRG成本报表主要包括DRG成本明细表、DRG成本构成明细表和医院服务单元DRG成本构成明细表。</w:t>
            </w:r>
          </w:p>
        </w:tc>
      </w:tr>
    </w:tbl>
    <w:p w14:paraId="05640E20">
      <w:pPr>
        <w:widowControl/>
        <w:kinsoku/>
        <w:wordWrap/>
        <w:overflowPunct/>
        <w:topLinePunct w:val="0"/>
        <w:bidi w:val="0"/>
        <w:spacing w:line="440" w:lineRule="exact"/>
        <w:ind w:left="0"/>
        <w:textAlignment w:val="auto"/>
        <w:rPr>
          <w:rFonts w:hint="eastAsia" w:ascii="仿宋" w:hAnsi="仿宋" w:eastAsia="仿宋" w:cs="仿宋"/>
          <w:kern w:val="2"/>
          <w:sz w:val="24"/>
          <w:szCs w:val="24"/>
        </w:rPr>
      </w:pPr>
    </w:p>
    <w:p w14:paraId="2CE6BB7D">
      <w:pPr>
        <w:keepNext/>
        <w:keepLines/>
        <w:pageBreakBefore w:val="0"/>
        <w:widowControl w:val="0"/>
        <w:numPr>
          <w:ilvl w:val="2"/>
          <w:numId w:val="0"/>
        </w:numPr>
        <w:kinsoku/>
        <w:wordWrap/>
        <w:overflowPunct/>
        <w:topLinePunct w:val="0"/>
        <w:autoSpaceDE/>
        <w:autoSpaceDN/>
        <w:bidi w:val="0"/>
        <w:adjustRightInd/>
        <w:snapToGrid/>
        <w:spacing w:line="440" w:lineRule="exact"/>
        <w:ind w:left="-720" w:leftChars="0" w:firstLine="1134" w:firstLineChars="0"/>
        <w:jc w:val="both"/>
        <w:textAlignment w:val="auto"/>
        <w:outlineLvl w:val="9"/>
        <w:rPr>
          <w:rFonts w:hint="eastAsia" w:ascii="仿宋" w:hAnsi="仿宋" w:eastAsia="仿宋" w:cs="仿宋"/>
          <w:b/>
          <w:bCs/>
          <w:kern w:val="2"/>
          <w:sz w:val="24"/>
          <w:szCs w:val="24"/>
          <w:lang w:val="en-US" w:eastAsia="zh-CN" w:bidi="ar-SA"/>
        </w:rPr>
      </w:pPr>
      <w:bookmarkStart w:id="62" w:name="_Toc202991344"/>
      <w:r>
        <w:rPr>
          <w:rFonts w:hint="eastAsia" w:ascii="仿宋" w:hAnsi="仿宋" w:eastAsia="仿宋" w:cs="仿宋"/>
          <w:b/>
          <w:bCs/>
          <w:kern w:val="2"/>
          <w:sz w:val="24"/>
          <w:szCs w:val="24"/>
          <w:lang w:val="en-US" w:eastAsia="zh-CN" w:bidi="ar-SA"/>
        </w:rPr>
        <w:t>2.2.2数据中心</w:t>
      </w:r>
      <w:bookmarkEnd w:id="62"/>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908"/>
        <w:gridCol w:w="1452"/>
        <w:gridCol w:w="5917"/>
      </w:tblGrid>
      <w:tr w14:paraId="15F7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2AB378A3">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大类</w:t>
            </w:r>
          </w:p>
        </w:tc>
        <w:tc>
          <w:tcPr>
            <w:tcW w:w="501" w:type="pct"/>
            <w:shd w:val="clear" w:color="auto" w:fill="auto"/>
            <w:vAlign w:val="center"/>
          </w:tcPr>
          <w:p w14:paraId="4227DC78">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模块</w:t>
            </w:r>
          </w:p>
        </w:tc>
        <w:tc>
          <w:tcPr>
            <w:tcW w:w="801" w:type="pct"/>
            <w:shd w:val="clear" w:color="auto" w:fill="auto"/>
            <w:vAlign w:val="center"/>
          </w:tcPr>
          <w:p w14:paraId="0E41C239">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功能点</w:t>
            </w:r>
          </w:p>
        </w:tc>
        <w:tc>
          <w:tcPr>
            <w:tcW w:w="3263" w:type="pct"/>
            <w:shd w:val="clear" w:color="auto" w:fill="auto"/>
            <w:vAlign w:val="center"/>
          </w:tcPr>
          <w:p w14:paraId="0BC4BF9B">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详细参数</w:t>
            </w:r>
          </w:p>
        </w:tc>
      </w:tr>
      <w:tr w14:paraId="42E3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Merge w:val="restart"/>
            <w:vAlign w:val="center"/>
          </w:tcPr>
          <w:p w14:paraId="4A8FCFF4">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DRG数据中心</w:t>
            </w:r>
          </w:p>
        </w:tc>
        <w:tc>
          <w:tcPr>
            <w:tcW w:w="501" w:type="pct"/>
            <w:shd w:val="clear" w:color="auto" w:fill="auto"/>
            <w:vAlign w:val="center"/>
          </w:tcPr>
          <w:p w14:paraId="0A299098">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数据配置</w:t>
            </w:r>
          </w:p>
        </w:tc>
        <w:tc>
          <w:tcPr>
            <w:tcW w:w="801" w:type="pct"/>
            <w:shd w:val="clear" w:color="auto" w:fill="auto"/>
            <w:vAlign w:val="center"/>
          </w:tcPr>
          <w:p w14:paraId="779CDF99">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对各种异构数据源类型通过可视化的方式配置接入</w:t>
            </w:r>
          </w:p>
        </w:tc>
        <w:tc>
          <w:tcPr>
            <w:tcW w:w="3263" w:type="pct"/>
            <w:shd w:val="clear" w:color="auto" w:fill="auto"/>
            <w:vAlign w:val="center"/>
          </w:tcPr>
          <w:p w14:paraId="583ADC41">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US" w:eastAsia="zh-Hans" w:bidi="ar-SA"/>
              </w:rPr>
              <w:t>支持多种数据源接入包含Oracle、SqlServer、MySql、GP,Cache</w:t>
            </w:r>
            <w:r>
              <w:rPr>
                <w:rFonts w:hint="eastAsia" w:ascii="仿宋" w:hAnsi="仿宋" w:eastAsia="仿宋" w:cs="仿宋"/>
                <w:sz w:val="24"/>
                <w:szCs w:val="24"/>
                <w:lang w:val="en-US" w:eastAsia="zh-CN" w:bidi="ar-SA"/>
              </w:rPr>
              <w:t>等</w:t>
            </w:r>
            <w:r>
              <w:rPr>
                <w:rFonts w:hint="eastAsia" w:ascii="仿宋" w:hAnsi="仿宋" w:eastAsia="仿宋" w:cs="仿宋"/>
                <w:sz w:val="24"/>
                <w:szCs w:val="24"/>
                <w:lang w:val="en-US" w:eastAsia="zh-Hans" w:bidi="ar-SA"/>
              </w:rPr>
              <w:t>，支持Oracle集群模式接入；</w:t>
            </w:r>
          </w:p>
          <w:p w14:paraId="65208433">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(2)</w:t>
            </w:r>
            <w:r>
              <w:rPr>
                <w:rFonts w:hint="eastAsia" w:ascii="仿宋" w:hAnsi="仿宋" w:eastAsia="仿宋" w:cs="仿宋"/>
                <w:sz w:val="24"/>
                <w:szCs w:val="24"/>
                <w:lang w:val="en-US" w:eastAsia="zh-Hans" w:bidi="ar-SA"/>
              </w:rPr>
              <w:t>支持DB接入和WebService接入方式；</w:t>
            </w:r>
          </w:p>
          <w:p w14:paraId="2B7C8985">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(3)</w:t>
            </w:r>
            <w:r>
              <w:rPr>
                <w:rFonts w:hint="eastAsia" w:ascii="仿宋" w:hAnsi="仿宋" w:eastAsia="仿宋" w:cs="仿宋"/>
                <w:sz w:val="24"/>
                <w:szCs w:val="24"/>
                <w:lang w:val="en-US" w:eastAsia="zh-Hans" w:bidi="ar-SA"/>
              </w:rPr>
              <w:t>DB接入全程可视化配置，只需要勾选需要同步的表即可完成数据接入任务的创建；</w:t>
            </w:r>
          </w:p>
          <w:p w14:paraId="63B489DB">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(4)</w:t>
            </w:r>
            <w:r>
              <w:rPr>
                <w:rFonts w:hint="eastAsia" w:ascii="仿宋" w:hAnsi="仿宋" w:eastAsia="仿宋" w:cs="仿宋"/>
                <w:sz w:val="24"/>
                <w:szCs w:val="24"/>
                <w:lang w:val="en-US" w:eastAsia="zh-Hans" w:bidi="ar-SA"/>
              </w:rPr>
              <w:t>支持表创建、注释、主键一键式同步；</w:t>
            </w:r>
          </w:p>
          <w:p w14:paraId="20198EE5">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(5)</w:t>
            </w:r>
            <w:r>
              <w:rPr>
                <w:rFonts w:hint="eastAsia" w:ascii="仿宋" w:hAnsi="仿宋" w:eastAsia="仿宋" w:cs="仿宋"/>
                <w:sz w:val="24"/>
                <w:szCs w:val="24"/>
                <w:lang w:val="en-US" w:eastAsia="zh-Hans" w:bidi="ar-SA"/>
              </w:rPr>
              <w:t>支持对数据源的全量同步和增量同步；</w:t>
            </w:r>
          </w:p>
          <w:p w14:paraId="0F8BB618">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(6)</w:t>
            </w:r>
            <w:r>
              <w:rPr>
                <w:rFonts w:hint="eastAsia" w:ascii="仿宋" w:hAnsi="仿宋" w:eastAsia="仿宋" w:cs="仿宋"/>
                <w:sz w:val="24"/>
                <w:szCs w:val="24"/>
                <w:lang w:val="en-US" w:eastAsia="zh-Hans" w:bidi="ar-SA"/>
              </w:rPr>
              <w:t>支持WebService接入增量全量同步方式；</w:t>
            </w:r>
          </w:p>
          <w:p w14:paraId="7DD57475">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(7)</w:t>
            </w:r>
            <w:r>
              <w:rPr>
                <w:rFonts w:hint="eastAsia" w:ascii="仿宋" w:hAnsi="仿宋" w:eastAsia="仿宋" w:cs="仿宋"/>
                <w:sz w:val="24"/>
                <w:szCs w:val="24"/>
                <w:lang w:val="en-US" w:eastAsia="zh-Hans" w:bidi="ar-SA"/>
              </w:rPr>
              <w:t>支持对XML、XML&lt;Json&gt;解析，支持属性提取；</w:t>
            </w:r>
          </w:p>
          <w:p w14:paraId="00E1A01F">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(8)</w:t>
            </w:r>
            <w:r>
              <w:rPr>
                <w:rFonts w:hint="eastAsia" w:ascii="仿宋" w:hAnsi="仿宋" w:eastAsia="仿宋" w:cs="仿宋"/>
                <w:sz w:val="24"/>
                <w:szCs w:val="24"/>
                <w:lang w:val="en-US" w:eastAsia="zh-Hans" w:bidi="ar-SA"/>
              </w:rPr>
              <w:t>支持按单个病人、时间区间获取数据，支持自定义请求头、请求体；</w:t>
            </w:r>
          </w:p>
          <w:p w14:paraId="6AC8833A">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(9)</w:t>
            </w:r>
            <w:r>
              <w:rPr>
                <w:rFonts w:hint="eastAsia" w:ascii="仿宋" w:hAnsi="仿宋" w:eastAsia="仿宋" w:cs="仿宋"/>
                <w:sz w:val="24"/>
                <w:szCs w:val="24"/>
                <w:lang w:val="en-US" w:eastAsia="zh-Hans" w:bidi="ar-SA"/>
              </w:rPr>
              <w:t>支持发布接入数据接入方式（通过WebService主动推送数据）；</w:t>
            </w:r>
          </w:p>
          <w:p w14:paraId="295F2A3B">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(10)</w:t>
            </w:r>
            <w:r>
              <w:rPr>
                <w:rFonts w:hint="eastAsia" w:ascii="仿宋" w:hAnsi="仿宋" w:eastAsia="仿宋" w:cs="仿宋"/>
                <w:sz w:val="24"/>
                <w:szCs w:val="24"/>
                <w:lang w:val="en-US" w:eastAsia="zh-Hans" w:bidi="ar-SA"/>
              </w:rPr>
              <w:t>支持文件格式的数据同步，根据文件信息自动创建实体表。</w:t>
            </w:r>
          </w:p>
        </w:tc>
      </w:tr>
      <w:tr w14:paraId="4050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Merge w:val="continue"/>
            <w:vAlign w:val="center"/>
          </w:tcPr>
          <w:p w14:paraId="39A8C7C3">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p>
        </w:tc>
        <w:tc>
          <w:tcPr>
            <w:tcW w:w="501" w:type="pct"/>
            <w:shd w:val="clear" w:color="auto" w:fill="auto"/>
            <w:vAlign w:val="center"/>
          </w:tcPr>
          <w:p w14:paraId="1B0466D3">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项目管理</w:t>
            </w:r>
          </w:p>
        </w:tc>
        <w:tc>
          <w:tcPr>
            <w:tcW w:w="801" w:type="pct"/>
            <w:shd w:val="clear" w:color="auto" w:fill="auto"/>
            <w:vAlign w:val="center"/>
          </w:tcPr>
          <w:p w14:paraId="12E95E1C">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实现工作流自助开发，并支持对工作流的导入导出</w:t>
            </w:r>
          </w:p>
        </w:tc>
        <w:tc>
          <w:tcPr>
            <w:tcW w:w="3263" w:type="pct"/>
            <w:shd w:val="clear" w:color="auto" w:fill="auto"/>
            <w:vAlign w:val="center"/>
          </w:tcPr>
          <w:p w14:paraId="1DCC0728">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US" w:eastAsia="zh-Hans" w:bidi="ar-SA"/>
              </w:rPr>
              <w:t>同时支持数据接入和数据模型项目的定义；</w:t>
            </w:r>
          </w:p>
          <w:p w14:paraId="373B38BD">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(2)</w:t>
            </w:r>
            <w:r>
              <w:rPr>
                <w:rFonts w:hint="eastAsia" w:ascii="仿宋" w:hAnsi="仿宋" w:eastAsia="仿宋" w:cs="仿宋"/>
                <w:sz w:val="24"/>
                <w:szCs w:val="24"/>
                <w:lang w:val="en-US" w:eastAsia="zh-Hans" w:bidi="ar-SA"/>
              </w:rPr>
              <w:t>图形化操作通过拖拉、连接的方式即可完成工作流的定义；</w:t>
            </w:r>
          </w:p>
          <w:p w14:paraId="75FC6EC4">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(3)</w:t>
            </w:r>
            <w:r>
              <w:rPr>
                <w:rFonts w:hint="eastAsia" w:ascii="仿宋" w:hAnsi="仿宋" w:eastAsia="仿宋" w:cs="仿宋"/>
                <w:sz w:val="24"/>
                <w:szCs w:val="24"/>
                <w:lang w:val="en-US" w:eastAsia="zh-Hans" w:bidi="ar-SA"/>
              </w:rPr>
              <w:t>支持丰富的组件库包含SQL、Spark、Python、Http</w:t>
            </w:r>
            <w:r>
              <w:rPr>
                <w:rFonts w:hint="eastAsia" w:ascii="仿宋" w:hAnsi="仿宋" w:eastAsia="仿宋" w:cs="仿宋"/>
                <w:sz w:val="24"/>
                <w:szCs w:val="24"/>
                <w:lang w:val="en-US" w:eastAsia="zh-CN" w:bidi="ar-SA"/>
              </w:rPr>
              <w:t>等</w:t>
            </w:r>
            <w:r>
              <w:rPr>
                <w:rFonts w:hint="eastAsia" w:ascii="仿宋" w:hAnsi="仿宋" w:eastAsia="仿宋" w:cs="仿宋"/>
                <w:sz w:val="24"/>
                <w:szCs w:val="24"/>
                <w:lang w:val="en-US" w:eastAsia="zh-Hans" w:bidi="ar-SA"/>
              </w:rPr>
              <w:t>节点组件，底层基于大数据组件完成同步任务；</w:t>
            </w:r>
          </w:p>
          <w:p w14:paraId="703259AC">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(4)</w:t>
            </w:r>
            <w:r>
              <w:rPr>
                <w:rFonts w:hint="eastAsia" w:ascii="仿宋" w:hAnsi="仿宋" w:eastAsia="仿宋" w:cs="仿宋"/>
                <w:sz w:val="24"/>
                <w:szCs w:val="24"/>
                <w:lang w:val="en-US" w:eastAsia="zh-Hans" w:bidi="ar-SA"/>
              </w:rPr>
              <w:t>支持多任务同时执行不小于5个；</w:t>
            </w:r>
          </w:p>
          <w:p w14:paraId="56A72115">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(5)</w:t>
            </w:r>
            <w:r>
              <w:rPr>
                <w:rFonts w:hint="eastAsia" w:ascii="仿宋" w:hAnsi="仿宋" w:eastAsia="仿宋" w:cs="仿宋"/>
                <w:sz w:val="24"/>
                <w:szCs w:val="24"/>
                <w:lang w:val="en-US" w:eastAsia="zh-Hans" w:bidi="ar-SA"/>
              </w:rPr>
              <w:t>在800M内存限制的条件下同步速度在每秒钟1万条以上；</w:t>
            </w:r>
          </w:p>
          <w:p w14:paraId="64ACF75F">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(6)</w:t>
            </w:r>
            <w:r>
              <w:rPr>
                <w:rFonts w:hint="eastAsia" w:ascii="仿宋" w:hAnsi="仿宋" w:eastAsia="仿宋" w:cs="仿宋"/>
                <w:sz w:val="24"/>
                <w:szCs w:val="24"/>
                <w:lang w:val="en-US" w:eastAsia="zh-Hans" w:bidi="ar-SA"/>
              </w:rPr>
              <w:t>支持可视化自定义任务执行频率配置；</w:t>
            </w:r>
          </w:p>
          <w:p w14:paraId="5A9AE20F">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(7)</w:t>
            </w:r>
            <w:r>
              <w:rPr>
                <w:rFonts w:hint="eastAsia" w:ascii="仿宋" w:hAnsi="仿宋" w:eastAsia="仿宋" w:cs="仿宋"/>
                <w:sz w:val="24"/>
                <w:szCs w:val="24"/>
                <w:lang w:val="en-US" w:eastAsia="zh-Hans" w:bidi="ar-SA"/>
              </w:rPr>
              <w:t>支持预览最近任务执行时间；</w:t>
            </w:r>
          </w:p>
          <w:p w14:paraId="02DF3E88">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(8)</w:t>
            </w:r>
            <w:r>
              <w:rPr>
                <w:rFonts w:hint="eastAsia" w:ascii="仿宋" w:hAnsi="仿宋" w:eastAsia="仿宋" w:cs="仿宋"/>
                <w:sz w:val="24"/>
                <w:szCs w:val="24"/>
                <w:lang w:val="en-US" w:eastAsia="zh-Hans" w:bidi="ar-SA"/>
              </w:rPr>
              <w:t>支持任务通知策略自定义；</w:t>
            </w:r>
          </w:p>
          <w:p w14:paraId="496E9C28">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(9)</w:t>
            </w:r>
            <w:r>
              <w:rPr>
                <w:rFonts w:hint="eastAsia" w:ascii="仿宋" w:hAnsi="仿宋" w:eastAsia="仿宋" w:cs="仿宋"/>
                <w:sz w:val="24"/>
                <w:szCs w:val="24"/>
                <w:lang w:val="en-US" w:eastAsia="zh-Hans" w:bidi="ar-SA"/>
              </w:rPr>
              <w:t>支持工作流任务的导入导出；</w:t>
            </w:r>
          </w:p>
          <w:p w14:paraId="33697F94">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(10)</w:t>
            </w:r>
            <w:r>
              <w:rPr>
                <w:rFonts w:hint="eastAsia" w:ascii="仿宋" w:hAnsi="仿宋" w:eastAsia="仿宋" w:cs="仿宋"/>
                <w:sz w:val="24"/>
                <w:szCs w:val="24"/>
                <w:lang w:val="en-US" w:eastAsia="zh-Hans" w:bidi="ar-SA"/>
              </w:rPr>
              <w:t>支持任务重试；</w:t>
            </w:r>
          </w:p>
          <w:p w14:paraId="71502176">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(11)</w:t>
            </w:r>
            <w:r>
              <w:rPr>
                <w:rFonts w:hint="eastAsia" w:ascii="仿宋" w:hAnsi="仿宋" w:eastAsia="仿宋" w:cs="仿宋"/>
                <w:sz w:val="24"/>
                <w:szCs w:val="24"/>
                <w:lang w:val="en-US" w:eastAsia="zh-Hans" w:bidi="ar-SA"/>
              </w:rPr>
              <w:t>支持任务日志实时查看；</w:t>
            </w:r>
          </w:p>
          <w:p w14:paraId="2A209DC3">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(12)</w:t>
            </w:r>
            <w:r>
              <w:rPr>
                <w:rFonts w:hint="eastAsia" w:ascii="仿宋" w:hAnsi="仿宋" w:eastAsia="仿宋" w:cs="仿宋"/>
                <w:sz w:val="24"/>
                <w:szCs w:val="24"/>
                <w:lang w:val="en-US" w:eastAsia="zh-Hans" w:bidi="ar-SA"/>
              </w:rPr>
              <w:t>支持任务失败自动重试。</w:t>
            </w:r>
          </w:p>
        </w:tc>
      </w:tr>
      <w:tr w14:paraId="2BF7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Merge w:val="continue"/>
            <w:vAlign w:val="center"/>
          </w:tcPr>
          <w:p w14:paraId="7D69EFE3">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p>
        </w:tc>
        <w:tc>
          <w:tcPr>
            <w:tcW w:w="501" w:type="pct"/>
            <w:shd w:val="clear" w:color="auto" w:fill="auto"/>
            <w:vAlign w:val="center"/>
          </w:tcPr>
          <w:p w14:paraId="6424D139">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资源中心</w:t>
            </w:r>
          </w:p>
        </w:tc>
        <w:tc>
          <w:tcPr>
            <w:tcW w:w="801" w:type="pct"/>
            <w:shd w:val="clear" w:color="auto" w:fill="auto"/>
            <w:vAlign w:val="center"/>
          </w:tcPr>
          <w:p w14:paraId="737B57FD">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文件管理</w:t>
            </w:r>
          </w:p>
        </w:tc>
        <w:tc>
          <w:tcPr>
            <w:tcW w:w="3263" w:type="pct"/>
            <w:shd w:val="clear" w:color="auto" w:fill="auto"/>
            <w:vAlign w:val="center"/>
          </w:tcPr>
          <w:p w14:paraId="5DEB6E68">
            <w:pPr>
              <w:kinsoku/>
              <w:wordWrap/>
              <w:overflowPunct/>
              <w:topLinePunct w:val="0"/>
              <w:bidi w:val="0"/>
              <w:spacing w:line="440" w:lineRule="exact"/>
              <w:ind w:left="0"/>
              <w:jc w:val="both"/>
              <w:textAlignment w:val="auto"/>
              <w:rPr>
                <w:rFonts w:hint="default"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US" w:eastAsia="zh-Hans" w:bidi="ar-SA"/>
              </w:rPr>
              <w:t>支持对任务资源信息查看</w:t>
            </w:r>
            <w:r>
              <w:rPr>
                <w:rFonts w:hint="eastAsia" w:ascii="仿宋" w:hAnsi="仿宋" w:eastAsia="仿宋" w:cs="仿宋"/>
                <w:sz w:val="24"/>
                <w:szCs w:val="24"/>
                <w:lang w:val="en-US" w:eastAsia="zh-CN" w:bidi="ar-SA"/>
              </w:rPr>
              <w:t>。</w:t>
            </w:r>
          </w:p>
        </w:tc>
      </w:tr>
      <w:tr w14:paraId="56A1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Merge w:val="continue"/>
            <w:vAlign w:val="center"/>
          </w:tcPr>
          <w:p w14:paraId="515224C6">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p>
        </w:tc>
        <w:tc>
          <w:tcPr>
            <w:tcW w:w="501" w:type="pct"/>
            <w:shd w:val="clear" w:color="auto" w:fill="auto"/>
            <w:vAlign w:val="center"/>
          </w:tcPr>
          <w:p w14:paraId="57598FBA">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监控中心</w:t>
            </w:r>
          </w:p>
        </w:tc>
        <w:tc>
          <w:tcPr>
            <w:tcW w:w="801" w:type="pct"/>
            <w:shd w:val="clear" w:color="auto" w:fill="auto"/>
            <w:vAlign w:val="center"/>
          </w:tcPr>
          <w:p w14:paraId="21EBBD92">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对各资源服务进行监控和管理，并进行常规方式的统计</w:t>
            </w:r>
          </w:p>
        </w:tc>
        <w:tc>
          <w:tcPr>
            <w:tcW w:w="3263" w:type="pct"/>
            <w:shd w:val="clear" w:color="auto" w:fill="auto"/>
            <w:vAlign w:val="center"/>
          </w:tcPr>
          <w:p w14:paraId="6BD44C33">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US" w:eastAsia="zh-Hans" w:bidi="ar-SA"/>
              </w:rPr>
              <w:t>支持系统连接池使用情况统计并展示；</w:t>
            </w:r>
          </w:p>
          <w:p w14:paraId="4A7C2947">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(2)</w:t>
            </w:r>
            <w:r>
              <w:rPr>
                <w:rFonts w:hint="eastAsia" w:ascii="仿宋" w:hAnsi="仿宋" w:eastAsia="仿宋" w:cs="仿宋"/>
                <w:sz w:val="24"/>
                <w:szCs w:val="24"/>
                <w:lang w:val="en-US" w:eastAsia="zh-Hans" w:bidi="ar-SA"/>
              </w:rPr>
              <w:t>支持监控数据中心的内存和CPU使用情况；</w:t>
            </w:r>
          </w:p>
          <w:p w14:paraId="1848603D">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(3)</w:t>
            </w:r>
            <w:r>
              <w:rPr>
                <w:rFonts w:hint="eastAsia" w:ascii="仿宋" w:hAnsi="仿宋" w:eastAsia="仿宋" w:cs="仿宋"/>
                <w:sz w:val="24"/>
                <w:szCs w:val="24"/>
                <w:lang w:val="en-US" w:eastAsia="zh-Hans" w:bidi="ar-SA"/>
              </w:rPr>
              <w:t>支持对所使用的的中间件如zookeeper</w:t>
            </w:r>
            <w:r>
              <w:rPr>
                <w:rFonts w:hint="eastAsia" w:ascii="仿宋" w:hAnsi="仿宋" w:eastAsia="仿宋" w:cs="仿宋"/>
                <w:sz w:val="24"/>
                <w:szCs w:val="24"/>
                <w:lang w:val="en-US" w:eastAsia="zh-CN" w:bidi="ar-SA"/>
              </w:rPr>
              <w:t>等</w:t>
            </w:r>
            <w:r>
              <w:rPr>
                <w:rFonts w:hint="eastAsia" w:ascii="仿宋" w:hAnsi="仿宋" w:eastAsia="仿宋" w:cs="仿宋"/>
                <w:sz w:val="24"/>
                <w:szCs w:val="24"/>
                <w:lang w:val="en-US" w:eastAsia="zh-Hans" w:bidi="ar-SA"/>
              </w:rPr>
              <w:t>服务的连接数、发送接收量等相关指标监控；</w:t>
            </w:r>
          </w:p>
          <w:p w14:paraId="2BA0B6AA">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(4)</w:t>
            </w:r>
            <w:r>
              <w:rPr>
                <w:rFonts w:hint="eastAsia" w:ascii="仿宋" w:hAnsi="仿宋" w:eastAsia="仿宋" w:cs="仿宋"/>
                <w:sz w:val="24"/>
                <w:szCs w:val="24"/>
                <w:lang w:val="en-US" w:eastAsia="zh-Hans" w:bidi="ar-SA"/>
              </w:rPr>
              <w:t>支持对数据库健康状态，连接数的监控；</w:t>
            </w:r>
          </w:p>
          <w:p w14:paraId="4F8C5B91">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(5)</w:t>
            </w:r>
            <w:r>
              <w:rPr>
                <w:rFonts w:hint="eastAsia" w:ascii="仿宋" w:hAnsi="仿宋" w:eastAsia="仿宋" w:cs="仿宋"/>
                <w:sz w:val="24"/>
                <w:szCs w:val="24"/>
                <w:lang w:val="en-US" w:eastAsia="zh-Hans" w:bidi="ar-SA"/>
              </w:rPr>
              <w:t>支持对任务执行情况包含待执行的命令数、执行失败的命令数、待运行任务数、待杀死任务数统计并展示；</w:t>
            </w:r>
          </w:p>
        </w:tc>
      </w:tr>
      <w:tr w14:paraId="237E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32" w:type="pct"/>
            <w:vMerge w:val="continue"/>
            <w:vAlign w:val="center"/>
          </w:tcPr>
          <w:p w14:paraId="14411727">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p>
        </w:tc>
        <w:tc>
          <w:tcPr>
            <w:tcW w:w="501" w:type="pct"/>
            <w:shd w:val="clear" w:color="auto" w:fill="auto"/>
            <w:vAlign w:val="center"/>
          </w:tcPr>
          <w:p w14:paraId="2021DFFA">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配置中心</w:t>
            </w:r>
          </w:p>
        </w:tc>
        <w:tc>
          <w:tcPr>
            <w:tcW w:w="801" w:type="pct"/>
            <w:shd w:val="clear" w:color="auto" w:fill="auto"/>
            <w:vAlign w:val="center"/>
          </w:tcPr>
          <w:p w14:paraId="4E9A451F">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监控配置</w:t>
            </w:r>
          </w:p>
        </w:tc>
        <w:tc>
          <w:tcPr>
            <w:tcW w:w="3263" w:type="pct"/>
            <w:shd w:val="clear" w:color="auto" w:fill="auto"/>
            <w:vAlign w:val="center"/>
          </w:tcPr>
          <w:p w14:paraId="0F5AA529">
            <w:pPr>
              <w:kinsoku/>
              <w:wordWrap/>
              <w:overflowPunct/>
              <w:topLinePunct w:val="0"/>
              <w:bidi w:val="0"/>
              <w:spacing w:line="440" w:lineRule="exact"/>
              <w:ind w:left="0"/>
              <w:jc w:val="both"/>
              <w:textAlignment w:val="auto"/>
              <w:rPr>
                <w:rFonts w:hint="default" w:ascii="仿宋" w:hAnsi="仿宋" w:eastAsia="仿宋" w:cs="仿宋"/>
                <w:sz w:val="24"/>
                <w:szCs w:val="24"/>
                <w:lang w:val="en-US" w:eastAsia="zh-CN" w:bidi="ar-SA"/>
              </w:rPr>
            </w:pPr>
            <w:r>
              <w:rPr>
                <w:rFonts w:hint="eastAsia" w:ascii="仿宋" w:hAnsi="仿宋" w:eastAsia="仿宋" w:cs="仿宋"/>
                <w:sz w:val="24"/>
                <w:szCs w:val="24"/>
                <w:lang w:val="en-US" w:eastAsia="zh-CN" w:bidi="ar-SA"/>
              </w:rPr>
              <w:t>(1)</w:t>
            </w:r>
            <w:r>
              <w:rPr>
                <w:rFonts w:hint="eastAsia" w:ascii="仿宋" w:hAnsi="仿宋" w:eastAsia="仿宋" w:cs="仿宋"/>
                <w:sz w:val="24"/>
                <w:szCs w:val="24"/>
                <w:lang w:val="en-US" w:eastAsia="zh-Hans" w:bidi="ar-SA"/>
              </w:rPr>
              <w:t>支持对监控规则自定义定时时间；</w:t>
            </w:r>
          </w:p>
        </w:tc>
      </w:tr>
      <w:tr w14:paraId="15AE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Merge w:val="continue"/>
            <w:vAlign w:val="center"/>
          </w:tcPr>
          <w:p w14:paraId="51031E90">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p>
        </w:tc>
        <w:tc>
          <w:tcPr>
            <w:tcW w:w="501" w:type="pct"/>
            <w:shd w:val="clear" w:color="auto" w:fill="auto"/>
            <w:vAlign w:val="center"/>
          </w:tcPr>
          <w:p w14:paraId="7FB86515">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数据质量</w:t>
            </w:r>
          </w:p>
        </w:tc>
        <w:tc>
          <w:tcPr>
            <w:tcW w:w="801" w:type="pct"/>
            <w:shd w:val="clear" w:color="auto" w:fill="auto"/>
            <w:vAlign w:val="center"/>
          </w:tcPr>
          <w:p w14:paraId="600AD09C">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数据稽核</w:t>
            </w:r>
          </w:p>
        </w:tc>
        <w:tc>
          <w:tcPr>
            <w:tcW w:w="3263" w:type="pct"/>
            <w:shd w:val="clear" w:color="auto" w:fill="auto"/>
            <w:vAlign w:val="center"/>
          </w:tcPr>
          <w:p w14:paraId="19F1E5CA">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w:t>
            </w:r>
            <w:r>
              <w:rPr>
                <w:rFonts w:hint="eastAsia" w:ascii="仿宋" w:hAnsi="仿宋" w:eastAsia="仿宋" w:cs="仿宋"/>
                <w:sz w:val="24"/>
                <w:szCs w:val="24"/>
                <w:lang w:val="en-US" w:eastAsia="zh-Hans" w:bidi="ar-SA"/>
              </w:rPr>
              <w:t>1</w:t>
            </w:r>
            <w:r>
              <w:rPr>
                <w:rFonts w:hint="eastAsia" w:ascii="仿宋" w:hAnsi="仿宋" w:eastAsia="仿宋" w:cs="仿宋"/>
                <w:sz w:val="24"/>
                <w:szCs w:val="24"/>
                <w:lang w:val="en-US" w:eastAsia="zh-CN" w:bidi="ar-SA"/>
              </w:rPr>
              <w:t>)</w:t>
            </w:r>
            <w:r>
              <w:rPr>
                <w:rFonts w:hint="eastAsia" w:ascii="仿宋" w:hAnsi="仿宋" w:eastAsia="仿宋" w:cs="仿宋"/>
                <w:sz w:val="24"/>
                <w:szCs w:val="24"/>
                <w:lang w:val="en-US" w:eastAsia="zh-Hans" w:bidi="ar-SA"/>
              </w:rPr>
              <w:t>支持对表数据进行自定义监控；</w:t>
            </w:r>
          </w:p>
          <w:p w14:paraId="7009262F">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(2)</w:t>
            </w:r>
            <w:r>
              <w:rPr>
                <w:rFonts w:hint="eastAsia" w:ascii="仿宋" w:hAnsi="仿宋" w:eastAsia="仿宋" w:cs="仿宋"/>
                <w:sz w:val="24"/>
                <w:szCs w:val="24"/>
                <w:lang w:val="en-US" w:eastAsia="zh-Hans" w:bidi="ar-SA"/>
              </w:rPr>
              <w:t>支持模板规则的配置；</w:t>
            </w:r>
          </w:p>
          <w:p w14:paraId="2A0AD4EF">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(3)</w:t>
            </w:r>
            <w:r>
              <w:rPr>
                <w:rFonts w:hint="eastAsia" w:ascii="仿宋" w:hAnsi="仿宋" w:eastAsia="仿宋" w:cs="仿宋"/>
                <w:sz w:val="24"/>
                <w:szCs w:val="24"/>
                <w:lang w:val="en-US" w:eastAsia="zh-Hans" w:bidi="ar-SA"/>
              </w:rPr>
              <w:t>支持规则的批量导出；</w:t>
            </w:r>
          </w:p>
          <w:p w14:paraId="7C97920A">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(4)</w:t>
            </w:r>
            <w:r>
              <w:rPr>
                <w:rFonts w:hint="eastAsia" w:ascii="仿宋" w:hAnsi="仿宋" w:eastAsia="仿宋" w:cs="仿宋"/>
                <w:sz w:val="24"/>
                <w:szCs w:val="24"/>
                <w:lang w:val="en-US" w:eastAsia="zh-Hans" w:bidi="ar-SA"/>
              </w:rPr>
              <w:t>支持规则自定义时间执行；</w:t>
            </w:r>
          </w:p>
          <w:p w14:paraId="5DCA72D5">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(5)</w:t>
            </w:r>
            <w:r>
              <w:rPr>
                <w:rFonts w:hint="eastAsia" w:ascii="仿宋" w:hAnsi="仿宋" w:eastAsia="仿宋" w:cs="仿宋"/>
                <w:sz w:val="24"/>
                <w:szCs w:val="24"/>
                <w:lang w:val="en-US" w:eastAsia="zh-Hans" w:bidi="ar-SA"/>
              </w:rPr>
              <w:t>支持质量报告实时生成；</w:t>
            </w:r>
          </w:p>
          <w:p w14:paraId="3AA4301E">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(6)</w:t>
            </w:r>
            <w:r>
              <w:rPr>
                <w:rFonts w:hint="eastAsia" w:ascii="仿宋" w:hAnsi="仿宋" w:eastAsia="仿宋" w:cs="仿宋"/>
                <w:sz w:val="24"/>
                <w:szCs w:val="24"/>
                <w:lang w:val="en-US" w:eastAsia="zh-Hans" w:bidi="ar-SA"/>
              </w:rPr>
              <w:t>支持质检分数实时查询；</w:t>
            </w:r>
          </w:p>
          <w:p w14:paraId="47D6C777">
            <w:pPr>
              <w:kinsoku/>
              <w:wordWrap/>
              <w:overflowPunct/>
              <w:topLinePunct w:val="0"/>
              <w:bidi w:val="0"/>
              <w:spacing w:line="440" w:lineRule="exact"/>
              <w:ind w:left="0"/>
              <w:jc w:val="both"/>
              <w:textAlignment w:val="auto"/>
              <w:rPr>
                <w:rFonts w:hint="eastAsia" w:ascii="仿宋" w:hAnsi="仿宋" w:eastAsia="仿宋" w:cs="仿宋"/>
                <w:sz w:val="24"/>
                <w:szCs w:val="24"/>
                <w:lang w:val="en-US" w:eastAsia="zh-Hans" w:bidi="ar-SA"/>
              </w:rPr>
            </w:pPr>
            <w:r>
              <w:rPr>
                <w:rFonts w:hint="eastAsia" w:ascii="仿宋" w:hAnsi="仿宋" w:eastAsia="仿宋" w:cs="仿宋"/>
                <w:sz w:val="24"/>
                <w:szCs w:val="24"/>
                <w:lang w:val="en-US" w:eastAsia="zh-CN" w:bidi="ar-SA"/>
              </w:rPr>
              <w:t>(7)</w:t>
            </w:r>
            <w:r>
              <w:rPr>
                <w:rFonts w:hint="eastAsia" w:ascii="仿宋" w:hAnsi="仿宋" w:eastAsia="仿宋" w:cs="仿宋"/>
                <w:sz w:val="24"/>
                <w:szCs w:val="24"/>
                <w:lang w:val="en-US" w:eastAsia="zh-Hans" w:bidi="ar-SA"/>
              </w:rPr>
              <w:t>支持自定义稽核异常说明；</w:t>
            </w:r>
          </w:p>
        </w:tc>
      </w:tr>
    </w:tbl>
    <w:p w14:paraId="4093CE86">
      <w:pPr>
        <w:widowControl w:val="0"/>
        <w:kinsoku/>
        <w:wordWrap/>
        <w:overflowPunct/>
        <w:topLinePunct w:val="0"/>
        <w:autoSpaceDE w:val="0"/>
        <w:autoSpaceDN w:val="0"/>
        <w:bidi w:val="0"/>
        <w:adjustRightInd w:val="0"/>
        <w:spacing w:line="440" w:lineRule="exact"/>
        <w:ind w:left="0"/>
        <w:textAlignment w:val="auto"/>
        <w:rPr>
          <w:rFonts w:hint="eastAsia" w:ascii="仿宋" w:hAnsi="仿宋" w:eastAsia="仿宋" w:cs="仿宋"/>
          <w:color w:val="000000"/>
          <w:sz w:val="24"/>
          <w:szCs w:val="24"/>
          <w:lang w:val="en-US" w:eastAsia="zh-CN" w:bidi="ar-SA"/>
        </w:rPr>
      </w:pPr>
      <w:bookmarkStart w:id="63" w:name="_Toc166247267"/>
      <w:bookmarkStart w:id="64" w:name="_Toc155887852"/>
    </w:p>
    <w:p w14:paraId="6AF71FE8">
      <w:pPr>
        <w:keepNext/>
        <w:keepLines/>
        <w:pageBreakBefore w:val="0"/>
        <w:numPr>
          <w:ilvl w:val="2"/>
          <w:numId w:val="0"/>
        </w:numPr>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eastAsia" w:ascii="仿宋" w:hAnsi="仿宋" w:eastAsia="仿宋" w:cs="仿宋"/>
          <w:b/>
          <w:bCs/>
          <w:kern w:val="2"/>
          <w:sz w:val="24"/>
          <w:szCs w:val="24"/>
          <w:lang w:val="en-US" w:eastAsia="zh-CN" w:bidi="ar-SA"/>
        </w:rPr>
      </w:pPr>
      <w:bookmarkStart w:id="65" w:name="_Toc202991345"/>
      <w:r>
        <w:rPr>
          <w:rFonts w:hint="eastAsia" w:ascii="仿宋" w:hAnsi="仿宋" w:eastAsia="仿宋" w:cs="仿宋"/>
          <w:b/>
          <w:bCs/>
          <w:kern w:val="2"/>
          <w:sz w:val="24"/>
          <w:szCs w:val="24"/>
          <w:lang w:val="en-US" w:eastAsia="zh-CN" w:bidi="ar-SA"/>
        </w:rPr>
        <w:t>2.2.3 DRG运营分析</w:t>
      </w:r>
      <w:bookmarkEnd w:id="63"/>
      <w:bookmarkEnd w:id="64"/>
      <w:bookmarkEnd w:id="65"/>
    </w:p>
    <w:p w14:paraId="1E0ED257">
      <w:pPr>
        <w:keepNext/>
        <w:keepLines/>
        <w:pageBreakBefore w:val="0"/>
        <w:numPr>
          <w:ilvl w:val="3"/>
          <w:numId w:val="0"/>
        </w:numPr>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2.2.3.1在院管理</w:t>
      </w:r>
    </w:p>
    <w:tbl>
      <w:tblPr>
        <w:tblStyle w:val="35"/>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93"/>
        <w:gridCol w:w="6237"/>
      </w:tblGrid>
      <w:tr w14:paraId="423CA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56" w:type="dxa"/>
            <w:shd w:val="clear" w:color="auto" w:fill="auto"/>
            <w:vAlign w:val="center"/>
          </w:tcPr>
          <w:p w14:paraId="7C238F57">
            <w:pPr>
              <w:pageBreakBefore w:val="0"/>
              <w:widowControl/>
              <w:kinsoku/>
              <w:wordWrap/>
              <w:overflowPunct/>
              <w:topLinePunct w:val="0"/>
              <w:autoSpaceDE/>
              <w:autoSpaceDN/>
              <w:bidi w:val="0"/>
              <w:adjustRightInd/>
              <w:snapToGrid/>
              <w:spacing w:line="440" w:lineRule="exact"/>
              <w:ind w:left="0"/>
              <w:jc w:val="both"/>
              <w:textAlignment w:val="auto"/>
              <w:rPr>
                <w:rFonts w:hint="eastAsia" w:ascii="仿宋" w:hAnsi="仿宋" w:eastAsia="仿宋" w:cs="仿宋"/>
                <w:b/>
                <w:bCs/>
                <w:color w:val="000000"/>
                <w:kern w:val="0"/>
                <w:sz w:val="24"/>
                <w:szCs w:val="24"/>
              </w:rPr>
            </w:pPr>
            <w:bookmarkStart w:id="66" w:name="_Hlk148601236"/>
            <w:r>
              <w:rPr>
                <w:rFonts w:hint="eastAsia" w:ascii="仿宋" w:hAnsi="仿宋" w:eastAsia="仿宋" w:cs="仿宋"/>
                <w:b/>
                <w:bCs/>
                <w:color w:val="000000"/>
                <w:kern w:val="0"/>
                <w:sz w:val="24"/>
                <w:szCs w:val="24"/>
              </w:rPr>
              <w:t>模块</w:t>
            </w:r>
          </w:p>
        </w:tc>
        <w:tc>
          <w:tcPr>
            <w:tcW w:w="993" w:type="dxa"/>
            <w:shd w:val="clear" w:color="auto" w:fill="auto"/>
            <w:vAlign w:val="center"/>
          </w:tcPr>
          <w:p w14:paraId="7B3F03D9">
            <w:pPr>
              <w:pageBreakBefore w:val="0"/>
              <w:widowControl/>
              <w:kinsoku/>
              <w:wordWrap/>
              <w:overflowPunct/>
              <w:topLinePunct w:val="0"/>
              <w:autoSpaceDE/>
              <w:autoSpaceDN/>
              <w:bidi w:val="0"/>
              <w:adjustRightInd/>
              <w:snapToGrid/>
              <w:spacing w:line="440" w:lineRule="exact"/>
              <w:ind w:left="0"/>
              <w:jc w:val="both"/>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功能点</w:t>
            </w:r>
          </w:p>
        </w:tc>
        <w:tc>
          <w:tcPr>
            <w:tcW w:w="6237" w:type="dxa"/>
            <w:shd w:val="clear" w:color="auto" w:fill="auto"/>
            <w:vAlign w:val="center"/>
          </w:tcPr>
          <w:p w14:paraId="3B8396CA">
            <w:pPr>
              <w:pageBreakBefore w:val="0"/>
              <w:widowControl/>
              <w:kinsoku/>
              <w:wordWrap/>
              <w:overflowPunct/>
              <w:topLinePunct w:val="0"/>
              <w:autoSpaceDE/>
              <w:autoSpaceDN/>
              <w:bidi w:val="0"/>
              <w:adjustRightInd/>
              <w:snapToGrid/>
              <w:spacing w:line="440" w:lineRule="exact"/>
              <w:ind w:left="0" w:firstLine="482" w:firstLineChars="20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详细参数</w:t>
            </w:r>
          </w:p>
        </w:tc>
      </w:tr>
      <w:tr w14:paraId="2E92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gridSpan w:val="2"/>
            <w:shd w:val="clear" w:color="auto" w:fill="auto"/>
            <w:vAlign w:val="center"/>
          </w:tcPr>
          <w:p w14:paraId="6079CB7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医生助手（在院DRG分组监测接口）</w:t>
            </w:r>
          </w:p>
        </w:tc>
        <w:tc>
          <w:tcPr>
            <w:tcW w:w="6237" w:type="dxa"/>
            <w:shd w:val="clear" w:color="auto" w:fill="auto"/>
            <w:vAlign w:val="center"/>
          </w:tcPr>
          <w:p w14:paraId="3B7FBD6B">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提供全院病例DRG分组预测与预警信息，包括费用异常预警、病历质控预警、不合理入院预警，预警条件支持自定义设置；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提供病例当前实时DRG预测分组信息，以及住院费用进度条，直观了解费用消耗情况；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支持查看患者基本信息、诊断、手术，以及历史住院的DRG分组与诊断/手术信息；</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支持在院期间查看各个费用结构及费用标杆值，并能下钻查看各费用项目明细，包括药品、耗材、检查检验等；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支持大数据模拟分组，通过调整主诊断、次诊断、主手术、次手术进行模拟分组，对中医分组支持主病主症模拟分组；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支持病例按多种结算方式进行预测对比，包括床日结算、病组结算、中医结算，并优先展示结算金额最高的结算方式；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支持手动选择任意患者按照床日结算类型进行预测；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支持输入主诊断后，智能推荐相匹配的常用手术；</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支持按照地区医保结算规则进行适配，包括新技术、特殊药品耗材追加、基础病组同病同价等。</w:t>
            </w:r>
          </w:p>
        </w:tc>
      </w:tr>
      <w:tr w14:paraId="32E44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432E38A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事中监测分析</w:t>
            </w:r>
          </w:p>
        </w:tc>
        <w:tc>
          <w:tcPr>
            <w:tcW w:w="993" w:type="dxa"/>
            <w:shd w:val="clear" w:color="auto" w:fill="auto"/>
            <w:vAlign w:val="center"/>
          </w:tcPr>
          <w:p w14:paraId="5F415528">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在院监测</w:t>
            </w:r>
          </w:p>
        </w:tc>
        <w:tc>
          <w:tcPr>
            <w:tcW w:w="6237" w:type="dxa"/>
            <w:shd w:val="clear" w:color="auto" w:fill="auto"/>
            <w:vAlign w:val="center"/>
          </w:tcPr>
          <w:p w14:paraId="756B1597">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[病例范围：当前在院患者]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提供全院病例DRG分组预测与预警信息，包括费用异常预警、病历质控预警、不合理入院预警，预警条件支持自定义设置；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提供病例当前实时DRG预测分组信息，以及住院费用进度条，直观了解费用消耗情况；</w:t>
            </w:r>
          </w:p>
          <w:p w14:paraId="686CD996">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支持查看患者基本信息、诊断、手术，以及历史住院的DRG分组与诊断/手术信息；</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支持在院期间查看各个费用结构及费用标杆值，并能下钻查看各费用项目明细，包括药品、耗材、检查检验等；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支持多种筛选条件查找数据：包括结算方式（床日结算、病组结算）、病例类型（高倍率、低倍率、正常病例等）、医保类型等；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支持筛选特殊病例：包括15天再入院、基础病组、中途出院结算、住院天数超高、24小时出入院、新技术病例等；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支持按姓名、住院号、患者ID、床位号等搜索病例；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支持从科室、医疗组、病区、医生等维度查看预警病例；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列表字段支持用户自定义显示与排列，包含表头字段是否显示以及固定列设置，支持列表所有数据下载；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支持大数据模拟分组，通过调整主诊断、次诊断、主手术、次手术进行模拟分组，对中医分组支持主病主症模拟分组；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(11)</w:t>
            </w:r>
            <w:r>
              <w:rPr>
                <w:rFonts w:hint="eastAsia" w:ascii="仿宋" w:hAnsi="仿宋" w:eastAsia="仿宋" w:cs="仿宋"/>
                <w:color w:val="000000"/>
                <w:kern w:val="0"/>
                <w:sz w:val="24"/>
                <w:szCs w:val="24"/>
              </w:rPr>
              <w:t>支持病例按多种结算方式进行预测对比，包括床日结算、病组结算、中医结算，并优先展示结算金额最高的结算方式；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(12)</w:t>
            </w:r>
            <w:r>
              <w:rPr>
                <w:rFonts w:hint="eastAsia" w:ascii="仿宋" w:hAnsi="仿宋" w:eastAsia="仿宋" w:cs="仿宋"/>
                <w:color w:val="000000"/>
                <w:kern w:val="0"/>
                <w:sz w:val="24"/>
                <w:szCs w:val="24"/>
              </w:rPr>
              <w:t>支持手动选择任意患者按照床日结算类型进行预测；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(13)</w:t>
            </w:r>
            <w:r>
              <w:rPr>
                <w:rFonts w:hint="eastAsia" w:ascii="仿宋" w:hAnsi="仿宋" w:eastAsia="仿宋" w:cs="仿宋"/>
                <w:color w:val="000000"/>
                <w:kern w:val="0"/>
                <w:sz w:val="24"/>
                <w:szCs w:val="24"/>
              </w:rPr>
              <w:t>支持按照地区医保结算规则进行适配，包括新技术、特殊药品耗材追加、基础病组同病同价等。</w:t>
            </w:r>
          </w:p>
        </w:tc>
      </w:tr>
      <w:tr w14:paraId="50D0E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189AC9A6">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p>
        </w:tc>
        <w:tc>
          <w:tcPr>
            <w:tcW w:w="993" w:type="dxa"/>
            <w:shd w:val="clear" w:color="auto" w:fill="auto"/>
            <w:vAlign w:val="center"/>
          </w:tcPr>
          <w:p w14:paraId="05369F14">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提交前病例监测</w:t>
            </w:r>
          </w:p>
        </w:tc>
        <w:tc>
          <w:tcPr>
            <w:tcW w:w="6237" w:type="dxa"/>
            <w:shd w:val="clear" w:color="auto" w:fill="auto"/>
            <w:vAlign w:val="center"/>
          </w:tcPr>
          <w:p w14:paraId="1B817778">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[病例范围：出院但未将病历提交病案室归档的病例]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提供全院病例DRG分组预测与预警信息，包括费用异常预警、病历质控预警、不合理入院预警，预警条件支持自定义设置；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提供病例当前实时DRG预测分组信息，以及住院费用进度条，直观了解费用消耗情况；</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支持查看患者基本信息、诊断、手术，以及历史住院的DRG分组与诊断/手术信息；</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支持在院期间查看各个费用结构及费用标杆值，并能下钻查看各费用项目明细，包括药品、耗材、检查检验等；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支持多种筛选条件查找数据：包括结算方式（床日结算、病组结算）、病例类型（高倍率、低倍率、正常病例等）、医保类型等；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支持筛选特殊病例：包括15天再入院、基础病组、中途出院结算、住院天数超高、24小时出入院、新技术病例等；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支持按姓名、住院号、患者ID、床位号等搜索病例；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支持从科室、医疗组、病区、医生等维度查看预警病例；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列表字段支持用户自定义显示与排列，包含表头字段是否显示以及固定列设置，支持列表所有数据下载；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支持大数据模拟分组，通过调整主诊断、次诊断、主手术、次手术进行模拟分组，对中医分组支持主病主症模拟分组；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(11)</w:t>
            </w:r>
            <w:r>
              <w:rPr>
                <w:rFonts w:hint="eastAsia" w:ascii="仿宋" w:hAnsi="仿宋" w:eastAsia="仿宋" w:cs="仿宋"/>
                <w:color w:val="000000"/>
                <w:kern w:val="0"/>
                <w:sz w:val="24"/>
                <w:szCs w:val="24"/>
              </w:rPr>
              <w:t>支持病例按多种结算方式进行预测对比，包括床日结算、病组结算、中医结算，并优先展示结算金额最高的结算方式；</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(12)</w:t>
            </w:r>
            <w:r>
              <w:rPr>
                <w:rFonts w:hint="eastAsia" w:ascii="仿宋" w:hAnsi="仿宋" w:eastAsia="仿宋" w:cs="仿宋"/>
                <w:color w:val="000000"/>
                <w:kern w:val="0"/>
                <w:sz w:val="24"/>
                <w:szCs w:val="24"/>
              </w:rPr>
              <w:t>支持手动选择任意患者按照床日结算类型进行预测；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(13)</w:t>
            </w:r>
            <w:r>
              <w:rPr>
                <w:rFonts w:hint="eastAsia" w:ascii="仿宋" w:hAnsi="仿宋" w:eastAsia="仿宋" w:cs="仿宋"/>
                <w:color w:val="000000"/>
                <w:kern w:val="0"/>
                <w:sz w:val="24"/>
                <w:szCs w:val="24"/>
              </w:rPr>
              <w:t>支持按照地区医保结算规则进行适配，包括新技术、特殊药品耗材追加、基础病组同病同价等。</w:t>
            </w:r>
          </w:p>
        </w:tc>
      </w:tr>
      <w:tr w14:paraId="1BFB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43262CFA">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p>
        </w:tc>
        <w:tc>
          <w:tcPr>
            <w:tcW w:w="993" w:type="dxa"/>
            <w:shd w:val="clear" w:color="auto" w:fill="auto"/>
            <w:vAlign w:val="center"/>
          </w:tcPr>
          <w:p w14:paraId="2A983A61">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已提交病例分析</w:t>
            </w:r>
          </w:p>
        </w:tc>
        <w:tc>
          <w:tcPr>
            <w:tcW w:w="6237" w:type="dxa"/>
            <w:shd w:val="clear" w:color="auto" w:fill="auto"/>
            <w:vAlign w:val="center"/>
          </w:tcPr>
          <w:p w14:paraId="2D0460A0">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[病例范围：出院已提交病案归档，但未与医保局结算的病例]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支持对比查看临床与病案编码后病例的诊断、手术、DRG分组数据，并对不一致数据进行颜色标记；</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支持多种筛选条件查找数据：包括结算方式（床日结算、病组结算）、病例类型（高倍率、低倍率、正常病例等）、医保类型等；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支持筛选特殊病例：包括15天再入院、基础病组、中途出院结算、住院天数超高、24小时出入院、新技术病例等；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支持按姓名、住院号、患者ID、床位号等搜索病例；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列表字段支持用户自定义显示与排列，包含表头字段是否显示以及固定列设置，支持列表所有数据下载；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支持大数据模拟分组，通过调整主诊断、次诊断、主手术、次手术进行模拟分组，对中医分组支持主病主症模拟分组；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支持病例按多种结算方式进行预测对比，包括床日结算、病组结算、中医结算，并优先展示结算金额最高的结算方式。</w:t>
            </w:r>
          </w:p>
        </w:tc>
      </w:tr>
      <w:bookmarkEnd w:id="66"/>
    </w:tbl>
    <w:p w14:paraId="70976538">
      <w:pPr>
        <w:widowControl/>
        <w:kinsoku/>
        <w:wordWrap/>
        <w:overflowPunct/>
        <w:topLinePunct w:val="0"/>
        <w:bidi w:val="0"/>
        <w:spacing w:line="440" w:lineRule="exact"/>
        <w:ind w:left="0"/>
        <w:textAlignment w:val="auto"/>
        <w:rPr>
          <w:rFonts w:hint="eastAsia" w:ascii="仿宋" w:hAnsi="仿宋" w:eastAsia="仿宋" w:cs="仿宋"/>
          <w:kern w:val="2"/>
          <w:sz w:val="24"/>
          <w:szCs w:val="24"/>
        </w:rPr>
      </w:pPr>
    </w:p>
    <w:p w14:paraId="7B13134C">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kern w:val="2"/>
          <w:sz w:val="24"/>
          <w:szCs w:val="24"/>
        </w:rPr>
        <w:br w:type="page"/>
      </w:r>
    </w:p>
    <w:p w14:paraId="25D8317D">
      <w:pPr>
        <w:keepNext/>
        <w:keepLines/>
        <w:pageBreakBefore w:val="0"/>
        <w:numPr>
          <w:ilvl w:val="3"/>
          <w:numId w:val="0"/>
        </w:numPr>
        <w:kinsoku/>
        <w:wordWrap/>
        <w:overflowPunct/>
        <w:topLinePunct w:val="0"/>
        <w:autoSpaceDE/>
        <w:autoSpaceDN/>
        <w:bidi w:val="0"/>
        <w:adjustRightInd/>
        <w:snapToGrid/>
        <w:spacing w:line="440" w:lineRule="exact"/>
        <w:ind w:left="0" w:leftChars="0" w:firstLine="482" w:firstLineChars="200"/>
        <w:jc w:val="both"/>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2.2.3.2 DRG运营分析</w:t>
      </w:r>
    </w:p>
    <w:tbl>
      <w:tblPr>
        <w:tblStyle w:val="35"/>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93"/>
        <w:gridCol w:w="6237"/>
      </w:tblGrid>
      <w:tr w14:paraId="7042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shd w:val="clear" w:color="auto" w:fill="auto"/>
            <w:vAlign w:val="center"/>
          </w:tcPr>
          <w:p w14:paraId="51F57344">
            <w:pPr>
              <w:pageBreakBefore w:val="0"/>
              <w:widowControl/>
              <w:kinsoku/>
              <w:wordWrap/>
              <w:overflowPunct/>
              <w:topLinePunct w:val="0"/>
              <w:autoSpaceDE/>
              <w:autoSpaceDN/>
              <w:bidi w:val="0"/>
              <w:adjustRightInd/>
              <w:snapToGrid/>
              <w:spacing w:line="440" w:lineRule="exact"/>
              <w:ind w:left="0"/>
              <w:jc w:val="both"/>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模块</w:t>
            </w:r>
          </w:p>
        </w:tc>
        <w:tc>
          <w:tcPr>
            <w:tcW w:w="993" w:type="dxa"/>
            <w:shd w:val="clear" w:color="auto" w:fill="auto"/>
            <w:vAlign w:val="center"/>
          </w:tcPr>
          <w:p w14:paraId="5053E120">
            <w:pPr>
              <w:pageBreakBefore w:val="0"/>
              <w:widowControl/>
              <w:kinsoku/>
              <w:wordWrap/>
              <w:overflowPunct/>
              <w:topLinePunct w:val="0"/>
              <w:autoSpaceDE/>
              <w:autoSpaceDN/>
              <w:bidi w:val="0"/>
              <w:adjustRightInd/>
              <w:snapToGrid/>
              <w:spacing w:line="440" w:lineRule="exact"/>
              <w:ind w:left="0"/>
              <w:jc w:val="both"/>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功能点</w:t>
            </w:r>
          </w:p>
        </w:tc>
        <w:tc>
          <w:tcPr>
            <w:tcW w:w="6237" w:type="dxa"/>
            <w:shd w:val="clear" w:color="auto" w:fill="auto"/>
            <w:vAlign w:val="center"/>
          </w:tcPr>
          <w:p w14:paraId="3CF07845">
            <w:pPr>
              <w:pageBreakBefore w:val="0"/>
              <w:widowControl/>
              <w:kinsoku/>
              <w:wordWrap/>
              <w:overflowPunct/>
              <w:topLinePunct w:val="0"/>
              <w:autoSpaceDE/>
              <w:autoSpaceDN/>
              <w:bidi w:val="0"/>
              <w:adjustRightInd/>
              <w:snapToGrid/>
              <w:spacing w:line="440" w:lineRule="exact"/>
              <w:ind w:left="0" w:firstLine="482" w:firstLineChars="20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详细参数</w:t>
            </w:r>
          </w:p>
        </w:tc>
      </w:tr>
      <w:tr w14:paraId="0C55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299E0BB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DRG驾驶舱</w:t>
            </w:r>
          </w:p>
        </w:tc>
        <w:tc>
          <w:tcPr>
            <w:tcW w:w="993" w:type="dxa"/>
            <w:shd w:val="clear" w:color="auto" w:fill="auto"/>
            <w:vAlign w:val="center"/>
          </w:tcPr>
          <w:p w14:paraId="2F3491E6">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医院DRG整体情况</w:t>
            </w:r>
          </w:p>
        </w:tc>
        <w:tc>
          <w:tcPr>
            <w:tcW w:w="6237" w:type="dxa"/>
            <w:shd w:val="clear" w:color="auto" w:fill="auto"/>
            <w:vAlign w:val="center"/>
          </w:tcPr>
          <w:p w14:paraId="0ECDE84B">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展示筛选时间段内全院病例数、总结余、CMI、病组数等DRG核心数据，所有统计图均支持放大和下载。</w:t>
            </w:r>
          </w:p>
        </w:tc>
      </w:tr>
      <w:tr w14:paraId="4E32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2B40AFC2">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6BA3744C">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全院超支结余分析</w:t>
            </w:r>
          </w:p>
        </w:tc>
        <w:tc>
          <w:tcPr>
            <w:tcW w:w="6237" w:type="dxa"/>
            <w:shd w:val="clear" w:color="auto" w:fill="auto"/>
            <w:vAlign w:val="center"/>
          </w:tcPr>
          <w:p w14:paraId="78B18B1B">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展示筛选时间段内的超支结余趋势、超支结余科室分布、病例类型分布、高低倍率病例占比趋势，支持下钻。</w:t>
            </w:r>
          </w:p>
        </w:tc>
      </w:tr>
      <w:tr w14:paraId="7C9C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1396755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0E209DD8">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全院费用构成分析</w:t>
            </w:r>
          </w:p>
        </w:tc>
        <w:tc>
          <w:tcPr>
            <w:tcW w:w="6237" w:type="dxa"/>
            <w:shd w:val="clear" w:color="auto" w:fill="auto"/>
            <w:vAlign w:val="center"/>
          </w:tcPr>
          <w:p w14:paraId="14542F07">
            <w:pPr>
              <w:widowControl/>
              <w:kinsoku/>
              <w:wordWrap/>
              <w:overflowPunct/>
              <w:topLinePunct w:val="0"/>
              <w:bidi w:val="0"/>
              <w:spacing w:line="440" w:lineRule="exact"/>
              <w:ind w:left="0"/>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展示筛选时间段内各费用类型的金额及占比、药占比、耗占比、检查检验占比、医疗服务占比趋势，支持按病例类型选择统计范围。</w:t>
            </w:r>
          </w:p>
        </w:tc>
      </w:tr>
      <w:tr w14:paraId="32AD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7238C8B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077A030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全院资源使用效率分析</w:t>
            </w:r>
          </w:p>
        </w:tc>
        <w:tc>
          <w:tcPr>
            <w:tcW w:w="6237" w:type="dxa"/>
            <w:shd w:val="clear" w:color="auto" w:fill="auto"/>
            <w:vAlign w:val="center"/>
          </w:tcPr>
          <w:p w14:paraId="6ED313DC">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展示筛选时间段内次均费用、次均点数与平均住院日趋势，支持与去年同期比较。</w:t>
            </w:r>
          </w:p>
        </w:tc>
      </w:tr>
      <w:tr w14:paraId="71CA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237A7B16">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2CD0D030">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全院病组构成分析</w:t>
            </w:r>
          </w:p>
        </w:tc>
        <w:tc>
          <w:tcPr>
            <w:tcW w:w="6237" w:type="dxa"/>
            <w:shd w:val="clear" w:color="auto" w:fill="auto"/>
            <w:vAlign w:val="center"/>
          </w:tcPr>
          <w:p w14:paraId="61CF8911">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展示筛选时间段内CMI趋势，各RW区间病组分布情况，RW区间支持自定义调整和下钻。</w:t>
            </w:r>
          </w:p>
        </w:tc>
      </w:tr>
      <w:tr w14:paraId="4752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1E9F9AD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科室综合分析</w:t>
            </w:r>
          </w:p>
        </w:tc>
        <w:tc>
          <w:tcPr>
            <w:tcW w:w="993" w:type="dxa"/>
            <w:shd w:val="clear" w:color="auto" w:fill="auto"/>
            <w:vAlign w:val="center"/>
          </w:tcPr>
          <w:p w14:paraId="6C04F5D0">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科室对比分析</w:t>
            </w:r>
          </w:p>
        </w:tc>
        <w:tc>
          <w:tcPr>
            <w:tcW w:w="6237" w:type="dxa"/>
            <w:shd w:val="clear" w:color="auto" w:fill="auto"/>
            <w:vAlign w:val="center"/>
          </w:tcPr>
          <w:p w14:paraId="15570B20">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展示科室病例数、结余、病组数、CMI、入组率、药耗占比等相关指标数据对比，支持数据下钻；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提供按主题进行分析，包括运行指标监控、超支结余、费用构成、出院带药、不合理入院五大主题；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支持年/季/月筛选和自定义时间区间、病例范围、超支/结余科室筛选；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支持根据不同用户设置重点关注科室，并能够快速筛选和查看重点科室数据；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支持运行目标与标杆数据对比，其中标杆数据根据历史数据自动生成，支持自定义修改标杆值，支持快速筛选超标科室；</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支持二级科室管理，可以按照出院科室、管理科室分布查看和统计数据；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列表字段支持用户自定义显示与排列，包含表头字段是否显示以及固定列设置，支持查看指标同比，列表数据下载。</w:t>
            </w:r>
          </w:p>
        </w:tc>
      </w:tr>
      <w:tr w14:paraId="38F1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051A642C">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60819A70">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科室主页（科室下钻分析）</w:t>
            </w:r>
          </w:p>
        </w:tc>
        <w:tc>
          <w:tcPr>
            <w:tcW w:w="6237" w:type="dxa"/>
            <w:shd w:val="clear" w:color="auto" w:fill="auto"/>
            <w:vAlign w:val="center"/>
          </w:tcPr>
          <w:p w14:paraId="670EAC34">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[单科室下DRG运营数据统计分析]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总览：支持科室多选，展示科室所选时间段内DRG核心数据概览，包含病例数、CMI、结余、药耗占比、人头人次比、N天再入院、病组构成、平均住院日等；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超支结余分析：展示科室超支结余/次均结余趋势、超支结余病组分布及趋势、超支结余病例分布及趋势、病例类型分布、高低倍率病例占比趋势；支持下钻；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费用构成分析：展示科室在各个费用类型的金额及占比，药耗占比趋势，支持按病例类型选择统计范围；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病组构成分析：通过矩阵象限，分析科室优势病组、劣势病组；支持数据对比与下钻，对不同象限的病组提供分析结论；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资源使用效率分析：展示科室平均住院日趋势、次均费用趋势、时间消耗指数、费用消耗指数，支持与去年次均费用对比；</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病历质量分析：展示科室编码前后分组不一致病例数趋势、点数差趋势、结余差趋势；</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病组列表：同科室下不同病组DRG运营数据对比，支持下载；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医疗组列表：同科室下不同医疗组DRG运营数据对比，支持下载；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(9)</w:t>
            </w:r>
            <w:r>
              <w:rPr>
                <w:rFonts w:hint="eastAsia" w:ascii="仿宋" w:hAnsi="仿宋" w:eastAsia="仿宋" w:cs="仿宋"/>
                <w:color w:val="000000"/>
                <w:kern w:val="0"/>
                <w:sz w:val="24"/>
                <w:szCs w:val="24"/>
              </w:rPr>
              <w:t>医生列表：同科室下不同医生DRG运营数据对比，支持下载；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(10)</w:t>
            </w:r>
            <w:r>
              <w:rPr>
                <w:rFonts w:hint="eastAsia" w:ascii="仿宋" w:hAnsi="仿宋" w:eastAsia="仿宋" w:cs="仿宋"/>
                <w:color w:val="000000"/>
                <w:kern w:val="0"/>
                <w:sz w:val="24"/>
                <w:szCs w:val="24"/>
              </w:rPr>
              <w:t>病例列表：展示科室所选时间段内所有病例数据，支持按医疗组、病组、医生筛选、查看病例详情、模拟分组，支持表格数据下载。</w:t>
            </w:r>
          </w:p>
        </w:tc>
      </w:tr>
      <w:tr w14:paraId="40AD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0EF79A50">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病组综合分析</w:t>
            </w:r>
          </w:p>
        </w:tc>
        <w:tc>
          <w:tcPr>
            <w:tcW w:w="993" w:type="dxa"/>
            <w:shd w:val="clear" w:color="auto" w:fill="auto"/>
            <w:vAlign w:val="center"/>
          </w:tcPr>
          <w:p w14:paraId="4BE7BA84">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病组对比分析</w:t>
            </w:r>
          </w:p>
        </w:tc>
        <w:tc>
          <w:tcPr>
            <w:tcW w:w="6237" w:type="dxa"/>
            <w:shd w:val="clear" w:color="auto" w:fill="auto"/>
            <w:vAlign w:val="center"/>
          </w:tcPr>
          <w:p w14:paraId="13EB306C">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 xml:space="preserve"> 展示各DRG病组病例数、结余、RW、药耗占比、时间消耗指数、费用消耗指数等相关指标数据对比，支持下钻；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支持按主题进行分析，包括运行指标监控、超支结余、费用构成、RW区间分布，其中RW区间支持自定义设置；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支持年/季/月筛选和自定义时间区间、病例范围、超支/结余科室筛选；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支持运行目标与标杆数据对比，其中标杆数据根据历史数据自动生成，支持自定义修改标杆值，支持快速筛选超标病组；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列表字段支持用户自定义显示与排列，包含表头字段是否显示以及固定列设置，支持查看指标同比，列表数据下载；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支持根据不同用户设置重点关注病组，并能够快速筛选和查看重点病组数据。</w:t>
            </w:r>
          </w:p>
        </w:tc>
      </w:tr>
      <w:tr w14:paraId="41B1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1A22BD71">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41CA68D3">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病组主页（病组下钻分析）</w:t>
            </w:r>
          </w:p>
        </w:tc>
        <w:tc>
          <w:tcPr>
            <w:tcW w:w="6237" w:type="dxa"/>
            <w:shd w:val="clear" w:color="auto" w:fill="auto"/>
            <w:vAlign w:val="center"/>
          </w:tcPr>
          <w:p w14:paraId="0D243927">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[单病组下DRG运营数据统计分析]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总览：支持病组多选，展示病组在所选时间段内DRG核心数据概览，包含总病例数、RW、结余、药耗占比、病组构成、平均住院日等；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超支结余分析：展示病组超支结余/次均结余趋势、超支结余病例分布及趋势、病例类型分布、高低倍率病例占比趋势；支持下钻；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费用构成分析：展示病组各个费用类型的金额、占比及超支影响率，药耗占比趋势，支持按病例类型选择统计范围；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资源使用效率分析：展示病组平均住院日趋势、次均费用趋势、时间消耗指数、费用消耗指数；</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科室列表：同病组下不同科室DRG运营数据对比，支持下载；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 xml:space="preserve"> 医疗组列表：同病组下不同医疗组DRG运营数据对比，支持下载；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病例列表：所选病组所选时间段内所有病例数据，支持筛选、查看病例详情、模拟分组、下载。</w:t>
            </w:r>
          </w:p>
        </w:tc>
      </w:tr>
      <w:tr w14:paraId="3448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36E83A31">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医疗组综合分析</w:t>
            </w:r>
          </w:p>
        </w:tc>
        <w:tc>
          <w:tcPr>
            <w:tcW w:w="993" w:type="dxa"/>
            <w:shd w:val="clear" w:color="auto" w:fill="auto"/>
            <w:vAlign w:val="center"/>
          </w:tcPr>
          <w:p w14:paraId="060D3568">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医疗组对比分析</w:t>
            </w:r>
          </w:p>
        </w:tc>
        <w:tc>
          <w:tcPr>
            <w:tcW w:w="6237" w:type="dxa"/>
            <w:shd w:val="clear" w:color="auto" w:fill="auto"/>
            <w:vAlign w:val="center"/>
          </w:tcPr>
          <w:p w14:paraId="43C694D2">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展示医疗组病例数、结余、病组数、CMI、入组率、药耗占比等DRG相关指标数据对比，支持数据下钻；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支持快捷筛选，包括超支医疗组、结余医疗组、环比结余增加、减少等，支持年/季/月筛选和自定义时间区间、病例范围筛选；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支持根据不同用户设置重点关注科室，并能够快速筛选和查看重点科室数据；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列表字段支持用户自定义显示与排列，包含表头字段是否显示以及固定列设置，支持查看指标同比，列表数据下载。</w:t>
            </w:r>
          </w:p>
        </w:tc>
      </w:tr>
      <w:tr w14:paraId="5143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227FAB7B">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16E25B9D">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医疗组主页（医疗组下钻分析）</w:t>
            </w:r>
          </w:p>
        </w:tc>
        <w:tc>
          <w:tcPr>
            <w:tcW w:w="6237" w:type="dxa"/>
            <w:shd w:val="clear" w:color="auto" w:fill="auto"/>
            <w:vAlign w:val="center"/>
          </w:tcPr>
          <w:p w14:paraId="04E145EB">
            <w:pPr>
              <w:widowControl/>
              <w:kinsoku/>
              <w:wordWrap/>
              <w:overflowPunct/>
              <w:topLinePunct w:val="0"/>
              <w:bidi w:val="0"/>
              <w:spacing w:line="440" w:lineRule="exact"/>
              <w:ind w:left="0"/>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[单医疗组下DRG运营数据统计分析]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总览：支持医疗组多选，展示医疗组在所选时间段内DRG核心数据概览，包含病例数、CMI、总权重、结余、药耗占比、病组构成、平均住院日等；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超支结余分析：展示医疗组超支结余/次均结余趋势、超支结余病组分布及趋势、超支结余病例分布及趋势、病例类型分布、高低倍率病例占比趋势；支持下钻；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费用构成分析：展示医疗组各个费用类型的金额及占比，药耗占比趋势，支持按病例类型选择统计范围；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病组构成分析：通过矩阵象限，分析所选医疗组优势病组、劣势病组；支持数据对比与下钻，对不同象限的病组提供分析结论；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资源使用效率分析：展示医疗组平均住院日趋势、次均费用趋势、时间消耗指数、费用消耗指数；</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rPr>
              <w:t>病组列表：同医疗组下不同病组DRG运营数据对比，支持下载；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rPr>
              <w:t>医生列表：同医疗组下不同医生DRG运营数据对比，支持下载；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(8)</w:t>
            </w:r>
            <w:r>
              <w:rPr>
                <w:rFonts w:hint="eastAsia" w:ascii="仿宋" w:hAnsi="仿宋" w:eastAsia="仿宋" w:cs="仿宋"/>
                <w:color w:val="000000"/>
                <w:kern w:val="0"/>
                <w:sz w:val="24"/>
                <w:szCs w:val="24"/>
              </w:rPr>
              <w:t>病例列表：所选医疗组所选时间段内所有病例数据，支持筛选、查看病例详情、模拟分组、下载。</w:t>
            </w:r>
          </w:p>
        </w:tc>
      </w:tr>
      <w:tr w14:paraId="7AC6A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gridSpan w:val="2"/>
            <w:shd w:val="clear" w:color="auto" w:fill="auto"/>
            <w:vAlign w:val="center"/>
          </w:tcPr>
          <w:p w14:paraId="0CABF96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医生综合对比分析</w:t>
            </w:r>
          </w:p>
        </w:tc>
        <w:tc>
          <w:tcPr>
            <w:tcW w:w="6237" w:type="dxa"/>
            <w:shd w:val="clear" w:color="auto" w:fill="auto"/>
            <w:vAlign w:val="center"/>
          </w:tcPr>
          <w:p w14:paraId="3C8CA5F0">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展示医生病例数、结余、CMI、次均费用、总点数、人头人次比、病组数、高低倍率病例占比等DRG相关指标数据对比，支持数据下钻；</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支持快捷筛选，包括超支医生、结余医生、环比结余增加、减少、高低倍率病例占比高/低于全院平均等；支持年/季/月筛选和自定义时间区间、病例范围筛选、按医疗组筛选病例；支持模糊搜索医生；</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列表字段支持用户自定义显示与排列，包含表头字段是否显示以及固定列设置，列表数据下载。</w:t>
            </w:r>
          </w:p>
        </w:tc>
      </w:tr>
      <w:tr w14:paraId="2A45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6FAA35EA">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专题分析</w:t>
            </w:r>
          </w:p>
        </w:tc>
        <w:tc>
          <w:tcPr>
            <w:tcW w:w="993" w:type="dxa"/>
            <w:shd w:val="clear" w:color="auto" w:fill="auto"/>
            <w:vAlign w:val="center"/>
          </w:tcPr>
          <w:p w14:paraId="6FE35162">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费用分摊分析</w:t>
            </w:r>
          </w:p>
        </w:tc>
        <w:tc>
          <w:tcPr>
            <w:tcW w:w="6237" w:type="dxa"/>
            <w:shd w:val="clear" w:color="auto" w:fill="auto"/>
            <w:vAlign w:val="center"/>
          </w:tcPr>
          <w:p w14:paraId="7EB614B5">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[根据患者在各临床开单科室产生的费用占比，将DRG结余按比例分摊统计分析]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▲(1)展示按出院科室与按费用产生科室结余对比；支持查看产生费用分摊病例明细，及病例在各科室的费用情况，支持下载；支持按时间、科室、病例范围等筛选，支持表格按不同字段排序。</w:t>
            </w:r>
          </w:p>
        </w:tc>
      </w:tr>
      <w:tr w14:paraId="044F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061E2F7D">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4F10931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学科发展分析-学科覆盖度分析</w:t>
            </w:r>
          </w:p>
        </w:tc>
        <w:tc>
          <w:tcPr>
            <w:tcW w:w="6237" w:type="dxa"/>
            <w:shd w:val="clear" w:color="auto" w:fill="auto"/>
            <w:vAlign w:val="center"/>
          </w:tcPr>
          <w:p w14:paraId="49E8D564">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展示各MDC中医院病组/病例相对地区全部病组的覆盖度、各MDC医院病组/病例占比（覆盖度），以此反映医院学科广度，支持数据下载。</w:t>
            </w:r>
          </w:p>
        </w:tc>
      </w:tr>
      <w:tr w14:paraId="193B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3B722CE4">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263104B7">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学科发展分析-科室评价</w:t>
            </w:r>
          </w:p>
        </w:tc>
        <w:tc>
          <w:tcPr>
            <w:tcW w:w="6237" w:type="dxa"/>
            <w:shd w:val="clear" w:color="auto" w:fill="auto"/>
            <w:vAlign w:val="center"/>
          </w:tcPr>
          <w:p w14:paraId="418EAACF">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通过矩阵象限，分析在医保DRG下相对优势的科室、劣势的科室；支持指标组合维度切换、原点自定义；支持数据下钻与下载。</w:t>
            </w:r>
          </w:p>
        </w:tc>
      </w:tr>
      <w:tr w14:paraId="28F8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5E68153A">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5A034442">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学科发展分析-病组评价</w:t>
            </w:r>
          </w:p>
        </w:tc>
        <w:tc>
          <w:tcPr>
            <w:tcW w:w="6237" w:type="dxa"/>
            <w:shd w:val="clear" w:color="auto" w:fill="auto"/>
            <w:vAlign w:val="center"/>
          </w:tcPr>
          <w:p w14:paraId="4A5E9149">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通过矩阵象限，分析在医保DRG下医院的优势病组、劣势病组；支持指标组合维度切换；支持病组范围自定义，支持数据下钻与下载。</w:t>
            </w:r>
          </w:p>
        </w:tc>
      </w:tr>
      <w:tr w14:paraId="4726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176751D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71BBA84D">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病例性质分析</w:t>
            </w:r>
          </w:p>
        </w:tc>
        <w:tc>
          <w:tcPr>
            <w:tcW w:w="6237" w:type="dxa"/>
            <w:shd w:val="clear" w:color="auto" w:fill="auto"/>
            <w:vAlign w:val="center"/>
          </w:tcPr>
          <w:p w14:paraId="47349433">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展示各个统筹区、各个医保类型的病例数量及比例；支持按照统筹区、医保类型分析全院及科室的核心指标，包括病例数、医疗总费用、次均费用、结余、平均住院日、CMI、药占比、耗占比、医技占比等；支持表格数据排序和下载。</w:t>
            </w:r>
          </w:p>
        </w:tc>
      </w:tr>
      <w:tr w14:paraId="5C01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gridSpan w:val="2"/>
            <w:shd w:val="clear" w:color="auto" w:fill="auto"/>
            <w:vAlign w:val="center"/>
          </w:tcPr>
          <w:p w14:paraId="191787BD">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病例数据综合查询与下载</w:t>
            </w:r>
          </w:p>
        </w:tc>
        <w:tc>
          <w:tcPr>
            <w:tcW w:w="6237" w:type="dxa"/>
            <w:shd w:val="clear" w:color="auto" w:fill="auto"/>
            <w:vAlign w:val="center"/>
          </w:tcPr>
          <w:p w14:paraId="36BF17CE">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展示病例明细数据，支持查看详情，包含DRG分组、诊断/手术、费用占比及明细等信息；</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支持按病例类型、15天再入院、科室、结余范围等条件组合筛选；支持按住院号、患者姓名、病案号、主诊主手等模糊搜索病例；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支持表格数据排序和筛选，支持15天再入院及其上次关联病例的数据下载；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支持大数据模拟分组，通过调整主诊断、次诊断、主手术、次手术进行模拟分组；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支持病例按多种结算方式进行预测对比，包括床日结算、病组结算、中医结算，并优先展示点数最高的结算方式。</w:t>
            </w:r>
          </w:p>
        </w:tc>
      </w:tr>
      <w:tr w14:paraId="112B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gridSpan w:val="2"/>
            <w:shd w:val="clear" w:color="auto" w:fill="auto"/>
            <w:vAlign w:val="center"/>
          </w:tcPr>
          <w:p w14:paraId="16ACCB55">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指标综合查询与下载</w:t>
            </w:r>
          </w:p>
        </w:tc>
        <w:tc>
          <w:tcPr>
            <w:tcW w:w="6237" w:type="dxa"/>
            <w:shd w:val="clear" w:color="auto" w:fill="auto"/>
            <w:vAlign w:val="center"/>
          </w:tcPr>
          <w:p w14:paraId="7E01411C">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提供各个主题的指标下载，包括医疗服务能力、费用控制、DRG结算指标、费用控制等；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支持指标自定义选择数据范围、时间范围、导出维度（全院/科室/病组等）；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支持保存指标报表模板，方便同一报表重复下载；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支持导出DRG系统点击量统计指标，维度支持全院、科室、操作工号。</w:t>
            </w:r>
          </w:p>
        </w:tc>
      </w:tr>
      <w:tr w14:paraId="0517C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440D7C7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系统设置</w:t>
            </w:r>
          </w:p>
        </w:tc>
        <w:tc>
          <w:tcPr>
            <w:tcW w:w="993" w:type="dxa"/>
            <w:shd w:val="clear" w:color="auto" w:fill="auto"/>
            <w:vAlign w:val="center"/>
          </w:tcPr>
          <w:p w14:paraId="546D03E6">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费用构成规则设置</w:t>
            </w:r>
          </w:p>
        </w:tc>
        <w:tc>
          <w:tcPr>
            <w:tcW w:w="6237" w:type="dxa"/>
            <w:shd w:val="clear" w:color="auto" w:fill="auto"/>
            <w:vAlign w:val="center"/>
          </w:tcPr>
          <w:p w14:paraId="753B7581">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支持自定义设置费用分类，系统根据该分类进行费用相关指标的统计和分析。</w:t>
            </w:r>
          </w:p>
        </w:tc>
      </w:tr>
      <w:tr w14:paraId="45BB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1251E0E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6A2ECF9E">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风险审核规则</w:t>
            </w:r>
          </w:p>
        </w:tc>
        <w:tc>
          <w:tcPr>
            <w:tcW w:w="6237" w:type="dxa"/>
            <w:shd w:val="clear" w:color="auto" w:fill="auto"/>
            <w:vAlign w:val="center"/>
          </w:tcPr>
          <w:p w14:paraId="20DFD357">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支持自定义设置费用异常、不合理入院、再入院、体检入院等预警病例的条件。</w:t>
            </w:r>
          </w:p>
        </w:tc>
      </w:tr>
      <w:tr w14:paraId="16DB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712F7AB7">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4583BA1D">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结算单导入设置</w:t>
            </w:r>
          </w:p>
        </w:tc>
        <w:tc>
          <w:tcPr>
            <w:tcW w:w="6237" w:type="dxa"/>
            <w:shd w:val="clear" w:color="auto" w:fill="auto"/>
            <w:vAlign w:val="center"/>
          </w:tcPr>
          <w:p w14:paraId="6987B948">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支持结算导入字段映射和处理。</w:t>
            </w:r>
          </w:p>
        </w:tc>
      </w:tr>
      <w:tr w14:paraId="2784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6A40B377">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4F31BE76">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标杆设置</w:t>
            </w:r>
          </w:p>
        </w:tc>
        <w:tc>
          <w:tcPr>
            <w:tcW w:w="6237" w:type="dxa"/>
            <w:shd w:val="clear" w:color="auto" w:fill="auto"/>
            <w:vAlign w:val="center"/>
          </w:tcPr>
          <w:p w14:paraId="426493BA">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支持自定义设置病组和科室的标杆值。</w:t>
            </w:r>
          </w:p>
        </w:tc>
      </w:tr>
      <w:tr w14:paraId="720F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29C96AB9">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2F100131">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事中费用预警设置</w:t>
            </w:r>
          </w:p>
        </w:tc>
        <w:tc>
          <w:tcPr>
            <w:tcW w:w="6237" w:type="dxa"/>
            <w:shd w:val="clear" w:color="auto" w:fill="auto"/>
            <w:vAlign w:val="center"/>
          </w:tcPr>
          <w:p w14:paraId="140A814E">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支持自定义高倍预警、低倍预警、超支风险三类费用预警的规则与生效范围。</w:t>
            </w:r>
          </w:p>
        </w:tc>
      </w:tr>
      <w:tr w14:paraId="6ED8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6FEE60C8">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2703DEC8">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病例详情设置</w:t>
            </w:r>
          </w:p>
        </w:tc>
        <w:tc>
          <w:tcPr>
            <w:tcW w:w="6237" w:type="dxa"/>
            <w:shd w:val="clear" w:color="auto" w:fill="auto"/>
            <w:vAlign w:val="center"/>
          </w:tcPr>
          <w:p w14:paraId="5A865787">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支持自定义病例详情控费进度条的展示形式，以及详情页的字段信息、指标展示。</w:t>
            </w:r>
          </w:p>
        </w:tc>
      </w:tr>
      <w:tr w14:paraId="0A79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4273F4F0">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75887CE4">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特殊结算方式设置</w:t>
            </w:r>
          </w:p>
        </w:tc>
        <w:tc>
          <w:tcPr>
            <w:tcW w:w="6237" w:type="dxa"/>
            <w:shd w:val="clear" w:color="auto" w:fill="auto"/>
            <w:vAlign w:val="center"/>
          </w:tcPr>
          <w:p w14:paraId="102C31A4">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支持自定义事中监测优先按点数最高预测、优先按病组预测、优先按床日预测等，开关按床日结算预测和中医预测结算。</w:t>
            </w:r>
          </w:p>
        </w:tc>
      </w:tr>
      <w:tr w14:paraId="4E93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6E706A0C">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账号权限管理</w:t>
            </w:r>
          </w:p>
        </w:tc>
        <w:tc>
          <w:tcPr>
            <w:tcW w:w="993" w:type="dxa"/>
            <w:shd w:val="clear" w:color="auto" w:fill="auto"/>
            <w:vAlign w:val="center"/>
          </w:tcPr>
          <w:p w14:paraId="69A131DD">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管理科室设置</w:t>
            </w:r>
          </w:p>
        </w:tc>
        <w:tc>
          <w:tcPr>
            <w:tcW w:w="6237" w:type="dxa"/>
            <w:shd w:val="clear" w:color="auto" w:fill="auto"/>
            <w:vAlign w:val="center"/>
          </w:tcPr>
          <w:p w14:paraId="6802CD84">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支持按出院科室设置大科室，满足医院二级科室管理。</w:t>
            </w:r>
          </w:p>
        </w:tc>
      </w:tr>
      <w:tr w14:paraId="56F9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shd w:val="clear" w:color="auto" w:fill="auto"/>
            <w:vAlign w:val="center"/>
          </w:tcPr>
          <w:p w14:paraId="72FF2BEF">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p>
        </w:tc>
        <w:tc>
          <w:tcPr>
            <w:tcW w:w="993" w:type="dxa"/>
            <w:shd w:val="clear" w:color="auto" w:fill="auto"/>
            <w:vAlign w:val="center"/>
          </w:tcPr>
          <w:p w14:paraId="42455727">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角色与数据权限</w:t>
            </w:r>
          </w:p>
        </w:tc>
        <w:tc>
          <w:tcPr>
            <w:tcW w:w="6237" w:type="dxa"/>
            <w:shd w:val="clear" w:color="auto" w:fill="auto"/>
            <w:vAlign w:val="center"/>
          </w:tcPr>
          <w:p w14:paraId="792D3939">
            <w:pPr>
              <w:widowControl/>
              <w:kinsoku/>
              <w:wordWrap/>
              <w:overflowPunct/>
              <w:topLinePunct w:val="0"/>
              <w:bidi w:val="0"/>
              <w:spacing w:line="440" w:lineRule="exact"/>
              <w:ind w:left="0"/>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支持根据医院需要，按照院级、科级、医生不同角色设置菜单和数据权限。</w:t>
            </w:r>
          </w:p>
        </w:tc>
      </w:tr>
    </w:tbl>
    <w:p w14:paraId="3DC307F7">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p>
    <w:p w14:paraId="7E156319">
      <w:pPr>
        <w:keepNext/>
        <w:keepLines/>
        <w:pageBreakBefore w:val="0"/>
        <w:widowControl w:val="0"/>
        <w:numPr>
          <w:ilvl w:val="3"/>
          <w:numId w:val="0"/>
        </w:numPr>
        <w:kinsoku/>
        <w:wordWrap/>
        <w:overflowPunct/>
        <w:topLinePunct w:val="0"/>
        <w:autoSpaceDE/>
        <w:autoSpaceDN/>
        <w:bidi w:val="0"/>
        <w:adjustRightInd/>
        <w:snapToGrid/>
        <w:spacing w:line="440" w:lineRule="exact"/>
        <w:ind w:left="-862" w:leftChars="0" w:firstLine="1134" w:firstLineChars="0"/>
        <w:jc w:val="both"/>
        <w:textAlignment w:val="auto"/>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2.2.3.3结算管理</w:t>
      </w:r>
    </w:p>
    <w:tbl>
      <w:tblPr>
        <w:tblStyle w:val="35"/>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93"/>
        <w:gridCol w:w="6237"/>
      </w:tblGrid>
      <w:tr w14:paraId="5DF90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6" w:type="dxa"/>
            <w:shd w:val="clear" w:color="auto" w:fill="auto"/>
            <w:vAlign w:val="center"/>
          </w:tcPr>
          <w:p w14:paraId="2F5D4CDA">
            <w:pPr>
              <w:widowControl/>
              <w:kinsoku/>
              <w:wordWrap/>
              <w:overflowPunct/>
              <w:topLinePunct w:val="0"/>
              <w:bidi w:val="0"/>
              <w:spacing w:line="440" w:lineRule="exact"/>
              <w:ind w:left="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模块</w:t>
            </w:r>
          </w:p>
        </w:tc>
        <w:tc>
          <w:tcPr>
            <w:tcW w:w="993" w:type="dxa"/>
            <w:shd w:val="clear" w:color="auto" w:fill="auto"/>
            <w:vAlign w:val="center"/>
          </w:tcPr>
          <w:p w14:paraId="295A1E1D">
            <w:pPr>
              <w:widowControl/>
              <w:kinsoku/>
              <w:wordWrap/>
              <w:overflowPunct/>
              <w:topLinePunct w:val="0"/>
              <w:bidi w:val="0"/>
              <w:spacing w:line="440" w:lineRule="exact"/>
              <w:ind w:left="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功能点</w:t>
            </w:r>
          </w:p>
        </w:tc>
        <w:tc>
          <w:tcPr>
            <w:tcW w:w="6237" w:type="dxa"/>
            <w:shd w:val="clear" w:color="auto" w:fill="auto"/>
            <w:vAlign w:val="center"/>
          </w:tcPr>
          <w:p w14:paraId="01420CFD">
            <w:pPr>
              <w:widowControl/>
              <w:kinsoku/>
              <w:wordWrap/>
              <w:overflowPunct/>
              <w:topLinePunct w:val="0"/>
              <w:bidi w:val="0"/>
              <w:spacing w:line="440" w:lineRule="exact"/>
              <w:ind w:left="0"/>
              <w:jc w:val="center"/>
              <w:textAlignment w:val="auto"/>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详细参数</w:t>
            </w:r>
          </w:p>
        </w:tc>
      </w:tr>
      <w:tr w14:paraId="081E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gridSpan w:val="2"/>
            <w:shd w:val="clear" w:color="auto" w:fill="auto"/>
            <w:vAlign w:val="center"/>
          </w:tcPr>
          <w:p w14:paraId="7176D113">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结算导入管理</w:t>
            </w:r>
          </w:p>
        </w:tc>
        <w:tc>
          <w:tcPr>
            <w:tcW w:w="6237" w:type="dxa"/>
            <w:shd w:val="clear" w:color="auto" w:fill="auto"/>
            <w:vAlign w:val="center"/>
          </w:tcPr>
          <w:p w14:paraId="763FC966">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w:t>
            </w:r>
            <w:r>
              <w:rPr>
                <w:rFonts w:hint="eastAsia" w:ascii="仿宋" w:hAnsi="仿宋" w:eastAsia="仿宋" w:cs="仿宋"/>
                <w:color w:val="000000"/>
                <w:kern w:val="0"/>
                <w:sz w:val="24"/>
                <w:szCs w:val="24"/>
                <w:lang w:eastAsia="zh-CN"/>
              </w:rPr>
              <w:t>导入</w:t>
            </w:r>
            <w:r>
              <w:rPr>
                <w:rFonts w:hint="eastAsia" w:ascii="仿宋" w:hAnsi="仿宋" w:eastAsia="仿宋" w:cs="仿宋"/>
                <w:color w:val="000000"/>
                <w:kern w:val="0"/>
                <w:sz w:val="24"/>
                <w:szCs w:val="24"/>
              </w:rPr>
              <w:t>医保局下发的月度/年度结算单，支持导入后异常数据的手动处理，导入后系统以导入数据为准进行分析；</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支持根据不同统筹区灵活设置点值；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支持根据中位数、均值或自定义等方式录入预测点费；</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支持查看不同月份、年份点费差异和对比。</w:t>
            </w:r>
          </w:p>
        </w:tc>
      </w:tr>
      <w:tr w14:paraId="6FA2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restart"/>
            <w:shd w:val="clear" w:color="auto" w:fill="auto"/>
            <w:vAlign w:val="center"/>
          </w:tcPr>
          <w:p w14:paraId="03D944D1">
            <w:pPr>
              <w:widowControl/>
              <w:kinsoku/>
              <w:wordWrap/>
              <w:overflowPunct/>
              <w:topLinePunct w:val="0"/>
              <w:bidi w:val="0"/>
              <w:spacing w:line="440" w:lineRule="exact"/>
              <w:ind w:left="0"/>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DRG结算核对</w:t>
            </w:r>
          </w:p>
        </w:tc>
        <w:tc>
          <w:tcPr>
            <w:tcW w:w="993" w:type="dxa"/>
            <w:shd w:val="clear" w:color="auto" w:fill="auto"/>
            <w:vAlign w:val="center"/>
          </w:tcPr>
          <w:p w14:paraId="4131A612">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重点病例分组核对</w:t>
            </w:r>
          </w:p>
        </w:tc>
        <w:tc>
          <w:tcPr>
            <w:tcW w:w="6237" w:type="dxa"/>
            <w:shd w:val="clear" w:color="auto" w:fill="auto"/>
            <w:vAlign w:val="center"/>
          </w:tcPr>
          <w:p w14:paraId="28BCD775">
            <w:pPr>
              <w:widowControl/>
              <w:kinsoku/>
              <w:wordWrap/>
              <w:overflowPunct/>
              <w:topLinePunct w:val="0"/>
              <w:bidi w:val="0"/>
              <w:spacing w:line="440" w:lineRule="exact"/>
              <w:ind w:left="0"/>
              <w:jc w:val="left"/>
              <w:textAlignment w:val="auto"/>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支持按分组不一致、含特殊药品耗材、是否已查阅、院内已申诉、病例类型、特殊结算病例等条件筛选，可快速定位重点病例；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(2)</w:t>
            </w:r>
            <w:r>
              <w:rPr>
                <w:rFonts w:hint="eastAsia" w:ascii="仿宋" w:hAnsi="仿宋" w:eastAsia="仿宋" w:cs="仿宋"/>
                <w:color w:val="000000"/>
                <w:kern w:val="0"/>
                <w:sz w:val="24"/>
                <w:szCs w:val="24"/>
              </w:rPr>
              <w:t>支持查看病例DRG预分组与医保结算分组对比，支持查看诊断/手术、费用明细、病历文书等数据，用于核对分组，判断是否需要申诉；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支持大数据模拟分组，通过调整主诊断、次诊断、主手术、次手术进行模拟分组；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rPr>
              <w:t>支持按科室统计超支结余，表格字段用户自定义显示与排列，包含表头字段是否显示以及固定列设置，支持列表数据下载；</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提供医保分组与预测分组一致率的统计。</w:t>
            </w:r>
          </w:p>
        </w:tc>
      </w:tr>
      <w:tr w14:paraId="1E87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 w:type="dxa"/>
            <w:vMerge w:val="continue"/>
            <w:vAlign w:val="center"/>
          </w:tcPr>
          <w:p w14:paraId="35CC0FBD">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p>
        </w:tc>
        <w:tc>
          <w:tcPr>
            <w:tcW w:w="993" w:type="dxa"/>
            <w:shd w:val="clear" w:color="auto" w:fill="auto"/>
            <w:vAlign w:val="center"/>
          </w:tcPr>
          <w:p w14:paraId="70848F3D">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病例申诉</w:t>
            </w:r>
          </w:p>
        </w:tc>
        <w:tc>
          <w:tcPr>
            <w:tcW w:w="6237" w:type="dxa"/>
            <w:shd w:val="clear" w:color="auto" w:fill="auto"/>
            <w:vAlign w:val="center"/>
          </w:tcPr>
          <w:p w14:paraId="2877FF3D">
            <w:pPr>
              <w:widowControl/>
              <w:kinsoku/>
              <w:wordWrap/>
              <w:overflowPunct/>
              <w:topLinePunct w:val="0"/>
              <w:bidi w:val="0"/>
              <w:spacing w:line="440" w:lineRule="exact"/>
              <w:ind w:left="0"/>
              <w:jc w:val="left"/>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color w:val="000000"/>
                <w:kern w:val="0"/>
                <w:sz w:val="24"/>
                <w:szCs w:val="24"/>
              </w:rPr>
              <w:t>支持病例申诉流程，支持医生填写申诉资料及上传图片，支持医保办对申诉进行修改、确认操作；支持查看与下载病例申诉汇总；申诉反馈：支持查看申诉前后分组数据对比。</w:t>
            </w:r>
          </w:p>
        </w:tc>
      </w:tr>
    </w:tbl>
    <w:p w14:paraId="0E3B6071">
      <w:pPr>
        <w:widowControl/>
        <w:kinsoku/>
        <w:wordWrap/>
        <w:overflowPunct/>
        <w:topLinePunct w:val="0"/>
        <w:bidi w:val="0"/>
        <w:spacing w:line="440" w:lineRule="exact"/>
        <w:ind w:left="0"/>
        <w:jc w:val="left"/>
        <w:textAlignment w:val="auto"/>
        <w:rPr>
          <w:rFonts w:hint="eastAsia" w:ascii="仿宋" w:hAnsi="仿宋" w:eastAsia="仿宋" w:cs="仿宋"/>
          <w:b/>
          <w:bCs/>
          <w:kern w:val="2"/>
          <w:sz w:val="24"/>
          <w:szCs w:val="24"/>
        </w:rPr>
      </w:pPr>
      <w:bookmarkStart w:id="67" w:name="_Toc166247268"/>
    </w:p>
    <w:bookmarkEnd w:id="67"/>
    <w:p w14:paraId="403DD35E">
      <w:pPr>
        <w:keepNext/>
        <w:keepLines/>
        <w:pageBreakBefore w:val="0"/>
        <w:widowControl w:val="0"/>
        <w:numPr>
          <w:ilvl w:val="2"/>
          <w:numId w:val="0"/>
        </w:numPr>
        <w:kinsoku/>
        <w:wordWrap/>
        <w:overflowPunct/>
        <w:topLinePunct w:val="0"/>
        <w:autoSpaceDE/>
        <w:autoSpaceDN/>
        <w:bidi w:val="0"/>
        <w:adjustRightInd/>
        <w:snapToGrid/>
        <w:spacing w:line="440" w:lineRule="exact"/>
        <w:ind w:left="-720" w:leftChars="0" w:firstLine="1134" w:firstLineChars="0"/>
        <w:jc w:val="both"/>
        <w:textAlignment w:val="auto"/>
        <w:outlineLvl w:val="9"/>
        <w:rPr>
          <w:rFonts w:hint="eastAsia" w:ascii="仿宋" w:hAnsi="仿宋" w:eastAsia="仿宋" w:cs="仿宋"/>
          <w:b/>
          <w:bCs/>
          <w:kern w:val="2"/>
          <w:sz w:val="24"/>
          <w:szCs w:val="24"/>
          <w:lang w:val="en-US" w:eastAsia="zh-CN" w:bidi="ar-SA"/>
        </w:rPr>
      </w:pPr>
      <w:bookmarkStart w:id="68" w:name="_Toc202991346"/>
      <w:r>
        <w:rPr>
          <w:rFonts w:hint="eastAsia" w:ascii="仿宋" w:hAnsi="仿宋" w:eastAsia="仿宋" w:cs="仿宋"/>
          <w:b/>
          <w:bCs/>
          <w:kern w:val="2"/>
          <w:sz w:val="24"/>
          <w:szCs w:val="24"/>
          <w:lang w:val="en-US" w:eastAsia="zh-CN" w:bidi="ar-SA"/>
        </w:rPr>
        <w:t>2.2.4医保结算清单管理</w:t>
      </w:r>
      <w:bookmarkEnd w:id="68"/>
    </w:p>
    <w:tbl>
      <w:tblPr>
        <w:tblStyle w:val="35"/>
        <w:tblW w:w="891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134"/>
        <w:gridCol w:w="6791"/>
      </w:tblGrid>
      <w:tr w14:paraId="39BD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93" w:type="dxa"/>
            <w:shd w:val="clear" w:color="auto" w:fill="auto"/>
            <w:vAlign w:val="center"/>
          </w:tcPr>
          <w:p w14:paraId="060D504A">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模块</w:t>
            </w:r>
          </w:p>
        </w:tc>
        <w:tc>
          <w:tcPr>
            <w:tcW w:w="1134" w:type="dxa"/>
            <w:shd w:val="clear" w:color="auto" w:fill="auto"/>
            <w:vAlign w:val="center"/>
          </w:tcPr>
          <w:p w14:paraId="47CDE55F">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功能点</w:t>
            </w:r>
          </w:p>
        </w:tc>
        <w:tc>
          <w:tcPr>
            <w:tcW w:w="6791" w:type="dxa"/>
            <w:shd w:val="clear" w:color="auto" w:fill="auto"/>
            <w:vAlign w:val="center"/>
          </w:tcPr>
          <w:p w14:paraId="40E55A15">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详细参数</w:t>
            </w:r>
          </w:p>
        </w:tc>
      </w:tr>
      <w:tr w14:paraId="5F0E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shd w:val="clear" w:color="auto" w:fill="auto"/>
            <w:vAlign w:val="center"/>
          </w:tcPr>
          <w:p w14:paraId="3E706D34">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清单任务总览</w:t>
            </w:r>
          </w:p>
        </w:tc>
        <w:tc>
          <w:tcPr>
            <w:tcW w:w="1134" w:type="dxa"/>
            <w:shd w:val="clear" w:color="auto" w:fill="auto"/>
            <w:vAlign w:val="center"/>
          </w:tcPr>
          <w:p w14:paraId="7A1A430C">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管理指标统计</w:t>
            </w:r>
          </w:p>
        </w:tc>
        <w:tc>
          <w:tcPr>
            <w:tcW w:w="6791" w:type="dxa"/>
            <w:shd w:val="clear" w:color="auto" w:fill="auto"/>
            <w:vAlign w:val="center"/>
          </w:tcPr>
          <w:p w14:paraId="5C8B176C">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(1)支持统计筛选时间段内的审核完成率、首次上报合格率。</w:t>
            </w:r>
          </w:p>
        </w:tc>
      </w:tr>
      <w:tr w14:paraId="2A14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4838A685">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p>
        </w:tc>
        <w:tc>
          <w:tcPr>
            <w:tcW w:w="1134" w:type="dxa"/>
            <w:shd w:val="clear" w:color="auto" w:fill="auto"/>
            <w:vAlign w:val="center"/>
          </w:tcPr>
          <w:p w14:paraId="40591675">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清单任务统计</w:t>
            </w:r>
          </w:p>
        </w:tc>
        <w:tc>
          <w:tcPr>
            <w:tcW w:w="6791" w:type="dxa"/>
            <w:shd w:val="clear" w:color="auto" w:fill="auto"/>
            <w:vAlign w:val="center"/>
          </w:tcPr>
          <w:p w14:paraId="34BF4DB0">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支持展示已生成清单的数量，包含通过病案首页数据生成的清单数量和对特殊患者自动补充</w:t>
            </w:r>
            <w:r>
              <w:rPr>
                <w:rFonts w:hint="eastAsia" w:ascii="仿宋" w:hAnsi="仿宋" w:eastAsia="仿宋" w:cs="仿宋"/>
                <w:kern w:val="0"/>
                <w:sz w:val="24"/>
                <w:szCs w:val="24"/>
                <w:lang w:eastAsia="zh-CN"/>
              </w:rPr>
              <w:t>生成</w:t>
            </w:r>
            <w:r>
              <w:rPr>
                <w:rFonts w:hint="eastAsia" w:ascii="仿宋" w:hAnsi="仿宋" w:eastAsia="仿宋" w:cs="仿宋"/>
                <w:kern w:val="0"/>
                <w:sz w:val="24"/>
                <w:szCs w:val="24"/>
              </w:rPr>
              <w:t>的清单数量。</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支持根据医院实际配置的审核流程节点，分别展示清单初审、清单复审、清单终审任务节点中具体的清单审核状态及数量，支持下钻到对应清单列表。</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支持按院内结算日期、出院日期统计筛选时间段内以上清单的数量及状态。</w:t>
            </w:r>
          </w:p>
        </w:tc>
      </w:tr>
      <w:tr w14:paraId="25A1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shd w:val="clear" w:color="auto" w:fill="auto"/>
            <w:vAlign w:val="center"/>
          </w:tcPr>
          <w:p w14:paraId="61632B31">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上报前清单审核</w:t>
            </w:r>
          </w:p>
        </w:tc>
        <w:tc>
          <w:tcPr>
            <w:tcW w:w="1134" w:type="dxa"/>
            <w:shd w:val="clear" w:color="auto" w:fill="auto"/>
            <w:vAlign w:val="center"/>
          </w:tcPr>
          <w:p w14:paraId="347CDAD5">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清单生成</w:t>
            </w:r>
          </w:p>
        </w:tc>
        <w:tc>
          <w:tcPr>
            <w:tcW w:w="6791" w:type="dxa"/>
            <w:shd w:val="clear" w:color="auto" w:fill="auto"/>
            <w:vAlign w:val="center"/>
          </w:tcPr>
          <w:p w14:paraId="34E3E3AA">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支持自动获取医院各系统相关数据，生成待审核结算清单，自动对结算清单进行全量质检质控；</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支持对血液透析的患者自动生成结算清单，对于母婴同室的婴儿自动拆分结算清单，并提供全量质检质控；</w:t>
            </w:r>
          </w:p>
        </w:tc>
      </w:tr>
      <w:tr w14:paraId="22E9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47540A61">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7E1F0AC5">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清单操作</w:t>
            </w:r>
          </w:p>
        </w:tc>
        <w:tc>
          <w:tcPr>
            <w:tcW w:w="6791" w:type="dxa"/>
            <w:shd w:val="clear" w:color="auto" w:fill="auto"/>
            <w:vAlign w:val="center"/>
          </w:tcPr>
          <w:p w14:paraId="07ED181D">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支持自定义设置清单列表展示数量，如20条/页、50条/页、100条/页；</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支持对清单标记疑问病例，并在列表内进行差异化标识展示，支持搜索查询；</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支持在列表内对于已读清单和未读清单进行差异化展示，支持搜索查询；</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支持对符合再入院条件的患者进行差异化标识展示，支持查看上次住院信息，支持搜索查询；</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支持对与病案首页不一致的清单进行标注，支持查看病案首页与结算清单不一致的具体对比情况；</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支持查看每份清单的基本信息，包括患者信息、病案号、住院号、住院医师、入组情况、预计结余、病例类型等信息；支持按费用类型查看费用明细，并展示费用分布情况和费用占比。支持对于入组异常患者展示入组解析。</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支持按病组结算和床日结算两种结算方式，对于同时符合两种结算方式的患者支持切换结算方式进行对比查看；</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支持展示清单质检结果，对不同预警级别差异化展示；支持展示诊断手术信息；支持展示清单批注信息并进行操作；</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支持通过大数据分析建立多维度优选策略，在保证清单合规的前提下提供结算更多组合的参考；支持通过大数据对疑似手术缺漏进行提醒，提供对应的优选组合，并对缺漏手术进行差异化标识；</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支持下钻查看清单详情，定位展示对应的质控问题点，支持对诊断、手术信息进行编辑，包括顺序调整、新增、删除、修改；支持在调整清单内容后模拟质检，比对查看新旧分组预测与质控结果信息；支持保存修改后的清单，保存后清单将停止自动刷新；</w:t>
            </w:r>
            <w:r>
              <w:rPr>
                <w:rFonts w:hint="eastAsia" w:ascii="仿宋" w:hAnsi="仿宋" w:eastAsia="仿宋" w:cs="仿宋"/>
                <w:kern w:val="0"/>
                <w:sz w:val="24"/>
                <w:szCs w:val="24"/>
                <w:highlight w:val="yellow"/>
              </w:rPr>
              <w:br w:type="textWrapping"/>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 xml:space="preserve">支持对已修改的清单，手动开启清单自动更新； </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(12)</w:t>
            </w:r>
            <w:r>
              <w:rPr>
                <w:rFonts w:hint="eastAsia" w:ascii="仿宋" w:hAnsi="仿宋" w:eastAsia="仿宋" w:cs="仿宋"/>
                <w:kern w:val="0"/>
                <w:sz w:val="24"/>
                <w:szCs w:val="24"/>
              </w:rPr>
              <w:t>支持对不适用的清单规则进行关闭，并记录关闭理由；支持</w:t>
            </w:r>
            <w:r>
              <w:rPr>
                <w:rFonts w:hint="eastAsia" w:ascii="仿宋" w:hAnsi="仿宋" w:eastAsia="仿宋" w:cs="仿宋"/>
                <w:kern w:val="0"/>
                <w:sz w:val="24"/>
                <w:szCs w:val="24"/>
                <w:lang w:eastAsia="zh-CN"/>
              </w:rPr>
              <w:t>针对</w:t>
            </w:r>
            <w:r>
              <w:rPr>
                <w:rFonts w:hint="eastAsia" w:ascii="仿宋" w:hAnsi="仿宋" w:eastAsia="仿宋" w:cs="仿宋"/>
                <w:kern w:val="0"/>
                <w:sz w:val="24"/>
                <w:szCs w:val="24"/>
              </w:rPr>
              <w:t>个别患者无需修改的规则进行关闭，并记录关闭理由；</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(13)</w:t>
            </w:r>
            <w:r>
              <w:rPr>
                <w:rFonts w:hint="eastAsia" w:ascii="仿宋" w:hAnsi="仿宋" w:eastAsia="仿宋" w:cs="仿宋"/>
                <w:kern w:val="0"/>
                <w:sz w:val="24"/>
                <w:szCs w:val="24"/>
              </w:rPr>
              <w:t>支持查看清单编辑日志，日志记录所有操作人员、时间、操作内容，可查看修改前后对比，支持查看与初始清单的对比；</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(14)</w:t>
            </w:r>
            <w:r>
              <w:rPr>
                <w:rFonts w:hint="eastAsia" w:ascii="仿宋" w:hAnsi="仿宋" w:eastAsia="仿宋" w:cs="仿宋"/>
                <w:kern w:val="0"/>
                <w:sz w:val="24"/>
                <w:szCs w:val="24"/>
              </w:rPr>
              <w:t>支持对清单发起批注信息，选择发送至指定用户，支持立即发送或暂不发送仅保存；</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支持通过调整主次诊断、手术顺序对清单进行模拟</w:t>
            </w:r>
            <w:r>
              <w:rPr>
                <w:rFonts w:hint="eastAsia" w:ascii="仿宋" w:hAnsi="仿宋" w:eastAsia="仿宋" w:cs="仿宋"/>
                <w:kern w:val="0"/>
                <w:sz w:val="24"/>
                <w:szCs w:val="24"/>
                <w:lang w:eastAsia="zh-CN"/>
              </w:rPr>
              <w:t>分组</w:t>
            </w:r>
            <w:r>
              <w:rPr>
                <w:rFonts w:hint="eastAsia" w:ascii="仿宋" w:hAnsi="仿宋" w:eastAsia="仿宋" w:cs="仿宋"/>
                <w:kern w:val="0"/>
                <w:sz w:val="24"/>
                <w:szCs w:val="24"/>
              </w:rPr>
              <w:t>，比对查看新旧分组预测与质控结果信息，支持将模拟分组结果快捷添加至批注或详情页；</w:t>
            </w:r>
          </w:p>
          <w:p w14:paraId="2DC2BD6B">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支持通过手动刷新HIS实时信息，更新待审核清单</w:t>
            </w:r>
            <w:r>
              <w:rPr>
                <w:rFonts w:hint="eastAsia" w:ascii="仿宋" w:hAnsi="仿宋" w:eastAsia="仿宋" w:cs="仿宋"/>
                <w:kern w:val="0"/>
                <w:sz w:val="24"/>
                <w:szCs w:val="24"/>
                <w:lang w:eastAsia="zh-CN"/>
              </w:rPr>
              <w:t>数据</w:t>
            </w:r>
            <w:r>
              <w:rPr>
                <w:rFonts w:hint="eastAsia" w:ascii="仿宋" w:hAnsi="仿宋" w:eastAsia="仿宋" w:cs="仿宋"/>
                <w:kern w:val="0"/>
                <w:sz w:val="24"/>
                <w:szCs w:val="24"/>
                <w:lang w:val="en-US" w:eastAsia="zh-CN"/>
              </w:rPr>
              <w:t>。</w:t>
            </w:r>
          </w:p>
        </w:tc>
      </w:tr>
      <w:tr w14:paraId="52CA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737F43D9">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745AD5D0">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我的清单</w:t>
            </w:r>
          </w:p>
        </w:tc>
        <w:tc>
          <w:tcPr>
            <w:tcW w:w="6791" w:type="dxa"/>
            <w:shd w:val="clear" w:color="auto" w:fill="auto"/>
            <w:vAlign w:val="center"/>
          </w:tcPr>
          <w:p w14:paraId="5BC981AD">
            <w:pPr>
              <w:widowControl/>
              <w:numPr>
                <w:ilvl w:val="0"/>
                <w:numId w:val="0"/>
              </w:numPr>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支持按分配的数据权限，查看本人负责的全部流程节点下的所有结算清单；</w:t>
            </w:r>
          </w:p>
          <w:p w14:paraId="5C80A017">
            <w:pPr>
              <w:widowControl/>
              <w:numPr>
                <w:ilvl w:val="0"/>
                <w:numId w:val="0"/>
              </w:numPr>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支持查看结算清单当前审核状态，支持按姓名、住院号、病案号、医生、分组、主诊断、主手术进行搜索，支持下载导出列表。</w:t>
            </w:r>
          </w:p>
          <w:p w14:paraId="4D8A6ED1">
            <w:pPr>
              <w:widowControl/>
              <w:numPr>
                <w:ilvl w:val="0"/>
                <w:numId w:val="0"/>
              </w:numPr>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支持对于重点问题主动进行推送，如已审核清单被退回、收到批注消息、清单数据源头发生变更</w:t>
            </w:r>
          </w:p>
        </w:tc>
      </w:tr>
      <w:tr w14:paraId="6FED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3052E44E">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770D5FAC">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待审核清单</w:t>
            </w:r>
          </w:p>
        </w:tc>
        <w:tc>
          <w:tcPr>
            <w:tcW w:w="6791" w:type="dxa"/>
            <w:shd w:val="clear" w:color="auto" w:fill="auto"/>
            <w:vAlign w:val="center"/>
          </w:tcPr>
          <w:p w14:paraId="571C336F">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支持按分配的数据权限，查看本人负责的所有待审核的结算清单；</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支持对待审核清单操作审核通过，支持批量勾选操作审核通过，支持一键全部审核通过；已审核通过的清单根据审核流程配置，自动分配进入下一节点审核人员的待审核列表，并自动保存固化清单数据；</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支持设置自定义校验条件，对符合条件的清单自动审核通过并进入本人审核通过列表，未通过审核的清单进入待审核列表等待人工处理审核；</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支持对审核不通过的清单进行退回操作，可选择退回至指定流程的待审核列表；</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支持下载导出本人所有待审核清单列表。</w:t>
            </w:r>
          </w:p>
        </w:tc>
      </w:tr>
      <w:tr w14:paraId="7974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18163E47">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285FF3C0">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审核通过清单</w:t>
            </w:r>
          </w:p>
        </w:tc>
        <w:tc>
          <w:tcPr>
            <w:tcW w:w="6791" w:type="dxa"/>
            <w:shd w:val="clear" w:color="auto" w:fill="auto"/>
            <w:vAlign w:val="center"/>
          </w:tcPr>
          <w:p w14:paraId="0416CAF2">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支持查看所有本人审核通过的清单；</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支持批量勾选撤销本人已审核通过的清单，撤销审核后的清单变为本人待审核状态；</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支持下载导出本人所有审核通过清单列表；</w:t>
            </w:r>
          </w:p>
        </w:tc>
      </w:tr>
      <w:tr w14:paraId="2E24C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7E3772C6">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303B19BB">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审核退回清单</w:t>
            </w:r>
          </w:p>
        </w:tc>
        <w:tc>
          <w:tcPr>
            <w:tcW w:w="6791" w:type="dxa"/>
            <w:shd w:val="clear" w:color="auto" w:fill="auto"/>
            <w:vAlign w:val="center"/>
          </w:tcPr>
          <w:p w14:paraId="6656E1E4">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支持查看所有本人被审核退回的清单；</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支持重新对清单进行审核通过操作，重新进入下一节点审核人员的待审核列表。</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支持下载导出本人所有审核被退回清单列表。</w:t>
            </w:r>
          </w:p>
        </w:tc>
      </w:tr>
      <w:tr w14:paraId="5788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533AADE3">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0D2DC060">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超时未审核清单</w:t>
            </w:r>
          </w:p>
        </w:tc>
        <w:tc>
          <w:tcPr>
            <w:tcW w:w="6791" w:type="dxa"/>
            <w:shd w:val="clear" w:color="auto" w:fill="auto"/>
            <w:vAlign w:val="center"/>
          </w:tcPr>
          <w:p w14:paraId="2F39CD5C">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根据每个审核节点设置的时限要求，系统自动将超过时限的清单置为超时未审核；</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支持查看所有本人超时未审核的清单；</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支持对清单进行审核通过操作，进入下一节点审核人员的待审核列表。</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支持下载导出本人所有超时未审核清单列表。</w:t>
            </w:r>
          </w:p>
        </w:tc>
      </w:tr>
      <w:tr w14:paraId="2A8E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1BA2A8A9">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4A2D2307">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自定义快捷筛选</w:t>
            </w:r>
          </w:p>
        </w:tc>
        <w:tc>
          <w:tcPr>
            <w:tcW w:w="6791" w:type="dxa"/>
            <w:shd w:val="clear" w:color="auto" w:fill="auto"/>
            <w:vAlign w:val="center"/>
          </w:tcPr>
          <w:p w14:paraId="40A58FE5">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支持按照病例类型、质控问题、异常住院、特殊患者、费用相关条件类型，选择对应的指标，组合形成自定义快捷筛类型，针对每个审核环节，筛选出对应的清单列表；</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支持对筛选类型进行重命名；</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支持自定义添加多个快捷筛选类型；</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支持初始化重点问题清单的快捷筛选类型；</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支持下载导出快捷筛选类型下的清单列表。</w:t>
            </w:r>
          </w:p>
        </w:tc>
      </w:tr>
      <w:tr w14:paraId="48F7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29AA0480">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7A7B7A03">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其他筛选</w:t>
            </w:r>
          </w:p>
        </w:tc>
        <w:tc>
          <w:tcPr>
            <w:tcW w:w="6791" w:type="dxa"/>
            <w:shd w:val="clear" w:color="auto" w:fill="auto"/>
            <w:vAlign w:val="center"/>
          </w:tcPr>
          <w:p w14:paraId="6E04CB49">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支持对未读清单、疑问病例的筛选；</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支持筛选与病案首页不一致的清单；</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支持筛选与初始清单不一致的清单，区分因数据源变更、清单调整变更原因导致的不一致清单。</w:t>
            </w:r>
          </w:p>
        </w:tc>
      </w:tr>
      <w:tr w14:paraId="3850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gridSpan w:val="2"/>
            <w:shd w:val="clear" w:color="auto" w:fill="auto"/>
            <w:vAlign w:val="center"/>
          </w:tcPr>
          <w:p w14:paraId="5D34CAF5">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消息中心</w:t>
            </w:r>
          </w:p>
        </w:tc>
        <w:tc>
          <w:tcPr>
            <w:tcW w:w="6791" w:type="dxa"/>
            <w:shd w:val="clear" w:color="auto" w:fill="auto"/>
            <w:vAlign w:val="center"/>
          </w:tcPr>
          <w:p w14:paraId="4D5B080C">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支持分类查看当前用户收到的、发起的、仅保存的批注，同时支持按照待处理、已接受、不接受进行分类筛选；</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支持对于整改批注消息进行处理，选择是否接受，支持填写不接受理由；</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消息列表支持直接打开清单详情页，支持对清单进行编辑与审核操作；</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支持在收到批注、批注回复消息时在系统内主动弹窗提示。</w:t>
            </w:r>
          </w:p>
        </w:tc>
      </w:tr>
      <w:tr w14:paraId="34C1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shd w:val="clear" w:color="auto" w:fill="auto"/>
            <w:vAlign w:val="center"/>
          </w:tcPr>
          <w:p w14:paraId="0685BF87">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清单质量分析</w:t>
            </w:r>
          </w:p>
        </w:tc>
        <w:tc>
          <w:tcPr>
            <w:tcW w:w="1134" w:type="dxa"/>
            <w:shd w:val="clear" w:color="auto" w:fill="auto"/>
            <w:vAlign w:val="center"/>
          </w:tcPr>
          <w:p w14:paraId="54116333">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问题分布情况</w:t>
            </w:r>
          </w:p>
        </w:tc>
        <w:tc>
          <w:tcPr>
            <w:tcW w:w="6791" w:type="dxa"/>
            <w:shd w:val="clear" w:color="auto" w:fill="auto"/>
            <w:vAlign w:val="center"/>
          </w:tcPr>
          <w:p w14:paraId="3A178E78">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支持以月、季、年为统计区间，按院内结算时间或出院时间、科室、医疗组等维度分析问题清单。</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支持按重要性、质控内容、影响范围维度查看问题清单分布概况，包括强制性问题、提示性问题、编码问题、非编码问题、影响入组问题、可能影响入组问题、不影响入组问题清单的数量和占比；</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支持按问题清单类型，查看各科室的分布情况及占比，支持查看科室下对应的清单问题类型分布及占比情况，可下钻查看对应的清单详情；</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支持按主治医师、编码员分析问题清单的数量，可下钻查看对应的清单详情，支持下载导出列表。</w:t>
            </w:r>
          </w:p>
        </w:tc>
      </w:tr>
      <w:tr w14:paraId="40FD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792CAB0C">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41AAEA5D">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问题清单趋势</w:t>
            </w:r>
          </w:p>
        </w:tc>
        <w:tc>
          <w:tcPr>
            <w:tcW w:w="6791" w:type="dxa"/>
            <w:shd w:val="clear" w:color="auto" w:fill="auto"/>
            <w:vAlign w:val="center"/>
          </w:tcPr>
          <w:p w14:paraId="54EDC721">
            <w:pPr>
              <w:widowControl/>
              <w:kinsoku/>
              <w:wordWrap/>
              <w:overflowPunct/>
              <w:topLinePunct w:val="0"/>
              <w:bidi w:val="0"/>
              <w:spacing w:line="440" w:lineRule="exact"/>
              <w:ind w:left="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支持多维度筛选条件，通过图表展示问题清单数量、占比的变化趋势。</w:t>
            </w:r>
          </w:p>
        </w:tc>
      </w:tr>
      <w:tr w14:paraId="2DD3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shd w:val="clear" w:color="auto" w:fill="auto"/>
            <w:vAlign w:val="center"/>
          </w:tcPr>
          <w:p w14:paraId="47BDBC0F">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清单成就分析</w:t>
            </w:r>
          </w:p>
        </w:tc>
        <w:tc>
          <w:tcPr>
            <w:tcW w:w="1134" w:type="dxa"/>
            <w:shd w:val="clear" w:color="auto" w:fill="auto"/>
            <w:vAlign w:val="center"/>
          </w:tcPr>
          <w:p w14:paraId="54E4698F">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清单调整情况</w:t>
            </w:r>
          </w:p>
        </w:tc>
        <w:tc>
          <w:tcPr>
            <w:tcW w:w="6791" w:type="dxa"/>
            <w:shd w:val="clear" w:color="auto" w:fill="auto"/>
            <w:vAlign w:val="center"/>
          </w:tcPr>
          <w:p w14:paraId="59B2722F">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支持以月、季、年为统计区间，按院内结算时间或出院时间、科室、医疗组等维度分析清单调整情况。</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支持多维度筛选结算清单，可视化展示已调整清单和未调整清单的具体数量及占比。</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支持对已调整清单进行分类筛选，包括调整前后分组不一致、主要诊断不一致、</w:t>
            </w:r>
            <w:r>
              <w:rPr>
                <w:rFonts w:hint="eastAsia" w:ascii="仿宋" w:hAnsi="仿宋" w:eastAsia="仿宋" w:cs="仿宋"/>
                <w:kern w:val="0"/>
                <w:sz w:val="24"/>
                <w:szCs w:val="24"/>
                <w:lang w:eastAsia="zh-CN"/>
              </w:rPr>
              <w:t>其他</w:t>
            </w:r>
            <w:r>
              <w:rPr>
                <w:rFonts w:hint="eastAsia" w:ascii="仿宋" w:hAnsi="仿宋" w:eastAsia="仿宋" w:cs="仿宋"/>
                <w:kern w:val="0"/>
                <w:sz w:val="24"/>
                <w:szCs w:val="24"/>
              </w:rPr>
              <w:t>诊断不一致、主要手术不一致、</w:t>
            </w:r>
            <w:r>
              <w:rPr>
                <w:rFonts w:hint="eastAsia" w:ascii="仿宋" w:hAnsi="仿宋" w:eastAsia="仿宋" w:cs="仿宋"/>
                <w:kern w:val="0"/>
                <w:sz w:val="24"/>
                <w:szCs w:val="24"/>
                <w:lang w:eastAsia="zh-CN"/>
              </w:rPr>
              <w:t>其他手术</w:t>
            </w:r>
            <w:r>
              <w:rPr>
                <w:rFonts w:hint="eastAsia" w:ascii="仿宋" w:hAnsi="仿宋" w:eastAsia="仿宋" w:cs="仿宋"/>
                <w:kern w:val="0"/>
                <w:sz w:val="24"/>
                <w:szCs w:val="24"/>
              </w:rPr>
              <w:t>不一致；</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支持查看调整清单分类的具体数量及占比，支持查看每一分类下具体科室和病例情况，支持查看具体科室清单调整前后点数差、结余差、修正问题数，支持查看清单调整前后具体对比，支持下载导出列表。</w:t>
            </w:r>
          </w:p>
        </w:tc>
      </w:tr>
      <w:tr w14:paraId="077D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1DC0E19B">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0B9BBA26">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清单调整前后对比分析</w:t>
            </w:r>
          </w:p>
        </w:tc>
        <w:tc>
          <w:tcPr>
            <w:tcW w:w="6791" w:type="dxa"/>
            <w:shd w:val="clear" w:color="auto" w:fill="auto"/>
            <w:vAlign w:val="center"/>
          </w:tcPr>
          <w:p w14:paraId="7040F82D">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color w:val="000000"/>
                <w:kern w:val="0"/>
                <w:sz w:val="24"/>
                <w:szCs w:val="24"/>
              </w:rPr>
              <w:t>▲</w:t>
            </w:r>
            <w:r>
              <w:rPr>
                <w:rFonts w:hint="eastAsia" w:ascii="仿宋" w:hAnsi="仿宋" w:eastAsia="仿宋" w:cs="仿宋"/>
                <w:color w:val="000000"/>
                <w:kern w:val="0"/>
                <w:sz w:val="24"/>
                <w:szCs w:val="24"/>
                <w:lang w:val="en-US" w:eastAsia="zh-CN"/>
              </w:rPr>
              <w:t>(1)</w:t>
            </w:r>
            <w:r>
              <w:rPr>
                <w:rFonts w:hint="eastAsia" w:ascii="仿宋" w:hAnsi="仿宋" w:eastAsia="仿宋" w:cs="仿宋"/>
                <w:kern w:val="0"/>
                <w:sz w:val="24"/>
                <w:szCs w:val="24"/>
              </w:rPr>
              <w:t>支持多维度筛选条件，通过图表展示清单调整前后结余分析、质控问题分析，支持查看总点数差、结余差、修正问题数。</w:t>
            </w:r>
          </w:p>
        </w:tc>
      </w:tr>
      <w:tr w14:paraId="456D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restart"/>
            <w:shd w:val="clear" w:color="auto" w:fill="auto"/>
            <w:vAlign w:val="center"/>
          </w:tcPr>
          <w:p w14:paraId="016BD33F">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系统设置</w:t>
            </w:r>
          </w:p>
        </w:tc>
        <w:tc>
          <w:tcPr>
            <w:tcW w:w="1134" w:type="dxa"/>
            <w:shd w:val="clear" w:color="auto" w:fill="auto"/>
            <w:vAlign w:val="center"/>
          </w:tcPr>
          <w:p w14:paraId="2093D22F">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医保结算清单质控规则</w:t>
            </w:r>
          </w:p>
        </w:tc>
        <w:tc>
          <w:tcPr>
            <w:tcW w:w="6791" w:type="dxa"/>
            <w:shd w:val="clear" w:color="auto" w:fill="auto"/>
            <w:vAlign w:val="center"/>
          </w:tcPr>
          <w:p w14:paraId="61F314B0">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系统提供专家知识库规则、DRG专项规则，费用专项规则，通过实时质控保证清单的完整性、逻辑性和准确性；</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支持个性化开启/关闭质控规则，支持批量启用/停用；</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支持个性化配置质控规则的强制性/提示性属性，强制性规则校验不通过时，不允许提交结算清单。</w:t>
            </w:r>
          </w:p>
        </w:tc>
      </w:tr>
      <w:tr w14:paraId="2AF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Merge w:val="continue"/>
            <w:vAlign w:val="center"/>
          </w:tcPr>
          <w:p w14:paraId="17719AFB">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p>
        </w:tc>
        <w:tc>
          <w:tcPr>
            <w:tcW w:w="1134" w:type="dxa"/>
            <w:shd w:val="clear" w:color="auto" w:fill="auto"/>
            <w:vAlign w:val="center"/>
          </w:tcPr>
          <w:p w14:paraId="7C535D7B">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清单流程设置</w:t>
            </w:r>
          </w:p>
        </w:tc>
        <w:tc>
          <w:tcPr>
            <w:tcW w:w="6791" w:type="dxa"/>
            <w:shd w:val="clear" w:color="auto" w:fill="auto"/>
            <w:vAlign w:val="center"/>
          </w:tcPr>
          <w:p w14:paraId="253630C5">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rPr>
              <w:t>支持根据医院实际情况，自定义配置结算清单管理流程；</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支持个性化配置结算清单管理全流程，例如：生成-初审-上报、生成-初审-复审-上报、生成-初审-复审-终审-上报；</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支持在结算清单管理流程节点中配置对应角色和用户；</w:t>
            </w:r>
            <w:r>
              <w:rPr>
                <w:rFonts w:hint="eastAsia" w:ascii="仿宋" w:hAnsi="仿宋" w:eastAsia="仿宋" w:cs="仿宋"/>
                <w:kern w:val="0"/>
                <w:sz w:val="24"/>
                <w:szCs w:val="24"/>
              </w:rPr>
              <w:br w:type="textWrapping"/>
            </w:r>
            <w:r>
              <w:rPr>
                <w:rFonts w:hint="eastAsia" w:ascii="仿宋" w:hAnsi="仿宋" w:eastAsia="仿宋" w:cs="仿宋"/>
                <w:color w:val="000000"/>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流程节点支持多种审核类型，包括全量人工审核、人工+条件自动审核、无条件自动审核；</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支持按照患者结算时间、出院时间、上报日期设置审核时限；支持对审核超时的清单配置进入下一流程或保持当前流程；</w:t>
            </w:r>
            <w:r>
              <w:rPr>
                <w:rFonts w:hint="eastAsia" w:ascii="仿宋" w:hAnsi="仿宋" w:eastAsia="仿宋" w:cs="仿宋"/>
                <w:kern w:val="0"/>
                <w:sz w:val="24"/>
                <w:szCs w:val="24"/>
              </w:rPr>
              <w:br w:type="textWrapping"/>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支持按病例类型、质控问题、异常入院的维度配置自动审核条件；满足校验条件通过的清单可自动进入下一个流程。</w:t>
            </w:r>
          </w:p>
        </w:tc>
      </w:tr>
    </w:tbl>
    <w:p w14:paraId="1E1951EC">
      <w:pPr>
        <w:widowControl/>
        <w:kinsoku/>
        <w:wordWrap/>
        <w:overflowPunct/>
        <w:topLinePunct w:val="0"/>
        <w:bidi w:val="0"/>
        <w:spacing w:line="440" w:lineRule="exact"/>
        <w:ind w:left="0"/>
        <w:jc w:val="left"/>
        <w:textAlignment w:val="auto"/>
        <w:rPr>
          <w:rFonts w:hint="eastAsia" w:ascii="仿宋" w:hAnsi="仿宋" w:eastAsia="仿宋" w:cs="仿宋"/>
          <w:b/>
          <w:bCs/>
          <w:kern w:val="2"/>
          <w:sz w:val="24"/>
          <w:szCs w:val="24"/>
        </w:rPr>
      </w:pPr>
    </w:p>
    <w:p w14:paraId="69EE98F3">
      <w:pPr>
        <w:keepNext/>
        <w:keepLines/>
        <w:pageBreakBefore w:val="0"/>
        <w:widowControl w:val="0"/>
        <w:numPr>
          <w:ilvl w:val="2"/>
          <w:numId w:val="0"/>
        </w:numPr>
        <w:kinsoku/>
        <w:wordWrap/>
        <w:overflowPunct/>
        <w:topLinePunct w:val="0"/>
        <w:autoSpaceDE/>
        <w:autoSpaceDN/>
        <w:bidi w:val="0"/>
        <w:adjustRightInd/>
        <w:snapToGrid/>
        <w:spacing w:line="440" w:lineRule="exact"/>
        <w:ind w:left="-720" w:leftChars="0" w:firstLine="1134" w:firstLineChars="0"/>
        <w:jc w:val="both"/>
        <w:textAlignment w:val="auto"/>
        <w:outlineLvl w:val="9"/>
        <w:rPr>
          <w:rFonts w:hint="eastAsia" w:ascii="仿宋" w:hAnsi="仿宋" w:eastAsia="仿宋" w:cs="仿宋"/>
          <w:b/>
          <w:bCs/>
          <w:kern w:val="2"/>
          <w:sz w:val="24"/>
          <w:szCs w:val="24"/>
          <w:lang w:val="en-US" w:eastAsia="zh-CN" w:bidi="ar-SA"/>
        </w:rPr>
      </w:pPr>
      <w:bookmarkStart w:id="69" w:name="_Toc202991347"/>
      <w:r>
        <w:rPr>
          <w:rFonts w:hint="eastAsia" w:ascii="仿宋" w:hAnsi="仿宋" w:eastAsia="仿宋" w:cs="仿宋"/>
          <w:b/>
          <w:bCs/>
          <w:kern w:val="2"/>
          <w:sz w:val="24"/>
          <w:szCs w:val="24"/>
          <w:lang w:val="en-US" w:eastAsia="zh-CN" w:bidi="ar-SA"/>
        </w:rPr>
        <w:t>2.2.5医保结算清单上报接口与上报服务</w:t>
      </w:r>
      <w:bookmarkEnd w:id="69"/>
    </w:p>
    <w:tbl>
      <w:tblPr>
        <w:tblStyle w:val="35"/>
        <w:tblW w:w="46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1"/>
        <w:gridCol w:w="7260"/>
      </w:tblGrid>
      <w:tr w14:paraId="2F55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5" w:type="pct"/>
            <w:shd w:val="clear" w:color="auto" w:fill="auto"/>
            <w:vAlign w:val="center"/>
          </w:tcPr>
          <w:p w14:paraId="72757A62">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模块</w:t>
            </w:r>
          </w:p>
        </w:tc>
        <w:tc>
          <w:tcPr>
            <w:tcW w:w="4274" w:type="pct"/>
            <w:shd w:val="clear" w:color="auto" w:fill="auto"/>
            <w:vAlign w:val="center"/>
          </w:tcPr>
          <w:p w14:paraId="1FE5009B">
            <w:pPr>
              <w:widowControl/>
              <w:kinsoku/>
              <w:wordWrap/>
              <w:overflowPunct/>
              <w:topLinePunct w:val="0"/>
              <w:bidi w:val="0"/>
              <w:spacing w:line="440" w:lineRule="exact"/>
              <w:ind w:left="0"/>
              <w:jc w:val="center"/>
              <w:textAlignment w:val="auto"/>
              <w:rPr>
                <w:rFonts w:hint="eastAsia" w:ascii="仿宋" w:hAnsi="仿宋" w:eastAsia="仿宋" w:cs="仿宋"/>
                <w:b/>
                <w:bCs/>
                <w:kern w:val="0"/>
                <w:sz w:val="24"/>
                <w:szCs w:val="24"/>
              </w:rPr>
            </w:pPr>
            <w:r>
              <w:rPr>
                <w:rFonts w:hint="eastAsia" w:ascii="仿宋" w:hAnsi="仿宋" w:eastAsia="仿宋" w:cs="仿宋"/>
                <w:b/>
                <w:bCs/>
                <w:kern w:val="0"/>
                <w:sz w:val="24"/>
                <w:szCs w:val="24"/>
              </w:rPr>
              <w:t>详细参数</w:t>
            </w:r>
          </w:p>
        </w:tc>
      </w:tr>
      <w:tr w14:paraId="4AD8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shd w:val="clear" w:color="auto" w:fill="auto"/>
            <w:vAlign w:val="center"/>
          </w:tcPr>
          <w:p w14:paraId="6D464F3C">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医保上报管理</w:t>
            </w:r>
          </w:p>
        </w:tc>
        <w:tc>
          <w:tcPr>
            <w:tcW w:w="4274" w:type="pct"/>
            <w:shd w:val="clear" w:color="auto" w:fill="auto"/>
            <w:vAlign w:val="center"/>
          </w:tcPr>
          <w:p w14:paraId="3D5A9B45">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提供清单上传可视化界面，方便医院对清单上报进行管理；</w:t>
            </w:r>
          </w:p>
          <w:p w14:paraId="58038440">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支持按姓名、住院号、病案号、医生、主诊断、主手术等搜索清单；</w:t>
            </w:r>
          </w:p>
          <w:p w14:paraId="19F57174">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支持手动上报和定时自动上报，支持批量一键上报，对自动上传失败的结算清单进行手动上报；</w:t>
            </w:r>
          </w:p>
          <w:p w14:paraId="780E3FAF">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支持对未上传清单进行批量退回操作，可选择退回至指定审核流程；</w:t>
            </w:r>
          </w:p>
          <w:p w14:paraId="55AE26E4">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支持对已上报的清单，撤销提交后重新进行上报；</w:t>
            </w:r>
          </w:p>
          <w:p w14:paraId="1516DEA9">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支持查看清单上报日志，包括上报时间、上报结果、接口返回信息；</w:t>
            </w:r>
          </w:p>
          <w:p w14:paraId="2968A71A">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支持筛选查看自定义时间范围内上报的结算清单和对应诊断的统计情况；</w:t>
            </w:r>
          </w:p>
          <w:p w14:paraId="2EDF62A5">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支持预览结算清单，支持下载导出pdf版结算清单，可选择默认模板和紧凑模板。</w:t>
            </w:r>
          </w:p>
        </w:tc>
      </w:tr>
      <w:tr w14:paraId="67AC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shd w:val="clear" w:color="auto" w:fill="auto"/>
            <w:vAlign w:val="center"/>
          </w:tcPr>
          <w:p w14:paraId="5E1FB457">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医保结算清单上报接口</w:t>
            </w:r>
          </w:p>
        </w:tc>
        <w:tc>
          <w:tcPr>
            <w:tcW w:w="4274" w:type="pct"/>
            <w:shd w:val="clear" w:color="auto" w:fill="auto"/>
            <w:vAlign w:val="center"/>
          </w:tcPr>
          <w:p w14:paraId="01566259">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支持适配医保局端加密对接方式，适配签到接口，完成上报前的身份验证；</w:t>
            </w:r>
          </w:p>
          <w:p w14:paraId="6A07A3A8">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支持对接医保局端医疗保障基金结算清单信息上传接口，支持将所有完成审核的清单上传至医保局；</w:t>
            </w:r>
          </w:p>
          <w:p w14:paraId="421E4E22">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支持对接医保局端医疗保障基金结算清单信息状态修改接口，修改结算清单提交状态；</w:t>
            </w:r>
          </w:p>
          <w:p w14:paraId="1FA83516">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支持对接医保局端医疗保障基金结算清单信息查询接口，获取医保局端返回的上报结果；</w:t>
            </w:r>
          </w:p>
          <w:p w14:paraId="13095274">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支持对不同院区配置不同的上报参数，使用不同的定点医疗机构编码、定点医疗机构名称、就医地医保区划，完成不同院区数据的上报。</w:t>
            </w:r>
          </w:p>
        </w:tc>
      </w:tr>
      <w:tr w14:paraId="1749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pct"/>
            <w:shd w:val="clear" w:color="auto" w:fill="auto"/>
            <w:vAlign w:val="center"/>
          </w:tcPr>
          <w:p w14:paraId="703C08D9">
            <w:pPr>
              <w:widowControl/>
              <w:kinsoku/>
              <w:wordWrap/>
              <w:overflowPunct/>
              <w:topLinePunct w:val="0"/>
              <w:bidi w:val="0"/>
              <w:spacing w:line="440" w:lineRule="exact"/>
              <w:ind w:left="0"/>
              <w:jc w:val="center"/>
              <w:textAlignment w:val="auto"/>
              <w:rPr>
                <w:rFonts w:hint="eastAsia" w:ascii="仿宋" w:hAnsi="仿宋" w:eastAsia="仿宋" w:cs="仿宋"/>
                <w:kern w:val="0"/>
                <w:sz w:val="24"/>
                <w:szCs w:val="24"/>
              </w:rPr>
            </w:pPr>
            <w:r>
              <w:rPr>
                <w:rFonts w:hint="eastAsia" w:ascii="仿宋" w:hAnsi="仿宋" w:eastAsia="仿宋" w:cs="仿宋"/>
                <w:kern w:val="0"/>
                <w:sz w:val="24"/>
                <w:szCs w:val="24"/>
              </w:rPr>
              <w:t>医保结算清单上报服务</w:t>
            </w:r>
          </w:p>
        </w:tc>
        <w:tc>
          <w:tcPr>
            <w:tcW w:w="4274" w:type="pct"/>
            <w:shd w:val="clear" w:color="auto" w:fill="auto"/>
            <w:vAlign w:val="center"/>
          </w:tcPr>
          <w:p w14:paraId="4A2C6E9C">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根据医保局结算清单上传要求，为医院提供在要求的时限内完成结算清单上传至医保局的全流程上传服务；</w:t>
            </w:r>
          </w:p>
          <w:p w14:paraId="259C213A">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支持对清单上传过程中发生的问题进行自动化识别，分派任务至指定服务工程师进行及时处理，可视化跟踪问题处理进度和完成情况；</w:t>
            </w:r>
          </w:p>
          <w:p w14:paraId="71B37DA4">
            <w:pPr>
              <w:widowControl/>
              <w:kinsoku/>
              <w:wordWrap/>
              <w:overflowPunct/>
              <w:topLinePunct w:val="0"/>
              <w:bidi w:val="0"/>
              <w:spacing w:line="440" w:lineRule="exact"/>
              <w:ind w:left="0"/>
              <w:jc w:val="left"/>
              <w:textAlignment w:val="auto"/>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提供因患者或其他非技术原因，需要医院重新生成清单并上传的处理服务，如：自费转医保、医保反交易、跨月冲销等情况；</w:t>
            </w:r>
          </w:p>
          <w:p w14:paraId="0DE7F90A">
            <w:pPr>
              <w:widowControl/>
              <w:kinsoku/>
              <w:wordWrap/>
              <w:overflowPunct/>
              <w:topLinePunct w:val="0"/>
              <w:bidi w:val="0"/>
              <w:spacing w:line="440" w:lineRule="exact"/>
              <w:ind w:left="0"/>
              <w:jc w:val="left"/>
              <w:textAlignment w:val="auto"/>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提供上传失败清单的问题定位、协调处理、重新上传、补传服务，确保每一份有效清单均成功上传至医保局。</w:t>
            </w:r>
          </w:p>
        </w:tc>
      </w:tr>
    </w:tbl>
    <w:p w14:paraId="703C988D">
      <w:pPr>
        <w:widowControl w:val="0"/>
        <w:kinsoku/>
        <w:wordWrap/>
        <w:overflowPunct/>
        <w:topLinePunct w:val="0"/>
        <w:autoSpaceDE w:val="0"/>
        <w:autoSpaceDN w:val="0"/>
        <w:bidi w:val="0"/>
        <w:adjustRightInd w:val="0"/>
        <w:spacing w:line="440" w:lineRule="exact"/>
        <w:ind w:left="0"/>
        <w:textAlignment w:val="auto"/>
        <w:rPr>
          <w:rFonts w:hint="eastAsia" w:ascii="仿宋" w:hAnsi="仿宋" w:eastAsia="仿宋" w:cs="仿宋"/>
          <w:color w:val="000000"/>
          <w:sz w:val="24"/>
          <w:szCs w:val="24"/>
          <w:lang w:val="en-US" w:eastAsia="zh-CN" w:bidi="ar-SA"/>
        </w:rPr>
      </w:pPr>
    </w:p>
    <w:p w14:paraId="7A5E2950">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val="0"/>
          <w:color w:val="auto"/>
          <w:sz w:val="24"/>
          <w:szCs w:val="24"/>
          <w:lang w:val="en-US" w:eastAsia="zh-CN" w:bidi="ar-SA"/>
        </w:rPr>
      </w:pPr>
      <w:r>
        <w:rPr>
          <w:rFonts w:hint="eastAsia" w:ascii="仿宋" w:hAnsi="仿宋" w:eastAsia="仿宋" w:cs="仿宋"/>
          <w:b/>
          <w:bCs w:val="0"/>
          <w:color w:val="auto"/>
          <w:sz w:val="24"/>
          <w:szCs w:val="24"/>
          <w:lang w:val="en-US" w:eastAsia="zh-CN" w:bidi="ar-SA"/>
        </w:rPr>
        <w:t>（二）商务要求</w:t>
      </w:r>
    </w:p>
    <w:p w14:paraId="766E9A7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1.付款方式</w:t>
      </w:r>
    </w:p>
    <w:p w14:paraId="5B105D8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rPr>
        <w:t>合同签订后付款30%，项目交付完成后付</w:t>
      </w:r>
      <w:r>
        <w:rPr>
          <w:rFonts w:hint="eastAsia" w:ascii="仿宋" w:hAnsi="仿宋" w:eastAsia="仿宋" w:cs="仿宋"/>
          <w:kern w:val="2"/>
          <w:sz w:val="24"/>
          <w:szCs w:val="24"/>
          <w:highlight w:val="none"/>
        </w:rPr>
        <w:t>款60%，质保期满一年后付款10%。</w:t>
      </w:r>
      <w:r>
        <w:rPr>
          <w:rFonts w:hint="eastAsia" w:ascii="仿宋" w:hAnsi="仿宋" w:eastAsia="仿宋" w:cs="仿宋"/>
          <w:kern w:val="2"/>
          <w:sz w:val="24"/>
          <w:szCs w:val="24"/>
          <w:highlight w:val="none"/>
          <w:lang w:eastAsia="zh-CN"/>
        </w:rPr>
        <w:t>（如中小微企业中标，合同签订前缴纳合同总价10%的履约保证金，项目交付完成并收到中标供应商发票的60日内支付合同金额）</w:t>
      </w:r>
    </w:p>
    <w:p w14:paraId="7C256BC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2.售后服务</w:t>
      </w:r>
    </w:p>
    <w:p w14:paraId="42A3B6D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2.1整体项目提供质保期</w:t>
      </w:r>
      <w:r>
        <w:rPr>
          <w:rFonts w:hint="eastAsia" w:ascii="仿宋" w:hAnsi="仿宋" w:eastAsia="仿宋" w:cs="仿宋"/>
          <w:kern w:val="2"/>
          <w:sz w:val="24"/>
          <w:szCs w:val="24"/>
          <w:lang w:val="en-US" w:eastAsia="zh-CN"/>
        </w:rPr>
        <w:t>3</w:t>
      </w:r>
      <w:r>
        <w:rPr>
          <w:rFonts w:hint="eastAsia" w:ascii="仿宋" w:hAnsi="仿宋" w:eastAsia="仿宋" w:cs="仿宋"/>
          <w:kern w:val="2"/>
          <w:sz w:val="24"/>
          <w:szCs w:val="24"/>
        </w:rPr>
        <w:t>年，自验收合格之日起计。</w:t>
      </w:r>
    </w:p>
    <w:p w14:paraId="1DAAF78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2.2供应商所承诺的服务内容应包括：供应商的服务响应及</w:t>
      </w:r>
      <w:r>
        <w:rPr>
          <w:rFonts w:hint="eastAsia" w:ascii="仿宋" w:hAnsi="仿宋" w:eastAsia="仿宋" w:cs="仿宋"/>
          <w:kern w:val="2"/>
          <w:sz w:val="24"/>
          <w:szCs w:val="24"/>
          <w:lang w:val="en-US" w:eastAsia="zh-CN"/>
        </w:rPr>
        <w:t>系统维护</w:t>
      </w:r>
      <w:r>
        <w:rPr>
          <w:rFonts w:hint="eastAsia" w:ascii="仿宋" w:hAnsi="仿宋" w:eastAsia="仿宋" w:cs="仿宋"/>
          <w:kern w:val="2"/>
          <w:sz w:val="24"/>
          <w:szCs w:val="24"/>
        </w:rPr>
        <w:t>等承诺，详细说明服务能力、服务时间、人员配备、系统故障响应、诊断、应急处理、</w:t>
      </w:r>
      <w:r>
        <w:rPr>
          <w:rFonts w:hint="eastAsia" w:ascii="仿宋" w:hAnsi="仿宋" w:eastAsia="仿宋" w:cs="仿宋"/>
          <w:kern w:val="2"/>
          <w:sz w:val="24"/>
          <w:szCs w:val="24"/>
          <w:lang w:val="en-US" w:eastAsia="zh-CN"/>
        </w:rPr>
        <w:t>系统维护</w:t>
      </w:r>
      <w:r>
        <w:rPr>
          <w:rFonts w:hint="eastAsia" w:ascii="仿宋" w:hAnsi="仿宋" w:eastAsia="仿宋" w:cs="仿宋"/>
          <w:kern w:val="2"/>
          <w:sz w:val="24"/>
          <w:szCs w:val="24"/>
        </w:rPr>
        <w:t>和相应的设备更换计划等；供应商的技术支持和相应软件的升级承诺等。</w:t>
      </w:r>
    </w:p>
    <w:p w14:paraId="42E7D01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2.3在系统的服务期内，供应商应确保系统的正常使用。在接到用户服务要求后应立即做出回应，并在承诺的服务时间内实施服务。</w:t>
      </w:r>
    </w:p>
    <w:p w14:paraId="5225C89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2.4 7×24小时的免费上门保修服务半小时内响应，供应商可借助网络工具远程实时维护系统，通过远程协助对采购人系统进行远程系统维护及操作指导，帮助采购人快速解决软件及系统方面的问题。对于电话不能很好解决及其他必须亲临现场服务的内容，供应商应在第一时间根据具体情况迅速安排人员24小时内快速到达现场提供服务。</w:t>
      </w:r>
    </w:p>
    <w:p w14:paraId="0E8DD78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2.5热线电话服务提供技术咨询、故障诊断、故障排除</w:t>
      </w:r>
      <w:r>
        <w:rPr>
          <w:rFonts w:hint="eastAsia" w:ascii="仿宋" w:hAnsi="仿宋" w:eastAsia="仿宋" w:cs="仿宋"/>
          <w:kern w:val="2"/>
          <w:sz w:val="24"/>
          <w:szCs w:val="24"/>
          <w:lang w:eastAsia="zh-CN"/>
        </w:rPr>
        <w:t>，以及</w:t>
      </w:r>
      <w:r>
        <w:rPr>
          <w:rFonts w:hint="eastAsia" w:ascii="仿宋" w:hAnsi="仿宋" w:eastAsia="仿宋" w:cs="仿宋"/>
          <w:kern w:val="2"/>
          <w:sz w:val="24"/>
          <w:szCs w:val="24"/>
        </w:rPr>
        <w:t>现场支持等具体的技术支持工作，并对客户投诉做出相应处理。为使用方提供 7×24 小时的全方位服务，除了提供公司的技术服务支持电话外，还应注明项目主要技术成员的移动电话，用于双方及时沟通并解决问题，电话支持即时响应。</w:t>
      </w:r>
    </w:p>
    <w:p w14:paraId="7291004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2.6定期巡检及调优系统，复杂的运行环境等种种原因会造成系统性能的逐渐下降。通过定期的技术检查，可及时排除故障隐患，以免问题发生后影响业务运作，还能及时调优系统性能，使系统始终处于高效率运行状态。</w:t>
      </w:r>
    </w:p>
    <w:p w14:paraId="3FC44EC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3</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rPr>
        <w:t>培训</w:t>
      </w:r>
    </w:p>
    <w:p w14:paraId="690FF28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3.1培训：供应商应制定详细的培训计划，对使用人员进行操作及相关技术培训。</w:t>
      </w:r>
    </w:p>
    <w:p w14:paraId="23D70526">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3.2所有的培训费用必须计入投标总价。</w:t>
      </w:r>
    </w:p>
    <w:p w14:paraId="0AED44D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w:t>
      </w:r>
      <w:r>
        <w:rPr>
          <w:rFonts w:hint="eastAsia" w:ascii="仿宋" w:hAnsi="仿宋" w:eastAsia="仿宋" w:cs="仿宋"/>
          <w:kern w:val="2"/>
          <w:sz w:val="24"/>
          <w:szCs w:val="24"/>
          <w:lang w:eastAsia="zh-CN"/>
        </w:rPr>
        <w:t>.</w:t>
      </w:r>
      <w:r>
        <w:rPr>
          <w:rFonts w:hint="eastAsia" w:ascii="仿宋" w:hAnsi="仿宋" w:eastAsia="仿宋" w:cs="仿宋"/>
          <w:kern w:val="2"/>
          <w:sz w:val="24"/>
          <w:szCs w:val="24"/>
        </w:rPr>
        <w:t>交货及安装调试</w:t>
      </w:r>
    </w:p>
    <w:p w14:paraId="4B75E0B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4.1安装地点：</w:t>
      </w:r>
      <w:r>
        <w:rPr>
          <w:rFonts w:hint="eastAsia" w:ascii="仿宋" w:hAnsi="仿宋" w:eastAsia="仿宋" w:cs="仿宋"/>
          <w:kern w:val="2"/>
        </w:rPr>
        <w:t>南京市建邺区南湖路23号</w:t>
      </w:r>
      <w:r>
        <w:rPr>
          <w:rFonts w:hint="eastAsia" w:ascii="仿宋" w:hAnsi="仿宋" w:eastAsia="仿宋" w:cs="仿宋"/>
          <w:kern w:val="2"/>
          <w:sz w:val="24"/>
          <w:szCs w:val="24"/>
          <w:lang w:val="en-US" w:eastAsia="zh-CN"/>
        </w:rPr>
        <w:t>江苏省第二中医院</w:t>
      </w:r>
      <w:r>
        <w:rPr>
          <w:rFonts w:hint="eastAsia" w:ascii="仿宋" w:hAnsi="仿宋" w:eastAsia="仿宋" w:cs="仿宋"/>
          <w:kern w:val="2"/>
          <w:sz w:val="24"/>
          <w:szCs w:val="24"/>
        </w:rPr>
        <w:t>指定地点。</w:t>
      </w:r>
    </w:p>
    <w:p w14:paraId="6A8AA4B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4.2实施周期：自合同签订后5个月内，软件系统到货、安装完成(因医院硬件环境准备、第三方系统接口对接、政策文件未下发等造成的工期延迟不计算在内)。如在规定的时间内由于供应商的原因不能完成安装和调试，供应商应承担由此给用户造成的损失。</w:t>
      </w:r>
    </w:p>
    <w:p w14:paraId="62CF9E1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4.3供应商应提供高质量的实施团队，并尽快在规定的时间内完成项目的升级改造，由专业技术人员上门安装、调试、配置系统。</w:t>
      </w:r>
    </w:p>
    <w:p w14:paraId="7C64525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4.4安装标准：符合国家有关技术规范要求和技术标准。</w:t>
      </w:r>
    </w:p>
    <w:p w14:paraId="2FB7CD1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4.5安装调试过程中发生的费用由供应商负责。</w:t>
      </w:r>
    </w:p>
    <w:p w14:paraId="523C531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4.6在项目实施过程中，向医院提供齐全的电子版和书面的操作说明等文档。</w:t>
      </w:r>
    </w:p>
    <w:p w14:paraId="6F4D4E48">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5</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rPr>
        <w:t>验收</w:t>
      </w:r>
    </w:p>
    <w:p w14:paraId="03C11CB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5.1供应商应提供项目相关软件、设备的有效验收文件，经用户认可后，作为验收标准。用户对项目验收合格后，双方共同签署验收合格证书并加盖公章。验收中发现软件、设备达不到验收标准或合同规定的性能指标，</w:t>
      </w:r>
      <w:r>
        <w:rPr>
          <w:rFonts w:hint="eastAsia" w:ascii="仿宋" w:hAnsi="仿宋" w:eastAsia="仿宋" w:cs="仿宋"/>
          <w:kern w:val="2"/>
          <w:sz w:val="24"/>
          <w:szCs w:val="24"/>
          <w:lang w:val="en-US" w:eastAsia="zh-CN"/>
        </w:rPr>
        <w:t>供应商</w:t>
      </w:r>
      <w:r>
        <w:rPr>
          <w:rFonts w:hint="eastAsia" w:ascii="仿宋" w:hAnsi="仿宋" w:eastAsia="仿宋" w:cs="仿宋"/>
          <w:kern w:val="2"/>
          <w:sz w:val="24"/>
          <w:szCs w:val="24"/>
        </w:rPr>
        <w:t>必须修改相应内容，以满足用户需求。</w:t>
      </w:r>
    </w:p>
    <w:p w14:paraId="2276619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5.2自合同签订后，5个月内完成系统的初试，试运行正常一个月后，组织项目终验。</w:t>
      </w:r>
    </w:p>
    <w:p w14:paraId="328A5C3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5.3验收费用由供应商负责，如项目验收医院需请第三方监理公司，则第三方监理公司的费用由医院自身承担。</w:t>
      </w:r>
    </w:p>
    <w:p w14:paraId="0100373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 xml:space="preserve">5.4因本项目用户实际新增或系统升级引起的软件功能与现有招标建设内容要求有所出入的，不作为不符合或不满足招标人要求的条件，应视为项目合格。 </w:t>
      </w:r>
    </w:p>
    <w:p w14:paraId="0054252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6</w:t>
      </w:r>
      <w:r>
        <w:rPr>
          <w:rFonts w:hint="eastAsia" w:ascii="仿宋" w:hAnsi="仿宋" w:eastAsia="仿宋" w:cs="仿宋"/>
          <w:kern w:val="2"/>
          <w:sz w:val="24"/>
          <w:szCs w:val="24"/>
          <w:lang w:val="en-US" w:eastAsia="zh-CN"/>
        </w:rPr>
        <w:t>.</w:t>
      </w:r>
      <w:r>
        <w:rPr>
          <w:rFonts w:hint="eastAsia" w:ascii="仿宋" w:hAnsi="仿宋" w:eastAsia="仿宋" w:cs="仿宋"/>
          <w:kern w:val="2"/>
          <w:sz w:val="24"/>
          <w:szCs w:val="24"/>
        </w:rPr>
        <w:t>报价方式</w:t>
      </w:r>
    </w:p>
    <w:p w14:paraId="37215A8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kern w:val="2"/>
          <w:sz w:val="24"/>
          <w:szCs w:val="24"/>
        </w:rPr>
      </w:pPr>
      <w:r>
        <w:rPr>
          <w:rFonts w:hint="eastAsia" w:ascii="仿宋" w:hAnsi="仿宋" w:eastAsia="仿宋" w:cs="仿宋"/>
          <w:kern w:val="2"/>
          <w:sz w:val="24"/>
          <w:szCs w:val="24"/>
        </w:rPr>
        <w:t>6.1所有报价为到医院人民币价（含税费、安装调试等伴随服务费）。</w:t>
      </w:r>
    </w:p>
    <w:p w14:paraId="282F60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0"/>
        <w:jc w:val="both"/>
        <w:textAlignment w:val="auto"/>
        <w:rPr>
          <w:rFonts w:hint="eastAsia" w:ascii="仿宋" w:hAnsi="仿宋" w:eastAsia="仿宋" w:cs="仿宋"/>
          <w:bCs/>
          <w:color w:val="auto"/>
          <w:sz w:val="24"/>
          <w:szCs w:val="24"/>
          <w:lang w:val="en-US" w:eastAsia="zh-CN" w:bidi="ar-SA"/>
        </w:rPr>
      </w:pPr>
    </w:p>
    <w:p w14:paraId="5FAE71DD">
      <w:pPr>
        <w:keepNext w:val="0"/>
        <w:keepLines w:val="0"/>
        <w:pageBreakBefore w:val="0"/>
        <w:widowControl/>
        <w:numPr>
          <w:ilvl w:val="-1"/>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bCs w:val="0"/>
          <w:color w:val="auto"/>
          <w:sz w:val="24"/>
          <w:szCs w:val="24"/>
          <w:lang w:val="en-US" w:eastAsia="zh-CN" w:bidi="ar-SA"/>
        </w:rPr>
      </w:pPr>
      <w:r>
        <w:rPr>
          <w:rFonts w:hint="eastAsia" w:ascii="仿宋" w:hAnsi="仿宋" w:eastAsia="仿宋" w:cs="仿宋"/>
          <w:b/>
          <w:bCs w:val="0"/>
          <w:color w:val="auto"/>
          <w:sz w:val="24"/>
          <w:szCs w:val="24"/>
          <w:lang w:val="en-US" w:eastAsia="zh-CN" w:bidi="ar-SA"/>
        </w:rPr>
        <w:t>（三）其他</w:t>
      </w:r>
    </w:p>
    <w:p w14:paraId="365246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1.技术方案</w:t>
      </w:r>
    </w:p>
    <w:p w14:paraId="23D1521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根据本项目制定技术方案，包括但不限于技术方案总体设计、DRG数据中心、应用中心、接口方案、建设方案等，详细阐述系统的体系架构、实现思路和非功能性设计、安全设计、对项目需求分析、总体实现流程、功能模块等。</w:t>
      </w:r>
    </w:p>
    <w:p w14:paraId="13A4C1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2.实施方案</w:t>
      </w:r>
    </w:p>
    <w:p w14:paraId="76EA8B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根据本项目制定项目实施方案，内容包括但不限于系统实施方案、项目质量保障措施、项目实施进度安排等是否具有科学性、合理性和可执行性。</w:t>
      </w:r>
    </w:p>
    <w:p w14:paraId="583F7E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0" w:firstLineChars="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lang w:val="en-US" w:eastAsia="zh-CN" w:bidi="ar-SA"/>
        </w:rPr>
        <w:t>3.</w:t>
      </w:r>
      <w:r>
        <w:rPr>
          <w:rFonts w:hint="eastAsia" w:ascii="仿宋" w:hAnsi="仿宋" w:eastAsia="仿宋" w:cs="仿宋"/>
          <w:bCs/>
          <w:color w:val="auto"/>
          <w:sz w:val="24"/>
          <w:szCs w:val="24"/>
          <w:highlight w:val="none"/>
          <w:lang w:val="en-US" w:eastAsia="zh-CN" w:bidi="ar-SA"/>
        </w:rPr>
        <w:t>售后服务方案</w:t>
      </w:r>
    </w:p>
    <w:p w14:paraId="234F41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根据本项目制定售后服务方案，方案包括但不限于售后服务承诺、服务保障措施、故障排除流程及维护期内外的后续技术支持和维护能力方案、售后人员、响应时间。</w:t>
      </w:r>
    </w:p>
    <w:p w14:paraId="766F390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default"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lang w:val="en-US" w:eastAsia="zh-CN" w:bidi="ar-SA"/>
        </w:rPr>
        <w:t>4</w:t>
      </w:r>
      <w:r>
        <w:rPr>
          <w:rFonts w:hint="default" w:ascii="仿宋" w:hAnsi="仿宋" w:eastAsia="仿宋" w:cs="仿宋"/>
          <w:bCs/>
          <w:color w:val="auto"/>
          <w:sz w:val="24"/>
          <w:szCs w:val="24"/>
          <w:lang w:val="en-US" w:eastAsia="zh-CN" w:bidi="ar-SA"/>
        </w:rPr>
        <w:t>.</w:t>
      </w:r>
      <w:r>
        <w:rPr>
          <w:rFonts w:hint="default" w:ascii="仿宋" w:hAnsi="仿宋" w:eastAsia="仿宋" w:cs="仿宋"/>
          <w:bCs/>
          <w:color w:val="auto"/>
          <w:sz w:val="24"/>
          <w:szCs w:val="24"/>
          <w:highlight w:val="none"/>
          <w:lang w:val="en-US" w:eastAsia="zh-CN" w:bidi="ar-SA"/>
        </w:rPr>
        <w:t>培训及技术支持方案</w:t>
      </w:r>
    </w:p>
    <w:p w14:paraId="099AF7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仿宋" w:hAnsi="仿宋" w:eastAsia="仿宋" w:cs="仿宋"/>
          <w:bCs/>
          <w:color w:val="auto"/>
          <w:sz w:val="24"/>
          <w:szCs w:val="24"/>
          <w:highlight w:val="none"/>
          <w:lang w:val="en-US" w:eastAsia="zh-CN" w:bidi="ar-SA"/>
        </w:rPr>
      </w:pPr>
      <w:r>
        <w:rPr>
          <w:rFonts w:hint="eastAsia" w:ascii="仿宋" w:hAnsi="仿宋" w:eastAsia="仿宋" w:cs="仿宋"/>
          <w:bCs/>
          <w:color w:val="auto"/>
          <w:sz w:val="24"/>
          <w:szCs w:val="24"/>
          <w:highlight w:val="none"/>
          <w:lang w:val="en-US" w:eastAsia="zh-CN" w:bidi="ar-SA"/>
        </w:rPr>
        <w:t>根据本项目制定培训服务方案及技术支持方案，方案包括但不限于人员的操作培训以及采购人所需的技术和学术支持及其他供应商可提供的服务。</w:t>
      </w:r>
    </w:p>
    <w:p w14:paraId="289AD7BA">
      <w:pPr>
        <w:pStyle w:val="204"/>
        <w:spacing w:line="240" w:lineRule="auto"/>
        <w:jc w:val="center"/>
        <w:rPr>
          <w:rFonts w:hint="default" w:ascii="Times New Roman" w:hAnsi="Times New Roman" w:eastAsia="宋体" w:cs="Times New Roman"/>
          <w:highlight w:val="none"/>
          <w:lang w:val="en-US" w:eastAsia="zh-CN"/>
        </w:rPr>
      </w:pPr>
      <w:r>
        <w:rPr>
          <w:rFonts w:hint="eastAsia"/>
          <w:highlight w:val="none"/>
        </w:rPr>
        <w:br w:type="page" w:clear="all"/>
      </w:r>
      <w:bookmarkStart w:id="70" w:name="_Toc6412"/>
      <w:r>
        <w:rPr>
          <w:rFonts w:hint="eastAsia" w:ascii="Times New Roman" w:hAnsi="Times New Roman" w:eastAsia="宋体" w:cs="Times New Roman"/>
          <w:highlight w:val="none"/>
        </w:rPr>
        <w:t>第</w:t>
      </w:r>
      <w:r>
        <w:rPr>
          <w:rFonts w:hint="eastAsia" w:ascii="Times New Roman" w:hAnsi="Times New Roman" w:eastAsia="宋体" w:cs="Times New Roman"/>
          <w:highlight w:val="none"/>
          <w:lang w:val="en-US" w:eastAsia="zh-CN"/>
        </w:rPr>
        <w:t>五</w:t>
      </w:r>
      <w:r>
        <w:rPr>
          <w:rFonts w:hint="eastAsia" w:ascii="Times New Roman" w:hAnsi="Times New Roman" w:eastAsia="宋体" w:cs="Times New Roman"/>
          <w:highlight w:val="none"/>
        </w:rPr>
        <w:t>部分  评标</w:t>
      </w:r>
      <w:bookmarkEnd w:id="48"/>
      <w:r>
        <w:rPr>
          <w:rFonts w:hint="eastAsia" w:ascii="Times New Roman" w:hAnsi="Times New Roman" w:eastAsia="宋体" w:cs="Times New Roman"/>
          <w:highlight w:val="none"/>
          <w:lang w:val="en-US" w:eastAsia="zh-CN"/>
        </w:rPr>
        <w:t>方法和标准</w:t>
      </w:r>
      <w:bookmarkEnd w:id="70"/>
    </w:p>
    <w:p w14:paraId="28BBC0F2">
      <w:pPr>
        <w:keepNext w:val="0"/>
        <w:keepLines w:val="0"/>
        <w:pageBreakBefore w:val="0"/>
        <w:widowControl w:val="0"/>
        <w:kinsoku/>
        <w:wordWrap/>
        <w:overflowPunct/>
        <w:topLinePunct w:val="0"/>
        <w:autoSpaceDE/>
        <w:autoSpaceDN/>
        <w:bidi w:val="0"/>
        <w:adjustRightInd/>
        <w:snapToGrid/>
        <w:spacing w:line="400" w:lineRule="exact"/>
        <w:textAlignment w:val="auto"/>
        <w:rPr>
          <w:rFonts w:ascii="黑体" w:hAnsi="黑体" w:eastAsia="黑体"/>
          <w:sz w:val="32"/>
          <w:szCs w:val="32"/>
          <w:highlight w:val="none"/>
        </w:rPr>
      </w:pPr>
      <w:r>
        <w:rPr>
          <w:rFonts w:hint="eastAsia" w:ascii="黑体" w:hAnsi="黑体" w:eastAsia="黑体"/>
          <w:sz w:val="32"/>
          <w:szCs w:val="32"/>
          <w:highlight w:val="none"/>
        </w:rPr>
        <w:t>综合评分法</w:t>
      </w:r>
    </w:p>
    <w:p w14:paraId="6631497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jc w:val="left"/>
        <w:textAlignment w:val="auto"/>
        <w:rPr>
          <w:rFonts w:ascii="仿宋" w:hAnsi="仿宋" w:eastAsia="仿宋" w:cs="仿宋"/>
          <w:b/>
          <w:highlight w:val="none"/>
        </w:rPr>
      </w:pPr>
      <w:bookmarkStart w:id="71" w:name="EB1a5d8b2c3833482f95a1f101c76adb9d"/>
      <w:r>
        <w:rPr>
          <w:rFonts w:hint="eastAsia" w:ascii="仿宋" w:hAnsi="仿宋" w:eastAsia="仿宋" w:cs="仿宋"/>
          <w:b/>
          <w:highlight w:val="none"/>
        </w:rPr>
        <w:t>资格性审查</w:t>
      </w:r>
    </w:p>
    <w:p w14:paraId="5A55B0F9">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ascii="仿宋" w:hAnsi="仿宋" w:eastAsia="仿宋" w:cs="仿宋"/>
          <w:highlight w:val="none"/>
        </w:rPr>
      </w:pPr>
      <w:r>
        <w:rPr>
          <w:rFonts w:hint="eastAsia" w:ascii="仿宋" w:hAnsi="仿宋" w:eastAsia="仿宋" w:cs="仿宋"/>
          <w:highlight w:val="none"/>
        </w:rPr>
        <w:t>采购人或采购代理机构按照招标文件第一部分《招标公告》申请人的资格要求，对各</w:t>
      </w:r>
      <w:r>
        <w:rPr>
          <w:rFonts w:hint="eastAsia" w:ascii="仿宋" w:hAnsi="仿宋" w:eastAsia="仿宋" w:cs="仿宋"/>
          <w:highlight w:val="none"/>
          <w:lang w:eastAsia="zh-CN"/>
        </w:rPr>
        <w:t>投标人</w:t>
      </w:r>
      <w:r>
        <w:rPr>
          <w:rFonts w:hint="eastAsia" w:ascii="仿宋" w:hAnsi="仿宋" w:eastAsia="仿宋" w:cs="仿宋"/>
          <w:highlight w:val="none"/>
        </w:rPr>
        <w:t>进行资格性审查，未通过评审的为无效标，不再参与评审。</w:t>
      </w:r>
    </w:p>
    <w:p w14:paraId="2630BF7F">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jc w:val="left"/>
        <w:textAlignment w:val="auto"/>
        <w:rPr>
          <w:rFonts w:ascii="仿宋" w:hAnsi="仿宋" w:eastAsia="仿宋" w:cs="仿宋"/>
          <w:highlight w:val="none"/>
        </w:rPr>
      </w:pPr>
      <w:r>
        <w:rPr>
          <w:rFonts w:hint="eastAsia" w:ascii="仿宋" w:hAnsi="仿宋" w:eastAsia="仿宋" w:cs="仿宋"/>
          <w:b/>
          <w:highlight w:val="none"/>
        </w:rPr>
        <w:t>符合性审查</w:t>
      </w:r>
    </w:p>
    <w:p w14:paraId="5B64ECD1">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仿宋" w:hAnsi="仿宋" w:eastAsia="仿宋" w:cs="仿宋"/>
          <w:highlight w:val="none"/>
        </w:rPr>
      </w:pPr>
      <w:r>
        <w:rPr>
          <w:rFonts w:hint="eastAsia" w:ascii="仿宋" w:hAnsi="仿宋" w:eastAsia="仿宋" w:cs="仿宋"/>
          <w:highlight w:val="none"/>
        </w:rPr>
        <w:t>评标委员会按照下列指标对各</w:t>
      </w:r>
      <w:r>
        <w:rPr>
          <w:rFonts w:hint="eastAsia" w:ascii="仿宋" w:hAnsi="仿宋" w:eastAsia="仿宋" w:cs="仿宋"/>
          <w:highlight w:val="none"/>
          <w:lang w:eastAsia="zh-CN"/>
        </w:rPr>
        <w:t>投标人</w:t>
      </w:r>
      <w:r>
        <w:rPr>
          <w:rFonts w:hint="eastAsia" w:ascii="仿宋" w:hAnsi="仿宋" w:eastAsia="仿宋" w:cs="仿宋"/>
          <w:highlight w:val="none"/>
        </w:rPr>
        <w:t>进行符合性审查，未通过评审的为无效标，不再参与评审。</w:t>
      </w:r>
    </w:p>
    <w:tbl>
      <w:tblPr>
        <w:tblStyle w:val="35"/>
        <w:tblW w:w="5226" w:type="pct"/>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31"/>
        <w:gridCol w:w="3063"/>
        <w:gridCol w:w="4960"/>
      </w:tblGrid>
      <w:tr w14:paraId="0E95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230" w:type="dxa"/>
            <w:noWrap w:val="0"/>
            <w:vAlign w:val="center"/>
          </w:tcPr>
          <w:p w14:paraId="207F39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符合性要求</w:t>
            </w:r>
          </w:p>
        </w:tc>
        <w:tc>
          <w:tcPr>
            <w:tcW w:w="3060" w:type="dxa"/>
            <w:noWrap w:val="0"/>
            <w:vAlign w:val="center"/>
          </w:tcPr>
          <w:p w14:paraId="347B5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符合性审查因素</w:t>
            </w:r>
          </w:p>
        </w:tc>
        <w:tc>
          <w:tcPr>
            <w:tcW w:w="4954" w:type="dxa"/>
            <w:noWrap w:val="0"/>
            <w:vAlign w:val="center"/>
          </w:tcPr>
          <w:p w14:paraId="59170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b/>
                <w:bCs/>
                <w:sz w:val="21"/>
                <w:szCs w:val="21"/>
                <w:highlight w:val="none"/>
              </w:rPr>
            </w:pPr>
            <w:r>
              <w:rPr>
                <w:rFonts w:hint="eastAsia" w:ascii="仿宋" w:hAnsi="仿宋" w:eastAsia="仿宋" w:cs="仿宋"/>
                <w:b/>
                <w:bCs/>
                <w:sz w:val="21"/>
                <w:szCs w:val="21"/>
                <w:highlight w:val="none"/>
              </w:rPr>
              <w:t>评审标准</w:t>
            </w:r>
          </w:p>
        </w:tc>
      </w:tr>
      <w:tr w14:paraId="1A5C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1230" w:type="dxa"/>
            <w:noWrap w:val="0"/>
            <w:vAlign w:val="center"/>
          </w:tcPr>
          <w:p w14:paraId="59F74E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报价要求</w:t>
            </w:r>
          </w:p>
        </w:tc>
        <w:tc>
          <w:tcPr>
            <w:tcW w:w="3060" w:type="dxa"/>
            <w:shd w:val="clear" w:color="auto" w:fill="auto"/>
            <w:noWrap w:val="0"/>
            <w:vAlign w:val="center"/>
          </w:tcPr>
          <w:p w14:paraId="0576A5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报价一览表及报价</w:t>
            </w:r>
          </w:p>
        </w:tc>
        <w:tc>
          <w:tcPr>
            <w:tcW w:w="4954" w:type="dxa"/>
            <w:shd w:val="clear" w:color="auto" w:fill="auto"/>
            <w:noWrap w:val="0"/>
            <w:vAlign w:val="center"/>
          </w:tcPr>
          <w:p w14:paraId="5A6426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格式、填写要求符合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规定，报价未超过预算或最高限价</w:t>
            </w:r>
          </w:p>
        </w:tc>
      </w:tr>
      <w:tr w14:paraId="1743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230" w:type="dxa"/>
            <w:vMerge w:val="restart"/>
            <w:noWrap w:val="0"/>
            <w:vAlign w:val="center"/>
          </w:tcPr>
          <w:p w14:paraId="384B4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商务要求</w:t>
            </w:r>
          </w:p>
        </w:tc>
        <w:tc>
          <w:tcPr>
            <w:tcW w:w="3060" w:type="dxa"/>
            <w:noWrap w:val="0"/>
            <w:vAlign w:val="center"/>
          </w:tcPr>
          <w:p w14:paraId="62120E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声明及承诺函</w:t>
            </w:r>
          </w:p>
        </w:tc>
        <w:tc>
          <w:tcPr>
            <w:tcW w:w="4954" w:type="dxa"/>
            <w:noWrap w:val="0"/>
            <w:vAlign w:val="center"/>
          </w:tcPr>
          <w:p w14:paraId="2F59C7F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rPr>
              <w:t>内容符合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要求，并且按照要求</w:t>
            </w:r>
            <w:r>
              <w:rPr>
                <w:rFonts w:hint="eastAsia" w:ascii="仿宋" w:hAnsi="仿宋" w:eastAsia="仿宋" w:cs="仿宋"/>
                <w:sz w:val="21"/>
                <w:szCs w:val="21"/>
                <w:highlight w:val="none"/>
                <w:lang w:val="en-US" w:eastAsia="zh-CN"/>
              </w:rPr>
              <w:t>签章</w:t>
            </w:r>
          </w:p>
        </w:tc>
      </w:tr>
      <w:tr w14:paraId="0DA4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1230" w:type="dxa"/>
            <w:vMerge w:val="continue"/>
            <w:noWrap w:val="0"/>
            <w:vAlign w:val="center"/>
          </w:tcPr>
          <w:p w14:paraId="57DBA0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p>
        </w:tc>
        <w:tc>
          <w:tcPr>
            <w:tcW w:w="3060" w:type="dxa"/>
            <w:shd w:val="clear" w:color="auto" w:fill="auto"/>
            <w:noWrap w:val="0"/>
            <w:vAlign w:val="center"/>
          </w:tcPr>
          <w:p w14:paraId="5532EA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法定代表人身份证明或法定代表人授权书</w:t>
            </w:r>
          </w:p>
        </w:tc>
        <w:tc>
          <w:tcPr>
            <w:tcW w:w="4954" w:type="dxa"/>
            <w:shd w:val="clear" w:color="auto" w:fill="auto"/>
            <w:noWrap w:val="0"/>
            <w:vAlign w:val="center"/>
          </w:tcPr>
          <w:p w14:paraId="0FBD043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内容符合招标文件要求，并且按照要求签章</w:t>
            </w:r>
          </w:p>
        </w:tc>
      </w:tr>
      <w:tr w14:paraId="492E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230" w:type="dxa"/>
            <w:vMerge w:val="continue"/>
            <w:noWrap w:val="0"/>
            <w:vAlign w:val="center"/>
          </w:tcPr>
          <w:p w14:paraId="2CD094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p>
        </w:tc>
        <w:tc>
          <w:tcPr>
            <w:tcW w:w="3060" w:type="dxa"/>
            <w:shd w:val="clear" w:color="auto" w:fill="auto"/>
            <w:noWrap w:val="0"/>
            <w:vAlign w:val="center"/>
          </w:tcPr>
          <w:p w14:paraId="284C29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文件签署、盖章</w:t>
            </w:r>
            <w:r>
              <w:rPr>
                <w:rFonts w:hint="eastAsia" w:ascii="仿宋" w:hAnsi="仿宋" w:eastAsia="仿宋" w:cs="仿宋"/>
                <w:sz w:val="21"/>
                <w:szCs w:val="21"/>
                <w:highlight w:val="none"/>
                <w:lang w:val="en-US" w:eastAsia="zh-CN"/>
              </w:rPr>
              <w:t>齐全完整</w:t>
            </w:r>
          </w:p>
        </w:tc>
        <w:tc>
          <w:tcPr>
            <w:tcW w:w="4954" w:type="dxa"/>
            <w:shd w:val="clear" w:color="auto" w:fill="auto"/>
            <w:noWrap w:val="0"/>
            <w:vAlign w:val="center"/>
          </w:tcPr>
          <w:p w14:paraId="151ECAC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要求</w:t>
            </w:r>
          </w:p>
        </w:tc>
      </w:tr>
      <w:tr w14:paraId="64F0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1230" w:type="dxa"/>
            <w:vMerge w:val="continue"/>
            <w:noWrap w:val="0"/>
            <w:vAlign w:val="center"/>
          </w:tcPr>
          <w:p w14:paraId="01B7CE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p>
        </w:tc>
        <w:tc>
          <w:tcPr>
            <w:tcW w:w="3060" w:type="dxa"/>
            <w:shd w:val="clear" w:color="auto" w:fill="auto"/>
            <w:noWrap w:val="0"/>
            <w:vAlign w:val="center"/>
          </w:tcPr>
          <w:p w14:paraId="35EAC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投标文件份数</w:t>
            </w:r>
          </w:p>
        </w:tc>
        <w:tc>
          <w:tcPr>
            <w:tcW w:w="4954" w:type="dxa"/>
            <w:shd w:val="clear" w:color="auto" w:fill="auto"/>
            <w:noWrap w:val="0"/>
            <w:vAlign w:val="center"/>
          </w:tcPr>
          <w:p w14:paraId="030225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要求</w:t>
            </w:r>
          </w:p>
        </w:tc>
      </w:tr>
      <w:tr w14:paraId="7520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1230" w:type="dxa"/>
            <w:vMerge w:val="continue"/>
            <w:noWrap w:val="0"/>
            <w:vAlign w:val="center"/>
          </w:tcPr>
          <w:p w14:paraId="609F55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p>
        </w:tc>
        <w:tc>
          <w:tcPr>
            <w:tcW w:w="3060" w:type="dxa"/>
            <w:noWrap w:val="0"/>
            <w:vAlign w:val="center"/>
          </w:tcPr>
          <w:p w14:paraId="5AA0D8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联合体响应</w:t>
            </w:r>
          </w:p>
        </w:tc>
        <w:tc>
          <w:tcPr>
            <w:tcW w:w="4954" w:type="dxa"/>
            <w:noWrap w:val="0"/>
            <w:vAlign w:val="center"/>
          </w:tcPr>
          <w:p w14:paraId="1437F7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本项目不接受联合体响应，</w:t>
            </w:r>
            <w:r>
              <w:rPr>
                <w:rFonts w:hint="eastAsia" w:ascii="仿宋" w:hAnsi="仿宋" w:eastAsia="仿宋" w:cs="仿宋"/>
                <w:sz w:val="21"/>
                <w:szCs w:val="21"/>
                <w:highlight w:val="none"/>
                <w:lang w:eastAsia="zh-CN"/>
              </w:rPr>
              <w:t>投标人</w:t>
            </w:r>
            <w:r>
              <w:rPr>
                <w:rFonts w:hint="eastAsia" w:ascii="仿宋" w:hAnsi="仿宋" w:eastAsia="仿宋" w:cs="仿宋"/>
                <w:sz w:val="21"/>
                <w:szCs w:val="21"/>
                <w:highlight w:val="none"/>
              </w:rPr>
              <w:t>不存在联合体</w:t>
            </w:r>
          </w:p>
        </w:tc>
      </w:tr>
      <w:tr w14:paraId="53A2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1230" w:type="dxa"/>
            <w:vMerge w:val="continue"/>
            <w:noWrap w:val="0"/>
            <w:vAlign w:val="center"/>
          </w:tcPr>
          <w:p w14:paraId="48F749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p>
        </w:tc>
        <w:tc>
          <w:tcPr>
            <w:tcW w:w="3060" w:type="dxa"/>
            <w:noWrap w:val="0"/>
            <w:vAlign w:val="center"/>
          </w:tcPr>
          <w:p w14:paraId="3A6862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投标</w:t>
            </w:r>
            <w:r>
              <w:rPr>
                <w:rFonts w:hint="eastAsia" w:ascii="仿宋" w:hAnsi="仿宋" w:eastAsia="仿宋" w:cs="仿宋"/>
                <w:sz w:val="21"/>
                <w:szCs w:val="21"/>
                <w:highlight w:val="none"/>
              </w:rPr>
              <w:t>有效期</w:t>
            </w:r>
          </w:p>
        </w:tc>
        <w:tc>
          <w:tcPr>
            <w:tcW w:w="4954" w:type="dxa"/>
            <w:noWrap w:val="0"/>
            <w:vAlign w:val="center"/>
          </w:tcPr>
          <w:p w14:paraId="4D39701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要求</w:t>
            </w:r>
          </w:p>
        </w:tc>
      </w:tr>
      <w:tr w14:paraId="7011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230" w:type="dxa"/>
            <w:vMerge w:val="continue"/>
            <w:noWrap w:val="0"/>
            <w:vAlign w:val="center"/>
          </w:tcPr>
          <w:p w14:paraId="463B60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p>
        </w:tc>
        <w:tc>
          <w:tcPr>
            <w:tcW w:w="3060" w:type="dxa"/>
            <w:noWrap w:val="0"/>
            <w:vAlign w:val="center"/>
          </w:tcPr>
          <w:p w14:paraId="0015FA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商务</w:t>
            </w:r>
            <w:r>
              <w:rPr>
                <w:rFonts w:hint="eastAsia" w:ascii="仿宋" w:hAnsi="仿宋" w:eastAsia="仿宋" w:cs="仿宋"/>
                <w:sz w:val="21"/>
                <w:szCs w:val="21"/>
                <w:highlight w:val="none"/>
                <w:lang w:val="en-US" w:eastAsia="zh-CN"/>
              </w:rPr>
              <w:t>要求</w:t>
            </w:r>
            <w:r>
              <w:rPr>
                <w:rFonts w:hint="eastAsia" w:ascii="仿宋" w:hAnsi="仿宋" w:eastAsia="仿宋" w:cs="仿宋"/>
                <w:sz w:val="21"/>
                <w:szCs w:val="21"/>
                <w:highlight w:val="none"/>
              </w:rPr>
              <w:t>响应</w:t>
            </w:r>
          </w:p>
        </w:tc>
        <w:tc>
          <w:tcPr>
            <w:tcW w:w="4954" w:type="dxa"/>
            <w:noWrap w:val="0"/>
            <w:vAlign w:val="center"/>
          </w:tcPr>
          <w:p w14:paraId="079B16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填写符合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要求，并且不存在偏离</w:t>
            </w:r>
          </w:p>
        </w:tc>
      </w:tr>
      <w:tr w14:paraId="0A99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1230" w:type="dxa"/>
            <w:vMerge w:val="restart"/>
            <w:noWrap w:val="0"/>
            <w:vAlign w:val="center"/>
          </w:tcPr>
          <w:p w14:paraId="7A8BC5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技术要求</w:t>
            </w:r>
          </w:p>
        </w:tc>
        <w:tc>
          <w:tcPr>
            <w:tcW w:w="3060" w:type="dxa"/>
            <w:noWrap w:val="0"/>
            <w:vAlign w:val="center"/>
          </w:tcPr>
          <w:p w14:paraId="6C86D1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技术要求响应</w:t>
            </w:r>
          </w:p>
        </w:tc>
        <w:tc>
          <w:tcPr>
            <w:tcW w:w="4954" w:type="dxa"/>
            <w:noWrap w:val="0"/>
            <w:vAlign w:val="center"/>
          </w:tcPr>
          <w:p w14:paraId="77054A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填写符合招标文件要求</w:t>
            </w:r>
          </w:p>
        </w:tc>
      </w:tr>
      <w:tr w14:paraId="3AF7E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trPr>
        <w:tc>
          <w:tcPr>
            <w:tcW w:w="1230" w:type="dxa"/>
            <w:vMerge w:val="continue"/>
            <w:noWrap w:val="0"/>
            <w:vAlign w:val="center"/>
          </w:tcPr>
          <w:p w14:paraId="6E2346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rPr>
            </w:pPr>
          </w:p>
        </w:tc>
        <w:tc>
          <w:tcPr>
            <w:tcW w:w="3060" w:type="dxa"/>
            <w:shd w:val="clear" w:color="auto" w:fill="auto"/>
            <w:noWrap w:val="0"/>
            <w:vAlign w:val="center"/>
          </w:tcPr>
          <w:p w14:paraId="39206D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对实质性条款的响应性</w:t>
            </w:r>
          </w:p>
        </w:tc>
        <w:tc>
          <w:tcPr>
            <w:tcW w:w="4954" w:type="dxa"/>
            <w:shd w:val="clear" w:color="auto" w:fill="auto"/>
            <w:noWrap w:val="0"/>
            <w:vAlign w:val="center"/>
          </w:tcPr>
          <w:p w14:paraId="00D8C75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1"/>
                <w:szCs w:val="21"/>
                <w:highlight w:val="none"/>
                <w:lang w:val="en-US" w:eastAsia="zh-CN" w:bidi="ar-SA"/>
              </w:rPr>
            </w:pPr>
            <w:r>
              <w:rPr>
                <w:rFonts w:hint="eastAsia" w:ascii="仿宋" w:hAnsi="仿宋" w:eastAsia="仿宋" w:cs="仿宋"/>
                <w:sz w:val="21"/>
                <w:szCs w:val="21"/>
                <w:highlight w:val="none"/>
              </w:rPr>
              <w:t>符合</w:t>
            </w:r>
            <w:r>
              <w:rPr>
                <w:rFonts w:hint="eastAsia" w:ascii="仿宋" w:hAnsi="仿宋" w:eastAsia="仿宋" w:cs="仿宋"/>
                <w:sz w:val="21"/>
                <w:szCs w:val="21"/>
                <w:highlight w:val="none"/>
                <w:lang w:val="en-US" w:eastAsia="zh-CN"/>
              </w:rPr>
              <w:t>招标文件</w:t>
            </w:r>
            <w:r>
              <w:rPr>
                <w:rFonts w:hint="eastAsia" w:ascii="仿宋" w:hAnsi="仿宋" w:eastAsia="仿宋" w:cs="仿宋"/>
                <w:sz w:val="21"/>
                <w:szCs w:val="21"/>
                <w:highlight w:val="none"/>
              </w:rPr>
              <w:t>要求，并且不存在重大偏离</w:t>
            </w:r>
          </w:p>
        </w:tc>
      </w:tr>
      <w:bookmarkEnd w:id="71"/>
    </w:tbl>
    <w:p w14:paraId="55136C49">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82"/>
        <w:jc w:val="left"/>
        <w:textAlignment w:val="auto"/>
        <w:rPr>
          <w:rFonts w:ascii="仿宋" w:hAnsi="仿宋" w:eastAsia="仿宋" w:cs="仿宋"/>
          <w:b/>
          <w:highlight w:val="none"/>
        </w:rPr>
      </w:pPr>
      <w:r>
        <w:rPr>
          <w:rFonts w:hint="eastAsia" w:ascii="仿宋" w:hAnsi="仿宋" w:eastAsia="仿宋" w:cs="仿宋"/>
          <w:b/>
          <w:highlight w:val="none"/>
        </w:rPr>
        <w:t>详细评审</w:t>
      </w:r>
    </w:p>
    <w:p w14:paraId="75414079">
      <w:pPr>
        <w:spacing w:line="440" w:lineRule="exact"/>
        <w:ind w:firstLine="480"/>
        <w:jc w:val="left"/>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本项目采用综合评分法，评标委员会严格按招标文件规定的评分标准和要求，对各投标文件进行综合评审，按得分高低顺序推荐3名中标候选人。得分相同的，按报价从低到高顺序排列；得分且报价相同的，按需求响应优劣顺序排列。</w:t>
      </w:r>
    </w:p>
    <w:p w14:paraId="0BD684EE">
      <w:pPr>
        <w:keepNext w:val="0"/>
        <w:keepLines w:val="0"/>
        <w:pageBreakBefore w:val="0"/>
        <w:widowControl w:val="0"/>
        <w:kinsoku/>
        <w:wordWrap/>
        <w:overflowPunct/>
        <w:topLinePunct w:val="0"/>
        <w:autoSpaceDE/>
        <w:autoSpaceDN/>
        <w:bidi w:val="0"/>
        <w:adjustRightInd/>
        <w:snapToGrid/>
        <w:spacing w:line="400" w:lineRule="exact"/>
        <w:ind w:firstLine="480"/>
        <w:jc w:val="left"/>
        <w:textAlignment w:val="auto"/>
        <w:rPr>
          <w:rFonts w:ascii="仿宋" w:hAnsi="仿宋" w:eastAsia="仿宋" w:cs="仿宋"/>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w:t>
      </w:r>
      <w:r>
        <w:rPr>
          <w:rFonts w:hint="eastAsia" w:ascii="仿宋" w:hAnsi="仿宋" w:eastAsia="仿宋" w:cs="仿宋"/>
          <w:b/>
          <w:bCs/>
          <w:color w:val="auto"/>
          <w:highlight w:val="none"/>
        </w:rPr>
        <w:t>说明：所有认证、证明和业绩均以复印件/扫描件加盖公章作为依据（文件中明确要求原件的除外），原件标后备查。</w:t>
      </w:r>
    </w:p>
    <w:p w14:paraId="17BF7E41">
      <w:pPr>
        <w:spacing w:line="440" w:lineRule="exact"/>
        <w:outlineLvl w:val="2"/>
        <w:rPr>
          <w:rFonts w:ascii="仿宋" w:hAnsi="仿宋" w:eastAsia="仿宋" w:cs="仿宋"/>
          <w:b/>
          <w:highlight w:val="none"/>
        </w:rPr>
      </w:pPr>
      <w:r>
        <w:rPr>
          <w:rFonts w:hint="eastAsia" w:ascii="仿宋" w:hAnsi="仿宋" w:eastAsia="仿宋" w:cs="仿宋"/>
          <w:b/>
          <w:highlight w:val="none"/>
        </w:rPr>
        <w:br w:type="page" w:clear="all"/>
      </w:r>
      <w:r>
        <w:rPr>
          <w:rFonts w:hint="eastAsia" w:ascii="仿宋" w:hAnsi="仿宋" w:eastAsia="仿宋" w:cs="仿宋"/>
          <w:b/>
          <w:highlight w:val="none"/>
        </w:rPr>
        <w:t>综合评分表：</w:t>
      </w:r>
    </w:p>
    <w:tbl>
      <w:tblPr>
        <w:tblStyle w:val="35"/>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6"/>
        <w:gridCol w:w="875"/>
        <w:gridCol w:w="6075"/>
      </w:tblGrid>
      <w:tr w14:paraId="7859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50" w:type="dxa"/>
            <w:vAlign w:val="center"/>
          </w:tcPr>
          <w:p w14:paraId="36E2694E">
            <w:pPr>
              <w:jc w:val="center"/>
              <w:rPr>
                <w:rFonts w:hint="eastAsia" w:ascii="仿宋" w:hAnsi="仿宋" w:eastAsia="仿宋" w:cs="仿宋"/>
                <w:b/>
                <w:color w:val="auto"/>
                <w:highlight w:val="none"/>
              </w:rPr>
            </w:pPr>
            <w:r>
              <w:rPr>
                <w:rFonts w:hint="eastAsia" w:ascii="仿宋" w:hAnsi="仿宋" w:eastAsia="仿宋" w:cs="仿宋"/>
                <w:b/>
                <w:color w:val="auto"/>
                <w:highlight w:val="none"/>
              </w:rPr>
              <w:t>序号</w:t>
            </w:r>
          </w:p>
        </w:tc>
        <w:tc>
          <w:tcPr>
            <w:tcW w:w="1506" w:type="dxa"/>
            <w:vAlign w:val="center"/>
          </w:tcPr>
          <w:p w14:paraId="468E9A6C">
            <w:pPr>
              <w:jc w:val="center"/>
              <w:rPr>
                <w:rFonts w:hint="eastAsia" w:ascii="仿宋" w:hAnsi="仿宋" w:eastAsia="仿宋" w:cs="仿宋"/>
                <w:b/>
                <w:color w:val="auto"/>
                <w:highlight w:val="none"/>
              </w:rPr>
            </w:pPr>
            <w:r>
              <w:rPr>
                <w:rFonts w:hint="eastAsia" w:ascii="仿宋" w:hAnsi="仿宋" w:eastAsia="仿宋" w:cs="仿宋"/>
                <w:b/>
                <w:color w:val="auto"/>
                <w:highlight w:val="none"/>
              </w:rPr>
              <w:t>评分因素</w:t>
            </w:r>
          </w:p>
        </w:tc>
        <w:tc>
          <w:tcPr>
            <w:tcW w:w="875" w:type="dxa"/>
            <w:vAlign w:val="center"/>
          </w:tcPr>
          <w:p w14:paraId="437F0A84">
            <w:pPr>
              <w:jc w:val="center"/>
              <w:rPr>
                <w:rFonts w:hint="eastAsia" w:ascii="仿宋" w:hAnsi="仿宋" w:eastAsia="仿宋" w:cs="仿宋"/>
                <w:b/>
                <w:color w:val="auto"/>
                <w:highlight w:val="none"/>
              </w:rPr>
            </w:pPr>
            <w:r>
              <w:rPr>
                <w:rFonts w:hint="eastAsia" w:ascii="仿宋" w:hAnsi="仿宋" w:eastAsia="仿宋" w:cs="仿宋"/>
                <w:b/>
                <w:color w:val="auto"/>
                <w:highlight w:val="none"/>
              </w:rPr>
              <w:t>分值</w:t>
            </w:r>
          </w:p>
        </w:tc>
        <w:tc>
          <w:tcPr>
            <w:tcW w:w="6075" w:type="dxa"/>
            <w:vAlign w:val="center"/>
          </w:tcPr>
          <w:p w14:paraId="28ABE82E">
            <w:pPr>
              <w:jc w:val="center"/>
              <w:rPr>
                <w:rFonts w:hint="eastAsia" w:ascii="仿宋" w:hAnsi="仿宋" w:eastAsia="仿宋" w:cs="仿宋"/>
                <w:b/>
                <w:color w:val="auto"/>
                <w:highlight w:val="none"/>
              </w:rPr>
            </w:pPr>
            <w:r>
              <w:rPr>
                <w:rFonts w:hint="eastAsia" w:ascii="仿宋" w:hAnsi="仿宋" w:eastAsia="仿宋" w:cs="仿宋"/>
                <w:b/>
                <w:color w:val="auto"/>
                <w:highlight w:val="none"/>
              </w:rPr>
              <w:t>评分依据</w:t>
            </w:r>
          </w:p>
        </w:tc>
      </w:tr>
      <w:tr w14:paraId="149C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50" w:type="dxa"/>
            <w:vAlign w:val="center"/>
          </w:tcPr>
          <w:p w14:paraId="79FAEE61">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1506" w:type="dxa"/>
            <w:shd w:val="clear" w:color="auto" w:fill="auto"/>
            <w:vAlign w:val="center"/>
          </w:tcPr>
          <w:p w14:paraId="2C37323B">
            <w:pPr>
              <w:jc w:val="center"/>
              <w:rPr>
                <w:rFonts w:hint="eastAsia" w:ascii="仿宋" w:hAnsi="仿宋" w:eastAsia="仿宋" w:cs="仿宋"/>
                <w:color w:val="auto"/>
                <w:highlight w:val="none"/>
              </w:rPr>
            </w:pPr>
            <w:r>
              <w:rPr>
                <w:rFonts w:hint="eastAsia" w:ascii="仿宋" w:hAnsi="仿宋" w:eastAsia="仿宋" w:cs="仿宋"/>
                <w:color w:val="auto"/>
                <w:highlight w:val="none"/>
              </w:rPr>
              <w:t>价格</w:t>
            </w:r>
          </w:p>
        </w:tc>
        <w:tc>
          <w:tcPr>
            <w:tcW w:w="875" w:type="dxa"/>
            <w:vAlign w:val="center"/>
          </w:tcPr>
          <w:p w14:paraId="0B32EC8F">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分</w:t>
            </w:r>
          </w:p>
        </w:tc>
        <w:tc>
          <w:tcPr>
            <w:tcW w:w="6075" w:type="dxa"/>
            <w:vAlign w:val="center"/>
          </w:tcPr>
          <w:p w14:paraId="13A8DF71">
            <w:pPr>
              <w:rPr>
                <w:rFonts w:hint="eastAsia" w:ascii="仿宋" w:hAnsi="仿宋" w:eastAsia="仿宋" w:cs="仿宋"/>
                <w:color w:val="auto"/>
                <w:highlight w:val="none"/>
              </w:rPr>
            </w:pPr>
            <w:r>
              <w:rPr>
                <w:rFonts w:hint="eastAsia" w:ascii="仿宋" w:hAnsi="仿宋" w:eastAsia="仿宋" w:cs="仿宋"/>
                <w:bCs w:val="0"/>
                <w:color w:val="auto"/>
                <w:sz w:val="24"/>
                <w:szCs w:val="24"/>
                <w:highlight w:val="none"/>
              </w:rPr>
              <w:t>价格分采用低价优先法计算，即满足</w:t>
            </w:r>
            <w:r>
              <w:rPr>
                <w:rFonts w:hint="eastAsia" w:ascii="仿宋" w:hAnsi="仿宋" w:eastAsia="仿宋" w:cs="仿宋"/>
                <w:bCs w:val="0"/>
                <w:color w:val="auto"/>
                <w:sz w:val="24"/>
                <w:szCs w:val="24"/>
                <w:highlight w:val="none"/>
                <w:lang w:val="en-US" w:eastAsia="zh-CN"/>
              </w:rPr>
              <w:t>招标</w:t>
            </w:r>
            <w:r>
              <w:rPr>
                <w:rFonts w:hint="eastAsia" w:ascii="仿宋" w:hAnsi="仿宋" w:eastAsia="仿宋" w:cs="仿宋"/>
                <w:bCs w:val="0"/>
                <w:color w:val="auto"/>
                <w:sz w:val="24"/>
                <w:szCs w:val="24"/>
                <w:highlight w:val="none"/>
              </w:rPr>
              <w:t>文件要求且投标价格最低的投标报价为评标基准价，其价格分为满分。其他供应商的价格分按照下列公式计算，保留小数点后2位：投标报价得分=（评标基准价／投标报价）×</w:t>
            </w:r>
            <w:r>
              <w:rPr>
                <w:rFonts w:hint="eastAsia" w:ascii="仿宋" w:hAnsi="仿宋" w:eastAsia="仿宋" w:cs="仿宋"/>
                <w:bCs w:val="0"/>
                <w:color w:val="auto"/>
                <w:sz w:val="24"/>
                <w:szCs w:val="24"/>
                <w:highlight w:val="none"/>
                <w:lang w:val="en-US" w:eastAsia="zh-CN"/>
              </w:rPr>
              <w:t>30</w:t>
            </w:r>
            <w:r>
              <w:rPr>
                <w:rFonts w:hint="eastAsia" w:ascii="仿宋" w:hAnsi="仿宋" w:eastAsia="仿宋" w:cs="仿宋"/>
                <w:bCs w:val="0"/>
                <w:color w:val="auto"/>
                <w:sz w:val="24"/>
                <w:szCs w:val="24"/>
                <w:highlight w:val="none"/>
              </w:rPr>
              <w:t>。</w:t>
            </w:r>
          </w:p>
        </w:tc>
      </w:tr>
      <w:tr w14:paraId="629C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50" w:type="dxa"/>
            <w:vAlign w:val="center"/>
          </w:tcPr>
          <w:p w14:paraId="72E4A3FC">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1506" w:type="dxa"/>
            <w:shd w:val="clear" w:color="auto" w:fill="auto"/>
            <w:vAlign w:val="center"/>
          </w:tcPr>
          <w:p w14:paraId="7C1E0A36">
            <w:pPr>
              <w:jc w:val="center"/>
              <w:rPr>
                <w:rFonts w:hint="eastAsia" w:ascii="仿宋" w:hAnsi="仿宋" w:eastAsia="仿宋" w:cs="仿宋"/>
                <w:color w:val="auto"/>
                <w:highlight w:val="none"/>
              </w:rPr>
            </w:pPr>
            <w:r>
              <w:rPr>
                <w:rFonts w:hint="eastAsia" w:ascii="仿宋" w:hAnsi="仿宋" w:eastAsia="仿宋" w:cs="仿宋"/>
                <w:color w:val="auto"/>
                <w:highlight w:val="none"/>
              </w:rPr>
              <w:t>需求响应</w:t>
            </w:r>
          </w:p>
        </w:tc>
        <w:tc>
          <w:tcPr>
            <w:tcW w:w="875" w:type="dxa"/>
            <w:vAlign w:val="center"/>
          </w:tcPr>
          <w:p w14:paraId="44C4D45E">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34</w:t>
            </w:r>
            <w:r>
              <w:rPr>
                <w:rFonts w:hint="eastAsia" w:ascii="仿宋" w:hAnsi="仿宋" w:eastAsia="仿宋" w:cs="仿宋"/>
                <w:color w:val="auto"/>
                <w:highlight w:val="none"/>
              </w:rPr>
              <w:t>分</w:t>
            </w:r>
          </w:p>
        </w:tc>
        <w:tc>
          <w:tcPr>
            <w:tcW w:w="6075" w:type="dxa"/>
            <w:vAlign w:val="center"/>
          </w:tcPr>
          <w:p w14:paraId="2C49EB4A">
            <w:pPr>
              <w:rPr>
                <w:rFonts w:hint="eastAsia" w:ascii="仿宋" w:hAnsi="仿宋" w:eastAsia="仿宋" w:cs="仿宋"/>
                <w:color w:val="auto"/>
                <w:highlight w:val="none"/>
              </w:rPr>
            </w:pPr>
            <w:r>
              <w:rPr>
                <w:rFonts w:hint="eastAsia" w:ascii="仿宋" w:hAnsi="仿宋" w:eastAsia="仿宋" w:cs="仿宋"/>
                <w:color w:val="auto"/>
                <w:highlight w:val="none"/>
              </w:rPr>
              <w:t>完全满足招标文件第四部分采购需求二、技术参数</w:t>
            </w:r>
            <w:r>
              <w:rPr>
                <w:rFonts w:hint="eastAsia" w:ascii="仿宋" w:hAnsi="仿宋" w:eastAsia="仿宋" w:cs="仿宋"/>
                <w:color w:val="auto"/>
                <w:highlight w:val="none"/>
                <w:lang w:val="en-US" w:eastAsia="zh-CN"/>
              </w:rPr>
              <w:t>中2.项目要求</w:t>
            </w:r>
            <w:r>
              <w:rPr>
                <w:rFonts w:hint="eastAsia" w:ascii="仿宋" w:hAnsi="仿宋" w:eastAsia="仿宋" w:cs="仿宋"/>
                <w:color w:val="auto"/>
                <w:highlight w:val="none"/>
              </w:rPr>
              <w:t>的得满分，★参数为核心参数，每负偏离一项视为无效文件；▲参数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需提供软件界面截图</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为重要参数，每负偏离一项扣</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分；其余为一般项参数，每负偏离一项扣0.1分。</w:t>
            </w:r>
          </w:p>
          <w:p w14:paraId="7D9C3CF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注：1.一个序号中的完整内容为一“项”；</w:t>
            </w:r>
          </w:p>
          <w:p w14:paraId="42F4305C">
            <w:pPr>
              <w:rPr>
                <w:rFonts w:hint="eastAsia" w:ascii="仿宋" w:hAnsi="仿宋" w:eastAsia="仿宋" w:cs="仿宋"/>
                <w:color w:val="auto"/>
                <w:highlight w:val="none"/>
              </w:rPr>
            </w:pPr>
            <w:r>
              <w:rPr>
                <w:rFonts w:hint="eastAsia" w:ascii="仿宋" w:hAnsi="仿宋" w:eastAsia="仿宋" w:cs="仿宋"/>
                <w:color w:val="auto"/>
                <w:highlight w:val="none"/>
              </w:rPr>
              <w:t>2.技术参数须按要求在投标文件中提供证明文件等相关材料，且均需在技术响应偏差表详尽真实</w:t>
            </w:r>
            <w:r>
              <w:rPr>
                <w:rFonts w:hint="eastAsia" w:ascii="仿宋" w:hAnsi="仿宋" w:eastAsia="仿宋" w:cs="仿宋"/>
                <w:color w:val="auto"/>
                <w:highlight w:val="none"/>
                <w:lang w:eastAsia="zh-CN"/>
              </w:rPr>
              <w:t>地</w:t>
            </w:r>
            <w:r>
              <w:rPr>
                <w:rFonts w:hint="eastAsia" w:ascii="仿宋" w:hAnsi="仿宋" w:eastAsia="仿宋" w:cs="仿宋"/>
                <w:color w:val="auto"/>
                <w:highlight w:val="none"/>
              </w:rPr>
              <w:t>提供偏差情况及证明材料页码，否则视为负偏离。</w:t>
            </w:r>
          </w:p>
        </w:tc>
      </w:tr>
      <w:tr w14:paraId="7F26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50" w:type="dxa"/>
            <w:vAlign w:val="center"/>
          </w:tcPr>
          <w:p w14:paraId="772B2B43">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1506" w:type="dxa"/>
            <w:shd w:val="clear" w:color="auto" w:fill="auto"/>
            <w:vAlign w:val="center"/>
          </w:tcPr>
          <w:p w14:paraId="73A6E3A0">
            <w:pPr>
              <w:jc w:val="center"/>
              <w:rPr>
                <w:rFonts w:hint="eastAsia" w:ascii="仿宋" w:hAnsi="仿宋" w:eastAsia="仿宋" w:cs="仿宋"/>
                <w:color w:val="auto"/>
                <w:highlight w:val="none"/>
              </w:rPr>
            </w:pPr>
            <w:r>
              <w:rPr>
                <w:rFonts w:hint="eastAsia" w:ascii="仿宋" w:hAnsi="仿宋" w:eastAsia="仿宋" w:cs="仿宋"/>
                <w:color w:val="auto"/>
                <w:highlight w:val="none"/>
              </w:rPr>
              <w:t>产品资质</w:t>
            </w:r>
          </w:p>
        </w:tc>
        <w:tc>
          <w:tcPr>
            <w:tcW w:w="875" w:type="dxa"/>
            <w:shd w:val="clear" w:color="auto" w:fill="auto"/>
            <w:vAlign w:val="center"/>
          </w:tcPr>
          <w:p w14:paraId="0C98FE10">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4分</w:t>
            </w:r>
          </w:p>
        </w:tc>
        <w:tc>
          <w:tcPr>
            <w:tcW w:w="6075" w:type="dxa"/>
            <w:shd w:val="clear" w:color="auto" w:fill="auto"/>
            <w:vAlign w:val="center"/>
          </w:tcPr>
          <w:p w14:paraId="1B5AA53D">
            <w:pPr>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具有本次招标系统软件著作权的（具有“DRG</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关键字、</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结算清单”关键字），每个得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分，最高得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w:t>
            </w:r>
          </w:p>
          <w:p w14:paraId="6512E8E0">
            <w:pPr>
              <w:rPr>
                <w:rFonts w:hint="eastAsia" w:ascii="仿宋" w:hAnsi="仿宋" w:eastAsia="仿宋" w:cs="仿宋"/>
                <w:color w:val="auto"/>
                <w:highlight w:val="none"/>
              </w:rPr>
            </w:pPr>
            <w:r>
              <w:rPr>
                <w:rFonts w:hint="eastAsia" w:ascii="仿宋" w:hAnsi="仿宋" w:eastAsia="仿宋" w:cs="仿宋"/>
                <w:color w:val="auto"/>
                <w:kern w:val="0"/>
                <w:sz w:val="24"/>
                <w:highlight w:val="none"/>
                <w:lang w:eastAsia="zh-CN"/>
              </w:rPr>
              <w:t>提供计算机软件著作权登记证书</w:t>
            </w:r>
            <w:r>
              <w:rPr>
                <w:rFonts w:hint="eastAsia" w:ascii="仿宋" w:hAnsi="仿宋" w:eastAsia="仿宋" w:cs="仿宋"/>
                <w:color w:val="auto"/>
                <w:kern w:val="0"/>
                <w:sz w:val="24"/>
                <w:highlight w:val="none"/>
                <w:lang w:val="en-US" w:eastAsia="zh-CN"/>
              </w:rPr>
              <w:t>复印件，并加盖公章；若为授权使用，须提交相应的授权书。</w:t>
            </w:r>
          </w:p>
          <w:p w14:paraId="00BCBEC9">
            <w:pP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为确保信息标准化、互联互通，数字基础设施国产化是医院信息化建设的战略共识，为护航医院数字化转型，供应商所投产品应与</w:t>
            </w:r>
            <w:r>
              <w:rPr>
                <w:rFonts w:hint="eastAsia" w:ascii="仿宋" w:hAnsi="仿宋" w:eastAsia="仿宋" w:cs="仿宋"/>
                <w:color w:val="auto"/>
                <w:highlight w:val="none"/>
                <w:lang w:val="en-US" w:eastAsia="zh-CN"/>
              </w:rPr>
              <w:t>主要的</w:t>
            </w:r>
            <w:r>
              <w:rPr>
                <w:rFonts w:hint="eastAsia" w:ascii="仿宋" w:hAnsi="仿宋" w:eastAsia="仿宋" w:cs="仿宋"/>
                <w:color w:val="auto"/>
                <w:highlight w:val="none"/>
              </w:rPr>
              <w:t>国产化操作系统和数据库具有良好的兼容性。</w:t>
            </w:r>
          </w:p>
          <w:p w14:paraId="12F8C91C">
            <w:pPr>
              <w:rPr>
                <w:rFonts w:hint="eastAsia" w:ascii="仿宋" w:hAnsi="仿宋" w:eastAsia="仿宋" w:cs="仿宋"/>
                <w:color w:val="auto"/>
                <w:highlight w:val="none"/>
              </w:rPr>
            </w:pPr>
            <w:r>
              <w:rPr>
                <w:rFonts w:hint="eastAsia" w:ascii="仿宋" w:hAnsi="仿宋" w:eastAsia="仿宋" w:cs="仿宋"/>
                <w:color w:val="auto"/>
                <w:highlight w:val="none"/>
              </w:rPr>
              <w:t>供应商所投产品具备与</w:t>
            </w:r>
            <w:r>
              <w:rPr>
                <w:rFonts w:hint="eastAsia" w:ascii="仿宋" w:hAnsi="仿宋" w:eastAsia="仿宋" w:cs="仿宋"/>
                <w:color w:val="auto"/>
                <w:highlight w:val="none"/>
                <w:lang w:val="en-US" w:eastAsia="zh-CN"/>
              </w:rPr>
              <w:t>主流的</w:t>
            </w:r>
            <w:r>
              <w:rPr>
                <w:rFonts w:hint="eastAsia" w:ascii="仿宋" w:hAnsi="仿宋" w:eastAsia="仿宋" w:cs="仿宋"/>
                <w:color w:val="auto"/>
                <w:highlight w:val="none"/>
              </w:rPr>
              <w:t>国产化操作系统和数据库兼容性互认，并具有认证证书的，每提供1份得0.5分，满分</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w:t>
            </w:r>
          </w:p>
          <w:p w14:paraId="6172E684">
            <w:pPr>
              <w:rPr>
                <w:rFonts w:hint="eastAsia" w:ascii="仿宋" w:hAnsi="仿宋" w:eastAsia="仿宋" w:cs="仿宋"/>
                <w:color w:val="auto"/>
                <w:highlight w:val="yellow"/>
              </w:rPr>
            </w:pPr>
            <w:r>
              <w:rPr>
                <w:rFonts w:hint="eastAsia" w:ascii="仿宋" w:hAnsi="仿宋" w:eastAsia="仿宋" w:cs="仿宋"/>
                <w:color w:val="auto"/>
                <w:highlight w:val="none"/>
              </w:rPr>
              <w:t>注：不同产品但是同一厂商认证的证书不重复计分。须提供证书复印件并加盖供应商公章，未提供不得分。</w:t>
            </w:r>
          </w:p>
        </w:tc>
      </w:tr>
      <w:tr w14:paraId="6E10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shd w:val="clear" w:color="auto" w:fill="auto"/>
            <w:vAlign w:val="center"/>
          </w:tcPr>
          <w:p w14:paraId="7E67E58A">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1506" w:type="dxa"/>
            <w:shd w:val="clear" w:color="auto" w:fill="auto"/>
            <w:vAlign w:val="center"/>
          </w:tcPr>
          <w:p w14:paraId="015DE2B3">
            <w:pPr>
              <w:jc w:val="center"/>
              <w:rPr>
                <w:rFonts w:hint="eastAsia" w:ascii="仿宋" w:hAnsi="仿宋" w:eastAsia="仿宋" w:cs="仿宋"/>
                <w:color w:val="auto"/>
                <w:highlight w:val="none"/>
              </w:rPr>
            </w:pPr>
            <w:r>
              <w:rPr>
                <w:rFonts w:hint="eastAsia" w:ascii="仿宋" w:hAnsi="仿宋" w:eastAsia="仿宋" w:cs="仿宋"/>
                <w:color w:val="auto"/>
                <w:highlight w:val="none"/>
              </w:rPr>
              <w:t>供应商实力</w:t>
            </w:r>
          </w:p>
        </w:tc>
        <w:tc>
          <w:tcPr>
            <w:tcW w:w="875" w:type="dxa"/>
            <w:shd w:val="clear" w:color="auto" w:fill="auto"/>
            <w:vAlign w:val="center"/>
          </w:tcPr>
          <w:p w14:paraId="7D10B771">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2分</w:t>
            </w:r>
          </w:p>
        </w:tc>
        <w:tc>
          <w:tcPr>
            <w:tcW w:w="6075" w:type="dxa"/>
            <w:shd w:val="clear" w:color="auto" w:fill="auto"/>
            <w:vAlign w:val="center"/>
          </w:tcPr>
          <w:p w14:paraId="0F86B9BB">
            <w:pPr>
              <w:rPr>
                <w:rFonts w:hint="eastAsia" w:ascii="仿宋" w:hAnsi="仿宋" w:eastAsia="仿宋" w:cs="仿宋"/>
                <w:color w:val="auto"/>
                <w:highlight w:val="yellow"/>
              </w:rPr>
            </w:pPr>
            <w:r>
              <w:rPr>
                <w:rFonts w:hint="eastAsia" w:ascii="仿宋" w:hAnsi="仿宋" w:eastAsia="仿宋" w:cs="仿宋"/>
                <w:color w:val="auto"/>
                <w:highlight w:val="none"/>
              </w:rPr>
              <w:t>供应商具备配套的ETL工具，提供所需接口，确保各种临床和管理应用效果的配置扩展实现。供应商所采用的应用工具</w:t>
            </w:r>
            <w:r>
              <w:rPr>
                <w:rFonts w:hint="eastAsia" w:ascii="仿宋" w:hAnsi="仿宋" w:eastAsia="仿宋" w:cs="仿宋"/>
                <w:color w:val="auto"/>
                <w:highlight w:val="none"/>
                <w:lang w:val="en-US" w:eastAsia="zh-CN"/>
              </w:rPr>
              <w:t>证明，</w:t>
            </w:r>
            <w:r>
              <w:rPr>
                <w:rFonts w:hint="eastAsia" w:ascii="仿宋" w:hAnsi="仿宋" w:eastAsia="仿宋" w:cs="仿宋"/>
                <w:color w:val="auto"/>
                <w:highlight w:val="none"/>
              </w:rPr>
              <w:t>提供医疗数据ETL系统和ETL管理工具软件的资质证书或软著，每提供1个得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分，共</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w:t>
            </w:r>
            <w:r>
              <w:rPr>
                <w:rFonts w:hint="eastAsia" w:ascii="仿宋" w:hAnsi="仿宋" w:eastAsia="仿宋" w:cs="仿宋"/>
                <w:color w:val="auto"/>
                <w:highlight w:val="none"/>
                <w:lang w:val="en-US" w:eastAsia="zh-CN"/>
              </w:rPr>
              <w:t>提供</w:t>
            </w:r>
            <w:r>
              <w:rPr>
                <w:rFonts w:hint="eastAsia" w:ascii="仿宋" w:hAnsi="仿宋" w:eastAsia="仿宋" w:cs="仿宋"/>
                <w:color w:val="auto"/>
                <w:kern w:val="0"/>
                <w:sz w:val="24"/>
                <w:highlight w:val="none"/>
                <w:lang w:val="en-US" w:eastAsia="zh-CN"/>
              </w:rPr>
              <w:t>复印件并加盖公章；若为授权使用，须提交相应的授权书。</w:t>
            </w:r>
          </w:p>
        </w:tc>
      </w:tr>
      <w:tr w14:paraId="655FC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vAlign w:val="center"/>
          </w:tcPr>
          <w:p w14:paraId="547F8562">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1506" w:type="dxa"/>
            <w:shd w:val="clear" w:color="auto" w:fill="auto"/>
            <w:vAlign w:val="center"/>
          </w:tcPr>
          <w:p w14:paraId="397A0663">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项目组成员</w:t>
            </w:r>
          </w:p>
        </w:tc>
        <w:tc>
          <w:tcPr>
            <w:tcW w:w="875" w:type="dxa"/>
            <w:vAlign w:val="center"/>
          </w:tcPr>
          <w:p w14:paraId="314C1BED">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8分</w:t>
            </w:r>
          </w:p>
        </w:tc>
        <w:tc>
          <w:tcPr>
            <w:tcW w:w="6075" w:type="dxa"/>
            <w:vAlign w:val="center"/>
          </w:tcPr>
          <w:p w14:paraId="2D864886">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项目经理</w:t>
            </w:r>
          </w:p>
          <w:p w14:paraId="0E7A366F">
            <w:pPr>
              <w:rPr>
                <w:rFonts w:hint="eastAsia" w:ascii="仿宋" w:hAnsi="仿宋" w:eastAsia="仿宋" w:cs="仿宋"/>
                <w:color w:val="auto"/>
                <w:highlight w:val="none"/>
                <w:lang w:eastAsia="zh-CN"/>
              </w:rPr>
            </w:pPr>
            <w:r>
              <w:rPr>
                <w:rFonts w:hint="eastAsia" w:ascii="仿宋" w:hAnsi="仿宋" w:eastAsia="仿宋" w:cs="仿宋"/>
                <w:color w:val="auto"/>
                <w:highlight w:val="none"/>
              </w:rPr>
              <w:t>具备</w:t>
            </w:r>
            <w:r>
              <w:rPr>
                <w:rFonts w:hint="eastAsia" w:ascii="仿宋" w:hAnsi="仿宋" w:eastAsia="仿宋" w:cs="仿宋"/>
                <w:i w:val="0"/>
                <w:iCs w:val="0"/>
                <w:caps w:val="0"/>
                <w:color w:val="auto"/>
                <w:spacing w:val="0"/>
                <w:sz w:val="24"/>
                <w:szCs w:val="24"/>
                <w:highlight w:val="none"/>
                <w:shd w:val="clear"/>
              </w:rPr>
              <w:t>计算机软件考试</w:t>
            </w:r>
            <w:r>
              <w:rPr>
                <w:rFonts w:hint="eastAsia" w:ascii="仿宋" w:hAnsi="仿宋" w:eastAsia="仿宋" w:cs="仿宋"/>
                <w:i w:val="0"/>
                <w:iCs w:val="0"/>
                <w:caps w:val="0"/>
                <w:color w:val="auto"/>
                <w:spacing w:val="0"/>
                <w:sz w:val="24"/>
                <w:szCs w:val="24"/>
                <w:highlight w:val="none"/>
                <w:shd w:val="clear"/>
                <w:lang w:val="en-US" w:eastAsia="zh-CN"/>
              </w:rPr>
              <w:t>中级（软件评测师、软件设计师、</w:t>
            </w:r>
            <w:r>
              <w:rPr>
                <w:rFonts w:hint="eastAsia" w:ascii="仿宋" w:hAnsi="仿宋" w:eastAsia="仿宋" w:cs="仿宋"/>
                <w:color w:val="auto"/>
                <w:highlight w:val="none"/>
              </w:rPr>
              <w:t>数据库系统工程师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信息系统管理工程师</w:t>
            </w:r>
            <w:r>
              <w:rPr>
                <w:rFonts w:hint="eastAsia" w:ascii="仿宋" w:hAnsi="仿宋" w:eastAsia="仿宋" w:cs="仿宋"/>
                <w:i w:val="0"/>
                <w:iCs w:val="0"/>
                <w:caps w:val="0"/>
                <w:color w:val="auto"/>
                <w:spacing w:val="0"/>
                <w:sz w:val="24"/>
                <w:szCs w:val="24"/>
                <w:highlight w:val="none"/>
                <w:shd w:val="clear"/>
                <w:lang w:val="en-US" w:eastAsia="zh-CN"/>
              </w:rPr>
              <w:t>）的得2分，具备</w:t>
            </w:r>
            <w:r>
              <w:rPr>
                <w:rFonts w:hint="eastAsia" w:ascii="仿宋" w:hAnsi="仿宋" w:eastAsia="仿宋" w:cs="仿宋"/>
                <w:color w:val="auto"/>
                <w:highlight w:val="none"/>
              </w:rPr>
              <w:t>高级</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信息系统项目管理师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系统规划与管理师</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证书</w:t>
            </w:r>
            <w:r>
              <w:rPr>
                <w:rFonts w:hint="eastAsia" w:ascii="仿宋" w:hAnsi="仿宋" w:eastAsia="仿宋" w:cs="仿宋"/>
                <w:color w:val="auto"/>
                <w:highlight w:val="none"/>
                <w:lang w:val="en-US" w:eastAsia="zh-CN"/>
              </w:rPr>
              <w:t>的，</w:t>
            </w:r>
            <w:r>
              <w:rPr>
                <w:rFonts w:hint="eastAsia" w:ascii="仿宋" w:hAnsi="仿宋" w:eastAsia="仿宋" w:cs="仿宋"/>
                <w:color w:val="auto"/>
                <w:highlight w:val="none"/>
              </w:rPr>
              <w:t>得</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不提供或证明材料不全不得分</w:t>
            </w:r>
            <w:r>
              <w:rPr>
                <w:rFonts w:hint="eastAsia" w:ascii="仿宋" w:hAnsi="仿宋" w:eastAsia="仿宋" w:cs="仿宋"/>
                <w:color w:val="auto"/>
                <w:highlight w:val="none"/>
                <w:lang w:eastAsia="zh-CN"/>
              </w:rPr>
              <w:t>；</w:t>
            </w:r>
          </w:p>
          <w:p w14:paraId="138DE1F5">
            <w:pPr>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数据分析人员</w:t>
            </w:r>
          </w:p>
          <w:p w14:paraId="2A5EE9AC">
            <w:pPr>
              <w:rPr>
                <w:rFonts w:hint="eastAsia" w:ascii="仿宋" w:hAnsi="仿宋" w:eastAsia="仿宋" w:cs="仿宋"/>
                <w:color w:val="auto"/>
                <w:highlight w:val="none"/>
                <w:lang w:eastAsia="zh-CN"/>
              </w:rPr>
            </w:pPr>
            <w:r>
              <w:rPr>
                <w:rFonts w:hint="eastAsia" w:ascii="仿宋" w:hAnsi="仿宋" w:eastAsia="仿宋" w:cs="仿宋"/>
                <w:color w:val="auto"/>
                <w:highlight w:val="none"/>
              </w:rPr>
              <w:t>具有统计专业技术资格中级</w:t>
            </w:r>
            <w:r>
              <w:rPr>
                <w:rFonts w:hint="eastAsia" w:ascii="仿宋" w:hAnsi="仿宋" w:eastAsia="仿宋" w:cs="仿宋"/>
                <w:color w:val="auto"/>
                <w:highlight w:val="none"/>
                <w:lang w:val="en-US" w:eastAsia="zh-CN"/>
              </w:rPr>
              <w:t>或以上</w:t>
            </w:r>
            <w:r>
              <w:rPr>
                <w:rFonts w:hint="eastAsia" w:ascii="仿宋" w:hAnsi="仿宋" w:eastAsia="仿宋" w:cs="仿宋"/>
                <w:color w:val="auto"/>
                <w:highlight w:val="none"/>
              </w:rPr>
              <w:t>证书的</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w:t>
            </w:r>
            <w:r>
              <w:rPr>
                <w:rFonts w:hint="eastAsia" w:ascii="仿宋" w:hAnsi="仿宋" w:eastAsia="仿宋" w:cs="仿宋"/>
                <w:color w:val="auto"/>
                <w:highlight w:val="none"/>
                <w:lang w:eastAsia="zh-CN"/>
              </w:rPr>
              <w:t>；</w:t>
            </w:r>
          </w:p>
          <w:p w14:paraId="4F14691C">
            <w:pPr>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软件设计人员</w:t>
            </w:r>
          </w:p>
          <w:p w14:paraId="1E8A663D">
            <w:pPr>
              <w:rPr>
                <w:rFonts w:hint="eastAsia" w:ascii="仿宋" w:hAnsi="仿宋" w:eastAsia="仿宋" w:cs="仿宋"/>
                <w:color w:val="auto"/>
                <w:highlight w:val="yellow"/>
              </w:rPr>
            </w:pPr>
            <w:r>
              <w:rPr>
                <w:rFonts w:hint="eastAsia" w:ascii="仿宋" w:hAnsi="仿宋" w:eastAsia="仿宋" w:cs="仿宋"/>
                <w:color w:val="auto"/>
                <w:highlight w:val="none"/>
              </w:rPr>
              <w:t>具备</w:t>
            </w:r>
            <w:r>
              <w:rPr>
                <w:rFonts w:hint="eastAsia" w:ascii="仿宋" w:hAnsi="仿宋" w:eastAsia="仿宋" w:cs="仿宋"/>
                <w:i w:val="0"/>
                <w:iCs w:val="0"/>
                <w:caps w:val="0"/>
                <w:color w:val="auto"/>
                <w:spacing w:val="0"/>
                <w:sz w:val="24"/>
                <w:szCs w:val="24"/>
                <w:highlight w:val="none"/>
                <w:shd w:val="clear"/>
              </w:rPr>
              <w:t>计算机软件考试</w:t>
            </w:r>
            <w:r>
              <w:rPr>
                <w:rFonts w:hint="eastAsia" w:ascii="仿宋" w:hAnsi="仿宋" w:eastAsia="仿宋" w:cs="仿宋"/>
                <w:i w:val="0"/>
                <w:iCs w:val="0"/>
                <w:caps w:val="0"/>
                <w:color w:val="auto"/>
                <w:spacing w:val="0"/>
                <w:sz w:val="24"/>
                <w:szCs w:val="24"/>
                <w:highlight w:val="none"/>
                <w:shd w:val="clear"/>
                <w:lang w:val="en-US" w:eastAsia="zh-CN"/>
              </w:rPr>
              <w:t>中级（软件评测师、软件设计师、</w:t>
            </w:r>
            <w:r>
              <w:rPr>
                <w:rFonts w:hint="eastAsia" w:ascii="仿宋" w:hAnsi="仿宋" w:eastAsia="仿宋" w:cs="仿宋"/>
                <w:color w:val="auto"/>
                <w:highlight w:val="none"/>
              </w:rPr>
              <w:t>数据库系统工程师</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信息系统管理工程师</w:t>
            </w:r>
            <w:r>
              <w:rPr>
                <w:rFonts w:hint="eastAsia" w:ascii="仿宋" w:hAnsi="仿宋" w:eastAsia="仿宋" w:cs="仿宋"/>
                <w:i w:val="0"/>
                <w:iCs w:val="0"/>
                <w:caps w:val="0"/>
                <w:color w:val="auto"/>
                <w:spacing w:val="0"/>
                <w:sz w:val="24"/>
                <w:szCs w:val="24"/>
                <w:highlight w:val="none"/>
                <w:shd w:val="clear"/>
                <w:lang w:val="en-US" w:eastAsia="zh-CN"/>
              </w:rPr>
              <w:t>）的得2分。</w:t>
            </w:r>
            <w:r>
              <w:rPr>
                <w:rFonts w:hint="eastAsia" w:ascii="仿宋" w:hAnsi="仿宋" w:eastAsia="仿宋" w:cs="仿宋"/>
                <w:color w:val="auto"/>
                <w:highlight w:val="none"/>
              </w:rPr>
              <w:t>（须提供符合上述要求人员的相关证书复印件及近</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个月内在本单位参保的社保缴费证明，</w:t>
            </w:r>
            <w:r>
              <w:rPr>
                <w:rFonts w:hint="eastAsia" w:ascii="仿宋" w:hAnsi="仿宋" w:eastAsia="仿宋" w:cs="仿宋"/>
                <w:color w:val="auto"/>
                <w:highlight w:val="none"/>
                <w:lang w:val="en-US" w:eastAsia="zh-CN"/>
              </w:rPr>
              <w:t>同一人具有多个证书</w:t>
            </w:r>
            <w:r>
              <w:rPr>
                <w:rFonts w:hint="eastAsia" w:ascii="仿宋" w:hAnsi="仿宋" w:eastAsia="仿宋" w:cs="仿宋"/>
                <w:color w:val="auto"/>
                <w:highlight w:val="none"/>
              </w:rPr>
              <w:t>不重复计分）</w:t>
            </w:r>
          </w:p>
        </w:tc>
      </w:tr>
      <w:tr w14:paraId="60B4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vAlign w:val="center"/>
          </w:tcPr>
          <w:p w14:paraId="7DEE6254">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506" w:type="dxa"/>
            <w:shd w:val="clear" w:color="auto" w:fill="auto"/>
            <w:vAlign w:val="center"/>
          </w:tcPr>
          <w:p w14:paraId="208AC474">
            <w:pPr>
              <w:jc w:val="center"/>
              <w:rPr>
                <w:rFonts w:hint="eastAsia" w:ascii="仿宋" w:hAnsi="仿宋" w:eastAsia="仿宋" w:cs="仿宋"/>
                <w:color w:val="auto"/>
                <w:highlight w:val="yellow"/>
                <w:lang w:val="en-US" w:eastAsia="zh-CN"/>
              </w:rPr>
            </w:pPr>
            <w:r>
              <w:rPr>
                <w:rFonts w:hint="eastAsia" w:ascii="仿宋" w:hAnsi="仿宋" w:eastAsia="仿宋" w:cs="仿宋"/>
                <w:color w:val="auto"/>
                <w:highlight w:val="none"/>
                <w:lang w:val="en-US" w:eastAsia="zh-CN"/>
              </w:rPr>
              <w:t>技术方案</w:t>
            </w:r>
          </w:p>
        </w:tc>
        <w:tc>
          <w:tcPr>
            <w:tcW w:w="875" w:type="dxa"/>
            <w:vAlign w:val="center"/>
          </w:tcPr>
          <w:p w14:paraId="356E9584">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5分</w:t>
            </w:r>
          </w:p>
        </w:tc>
        <w:tc>
          <w:tcPr>
            <w:tcW w:w="6075" w:type="dxa"/>
            <w:vAlign w:val="center"/>
          </w:tcPr>
          <w:p w14:paraId="2461017A">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根据本项目制定</w:t>
            </w:r>
            <w:r>
              <w:rPr>
                <w:rFonts w:hint="eastAsia" w:ascii="仿宋" w:hAnsi="仿宋" w:eastAsia="仿宋" w:cs="仿宋"/>
                <w:color w:val="auto"/>
                <w:highlight w:val="none"/>
              </w:rPr>
              <w:t>技术方案，包括但不限于技术方案总体设计、DRG数据中心、应用中心、接口方案、建设方案等，详细阐述系统的体系架构、实现思路和非功能性设计、安全设计、对项目需求分析、总体实现流程、功能模块等。</w:t>
            </w:r>
          </w:p>
          <w:p w14:paraId="0E95A50C">
            <w:pPr>
              <w:rPr>
                <w:rFonts w:hint="eastAsia" w:ascii="仿宋" w:hAnsi="仿宋" w:eastAsia="仿宋" w:cs="仿宋"/>
                <w:color w:val="auto"/>
                <w:highlight w:val="none"/>
              </w:rPr>
            </w:pPr>
            <w:r>
              <w:rPr>
                <w:rFonts w:hint="eastAsia" w:ascii="仿宋" w:hAnsi="仿宋" w:eastAsia="仿宋" w:cs="仿宋"/>
                <w:color w:val="auto"/>
                <w:highlight w:val="none"/>
              </w:rPr>
              <w:t>方案内容完整全面，思路清晰，体系架构合理，设计思路</w:t>
            </w:r>
            <w:r>
              <w:rPr>
                <w:rFonts w:hint="eastAsia" w:ascii="仿宋" w:hAnsi="仿宋" w:eastAsia="仿宋" w:cs="仿宋"/>
                <w:color w:val="auto"/>
                <w:highlight w:val="none"/>
                <w:lang w:val="en-US" w:eastAsia="zh-CN"/>
              </w:rPr>
              <w:t>优于</w:t>
            </w:r>
            <w:r>
              <w:rPr>
                <w:rFonts w:hint="eastAsia" w:ascii="仿宋" w:hAnsi="仿宋" w:eastAsia="仿宋" w:cs="仿宋"/>
                <w:color w:val="auto"/>
                <w:highlight w:val="none"/>
              </w:rPr>
              <w:t>采购需求，得5分；方案内容较完整，思路</w:t>
            </w:r>
            <w:r>
              <w:rPr>
                <w:rFonts w:hint="eastAsia" w:ascii="仿宋" w:hAnsi="仿宋" w:eastAsia="仿宋" w:cs="仿宋"/>
                <w:color w:val="auto"/>
                <w:highlight w:val="none"/>
                <w:lang w:val="en-US" w:eastAsia="zh-CN"/>
              </w:rPr>
              <w:t>较</w:t>
            </w:r>
            <w:r>
              <w:rPr>
                <w:rFonts w:hint="eastAsia" w:ascii="仿宋" w:hAnsi="仿宋" w:eastAsia="仿宋" w:cs="仿宋"/>
                <w:color w:val="auto"/>
                <w:highlight w:val="none"/>
              </w:rPr>
              <w:t>清晰，体系架构</w:t>
            </w:r>
            <w:r>
              <w:rPr>
                <w:rFonts w:hint="eastAsia" w:ascii="仿宋" w:hAnsi="仿宋" w:eastAsia="仿宋" w:cs="仿宋"/>
                <w:color w:val="auto"/>
                <w:highlight w:val="none"/>
                <w:lang w:val="en-US" w:eastAsia="zh-CN"/>
              </w:rPr>
              <w:t>较</w:t>
            </w:r>
            <w:r>
              <w:rPr>
                <w:rFonts w:hint="eastAsia" w:ascii="仿宋" w:hAnsi="仿宋" w:eastAsia="仿宋" w:cs="仿宋"/>
                <w:color w:val="auto"/>
                <w:highlight w:val="none"/>
              </w:rPr>
              <w:t>合理，设计思路符合采购需求，得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分；方案内容</w:t>
            </w:r>
            <w:r>
              <w:rPr>
                <w:rFonts w:hint="eastAsia" w:ascii="仿宋" w:hAnsi="仿宋" w:eastAsia="仿宋" w:cs="仿宋"/>
                <w:color w:val="auto"/>
                <w:highlight w:val="none"/>
                <w:lang w:val="en-US" w:eastAsia="zh-CN"/>
              </w:rPr>
              <w:t>不太</w:t>
            </w:r>
            <w:r>
              <w:rPr>
                <w:rFonts w:hint="eastAsia" w:ascii="仿宋" w:hAnsi="仿宋" w:eastAsia="仿宋" w:cs="仿宋"/>
                <w:color w:val="auto"/>
                <w:highlight w:val="none"/>
              </w:rPr>
              <w:t>完整，思路</w:t>
            </w:r>
            <w:r>
              <w:rPr>
                <w:rFonts w:hint="eastAsia" w:ascii="仿宋" w:hAnsi="仿宋" w:eastAsia="仿宋" w:cs="仿宋"/>
                <w:color w:val="auto"/>
                <w:highlight w:val="none"/>
                <w:lang w:val="en-US" w:eastAsia="zh-CN"/>
              </w:rPr>
              <w:t>不太</w:t>
            </w:r>
            <w:r>
              <w:rPr>
                <w:rFonts w:hint="eastAsia" w:ascii="仿宋" w:hAnsi="仿宋" w:eastAsia="仿宋" w:cs="仿宋"/>
                <w:color w:val="auto"/>
                <w:highlight w:val="none"/>
              </w:rPr>
              <w:t>清晰，体系架构合理性一般，设计思路</w:t>
            </w:r>
            <w:r>
              <w:rPr>
                <w:rFonts w:hint="eastAsia" w:ascii="仿宋" w:hAnsi="仿宋" w:eastAsia="仿宋" w:cs="仿宋"/>
                <w:color w:val="auto"/>
                <w:highlight w:val="none"/>
                <w:lang w:val="en-US" w:eastAsia="zh-CN"/>
              </w:rPr>
              <w:t>不太</w:t>
            </w:r>
            <w:r>
              <w:rPr>
                <w:rFonts w:hint="eastAsia" w:ascii="仿宋" w:hAnsi="仿宋" w:eastAsia="仿宋" w:cs="仿宋"/>
                <w:color w:val="auto"/>
                <w:highlight w:val="none"/>
              </w:rPr>
              <w:t>符合采购需求，得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w:t>
            </w:r>
            <w:r>
              <w:rPr>
                <w:rFonts w:hint="eastAsia" w:ascii="仿宋" w:hAnsi="仿宋" w:eastAsia="仿宋" w:cs="仿宋"/>
                <w:color w:val="auto"/>
                <w:highlight w:val="none"/>
                <w:lang w:val="en-US" w:eastAsia="zh-CN"/>
              </w:rPr>
              <w:t>其余或不提供不得分。</w:t>
            </w:r>
          </w:p>
        </w:tc>
      </w:tr>
      <w:tr w14:paraId="1C41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vAlign w:val="center"/>
          </w:tcPr>
          <w:p w14:paraId="0DE61E58">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506" w:type="dxa"/>
            <w:shd w:val="clear" w:color="auto" w:fill="auto"/>
            <w:vAlign w:val="center"/>
          </w:tcPr>
          <w:p w14:paraId="7373E22B">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实施方案</w:t>
            </w:r>
          </w:p>
        </w:tc>
        <w:tc>
          <w:tcPr>
            <w:tcW w:w="875" w:type="dxa"/>
            <w:vAlign w:val="center"/>
          </w:tcPr>
          <w:p w14:paraId="1A9D76EF">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5分</w:t>
            </w:r>
          </w:p>
        </w:tc>
        <w:tc>
          <w:tcPr>
            <w:tcW w:w="6075" w:type="dxa"/>
            <w:vAlign w:val="center"/>
          </w:tcPr>
          <w:p w14:paraId="17A3CC93">
            <w:pP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根据本项目制定</w:t>
            </w:r>
            <w:r>
              <w:rPr>
                <w:rFonts w:hint="eastAsia" w:ascii="仿宋" w:hAnsi="仿宋" w:eastAsia="仿宋" w:cs="仿宋"/>
                <w:color w:val="auto"/>
                <w:highlight w:val="none"/>
              </w:rPr>
              <w:t>项目实施方案，内容包括但</w:t>
            </w:r>
            <w:r>
              <w:rPr>
                <w:rFonts w:hint="eastAsia" w:ascii="仿宋" w:hAnsi="仿宋" w:eastAsia="仿宋" w:cs="仿宋"/>
                <w:color w:val="auto"/>
                <w:highlight w:val="none"/>
                <w:lang w:val="en-US" w:eastAsia="zh-CN"/>
              </w:rPr>
              <w:t>不</w:t>
            </w:r>
            <w:r>
              <w:rPr>
                <w:rFonts w:hint="eastAsia" w:ascii="仿宋" w:hAnsi="仿宋" w:eastAsia="仿宋" w:cs="仿宋"/>
                <w:color w:val="auto"/>
                <w:highlight w:val="none"/>
              </w:rPr>
              <w:t>限于系统实施方案、项目质量保障措施、项目实施进度安排等是否具有科学性、合理性和可执行性。</w:t>
            </w:r>
          </w:p>
          <w:p w14:paraId="057C524F">
            <w:pPr>
              <w:jc w:val="both"/>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系统</w:t>
            </w:r>
            <w:r>
              <w:rPr>
                <w:rFonts w:hint="eastAsia" w:ascii="仿宋" w:hAnsi="仿宋" w:eastAsia="仿宋" w:cs="仿宋"/>
                <w:color w:val="auto"/>
                <w:highlight w:val="none"/>
              </w:rPr>
              <w:t>实施方案步骤清晰，质量保障措施</w:t>
            </w:r>
            <w:r>
              <w:rPr>
                <w:rFonts w:hint="eastAsia" w:ascii="仿宋" w:hAnsi="仿宋" w:eastAsia="仿宋" w:cs="仿宋"/>
                <w:color w:val="auto"/>
                <w:highlight w:val="none"/>
                <w:lang w:val="en-US" w:eastAsia="zh-CN"/>
              </w:rPr>
              <w:t>全面；</w:t>
            </w:r>
            <w:r>
              <w:rPr>
                <w:rFonts w:hint="eastAsia" w:ascii="仿宋" w:hAnsi="仿宋" w:eastAsia="仿宋" w:cs="仿宋"/>
                <w:color w:val="auto"/>
                <w:highlight w:val="none"/>
              </w:rPr>
              <w:t>进度安排科学、合理，</w:t>
            </w:r>
            <w:r>
              <w:rPr>
                <w:rFonts w:hint="eastAsia" w:ascii="仿宋" w:hAnsi="仿宋" w:eastAsia="仿宋" w:cs="仿宋"/>
                <w:color w:val="auto"/>
                <w:highlight w:val="none"/>
                <w:lang w:val="en-US" w:eastAsia="zh-CN"/>
              </w:rPr>
              <w:t>可执行性高，优于采购需求，</w:t>
            </w:r>
            <w:r>
              <w:rPr>
                <w:rFonts w:hint="eastAsia" w:ascii="仿宋" w:hAnsi="仿宋" w:eastAsia="仿宋" w:cs="仿宋"/>
                <w:color w:val="auto"/>
                <w:highlight w:val="none"/>
              </w:rPr>
              <w:t>得5分；系统实施方案步骤</w:t>
            </w:r>
            <w:r>
              <w:rPr>
                <w:rFonts w:hint="eastAsia" w:ascii="仿宋" w:hAnsi="仿宋" w:eastAsia="仿宋" w:cs="仿宋"/>
                <w:color w:val="auto"/>
                <w:highlight w:val="none"/>
                <w:lang w:val="en-US" w:eastAsia="zh-CN"/>
              </w:rPr>
              <w:t>较为</w:t>
            </w:r>
            <w:r>
              <w:rPr>
                <w:rFonts w:hint="eastAsia" w:ascii="仿宋" w:hAnsi="仿宋" w:eastAsia="仿宋" w:cs="仿宋"/>
                <w:color w:val="auto"/>
                <w:highlight w:val="none"/>
              </w:rPr>
              <w:t>清晰，质量保障措施</w:t>
            </w:r>
            <w:r>
              <w:rPr>
                <w:rFonts w:hint="eastAsia" w:ascii="仿宋" w:hAnsi="仿宋" w:eastAsia="仿宋" w:cs="仿宋"/>
                <w:color w:val="auto"/>
                <w:highlight w:val="none"/>
                <w:lang w:val="en-US" w:eastAsia="zh-CN"/>
              </w:rPr>
              <w:t>比较</w:t>
            </w:r>
            <w:r>
              <w:rPr>
                <w:rFonts w:hint="eastAsia" w:ascii="仿宋" w:hAnsi="仿宋" w:eastAsia="仿宋" w:cs="仿宋"/>
                <w:color w:val="auto"/>
                <w:highlight w:val="none"/>
              </w:rPr>
              <w:t>全面；进度安排</w:t>
            </w:r>
            <w:r>
              <w:rPr>
                <w:rFonts w:hint="eastAsia" w:ascii="仿宋" w:hAnsi="仿宋" w:eastAsia="仿宋" w:cs="仿宋"/>
                <w:color w:val="auto"/>
                <w:highlight w:val="none"/>
                <w:lang w:val="en-US" w:eastAsia="zh-CN"/>
              </w:rPr>
              <w:t>较为</w:t>
            </w:r>
            <w:r>
              <w:rPr>
                <w:rFonts w:hint="eastAsia" w:ascii="仿宋" w:hAnsi="仿宋" w:eastAsia="仿宋" w:cs="仿宋"/>
                <w:color w:val="auto"/>
                <w:highlight w:val="none"/>
              </w:rPr>
              <w:t>科学、合理，可执行性</w:t>
            </w:r>
            <w:r>
              <w:rPr>
                <w:rFonts w:hint="eastAsia" w:ascii="仿宋" w:hAnsi="仿宋" w:eastAsia="仿宋" w:cs="仿宋"/>
                <w:color w:val="auto"/>
                <w:highlight w:val="none"/>
                <w:lang w:val="en-US" w:eastAsia="zh-CN"/>
              </w:rPr>
              <w:t>较</w:t>
            </w:r>
            <w:r>
              <w:rPr>
                <w:rFonts w:hint="eastAsia" w:ascii="仿宋" w:hAnsi="仿宋" w:eastAsia="仿宋" w:cs="仿宋"/>
                <w:color w:val="auto"/>
                <w:highlight w:val="none"/>
              </w:rPr>
              <w:t>高，符合采购需求</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分；系统实施方案步骤</w:t>
            </w:r>
            <w:r>
              <w:rPr>
                <w:rFonts w:hint="eastAsia" w:ascii="仿宋" w:hAnsi="仿宋" w:eastAsia="仿宋" w:cs="仿宋"/>
                <w:color w:val="auto"/>
                <w:highlight w:val="none"/>
                <w:lang w:val="en-US" w:eastAsia="zh-CN"/>
              </w:rPr>
              <w:t>不太</w:t>
            </w:r>
            <w:r>
              <w:rPr>
                <w:rFonts w:hint="eastAsia" w:ascii="仿宋" w:hAnsi="仿宋" w:eastAsia="仿宋" w:cs="仿宋"/>
                <w:color w:val="auto"/>
                <w:highlight w:val="none"/>
              </w:rPr>
              <w:t>清晰，质量保障措施</w:t>
            </w:r>
            <w:r>
              <w:rPr>
                <w:rFonts w:hint="eastAsia" w:ascii="仿宋" w:hAnsi="仿宋" w:eastAsia="仿宋" w:cs="仿宋"/>
                <w:color w:val="auto"/>
                <w:highlight w:val="none"/>
                <w:lang w:val="en-US" w:eastAsia="zh-CN"/>
              </w:rPr>
              <w:t>不太</w:t>
            </w:r>
            <w:r>
              <w:rPr>
                <w:rFonts w:hint="eastAsia" w:ascii="仿宋" w:hAnsi="仿宋" w:eastAsia="仿宋" w:cs="仿宋"/>
                <w:color w:val="auto"/>
                <w:highlight w:val="none"/>
              </w:rPr>
              <w:t>全面；进度安排</w:t>
            </w:r>
            <w:r>
              <w:rPr>
                <w:rFonts w:hint="eastAsia" w:ascii="仿宋" w:hAnsi="仿宋" w:eastAsia="仿宋" w:cs="仿宋"/>
                <w:color w:val="auto"/>
                <w:highlight w:val="none"/>
                <w:lang w:val="en-US" w:eastAsia="zh-CN"/>
              </w:rPr>
              <w:t>不太</w:t>
            </w:r>
            <w:r>
              <w:rPr>
                <w:rFonts w:hint="eastAsia" w:ascii="仿宋" w:hAnsi="仿宋" w:eastAsia="仿宋" w:cs="仿宋"/>
                <w:color w:val="auto"/>
                <w:highlight w:val="none"/>
              </w:rPr>
              <w:t>科学、合理，可执行性</w:t>
            </w:r>
            <w:r>
              <w:rPr>
                <w:rFonts w:hint="eastAsia" w:ascii="仿宋" w:hAnsi="仿宋" w:eastAsia="仿宋" w:cs="仿宋"/>
                <w:color w:val="auto"/>
                <w:highlight w:val="none"/>
                <w:lang w:val="en-US" w:eastAsia="zh-CN"/>
              </w:rPr>
              <w:t>低</w:t>
            </w:r>
            <w:r>
              <w:rPr>
                <w:rFonts w:hint="eastAsia" w:ascii="仿宋" w:hAnsi="仿宋" w:eastAsia="仿宋" w:cs="仿宋"/>
                <w:color w:val="auto"/>
                <w:highlight w:val="none"/>
              </w:rPr>
              <w:t>，得</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分；</w:t>
            </w:r>
            <w:r>
              <w:rPr>
                <w:rFonts w:hint="eastAsia" w:ascii="仿宋" w:hAnsi="仿宋" w:eastAsia="仿宋" w:cs="仿宋"/>
                <w:color w:val="auto"/>
                <w:highlight w:val="none"/>
                <w:lang w:val="en-US" w:eastAsia="zh-CN"/>
              </w:rPr>
              <w:t>其余或不提供不得分。</w:t>
            </w:r>
          </w:p>
        </w:tc>
      </w:tr>
      <w:tr w14:paraId="7A154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vAlign w:val="center"/>
          </w:tcPr>
          <w:p w14:paraId="143C4DE9">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1506" w:type="dxa"/>
            <w:shd w:val="clear" w:color="auto" w:fill="auto"/>
            <w:vAlign w:val="center"/>
          </w:tcPr>
          <w:p w14:paraId="152343A1">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售后服务方案</w:t>
            </w:r>
          </w:p>
        </w:tc>
        <w:tc>
          <w:tcPr>
            <w:tcW w:w="875" w:type="dxa"/>
            <w:vAlign w:val="center"/>
          </w:tcPr>
          <w:p w14:paraId="3F305503">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5分</w:t>
            </w:r>
          </w:p>
        </w:tc>
        <w:tc>
          <w:tcPr>
            <w:tcW w:w="6075" w:type="dxa"/>
            <w:vAlign w:val="center"/>
          </w:tcPr>
          <w:p w14:paraId="1CCDD968">
            <w:pPr>
              <w:rPr>
                <w:rFonts w:hint="eastAsia" w:ascii="仿宋" w:hAnsi="仿宋" w:eastAsia="仿宋" w:cs="仿宋"/>
                <w:color w:val="auto"/>
                <w:highlight w:val="none"/>
                <w:lang w:eastAsia="zh-CN"/>
              </w:rPr>
            </w:pPr>
            <w:r>
              <w:rPr>
                <w:rFonts w:hint="eastAsia" w:ascii="仿宋" w:hAnsi="仿宋" w:eastAsia="仿宋" w:cs="仿宋"/>
                <w:color w:val="auto"/>
                <w:highlight w:val="none"/>
              </w:rPr>
              <w:t>根据</w:t>
            </w:r>
            <w:r>
              <w:rPr>
                <w:rFonts w:hint="eastAsia" w:ascii="仿宋" w:hAnsi="仿宋" w:eastAsia="仿宋" w:cs="仿宋"/>
                <w:color w:val="auto"/>
                <w:highlight w:val="none"/>
                <w:lang w:val="en-US" w:eastAsia="zh-CN"/>
              </w:rPr>
              <w:t>本</w:t>
            </w:r>
            <w:r>
              <w:rPr>
                <w:rFonts w:hint="eastAsia" w:ascii="仿宋" w:hAnsi="仿宋" w:eastAsia="仿宋" w:cs="仿宋"/>
                <w:color w:val="auto"/>
                <w:highlight w:val="none"/>
              </w:rPr>
              <w:t>项目</w:t>
            </w:r>
            <w:r>
              <w:rPr>
                <w:rFonts w:hint="eastAsia" w:ascii="仿宋" w:hAnsi="仿宋" w:eastAsia="仿宋" w:cs="仿宋"/>
                <w:color w:val="auto"/>
                <w:highlight w:val="none"/>
                <w:lang w:val="en-US" w:eastAsia="zh-CN"/>
              </w:rPr>
              <w:t>制定</w:t>
            </w:r>
            <w:r>
              <w:rPr>
                <w:rFonts w:hint="eastAsia" w:ascii="仿宋" w:hAnsi="仿宋" w:eastAsia="仿宋" w:cs="仿宋"/>
                <w:color w:val="auto"/>
                <w:highlight w:val="none"/>
              </w:rPr>
              <w:t>售后服务方案，方案包括但不限于售后服务承诺、服务保障措施、故障排除流程及维护期内外的后续技术支持和维护能力方案</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售后人员、响应时间</w:t>
            </w:r>
            <w:r>
              <w:rPr>
                <w:rFonts w:hint="eastAsia" w:ascii="仿宋" w:hAnsi="仿宋" w:eastAsia="仿宋" w:cs="仿宋"/>
                <w:color w:val="auto"/>
                <w:highlight w:val="none"/>
                <w:lang w:eastAsia="zh-CN"/>
              </w:rPr>
              <w:t>。</w:t>
            </w:r>
          </w:p>
          <w:p w14:paraId="338A9F94">
            <w:pPr>
              <w:rPr>
                <w:rFonts w:hint="eastAsia" w:ascii="仿宋" w:hAnsi="仿宋" w:eastAsia="仿宋" w:cs="仿宋"/>
                <w:color w:val="auto"/>
                <w:highlight w:val="none"/>
              </w:rPr>
            </w:pPr>
            <w:r>
              <w:rPr>
                <w:rFonts w:hint="eastAsia" w:ascii="仿宋" w:hAnsi="仿宋" w:eastAsia="仿宋" w:cs="仿宋"/>
                <w:color w:val="auto"/>
                <w:highlight w:val="none"/>
              </w:rPr>
              <w:t>方案合理全面且详细，响应时间迅速，服务人员齐备，技术人员专业素养高且有经验，</w:t>
            </w:r>
            <w:r>
              <w:rPr>
                <w:rFonts w:hint="eastAsia" w:ascii="仿宋" w:hAnsi="仿宋" w:eastAsia="仿宋" w:cs="仿宋"/>
                <w:color w:val="auto"/>
                <w:highlight w:val="none"/>
                <w:lang w:val="en-US" w:eastAsia="zh-CN"/>
              </w:rPr>
              <w:t>服务保障</w:t>
            </w:r>
            <w:r>
              <w:rPr>
                <w:rFonts w:hint="eastAsia" w:ascii="仿宋" w:hAnsi="仿宋" w:eastAsia="仿宋" w:cs="仿宋"/>
                <w:color w:val="auto"/>
                <w:highlight w:val="none"/>
              </w:rPr>
              <w:t>措施完善有效，优于采购需求得</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分；方案较合理，响应时间较迅速，服务人员较齐全，管理力量比较雄厚，技术人员专业素养较高且有一定经验，服务保障措施比较丰富，符合采购需求得</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分；方案简单，响应时间速度较慢，服务人员较少，专业素养较低或没有经验，服务保障措施较少得1分；其余或不提供不得分。</w:t>
            </w:r>
          </w:p>
        </w:tc>
      </w:tr>
      <w:tr w14:paraId="1BB5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50" w:type="dxa"/>
            <w:vAlign w:val="center"/>
          </w:tcPr>
          <w:p w14:paraId="4D59F753">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1506" w:type="dxa"/>
            <w:shd w:val="clear" w:color="auto" w:fill="auto"/>
            <w:vAlign w:val="center"/>
          </w:tcPr>
          <w:p w14:paraId="22CB693D">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培训及技术支持方案</w:t>
            </w:r>
          </w:p>
        </w:tc>
        <w:tc>
          <w:tcPr>
            <w:tcW w:w="875" w:type="dxa"/>
            <w:vAlign w:val="center"/>
          </w:tcPr>
          <w:p w14:paraId="0D7FB841">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5分</w:t>
            </w:r>
          </w:p>
        </w:tc>
        <w:tc>
          <w:tcPr>
            <w:tcW w:w="6075" w:type="dxa"/>
            <w:vAlign w:val="center"/>
          </w:tcPr>
          <w:p w14:paraId="5A131E7E">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根据本项目制定培训服务方案及技术支持方案，方案包括但不限于人员的操作培训以及采购人所需的技术和学术支持及其他供应商可提供的服务。</w:t>
            </w:r>
          </w:p>
          <w:p w14:paraId="4B084DED">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培训承诺完善、具体合理、服务时间长、有明确的、具体可行的培训方案和措施，完全保证使用单位能熟练操作、维护和正常使用、具有技术和学术支持的能力并且有明确、合理、可行的支持方案的得5分；承诺较完善、比较具体合理、服务时间较长、有较明确的、比较具体可行的培训方案和措施，可以保证使用单位能操作、维护和使用、具有较好的技术和学术支持能力并且有较明确、较合理、较可行的支持方案的得2分；承诺不太完善、不太合理、服务时间较短、有较少的培训方案和措施，有较少的支持方案，基本能保证使用单位能操作、维护和使用得1分；其余或不提供不得分。</w:t>
            </w:r>
          </w:p>
        </w:tc>
      </w:tr>
      <w:tr w14:paraId="688B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750" w:type="dxa"/>
            <w:vAlign w:val="center"/>
          </w:tcPr>
          <w:p w14:paraId="33DC68EC">
            <w:pPr>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506" w:type="dxa"/>
            <w:shd w:val="clear" w:color="auto" w:fill="auto"/>
            <w:vAlign w:val="center"/>
          </w:tcPr>
          <w:p w14:paraId="7621CFEB">
            <w:pPr>
              <w:widowControl/>
              <w:jc w:val="center"/>
              <w:rPr>
                <w:rFonts w:hint="default" w:ascii="仿宋" w:hAnsi="仿宋" w:eastAsia="仿宋" w:cs="仿宋"/>
                <w:color w:val="auto"/>
                <w:highlight w:val="yellow"/>
                <w:lang w:val="en-US" w:eastAsia="zh-CN" w:bidi="ar"/>
              </w:rPr>
            </w:pPr>
            <w:r>
              <w:rPr>
                <w:rFonts w:hint="default" w:ascii="仿宋" w:hAnsi="仿宋" w:eastAsia="仿宋" w:cs="仿宋"/>
                <w:color w:val="auto"/>
                <w:highlight w:val="none"/>
                <w:lang w:val="en-US" w:eastAsia="zh-CN" w:bidi="ar"/>
              </w:rPr>
              <w:t>业绩</w:t>
            </w:r>
          </w:p>
        </w:tc>
        <w:tc>
          <w:tcPr>
            <w:tcW w:w="875" w:type="dxa"/>
            <w:shd w:val="clear" w:color="auto" w:fill="auto"/>
            <w:vAlign w:val="center"/>
          </w:tcPr>
          <w:p w14:paraId="78939E70">
            <w:pPr>
              <w:widowControl/>
              <w:jc w:val="center"/>
              <w:rPr>
                <w:rFonts w:hint="default" w:ascii="仿宋" w:hAnsi="仿宋" w:eastAsia="仿宋" w:cs="仿宋"/>
                <w:color w:val="auto"/>
                <w:highlight w:val="yellow"/>
                <w:lang w:val="en-US" w:eastAsia="zh-CN" w:bidi="ar"/>
              </w:rPr>
            </w:pPr>
            <w:r>
              <w:rPr>
                <w:rFonts w:hint="eastAsia" w:ascii="仿宋" w:hAnsi="仿宋" w:eastAsia="仿宋" w:cs="仿宋"/>
                <w:color w:val="auto"/>
                <w:highlight w:val="none"/>
                <w:lang w:val="en-US" w:eastAsia="zh-CN" w:bidi="ar"/>
              </w:rPr>
              <w:t>2分</w:t>
            </w:r>
          </w:p>
        </w:tc>
        <w:tc>
          <w:tcPr>
            <w:tcW w:w="6075" w:type="dxa"/>
            <w:shd w:val="clear" w:color="auto" w:fill="auto"/>
            <w:vAlign w:val="center"/>
          </w:tcPr>
          <w:p w14:paraId="08898669">
            <w:pPr>
              <w:widowControl/>
              <w:jc w:val="left"/>
              <w:rPr>
                <w:rFonts w:hint="eastAsia" w:ascii="仿宋" w:hAnsi="仿宋" w:eastAsia="仿宋" w:cs="仿宋"/>
                <w:color w:val="auto"/>
                <w:highlight w:val="yellow"/>
                <w:lang w:bidi="ar"/>
              </w:rPr>
            </w:pPr>
            <w:r>
              <w:rPr>
                <w:rFonts w:hint="eastAsia" w:ascii="仿宋" w:hAnsi="仿宋" w:eastAsia="仿宋" w:cs="仿宋"/>
                <w:color w:val="auto"/>
                <w:highlight w:val="none"/>
                <w:lang w:val="en-US" w:eastAsia="zh-CN" w:bidi="ar"/>
              </w:rPr>
              <w:t>投标人自</w:t>
            </w:r>
            <w:r>
              <w:rPr>
                <w:rFonts w:hint="eastAsia" w:ascii="仿宋" w:hAnsi="仿宋" w:eastAsia="仿宋" w:cs="仿宋"/>
                <w:color w:val="auto"/>
                <w:highlight w:val="none"/>
                <w:lang w:bidi="ar"/>
              </w:rPr>
              <w:t>2022年</w:t>
            </w:r>
            <w:r>
              <w:rPr>
                <w:rFonts w:hint="eastAsia" w:ascii="仿宋" w:hAnsi="仿宋" w:eastAsia="仿宋" w:cs="仿宋"/>
                <w:color w:val="auto"/>
                <w:highlight w:val="none"/>
                <w:lang w:val="en-US" w:eastAsia="zh-CN" w:bidi="ar"/>
              </w:rPr>
              <w:t>8</w:t>
            </w:r>
            <w:r>
              <w:rPr>
                <w:rFonts w:hint="eastAsia" w:ascii="仿宋" w:hAnsi="仿宋" w:eastAsia="仿宋" w:cs="仿宋"/>
                <w:color w:val="auto"/>
                <w:highlight w:val="none"/>
                <w:lang w:bidi="ar"/>
              </w:rPr>
              <w:t>月1日以来（以合同签订时间为准）</w:t>
            </w:r>
            <w:r>
              <w:rPr>
                <w:rFonts w:hint="eastAsia" w:ascii="仿宋" w:hAnsi="仿宋" w:eastAsia="仿宋" w:cs="仿宋"/>
                <w:color w:val="auto"/>
                <w:highlight w:val="none"/>
                <w:lang w:val="en-US" w:eastAsia="zh-CN" w:bidi="ar"/>
              </w:rPr>
              <w:t>具有类似项目业绩的（类似项目是指具备本项目相同功能的成本管理或DRG系统）</w:t>
            </w:r>
            <w:r>
              <w:rPr>
                <w:rFonts w:hint="eastAsia" w:ascii="仿宋" w:hAnsi="仿宋" w:eastAsia="仿宋" w:cs="仿宋"/>
                <w:color w:val="auto"/>
                <w:highlight w:val="none"/>
                <w:lang w:bidi="ar"/>
              </w:rPr>
              <w:t>，每一份得</w:t>
            </w:r>
            <w:r>
              <w:rPr>
                <w:rFonts w:hint="eastAsia" w:ascii="仿宋" w:hAnsi="仿宋" w:eastAsia="仿宋" w:cs="仿宋"/>
                <w:color w:val="auto"/>
                <w:highlight w:val="none"/>
                <w:lang w:val="en-US" w:eastAsia="zh-CN" w:bidi="ar"/>
              </w:rPr>
              <w:t>0.5</w:t>
            </w:r>
            <w:r>
              <w:rPr>
                <w:rFonts w:hint="eastAsia" w:ascii="仿宋" w:hAnsi="仿宋" w:eastAsia="仿宋" w:cs="仿宋"/>
                <w:color w:val="auto"/>
                <w:highlight w:val="none"/>
                <w:lang w:bidi="ar"/>
              </w:rPr>
              <w:t>分，最高</w:t>
            </w:r>
            <w:r>
              <w:rPr>
                <w:rFonts w:hint="eastAsia" w:ascii="仿宋" w:hAnsi="仿宋" w:eastAsia="仿宋" w:cs="仿宋"/>
                <w:color w:val="auto"/>
                <w:highlight w:val="none"/>
                <w:lang w:val="en-US" w:eastAsia="zh-CN" w:bidi="ar"/>
              </w:rPr>
              <w:t>2</w:t>
            </w:r>
            <w:r>
              <w:rPr>
                <w:rFonts w:hint="eastAsia" w:ascii="仿宋" w:hAnsi="仿宋" w:eastAsia="仿宋" w:cs="仿宋"/>
                <w:color w:val="auto"/>
                <w:highlight w:val="none"/>
                <w:lang w:bidi="ar"/>
              </w:rPr>
              <w:t>分。（响应文件中提供合同</w:t>
            </w:r>
            <w:r>
              <w:rPr>
                <w:rFonts w:hint="eastAsia" w:ascii="仿宋" w:hAnsi="仿宋" w:eastAsia="仿宋" w:cs="仿宋"/>
                <w:color w:val="auto"/>
                <w:highlight w:val="none"/>
                <w:lang w:val="en-US" w:eastAsia="zh-CN" w:bidi="ar"/>
              </w:rPr>
              <w:t>及验收报告</w:t>
            </w:r>
            <w:r>
              <w:rPr>
                <w:rFonts w:hint="eastAsia" w:ascii="仿宋" w:hAnsi="仿宋" w:eastAsia="仿宋" w:cs="仿宋"/>
                <w:color w:val="auto"/>
                <w:highlight w:val="none"/>
                <w:lang w:bidi="ar"/>
              </w:rPr>
              <w:t>复印件</w:t>
            </w:r>
            <w:r>
              <w:rPr>
                <w:rFonts w:hint="eastAsia" w:ascii="仿宋" w:hAnsi="仿宋" w:eastAsia="仿宋" w:cs="仿宋"/>
                <w:color w:val="auto"/>
                <w:highlight w:val="none"/>
                <w:lang w:val="en-US" w:eastAsia="zh-CN" w:bidi="ar"/>
              </w:rPr>
              <w:t>加盖公章</w:t>
            </w:r>
            <w:r>
              <w:rPr>
                <w:rFonts w:hint="eastAsia" w:ascii="仿宋" w:hAnsi="仿宋" w:eastAsia="仿宋" w:cs="仿宋"/>
                <w:color w:val="auto"/>
                <w:highlight w:val="none"/>
                <w:lang w:bidi="ar"/>
              </w:rPr>
              <w:t>，合同须明确显示双方签章，提供不全的不得分</w:t>
            </w:r>
            <w:r>
              <w:rPr>
                <w:rFonts w:hint="eastAsia" w:ascii="仿宋" w:hAnsi="仿宋" w:eastAsia="仿宋" w:cs="仿宋"/>
                <w:color w:val="auto"/>
                <w:highlight w:val="none"/>
                <w:lang w:eastAsia="zh-CN" w:bidi="ar"/>
              </w:rPr>
              <w:t>。</w:t>
            </w:r>
            <w:r>
              <w:rPr>
                <w:rFonts w:hint="eastAsia" w:ascii="仿宋" w:hAnsi="仿宋" w:eastAsia="仿宋" w:cs="仿宋"/>
                <w:color w:val="auto"/>
                <w:highlight w:val="none"/>
                <w:lang w:val="en-US" w:eastAsia="zh-CN" w:bidi="ar"/>
              </w:rPr>
              <w:t>同一采购单位的多个项目不重复计分</w:t>
            </w:r>
            <w:r>
              <w:rPr>
                <w:rFonts w:hint="eastAsia" w:ascii="仿宋" w:hAnsi="仿宋" w:eastAsia="仿宋" w:cs="仿宋"/>
                <w:color w:val="auto"/>
                <w:highlight w:val="none"/>
                <w:lang w:bidi="ar"/>
              </w:rPr>
              <w:t>）</w:t>
            </w:r>
          </w:p>
        </w:tc>
      </w:tr>
    </w:tbl>
    <w:p w14:paraId="77B1D611">
      <w:pPr>
        <w:spacing w:line="440" w:lineRule="exact"/>
        <w:rPr>
          <w:rFonts w:ascii="仿宋" w:hAnsi="仿宋" w:eastAsia="仿宋" w:cs="仿宋"/>
          <w:highlight w:val="none"/>
        </w:rPr>
      </w:pPr>
      <w:r>
        <w:rPr>
          <w:rFonts w:hint="eastAsia" w:ascii="仿宋" w:hAnsi="仿宋" w:eastAsia="仿宋" w:cs="仿宋"/>
          <w:highlight w:val="none"/>
        </w:rPr>
        <w:t xml:space="preserve"> 说明：</w:t>
      </w:r>
    </w:p>
    <w:p w14:paraId="70FAA625">
      <w:pPr>
        <w:spacing w:line="440" w:lineRule="exact"/>
        <w:ind w:firstLine="480"/>
        <w:rPr>
          <w:rFonts w:ascii="仿宋" w:hAnsi="仿宋" w:eastAsia="仿宋" w:cs="仿宋"/>
          <w:highlight w:val="none"/>
        </w:rPr>
      </w:pPr>
      <w:r>
        <w:rPr>
          <w:rFonts w:hint="eastAsia" w:ascii="仿宋" w:hAnsi="仿宋" w:eastAsia="仿宋" w:cs="仿宋"/>
          <w:highlight w:val="none"/>
        </w:rPr>
        <w:t>1.小微企业的价格扣除</w:t>
      </w:r>
    </w:p>
    <w:p w14:paraId="4686233B">
      <w:pPr>
        <w:spacing w:line="440" w:lineRule="exact"/>
        <w:ind w:firstLine="480"/>
        <w:rPr>
          <w:rFonts w:ascii="仿宋" w:hAnsi="仿宋" w:eastAsia="仿宋" w:cs="仿宋"/>
          <w:highlight w:val="none"/>
        </w:rPr>
      </w:pPr>
      <w:r>
        <w:rPr>
          <w:rFonts w:hint="eastAsia" w:ascii="仿宋" w:hAnsi="仿宋" w:eastAsia="仿宋" w:cs="仿宋"/>
          <w:highlight w:val="none"/>
        </w:rPr>
        <w:t>1.1对于未预留份额专门面向中小企业采购的采购项目或预留份额项目中的非预留部分采购包，给予小微企业报价10%的扣除，用扣除后的价格参加评审。其中，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3%（工程2%）的扣除，用扣除后的价格参加评审。联合体各方均为小微企业的，联合体视同为小微企业，享受10%的价格扣除。</w:t>
      </w:r>
    </w:p>
    <w:p w14:paraId="3B3859C9">
      <w:pPr>
        <w:spacing w:line="440" w:lineRule="exact"/>
        <w:ind w:firstLine="480"/>
        <w:rPr>
          <w:rFonts w:ascii="仿宋" w:hAnsi="仿宋" w:eastAsia="仿宋" w:cs="仿宋"/>
          <w:highlight w:val="none"/>
        </w:rPr>
      </w:pPr>
      <w:r>
        <w:rPr>
          <w:rFonts w:hint="eastAsia" w:ascii="仿宋" w:hAnsi="仿宋" w:eastAsia="仿宋" w:cs="仿宋"/>
          <w:highlight w:val="none"/>
        </w:rPr>
        <w:t>1.2价格扣除比例或者价格分加分比例对小型企业和微型企业同等对待，不作区分。</w:t>
      </w:r>
    </w:p>
    <w:p w14:paraId="179CA8E7">
      <w:pPr>
        <w:spacing w:line="440" w:lineRule="exact"/>
        <w:ind w:firstLine="480"/>
        <w:rPr>
          <w:rFonts w:ascii="仿宋" w:hAnsi="仿宋" w:eastAsia="仿宋" w:cs="仿宋"/>
          <w:highlight w:val="none"/>
        </w:rPr>
      </w:pPr>
      <w:r>
        <w:rPr>
          <w:rFonts w:hint="eastAsia" w:ascii="仿宋" w:hAnsi="仿宋" w:eastAsia="仿宋" w:cs="仿宋"/>
          <w:highlight w:val="none"/>
        </w:rPr>
        <w:t>2.监狱和戒毒企业的价格扣除</w:t>
      </w:r>
    </w:p>
    <w:p w14:paraId="76BCBAED">
      <w:pPr>
        <w:spacing w:line="440" w:lineRule="exact"/>
        <w:ind w:firstLine="480"/>
        <w:rPr>
          <w:rFonts w:ascii="仿宋" w:hAnsi="仿宋" w:eastAsia="仿宋" w:cs="仿宋"/>
          <w:highlight w:val="none"/>
        </w:rPr>
      </w:pPr>
      <w:r>
        <w:rPr>
          <w:rFonts w:hint="eastAsia" w:ascii="仿宋" w:hAnsi="仿宋" w:eastAsia="仿宋" w:cs="仿宋"/>
          <w:highlight w:val="none"/>
        </w:rPr>
        <w:t>2.1对监狱和戒毒企业（简称监狱企业），给予10%的价格扣除，用扣除后的价格参与评审。</w:t>
      </w:r>
    </w:p>
    <w:p w14:paraId="66BE44D9">
      <w:pPr>
        <w:spacing w:line="440" w:lineRule="exact"/>
        <w:ind w:firstLine="480"/>
        <w:rPr>
          <w:rFonts w:ascii="仿宋" w:hAnsi="仿宋" w:eastAsia="仿宋" w:cs="仿宋"/>
          <w:highlight w:val="none"/>
        </w:rPr>
      </w:pPr>
      <w:r>
        <w:rPr>
          <w:rFonts w:hint="eastAsia" w:ascii="仿宋" w:hAnsi="仿宋" w:eastAsia="仿宋" w:cs="仿宋"/>
          <w:highlight w:val="none"/>
        </w:rPr>
        <w:t>2.2监狱企业需提供由省级以上监狱管理局、戒毒管理局（含新疆生产建设兵团）出具的属于监狱企业的证明文件。</w:t>
      </w:r>
    </w:p>
    <w:p w14:paraId="4DC08A34">
      <w:pPr>
        <w:spacing w:line="440" w:lineRule="exact"/>
        <w:ind w:firstLine="480"/>
        <w:rPr>
          <w:rFonts w:ascii="仿宋" w:hAnsi="仿宋" w:eastAsia="仿宋" w:cs="仿宋"/>
          <w:highlight w:val="none"/>
        </w:rPr>
      </w:pPr>
      <w:r>
        <w:rPr>
          <w:rFonts w:hint="eastAsia" w:ascii="仿宋" w:hAnsi="仿宋" w:eastAsia="仿宋" w:cs="仿宋"/>
          <w:highlight w:val="none"/>
        </w:rPr>
        <w:t>2.3监狱企业标准请参照《关于政府采购支持监狱企业发展有关问题的通知》（财库</w:t>
      </w:r>
      <w:r>
        <w:rPr>
          <w:rFonts w:hint="eastAsia" w:ascii="仿宋" w:hAnsi="仿宋" w:eastAsia="仿宋" w:cs="仿宋"/>
          <w:highlight w:val="none"/>
          <w:lang w:eastAsia="zh-CN"/>
        </w:rPr>
        <w:t>〔2014〕68号</w:t>
      </w:r>
      <w:r>
        <w:rPr>
          <w:rFonts w:hint="eastAsia" w:ascii="仿宋" w:hAnsi="仿宋" w:eastAsia="仿宋" w:cs="仿宋"/>
          <w:highlight w:val="none"/>
        </w:rPr>
        <w:t>）。</w:t>
      </w:r>
    </w:p>
    <w:p w14:paraId="2B6091E0">
      <w:pPr>
        <w:spacing w:line="440" w:lineRule="exact"/>
        <w:ind w:firstLine="480"/>
        <w:rPr>
          <w:rFonts w:ascii="仿宋" w:hAnsi="仿宋" w:eastAsia="仿宋" w:cs="仿宋"/>
          <w:highlight w:val="none"/>
        </w:rPr>
      </w:pPr>
      <w:r>
        <w:rPr>
          <w:rFonts w:hint="eastAsia" w:ascii="仿宋" w:hAnsi="仿宋" w:eastAsia="仿宋" w:cs="仿宋"/>
          <w:highlight w:val="none"/>
        </w:rPr>
        <w:t>3.残疾人福利性单位的价格扣除</w:t>
      </w:r>
    </w:p>
    <w:p w14:paraId="6A970F2F">
      <w:pPr>
        <w:spacing w:line="440" w:lineRule="exact"/>
        <w:ind w:firstLine="480"/>
        <w:rPr>
          <w:rFonts w:ascii="仿宋" w:hAnsi="仿宋" w:eastAsia="仿宋" w:cs="仿宋"/>
          <w:highlight w:val="none"/>
        </w:rPr>
      </w:pPr>
      <w:r>
        <w:rPr>
          <w:rFonts w:hint="eastAsia" w:ascii="仿宋" w:hAnsi="仿宋" w:eastAsia="仿宋" w:cs="仿宋"/>
          <w:highlight w:val="none"/>
        </w:rPr>
        <w:t>3.1对残疾人福利性单位，给予10%的价格扣除，用扣除后的价格参与评审。</w:t>
      </w:r>
    </w:p>
    <w:p w14:paraId="60B8C3BB">
      <w:pPr>
        <w:spacing w:line="440" w:lineRule="exact"/>
        <w:ind w:firstLine="480"/>
        <w:rPr>
          <w:rFonts w:ascii="仿宋" w:hAnsi="仿宋" w:eastAsia="仿宋" w:cs="仿宋"/>
          <w:highlight w:val="none"/>
        </w:rPr>
      </w:pPr>
      <w:r>
        <w:rPr>
          <w:rFonts w:hint="eastAsia" w:ascii="仿宋" w:hAnsi="仿宋" w:eastAsia="仿宋" w:cs="仿宋"/>
          <w:highlight w:val="none"/>
        </w:rPr>
        <w:t>3.2残疾人福利单位需按照招标文件的要求提供《残疾人福利性单位声明函》。</w:t>
      </w:r>
    </w:p>
    <w:p w14:paraId="243CC6DB">
      <w:pPr>
        <w:spacing w:line="440" w:lineRule="exact"/>
        <w:ind w:firstLine="480"/>
        <w:rPr>
          <w:rFonts w:ascii="仿宋" w:hAnsi="仿宋" w:eastAsia="仿宋" w:cs="仿宋"/>
          <w:highlight w:val="none"/>
        </w:rPr>
      </w:pPr>
      <w:r>
        <w:rPr>
          <w:rFonts w:hint="eastAsia" w:ascii="仿宋" w:hAnsi="仿宋" w:eastAsia="仿宋" w:cs="仿宋"/>
          <w:highlight w:val="none"/>
        </w:rPr>
        <w:t>3.3残疾人福利单位标准请参照《关于促进残疾人就业政府采购政策的通知》（财库〔2017〕141号）。</w:t>
      </w:r>
    </w:p>
    <w:p w14:paraId="40E42EB3">
      <w:pPr>
        <w:spacing w:line="440" w:lineRule="exact"/>
        <w:ind w:firstLine="480"/>
        <w:rPr>
          <w:rFonts w:ascii="仿宋" w:hAnsi="仿宋" w:eastAsia="仿宋" w:cs="仿宋"/>
          <w:highlight w:val="none"/>
        </w:rPr>
      </w:pPr>
      <w:r>
        <w:rPr>
          <w:rFonts w:hint="eastAsia" w:ascii="仿宋" w:hAnsi="仿宋" w:eastAsia="仿宋" w:cs="仿宋"/>
          <w:highlight w:val="none"/>
        </w:rPr>
        <w:t>4.监狱企业、残疾人福利单位属于小型、微型企业的，不重复享受政策。</w:t>
      </w:r>
    </w:p>
    <w:p w14:paraId="2C093D5B">
      <w:pPr>
        <w:spacing w:line="440" w:lineRule="exact"/>
        <w:ind w:firstLine="480"/>
        <w:rPr>
          <w:rFonts w:ascii="仿宋" w:hAnsi="仿宋" w:eastAsia="仿宋" w:cs="仿宋"/>
          <w:highlight w:val="none"/>
        </w:rPr>
      </w:pPr>
      <w:r>
        <w:rPr>
          <w:rFonts w:hint="eastAsia" w:ascii="仿宋" w:hAnsi="仿宋" w:eastAsia="仿宋" w:cs="仿宋"/>
          <w:highlight w:val="none"/>
        </w:rPr>
        <w:t>5.专门面向中小企业采购的项目，不再执行价格评审优惠的扶持政策。</w:t>
      </w:r>
    </w:p>
    <w:p w14:paraId="2A713FA0">
      <w:pPr>
        <w:spacing w:line="440" w:lineRule="exact"/>
        <w:ind w:firstLine="480"/>
        <w:rPr>
          <w:rFonts w:ascii="仿宋" w:hAnsi="仿宋" w:eastAsia="仿宋" w:cs="仿宋"/>
          <w:highlight w:val="none"/>
        </w:rPr>
      </w:pPr>
      <w:r>
        <w:rPr>
          <w:rFonts w:hint="eastAsia" w:ascii="仿宋" w:hAnsi="仿宋" w:eastAsia="仿宋" w:cs="仿宋"/>
          <w:highlight w:val="none"/>
        </w:rPr>
        <w:t>6.实质性要求不得负偏离；否则，按照无效投标处理</w:t>
      </w:r>
    </w:p>
    <w:p w14:paraId="32D6618F">
      <w:pPr>
        <w:spacing w:line="440" w:lineRule="exact"/>
        <w:rPr>
          <w:rFonts w:ascii="仿宋" w:hAnsi="仿宋" w:eastAsia="仿宋" w:cs="仿宋"/>
          <w:highlight w:val="none"/>
        </w:rPr>
      </w:pPr>
      <w:r>
        <w:rPr>
          <w:rFonts w:hint="eastAsia" w:ascii="仿宋" w:hAnsi="仿宋" w:eastAsia="仿宋" w:cs="仿宋"/>
          <w:b/>
          <w:highlight w:val="none"/>
        </w:rPr>
        <w:t>四、评标结果。</w:t>
      </w:r>
      <w:r>
        <w:rPr>
          <w:rFonts w:hint="eastAsia" w:ascii="仿宋" w:hAnsi="仿宋" w:eastAsia="仿宋" w:cs="仿宋"/>
          <w:highlight w:val="none"/>
        </w:rPr>
        <w:t>评标委员会按照本办法规定推荐中标候选人，并形成评标报告。</w:t>
      </w:r>
    </w:p>
    <w:p w14:paraId="5F268EC9">
      <w:pPr>
        <w:rPr>
          <w:highlight w:val="none"/>
        </w:rPr>
      </w:pPr>
    </w:p>
    <w:p w14:paraId="2C059273">
      <w:pPr>
        <w:rPr>
          <w:rFonts w:hint="eastAsia"/>
          <w:highlight w:val="none"/>
        </w:rPr>
      </w:pPr>
      <w:bookmarkStart w:id="72" w:name="_Toc1493"/>
      <w:bookmarkStart w:id="73" w:name="_Toc26933"/>
      <w:bookmarkStart w:id="74" w:name="_Toc477287606"/>
      <w:r>
        <w:rPr>
          <w:rFonts w:hint="eastAsia"/>
          <w:highlight w:val="none"/>
        </w:rPr>
        <w:br w:type="page"/>
      </w:r>
    </w:p>
    <w:p w14:paraId="263ECDD2">
      <w:pPr>
        <w:pStyle w:val="204"/>
        <w:spacing w:line="240" w:lineRule="auto"/>
        <w:jc w:val="center"/>
        <w:rPr>
          <w:highlight w:val="none"/>
        </w:rPr>
      </w:pPr>
      <w:r>
        <w:rPr>
          <w:rFonts w:hint="eastAsia"/>
          <w:highlight w:val="none"/>
        </w:rPr>
        <w:t>第六部分  投标文件格式</w:t>
      </w:r>
      <w:bookmarkEnd w:id="72"/>
      <w:bookmarkEnd w:id="73"/>
      <w:bookmarkEnd w:id="74"/>
    </w:p>
    <w:p w14:paraId="42B54079">
      <w:pPr>
        <w:rPr>
          <w:rFonts w:ascii="仿宋" w:hAnsi="仿宋" w:eastAsia="仿宋" w:cs="仿宋"/>
          <w:highlight w:val="none"/>
        </w:rPr>
      </w:pPr>
      <w:bookmarkStart w:id="75" w:name="_Toc8423"/>
    </w:p>
    <w:p w14:paraId="6D508F0D">
      <w:pPr>
        <w:rPr>
          <w:rFonts w:ascii="仿宋" w:hAnsi="仿宋" w:eastAsia="仿宋" w:cs="仿宋"/>
          <w:highlight w:val="none"/>
        </w:rPr>
      </w:pPr>
    </w:p>
    <w:p w14:paraId="306D69F4">
      <w:pPr>
        <w:pStyle w:val="289"/>
        <w:rPr>
          <w:rFonts w:ascii="仿宋" w:hAnsi="仿宋" w:eastAsia="仿宋" w:cs="仿宋"/>
          <w:highlight w:val="none"/>
        </w:rPr>
      </w:pPr>
      <w:bookmarkStart w:id="76" w:name="_Toc18720"/>
      <w:r>
        <w:rPr>
          <w:rFonts w:hint="eastAsia" w:ascii="仿宋" w:hAnsi="仿宋" w:eastAsia="仿宋" w:cs="仿宋"/>
          <w:highlight w:val="none"/>
        </w:rPr>
        <w:t>封面</w:t>
      </w:r>
      <w:bookmarkEnd w:id="76"/>
    </w:p>
    <w:p w14:paraId="091D4E88">
      <w:pPr>
        <w:pStyle w:val="290"/>
        <w:jc w:val="center"/>
        <w:rPr>
          <w:rFonts w:ascii="仿宋" w:hAnsi="仿宋" w:eastAsia="仿宋" w:cs="仿宋"/>
          <w:color w:val="000000"/>
          <w:sz w:val="32"/>
          <w:szCs w:val="32"/>
          <w:highlight w:val="none"/>
        </w:rPr>
      </w:pPr>
    </w:p>
    <w:p w14:paraId="592537A7">
      <w:pPr>
        <w:pStyle w:val="290"/>
        <w:jc w:val="center"/>
        <w:rPr>
          <w:rFonts w:ascii="仿宋" w:hAnsi="仿宋" w:eastAsia="仿宋" w:cs="仿宋"/>
          <w:color w:val="000000"/>
          <w:sz w:val="32"/>
          <w:szCs w:val="32"/>
          <w:highlight w:val="none"/>
        </w:rPr>
      </w:pPr>
    </w:p>
    <w:p w14:paraId="6E55FA16">
      <w:pPr>
        <w:pStyle w:val="290"/>
        <w:jc w:val="center"/>
        <w:rPr>
          <w:rFonts w:ascii="仿宋" w:hAnsi="仿宋" w:eastAsia="仿宋" w:cs="仿宋"/>
          <w:color w:val="000000"/>
          <w:sz w:val="44"/>
          <w:szCs w:val="44"/>
          <w:highlight w:val="none"/>
          <w:u w:val="single"/>
        </w:rPr>
      </w:pPr>
      <w:r>
        <w:rPr>
          <w:rFonts w:hint="eastAsia" w:ascii="仿宋" w:hAnsi="仿宋" w:eastAsia="仿宋" w:cs="仿宋"/>
          <w:color w:val="000000"/>
          <w:sz w:val="44"/>
          <w:szCs w:val="44"/>
          <w:highlight w:val="none"/>
          <w:u w:val="single"/>
        </w:rPr>
        <w:t>（项目名称）</w:t>
      </w:r>
    </w:p>
    <w:p w14:paraId="037FBC39">
      <w:pPr>
        <w:pStyle w:val="290"/>
        <w:jc w:val="center"/>
        <w:rPr>
          <w:rFonts w:ascii="仿宋" w:hAnsi="仿宋" w:eastAsia="仿宋" w:cs="仿宋"/>
          <w:color w:val="000000"/>
          <w:sz w:val="44"/>
          <w:szCs w:val="44"/>
          <w:highlight w:val="none"/>
          <w:u w:val="single"/>
        </w:rPr>
      </w:pPr>
      <w:r>
        <w:rPr>
          <w:rFonts w:hint="eastAsia" w:ascii="仿宋" w:hAnsi="仿宋" w:eastAsia="仿宋" w:cs="仿宋"/>
          <w:color w:val="000000"/>
          <w:sz w:val="44"/>
          <w:szCs w:val="44"/>
          <w:highlight w:val="none"/>
          <w:u w:val="single"/>
        </w:rPr>
        <w:t>（项目编号）</w:t>
      </w:r>
    </w:p>
    <w:p w14:paraId="2B15DE6F">
      <w:pPr>
        <w:pStyle w:val="290"/>
        <w:jc w:val="center"/>
        <w:rPr>
          <w:rFonts w:ascii="仿宋" w:hAnsi="仿宋" w:eastAsia="仿宋" w:cs="仿宋"/>
          <w:color w:val="000000"/>
          <w:sz w:val="52"/>
          <w:szCs w:val="52"/>
          <w:highlight w:val="none"/>
        </w:rPr>
      </w:pPr>
    </w:p>
    <w:p w14:paraId="01A45906">
      <w:pPr>
        <w:pStyle w:val="290"/>
        <w:jc w:val="center"/>
        <w:rPr>
          <w:rFonts w:ascii="仿宋" w:hAnsi="仿宋" w:eastAsia="仿宋" w:cs="仿宋"/>
          <w:color w:val="000000"/>
          <w:sz w:val="52"/>
          <w:szCs w:val="52"/>
          <w:highlight w:val="none"/>
        </w:rPr>
      </w:pPr>
    </w:p>
    <w:p w14:paraId="1BA1275A">
      <w:pPr>
        <w:pStyle w:val="290"/>
        <w:jc w:val="center"/>
        <w:rPr>
          <w:rFonts w:ascii="仿宋" w:hAnsi="仿宋" w:eastAsia="仿宋" w:cs="仿宋"/>
          <w:color w:val="000000"/>
          <w:sz w:val="72"/>
          <w:szCs w:val="72"/>
          <w:highlight w:val="none"/>
        </w:rPr>
      </w:pPr>
      <w:r>
        <w:rPr>
          <w:rFonts w:hint="eastAsia" w:ascii="仿宋" w:hAnsi="仿宋" w:eastAsia="仿宋" w:cs="仿宋"/>
          <w:color w:val="000000"/>
          <w:sz w:val="72"/>
          <w:szCs w:val="72"/>
          <w:highlight w:val="none"/>
        </w:rPr>
        <w:t>投 标 文 件</w:t>
      </w:r>
    </w:p>
    <w:p w14:paraId="67B24A9E">
      <w:pPr>
        <w:pStyle w:val="290"/>
        <w:jc w:val="left"/>
        <w:rPr>
          <w:rFonts w:ascii="仿宋" w:hAnsi="仿宋" w:eastAsia="仿宋" w:cs="仿宋"/>
          <w:color w:val="000000"/>
          <w:sz w:val="28"/>
          <w:szCs w:val="28"/>
          <w:highlight w:val="none"/>
        </w:rPr>
      </w:pPr>
    </w:p>
    <w:p w14:paraId="2CAEEBF6">
      <w:pPr>
        <w:pStyle w:val="290"/>
        <w:jc w:val="left"/>
        <w:rPr>
          <w:rFonts w:ascii="仿宋" w:hAnsi="仿宋" w:eastAsia="仿宋" w:cs="仿宋"/>
          <w:color w:val="000000"/>
          <w:sz w:val="28"/>
          <w:szCs w:val="28"/>
          <w:highlight w:val="none"/>
        </w:rPr>
      </w:pPr>
    </w:p>
    <w:p w14:paraId="70B12090">
      <w:pPr>
        <w:pStyle w:val="290"/>
        <w:jc w:val="left"/>
        <w:rPr>
          <w:rFonts w:ascii="仿宋" w:hAnsi="仿宋" w:eastAsia="仿宋" w:cs="仿宋"/>
          <w:color w:val="000000"/>
          <w:sz w:val="28"/>
          <w:szCs w:val="28"/>
          <w:highlight w:val="none"/>
        </w:rPr>
      </w:pPr>
    </w:p>
    <w:p w14:paraId="641A9B5D">
      <w:pPr>
        <w:pStyle w:val="290"/>
        <w:jc w:val="left"/>
        <w:rPr>
          <w:rFonts w:ascii="仿宋" w:hAnsi="仿宋" w:eastAsia="仿宋" w:cs="仿宋"/>
          <w:color w:val="000000"/>
          <w:sz w:val="28"/>
          <w:szCs w:val="28"/>
          <w:highlight w:val="none"/>
        </w:rPr>
      </w:pPr>
    </w:p>
    <w:p w14:paraId="0FD6C7EE">
      <w:pPr>
        <w:pStyle w:val="290"/>
        <w:jc w:val="left"/>
        <w:rPr>
          <w:rFonts w:ascii="仿宋" w:hAnsi="仿宋" w:eastAsia="仿宋" w:cs="仿宋"/>
          <w:color w:val="000000"/>
          <w:sz w:val="28"/>
          <w:szCs w:val="28"/>
          <w:highlight w:val="none"/>
        </w:rPr>
      </w:pPr>
    </w:p>
    <w:p w14:paraId="44019137">
      <w:pPr>
        <w:pStyle w:val="290"/>
        <w:jc w:val="left"/>
        <w:rPr>
          <w:rFonts w:ascii="仿宋" w:hAnsi="仿宋" w:eastAsia="仿宋" w:cs="仿宋"/>
          <w:color w:val="000000"/>
          <w:sz w:val="28"/>
          <w:szCs w:val="28"/>
          <w:highlight w:val="none"/>
        </w:rPr>
      </w:pPr>
    </w:p>
    <w:p w14:paraId="1D570CD7">
      <w:pPr>
        <w:pStyle w:val="290"/>
        <w:jc w:val="left"/>
        <w:rPr>
          <w:rFonts w:ascii="仿宋" w:hAnsi="仿宋" w:eastAsia="仿宋" w:cs="仿宋"/>
          <w:color w:val="000000"/>
          <w:sz w:val="28"/>
          <w:szCs w:val="28"/>
          <w:highlight w:val="none"/>
        </w:rPr>
      </w:pPr>
    </w:p>
    <w:p w14:paraId="0F303BAA">
      <w:pPr>
        <w:pStyle w:val="290"/>
        <w:jc w:val="left"/>
        <w:rPr>
          <w:rFonts w:ascii="仿宋" w:hAnsi="仿宋" w:eastAsia="仿宋" w:cs="仿宋"/>
          <w:color w:val="000000"/>
          <w:sz w:val="28"/>
          <w:szCs w:val="28"/>
          <w:highlight w:val="none"/>
        </w:rPr>
      </w:pPr>
    </w:p>
    <w:p w14:paraId="71D7BA64">
      <w:pPr>
        <w:pStyle w:val="290"/>
        <w:jc w:val="left"/>
        <w:rPr>
          <w:rFonts w:ascii="仿宋" w:hAnsi="仿宋" w:eastAsia="仿宋" w:cs="仿宋"/>
          <w:color w:val="000000"/>
          <w:sz w:val="28"/>
          <w:szCs w:val="28"/>
          <w:highlight w:val="none"/>
        </w:rPr>
      </w:pPr>
    </w:p>
    <w:p w14:paraId="1D0DE3E4">
      <w:pPr>
        <w:pStyle w:val="290"/>
        <w:jc w:val="left"/>
        <w:rPr>
          <w:rFonts w:ascii="仿宋" w:hAnsi="仿宋" w:eastAsia="仿宋" w:cs="仿宋"/>
          <w:color w:val="000000"/>
          <w:sz w:val="28"/>
          <w:szCs w:val="28"/>
          <w:highlight w:val="none"/>
        </w:rPr>
      </w:pPr>
    </w:p>
    <w:p w14:paraId="1E624B5A">
      <w:pPr>
        <w:pStyle w:val="290"/>
        <w:jc w:val="left"/>
        <w:rPr>
          <w:rFonts w:ascii="仿宋" w:hAnsi="仿宋" w:eastAsia="仿宋" w:cs="仿宋"/>
          <w:color w:val="000000"/>
          <w:sz w:val="28"/>
          <w:szCs w:val="28"/>
          <w:highlight w:val="none"/>
        </w:rPr>
      </w:pPr>
    </w:p>
    <w:p w14:paraId="1A8D3224">
      <w:pPr>
        <w:pStyle w:val="290"/>
        <w:jc w:val="left"/>
        <w:rPr>
          <w:rFonts w:ascii="仿宋" w:hAnsi="仿宋" w:eastAsia="仿宋" w:cs="仿宋"/>
          <w:color w:val="000000"/>
          <w:sz w:val="28"/>
          <w:szCs w:val="28"/>
          <w:highlight w:val="none"/>
        </w:rPr>
      </w:pPr>
    </w:p>
    <w:p w14:paraId="15DB02F3">
      <w:pPr>
        <w:pStyle w:val="290"/>
        <w:jc w:val="center"/>
        <w:rPr>
          <w:rFonts w:ascii="仿宋" w:hAnsi="仿宋" w:eastAsia="仿宋" w:cs="仿宋"/>
          <w:color w:val="000000"/>
          <w:sz w:val="28"/>
          <w:szCs w:val="28"/>
          <w:highlight w:val="none"/>
        </w:rPr>
      </w:pPr>
    </w:p>
    <w:p w14:paraId="1F6D2A1A">
      <w:pPr>
        <w:pStyle w:val="290"/>
        <w:spacing w:line="44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eastAsia="zh-CN"/>
        </w:rPr>
        <w:t>投标人</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（盖章）</w:t>
      </w:r>
    </w:p>
    <w:p w14:paraId="66298C9A">
      <w:pPr>
        <w:pStyle w:val="290"/>
        <w:spacing w:line="440" w:lineRule="exact"/>
        <w:ind w:right="420"/>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（签字或盖章）</w:t>
      </w:r>
    </w:p>
    <w:p w14:paraId="73CDBB50">
      <w:pPr>
        <w:pStyle w:val="290"/>
        <w:spacing w:line="440" w:lineRule="exact"/>
        <w:ind w:right="980"/>
        <w:jc w:val="center"/>
        <w:rPr>
          <w:rFonts w:ascii="仿宋" w:hAnsi="仿宋" w:eastAsia="仿宋" w:cs="仿宋"/>
          <w:highlight w:val="none"/>
        </w:rPr>
      </w:pPr>
      <w:r>
        <w:rPr>
          <w:rFonts w:hint="eastAsia" w:ascii="仿宋" w:hAnsi="仿宋" w:eastAsia="仿宋" w:cs="仿宋"/>
          <w:color w:val="000000"/>
          <w:sz w:val="28"/>
          <w:szCs w:val="28"/>
          <w:highlight w:val="none"/>
        </w:rPr>
        <w:t>年    月    日</w:t>
      </w:r>
    </w:p>
    <w:p w14:paraId="5BE9154D">
      <w:pPr>
        <w:rPr>
          <w:rFonts w:ascii="仿宋" w:hAnsi="仿宋" w:eastAsia="仿宋" w:cs="仿宋"/>
          <w:highlight w:val="none"/>
        </w:rPr>
      </w:pPr>
    </w:p>
    <w:p w14:paraId="5722E889">
      <w:pPr>
        <w:pStyle w:val="286"/>
        <w:ind w:left="0"/>
        <w:jc w:val="center"/>
        <w:rPr>
          <w:rFonts w:ascii="仿宋" w:hAnsi="仿宋" w:eastAsia="仿宋" w:cs="仿宋"/>
          <w:b/>
          <w:bCs/>
          <w:color w:val="000000"/>
          <w:sz w:val="28"/>
          <w:szCs w:val="28"/>
          <w:highlight w:val="none"/>
        </w:rPr>
      </w:pPr>
      <w:r>
        <w:rPr>
          <w:rFonts w:hint="eastAsia" w:ascii="仿宋" w:hAnsi="仿宋" w:eastAsia="仿宋" w:cs="仿宋"/>
          <w:highlight w:val="none"/>
        </w:rPr>
        <w:br w:type="page" w:clear="all"/>
      </w:r>
      <w:bookmarkStart w:id="77" w:name="_Toc25080"/>
      <w:r>
        <w:rPr>
          <w:rFonts w:hint="eastAsia" w:ascii="仿宋" w:hAnsi="仿宋" w:eastAsia="仿宋" w:cs="仿宋"/>
          <w:b/>
          <w:bCs/>
          <w:color w:val="000000"/>
          <w:sz w:val="28"/>
          <w:szCs w:val="28"/>
          <w:highlight w:val="none"/>
        </w:rPr>
        <w:t>资格审查索引表</w:t>
      </w:r>
    </w:p>
    <w:p w14:paraId="492DC4EE">
      <w:pPr>
        <w:jc w:val="center"/>
        <w:rPr>
          <w:rFonts w:ascii="仿宋" w:hAnsi="仿宋" w:eastAsia="仿宋" w:cs="仿宋"/>
          <w:b/>
          <w:bCs/>
          <w:color w:val="000000"/>
          <w:highlight w:val="none"/>
        </w:rPr>
      </w:pPr>
      <w:r>
        <w:rPr>
          <w:rFonts w:hint="eastAsia" w:ascii="仿宋" w:hAnsi="仿宋" w:eastAsia="仿宋" w:cs="仿宋"/>
          <w:b/>
          <w:bCs/>
          <w:color w:val="000000"/>
          <w:highlight w:val="none"/>
        </w:rPr>
        <w:t>（具体详见第一部分《招标公告》中申请人的资格要求，按照顺序逐一填写）</w:t>
      </w:r>
    </w:p>
    <w:tbl>
      <w:tblPr>
        <w:tblStyle w:val="35"/>
        <w:tblW w:w="8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5826"/>
        <w:gridCol w:w="1944"/>
      </w:tblGrid>
      <w:tr w14:paraId="10F20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327914B4">
            <w:pPr>
              <w:spacing w:line="35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5826" w:type="dxa"/>
            <w:vAlign w:val="center"/>
          </w:tcPr>
          <w:p w14:paraId="5619B511">
            <w:pPr>
              <w:spacing w:line="35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资格要求</w:t>
            </w:r>
          </w:p>
        </w:tc>
        <w:tc>
          <w:tcPr>
            <w:tcW w:w="1944" w:type="dxa"/>
            <w:vAlign w:val="center"/>
          </w:tcPr>
          <w:p w14:paraId="62A606BE">
            <w:pPr>
              <w:spacing w:line="35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投标文件所在页码</w:t>
            </w:r>
          </w:p>
        </w:tc>
      </w:tr>
      <w:tr w14:paraId="2123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2FE5E574">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1</w:t>
            </w:r>
          </w:p>
        </w:tc>
        <w:tc>
          <w:tcPr>
            <w:tcW w:w="5826" w:type="dxa"/>
            <w:vAlign w:val="center"/>
          </w:tcPr>
          <w:p w14:paraId="385BEB67">
            <w:pPr>
              <w:spacing w:line="500" w:lineRule="exact"/>
              <w:jc w:val="left"/>
              <w:rPr>
                <w:rFonts w:ascii="仿宋" w:hAnsi="仿宋" w:eastAsia="仿宋" w:cs="仿宋"/>
                <w:color w:val="000000"/>
                <w:szCs w:val="21"/>
                <w:highlight w:val="none"/>
              </w:rPr>
            </w:pPr>
            <w:r>
              <w:rPr>
                <w:rFonts w:hint="eastAsia" w:ascii="仿宋" w:hAnsi="仿宋" w:eastAsia="仿宋" w:cs="仿宋"/>
                <w:color w:val="000000"/>
                <w:szCs w:val="21"/>
                <w:highlight w:val="none"/>
              </w:rPr>
              <w:t>（例）</w:t>
            </w:r>
            <w:r>
              <w:rPr>
                <w:rFonts w:hint="eastAsia" w:ascii="仿宋" w:hAnsi="仿宋" w:eastAsia="仿宋" w:cs="仿宋"/>
                <w:color w:val="000000"/>
                <w:highlight w:val="none"/>
              </w:rPr>
              <w:t>（一）基本资格条件</w:t>
            </w:r>
          </w:p>
        </w:tc>
        <w:tc>
          <w:tcPr>
            <w:tcW w:w="1944" w:type="dxa"/>
            <w:vAlign w:val="center"/>
          </w:tcPr>
          <w:p w14:paraId="03EC95FD">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（例）P2</w:t>
            </w:r>
          </w:p>
        </w:tc>
      </w:tr>
      <w:tr w14:paraId="2CA5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10BD9654">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5826" w:type="dxa"/>
            <w:vAlign w:val="center"/>
          </w:tcPr>
          <w:p w14:paraId="0295B652">
            <w:pPr>
              <w:spacing w:line="350" w:lineRule="exact"/>
              <w:jc w:val="center"/>
              <w:rPr>
                <w:rFonts w:ascii="仿宋" w:hAnsi="仿宋" w:eastAsia="仿宋" w:cs="仿宋"/>
                <w:color w:val="000000"/>
                <w:szCs w:val="21"/>
                <w:highlight w:val="none"/>
              </w:rPr>
            </w:pPr>
          </w:p>
        </w:tc>
        <w:tc>
          <w:tcPr>
            <w:tcW w:w="1944" w:type="dxa"/>
            <w:vAlign w:val="center"/>
          </w:tcPr>
          <w:p w14:paraId="612E293C">
            <w:pPr>
              <w:spacing w:line="350" w:lineRule="exact"/>
              <w:jc w:val="center"/>
              <w:rPr>
                <w:rFonts w:ascii="仿宋" w:hAnsi="仿宋" w:eastAsia="仿宋" w:cs="仿宋"/>
                <w:color w:val="000000"/>
                <w:szCs w:val="21"/>
                <w:highlight w:val="none"/>
              </w:rPr>
            </w:pPr>
          </w:p>
        </w:tc>
      </w:tr>
      <w:tr w14:paraId="36C4A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78B05E23">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3</w:t>
            </w:r>
          </w:p>
        </w:tc>
        <w:tc>
          <w:tcPr>
            <w:tcW w:w="5826" w:type="dxa"/>
            <w:vAlign w:val="center"/>
          </w:tcPr>
          <w:p w14:paraId="0D4359AB">
            <w:pPr>
              <w:spacing w:line="350" w:lineRule="exact"/>
              <w:jc w:val="center"/>
              <w:rPr>
                <w:rFonts w:ascii="仿宋" w:hAnsi="仿宋" w:eastAsia="仿宋" w:cs="仿宋"/>
                <w:color w:val="000000"/>
                <w:szCs w:val="21"/>
                <w:highlight w:val="none"/>
              </w:rPr>
            </w:pPr>
          </w:p>
        </w:tc>
        <w:tc>
          <w:tcPr>
            <w:tcW w:w="1944" w:type="dxa"/>
            <w:vAlign w:val="center"/>
          </w:tcPr>
          <w:p w14:paraId="66F45B8B">
            <w:pPr>
              <w:spacing w:line="350" w:lineRule="exact"/>
              <w:jc w:val="center"/>
              <w:rPr>
                <w:rFonts w:ascii="仿宋" w:hAnsi="仿宋" w:eastAsia="仿宋" w:cs="仿宋"/>
                <w:color w:val="000000"/>
                <w:szCs w:val="21"/>
                <w:highlight w:val="none"/>
              </w:rPr>
            </w:pPr>
          </w:p>
        </w:tc>
      </w:tr>
      <w:tr w14:paraId="6719B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141602E9">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4</w:t>
            </w:r>
          </w:p>
        </w:tc>
        <w:tc>
          <w:tcPr>
            <w:tcW w:w="5826" w:type="dxa"/>
            <w:vAlign w:val="center"/>
          </w:tcPr>
          <w:p w14:paraId="30C53D4D">
            <w:pPr>
              <w:spacing w:line="350" w:lineRule="exact"/>
              <w:jc w:val="center"/>
              <w:rPr>
                <w:rFonts w:ascii="仿宋" w:hAnsi="仿宋" w:eastAsia="仿宋" w:cs="仿宋"/>
                <w:color w:val="000000"/>
                <w:szCs w:val="21"/>
                <w:highlight w:val="none"/>
              </w:rPr>
            </w:pPr>
          </w:p>
        </w:tc>
        <w:tc>
          <w:tcPr>
            <w:tcW w:w="1944" w:type="dxa"/>
            <w:vAlign w:val="center"/>
          </w:tcPr>
          <w:p w14:paraId="1FC9C105">
            <w:pPr>
              <w:spacing w:line="350" w:lineRule="exact"/>
              <w:jc w:val="center"/>
              <w:rPr>
                <w:rFonts w:ascii="仿宋" w:hAnsi="仿宋" w:eastAsia="仿宋" w:cs="仿宋"/>
                <w:color w:val="000000"/>
                <w:szCs w:val="21"/>
                <w:highlight w:val="none"/>
              </w:rPr>
            </w:pPr>
          </w:p>
        </w:tc>
      </w:tr>
      <w:tr w14:paraId="4F30D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10316E6E">
            <w:pPr>
              <w:spacing w:line="350" w:lineRule="exact"/>
              <w:jc w:val="center"/>
              <w:rPr>
                <w:rFonts w:ascii="仿宋" w:hAnsi="仿宋" w:eastAsia="仿宋" w:cs="仿宋"/>
                <w:color w:val="000000"/>
                <w:szCs w:val="21"/>
                <w:highlight w:val="none"/>
              </w:rPr>
            </w:pPr>
          </w:p>
        </w:tc>
        <w:tc>
          <w:tcPr>
            <w:tcW w:w="5826" w:type="dxa"/>
            <w:vAlign w:val="center"/>
          </w:tcPr>
          <w:p w14:paraId="6B3D5B58">
            <w:pPr>
              <w:spacing w:line="350" w:lineRule="exact"/>
              <w:rPr>
                <w:rFonts w:ascii="仿宋" w:hAnsi="仿宋" w:eastAsia="仿宋" w:cs="仿宋"/>
                <w:color w:val="000000"/>
                <w:szCs w:val="21"/>
                <w:highlight w:val="none"/>
              </w:rPr>
            </w:pPr>
          </w:p>
        </w:tc>
        <w:tc>
          <w:tcPr>
            <w:tcW w:w="1944" w:type="dxa"/>
            <w:vAlign w:val="center"/>
          </w:tcPr>
          <w:p w14:paraId="68F287C8">
            <w:pPr>
              <w:spacing w:line="350" w:lineRule="exact"/>
              <w:rPr>
                <w:rFonts w:ascii="仿宋" w:hAnsi="仿宋" w:eastAsia="仿宋" w:cs="仿宋"/>
                <w:color w:val="000000"/>
                <w:szCs w:val="21"/>
                <w:highlight w:val="none"/>
              </w:rPr>
            </w:pPr>
          </w:p>
        </w:tc>
      </w:tr>
      <w:tr w14:paraId="44EA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75C97617">
            <w:pPr>
              <w:spacing w:line="350" w:lineRule="exact"/>
              <w:jc w:val="center"/>
              <w:rPr>
                <w:rFonts w:ascii="仿宋" w:hAnsi="仿宋" w:eastAsia="仿宋" w:cs="仿宋"/>
                <w:color w:val="000000"/>
                <w:szCs w:val="21"/>
                <w:highlight w:val="none"/>
              </w:rPr>
            </w:pPr>
          </w:p>
        </w:tc>
        <w:tc>
          <w:tcPr>
            <w:tcW w:w="5826" w:type="dxa"/>
            <w:vAlign w:val="center"/>
          </w:tcPr>
          <w:p w14:paraId="6F276931">
            <w:pPr>
              <w:spacing w:line="350" w:lineRule="exact"/>
              <w:rPr>
                <w:rFonts w:ascii="仿宋" w:hAnsi="仿宋" w:eastAsia="仿宋" w:cs="仿宋"/>
                <w:color w:val="000000"/>
                <w:szCs w:val="21"/>
                <w:highlight w:val="none"/>
              </w:rPr>
            </w:pPr>
          </w:p>
        </w:tc>
        <w:tc>
          <w:tcPr>
            <w:tcW w:w="1944" w:type="dxa"/>
            <w:vAlign w:val="center"/>
          </w:tcPr>
          <w:p w14:paraId="033707E0">
            <w:pPr>
              <w:spacing w:line="350" w:lineRule="exact"/>
              <w:rPr>
                <w:rFonts w:ascii="仿宋" w:hAnsi="仿宋" w:eastAsia="仿宋" w:cs="仿宋"/>
                <w:color w:val="000000"/>
                <w:szCs w:val="21"/>
                <w:highlight w:val="none"/>
              </w:rPr>
            </w:pPr>
          </w:p>
        </w:tc>
      </w:tr>
      <w:tr w14:paraId="4D6C6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0B6B6689">
            <w:pPr>
              <w:spacing w:line="350" w:lineRule="exact"/>
              <w:jc w:val="center"/>
              <w:rPr>
                <w:rFonts w:ascii="仿宋" w:hAnsi="仿宋" w:eastAsia="仿宋" w:cs="仿宋"/>
                <w:color w:val="000000"/>
                <w:szCs w:val="21"/>
                <w:highlight w:val="none"/>
              </w:rPr>
            </w:pPr>
          </w:p>
        </w:tc>
        <w:tc>
          <w:tcPr>
            <w:tcW w:w="5826" w:type="dxa"/>
            <w:vAlign w:val="center"/>
          </w:tcPr>
          <w:p w14:paraId="3B3D2DA6">
            <w:pPr>
              <w:spacing w:line="350" w:lineRule="exact"/>
              <w:rPr>
                <w:rFonts w:ascii="仿宋" w:hAnsi="仿宋" w:eastAsia="仿宋" w:cs="仿宋"/>
                <w:color w:val="000000"/>
                <w:szCs w:val="21"/>
                <w:highlight w:val="none"/>
              </w:rPr>
            </w:pPr>
          </w:p>
        </w:tc>
        <w:tc>
          <w:tcPr>
            <w:tcW w:w="1944" w:type="dxa"/>
            <w:vAlign w:val="center"/>
          </w:tcPr>
          <w:p w14:paraId="7CF86C9D">
            <w:pPr>
              <w:spacing w:line="350" w:lineRule="exact"/>
              <w:rPr>
                <w:rFonts w:ascii="仿宋" w:hAnsi="仿宋" w:eastAsia="仿宋" w:cs="仿宋"/>
                <w:color w:val="000000"/>
                <w:szCs w:val="21"/>
                <w:highlight w:val="none"/>
              </w:rPr>
            </w:pPr>
          </w:p>
        </w:tc>
      </w:tr>
      <w:tr w14:paraId="1FAE6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5A71650D">
            <w:pPr>
              <w:spacing w:line="350" w:lineRule="exact"/>
              <w:jc w:val="center"/>
              <w:rPr>
                <w:rFonts w:ascii="仿宋" w:hAnsi="仿宋" w:eastAsia="仿宋" w:cs="仿宋"/>
                <w:color w:val="000000"/>
                <w:szCs w:val="21"/>
                <w:highlight w:val="none"/>
              </w:rPr>
            </w:pPr>
          </w:p>
        </w:tc>
        <w:tc>
          <w:tcPr>
            <w:tcW w:w="5826" w:type="dxa"/>
            <w:vAlign w:val="center"/>
          </w:tcPr>
          <w:p w14:paraId="42F9A7CC">
            <w:pPr>
              <w:spacing w:line="350" w:lineRule="exact"/>
              <w:rPr>
                <w:rFonts w:ascii="仿宋" w:hAnsi="仿宋" w:eastAsia="仿宋" w:cs="仿宋"/>
                <w:color w:val="000000"/>
                <w:szCs w:val="21"/>
                <w:highlight w:val="none"/>
              </w:rPr>
            </w:pPr>
          </w:p>
        </w:tc>
        <w:tc>
          <w:tcPr>
            <w:tcW w:w="1944" w:type="dxa"/>
            <w:vAlign w:val="center"/>
          </w:tcPr>
          <w:p w14:paraId="1F4BEED5">
            <w:pPr>
              <w:spacing w:line="350" w:lineRule="exact"/>
              <w:rPr>
                <w:rFonts w:ascii="仿宋" w:hAnsi="仿宋" w:eastAsia="仿宋" w:cs="仿宋"/>
                <w:color w:val="000000"/>
                <w:szCs w:val="21"/>
                <w:highlight w:val="none"/>
              </w:rPr>
            </w:pPr>
          </w:p>
        </w:tc>
      </w:tr>
      <w:tr w14:paraId="7F40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379BA679">
            <w:pPr>
              <w:spacing w:line="350" w:lineRule="exact"/>
              <w:jc w:val="center"/>
              <w:rPr>
                <w:rFonts w:ascii="仿宋" w:hAnsi="仿宋" w:eastAsia="仿宋" w:cs="仿宋"/>
                <w:color w:val="000000"/>
                <w:szCs w:val="21"/>
                <w:highlight w:val="none"/>
              </w:rPr>
            </w:pPr>
          </w:p>
        </w:tc>
        <w:tc>
          <w:tcPr>
            <w:tcW w:w="5826" w:type="dxa"/>
            <w:vAlign w:val="center"/>
          </w:tcPr>
          <w:p w14:paraId="6F709A51">
            <w:pPr>
              <w:spacing w:line="350" w:lineRule="exact"/>
              <w:rPr>
                <w:rFonts w:ascii="仿宋" w:hAnsi="仿宋" w:eastAsia="仿宋" w:cs="仿宋"/>
                <w:color w:val="000000"/>
                <w:szCs w:val="21"/>
                <w:highlight w:val="none"/>
              </w:rPr>
            </w:pPr>
          </w:p>
        </w:tc>
        <w:tc>
          <w:tcPr>
            <w:tcW w:w="1944" w:type="dxa"/>
            <w:vAlign w:val="center"/>
          </w:tcPr>
          <w:p w14:paraId="35EB1DEA">
            <w:pPr>
              <w:spacing w:line="350" w:lineRule="exact"/>
              <w:rPr>
                <w:rFonts w:ascii="仿宋" w:hAnsi="仿宋" w:eastAsia="仿宋" w:cs="仿宋"/>
                <w:color w:val="000000"/>
                <w:szCs w:val="21"/>
                <w:highlight w:val="none"/>
              </w:rPr>
            </w:pPr>
          </w:p>
        </w:tc>
      </w:tr>
      <w:tr w14:paraId="3EFFB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3148AC0B">
            <w:pPr>
              <w:spacing w:line="350" w:lineRule="exact"/>
              <w:jc w:val="center"/>
              <w:rPr>
                <w:rFonts w:ascii="仿宋" w:hAnsi="仿宋" w:eastAsia="仿宋" w:cs="仿宋"/>
                <w:color w:val="000000"/>
                <w:szCs w:val="21"/>
                <w:highlight w:val="none"/>
              </w:rPr>
            </w:pPr>
          </w:p>
        </w:tc>
        <w:tc>
          <w:tcPr>
            <w:tcW w:w="5826" w:type="dxa"/>
            <w:vAlign w:val="center"/>
          </w:tcPr>
          <w:p w14:paraId="36C2504C">
            <w:pPr>
              <w:spacing w:line="350" w:lineRule="exact"/>
              <w:rPr>
                <w:rFonts w:ascii="仿宋" w:hAnsi="仿宋" w:eastAsia="仿宋" w:cs="仿宋"/>
                <w:color w:val="000000"/>
                <w:szCs w:val="21"/>
                <w:highlight w:val="none"/>
              </w:rPr>
            </w:pPr>
          </w:p>
        </w:tc>
        <w:tc>
          <w:tcPr>
            <w:tcW w:w="1944" w:type="dxa"/>
            <w:vAlign w:val="center"/>
          </w:tcPr>
          <w:p w14:paraId="42D98DBC">
            <w:pPr>
              <w:spacing w:line="350" w:lineRule="exact"/>
              <w:rPr>
                <w:rFonts w:ascii="仿宋" w:hAnsi="仿宋" w:eastAsia="仿宋" w:cs="仿宋"/>
                <w:color w:val="000000"/>
                <w:szCs w:val="21"/>
                <w:highlight w:val="none"/>
              </w:rPr>
            </w:pPr>
          </w:p>
        </w:tc>
      </w:tr>
      <w:tr w14:paraId="0C90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310A42B7">
            <w:pPr>
              <w:spacing w:line="350" w:lineRule="exact"/>
              <w:jc w:val="center"/>
              <w:rPr>
                <w:rFonts w:ascii="仿宋" w:hAnsi="仿宋" w:eastAsia="仿宋" w:cs="仿宋"/>
                <w:color w:val="000000"/>
                <w:szCs w:val="21"/>
                <w:highlight w:val="none"/>
              </w:rPr>
            </w:pPr>
          </w:p>
        </w:tc>
        <w:tc>
          <w:tcPr>
            <w:tcW w:w="5826" w:type="dxa"/>
            <w:vAlign w:val="center"/>
          </w:tcPr>
          <w:p w14:paraId="4DD54115">
            <w:pPr>
              <w:spacing w:line="350" w:lineRule="exact"/>
              <w:rPr>
                <w:rFonts w:ascii="仿宋" w:hAnsi="仿宋" w:eastAsia="仿宋" w:cs="仿宋"/>
                <w:color w:val="000000"/>
                <w:szCs w:val="21"/>
                <w:highlight w:val="none"/>
              </w:rPr>
            </w:pPr>
          </w:p>
        </w:tc>
        <w:tc>
          <w:tcPr>
            <w:tcW w:w="1944" w:type="dxa"/>
            <w:vAlign w:val="center"/>
          </w:tcPr>
          <w:p w14:paraId="3E824B24">
            <w:pPr>
              <w:spacing w:line="350" w:lineRule="exact"/>
              <w:rPr>
                <w:rFonts w:ascii="仿宋" w:hAnsi="仿宋" w:eastAsia="仿宋" w:cs="仿宋"/>
                <w:color w:val="000000"/>
                <w:szCs w:val="21"/>
                <w:highlight w:val="none"/>
              </w:rPr>
            </w:pPr>
          </w:p>
        </w:tc>
      </w:tr>
      <w:tr w14:paraId="5C652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jc w:val="center"/>
        </w:trPr>
        <w:tc>
          <w:tcPr>
            <w:tcW w:w="1065" w:type="dxa"/>
            <w:vAlign w:val="center"/>
          </w:tcPr>
          <w:p w14:paraId="000AE1FA">
            <w:pPr>
              <w:spacing w:line="350" w:lineRule="exact"/>
              <w:jc w:val="center"/>
              <w:rPr>
                <w:rFonts w:ascii="仿宋" w:hAnsi="仿宋" w:eastAsia="仿宋" w:cs="仿宋"/>
                <w:color w:val="000000"/>
                <w:szCs w:val="21"/>
                <w:highlight w:val="none"/>
              </w:rPr>
            </w:pPr>
          </w:p>
        </w:tc>
        <w:tc>
          <w:tcPr>
            <w:tcW w:w="5826" w:type="dxa"/>
            <w:vAlign w:val="center"/>
          </w:tcPr>
          <w:p w14:paraId="2EB210A8">
            <w:pPr>
              <w:spacing w:line="350" w:lineRule="exact"/>
              <w:rPr>
                <w:rFonts w:ascii="仿宋" w:hAnsi="仿宋" w:eastAsia="仿宋" w:cs="仿宋"/>
                <w:color w:val="000000"/>
                <w:szCs w:val="21"/>
                <w:highlight w:val="none"/>
              </w:rPr>
            </w:pPr>
          </w:p>
        </w:tc>
        <w:tc>
          <w:tcPr>
            <w:tcW w:w="1944" w:type="dxa"/>
            <w:vAlign w:val="center"/>
          </w:tcPr>
          <w:p w14:paraId="485A7F53">
            <w:pPr>
              <w:spacing w:line="350" w:lineRule="exact"/>
              <w:rPr>
                <w:rFonts w:ascii="仿宋" w:hAnsi="仿宋" w:eastAsia="仿宋" w:cs="仿宋"/>
                <w:color w:val="000000"/>
                <w:szCs w:val="21"/>
                <w:highlight w:val="none"/>
              </w:rPr>
            </w:pPr>
          </w:p>
        </w:tc>
      </w:tr>
    </w:tbl>
    <w:p w14:paraId="31E52484">
      <w:pPr>
        <w:pStyle w:val="291"/>
        <w:jc w:val="left"/>
        <w:rPr>
          <w:rFonts w:ascii="仿宋" w:hAnsi="仿宋" w:eastAsia="仿宋" w:cs="仿宋"/>
          <w:b/>
          <w:bCs/>
          <w:sz w:val="24"/>
          <w:szCs w:val="28"/>
          <w:highlight w:val="none"/>
        </w:rPr>
      </w:pPr>
    </w:p>
    <w:p w14:paraId="5CEE7149">
      <w:pPr>
        <w:pStyle w:val="291"/>
        <w:jc w:val="left"/>
        <w:rPr>
          <w:rFonts w:ascii="仿宋" w:hAnsi="仿宋" w:eastAsia="仿宋" w:cs="仿宋"/>
          <w:b/>
          <w:bCs/>
          <w:sz w:val="24"/>
          <w:szCs w:val="28"/>
          <w:highlight w:val="none"/>
        </w:rPr>
      </w:pPr>
      <w:r>
        <w:rPr>
          <w:rFonts w:hint="eastAsia" w:ascii="仿宋" w:hAnsi="仿宋" w:eastAsia="仿宋" w:cs="仿宋"/>
          <w:b/>
          <w:bCs/>
          <w:sz w:val="24"/>
          <w:szCs w:val="28"/>
          <w:highlight w:val="none"/>
        </w:rPr>
        <w:t>注：1、表格中填写（例）仅为</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理解表格使用，</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制作文件时请删除。</w:t>
      </w:r>
    </w:p>
    <w:p w14:paraId="7885B19D">
      <w:pPr>
        <w:pStyle w:val="286"/>
        <w:ind w:left="0" w:firstLine="482"/>
        <w:rPr>
          <w:rFonts w:ascii="仿宋" w:hAnsi="仿宋" w:eastAsia="仿宋" w:cs="仿宋"/>
          <w:b/>
          <w:bCs/>
          <w:szCs w:val="28"/>
          <w:highlight w:val="none"/>
        </w:rPr>
      </w:pPr>
      <w:r>
        <w:rPr>
          <w:rFonts w:hint="eastAsia" w:ascii="仿宋" w:hAnsi="仿宋" w:eastAsia="仿宋" w:cs="仿宋"/>
          <w:b/>
          <w:bCs/>
          <w:szCs w:val="28"/>
          <w:highlight w:val="none"/>
        </w:rPr>
        <w:t>2、行数不够请自行添加。</w:t>
      </w:r>
    </w:p>
    <w:p w14:paraId="0CCFD5CA">
      <w:pPr>
        <w:pStyle w:val="286"/>
        <w:ind w:left="0"/>
        <w:jc w:val="center"/>
        <w:rPr>
          <w:rFonts w:ascii="仿宋" w:hAnsi="仿宋" w:eastAsia="仿宋" w:cs="仿宋"/>
          <w:b/>
          <w:bCs/>
          <w:color w:val="000000"/>
          <w:sz w:val="28"/>
          <w:szCs w:val="28"/>
          <w:highlight w:val="none"/>
        </w:rPr>
      </w:pPr>
      <w:r>
        <w:rPr>
          <w:rFonts w:hint="eastAsia" w:ascii="仿宋" w:hAnsi="仿宋" w:eastAsia="仿宋" w:cs="仿宋"/>
          <w:b/>
          <w:bCs/>
          <w:szCs w:val="28"/>
          <w:highlight w:val="none"/>
        </w:rPr>
        <w:br w:type="page" w:clear="all"/>
      </w:r>
      <w:r>
        <w:rPr>
          <w:rFonts w:hint="eastAsia" w:ascii="仿宋" w:hAnsi="仿宋" w:eastAsia="仿宋" w:cs="仿宋"/>
          <w:b/>
          <w:bCs/>
          <w:color w:val="000000"/>
          <w:sz w:val="28"/>
          <w:szCs w:val="28"/>
          <w:highlight w:val="none"/>
        </w:rPr>
        <w:t>评分索引表</w:t>
      </w:r>
    </w:p>
    <w:p w14:paraId="68C24A0E">
      <w:pPr>
        <w:jc w:val="center"/>
        <w:rPr>
          <w:rFonts w:ascii="仿宋" w:hAnsi="仿宋" w:eastAsia="仿宋" w:cs="仿宋"/>
          <w:b/>
          <w:bCs/>
          <w:color w:val="000000"/>
          <w:highlight w:val="none"/>
        </w:rPr>
      </w:pPr>
      <w:r>
        <w:rPr>
          <w:rFonts w:hint="eastAsia" w:ascii="仿宋" w:hAnsi="仿宋" w:eastAsia="仿宋" w:cs="仿宋"/>
          <w:b/>
          <w:bCs/>
          <w:color w:val="000000"/>
          <w:highlight w:val="none"/>
        </w:rPr>
        <w:t>（具体详见第五部分《评标方法和标准》中详细评审，按照顺序逐一填写）</w:t>
      </w:r>
    </w:p>
    <w:tbl>
      <w:tblPr>
        <w:tblStyle w:val="35"/>
        <w:tblW w:w="9232" w:type="dxa"/>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6013"/>
        <w:gridCol w:w="2004"/>
      </w:tblGrid>
      <w:tr w14:paraId="51BBC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2D176181">
            <w:pPr>
              <w:spacing w:line="35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序号</w:t>
            </w:r>
          </w:p>
        </w:tc>
        <w:tc>
          <w:tcPr>
            <w:tcW w:w="6013" w:type="dxa"/>
            <w:vAlign w:val="center"/>
          </w:tcPr>
          <w:p w14:paraId="7305D0BF">
            <w:pPr>
              <w:spacing w:line="35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评分标准</w:t>
            </w:r>
          </w:p>
        </w:tc>
        <w:tc>
          <w:tcPr>
            <w:tcW w:w="2004" w:type="dxa"/>
            <w:vAlign w:val="center"/>
          </w:tcPr>
          <w:p w14:paraId="1A8A7955">
            <w:pPr>
              <w:spacing w:line="350" w:lineRule="exact"/>
              <w:jc w:val="center"/>
              <w:rPr>
                <w:rFonts w:ascii="仿宋" w:hAnsi="仿宋" w:eastAsia="仿宋" w:cs="仿宋"/>
                <w:b/>
                <w:bCs/>
                <w:color w:val="000000"/>
                <w:szCs w:val="21"/>
                <w:highlight w:val="none"/>
              </w:rPr>
            </w:pPr>
            <w:r>
              <w:rPr>
                <w:rFonts w:hint="eastAsia" w:ascii="仿宋" w:hAnsi="仿宋" w:eastAsia="仿宋" w:cs="仿宋"/>
                <w:b/>
                <w:bCs/>
                <w:color w:val="000000"/>
                <w:szCs w:val="21"/>
                <w:highlight w:val="none"/>
              </w:rPr>
              <w:t>投标文件所在页码</w:t>
            </w:r>
          </w:p>
        </w:tc>
      </w:tr>
      <w:tr w14:paraId="1D832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407D374E">
            <w:pPr>
              <w:spacing w:line="440" w:lineRule="exact"/>
              <w:jc w:val="center"/>
              <w:rPr>
                <w:rFonts w:ascii="仿宋" w:hAnsi="仿宋" w:eastAsia="仿宋" w:cs="仿宋"/>
                <w:color w:val="000000"/>
                <w:sz w:val="21"/>
                <w:szCs w:val="21"/>
                <w:highlight w:val="none"/>
              </w:rPr>
            </w:pPr>
            <w:r>
              <w:rPr>
                <w:rFonts w:hint="eastAsia" w:ascii="仿宋" w:hAnsi="仿宋" w:eastAsia="仿宋" w:cs="仿宋"/>
                <w:color w:val="000000"/>
                <w:szCs w:val="21"/>
                <w:highlight w:val="none"/>
              </w:rPr>
              <w:t>1</w:t>
            </w:r>
          </w:p>
        </w:tc>
        <w:tc>
          <w:tcPr>
            <w:tcW w:w="6013" w:type="dxa"/>
            <w:vAlign w:val="center"/>
          </w:tcPr>
          <w:p w14:paraId="36B3D48B">
            <w:pPr>
              <w:tabs>
                <w:tab w:val="left" w:pos="3600"/>
              </w:tabs>
              <w:spacing w:line="440" w:lineRule="exact"/>
              <w:jc w:val="left"/>
              <w:rPr>
                <w:rFonts w:hint="default" w:ascii="仿宋" w:hAnsi="仿宋" w:eastAsia="仿宋" w:cs="仿宋"/>
                <w:color w:val="000000"/>
                <w:sz w:val="21"/>
                <w:szCs w:val="21"/>
                <w:highlight w:val="none"/>
                <w:lang w:val="en-US"/>
              </w:rPr>
            </w:pPr>
            <w:r>
              <w:rPr>
                <w:rFonts w:hint="eastAsia" w:ascii="仿宋" w:hAnsi="仿宋" w:eastAsia="仿宋" w:cs="仿宋"/>
                <w:color w:val="000000"/>
                <w:szCs w:val="21"/>
                <w:highlight w:val="none"/>
              </w:rPr>
              <w:t>（例）价格分采用低价优先法计算，即满足招标文件要求且投标价格最低的投标报价为评标基准价，其价格分为满分。其他供应商的价格分按照下列公式计算，保留小数点后2位：投标报价得分=（评标基准价／投标报价）×30。</w:t>
            </w:r>
          </w:p>
        </w:tc>
        <w:tc>
          <w:tcPr>
            <w:tcW w:w="2004" w:type="dxa"/>
            <w:vAlign w:val="center"/>
          </w:tcPr>
          <w:p w14:paraId="4A3D04A1">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（例）P2</w:t>
            </w:r>
          </w:p>
        </w:tc>
      </w:tr>
      <w:tr w14:paraId="761C0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44923A54">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2</w:t>
            </w:r>
          </w:p>
        </w:tc>
        <w:tc>
          <w:tcPr>
            <w:tcW w:w="6013" w:type="dxa"/>
            <w:vAlign w:val="center"/>
          </w:tcPr>
          <w:p w14:paraId="4F33BAEB">
            <w:pPr>
              <w:spacing w:line="350" w:lineRule="exact"/>
              <w:jc w:val="center"/>
              <w:rPr>
                <w:rFonts w:ascii="仿宋" w:hAnsi="仿宋" w:eastAsia="仿宋" w:cs="仿宋"/>
                <w:color w:val="000000"/>
                <w:szCs w:val="21"/>
                <w:highlight w:val="none"/>
              </w:rPr>
            </w:pPr>
          </w:p>
        </w:tc>
        <w:tc>
          <w:tcPr>
            <w:tcW w:w="2004" w:type="dxa"/>
            <w:vAlign w:val="center"/>
          </w:tcPr>
          <w:p w14:paraId="6B803CA8">
            <w:pPr>
              <w:spacing w:line="350" w:lineRule="exact"/>
              <w:jc w:val="center"/>
              <w:rPr>
                <w:rFonts w:ascii="仿宋" w:hAnsi="仿宋" w:eastAsia="仿宋" w:cs="仿宋"/>
                <w:color w:val="000000"/>
                <w:szCs w:val="21"/>
                <w:highlight w:val="none"/>
              </w:rPr>
            </w:pPr>
          </w:p>
        </w:tc>
      </w:tr>
      <w:tr w14:paraId="0C831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00698820">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3</w:t>
            </w:r>
          </w:p>
        </w:tc>
        <w:tc>
          <w:tcPr>
            <w:tcW w:w="6013" w:type="dxa"/>
            <w:vAlign w:val="center"/>
          </w:tcPr>
          <w:p w14:paraId="36F48651">
            <w:pPr>
              <w:spacing w:line="350" w:lineRule="exact"/>
              <w:jc w:val="center"/>
              <w:rPr>
                <w:rFonts w:ascii="仿宋" w:hAnsi="仿宋" w:eastAsia="仿宋" w:cs="仿宋"/>
                <w:color w:val="000000"/>
                <w:szCs w:val="21"/>
                <w:highlight w:val="none"/>
              </w:rPr>
            </w:pPr>
          </w:p>
        </w:tc>
        <w:tc>
          <w:tcPr>
            <w:tcW w:w="2004" w:type="dxa"/>
            <w:vAlign w:val="center"/>
          </w:tcPr>
          <w:p w14:paraId="4DF46B61">
            <w:pPr>
              <w:spacing w:line="350" w:lineRule="exact"/>
              <w:jc w:val="center"/>
              <w:rPr>
                <w:rFonts w:ascii="仿宋" w:hAnsi="仿宋" w:eastAsia="仿宋" w:cs="仿宋"/>
                <w:color w:val="000000"/>
                <w:szCs w:val="21"/>
                <w:highlight w:val="none"/>
              </w:rPr>
            </w:pPr>
          </w:p>
        </w:tc>
      </w:tr>
      <w:tr w14:paraId="3CD3B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355830C3">
            <w:pPr>
              <w:spacing w:line="350" w:lineRule="exact"/>
              <w:jc w:val="center"/>
              <w:rPr>
                <w:rFonts w:ascii="仿宋" w:hAnsi="仿宋" w:eastAsia="仿宋" w:cs="仿宋"/>
                <w:color w:val="000000"/>
                <w:szCs w:val="21"/>
                <w:highlight w:val="none"/>
              </w:rPr>
            </w:pPr>
            <w:r>
              <w:rPr>
                <w:rFonts w:hint="eastAsia" w:ascii="仿宋" w:hAnsi="仿宋" w:eastAsia="仿宋" w:cs="仿宋"/>
                <w:color w:val="000000"/>
                <w:szCs w:val="21"/>
                <w:highlight w:val="none"/>
              </w:rPr>
              <w:t>4</w:t>
            </w:r>
          </w:p>
        </w:tc>
        <w:tc>
          <w:tcPr>
            <w:tcW w:w="6013" w:type="dxa"/>
            <w:vAlign w:val="center"/>
          </w:tcPr>
          <w:p w14:paraId="2E6E6D03">
            <w:pPr>
              <w:spacing w:line="350" w:lineRule="exact"/>
              <w:jc w:val="center"/>
              <w:rPr>
                <w:rFonts w:ascii="仿宋" w:hAnsi="仿宋" w:eastAsia="仿宋" w:cs="仿宋"/>
                <w:color w:val="000000"/>
                <w:szCs w:val="21"/>
                <w:highlight w:val="none"/>
              </w:rPr>
            </w:pPr>
          </w:p>
        </w:tc>
        <w:tc>
          <w:tcPr>
            <w:tcW w:w="2004" w:type="dxa"/>
            <w:vAlign w:val="center"/>
          </w:tcPr>
          <w:p w14:paraId="65EBE62A">
            <w:pPr>
              <w:spacing w:line="350" w:lineRule="exact"/>
              <w:jc w:val="center"/>
              <w:rPr>
                <w:rFonts w:ascii="仿宋" w:hAnsi="仿宋" w:eastAsia="仿宋" w:cs="仿宋"/>
                <w:color w:val="000000"/>
                <w:szCs w:val="21"/>
                <w:highlight w:val="none"/>
              </w:rPr>
            </w:pPr>
          </w:p>
        </w:tc>
      </w:tr>
      <w:tr w14:paraId="20CB5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57EB05DC">
            <w:pPr>
              <w:spacing w:line="350" w:lineRule="exact"/>
              <w:jc w:val="center"/>
              <w:rPr>
                <w:rFonts w:ascii="仿宋" w:hAnsi="仿宋" w:eastAsia="仿宋" w:cs="仿宋"/>
                <w:color w:val="000000"/>
                <w:szCs w:val="21"/>
                <w:highlight w:val="none"/>
              </w:rPr>
            </w:pPr>
          </w:p>
        </w:tc>
        <w:tc>
          <w:tcPr>
            <w:tcW w:w="6013" w:type="dxa"/>
            <w:vAlign w:val="center"/>
          </w:tcPr>
          <w:p w14:paraId="409620D8">
            <w:pPr>
              <w:spacing w:line="350" w:lineRule="exact"/>
              <w:jc w:val="center"/>
              <w:rPr>
                <w:rFonts w:ascii="仿宋" w:hAnsi="仿宋" w:eastAsia="仿宋" w:cs="仿宋"/>
                <w:color w:val="000000"/>
                <w:szCs w:val="21"/>
                <w:highlight w:val="none"/>
              </w:rPr>
            </w:pPr>
          </w:p>
        </w:tc>
        <w:tc>
          <w:tcPr>
            <w:tcW w:w="2004" w:type="dxa"/>
            <w:vAlign w:val="center"/>
          </w:tcPr>
          <w:p w14:paraId="5F4DCFD9">
            <w:pPr>
              <w:spacing w:line="350" w:lineRule="exact"/>
              <w:jc w:val="center"/>
              <w:rPr>
                <w:rFonts w:ascii="仿宋" w:hAnsi="仿宋" w:eastAsia="仿宋" w:cs="仿宋"/>
                <w:color w:val="000000"/>
                <w:szCs w:val="21"/>
                <w:highlight w:val="none"/>
              </w:rPr>
            </w:pPr>
          </w:p>
        </w:tc>
      </w:tr>
      <w:tr w14:paraId="02BD3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25362031">
            <w:pPr>
              <w:spacing w:line="350" w:lineRule="exact"/>
              <w:jc w:val="center"/>
              <w:rPr>
                <w:rFonts w:ascii="仿宋" w:hAnsi="仿宋" w:eastAsia="仿宋" w:cs="仿宋"/>
                <w:color w:val="000000"/>
                <w:szCs w:val="21"/>
                <w:highlight w:val="none"/>
              </w:rPr>
            </w:pPr>
          </w:p>
        </w:tc>
        <w:tc>
          <w:tcPr>
            <w:tcW w:w="6013" w:type="dxa"/>
            <w:vAlign w:val="center"/>
          </w:tcPr>
          <w:p w14:paraId="77BB5D1D">
            <w:pPr>
              <w:spacing w:line="350" w:lineRule="exact"/>
              <w:jc w:val="center"/>
              <w:rPr>
                <w:rFonts w:ascii="仿宋" w:hAnsi="仿宋" w:eastAsia="仿宋" w:cs="仿宋"/>
                <w:color w:val="000000"/>
                <w:szCs w:val="21"/>
                <w:highlight w:val="none"/>
              </w:rPr>
            </w:pPr>
          </w:p>
        </w:tc>
        <w:tc>
          <w:tcPr>
            <w:tcW w:w="2004" w:type="dxa"/>
            <w:vAlign w:val="center"/>
          </w:tcPr>
          <w:p w14:paraId="7CF82686">
            <w:pPr>
              <w:spacing w:line="350" w:lineRule="exact"/>
              <w:jc w:val="center"/>
              <w:rPr>
                <w:rFonts w:ascii="仿宋" w:hAnsi="仿宋" w:eastAsia="仿宋" w:cs="仿宋"/>
                <w:color w:val="000000"/>
                <w:szCs w:val="21"/>
                <w:highlight w:val="none"/>
              </w:rPr>
            </w:pPr>
          </w:p>
        </w:tc>
      </w:tr>
      <w:tr w14:paraId="04DA8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2605DD4A">
            <w:pPr>
              <w:spacing w:line="350" w:lineRule="exact"/>
              <w:jc w:val="center"/>
              <w:rPr>
                <w:rFonts w:ascii="仿宋" w:hAnsi="仿宋" w:eastAsia="仿宋" w:cs="仿宋"/>
                <w:color w:val="000000"/>
                <w:szCs w:val="21"/>
                <w:highlight w:val="none"/>
              </w:rPr>
            </w:pPr>
          </w:p>
        </w:tc>
        <w:tc>
          <w:tcPr>
            <w:tcW w:w="6013" w:type="dxa"/>
            <w:vAlign w:val="center"/>
          </w:tcPr>
          <w:p w14:paraId="4D4B779C">
            <w:pPr>
              <w:spacing w:line="350" w:lineRule="exact"/>
              <w:jc w:val="center"/>
              <w:rPr>
                <w:rFonts w:ascii="仿宋" w:hAnsi="仿宋" w:eastAsia="仿宋" w:cs="仿宋"/>
                <w:color w:val="000000"/>
                <w:szCs w:val="21"/>
                <w:highlight w:val="none"/>
              </w:rPr>
            </w:pPr>
          </w:p>
        </w:tc>
        <w:tc>
          <w:tcPr>
            <w:tcW w:w="2004" w:type="dxa"/>
            <w:vAlign w:val="center"/>
          </w:tcPr>
          <w:p w14:paraId="3F4E2A18">
            <w:pPr>
              <w:spacing w:line="350" w:lineRule="exact"/>
              <w:jc w:val="center"/>
              <w:rPr>
                <w:rFonts w:ascii="仿宋" w:hAnsi="仿宋" w:eastAsia="仿宋" w:cs="仿宋"/>
                <w:color w:val="000000"/>
                <w:szCs w:val="21"/>
                <w:highlight w:val="none"/>
              </w:rPr>
            </w:pPr>
          </w:p>
        </w:tc>
      </w:tr>
      <w:tr w14:paraId="31CC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31D08DDE">
            <w:pPr>
              <w:spacing w:line="350" w:lineRule="exact"/>
              <w:jc w:val="center"/>
              <w:rPr>
                <w:rFonts w:ascii="仿宋" w:hAnsi="仿宋" w:eastAsia="仿宋" w:cs="仿宋"/>
                <w:color w:val="000000"/>
                <w:szCs w:val="21"/>
                <w:highlight w:val="none"/>
              </w:rPr>
            </w:pPr>
          </w:p>
        </w:tc>
        <w:tc>
          <w:tcPr>
            <w:tcW w:w="6013" w:type="dxa"/>
            <w:vAlign w:val="center"/>
          </w:tcPr>
          <w:p w14:paraId="74AC8D60">
            <w:pPr>
              <w:spacing w:line="350" w:lineRule="exact"/>
              <w:jc w:val="center"/>
              <w:rPr>
                <w:rFonts w:ascii="仿宋" w:hAnsi="仿宋" w:eastAsia="仿宋" w:cs="仿宋"/>
                <w:color w:val="000000"/>
                <w:szCs w:val="21"/>
                <w:highlight w:val="none"/>
              </w:rPr>
            </w:pPr>
          </w:p>
        </w:tc>
        <w:tc>
          <w:tcPr>
            <w:tcW w:w="2004" w:type="dxa"/>
            <w:vAlign w:val="center"/>
          </w:tcPr>
          <w:p w14:paraId="4D5C9170">
            <w:pPr>
              <w:spacing w:line="350" w:lineRule="exact"/>
              <w:jc w:val="center"/>
              <w:rPr>
                <w:rFonts w:ascii="仿宋" w:hAnsi="仿宋" w:eastAsia="仿宋" w:cs="仿宋"/>
                <w:color w:val="000000"/>
                <w:szCs w:val="21"/>
                <w:highlight w:val="none"/>
              </w:rPr>
            </w:pPr>
          </w:p>
        </w:tc>
      </w:tr>
      <w:tr w14:paraId="2B666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57363718">
            <w:pPr>
              <w:spacing w:line="350" w:lineRule="exact"/>
              <w:jc w:val="center"/>
              <w:rPr>
                <w:rFonts w:ascii="仿宋" w:hAnsi="仿宋" w:eastAsia="仿宋" w:cs="仿宋"/>
                <w:color w:val="000000"/>
                <w:szCs w:val="21"/>
                <w:highlight w:val="none"/>
              </w:rPr>
            </w:pPr>
          </w:p>
        </w:tc>
        <w:tc>
          <w:tcPr>
            <w:tcW w:w="6013" w:type="dxa"/>
            <w:vAlign w:val="center"/>
          </w:tcPr>
          <w:p w14:paraId="2CCD6773">
            <w:pPr>
              <w:spacing w:line="350" w:lineRule="exact"/>
              <w:jc w:val="center"/>
              <w:rPr>
                <w:rFonts w:ascii="仿宋" w:hAnsi="仿宋" w:eastAsia="仿宋" w:cs="仿宋"/>
                <w:color w:val="000000"/>
                <w:szCs w:val="21"/>
                <w:highlight w:val="none"/>
              </w:rPr>
            </w:pPr>
          </w:p>
        </w:tc>
        <w:tc>
          <w:tcPr>
            <w:tcW w:w="2004" w:type="dxa"/>
            <w:vAlign w:val="center"/>
          </w:tcPr>
          <w:p w14:paraId="0F7CB241">
            <w:pPr>
              <w:spacing w:line="350" w:lineRule="exact"/>
              <w:jc w:val="center"/>
              <w:rPr>
                <w:rFonts w:ascii="仿宋" w:hAnsi="仿宋" w:eastAsia="仿宋" w:cs="仿宋"/>
                <w:color w:val="000000"/>
                <w:szCs w:val="21"/>
                <w:highlight w:val="none"/>
              </w:rPr>
            </w:pPr>
          </w:p>
        </w:tc>
      </w:tr>
      <w:tr w14:paraId="7BB8B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58182CBC">
            <w:pPr>
              <w:spacing w:line="350" w:lineRule="exact"/>
              <w:jc w:val="center"/>
              <w:rPr>
                <w:rFonts w:ascii="仿宋" w:hAnsi="仿宋" w:eastAsia="仿宋" w:cs="仿宋"/>
                <w:color w:val="000000"/>
                <w:szCs w:val="21"/>
                <w:highlight w:val="none"/>
              </w:rPr>
            </w:pPr>
          </w:p>
        </w:tc>
        <w:tc>
          <w:tcPr>
            <w:tcW w:w="6013" w:type="dxa"/>
            <w:vAlign w:val="center"/>
          </w:tcPr>
          <w:p w14:paraId="1A7C7B27">
            <w:pPr>
              <w:spacing w:line="350" w:lineRule="exact"/>
              <w:jc w:val="center"/>
              <w:rPr>
                <w:rFonts w:ascii="仿宋" w:hAnsi="仿宋" w:eastAsia="仿宋" w:cs="仿宋"/>
                <w:color w:val="000000"/>
                <w:szCs w:val="21"/>
                <w:highlight w:val="none"/>
              </w:rPr>
            </w:pPr>
          </w:p>
        </w:tc>
        <w:tc>
          <w:tcPr>
            <w:tcW w:w="2004" w:type="dxa"/>
            <w:vAlign w:val="center"/>
          </w:tcPr>
          <w:p w14:paraId="746CAC4D">
            <w:pPr>
              <w:spacing w:line="350" w:lineRule="exact"/>
              <w:jc w:val="center"/>
              <w:rPr>
                <w:rFonts w:ascii="仿宋" w:hAnsi="仿宋" w:eastAsia="仿宋" w:cs="仿宋"/>
                <w:color w:val="000000"/>
                <w:szCs w:val="21"/>
                <w:highlight w:val="none"/>
              </w:rPr>
            </w:pPr>
          </w:p>
        </w:tc>
      </w:tr>
      <w:tr w14:paraId="072A2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09C38CC7">
            <w:pPr>
              <w:spacing w:line="350" w:lineRule="exact"/>
              <w:jc w:val="center"/>
              <w:rPr>
                <w:rFonts w:ascii="仿宋" w:hAnsi="仿宋" w:eastAsia="仿宋" w:cs="仿宋"/>
                <w:color w:val="000000"/>
                <w:szCs w:val="21"/>
                <w:highlight w:val="none"/>
              </w:rPr>
            </w:pPr>
          </w:p>
        </w:tc>
        <w:tc>
          <w:tcPr>
            <w:tcW w:w="6013" w:type="dxa"/>
            <w:vAlign w:val="center"/>
          </w:tcPr>
          <w:p w14:paraId="7A08CA84">
            <w:pPr>
              <w:spacing w:line="350" w:lineRule="exact"/>
              <w:jc w:val="center"/>
              <w:rPr>
                <w:rFonts w:ascii="仿宋" w:hAnsi="仿宋" w:eastAsia="仿宋" w:cs="仿宋"/>
                <w:color w:val="000000"/>
                <w:szCs w:val="21"/>
                <w:highlight w:val="none"/>
              </w:rPr>
            </w:pPr>
          </w:p>
        </w:tc>
        <w:tc>
          <w:tcPr>
            <w:tcW w:w="2004" w:type="dxa"/>
            <w:vAlign w:val="center"/>
          </w:tcPr>
          <w:p w14:paraId="3D55582C">
            <w:pPr>
              <w:spacing w:line="350" w:lineRule="exact"/>
              <w:jc w:val="center"/>
              <w:rPr>
                <w:rFonts w:ascii="仿宋" w:hAnsi="仿宋" w:eastAsia="仿宋" w:cs="仿宋"/>
                <w:color w:val="000000"/>
                <w:szCs w:val="21"/>
                <w:highlight w:val="none"/>
              </w:rPr>
            </w:pPr>
          </w:p>
        </w:tc>
      </w:tr>
      <w:tr w14:paraId="1D3D5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1215" w:type="dxa"/>
            <w:vAlign w:val="center"/>
          </w:tcPr>
          <w:p w14:paraId="66D5AF5D">
            <w:pPr>
              <w:spacing w:line="350" w:lineRule="exact"/>
              <w:jc w:val="center"/>
              <w:rPr>
                <w:rFonts w:ascii="仿宋" w:hAnsi="仿宋" w:eastAsia="仿宋" w:cs="仿宋"/>
                <w:color w:val="000000"/>
                <w:szCs w:val="21"/>
                <w:highlight w:val="none"/>
              </w:rPr>
            </w:pPr>
          </w:p>
        </w:tc>
        <w:tc>
          <w:tcPr>
            <w:tcW w:w="6013" w:type="dxa"/>
            <w:vAlign w:val="center"/>
          </w:tcPr>
          <w:p w14:paraId="64B30715">
            <w:pPr>
              <w:spacing w:line="350" w:lineRule="exact"/>
              <w:jc w:val="center"/>
              <w:rPr>
                <w:rFonts w:ascii="仿宋" w:hAnsi="仿宋" w:eastAsia="仿宋" w:cs="仿宋"/>
                <w:color w:val="000000"/>
                <w:szCs w:val="21"/>
                <w:highlight w:val="none"/>
              </w:rPr>
            </w:pPr>
          </w:p>
        </w:tc>
        <w:tc>
          <w:tcPr>
            <w:tcW w:w="2004" w:type="dxa"/>
            <w:vAlign w:val="center"/>
          </w:tcPr>
          <w:p w14:paraId="4B9296A4">
            <w:pPr>
              <w:spacing w:line="350" w:lineRule="exact"/>
              <w:jc w:val="center"/>
              <w:rPr>
                <w:rFonts w:ascii="仿宋" w:hAnsi="仿宋" w:eastAsia="仿宋" w:cs="仿宋"/>
                <w:color w:val="000000"/>
                <w:szCs w:val="21"/>
                <w:highlight w:val="none"/>
              </w:rPr>
            </w:pPr>
          </w:p>
        </w:tc>
      </w:tr>
    </w:tbl>
    <w:p w14:paraId="1B3DC837">
      <w:pPr>
        <w:pStyle w:val="291"/>
        <w:jc w:val="left"/>
        <w:rPr>
          <w:rFonts w:ascii="仿宋" w:hAnsi="仿宋" w:eastAsia="仿宋" w:cs="仿宋"/>
          <w:b/>
          <w:bCs/>
          <w:sz w:val="24"/>
          <w:szCs w:val="28"/>
          <w:highlight w:val="none"/>
        </w:rPr>
      </w:pPr>
      <w:r>
        <w:rPr>
          <w:rFonts w:hint="eastAsia" w:ascii="仿宋" w:hAnsi="仿宋" w:eastAsia="仿宋" w:cs="仿宋"/>
          <w:b/>
          <w:bCs/>
          <w:sz w:val="24"/>
          <w:szCs w:val="28"/>
          <w:highlight w:val="none"/>
        </w:rPr>
        <w:t>注：1、表格中填写（例）仅为</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理解表格使用，</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制作文件时请删除。</w:t>
      </w:r>
    </w:p>
    <w:p w14:paraId="0DADE469">
      <w:pPr>
        <w:pStyle w:val="291"/>
        <w:ind w:firstLine="482"/>
        <w:rPr>
          <w:rFonts w:ascii="仿宋" w:hAnsi="仿宋" w:eastAsia="仿宋" w:cs="仿宋"/>
          <w:b/>
          <w:bCs/>
          <w:sz w:val="24"/>
          <w:szCs w:val="28"/>
          <w:highlight w:val="none"/>
        </w:rPr>
      </w:pPr>
      <w:r>
        <w:rPr>
          <w:rFonts w:hint="eastAsia" w:ascii="仿宋" w:hAnsi="仿宋" w:eastAsia="仿宋" w:cs="仿宋"/>
          <w:b/>
          <w:bCs/>
          <w:sz w:val="24"/>
          <w:szCs w:val="28"/>
          <w:highlight w:val="none"/>
        </w:rPr>
        <w:t>2、行数不够请自行添加。</w:t>
      </w:r>
    </w:p>
    <w:p w14:paraId="2BB0A948">
      <w:pPr>
        <w:pStyle w:val="291"/>
        <w:jc w:val="center"/>
        <w:rPr>
          <w:rFonts w:ascii="仿宋" w:hAnsi="仿宋" w:eastAsia="仿宋" w:cs="仿宋"/>
          <w:b/>
          <w:bCs/>
          <w:sz w:val="32"/>
          <w:szCs w:val="36"/>
          <w:highlight w:val="none"/>
        </w:rPr>
      </w:pPr>
      <w:r>
        <w:rPr>
          <w:rFonts w:hint="eastAsia" w:ascii="仿宋" w:hAnsi="仿宋" w:eastAsia="仿宋" w:cs="仿宋"/>
          <w:b/>
          <w:bCs/>
          <w:sz w:val="24"/>
          <w:szCs w:val="28"/>
          <w:highlight w:val="none"/>
        </w:rPr>
        <w:br w:type="page" w:clear="all"/>
      </w:r>
      <w:r>
        <w:rPr>
          <w:rFonts w:hint="eastAsia" w:ascii="仿宋" w:hAnsi="仿宋" w:eastAsia="仿宋" w:cs="仿宋"/>
          <w:b/>
          <w:bCs/>
          <w:sz w:val="32"/>
          <w:szCs w:val="36"/>
          <w:highlight w:val="none"/>
        </w:rPr>
        <w:t>目录</w:t>
      </w:r>
      <w:bookmarkEnd w:id="77"/>
    </w:p>
    <w:p w14:paraId="0648F9FB">
      <w:pPr>
        <w:pStyle w:val="292"/>
        <w:numPr>
          <w:ilvl w:val="0"/>
          <w:numId w:val="5"/>
        </w:numPr>
        <w:spacing w:line="560" w:lineRule="exact"/>
        <w:rPr>
          <w:rFonts w:hint="eastAsia" w:ascii="仿宋" w:hAnsi="仿宋" w:eastAsia="仿宋" w:cs="仿宋"/>
        </w:rPr>
      </w:pPr>
      <w:r>
        <w:rPr>
          <w:rFonts w:hint="eastAsia" w:ascii="仿宋" w:hAnsi="仿宋" w:eastAsia="仿宋" w:cs="仿宋"/>
        </w:rPr>
        <w:t>投标声明及承诺函</w:t>
      </w:r>
    </w:p>
    <w:p w14:paraId="3E3E9D26">
      <w:pPr>
        <w:pStyle w:val="292"/>
        <w:numPr>
          <w:ilvl w:val="0"/>
          <w:numId w:val="5"/>
        </w:numPr>
        <w:spacing w:line="560" w:lineRule="exact"/>
        <w:rPr>
          <w:rFonts w:hint="eastAsia" w:ascii="仿宋" w:hAnsi="仿宋" w:eastAsia="仿宋" w:cs="仿宋"/>
        </w:rPr>
      </w:pPr>
      <w:r>
        <w:rPr>
          <w:rFonts w:hint="eastAsia" w:ascii="仿宋" w:hAnsi="仿宋" w:eastAsia="仿宋" w:cs="仿宋"/>
        </w:rPr>
        <w:t>法定代表人身份证明或法定代表人授权委托书</w:t>
      </w:r>
    </w:p>
    <w:p w14:paraId="582C79B5">
      <w:pPr>
        <w:pStyle w:val="292"/>
        <w:numPr>
          <w:ilvl w:val="0"/>
          <w:numId w:val="5"/>
        </w:numPr>
        <w:spacing w:line="560" w:lineRule="exact"/>
        <w:rPr>
          <w:rFonts w:hint="eastAsia" w:ascii="仿宋" w:hAnsi="仿宋" w:eastAsia="仿宋" w:cs="仿宋"/>
        </w:rPr>
      </w:pPr>
      <w:r>
        <w:rPr>
          <w:rFonts w:hint="eastAsia" w:ascii="仿宋" w:hAnsi="仿宋" w:eastAsia="仿宋" w:cs="仿宋"/>
          <w:lang w:eastAsia="zh-CN"/>
        </w:rPr>
        <w:t>投标人</w:t>
      </w:r>
      <w:r>
        <w:rPr>
          <w:rFonts w:hint="eastAsia" w:ascii="仿宋" w:hAnsi="仿宋" w:eastAsia="仿宋" w:cs="仿宋"/>
        </w:rPr>
        <w:t>基本信息</w:t>
      </w:r>
    </w:p>
    <w:p w14:paraId="2CDA6875">
      <w:pPr>
        <w:pStyle w:val="292"/>
        <w:numPr>
          <w:ilvl w:val="0"/>
          <w:numId w:val="5"/>
        </w:numPr>
        <w:spacing w:line="560" w:lineRule="exact"/>
        <w:rPr>
          <w:rFonts w:hint="eastAsia" w:ascii="仿宋" w:hAnsi="仿宋" w:eastAsia="仿宋" w:cs="仿宋"/>
        </w:rPr>
      </w:pPr>
      <w:r>
        <w:rPr>
          <w:rFonts w:hint="eastAsia" w:ascii="仿宋" w:hAnsi="仿宋" w:eastAsia="仿宋" w:cs="仿宋"/>
          <w:lang w:eastAsia="zh-CN"/>
        </w:rPr>
        <w:t>投标人</w:t>
      </w:r>
      <w:r>
        <w:rPr>
          <w:rFonts w:hint="eastAsia" w:ascii="仿宋" w:hAnsi="仿宋" w:eastAsia="仿宋" w:cs="仿宋"/>
        </w:rPr>
        <w:t>资质</w:t>
      </w:r>
    </w:p>
    <w:p w14:paraId="23DB2532">
      <w:pPr>
        <w:pStyle w:val="292"/>
        <w:numPr>
          <w:ilvl w:val="0"/>
          <w:numId w:val="5"/>
        </w:numPr>
        <w:spacing w:line="560" w:lineRule="exact"/>
        <w:rPr>
          <w:rFonts w:hint="eastAsia" w:ascii="仿宋" w:hAnsi="仿宋" w:eastAsia="仿宋" w:cs="仿宋"/>
        </w:rPr>
      </w:pPr>
      <w:r>
        <w:rPr>
          <w:rFonts w:hint="eastAsia" w:ascii="仿宋" w:hAnsi="仿宋" w:eastAsia="仿宋" w:cs="仿宋"/>
          <w:lang w:val="en-US" w:eastAsia="zh-CN"/>
        </w:rPr>
        <w:t>开标</w:t>
      </w:r>
      <w:r>
        <w:rPr>
          <w:rFonts w:hint="eastAsia" w:ascii="仿宋" w:hAnsi="仿宋" w:eastAsia="仿宋" w:cs="仿宋"/>
        </w:rPr>
        <w:t>一览表</w:t>
      </w:r>
    </w:p>
    <w:p w14:paraId="4707375D">
      <w:pPr>
        <w:pStyle w:val="292"/>
        <w:numPr>
          <w:ilvl w:val="0"/>
          <w:numId w:val="5"/>
        </w:numPr>
        <w:spacing w:line="560" w:lineRule="exact"/>
        <w:rPr>
          <w:rFonts w:hint="eastAsia" w:ascii="仿宋" w:hAnsi="仿宋" w:eastAsia="仿宋" w:cs="仿宋"/>
        </w:rPr>
      </w:pPr>
      <w:r>
        <w:rPr>
          <w:rFonts w:hint="eastAsia" w:ascii="仿宋" w:hAnsi="仿宋" w:eastAsia="仿宋" w:cs="仿宋"/>
        </w:rPr>
        <w:t>明细报价表</w:t>
      </w:r>
    </w:p>
    <w:p w14:paraId="3322A3F7">
      <w:pPr>
        <w:pStyle w:val="292"/>
        <w:numPr>
          <w:ilvl w:val="0"/>
          <w:numId w:val="5"/>
        </w:numPr>
        <w:spacing w:line="560" w:lineRule="exact"/>
        <w:rPr>
          <w:rFonts w:hint="eastAsia" w:ascii="仿宋" w:hAnsi="仿宋" w:eastAsia="仿宋" w:cs="仿宋"/>
        </w:rPr>
      </w:pPr>
      <w:r>
        <w:rPr>
          <w:rFonts w:hint="eastAsia" w:ascii="仿宋" w:hAnsi="仿宋" w:eastAsia="仿宋" w:cs="仿宋"/>
        </w:rPr>
        <w:t>技术响应偏离表</w:t>
      </w:r>
    </w:p>
    <w:p w14:paraId="3BB1CFD0">
      <w:pPr>
        <w:pStyle w:val="292"/>
        <w:numPr>
          <w:ilvl w:val="0"/>
          <w:numId w:val="5"/>
        </w:numPr>
        <w:spacing w:line="560" w:lineRule="exact"/>
        <w:rPr>
          <w:rFonts w:hint="eastAsia" w:ascii="仿宋" w:hAnsi="仿宋" w:eastAsia="仿宋" w:cs="仿宋"/>
        </w:rPr>
      </w:pPr>
      <w:r>
        <w:rPr>
          <w:rFonts w:hint="eastAsia" w:ascii="仿宋" w:hAnsi="仿宋" w:eastAsia="仿宋" w:cs="仿宋"/>
        </w:rPr>
        <w:t>商务响应偏离表</w:t>
      </w:r>
    </w:p>
    <w:p w14:paraId="3532E9FB">
      <w:pPr>
        <w:pStyle w:val="292"/>
        <w:numPr>
          <w:ilvl w:val="0"/>
          <w:numId w:val="5"/>
        </w:numPr>
        <w:spacing w:line="560" w:lineRule="exact"/>
        <w:rPr>
          <w:rFonts w:hint="eastAsia" w:ascii="仿宋" w:hAnsi="仿宋" w:eastAsia="仿宋" w:cs="仿宋"/>
        </w:rPr>
      </w:pPr>
      <w:r>
        <w:rPr>
          <w:rFonts w:hint="eastAsia" w:ascii="仿宋" w:hAnsi="仿宋" w:eastAsia="仿宋" w:cs="仿宋"/>
        </w:rPr>
        <w:t>配置清单、配件（耗材）清单</w:t>
      </w:r>
      <w:r>
        <w:rPr>
          <w:rFonts w:hint="eastAsia" w:ascii="仿宋" w:hAnsi="仿宋" w:eastAsia="仿宋" w:cs="仿宋"/>
          <w:lang w:eastAsia="zh-CN"/>
        </w:rPr>
        <w:t>（</w:t>
      </w:r>
      <w:r>
        <w:rPr>
          <w:rFonts w:hint="eastAsia" w:ascii="仿宋" w:hAnsi="仿宋" w:eastAsia="仿宋" w:cs="仿宋"/>
          <w:lang w:val="en-US" w:eastAsia="zh-CN"/>
        </w:rPr>
        <w:t>如有</w:t>
      </w:r>
      <w:r>
        <w:rPr>
          <w:rFonts w:hint="eastAsia" w:ascii="仿宋" w:hAnsi="仿宋" w:eastAsia="仿宋" w:cs="仿宋"/>
          <w:lang w:eastAsia="zh-CN"/>
        </w:rPr>
        <w:t>）</w:t>
      </w:r>
    </w:p>
    <w:p w14:paraId="05B8F5BF">
      <w:pPr>
        <w:pStyle w:val="292"/>
        <w:numPr>
          <w:ilvl w:val="0"/>
          <w:numId w:val="5"/>
        </w:numPr>
        <w:spacing w:line="560" w:lineRule="exact"/>
        <w:rPr>
          <w:rFonts w:hint="eastAsia" w:ascii="仿宋" w:hAnsi="仿宋" w:eastAsia="仿宋" w:cs="仿宋"/>
        </w:rPr>
      </w:pPr>
      <w:r>
        <w:rPr>
          <w:rFonts w:hint="eastAsia" w:ascii="仿宋" w:hAnsi="仿宋" w:eastAsia="仿宋" w:cs="仿宋"/>
        </w:rPr>
        <w:t>服务方案等</w:t>
      </w:r>
    </w:p>
    <w:p w14:paraId="3255BA49">
      <w:pPr>
        <w:pStyle w:val="292"/>
        <w:numPr>
          <w:ilvl w:val="0"/>
          <w:numId w:val="5"/>
        </w:numPr>
        <w:spacing w:line="560" w:lineRule="exact"/>
        <w:rPr>
          <w:rFonts w:hint="eastAsia" w:ascii="仿宋" w:hAnsi="仿宋" w:eastAsia="仿宋" w:cs="仿宋"/>
        </w:rPr>
      </w:pPr>
      <w:r>
        <w:rPr>
          <w:rFonts w:hint="eastAsia" w:ascii="仿宋" w:hAnsi="仿宋" w:eastAsia="仿宋" w:cs="仿宋"/>
          <w:lang w:eastAsia="zh-CN"/>
        </w:rPr>
        <w:t>投标人</w:t>
      </w:r>
      <w:r>
        <w:rPr>
          <w:rFonts w:hint="eastAsia" w:ascii="仿宋" w:hAnsi="仿宋" w:eastAsia="仿宋" w:cs="仿宋"/>
        </w:rPr>
        <w:t>项目管理、技术及服务人员一览表</w:t>
      </w:r>
    </w:p>
    <w:p w14:paraId="5F2DECA8">
      <w:pPr>
        <w:pStyle w:val="292"/>
        <w:numPr>
          <w:ilvl w:val="0"/>
          <w:numId w:val="5"/>
        </w:numPr>
        <w:spacing w:line="560" w:lineRule="exact"/>
        <w:rPr>
          <w:rFonts w:hint="eastAsia" w:ascii="仿宋" w:hAnsi="仿宋" w:eastAsia="仿宋" w:cs="仿宋"/>
        </w:rPr>
      </w:pPr>
      <w:r>
        <w:rPr>
          <w:rFonts w:hint="eastAsia" w:ascii="仿宋" w:hAnsi="仿宋" w:eastAsia="仿宋" w:cs="仿宋"/>
        </w:rPr>
        <w:t>业绩一览表</w:t>
      </w:r>
    </w:p>
    <w:p w14:paraId="032DB65B">
      <w:pPr>
        <w:pStyle w:val="292"/>
        <w:numPr>
          <w:ilvl w:val="0"/>
          <w:numId w:val="5"/>
        </w:numPr>
        <w:spacing w:line="560" w:lineRule="exact"/>
        <w:rPr>
          <w:rFonts w:hint="eastAsia" w:ascii="仿宋" w:hAnsi="仿宋" w:eastAsia="仿宋" w:cs="仿宋"/>
        </w:rPr>
      </w:pPr>
      <w:r>
        <w:rPr>
          <w:rFonts w:hint="eastAsia" w:ascii="仿宋" w:hAnsi="仿宋" w:eastAsia="仿宋" w:cs="仿宋"/>
        </w:rPr>
        <w:t>中小企业或残疾人福利性单位声明函</w:t>
      </w:r>
    </w:p>
    <w:p w14:paraId="26542B2C">
      <w:pPr>
        <w:pStyle w:val="292"/>
        <w:numPr>
          <w:ilvl w:val="0"/>
          <w:numId w:val="5"/>
        </w:numPr>
        <w:spacing w:line="560" w:lineRule="exact"/>
        <w:rPr>
          <w:rFonts w:hint="eastAsia" w:ascii="仿宋" w:hAnsi="仿宋" w:eastAsia="仿宋" w:cs="仿宋"/>
        </w:rPr>
      </w:pPr>
      <w:r>
        <w:rPr>
          <w:rFonts w:hint="eastAsia" w:ascii="仿宋" w:hAnsi="仿宋" w:eastAsia="仿宋" w:cs="仿宋"/>
        </w:rPr>
        <w:t>投标所需的其他资料</w:t>
      </w:r>
    </w:p>
    <w:p w14:paraId="064E52E3">
      <w:pPr>
        <w:rPr>
          <w:rFonts w:ascii="仿宋" w:hAnsi="仿宋" w:eastAsia="仿宋" w:cs="仿宋"/>
          <w:highlight w:val="none"/>
        </w:rPr>
      </w:pPr>
    </w:p>
    <w:p w14:paraId="4C3187BE">
      <w:pPr>
        <w:pStyle w:val="293"/>
        <w:outlineLvl w:val="1"/>
        <w:rPr>
          <w:rFonts w:ascii="仿宋" w:hAnsi="仿宋" w:eastAsia="仿宋" w:cs="仿宋"/>
          <w:highlight w:val="none"/>
        </w:rPr>
      </w:pPr>
      <w:r>
        <w:rPr>
          <w:rFonts w:hint="eastAsia" w:ascii="仿宋" w:hAnsi="仿宋" w:eastAsia="仿宋" w:cs="仿宋"/>
          <w:highlight w:val="none"/>
        </w:rPr>
        <w:br w:type="page" w:clear="all"/>
      </w:r>
      <w:bookmarkStart w:id="78" w:name="_Toc26424"/>
      <w:r>
        <w:rPr>
          <w:rFonts w:hint="eastAsia" w:ascii="仿宋" w:hAnsi="仿宋" w:eastAsia="仿宋" w:cs="仿宋"/>
          <w:highlight w:val="none"/>
        </w:rPr>
        <w:t>一、</w:t>
      </w:r>
      <w:bookmarkEnd w:id="78"/>
      <w:r>
        <w:rPr>
          <w:rFonts w:hint="eastAsia" w:ascii="仿宋" w:hAnsi="仿宋" w:eastAsia="仿宋" w:cs="仿宋"/>
          <w:highlight w:val="none"/>
        </w:rPr>
        <w:t>投标声明及承诺函</w:t>
      </w:r>
    </w:p>
    <w:p w14:paraId="47967E4A">
      <w:pPr>
        <w:pStyle w:val="294"/>
        <w:jc w:val="center"/>
        <w:rPr>
          <w:rFonts w:ascii="仿宋" w:hAnsi="仿宋" w:eastAsia="仿宋" w:cs="仿宋"/>
          <w:b/>
          <w:sz w:val="32"/>
          <w:szCs w:val="32"/>
          <w:highlight w:val="none"/>
        </w:rPr>
      </w:pPr>
      <w:r>
        <w:rPr>
          <w:rFonts w:hint="eastAsia" w:ascii="仿宋" w:hAnsi="仿宋" w:eastAsia="仿宋" w:cs="仿宋"/>
          <w:b/>
          <w:sz w:val="32"/>
          <w:szCs w:val="32"/>
          <w:highlight w:val="none"/>
        </w:rPr>
        <w:t>投标声明及承诺函</w:t>
      </w:r>
    </w:p>
    <w:p w14:paraId="546668A9">
      <w:pPr>
        <w:pStyle w:val="294"/>
        <w:spacing w:line="500" w:lineRule="exact"/>
        <w:jc w:val="left"/>
        <w:rPr>
          <w:rFonts w:ascii="仿宋" w:hAnsi="仿宋" w:eastAsia="仿宋" w:cs="仿宋"/>
          <w:sz w:val="24"/>
          <w:szCs w:val="24"/>
          <w:highlight w:val="none"/>
          <w:u w:val="single"/>
        </w:rPr>
      </w:pPr>
      <w:r>
        <w:rPr>
          <w:rFonts w:hint="eastAsia" w:ascii="仿宋" w:hAnsi="仿宋" w:eastAsia="仿宋" w:cs="仿宋"/>
          <w:sz w:val="24"/>
          <w:szCs w:val="24"/>
          <w:highlight w:val="none"/>
          <w:u w:val="single"/>
        </w:rPr>
        <w:t>（采购人/采购代理机构）：</w:t>
      </w:r>
    </w:p>
    <w:p w14:paraId="41866865">
      <w:pPr>
        <w:pStyle w:val="294"/>
        <w:spacing w:line="50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根据已收到的项目编号为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项目的招标文件，我单位参加本项目招标活动，为此，我方郑重声明以下诸点，并负法律责任：</w:t>
      </w:r>
    </w:p>
    <w:p w14:paraId="4F7D04D5">
      <w:pPr>
        <w:pStyle w:val="294"/>
        <w:spacing w:line="500" w:lineRule="exact"/>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一、我方</w:t>
      </w:r>
      <w:r>
        <w:rPr>
          <w:rFonts w:hint="eastAsia" w:ascii="仿宋" w:hAnsi="仿宋" w:eastAsia="仿宋" w:cs="仿宋"/>
          <w:sz w:val="24"/>
          <w:highlight w:val="none"/>
        </w:rPr>
        <w:t>具备招标文件要求的资格条件；</w:t>
      </w:r>
    </w:p>
    <w:p w14:paraId="58779C9B">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color w:val="000000"/>
          <w:sz w:val="24"/>
          <w:szCs w:val="24"/>
          <w:highlight w:val="none"/>
        </w:rPr>
        <w:t>、我方在参加采购活动前三年内（自本项目开标时间之日起计算），在经营活动中没有重大违法记录（指因违法经营受到刑事处罚或者责令停产停业、吊销许可证或者执照、较大数额罚款等行政处罚）。</w:t>
      </w:r>
    </w:p>
    <w:p w14:paraId="0FA67BFD">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三、我方同意遵守贵方有关招标的各项规定并且响应招标文件规定的响应有效期；</w:t>
      </w:r>
    </w:p>
    <w:p w14:paraId="4F68F1AA">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四、我方没有为本采购项目提供整体设计、规范编制，以及项目管理、监理、检测等服务；我方与参与本次采购活动的其他</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的法定代表人或委托代理人无夫妻、直系血亲关系；我方与参与本次采购活动的其他</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 xml:space="preserve">的负责人不是同一人，也不存在直接控股、管理关系。 </w:t>
      </w:r>
    </w:p>
    <w:p w14:paraId="729C8505">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五、提交投标文件截止时间结束后参加招标的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不足三家，或在评审期间出现符合专业条件的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或对招标文件作出实质响应的</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不足三家情形的，我</w:t>
      </w:r>
      <w:r>
        <w:rPr>
          <w:rFonts w:hint="eastAsia" w:ascii="仿宋" w:hAnsi="仿宋" w:eastAsia="仿宋" w:cs="仿宋"/>
          <w:color w:val="000000"/>
          <w:sz w:val="24"/>
          <w:szCs w:val="24"/>
          <w:highlight w:val="none"/>
          <w:lang w:eastAsia="zh-CN"/>
        </w:rPr>
        <w:t>们将</w:t>
      </w:r>
      <w:r>
        <w:rPr>
          <w:rFonts w:hint="eastAsia" w:ascii="仿宋" w:hAnsi="仿宋" w:eastAsia="仿宋" w:cs="仿宋"/>
          <w:color w:val="000000"/>
          <w:sz w:val="24"/>
          <w:szCs w:val="24"/>
          <w:highlight w:val="none"/>
        </w:rPr>
        <w:t>酌情决定是否参加当场变更的竞争性谈判采购或单一来源方式采购。</w:t>
      </w:r>
    </w:p>
    <w:p w14:paraId="74ECCCBA">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六、我们理解，最低报价不是中标的唯一条件，你们有选择中标人的权利；</w:t>
      </w:r>
    </w:p>
    <w:p w14:paraId="70E1A39A">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七、如果我方的投标文件被接受，我方将</w:t>
      </w:r>
      <w:r>
        <w:rPr>
          <w:rFonts w:hint="eastAsia" w:ascii="仿宋" w:hAnsi="仿宋" w:eastAsia="仿宋" w:cs="仿宋"/>
          <w:color w:val="000000"/>
          <w:sz w:val="24"/>
          <w:szCs w:val="24"/>
          <w:highlight w:val="none"/>
          <w:lang w:eastAsia="zh-CN"/>
        </w:rPr>
        <w:t>按照</w:t>
      </w:r>
      <w:r>
        <w:rPr>
          <w:rFonts w:hint="eastAsia" w:ascii="仿宋" w:hAnsi="仿宋" w:eastAsia="仿宋" w:cs="仿宋"/>
          <w:color w:val="000000"/>
          <w:sz w:val="24"/>
          <w:szCs w:val="24"/>
          <w:highlight w:val="none"/>
        </w:rPr>
        <w:t>《中华人民共和国民法典（第三编合同）》及其他有关法律、法规的规定，按期、按质提供服务给采购单位，全面做到履约守信；</w:t>
      </w:r>
    </w:p>
    <w:p w14:paraId="642C2DA6">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八、我方若违背本声明及承诺约定，经查实，自愿接受采购人及相关主管部门相应的规定处理，并依法承担相应的法律责任。</w:t>
      </w:r>
    </w:p>
    <w:p w14:paraId="186B4196">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九、我司承诺若获得中标/成交资格，我司保证在领取中标/成交通知书前按照招标文件约定的标准，向采购代理机构一次性缴纳采购代理服务费。</w:t>
      </w:r>
    </w:p>
    <w:p w14:paraId="0F2B7AE9">
      <w:pPr>
        <w:pStyle w:val="294"/>
        <w:spacing w:line="500" w:lineRule="exact"/>
        <w:ind w:firstLine="480"/>
        <w:jc w:val="left"/>
        <w:rPr>
          <w:rFonts w:ascii="仿宋" w:hAnsi="仿宋" w:eastAsia="仿宋" w:cs="仿宋"/>
          <w:color w:val="000000"/>
          <w:sz w:val="24"/>
          <w:szCs w:val="24"/>
          <w:highlight w:val="none"/>
        </w:rPr>
      </w:pPr>
    </w:p>
    <w:p w14:paraId="13C8E305">
      <w:pPr>
        <w:pStyle w:val="294"/>
        <w:spacing w:line="500" w:lineRule="exact"/>
        <w:jc w:val="center"/>
        <w:rPr>
          <w:rFonts w:ascii="仿宋" w:hAnsi="仿宋" w:eastAsia="仿宋" w:cs="仿宋"/>
          <w:color w:val="000000"/>
          <w:sz w:val="24"/>
          <w:szCs w:val="24"/>
          <w:highlight w:val="none"/>
        </w:rPr>
      </w:pPr>
      <w:r>
        <w:rPr>
          <w:rFonts w:hint="eastAsia" w:ascii="仿宋" w:hAnsi="仿宋" w:eastAsia="仿宋" w:cs="仿宋"/>
          <w:color w:val="000000"/>
          <w:sz w:val="22"/>
          <w:highlight w:val="none"/>
        </w:rPr>
        <w:t>投标声明及承诺函 共2页，第1页</w:t>
      </w:r>
    </w:p>
    <w:p w14:paraId="2B0A156C">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十、我方承诺，我单位递交的投标（响应）文件正本、副本、电子版文件清晰可辨，三者内容一致。我方决不提供虚假材料谋取中标（成交）、决不采取不正当手段诋毁、排挤其他</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、决不与采购人、</w:t>
      </w:r>
      <w:r>
        <w:rPr>
          <w:rFonts w:hint="eastAsia" w:ascii="仿宋" w:hAnsi="仿宋" w:eastAsia="仿宋" w:cs="仿宋"/>
          <w:color w:val="000000"/>
          <w:sz w:val="24"/>
          <w:szCs w:val="24"/>
          <w:highlight w:val="none"/>
          <w:lang w:eastAsia="zh-CN"/>
        </w:rPr>
        <w:t>其他投标人</w:t>
      </w:r>
      <w:r>
        <w:rPr>
          <w:rFonts w:hint="eastAsia" w:ascii="仿宋" w:hAnsi="仿宋" w:eastAsia="仿宋" w:cs="仿宋"/>
          <w:color w:val="000000"/>
          <w:sz w:val="24"/>
          <w:szCs w:val="24"/>
          <w:highlight w:val="none"/>
        </w:rPr>
        <w:t>或者采购代理机构恶意串通、决不向采购人、采购代理机构工作人员和评委进行商业贿赂、决不在采购过程中与采购人进行协商谈判、决不拒绝有关部门监督检查或提供虚假情况，如有违反，无条件接受相关管理部门的处罚。</w:t>
      </w:r>
    </w:p>
    <w:p w14:paraId="449DD60F">
      <w:pPr>
        <w:pStyle w:val="294"/>
        <w:spacing w:line="500" w:lineRule="exact"/>
        <w:ind w:firstLine="48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十一、我单位未组成联合体响应，中标/成交后不进行分包、转包。</w:t>
      </w:r>
    </w:p>
    <w:p w14:paraId="4782DCAD">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十二、我方同意采购人、采购代理机构将本声明及承诺函上网公开。</w:t>
      </w:r>
    </w:p>
    <w:p w14:paraId="1BBDBEF8">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十三、与本招标有关的正式联系方式为： </w:t>
      </w:r>
    </w:p>
    <w:p w14:paraId="496D3B75">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联系人：               </w:t>
      </w:r>
    </w:p>
    <w:p w14:paraId="69A4D94E">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地址：                 </w:t>
      </w:r>
    </w:p>
    <w:p w14:paraId="1F0703F5">
      <w:pPr>
        <w:pStyle w:val="294"/>
        <w:spacing w:line="500" w:lineRule="exact"/>
        <w:ind w:firstLine="480"/>
        <w:jc w:val="left"/>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电话：                         </w:t>
      </w:r>
    </w:p>
    <w:p w14:paraId="0B19FE34">
      <w:pPr>
        <w:pStyle w:val="294"/>
        <w:spacing w:line="500" w:lineRule="exact"/>
        <w:jc w:val="left"/>
        <w:rPr>
          <w:rFonts w:ascii="仿宋" w:hAnsi="仿宋" w:eastAsia="仿宋" w:cs="仿宋"/>
          <w:color w:val="000000"/>
          <w:sz w:val="24"/>
          <w:szCs w:val="24"/>
          <w:highlight w:val="none"/>
        </w:rPr>
      </w:pPr>
    </w:p>
    <w:p w14:paraId="1117A260">
      <w:pPr>
        <w:pStyle w:val="294"/>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 xml:space="preserve">名称：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14:paraId="7C9EFD66">
      <w:pPr>
        <w:pStyle w:val="294"/>
        <w:spacing w:line="360" w:lineRule="auto"/>
        <w:ind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54F37688">
      <w:pPr>
        <w:pStyle w:val="294"/>
        <w:spacing w:line="360" w:lineRule="auto"/>
        <w:ind w:firstLine="480"/>
        <w:rPr>
          <w:rFonts w:ascii="仿宋" w:hAnsi="仿宋" w:eastAsia="仿宋" w:cs="仿宋"/>
          <w:highlight w:val="none"/>
        </w:rPr>
      </w:pPr>
      <w:r>
        <w:rPr>
          <w:rFonts w:hint="eastAsia" w:ascii="仿宋" w:hAnsi="仿宋" w:eastAsia="仿宋" w:cs="仿宋"/>
          <w:sz w:val="24"/>
          <w:szCs w:val="24"/>
          <w:highlight w:val="none"/>
        </w:rPr>
        <w:t>日期：    年    月   日</w:t>
      </w:r>
    </w:p>
    <w:p w14:paraId="6E56A47B">
      <w:pPr>
        <w:pStyle w:val="294"/>
        <w:spacing w:line="500" w:lineRule="exact"/>
        <w:jc w:val="center"/>
        <w:rPr>
          <w:rFonts w:ascii="仿宋" w:hAnsi="仿宋" w:eastAsia="仿宋" w:cs="仿宋"/>
          <w:color w:val="000000"/>
          <w:sz w:val="22"/>
          <w:highlight w:val="none"/>
        </w:rPr>
      </w:pPr>
    </w:p>
    <w:p w14:paraId="477A268A">
      <w:pPr>
        <w:pStyle w:val="294"/>
        <w:spacing w:line="500" w:lineRule="exact"/>
        <w:jc w:val="center"/>
        <w:rPr>
          <w:rFonts w:ascii="仿宋" w:hAnsi="仿宋" w:eastAsia="仿宋" w:cs="仿宋"/>
          <w:color w:val="000000"/>
          <w:sz w:val="22"/>
          <w:highlight w:val="none"/>
        </w:rPr>
      </w:pPr>
    </w:p>
    <w:p w14:paraId="662AA5FF">
      <w:pPr>
        <w:pStyle w:val="294"/>
        <w:spacing w:line="500" w:lineRule="exact"/>
        <w:jc w:val="center"/>
        <w:rPr>
          <w:rFonts w:ascii="仿宋" w:hAnsi="仿宋" w:eastAsia="仿宋" w:cs="仿宋"/>
          <w:color w:val="000000"/>
          <w:sz w:val="22"/>
          <w:highlight w:val="none"/>
        </w:rPr>
      </w:pPr>
    </w:p>
    <w:p w14:paraId="1F2009D2">
      <w:pPr>
        <w:pStyle w:val="294"/>
        <w:spacing w:line="500" w:lineRule="exact"/>
        <w:jc w:val="center"/>
        <w:rPr>
          <w:rFonts w:ascii="仿宋" w:hAnsi="仿宋" w:eastAsia="仿宋" w:cs="仿宋"/>
          <w:color w:val="000000"/>
          <w:sz w:val="22"/>
          <w:highlight w:val="none"/>
        </w:rPr>
      </w:pPr>
    </w:p>
    <w:p w14:paraId="6A6DA29D">
      <w:pPr>
        <w:pStyle w:val="294"/>
        <w:spacing w:line="500" w:lineRule="exact"/>
        <w:jc w:val="center"/>
        <w:rPr>
          <w:rFonts w:ascii="仿宋" w:hAnsi="仿宋" w:eastAsia="仿宋" w:cs="仿宋"/>
          <w:color w:val="000000"/>
          <w:sz w:val="22"/>
          <w:highlight w:val="none"/>
        </w:rPr>
      </w:pPr>
    </w:p>
    <w:p w14:paraId="664ECDD8">
      <w:pPr>
        <w:pStyle w:val="294"/>
        <w:spacing w:line="500" w:lineRule="exact"/>
        <w:jc w:val="center"/>
        <w:rPr>
          <w:rFonts w:ascii="仿宋" w:hAnsi="仿宋" w:eastAsia="仿宋" w:cs="仿宋"/>
          <w:color w:val="000000"/>
          <w:sz w:val="22"/>
          <w:highlight w:val="none"/>
        </w:rPr>
      </w:pPr>
    </w:p>
    <w:p w14:paraId="5DAE49F4">
      <w:pPr>
        <w:pStyle w:val="294"/>
        <w:spacing w:line="500" w:lineRule="exact"/>
        <w:jc w:val="center"/>
        <w:rPr>
          <w:rFonts w:ascii="仿宋" w:hAnsi="仿宋" w:eastAsia="仿宋" w:cs="仿宋"/>
          <w:color w:val="000000"/>
          <w:sz w:val="22"/>
          <w:highlight w:val="none"/>
        </w:rPr>
      </w:pPr>
    </w:p>
    <w:p w14:paraId="22319D95">
      <w:pPr>
        <w:pStyle w:val="294"/>
        <w:spacing w:line="500" w:lineRule="exact"/>
        <w:jc w:val="center"/>
        <w:rPr>
          <w:rFonts w:ascii="仿宋" w:hAnsi="仿宋" w:eastAsia="仿宋" w:cs="仿宋"/>
          <w:color w:val="000000"/>
          <w:sz w:val="22"/>
          <w:highlight w:val="none"/>
        </w:rPr>
      </w:pPr>
    </w:p>
    <w:p w14:paraId="37EDE386">
      <w:pPr>
        <w:pStyle w:val="294"/>
        <w:spacing w:line="500" w:lineRule="exact"/>
        <w:jc w:val="both"/>
        <w:rPr>
          <w:rFonts w:ascii="仿宋" w:hAnsi="仿宋" w:eastAsia="仿宋" w:cs="仿宋"/>
          <w:color w:val="000000"/>
          <w:sz w:val="22"/>
          <w:highlight w:val="none"/>
        </w:rPr>
      </w:pPr>
    </w:p>
    <w:p w14:paraId="77786D09">
      <w:pPr>
        <w:pStyle w:val="294"/>
        <w:spacing w:line="500" w:lineRule="exact"/>
        <w:jc w:val="center"/>
        <w:rPr>
          <w:rFonts w:ascii="仿宋" w:hAnsi="仿宋" w:eastAsia="仿宋" w:cs="仿宋"/>
          <w:color w:val="000000"/>
          <w:sz w:val="22"/>
          <w:highlight w:val="none"/>
        </w:rPr>
      </w:pPr>
    </w:p>
    <w:p w14:paraId="23ED045F">
      <w:pPr>
        <w:pStyle w:val="294"/>
        <w:spacing w:line="500" w:lineRule="exact"/>
        <w:rPr>
          <w:rFonts w:ascii="仿宋" w:hAnsi="仿宋" w:eastAsia="仿宋" w:cs="仿宋"/>
          <w:color w:val="000000"/>
          <w:sz w:val="22"/>
          <w:highlight w:val="none"/>
        </w:rPr>
      </w:pPr>
    </w:p>
    <w:p w14:paraId="5F1E738C">
      <w:pPr>
        <w:pStyle w:val="294"/>
        <w:spacing w:line="500" w:lineRule="exact"/>
        <w:jc w:val="center"/>
        <w:rPr>
          <w:rFonts w:ascii="仿宋" w:hAnsi="仿宋" w:eastAsia="仿宋" w:cs="仿宋"/>
          <w:color w:val="000000"/>
          <w:sz w:val="22"/>
          <w:highlight w:val="none"/>
        </w:rPr>
      </w:pPr>
      <w:r>
        <w:rPr>
          <w:rFonts w:hint="eastAsia" w:ascii="仿宋" w:hAnsi="仿宋" w:eastAsia="仿宋" w:cs="仿宋"/>
          <w:color w:val="000000"/>
          <w:sz w:val="22"/>
          <w:highlight w:val="none"/>
        </w:rPr>
        <w:t>投标声明及承诺函 共2页，第2页</w:t>
      </w:r>
    </w:p>
    <w:p w14:paraId="206F07D6">
      <w:pPr>
        <w:pStyle w:val="295"/>
        <w:outlineLvl w:val="1"/>
        <w:rPr>
          <w:rFonts w:ascii="仿宋" w:hAnsi="仿宋" w:eastAsia="仿宋" w:cs="仿宋"/>
          <w:highlight w:val="none"/>
        </w:rPr>
      </w:pPr>
      <w:r>
        <w:rPr>
          <w:rFonts w:hint="eastAsia" w:ascii="仿宋" w:hAnsi="仿宋" w:eastAsia="仿宋" w:cs="仿宋"/>
          <w:highlight w:val="none"/>
        </w:rPr>
        <w:br w:type="page" w:clear="all"/>
      </w:r>
      <w:bookmarkStart w:id="79" w:name="_Toc14797"/>
      <w:r>
        <w:rPr>
          <w:rFonts w:hint="eastAsia" w:ascii="仿宋" w:hAnsi="仿宋" w:eastAsia="仿宋" w:cs="仿宋"/>
          <w:highlight w:val="none"/>
        </w:rPr>
        <w:t>二、</w:t>
      </w:r>
      <w:bookmarkEnd w:id="79"/>
      <w:r>
        <w:rPr>
          <w:rFonts w:hint="eastAsia" w:ascii="仿宋" w:hAnsi="仿宋" w:eastAsia="仿宋" w:cs="仿宋"/>
          <w:highlight w:val="none"/>
        </w:rPr>
        <w:t>法定代表人身份证明或法定代表人授权委托书</w:t>
      </w:r>
    </w:p>
    <w:p w14:paraId="500AAEC4">
      <w:pPr>
        <w:pStyle w:val="296"/>
        <w:spacing w:line="56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法定代表人身份证明</w:t>
      </w:r>
    </w:p>
    <w:p w14:paraId="41D46B61">
      <w:pPr>
        <w:pStyle w:val="296"/>
        <w:spacing w:line="560" w:lineRule="exact"/>
        <w:jc w:val="center"/>
        <w:rPr>
          <w:rFonts w:ascii="仿宋" w:hAnsi="仿宋" w:eastAsia="仿宋" w:cs="仿宋"/>
          <w:b/>
          <w:bCs/>
          <w:sz w:val="32"/>
          <w:szCs w:val="32"/>
          <w:highlight w:val="none"/>
        </w:rPr>
      </w:pPr>
    </w:p>
    <w:p w14:paraId="32D5AD37">
      <w:pPr>
        <w:pStyle w:val="297"/>
        <w:spacing w:line="480" w:lineRule="exact"/>
        <w:rPr>
          <w:rFonts w:ascii="仿宋" w:hAnsi="仿宋" w:eastAsia="仿宋" w:cs="仿宋"/>
          <w:sz w:val="24"/>
          <w:szCs w:val="20"/>
          <w:highlight w:val="none"/>
          <w:u w:val="single"/>
        </w:rPr>
      </w:pP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名称：</w:t>
      </w:r>
      <w:r>
        <w:rPr>
          <w:rFonts w:hint="eastAsia" w:ascii="仿宋" w:hAnsi="仿宋" w:eastAsia="仿宋" w:cs="仿宋"/>
          <w:sz w:val="24"/>
          <w:szCs w:val="20"/>
          <w:highlight w:val="none"/>
          <w:u w:val="single"/>
        </w:rPr>
        <w:t xml:space="preserve">                             </w:t>
      </w:r>
    </w:p>
    <w:p w14:paraId="321D4058">
      <w:pPr>
        <w:pStyle w:val="297"/>
        <w:spacing w:line="480" w:lineRule="exact"/>
        <w:rPr>
          <w:rFonts w:ascii="仿宋" w:hAnsi="仿宋" w:eastAsia="仿宋" w:cs="仿宋"/>
          <w:sz w:val="24"/>
          <w:szCs w:val="20"/>
          <w:highlight w:val="none"/>
          <w:u w:val="single"/>
        </w:rPr>
      </w:pPr>
      <w:r>
        <w:rPr>
          <w:rFonts w:hint="eastAsia" w:ascii="仿宋" w:hAnsi="仿宋" w:eastAsia="仿宋" w:cs="仿宋"/>
          <w:sz w:val="24"/>
          <w:szCs w:val="20"/>
          <w:highlight w:val="none"/>
        </w:rPr>
        <w:t>单位性质：</w:t>
      </w:r>
      <w:r>
        <w:rPr>
          <w:rFonts w:hint="eastAsia" w:ascii="仿宋" w:hAnsi="仿宋" w:eastAsia="仿宋" w:cs="仿宋"/>
          <w:sz w:val="24"/>
          <w:szCs w:val="20"/>
          <w:highlight w:val="none"/>
          <w:u w:val="single"/>
        </w:rPr>
        <w:t xml:space="preserve">                               </w:t>
      </w:r>
    </w:p>
    <w:p w14:paraId="2B2DBDED">
      <w:pPr>
        <w:pStyle w:val="297"/>
        <w:spacing w:line="480" w:lineRule="exact"/>
        <w:rPr>
          <w:rFonts w:ascii="仿宋" w:hAnsi="仿宋" w:eastAsia="仿宋" w:cs="仿宋"/>
          <w:sz w:val="24"/>
          <w:szCs w:val="20"/>
          <w:highlight w:val="none"/>
        </w:rPr>
      </w:pPr>
      <w:r>
        <w:rPr>
          <w:rFonts w:hint="eastAsia" w:ascii="仿宋" w:hAnsi="仿宋" w:eastAsia="仿宋" w:cs="仿宋"/>
          <w:sz w:val="24"/>
          <w:szCs w:val="20"/>
          <w:highlight w:val="none"/>
        </w:rPr>
        <w:t>注册地址：</w:t>
      </w:r>
      <w:r>
        <w:rPr>
          <w:rFonts w:hint="eastAsia" w:ascii="仿宋" w:hAnsi="仿宋" w:eastAsia="仿宋" w:cs="仿宋"/>
          <w:sz w:val="24"/>
          <w:szCs w:val="20"/>
          <w:highlight w:val="none"/>
          <w:u w:val="single"/>
        </w:rPr>
        <w:t xml:space="preserve">                               </w:t>
      </w:r>
    </w:p>
    <w:p w14:paraId="4A6D0C50">
      <w:pPr>
        <w:pStyle w:val="297"/>
        <w:spacing w:line="480" w:lineRule="exact"/>
        <w:rPr>
          <w:rFonts w:ascii="仿宋" w:hAnsi="仿宋" w:eastAsia="仿宋" w:cs="仿宋"/>
          <w:sz w:val="24"/>
          <w:szCs w:val="20"/>
          <w:highlight w:val="none"/>
        </w:rPr>
      </w:pPr>
      <w:r>
        <w:rPr>
          <w:rFonts w:hint="eastAsia" w:ascii="仿宋" w:hAnsi="仿宋" w:eastAsia="仿宋" w:cs="仿宋"/>
          <w:sz w:val="24"/>
          <w:szCs w:val="20"/>
          <w:highlight w:val="none"/>
        </w:rPr>
        <w:t>成立时间：</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年</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月</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日</w:t>
      </w:r>
    </w:p>
    <w:p w14:paraId="6F0DA06A">
      <w:pPr>
        <w:pStyle w:val="297"/>
        <w:spacing w:line="480" w:lineRule="exact"/>
        <w:rPr>
          <w:rFonts w:ascii="仿宋" w:hAnsi="仿宋" w:eastAsia="仿宋" w:cs="仿宋"/>
          <w:sz w:val="24"/>
          <w:szCs w:val="20"/>
          <w:highlight w:val="none"/>
        </w:rPr>
      </w:pPr>
    </w:p>
    <w:p w14:paraId="6B1FC721">
      <w:pPr>
        <w:pStyle w:val="297"/>
        <w:spacing w:line="480" w:lineRule="exact"/>
        <w:rPr>
          <w:rFonts w:ascii="仿宋" w:hAnsi="仿宋" w:eastAsia="仿宋" w:cs="仿宋"/>
          <w:sz w:val="24"/>
          <w:szCs w:val="20"/>
          <w:highlight w:val="none"/>
        </w:rPr>
      </w:pPr>
      <w:r>
        <w:rPr>
          <w:rFonts w:hint="eastAsia" w:ascii="仿宋" w:hAnsi="仿宋" w:eastAsia="仿宋" w:cs="仿宋"/>
          <w:sz w:val="24"/>
          <w:szCs w:val="20"/>
          <w:highlight w:val="none"/>
        </w:rPr>
        <w:t>姓名：</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性别：</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年龄：</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职务：</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系</w:t>
      </w:r>
    </w:p>
    <w:p w14:paraId="20D96FC6">
      <w:pPr>
        <w:pStyle w:val="297"/>
        <w:spacing w:line="480" w:lineRule="exact"/>
        <w:rPr>
          <w:rFonts w:ascii="仿宋" w:hAnsi="仿宋" w:eastAsia="仿宋" w:cs="仿宋"/>
          <w:sz w:val="24"/>
          <w:szCs w:val="20"/>
          <w:highlight w:val="none"/>
        </w:rPr>
      </w:pP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w:t>
      </w: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名称）的法定代表人。</w:t>
      </w:r>
    </w:p>
    <w:p w14:paraId="5FFE2768">
      <w:pPr>
        <w:pStyle w:val="297"/>
        <w:spacing w:line="480" w:lineRule="exact"/>
        <w:ind w:firstLine="480"/>
        <w:rPr>
          <w:rFonts w:ascii="仿宋" w:hAnsi="仿宋" w:eastAsia="仿宋" w:cs="仿宋"/>
          <w:sz w:val="24"/>
          <w:szCs w:val="20"/>
          <w:highlight w:val="none"/>
        </w:rPr>
      </w:pPr>
      <w:r>
        <w:rPr>
          <w:rFonts w:hint="eastAsia" w:ascii="仿宋" w:hAnsi="仿宋" w:eastAsia="仿宋" w:cs="仿宋"/>
          <w:sz w:val="24"/>
          <w:szCs w:val="20"/>
          <w:highlight w:val="none"/>
        </w:rPr>
        <w:t>特此证明。</w:t>
      </w:r>
    </w:p>
    <w:p w14:paraId="3027822A">
      <w:pPr>
        <w:pStyle w:val="297"/>
        <w:spacing w:line="480" w:lineRule="exact"/>
        <w:ind w:firstLine="480"/>
        <w:rPr>
          <w:rFonts w:ascii="仿宋" w:hAnsi="仿宋" w:eastAsia="仿宋" w:cs="仿宋"/>
          <w:sz w:val="24"/>
          <w:highlight w:val="none"/>
        </w:rPr>
      </w:pPr>
    </w:p>
    <w:p w14:paraId="3940B8F1">
      <w:pPr>
        <w:pStyle w:val="298"/>
        <w:spacing w:line="600" w:lineRule="exact"/>
        <w:rPr>
          <w:rFonts w:ascii="仿宋" w:hAnsi="仿宋" w:eastAsia="仿宋" w:cs="仿宋"/>
          <w:b/>
          <w:bCs/>
          <w:sz w:val="24"/>
          <w:szCs w:val="20"/>
          <w:highlight w:val="none"/>
        </w:rPr>
      </w:pPr>
      <w:r>
        <w:rPr>
          <w:rFonts w:hint="eastAsia" w:ascii="仿宋" w:hAnsi="仿宋" w:eastAsia="仿宋" w:cs="仿宋"/>
          <w:b/>
          <w:bCs/>
          <w:sz w:val="24"/>
          <w:szCs w:val="20"/>
          <w:highlight w:val="none"/>
        </w:rPr>
        <w:t>（法定代表人出席开标会议的提供，未出席的可不提供。附法定代表人身份证复印件）</w:t>
      </w:r>
    </w:p>
    <w:p w14:paraId="0F31A8CC">
      <w:pPr>
        <w:pStyle w:val="299"/>
        <w:spacing w:line="700" w:lineRule="exact"/>
        <w:ind w:firstLine="629"/>
        <w:rPr>
          <w:rFonts w:ascii="仿宋" w:hAnsi="仿宋" w:eastAsia="仿宋" w:cs="仿宋"/>
          <w:sz w:val="24"/>
          <w:szCs w:val="20"/>
          <w:highlight w:val="none"/>
        </w:rPr>
      </w:pPr>
    </w:p>
    <w:p w14:paraId="7FBAFAD8">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名称：</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（盖章）</w:t>
      </w:r>
    </w:p>
    <w:p w14:paraId="0BABEC72">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rPr>
        <w:t>法定代表人：</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（签字或盖章）</w:t>
      </w:r>
    </w:p>
    <w:p w14:paraId="68D9A503">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年</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月</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日</w:t>
      </w:r>
    </w:p>
    <w:p w14:paraId="6675C693">
      <w:pPr>
        <w:pStyle w:val="296"/>
        <w:spacing w:line="56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clear="all"/>
      </w:r>
      <w:r>
        <w:rPr>
          <w:rFonts w:hint="eastAsia" w:ascii="仿宋" w:hAnsi="仿宋" w:eastAsia="仿宋" w:cs="仿宋"/>
          <w:b/>
          <w:bCs/>
          <w:sz w:val="32"/>
          <w:szCs w:val="32"/>
          <w:highlight w:val="none"/>
        </w:rPr>
        <w:t>法定代表人授权委托书</w:t>
      </w:r>
    </w:p>
    <w:p w14:paraId="66B6F8A4">
      <w:pPr>
        <w:pStyle w:val="296"/>
        <w:spacing w:line="600" w:lineRule="exact"/>
        <w:rPr>
          <w:rFonts w:ascii="仿宋" w:hAnsi="仿宋" w:eastAsia="仿宋" w:cs="仿宋"/>
          <w:sz w:val="32"/>
          <w:highlight w:val="none"/>
        </w:rPr>
      </w:pPr>
    </w:p>
    <w:p w14:paraId="2E63BD01">
      <w:pPr>
        <w:pStyle w:val="299"/>
        <w:spacing w:line="360" w:lineRule="auto"/>
        <w:rPr>
          <w:rFonts w:ascii="仿宋" w:hAnsi="仿宋" w:eastAsia="仿宋" w:cs="仿宋"/>
          <w:sz w:val="24"/>
          <w:szCs w:val="24"/>
          <w:highlight w:val="none"/>
        </w:rPr>
      </w:pPr>
      <w:r>
        <w:rPr>
          <w:rFonts w:hint="eastAsia" w:ascii="仿宋" w:hAnsi="仿宋" w:eastAsia="仿宋" w:cs="仿宋"/>
          <w:sz w:val="24"/>
          <w:szCs w:val="24"/>
          <w:highlight w:val="none"/>
          <w:u w:val="single"/>
        </w:rPr>
        <w:t>（采购人/采购代理机构）</w:t>
      </w:r>
      <w:r>
        <w:rPr>
          <w:rFonts w:hint="eastAsia" w:ascii="仿宋" w:hAnsi="仿宋" w:eastAsia="仿宋" w:cs="仿宋"/>
          <w:sz w:val="24"/>
          <w:szCs w:val="24"/>
          <w:highlight w:val="none"/>
        </w:rPr>
        <w:t>：</w:t>
      </w:r>
    </w:p>
    <w:p w14:paraId="08E41D48">
      <w:pPr>
        <w:pStyle w:val="299"/>
        <w:spacing w:line="360" w:lineRule="auto"/>
        <w:ind w:firstLine="480"/>
        <w:rPr>
          <w:rFonts w:ascii="仿宋" w:hAnsi="仿宋" w:eastAsia="仿宋" w:cs="仿宋"/>
          <w:sz w:val="32"/>
          <w:szCs w:val="32"/>
          <w:highlight w:val="none"/>
          <w:u w:val="single"/>
        </w:rPr>
      </w:pPr>
      <w:r>
        <w:rPr>
          <w:rFonts w:hint="eastAsia" w:ascii="仿宋" w:hAnsi="仿宋" w:eastAsia="仿宋" w:cs="仿宋"/>
          <w:sz w:val="24"/>
          <w:szCs w:val="24"/>
          <w:highlight w:val="none"/>
          <w:u w:val="single"/>
        </w:rPr>
        <w:t xml:space="preserve">      （单位名称）</w:t>
      </w: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（姓名）</w:t>
      </w:r>
      <w:r>
        <w:rPr>
          <w:rFonts w:hint="eastAsia" w:ascii="仿宋" w:hAnsi="仿宋" w:eastAsia="仿宋" w:cs="仿宋"/>
          <w:sz w:val="24"/>
          <w:szCs w:val="24"/>
          <w:highlight w:val="none"/>
        </w:rPr>
        <w:t xml:space="preserve">，法定代表人身份证号：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，授权我单位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（职务或职称）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（姓名），身份证号：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，为我单位本次授权委托人，全权处理此次</w:t>
      </w:r>
      <w:r>
        <w:rPr>
          <w:rFonts w:hint="eastAsia" w:ascii="仿宋" w:hAnsi="仿宋" w:eastAsia="仿宋" w:cs="仿宋"/>
          <w:sz w:val="24"/>
          <w:szCs w:val="24"/>
          <w:highlight w:val="none"/>
          <w:u w:val="single"/>
        </w:rPr>
        <w:t xml:space="preserve">        （项目名称）</w:t>
      </w:r>
      <w:r>
        <w:rPr>
          <w:rFonts w:hint="eastAsia" w:ascii="仿宋" w:hAnsi="仿宋" w:eastAsia="仿宋" w:cs="仿宋"/>
          <w:sz w:val="24"/>
          <w:szCs w:val="24"/>
          <w:highlight w:val="none"/>
        </w:rPr>
        <w:t>招标活动的一切事宜。</w:t>
      </w:r>
    </w:p>
    <w:p w14:paraId="67D33DFB">
      <w:pPr>
        <w:pStyle w:val="299"/>
        <w:spacing w:line="360" w:lineRule="auto"/>
        <w:ind w:firstLine="630"/>
        <w:rPr>
          <w:rFonts w:ascii="仿宋" w:hAnsi="仿宋" w:eastAsia="仿宋" w:cs="仿宋"/>
          <w:sz w:val="24"/>
          <w:szCs w:val="20"/>
          <w:highlight w:val="none"/>
        </w:rPr>
      </w:pPr>
      <w:r>
        <w:rPr>
          <w:rFonts w:hint="eastAsia" w:ascii="仿宋" w:hAnsi="仿宋" w:eastAsia="仿宋" w:cs="仿宋"/>
          <w:sz w:val="24"/>
          <w:szCs w:val="20"/>
          <w:highlight w:val="none"/>
        </w:rPr>
        <w:t>特此授权。</w:t>
      </w:r>
    </w:p>
    <w:p w14:paraId="481EB9E4">
      <w:pPr>
        <w:pStyle w:val="299"/>
        <w:ind w:firstLine="480"/>
        <w:rPr>
          <w:rFonts w:ascii="仿宋" w:hAnsi="仿宋" w:eastAsia="仿宋" w:cs="仿宋"/>
          <w:sz w:val="24"/>
          <w:szCs w:val="24"/>
          <w:highlight w:val="none"/>
        </w:rPr>
      </w:pPr>
    </w:p>
    <w:p w14:paraId="496F013F">
      <w:pPr>
        <w:pStyle w:val="299"/>
        <w:ind w:firstLine="480"/>
        <w:rPr>
          <w:rFonts w:ascii="仿宋" w:hAnsi="仿宋" w:eastAsia="仿宋" w:cs="仿宋"/>
          <w:sz w:val="24"/>
          <w:szCs w:val="24"/>
          <w:highlight w:val="none"/>
        </w:rPr>
      </w:pPr>
    </w:p>
    <w:p w14:paraId="703D6B7F">
      <w:pPr>
        <w:pStyle w:val="299"/>
        <w:ind w:firstLine="482"/>
        <w:rPr>
          <w:rFonts w:ascii="仿宋" w:hAnsi="仿宋" w:eastAsia="仿宋" w:cs="仿宋"/>
          <w:b/>
          <w:bCs/>
          <w:sz w:val="24"/>
          <w:szCs w:val="24"/>
          <w:highlight w:val="none"/>
        </w:rPr>
      </w:pPr>
      <w:r>
        <w:rPr>
          <w:rFonts w:hint="eastAsia" w:ascii="仿宋" w:hAnsi="仿宋" w:eastAsia="仿宋" w:cs="仿宋"/>
          <w:b/>
          <w:bCs/>
          <w:sz w:val="24"/>
          <w:szCs w:val="24"/>
          <w:highlight w:val="none"/>
        </w:rPr>
        <w:t>（授权委托人出席开标会议的提供，附法定代表人及被授权人身份证复印件）</w:t>
      </w:r>
    </w:p>
    <w:p w14:paraId="0F883F3E">
      <w:pPr>
        <w:pStyle w:val="299"/>
        <w:spacing w:line="600" w:lineRule="exact"/>
        <w:ind w:firstLine="630"/>
        <w:rPr>
          <w:rFonts w:ascii="仿宋" w:hAnsi="仿宋" w:eastAsia="仿宋" w:cs="仿宋"/>
          <w:sz w:val="24"/>
          <w:szCs w:val="24"/>
          <w:highlight w:val="none"/>
        </w:rPr>
      </w:pPr>
    </w:p>
    <w:p w14:paraId="5C2AE336">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lang w:eastAsia="zh-CN"/>
        </w:rPr>
        <w:t>投标人</w:t>
      </w:r>
      <w:r>
        <w:rPr>
          <w:rFonts w:hint="eastAsia" w:ascii="仿宋" w:hAnsi="仿宋" w:eastAsia="仿宋" w:cs="仿宋"/>
          <w:sz w:val="24"/>
          <w:szCs w:val="20"/>
          <w:highlight w:val="none"/>
        </w:rPr>
        <w:t>名称：</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（盖章）</w:t>
      </w:r>
    </w:p>
    <w:p w14:paraId="3032DA23">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rPr>
        <w:t>法定代表人：</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（签字或盖章）</w:t>
      </w:r>
    </w:p>
    <w:p w14:paraId="5264A8F8">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rPr>
        <w:t>授权委托人：</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（签字）</w:t>
      </w:r>
    </w:p>
    <w:p w14:paraId="476B412D">
      <w:pPr>
        <w:pStyle w:val="299"/>
        <w:spacing w:line="700" w:lineRule="exact"/>
        <w:ind w:firstLine="629"/>
        <w:rPr>
          <w:rFonts w:ascii="仿宋" w:hAnsi="仿宋" w:eastAsia="仿宋" w:cs="仿宋"/>
          <w:sz w:val="24"/>
          <w:szCs w:val="20"/>
          <w:highlight w:val="none"/>
        </w:rPr>
      </w:pP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年</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月</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日</w:t>
      </w:r>
    </w:p>
    <w:p w14:paraId="2923E10D">
      <w:pPr>
        <w:pStyle w:val="300"/>
        <w:outlineLvl w:val="1"/>
        <w:rPr>
          <w:rFonts w:ascii="仿宋" w:hAnsi="仿宋" w:eastAsia="仿宋" w:cs="仿宋"/>
          <w:highlight w:val="none"/>
        </w:rPr>
      </w:pPr>
      <w:r>
        <w:rPr>
          <w:rFonts w:hint="eastAsia" w:ascii="仿宋" w:hAnsi="仿宋" w:eastAsia="仿宋" w:cs="仿宋"/>
          <w:highlight w:val="none"/>
        </w:rPr>
        <w:br w:type="page" w:clear="all"/>
      </w:r>
      <w:bookmarkStart w:id="80" w:name="_Toc26108"/>
      <w:r>
        <w:rPr>
          <w:rFonts w:hint="eastAsia" w:ascii="仿宋" w:hAnsi="仿宋" w:eastAsia="仿宋" w:cs="仿宋"/>
          <w:highlight w:val="none"/>
        </w:rPr>
        <w:t>三、</w:t>
      </w:r>
      <w:r>
        <w:rPr>
          <w:rFonts w:hint="eastAsia" w:ascii="仿宋" w:hAnsi="仿宋" w:eastAsia="仿宋" w:cs="仿宋"/>
          <w:highlight w:val="none"/>
          <w:lang w:eastAsia="zh-CN"/>
        </w:rPr>
        <w:t>投标人</w:t>
      </w:r>
      <w:r>
        <w:rPr>
          <w:rFonts w:hint="eastAsia" w:ascii="仿宋" w:hAnsi="仿宋" w:eastAsia="仿宋" w:cs="仿宋"/>
          <w:highlight w:val="none"/>
        </w:rPr>
        <w:t>基本信息</w:t>
      </w:r>
      <w:bookmarkEnd w:id="80"/>
    </w:p>
    <w:p w14:paraId="2DEF50E0">
      <w:pPr>
        <w:pStyle w:val="301"/>
        <w:jc w:val="center"/>
        <w:rPr>
          <w:rFonts w:ascii="仿宋" w:hAnsi="仿宋" w:eastAsia="仿宋" w:cs="仿宋"/>
          <w:sz w:val="44"/>
          <w:szCs w:val="44"/>
          <w:highlight w:val="none"/>
        </w:rPr>
      </w:pPr>
      <w:r>
        <w:rPr>
          <w:rFonts w:hint="eastAsia" w:ascii="仿宋" w:hAnsi="仿宋" w:eastAsia="仿宋" w:cs="仿宋"/>
          <w:sz w:val="44"/>
          <w:szCs w:val="44"/>
          <w:highlight w:val="none"/>
          <w:lang w:eastAsia="zh-CN"/>
        </w:rPr>
        <w:t>投标人</w:t>
      </w:r>
      <w:r>
        <w:rPr>
          <w:rFonts w:hint="eastAsia" w:ascii="仿宋" w:hAnsi="仿宋" w:eastAsia="仿宋" w:cs="仿宋"/>
          <w:sz w:val="44"/>
          <w:szCs w:val="44"/>
          <w:highlight w:val="none"/>
        </w:rPr>
        <w:t>基本情况表</w:t>
      </w:r>
    </w:p>
    <w:tbl>
      <w:tblPr>
        <w:tblStyle w:val="35"/>
        <w:tblW w:w="852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5"/>
        <w:gridCol w:w="2979"/>
        <w:gridCol w:w="1276"/>
        <w:gridCol w:w="2604"/>
      </w:tblGrid>
      <w:tr w14:paraId="13620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7D94A923">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名称</w:t>
            </w:r>
          </w:p>
        </w:tc>
        <w:tc>
          <w:tcPr>
            <w:tcW w:w="6859" w:type="dxa"/>
            <w:gridSpan w:val="3"/>
            <w:vAlign w:val="center"/>
          </w:tcPr>
          <w:p w14:paraId="1A424A9B">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（加盖公章）</w:t>
            </w:r>
          </w:p>
        </w:tc>
      </w:tr>
      <w:tr w14:paraId="7EFCD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4D8F4554">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法定代表人</w:t>
            </w:r>
          </w:p>
        </w:tc>
        <w:tc>
          <w:tcPr>
            <w:tcW w:w="2979" w:type="dxa"/>
            <w:vAlign w:val="center"/>
          </w:tcPr>
          <w:p w14:paraId="79477280">
            <w:pPr>
              <w:pStyle w:val="301"/>
              <w:spacing w:line="600" w:lineRule="exact"/>
              <w:jc w:val="center"/>
              <w:rPr>
                <w:rFonts w:ascii="仿宋" w:hAnsi="仿宋" w:eastAsia="仿宋" w:cs="仿宋"/>
                <w:color w:val="000000"/>
                <w:sz w:val="24"/>
                <w:szCs w:val="24"/>
                <w:highlight w:val="none"/>
              </w:rPr>
            </w:pPr>
          </w:p>
        </w:tc>
        <w:tc>
          <w:tcPr>
            <w:tcW w:w="1276" w:type="dxa"/>
            <w:vAlign w:val="center"/>
          </w:tcPr>
          <w:p w14:paraId="13890AF4">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注册地区</w:t>
            </w:r>
          </w:p>
        </w:tc>
        <w:tc>
          <w:tcPr>
            <w:tcW w:w="2604" w:type="dxa"/>
            <w:vAlign w:val="center"/>
          </w:tcPr>
          <w:p w14:paraId="66AB45EF">
            <w:pPr>
              <w:pStyle w:val="301"/>
              <w:spacing w:line="600" w:lineRule="exact"/>
              <w:jc w:val="center"/>
              <w:rPr>
                <w:rFonts w:ascii="仿宋" w:hAnsi="仿宋" w:eastAsia="仿宋" w:cs="仿宋"/>
                <w:color w:val="000000"/>
                <w:sz w:val="24"/>
                <w:szCs w:val="24"/>
                <w:highlight w:val="none"/>
              </w:rPr>
            </w:pPr>
          </w:p>
        </w:tc>
      </w:tr>
      <w:tr w14:paraId="6607E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41C7B13D">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地址</w:t>
            </w:r>
          </w:p>
        </w:tc>
        <w:tc>
          <w:tcPr>
            <w:tcW w:w="2979" w:type="dxa"/>
            <w:vAlign w:val="center"/>
          </w:tcPr>
          <w:p w14:paraId="66A211F5">
            <w:pPr>
              <w:pStyle w:val="301"/>
              <w:spacing w:line="600" w:lineRule="exact"/>
              <w:jc w:val="center"/>
              <w:rPr>
                <w:rFonts w:ascii="仿宋" w:hAnsi="仿宋" w:eastAsia="仿宋" w:cs="仿宋"/>
                <w:color w:val="000000"/>
                <w:sz w:val="24"/>
                <w:szCs w:val="24"/>
                <w:highlight w:val="none"/>
              </w:rPr>
            </w:pPr>
          </w:p>
        </w:tc>
        <w:tc>
          <w:tcPr>
            <w:tcW w:w="1276" w:type="dxa"/>
            <w:vAlign w:val="center"/>
          </w:tcPr>
          <w:p w14:paraId="6D2AD629">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邮政编码</w:t>
            </w:r>
          </w:p>
        </w:tc>
        <w:tc>
          <w:tcPr>
            <w:tcW w:w="2604" w:type="dxa"/>
            <w:vAlign w:val="center"/>
          </w:tcPr>
          <w:p w14:paraId="1739EAC2">
            <w:pPr>
              <w:pStyle w:val="301"/>
              <w:spacing w:line="600" w:lineRule="exact"/>
              <w:jc w:val="center"/>
              <w:rPr>
                <w:rFonts w:ascii="仿宋" w:hAnsi="仿宋" w:eastAsia="仿宋" w:cs="仿宋"/>
                <w:color w:val="000000"/>
                <w:sz w:val="24"/>
                <w:szCs w:val="24"/>
                <w:highlight w:val="none"/>
              </w:rPr>
            </w:pPr>
          </w:p>
        </w:tc>
      </w:tr>
      <w:tr w14:paraId="293D7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726BE304">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成立时间</w:t>
            </w:r>
          </w:p>
        </w:tc>
        <w:tc>
          <w:tcPr>
            <w:tcW w:w="2979" w:type="dxa"/>
            <w:vAlign w:val="center"/>
          </w:tcPr>
          <w:p w14:paraId="6EF8E10D">
            <w:pPr>
              <w:pStyle w:val="301"/>
              <w:spacing w:line="600" w:lineRule="exact"/>
              <w:jc w:val="center"/>
              <w:rPr>
                <w:rFonts w:ascii="仿宋" w:hAnsi="仿宋" w:eastAsia="仿宋" w:cs="仿宋"/>
                <w:color w:val="000000"/>
                <w:sz w:val="24"/>
                <w:szCs w:val="24"/>
                <w:highlight w:val="none"/>
              </w:rPr>
            </w:pPr>
          </w:p>
        </w:tc>
        <w:tc>
          <w:tcPr>
            <w:tcW w:w="1276" w:type="dxa"/>
            <w:vAlign w:val="center"/>
          </w:tcPr>
          <w:p w14:paraId="1383092C">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单位性质</w:t>
            </w:r>
          </w:p>
        </w:tc>
        <w:tc>
          <w:tcPr>
            <w:tcW w:w="2604" w:type="dxa"/>
            <w:vAlign w:val="center"/>
          </w:tcPr>
          <w:p w14:paraId="0B742DBA">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（国有、民营等）</w:t>
            </w:r>
          </w:p>
        </w:tc>
      </w:tr>
      <w:tr w14:paraId="53A34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67286546">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社会信用代码</w:t>
            </w:r>
          </w:p>
        </w:tc>
        <w:tc>
          <w:tcPr>
            <w:tcW w:w="2979" w:type="dxa"/>
            <w:vAlign w:val="center"/>
          </w:tcPr>
          <w:p w14:paraId="294B42FA">
            <w:pPr>
              <w:pStyle w:val="301"/>
              <w:spacing w:line="600" w:lineRule="exact"/>
              <w:jc w:val="center"/>
              <w:rPr>
                <w:rFonts w:ascii="仿宋" w:hAnsi="仿宋" w:eastAsia="仿宋" w:cs="仿宋"/>
                <w:color w:val="000000"/>
                <w:sz w:val="24"/>
                <w:szCs w:val="24"/>
                <w:highlight w:val="none"/>
              </w:rPr>
            </w:pPr>
          </w:p>
        </w:tc>
        <w:tc>
          <w:tcPr>
            <w:tcW w:w="1276" w:type="dxa"/>
            <w:vAlign w:val="center"/>
          </w:tcPr>
          <w:p w14:paraId="18FB1445">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注册资本（万元）</w:t>
            </w:r>
          </w:p>
        </w:tc>
        <w:tc>
          <w:tcPr>
            <w:tcW w:w="2604" w:type="dxa"/>
            <w:vAlign w:val="center"/>
          </w:tcPr>
          <w:p w14:paraId="4A568DD7">
            <w:pPr>
              <w:pStyle w:val="301"/>
              <w:spacing w:line="600" w:lineRule="exact"/>
              <w:jc w:val="center"/>
              <w:rPr>
                <w:rFonts w:ascii="仿宋" w:hAnsi="仿宋" w:eastAsia="仿宋" w:cs="仿宋"/>
                <w:color w:val="000000"/>
                <w:sz w:val="24"/>
                <w:szCs w:val="24"/>
                <w:highlight w:val="none"/>
              </w:rPr>
            </w:pPr>
          </w:p>
        </w:tc>
      </w:tr>
      <w:tr w14:paraId="22C41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4710C57C">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开户银行</w:t>
            </w:r>
          </w:p>
        </w:tc>
        <w:tc>
          <w:tcPr>
            <w:tcW w:w="2979" w:type="dxa"/>
            <w:vAlign w:val="center"/>
          </w:tcPr>
          <w:p w14:paraId="2CF6E04E">
            <w:pPr>
              <w:pStyle w:val="301"/>
              <w:spacing w:line="600" w:lineRule="exact"/>
              <w:jc w:val="center"/>
              <w:rPr>
                <w:rFonts w:ascii="仿宋" w:hAnsi="仿宋" w:eastAsia="仿宋" w:cs="仿宋"/>
                <w:color w:val="000000"/>
                <w:sz w:val="24"/>
                <w:szCs w:val="24"/>
                <w:highlight w:val="none"/>
              </w:rPr>
            </w:pPr>
          </w:p>
        </w:tc>
        <w:tc>
          <w:tcPr>
            <w:tcW w:w="1276" w:type="dxa"/>
            <w:vAlign w:val="center"/>
          </w:tcPr>
          <w:p w14:paraId="0B7087FE">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账号</w:t>
            </w:r>
          </w:p>
        </w:tc>
        <w:tc>
          <w:tcPr>
            <w:tcW w:w="2604" w:type="dxa"/>
            <w:vAlign w:val="center"/>
          </w:tcPr>
          <w:p w14:paraId="0004CB84">
            <w:pPr>
              <w:pStyle w:val="301"/>
              <w:spacing w:line="600" w:lineRule="exact"/>
              <w:jc w:val="center"/>
              <w:rPr>
                <w:rFonts w:ascii="仿宋" w:hAnsi="仿宋" w:eastAsia="仿宋" w:cs="仿宋"/>
                <w:color w:val="000000"/>
                <w:sz w:val="24"/>
                <w:szCs w:val="24"/>
                <w:highlight w:val="none"/>
              </w:rPr>
            </w:pPr>
          </w:p>
        </w:tc>
      </w:tr>
      <w:tr w14:paraId="3B4B1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5" w:type="dxa"/>
            <w:vAlign w:val="center"/>
          </w:tcPr>
          <w:p w14:paraId="1810BBDF">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联系人</w:t>
            </w:r>
          </w:p>
        </w:tc>
        <w:tc>
          <w:tcPr>
            <w:tcW w:w="2979" w:type="dxa"/>
            <w:vAlign w:val="center"/>
          </w:tcPr>
          <w:p w14:paraId="46842619">
            <w:pPr>
              <w:pStyle w:val="301"/>
              <w:spacing w:line="600" w:lineRule="exact"/>
              <w:jc w:val="center"/>
              <w:rPr>
                <w:rFonts w:ascii="仿宋" w:hAnsi="仿宋" w:eastAsia="仿宋" w:cs="仿宋"/>
                <w:color w:val="000000"/>
                <w:sz w:val="24"/>
                <w:szCs w:val="24"/>
                <w:highlight w:val="none"/>
              </w:rPr>
            </w:pPr>
          </w:p>
        </w:tc>
        <w:tc>
          <w:tcPr>
            <w:tcW w:w="1276" w:type="dxa"/>
            <w:vAlign w:val="center"/>
          </w:tcPr>
          <w:p w14:paraId="76D7AE45">
            <w:pPr>
              <w:pStyle w:val="301"/>
              <w:spacing w:line="60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联系电话</w:t>
            </w:r>
          </w:p>
        </w:tc>
        <w:tc>
          <w:tcPr>
            <w:tcW w:w="2604" w:type="dxa"/>
            <w:vAlign w:val="center"/>
          </w:tcPr>
          <w:p w14:paraId="706164EE">
            <w:pPr>
              <w:pStyle w:val="301"/>
              <w:spacing w:line="600" w:lineRule="exact"/>
              <w:jc w:val="center"/>
              <w:rPr>
                <w:rFonts w:ascii="仿宋" w:hAnsi="仿宋" w:eastAsia="仿宋" w:cs="仿宋"/>
                <w:color w:val="000000"/>
                <w:sz w:val="24"/>
                <w:szCs w:val="24"/>
                <w:highlight w:val="none"/>
              </w:rPr>
            </w:pPr>
          </w:p>
        </w:tc>
      </w:tr>
      <w:tr w14:paraId="65473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6" w:hRule="atLeast"/>
        </w:trPr>
        <w:tc>
          <w:tcPr>
            <w:tcW w:w="1665" w:type="dxa"/>
            <w:vAlign w:val="center"/>
          </w:tcPr>
          <w:p w14:paraId="213F2B04">
            <w:pPr>
              <w:pStyle w:val="301"/>
              <w:spacing w:line="5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经营范围</w:t>
            </w:r>
          </w:p>
        </w:tc>
        <w:tc>
          <w:tcPr>
            <w:tcW w:w="6859" w:type="dxa"/>
            <w:gridSpan w:val="3"/>
          </w:tcPr>
          <w:p w14:paraId="4E653D84">
            <w:pPr>
              <w:pStyle w:val="301"/>
              <w:spacing w:line="560" w:lineRule="exact"/>
              <w:ind w:firstLine="1432"/>
              <w:rPr>
                <w:rFonts w:ascii="仿宋" w:hAnsi="仿宋" w:eastAsia="仿宋" w:cs="仿宋"/>
                <w:color w:val="000000"/>
                <w:sz w:val="24"/>
                <w:szCs w:val="24"/>
                <w:highlight w:val="none"/>
              </w:rPr>
            </w:pPr>
          </w:p>
        </w:tc>
      </w:tr>
      <w:tr w14:paraId="321FD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65" w:type="dxa"/>
            <w:vAlign w:val="center"/>
          </w:tcPr>
          <w:p w14:paraId="382BF265">
            <w:pPr>
              <w:pStyle w:val="301"/>
              <w:spacing w:line="560" w:lineRule="exact"/>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备注</w:t>
            </w:r>
          </w:p>
        </w:tc>
        <w:tc>
          <w:tcPr>
            <w:tcW w:w="6859" w:type="dxa"/>
            <w:gridSpan w:val="3"/>
            <w:vAlign w:val="center"/>
          </w:tcPr>
          <w:p w14:paraId="0C6B0364">
            <w:pPr>
              <w:pStyle w:val="301"/>
              <w:spacing w:line="500" w:lineRule="exact"/>
              <w:jc w:val="center"/>
              <w:rPr>
                <w:rFonts w:ascii="仿宋" w:hAnsi="仿宋" w:eastAsia="仿宋" w:cs="仿宋"/>
                <w:color w:val="000000"/>
                <w:sz w:val="24"/>
                <w:szCs w:val="24"/>
                <w:highlight w:val="none"/>
              </w:rPr>
            </w:pPr>
          </w:p>
        </w:tc>
      </w:tr>
    </w:tbl>
    <w:p w14:paraId="27EA8108">
      <w:pPr>
        <w:pStyle w:val="301"/>
        <w:spacing w:line="560" w:lineRule="exact"/>
        <w:jc w:val="center"/>
        <w:rPr>
          <w:rFonts w:ascii="仿宋" w:hAnsi="仿宋" w:eastAsia="仿宋" w:cs="仿宋"/>
          <w:bCs/>
          <w:color w:val="000000"/>
          <w:sz w:val="32"/>
          <w:szCs w:val="32"/>
          <w:highlight w:val="none"/>
        </w:rPr>
      </w:pPr>
    </w:p>
    <w:p w14:paraId="2B8E47B2">
      <w:pPr>
        <w:pStyle w:val="301"/>
        <w:spacing w:line="560" w:lineRule="exact"/>
        <w:rPr>
          <w:rFonts w:ascii="仿宋" w:hAnsi="仿宋" w:eastAsia="仿宋" w:cs="仿宋"/>
          <w:color w:val="000000"/>
          <w:sz w:val="28"/>
          <w:szCs w:val="28"/>
          <w:highlight w:val="none"/>
          <w:u w:val="single"/>
        </w:rPr>
      </w:pPr>
    </w:p>
    <w:p w14:paraId="2CDFA07B">
      <w:pPr>
        <w:pStyle w:val="302"/>
        <w:jc w:val="left"/>
        <w:outlineLvl w:val="1"/>
        <w:rPr>
          <w:rFonts w:hint="eastAsia" w:ascii="仿宋" w:hAnsi="仿宋" w:eastAsia="仿宋" w:cs="仿宋"/>
          <w:b/>
          <w:sz w:val="32"/>
          <w:szCs w:val="24"/>
          <w:highlight w:val="none"/>
        </w:rPr>
      </w:pPr>
      <w:r>
        <w:rPr>
          <w:rFonts w:hint="eastAsia" w:ascii="仿宋" w:hAnsi="仿宋" w:eastAsia="仿宋" w:cs="仿宋"/>
          <w:highlight w:val="none"/>
        </w:rPr>
        <w:br w:type="page" w:clear="all"/>
      </w:r>
      <w:bookmarkStart w:id="81" w:name="_Toc21718"/>
      <w:r>
        <w:rPr>
          <w:rFonts w:hint="eastAsia" w:ascii="仿宋" w:hAnsi="仿宋" w:eastAsia="仿宋" w:cs="仿宋"/>
          <w:b/>
          <w:sz w:val="32"/>
          <w:szCs w:val="24"/>
          <w:highlight w:val="none"/>
        </w:rPr>
        <w:t>四、</w:t>
      </w:r>
      <w:r>
        <w:rPr>
          <w:rFonts w:hint="eastAsia" w:ascii="仿宋" w:hAnsi="仿宋" w:eastAsia="仿宋" w:cs="仿宋"/>
          <w:b/>
          <w:sz w:val="32"/>
          <w:szCs w:val="24"/>
          <w:highlight w:val="none"/>
          <w:lang w:eastAsia="zh-CN"/>
        </w:rPr>
        <w:t>投标人</w:t>
      </w:r>
      <w:r>
        <w:rPr>
          <w:rFonts w:hint="eastAsia" w:ascii="仿宋" w:hAnsi="仿宋" w:eastAsia="仿宋" w:cs="仿宋"/>
          <w:b/>
          <w:sz w:val="32"/>
          <w:szCs w:val="24"/>
          <w:highlight w:val="none"/>
        </w:rPr>
        <w:t>资质</w:t>
      </w:r>
      <w:bookmarkEnd w:id="81"/>
      <w:r>
        <w:rPr>
          <w:rFonts w:hint="eastAsia" w:ascii="仿宋" w:hAnsi="仿宋" w:eastAsia="仿宋" w:cs="仿宋"/>
          <w:b/>
          <w:sz w:val="32"/>
          <w:szCs w:val="24"/>
          <w:highlight w:val="none"/>
        </w:rPr>
        <w:t>（按资格要求提供）</w:t>
      </w:r>
    </w:p>
    <w:p w14:paraId="4C2651C4">
      <w:pPr>
        <w:pStyle w:val="303"/>
        <w:tabs>
          <w:tab w:val="left" w:pos="1498"/>
        </w:tabs>
        <w:spacing w:line="5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(1)具有独立承担民事责任的能力</w:t>
      </w:r>
    </w:p>
    <w:p w14:paraId="2A94FCCA">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clear="all"/>
      </w:r>
    </w:p>
    <w:p w14:paraId="7E539774">
      <w:pPr>
        <w:pStyle w:val="304"/>
        <w:spacing w:line="60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(2)具有良好的商业信誉和健全的财务会计制度</w:t>
      </w:r>
      <w:r>
        <w:rPr>
          <w:rFonts w:hint="eastAsia" w:ascii="仿宋" w:hAnsi="仿宋" w:eastAsia="仿宋" w:cs="仿宋"/>
          <w:bCs/>
          <w:color w:val="auto"/>
          <w:sz w:val="28"/>
          <w:szCs w:val="28"/>
          <w:highlight w:val="none"/>
        </w:rPr>
        <w:br w:type="page" w:clear="all"/>
      </w:r>
    </w:p>
    <w:p w14:paraId="6FF8DEA0">
      <w:pPr>
        <w:pStyle w:val="304"/>
        <w:spacing w:line="60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(3)具有履行合同所必需的设备和专业技术能力</w:t>
      </w:r>
    </w:p>
    <w:p w14:paraId="6FCED71C">
      <w:pPr>
        <w:pStyle w:val="304"/>
        <w:spacing w:line="600" w:lineRule="exact"/>
        <w:jc w:val="left"/>
        <w:rPr>
          <w:rFonts w:hint="eastAsia" w:ascii="仿宋" w:hAnsi="仿宋" w:eastAsia="仿宋" w:cs="仿宋"/>
          <w:bCs/>
          <w:color w:val="auto"/>
          <w:sz w:val="28"/>
          <w:szCs w:val="28"/>
          <w:highlight w:val="none"/>
        </w:rPr>
      </w:pPr>
    </w:p>
    <w:p w14:paraId="47F69123">
      <w:pPr>
        <w:pStyle w:val="304"/>
        <w:spacing w:line="600" w:lineRule="exact"/>
        <w:jc w:val="center"/>
        <w:rPr>
          <w:rFonts w:ascii="仿宋" w:hAnsi="仿宋" w:eastAsia="仿宋" w:cs="仿宋"/>
          <w:b/>
          <w:color w:val="auto"/>
          <w:sz w:val="32"/>
          <w:szCs w:val="24"/>
          <w:highlight w:val="none"/>
        </w:rPr>
      </w:pPr>
      <w:r>
        <w:rPr>
          <w:rFonts w:hint="eastAsia" w:ascii="仿宋" w:hAnsi="仿宋" w:eastAsia="仿宋" w:cs="仿宋"/>
          <w:b/>
          <w:color w:val="auto"/>
          <w:sz w:val="32"/>
          <w:szCs w:val="24"/>
          <w:highlight w:val="none"/>
        </w:rPr>
        <w:t>具备履行合同所必需的设备和专业技术能力的声明</w:t>
      </w:r>
    </w:p>
    <w:p w14:paraId="34F5B2B4">
      <w:pPr>
        <w:pStyle w:val="304"/>
        <w:spacing w:line="600" w:lineRule="exact"/>
        <w:rPr>
          <w:rFonts w:ascii="仿宋" w:hAnsi="仿宋" w:eastAsia="仿宋" w:cs="仿宋"/>
          <w:color w:val="auto"/>
          <w:sz w:val="24"/>
          <w:highlight w:val="none"/>
          <w:u w:val="single"/>
        </w:rPr>
      </w:pPr>
    </w:p>
    <w:p w14:paraId="397BF46E">
      <w:pPr>
        <w:pStyle w:val="304"/>
        <w:spacing w:line="600" w:lineRule="exact"/>
        <w:rPr>
          <w:rFonts w:ascii="仿宋" w:hAnsi="仿宋" w:eastAsia="仿宋" w:cs="仿宋"/>
          <w:bCs/>
          <w:color w:val="auto"/>
          <w:sz w:val="24"/>
          <w:szCs w:val="20"/>
          <w:highlight w:val="none"/>
        </w:rPr>
      </w:pP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采购人/采购代理机构</w:t>
      </w:r>
      <w:r>
        <w:rPr>
          <w:rFonts w:hint="eastAsia" w:ascii="仿宋" w:hAnsi="仿宋" w:eastAsia="仿宋" w:cs="仿宋"/>
          <w:color w:val="auto"/>
          <w:sz w:val="24"/>
          <w:szCs w:val="24"/>
          <w:highlight w:val="none"/>
          <w:u w:val="single"/>
          <w:lang w:eastAsia="zh-CN"/>
        </w:rPr>
        <w:t>）</w:t>
      </w:r>
      <w:r>
        <w:rPr>
          <w:rFonts w:hint="eastAsia" w:ascii="仿宋" w:hAnsi="仿宋" w:eastAsia="仿宋" w:cs="仿宋"/>
          <w:bCs/>
          <w:color w:val="auto"/>
          <w:sz w:val="24"/>
          <w:szCs w:val="20"/>
          <w:highlight w:val="none"/>
        </w:rPr>
        <w:t>：</w:t>
      </w:r>
    </w:p>
    <w:p w14:paraId="0E5148F5">
      <w:pPr>
        <w:pStyle w:val="304"/>
        <w:spacing w:line="600" w:lineRule="exact"/>
        <w:rPr>
          <w:rFonts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 xml:space="preserve">   我公司具备履行编号为</w:t>
      </w:r>
      <w:r>
        <w:rPr>
          <w:rFonts w:hint="eastAsia" w:ascii="仿宋" w:hAnsi="仿宋" w:eastAsia="仿宋" w:cs="仿宋"/>
          <w:bCs/>
          <w:color w:val="auto"/>
          <w:sz w:val="24"/>
          <w:szCs w:val="20"/>
          <w:highlight w:val="none"/>
          <w:u w:val="single"/>
        </w:rPr>
        <w:t xml:space="preserve">       号           </w:t>
      </w:r>
      <w:r>
        <w:rPr>
          <w:rFonts w:hint="eastAsia" w:ascii="仿宋" w:hAnsi="仿宋" w:eastAsia="仿宋" w:cs="仿宋"/>
          <w:bCs/>
          <w:color w:val="auto"/>
          <w:sz w:val="24"/>
          <w:szCs w:val="20"/>
          <w:highlight w:val="none"/>
        </w:rPr>
        <w:t>项目合同的设备和专业技术能力。</w:t>
      </w:r>
    </w:p>
    <w:p w14:paraId="7CFFDD9A">
      <w:pPr>
        <w:pStyle w:val="304"/>
        <w:spacing w:line="600" w:lineRule="exact"/>
        <w:ind w:firstLine="480"/>
        <w:rPr>
          <w:rFonts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特此声明。</w:t>
      </w:r>
    </w:p>
    <w:p w14:paraId="2E549192">
      <w:pPr>
        <w:pStyle w:val="304"/>
        <w:spacing w:line="600" w:lineRule="exact"/>
        <w:ind w:firstLine="480"/>
        <w:rPr>
          <w:rFonts w:ascii="仿宋" w:hAnsi="仿宋" w:eastAsia="仿宋" w:cs="仿宋"/>
          <w:bCs/>
          <w:color w:val="auto"/>
          <w:sz w:val="24"/>
          <w:szCs w:val="20"/>
          <w:highlight w:val="none"/>
        </w:rPr>
      </w:pPr>
    </w:p>
    <w:p w14:paraId="713169AB">
      <w:pPr>
        <w:pStyle w:val="304"/>
        <w:spacing w:line="600" w:lineRule="exact"/>
        <w:jc w:val="center"/>
        <w:rPr>
          <w:rFonts w:ascii="仿宋" w:hAnsi="仿宋" w:eastAsia="仿宋" w:cs="仿宋"/>
          <w:b/>
          <w:bCs/>
          <w:color w:val="auto"/>
          <w:sz w:val="32"/>
          <w:szCs w:val="32"/>
          <w:highlight w:val="none"/>
        </w:rPr>
      </w:pPr>
    </w:p>
    <w:p w14:paraId="2DDB64C9">
      <w:pPr>
        <w:pStyle w:val="299"/>
        <w:keepNext w:val="0"/>
        <w:keepLines w:val="0"/>
        <w:pageBreakBefore w:val="0"/>
        <w:widowControl w:val="0"/>
        <w:spacing w:line="520" w:lineRule="exac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单位名称：</w:t>
      </w:r>
      <w:r>
        <w:rPr>
          <w:rFonts w:hint="eastAsia" w:ascii="仿宋" w:hAnsi="仿宋" w:eastAsia="仿宋" w:cs="仿宋"/>
          <w:color w:val="auto"/>
          <w:sz w:val="24"/>
          <w:szCs w:val="20"/>
          <w:highlight w:val="none"/>
          <w:u w:val="single"/>
        </w:rPr>
        <w:t xml:space="preserve">                 </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eastAsia="zh-CN"/>
        </w:rPr>
        <w:t>签章</w:t>
      </w:r>
      <w:r>
        <w:rPr>
          <w:rFonts w:hint="eastAsia" w:ascii="仿宋" w:hAnsi="仿宋" w:eastAsia="仿宋" w:cs="仿宋"/>
          <w:b/>
          <w:color w:val="auto"/>
          <w:sz w:val="24"/>
          <w:szCs w:val="20"/>
          <w:highlight w:val="none"/>
        </w:rPr>
        <w:t>）</w:t>
      </w:r>
      <w:r>
        <w:rPr>
          <w:rFonts w:hint="eastAsia" w:ascii="仿宋" w:hAnsi="仿宋" w:eastAsia="仿宋" w:cs="仿宋"/>
          <w:color w:val="auto"/>
          <w:sz w:val="24"/>
          <w:szCs w:val="20"/>
          <w:highlight w:val="none"/>
        </w:rPr>
        <w:t xml:space="preserve"> </w:t>
      </w:r>
      <w:r>
        <w:rPr>
          <w:rFonts w:hint="eastAsia" w:ascii="仿宋" w:hAnsi="仿宋" w:eastAsia="仿宋" w:cs="仿宋"/>
          <w:b/>
          <w:color w:val="auto"/>
          <w:sz w:val="24"/>
          <w:szCs w:val="20"/>
          <w:highlight w:val="none"/>
        </w:rPr>
        <w:t xml:space="preserve">                   </w:t>
      </w:r>
    </w:p>
    <w:p w14:paraId="2076D6D2">
      <w:pPr>
        <w:pStyle w:val="307"/>
        <w:keepNext w:val="0"/>
        <w:keepLines w:val="0"/>
        <w:pageBreakBefore w:val="0"/>
        <w:widowControl w:val="0"/>
        <w:spacing w:line="520" w:lineRule="exac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法定代表人（或授权代表）：</w:t>
      </w:r>
      <w:r>
        <w:rPr>
          <w:rFonts w:hint="eastAsia" w:ascii="仿宋" w:hAnsi="仿宋" w:eastAsia="仿宋" w:cs="仿宋"/>
          <w:color w:val="auto"/>
          <w:sz w:val="24"/>
          <w:szCs w:val="20"/>
          <w:highlight w:val="none"/>
          <w:u w:val="single"/>
        </w:rPr>
        <w:t xml:space="preserve">                 </w:t>
      </w:r>
      <w:r>
        <w:rPr>
          <w:rFonts w:hint="eastAsia" w:ascii="仿宋" w:hAnsi="仿宋" w:eastAsia="仿宋" w:cs="仿宋"/>
          <w:b/>
          <w:color w:val="auto"/>
          <w:sz w:val="24"/>
          <w:szCs w:val="20"/>
          <w:highlight w:val="none"/>
        </w:rPr>
        <w:t>（签字</w:t>
      </w:r>
      <w:r>
        <w:rPr>
          <w:rFonts w:hint="eastAsia" w:ascii="仿宋" w:hAnsi="仿宋" w:eastAsia="仿宋" w:cs="仿宋"/>
          <w:b/>
          <w:color w:val="auto"/>
          <w:sz w:val="24"/>
          <w:szCs w:val="20"/>
          <w:highlight w:val="none"/>
          <w:lang w:val="en-US" w:eastAsia="zh-CN"/>
        </w:rPr>
        <w:t>/签章</w:t>
      </w:r>
      <w:r>
        <w:rPr>
          <w:rFonts w:hint="eastAsia" w:ascii="仿宋" w:hAnsi="仿宋" w:eastAsia="仿宋" w:cs="仿宋"/>
          <w:b/>
          <w:color w:val="auto"/>
          <w:sz w:val="24"/>
          <w:szCs w:val="20"/>
          <w:highlight w:val="none"/>
        </w:rPr>
        <w:t>）</w:t>
      </w:r>
      <w:r>
        <w:rPr>
          <w:rFonts w:hint="eastAsia" w:ascii="仿宋" w:hAnsi="仿宋" w:eastAsia="仿宋" w:cs="仿宋"/>
          <w:color w:val="auto"/>
          <w:sz w:val="24"/>
          <w:szCs w:val="20"/>
          <w:highlight w:val="none"/>
        </w:rPr>
        <w:t xml:space="preserve"> </w:t>
      </w:r>
      <w:r>
        <w:rPr>
          <w:rFonts w:hint="eastAsia" w:ascii="仿宋" w:hAnsi="仿宋" w:eastAsia="仿宋" w:cs="仿宋"/>
          <w:b/>
          <w:color w:val="auto"/>
          <w:sz w:val="24"/>
          <w:szCs w:val="20"/>
          <w:highlight w:val="none"/>
        </w:rPr>
        <w:t xml:space="preserve">                   </w:t>
      </w:r>
    </w:p>
    <w:p w14:paraId="7B435CCA">
      <w:pPr>
        <w:pStyle w:val="308"/>
        <w:keepNext w:val="0"/>
        <w:keepLines w:val="0"/>
        <w:pageBreakBefore w:val="0"/>
        <w:widowControl w:val="0"/>
        <w:spacing w:line="520" w:lineRule="exact"/>
        <w:ind w:firstLine="723"/>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 xml:space="preserve">     年      月      日</w:t>
      </w:r>
    </w:p>
    <w:p w14:paraId="02572DD8">
      <w:pPr>
        <w:pStyle w:val="304"/>
        <w:spacing w:line="600" w:lineRule="exact"/>
        <w:ind w:firstLine="480"/>
        <w:rPr>
          <w:rFonts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注：可后附佐证材料</w:t>
      </w:r>
    </w:p>
    <w:p w14:paraId="730158E4">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clear="all"/>
      </w:r>
      <w:r>
        <w:rPr>
          <w:rFonts w:hint="eastAsia" w:ascii="仿宋" w:hAnsi="仿宋" w:eastAsia="仿宋" w:cs="仿宋"/>
          <w:bCs/>
          <w:sz w:val="28"/>
          <w:szCs w:val="28"/>
        </w:rPr>
        <w:t>(4)有依法缴纳税收和社会保障资金的良好记录；</w:t>
      </w:r>
      <w:r>
        <w:rPr>
          <w:rFonts w:hint="eastAsia" w:ascii="仿宋" w:hAnsi="仿宋" w:eastAsia="仿宋" w:cs="仿宋"/>
          <w:b/>
          <w:color w:val="auto"/>
          <w:sz w:val="32"/>
          <w:szCs w:val="32"/>
          <w:highlight w:val="none"/>
        </w:rPr>
        <w:br w:type="page" w:clear="all"/>
      </w:r>
    </w:p>
    <w:p w14:paraId="53B47DAB">
      <w:pPr>
        <w:pStyle w:val="303"/>
        <w:tabs>
          <w:tab w:val="left" w:pos="1498"/>
        </w:tabs>
        <w:spacing w:line="580" w:lineRule="exact"/>
        <w:jc w:val="center"/>
        <w:rPr>
          <w:rFonts w:hint="eastAsia" w:ascii="仿宋" w:hAnsi="仿宋" w:eastAsia="仿宋" w:cs="仿宋"/>
          <w:b/>
          <w:color w:val="auto"/>
          <w:sz w:val="32"/>
          <w:szCs w:val="32"/>
          <w:highlight w:val="none"/>
        </w:rPr>
      </w:pPr>
      <w:r>
        <w:rPr>
          <w:rFonts w:hint="eastAsia" w:ascii="仿宋" w:hAnsi="仿宋" w:eastAsia="仿宋" w:cs="仿宋"/>
          <w:bCs/>
          <w:sz w:val="28"/>
          <w:szCs w:val="28"/>
        </w:rPr>
        <w:t>(5)参加本项目采购活动前三年内，在经营活动中没有重大违法记录；</w:t>
      </w:r>
    </w:p>
    <w:p w14:paraId="67D63117">
      <w:pPr>
        <w:pStyle w:val="303"/>
        <w:tabs>
          <w:tab w:val="left" w:pos="1498"/>
        </w:tabs>
        <w:spacing w:line="580" w:lineRule="exact"/>
        <w:jc w:val="center"/>
        <w:rPr>
          <w:rFonts w:hint="eastAsia" w:ascii="仿宋" w:hAnsi="仿宋" w:eastAsia="仿宋" w:cs="仿宋"/>
          <w:b/>
          <w:color w:val="auto"/>
          <w:sz w:val="32"/>
          <w:szCs w:val="32"/>
          <w:highlight w:val="none"/>
        </w:rPr>
      </w:pPr>
    </w:p>
    <w:p w14:paraId="5F40AD6B">
      <w:pPr>
        <w:pStyle w:val="303"/>
        <w:tabs>
          <w:tab w:val="left" w:pos="1498"/>
        </w:tabs>
        <w:spacing w:line="580" w:lineRule="exact"/>
        <w:jc w:val="cente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无重大违法行为声明</w:t>
      </w:r>
    </w:p>
    <w:p w14:paraId="56E8450B">
      <w:pPr>
        <w:pStyle w:val="303"/>
        <w:tabs>
          <w:tab w:val="left" w:pos="1498"/>
        </w:tabs>
        <w:spacing w:line="580" w:lineRule="exact"/>
        <w:rPr>
          <w:rFonts w:ascii="仿宋" w:hAnsi="仿宋" w:eastAsia="仿宋" w:cs="仿宋"/>
          <w:bCs/>
          <w:color w:val="auto"/>
          <w:sz w:val="24"/>
          <w:szCs w:val="20"/>
          <w:highlight w:val="none"/>
        </w:rPr>
      </w:pP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采购人/采购代理机构</w:t>
      </w:r>
      <w:r>
        <w:rPr>
          <w:rFonts w:hint="eastAsia" w:ascii="仿宋" w:hAnsi="仿宋" w:eastAsia="仿宋" w:cs="仿宋"/>
          <w:color w:val="auto"/>
          <w:sz w:val="24"/>
          <w:szCs w:val="24"/>
          <w:highlight w:val="none"/>
          <w:u w:val="single"/>
          <w:lang w:eastAsia="zh-CN"/>
        </w:rPr>
        <w:t>）</w:t>
      </w:r>
      <w:r>
        <w:rPr>
          <w:rFonts w:hint="eastAsia" w:ascii="仿宋" w:hAnsi="仿宋" w:eastAsia="仿宋" w:cs="仿宋"/>
          <w:bCs/>
          <w:color w:val="auto"/>
          <w:sz w:val="24"/>
          <w:szCs w:val="20"/>
          <w:highlight w:val="none"/>
          <w:u w:val="single"/>
        </w:rPr>
        <w:t xml:space="preserve"> </w:t>
      </w:r>
      <w:r>
        <w:rPr>
          <w:rFonts w:hint="eastAsia" w:ascii="仿宋" w:hAnsi="仿宋" w:eastAsia="仿宋" w:cs="仿宋"/>
          <w:bCs/>
          <w:color w:val="auto"/>
          <w:sz w:val="24"/>
          <w:szCs w:val="20"/>
          <w:highlight w:val="none"/>
        </w:rPr>
        <w:t>：</w:t>
      </w:r>
    </w:p>
    <w:p w14:paraId="7297112F">
      <w:pPr>
        <w:pStyle w:val="303"/>
        <w:spacing w:line="600" w:lineRule="exact"/>
        <w:ind w:firstLine="600"/>
        <w:rPr>
          <w:rFonts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我公司在参加编号为</w:t>
      </w:r>
      <w:r>
        <w:rPr>
          <w:rFonts w:hint="eastAsia" w:ascii="仿宋" w:hAnsi="仿宋" w:eastAsia="仿宋" w:cs="仿宋"/>
          <w:bCs/>
          <w:color w:val="auto"/>
          <w:sz w:val="24"/>
          <w:szCs w:val="20"/>
          <w:highlight w:val="none"/>
          <w:u w:val="single"/>
        </w:rPr>
        <w:t xml:space="preserve">            号                     </w:t>
      </w:r>
      <w:r>
        <w:rPr>
          <w:rFonts w:hint="eastAsia" w:ascii="仿宋" w:hAnsi="仿宋" w:eastAsia="仿宋" w:cs="仿宋"/>
          <w:bCs/>
          <w:color w:val="auto"/>
          <w:sz w:val="24"/>
          <w:szCs w:val="20"/>
          <w:highlight w:val="none"/>
        </w:rPr>
        <w:t>项目的采购活动前3年内，在经营活动中没有重大违法记录。未被信用中国网、中国政府采购网、江苏政府采购网列入失信被执行人、重大税收违法失信主体、政府采购严重违法失信行为记录名单。</w:t>
      </w:r>
    </w:p>
    <w:p w14:paraId="043D77C8">
      <w:pPr>
        <w:pStyle w:val="303"/>
        <w:spacing w:line="600" w:lineRule="exact"/>
        <w:ind w:firstLine="600"/>
        <w:rPr>
          <w:rFonts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特此声明。</w:t>
      </w:r>
    </w:p>
    <w:p w14:paraId="5F9143EA">
      <w:pPr>
        <w:pStyle w:val="303"/>
        <w:spacing w:line="600" w:lineRule="exact"/>
        <w:ind w:firstLine="600"/>
        <w:rPr>
          <w:rFonts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（说明：重大违法记录是指</w:t>
      </w:r>
      <w:r>
        <w:rPr>
          <w:rFonts w:hint="eastAsia" w:ascii="仿宋" w:hAnsi="仿宋" w:eastAsia="仿宋" w:cs="仿宋"/>
          <w:bCs/>
          <w:color w:val="auto"/>
          <w:sz w:val="24"/>
          <w:szCs w:val="20"/>
          <w:highlight w:val="none"/>
          <w:lang w:eastAsia="zh-CN"/>
        </w:rPr>
        <w:t>投标人</w:t>
      </w:r>
      <w:r>
        <w:rPr>
          <w:rFonts w:hint="eastAsia" w:ascii="仿宋" w:hAnsi="仿宋" w:eastAsia="仿宋" w:cs="仿宋"/>
          <w:bCs/>
          <w:color w:val="auto"/>
          <w:sz w:val="24"/>
          <w:szCs w:val="20"/>
          <w:highlight w:val="none"/>
        </w:rPr>
        <w:t>因违法经营受到刑事处罚或者责令停产停业、吊销许可证或者执照、较大数额罚款等行政处罚， 其中较大数额罚款指200万元以上的罚款。）</w:t>
      </w:r>
    </w:p>
    <w:p w14:paraId="66147551">
      <w:pPr>
        <w:pStyle w:val="303"/>
        <w:spacing w:line="600" w:lineRule="exact"/>
        <w:ind w:firstLine="600"/>
        <w:rPr>
          <w:rFonts w:ascii="仿宋" w:hAnsi="仿宋" w:eastAsia="仿宋" w:cs="仿宋"/>
          <w:color w:val="auto"/>
          <w:sz w:val="24"/>
          <w:highlight w:val="none"/>
        </w:rPr>
      </w:pPr>
    </w:p>
    <w:p w14:paraId="0A8FC0AA">
      <w:pPr>
        <w:pStyle w:val="303"/>
        <w:spacing w:line="600" w:lineRule="exact"/>
        <w:ind w:firstLine="600"/>
        <w:rPr>
          <w:rFonts w:ascii="仿宋" w:hAnsi="仿宋" w:eastAsia="仿宋" w:cs="仿宋"/>
          <w:color w:val="auto"/>
          <w:sz w:val="24"/>
          <w:highlight w:val="none"/>
        </w:rPr>
      </w:pPr>
    </w:p>
    <w:p w14:paraId="26F66560">
      <w:pPr>
        <w:pStyle w:val="299"/>
        <w:keepNext w:val="0"/>
        <w:keepLines w:val="0"/>
        <w:pageBreakBefore w:val="0"/>
        <w:widowControl w:val="0"/>
        <w:spacing w:line="520" w:lineRule="exac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单位名称：</w:t>
      </w:r>
      <w:r>
        <w:rPr>
          <w:rFonts w:hint="eastAsia" w:ascii="仿宋" w:hAnsi="仿宋" w:eastAsia="仿宋" w:cs="仿宋"/>
          <w:color w:val="auto"/>
          <w:sz w:val="24"/>
          <w:szCs w:val="20"/>
          <w:highlight w:val="none"/>
          <w:u w:val="single"/>
        </w:rPr>
        <w:t xml:space="preserve">                 </w:t>
      </w:r>
      <w:r>
        <w:rPr>
          <w:rFonts w:hint="eastAsia" w:ascii="仿宋" w:hAnsi="仿宋" w:eastAsia="仿宋" w:cs="仿宋"/>
          <w:b/>
          <w:color w:val="auto"/>
          <w:sz w:val="24"/>
          <w:szCs w:val="20"/>
          <w:highlight w:val="none"/>
        </w:rPr>
        <w:t>（</w:t>
      </w:r>
      <w:r>
        <w:rPr>
          <w:rFonts w:hint="eastAsia" w:ascii="仿宋" w:hAnsi="仿宋" w:eastAsia="仿宋" w:cs="仿宋"/>
          <w:b/>
          <w:color w:val="auto"/>
          <w:sz w:val="24"/>
          <w:szCs w:val="20"/>
          <w:highlight w:val="none"/>
          <w:lang w:eastAsia="zh-CN"/>
        </w:rPr>
        <w:t>签章</w:t>
      </w:r>
      <w:r>
        <w:rPr>
          <w:rFonts w:hint="eastAsia" w:ascii="仿宋" w:hAnsi="仿宋" w:eastAsia="仿宋" w:cs="仿宋"/>
          <w:b/>
          <w:color w:val="auto"/>
          <w:sz w:val="24"/>
          <w:szCs w:val="20"/>
          <w:highlight w:val="none"/>
        </w:rPr>
        <w:t>）</w:t>
      </w:r>
      <w:r>
        <w:rPr>
          <w:rFonts w:hint="eastAsia" w:ascii="仿宋" w:hAnsi="仿宋" w:eastAsia="仿宋" w:cs="仿宋"/>
          <w:color w:val="auto"/>
          <w:sz w:val="24"/>
          <w:szCs w:val="20"/>
          <w:highlight w:val="none"/>
        </w:rPr>
        <w:t xml:space="preserve"> </w:t>
      </w:r>
      <w:r>
        <w:rPr>
          <w:rFonts w:hint="eastAsia" w:ascii="仿宋" w:hAnsi="仿宋" w:eastAsia="仿宋" w:cs="仿宋"/>
          <w:b/>
          <w:color w:val="auto"/>
          <w:sz w:val="24"/>
          <w:szCs w:val="20"/>
          <w:highlight w:val="none"/>
        </w:rPr>
        <w:t xml:space="preserve">                   </w:t>
      </w:r>
    </w:p>
    <w:p w14:paraId="3B214698">
      <w:pPr>
        <w:pStyle w:val="307"/>
        <w:keepNext w:val="0"/>
        <w:keepLines w:val="0"/>
        <w:pageBreakBefore w:val="0"/>
        <w:widowControl w:val="0"/>
        <w:spacing w:line="520" w:lineRule="exac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rPr>
        <w:t>法定代表人（或授权代表）：</w:t>
      </w:r>
      <w:r>
        <w:rPr>
          <w:rFonts w:hint="eastAsia" w:ascii="仿宋" w:hAnsi="仿宋" w:eastAsia="仿宋" w:cs="仿宋"/>
          <w:color w:val="auto"/>
          <w:sz w:val="24"/>
          <w:szCs w:val="20"/>
          <w:highlight w:val="none"/>
          <w:u w:val="single"/>
        </w:rPr>
        <w:t xml:space="preserve">                 </w:t>
      </w:r>
      <w:r>
        <w:rPr>
          <w:rFonts w:hint="eastAsia" w:ascii="仿宋" w:hAnsi="仿宋" w:eastAsia="仿宋" w:cs="仿宋"/>
          <w:b/>
          <w:color w:val="auto"/>
          <w:sz w:val="24"/>
          <w:szCs w:val="20"/>
          <w:highlight w:val="none"/>
        </w:rPr>
        <w:t>（签字</w:t>
      </w:r>
      <w:r>
        <w:rPr>
          <w:rFonts w:hint="eastAsia" w:ascii="仿宋" w:hAnsi="仿宋" w:eastAsia="仿宋" w:cs="仿宋"/>
          <w:b/>
          <w:color w:val="auto"/>
          <w:sz w:val="24"/>
          <w:szCs w:val="20"/>
          <w:highlight w:val="none"/>
          <w:lang w:val="en-US" w:eastAsia="zh-CN"/>
        </w:rPr>
        <w:t>/签章</w:t>
      </w:r>
      <w:r>
        <w:rPr>
          <w:rFonts w:hint="eastAsia" w:ascii="仿宋" w:hAnsi="仿宋" w:eastAsia="仿宋" w:cs="仿宋"/>
          <w:b/>
          <w:color w:val="auto"/>
          <w:sz w:val="24"/>
          <w:szCs w:val="20"/>
          <w:highlight w:val="none"/>
        </w:rPr>
        <w:t>）</w:t>
      </w:r>
      <w:r>
        <w:rPr>
          <w:rFonts w:hint="eastAsia" w:ascii="仿宋" w:hAnsi="仿宋" w:eastAsia="仿宋" w:cs="仿宋"/>
          <w:color w:val="auto"/>
          <w:sz w:val="24"/>
          <w:szCs w:val="20"/>
          <w:highlight w:val="none"/>
        </w:rPr>
        <w:t xml:space="preserve"> </w:t>
      </w:r>
      <w:r>
        <w:rPr>
          <w:rFonts w:hint="eastAsia" w:ascii="仿宋" w:hAnsi="仿宋" w:eastAsia="仿宋" w:cs="仿宋"/>
          <w:b/>
          <w:color w:val="auto"/>
          <w:sz w:val="24"/>
          <w:szCs w:val="20"/>
          <w:highlight w:val="none"/>
        </w:rPr>
        <w:t xml:space="preserve">                   </w:t>
      </w:r>
    </w:p>
    <w:p w14:paraId="60351AD8">
      <w:pPr>
        <w:pStyle w:val="308"/>
        <w:keepNext w:val="0"/>
        <w:keepLines w:val="0"/>
        <w:pageBreakBefore w:val="0"/>
        <w:widowControl w:val="0"/>
        <w:spacing w:line="520" w:lineRule="exact"/>
        <w:rPr>
          <w:rFonts w:ascii="仿宋" w:hAnsi="仿宋" w:eastAsia="仿宋" w:cs="仿宋"/>
          <w:b/>
          <w:color w:val="auto"/>
          <w:sz w:val="24"/>
          <w:szCs w:val="20"/>
          <w:highlight w:val="none"/>
        </w:rPr>
      </w:pPr>
      <w:r>
        <w:rPr>
          <w:rFonts w:hint="eastAsia" w:ascii="仿宋" w:hAnsi="仿宋" w:eastAsia="仿宋" w:cs="仿宋"/>
          <w:b/>
          <w:color w:val="auto"/>
          <w:sz w:val="24"/>
          <w:szCs w:val="20"/>
          <w:highlight w:val="none"/>
          <w:lang w:val="en-US" w:eastAsia="zh-CN"/>
        </w:rPr>
        <w:t xml:space="preserve">日期： </w:t>
      </w:r>
      <w:r>
        <w:rPr>
          <w:rFonts w:hint="eastAsia" w:ascii="仿宋" w:hAnsi="仿宋" w:eastAsia="仿宋" w:cs="仿宋"/>
          <w:b/>
          <w:color w:val="auto"/>
          <w:sz w:val="24"/>
          <w:szCs w:val="20"/>
          <w:highlight w:val="none"/>
        </w:rPr>
        <w:t xml:space="preserve">     年      月      日</w:t>
      </w:r>
    </w:p>
    <w:p w14:paraId="5C1491F8">
      <w:pPr>
        <w:spacing w:line="500" w:lineRule="exact"/>
        <w:rPr>
          <w:rFonts w:hint="eastAsia" w:ascii="仿宋" w:hAnsi="仿宋" w:eastAsia="仿宋" w:cs="仿宋"/>
          <w:bCs/>
          <w:sz w:val="28"/>
          <w:szCs w:val="28"/>
          <w:highlight w:val="none"/>
        </w:rPr>
      </w:pPr>
    </w:p>
    <w:p w14:paraId="41AFC4EC">
      <w:pPr>
        <w:keepNext w:val="0"/>
        <w:keepLines w:val="0"/>
        <w:widowControl w:val="0"/>
        <w:suppressLineNumbers w:val="0"/>
        <w:spacing w:before="0" w:beforeAutospacing="0" w:after="0" w:afterAutospacing="0"/>
        <w:ind w:left="0" w:right="0"/>
        <w:jc w:val="both"/>
      </w:pPr>
      <w:r>
        <w:rPr>
          <w:rFonts w:hint="eastAsia" w:ascii="仿宋" w:hAnsi="仿宋" w:eastAsia="仿宋" w:cs="仿宋"/>
          <w:bCs/>
          <w:sz w:val="28"/>
          <w:szCs w:val="28"/>
          <w:highlight w:val="none"/>
        </w:rPr>
        <w:br w:type="page"/>
      </w:r>
    </w:p>
    <w:p w14:paraId="63D57848">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（6）法律、行政法规规定的其他条件</w:t>
      </w:r>
    </w:p>
    <w:p w14:paraId="5339E835">
      <w:pPr>
        <w:rPr>
          <w:rFonts w:ascii="仿宋" w:hAnsi="仿宋" w:eastAsia="仿宋" w:cs="仿宋"/>
          <w:highlight w:val="none"/>
        </w:rPr>
      </w:pPr>
      <w:r>
        <w:rPr>
          <w:rFonts w:ascii="仿宋" w:hAnsi="仿宋" w:eastAsia="仿宋" w:cs="仿宋"/>
          <w:highlight w:val="none"/>
        </w:rPr>
        <w:br w:type="page"/>
      </w:r>
    </w:p>
    <w:p w14:paraId="2EC9D1CD">
      <w:pPr>
        <w:pStyle w:val="303"/>
        <w:outlineLvl w:val="9"/>
        <w:rPr>
          <w:rFonts w:ascii="仿宋" w:hAnsi="仿宋" w:eastAsia="仿宋" w:cs="仿宋"/>
          <w:b/>
          <w:sz w:val="32"/>
          <w:szCs w:val="24"/>
          <w:highlight w:val="none"/>
        </w:rPr>
      </w:pPr>
      <w:r>
        <w:rPr>
          <w:rFonts w:hint="eastAsia" w:ascii="仿宋" w:hAnsi="仿宋" w:eastAsia="仿宋" w:cs="仿宋"/>
          <w:bCs/>
          <w:sz w:val="28"/>
          <w:szCs w:val="28"/>
          <w:highlight w:val="none"/>
        </w:rPr>
        <w:t>（7）本项目的其他资格要求</w:t>
      </w:r>
      <w:r>
        <w:rPr>
          <w:rFonts w:hint="eastAsia" w:ascii="仿宋" w:hAnsi="仿宋" w:eastAsia="仿宋" w:cs="仿宋"/>
          <w:highlight w:val="none"/>
        </w:rPr>
        <w:br w:type="page" w:clear="all"/>
      </w:r>
      <w:bookmarkStart w:id="82" w:name="_Toc23916"/>
      <w:r>
        <w:rPr>
          <w:rFonts w:hint="eastAsia" w:ascii="仿宋" w:hAnsi="仿宋" w:eastAsia="仿宋" w:cs="仿宋"/>
          <w:b/>
          <w:sz w:val="32"/>
          <w:szCs w:val="24"/>
          <w:highlight w:val="none"/>
        </w:rPr>
        <w:t>五、</w:t>
      </w:r>
      <w:bookmarkEnd w:id="82"/>
      <w:r>
        <w:rPr>
          <w:rFonts w:hint="eastAsia" w:ascii="仿宋" w:hAnsi="仿宋" w:eastAsia="仿宋" w:cs="仿宋"/>
          <w:b/>
          <w:sz w:val="32"/>
          <w:szCs w:val="24"/>
          <w:highlight w:val="none"/>
        </w:rPr>
        <w:t>开标一览表</w:t>
      </w:r>
    </w:p>
    <w:p w14:paraId="0C6BBB4F">
      <w:pPr>
        <w:widowControl/>
        <w:spacing w:line="520" w:lineRule="exact"/>
        <w:jc w:val="left"/>
        <w:rPr>
          <w:rFonts w:ascii="仿宋" w:hAnsi="仿宋" w:eastAsia="仿宋" w:cs="仿宋"/>
          <w:highlight w:val="none"/>
        </w:rPr>
      </w:pPr>
      <w:r>
        <w:rPr>
          <w:rFonts w:hint="eastAsia" w:ascii="仿宋" w:hAnsi="仿宋" w:eastAsia="仿宋" w:cs="仿宋"/>
          <w:highlight w:val="none"/>
        </w:rPr>
        <w:t>项目编号：</w:t>
      </w:r>
    </w:p>
    <w:p w14:paraId="7DDE6BD3">
      <w:pPr>
        <w:widowControl/>
        <w:spacing w:line="520" w:lineRule="exact"/>
        <w:jc w:val="left"/>
        <w:rPr>
          <w:highlight w:val="none"/>
        </w:rPr>
      </w:pPr>
      <w:r>
        <w:rPr>
          <w:rFonts w:hint="eastAsia" w:ascii="仿宋" w:hAnsi="仿宋" w:eastAsia="仿宋" w:cs="仿宋"/>
          <w:highlight w:val="none"/>
        </w:rPr>
        <w:t>项目名称：</w:t>
      </w:r>
    </w:p>
    <w:tbl>
      <w:tblPr>
        <w:tblStyle w:val="3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00" w:type="dxa"/>
          <w:left w:w="108" w:type="dxa"/>
          <w:bottom w:w="100" w:type="dxa"/>
          <w:right w:w="108" w:type="dxa"/>
        </w:tblCellMar>
      </w:tblPr>
      <w:tblGrid>
        <w:gridCol w:w="3473"/>
        <w:gridCol w:w="5587"/>
      </w:tblGrid>
      <w:tr w14:paraId="1EA6D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64BA2F13">
            <w:pPr>
              <w:pStyle w:val="310"/>
              <w:spacing w:line="440" w:lineRule="exact"/>
              <w:jc w:val="center"/>
              <w:rPr>
                <w:rFonts w:ascii="仿宋" w:hAnsi="仿宋" w:eastAsia="仿宋" w:cs="仿宋"/>
                <w:b/>
                <w:highlight w:val="none"/>
              </w:rPr>
            </w:pPr>
            <w:r>
              <w:rPr>
                <w:rFonts w:hint="eastAsia" w:ascii="仿宋" w:hAnsi="仿宋" w:eastAsia="仿宋" w:cs="仿宋"/>
                <w:b/>
                <w:highlight w:val="none"/>
              </w:rPr>
              <w:t>标题</w:t>
            </w:r>
          </w:p>
        </w:tc>
        <w:tc>
          <w:tcPr>
            <w:tcW w:w="5587" w:type="dxa"/>
            <w:tcMar>
              <w:top w:w="100" w:type="dxa"/>
              <w:bottom w:w="100" w:type="dxa"/>
            </w:tcMar>
            <w:vAlign w:val="center"/>
          </w:tcPr>
          <w:p w14:paraId="7774F7DA">
            <w:pPr>
              <w:pStyle w:val="310"/>
              <w:spacing w:line="440" w:lineRule="exact"/>
              <w:jc w:val="center"/>
              <w:rPr>
                <w:rFonts w:ascii="仿宋" w:hAnsi="仿宋" w:eastAsia="仿宋" w:cs="仿宋"/>
                <w:b/>
                <w:highlight w:val="none"/>
              </w:rPr>
            </w:pPr>
            <w:r>
              <w:rPr>
                <w:rFonts w:hint="eastAsia" w:ascii="仿宋" w:hAnsi="仿宋" w:eastAsia="仿宋" w:cs="仿宋"/>
                <w:b/>
                <w:highlight w:val="none"/>
              </w:rPr>
              <w:t>内容</w:t>
            </w:r>
          </w:p>
        </w:tc>
      </w:tr>
      <w:tr w14:paraId="3DBB6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235F0222">
            <w:pPr>
              <w:pStyle w:val="310"/>
              <w:spacing w:line="440" w:lineRule="exact"/>
              <w:rPr>
                <w:rFonts w:hint="eastAsia" w:ascii="仿宋" w:hAnsi="仿宋" w:eastAsia="仿宋" w:cs="仿宋"/>
                <w:bCs/>
                <w:highlight w:val="none"/>
              </w:rPr>
            </w:pPr>
            <w:r>
              <w:rPr>
                <w:rFonts w:hint="eastAsia" w:ascii="仿宋" w:hAnsi="仿宋" w:eastAsia="仿宋" w:cs="仿宋"/>
                <w:bCs/>
                <w:highlight w:val="none"/>
              </w:rPr>
              <w:t>成本管理系统</w:t>
            </w:r>
          </w:p>
        </w:tc>
        <w:tc>
          <w:tcPr>
            <w:tcW w:w="5587" w:type="dxa"/>
            <w:tcMar>
              <w:top w:w="100" w:type="dxa"/>
              <w:bottom w:w="100" w:type="dxa"/>
            </w:tcMar>
            <w:vAlign w:val="center"/>
          </w:tcPr>
          <w:p w14:paraId="7F4DF060">
            <w:pPr>
              <w:pStyle w:val="310"/>
              <w:spacing w:line="440" w:lineRule="exact"/>
              <w:rPr>
                <w:rFonts w:ascii="仿宋" w:hAnsi="仿宋" w:eastAsia="仿宋" w:cs="仿宋"/>
                <w:bCs/>
                <w:highlight w:val="none"/>
              </w:rPr>
            </w:pPr>
            <w:r>
              <w:rPr>
                <w:rFonts w:hint="eastAsia" w:ascii="仿宋" w:hAnsi="仿宋" w:eastAsia="仿宋" w:cs="仿宋"/>
                <w:bCs/>
                <w:highlight w:val="none"/>
              </w:rPr>
              <w:t>大写：人民币</w:t>
            </w:r>
            <w:r>
              <w:rPr>
                <w:rFonts w:hint="eastAsia" w:ascii="仿宋" w:hAnsi="仿宋" w:eastAsia="仿宋" w:cs="仿宋"/>
                <w:bCs/>
                <w:highlight w:val="none"/>
                <w:u w:val="single"/>
              </w:rPr>
              <w:t xml:space="preserve">           </w:t>
            </w:r>
            <w:r>
              <w:rPr>
                <w:rFonts w:hint="eastAsia" w:ascii="仿宋" w:hAnsi="仿宋" w:eastAsia="仿宋" w:cs="仿宋"/>
                <w:bCs/>
                <w:highlight w:val="none"/>
              </w:rPr>
              <w:t>元</w:t>
            </w:r>
          </w:p>
          <w:p w14:paraId="40552C64">
            <w:pPr>
              <w:pStyle w:val="310"/>
              <w:spacing w:line="440" w:lineRule="exact"/>
              <w:rPr>
                <w:rFonts w:hint="eastAsia" w:ascii="仿宋" w:hAnsi="仿宋" w:eastAsia="仿宋" w:cs="仿宋"/>
                <w:bCs/>
                <w:highlight w:val="none"/>
              </w:rPr>
            </w:pPr>
            <w:r>
              <w:rPr>
                <w:rFonts w:hint="eastAsia" w:ascii="仿宋" w:hAnsi="仿宋" w:eastAsia="仿宋" w:cs="仿宋"/>
                <w:bCs/>
                <w:highlight w:val="none"/>
              </w:rPr>
              <w:t>小写：CNY</w:t>
            </w:r>
            <w:r>
              <w:rPr>
                <w:rFonts w:hint="eastAsia" w:ascii="仿宋" w:hAnsi="仿宋" w:eastAsia="仿宋" w:cs="仿宋"/>
                <w:bCs/>
                <w:highlight w:val="none"/>
                <w:u w:val="single"/>
              </w:rPr>
              <w:t xml:space="preserve">               </w:t>
            </w:r>
            <w:r>
              <w:rPr>
                <w:rFonts w:hint="eastAsia" w:ascii="仿宋" w:hAnsi="仿宋" w:eastAsia="仿宋" w:cs="仿宋"/>
                <w:bCs/>
                <w:highlight w:val="none"/>
              </w:rPr>
              <w:t xml:space="preserve"> </w:t>
            </w:r>
          </w:p>
        </w:tc>
      </w:tr>
      <w:tr w14:paraId="7B42D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5A5F2851">
            <w:pPr>
              <w:pStyle w:val="310"/>
              <w:spacing w:line="440" w:lineRule="exact"/>
              <w:rPr>
                <w:rFonts w:hint="eastAsia" w:ascii="仿宋" w:hAnsi="仿宋" w:eastAsia="仿宋" w:cs="仿宋"/>
                <w:bCs/>
                <w:highlight w:val="none"/>
              </w:rPr>
            </w:pPr>
            <w:r>
              <w:rPr>
                <w:rFonts w:hint="eastAsia" w:ascii="仿宋" w:hAnsi="仿宋" w:eastAsia="仿宋" w:cs="仿宋"/>
                <w:bCs/>
                <w:highlight w:val="none"/>
              </w:rPr>
              <w:t>DRG运营分析系统</w:t>
            </w:r>
          </w:p>
        </w:tc>
        <w:tc>
          <w:tcPr>
            <w:tcW w:w="5587" w:type="dxa"/>
            <w:tcMar>
              <w:top w:w="100" w:type="dxa"/>
              <w:bottom w:w="100" w:type="dxa"/>
            </w:tcMar>
            <w:vAlign w:val="center"/>
          </w:tcPr>
          <w:p w14:paraId="6919BD4A">
            <w:pPr>
              <w:pStyle w:val="310"/>
              <w:spacing w:line="440" w:lineRule="exact"/>
              <w:rPr>
                <w:rFonts w:ascii="仿宋" w:hAnsi="仿宋" w:eastAsia="仿宋" w:cs="仿宋"/>
                <w:bCs/>
                <w:highlight w:val="none"/>
              </w:rPr>
            </w:pPr>
            <w:r>
              <w:rPr>
                <w:rFonts w:hint="eastAsia" w:ascii="仿宋" w:hAnsi="仿宋" w:eastAsia="仿宋" w:cs="仿宋"/>
                <w:bCs/>
                <w:highlight w:val="none"/>
              </w:rPr>
              <w:t>大写：人民币</w:t>
            </w:r>
            <w:r>
              <w:rPr>
                <w:rFonts w:hint="eastAsia" w:ascii="仿宋" w:hAnsi="仿宋" w:eastAsia="仿宋" w:cs="仿宋"/>
                <w:bCs/>
                <w:highlight w:val="none"/>
                <w:u w:val="single"/>
              </w:rPr>
              <w:t xml:space="preserve">           </w:t>
            </w:r>
            <w:r>
              <w:rPr>
                <w:rFonts w:hint="eastAsia" w:ascii="仿宋" w:hAnsi="仿宋" w:eastAsia="仿宋" w:cs="仿宋"/>
                <w:bCs/>
                <w:highlight w:val="none"/>
              </w:rPr>
              <w:t>元</w:t>
            </w:r>
          </w:p>
          <w:p w14:paraId="208256F3">
            <w:pPr>
              <w:pStyle w:val="310"/>
              <w:spacing w:line="440" w:lineRule="exact"/>
              <w:rPr>
                <w:rFonts w:hint="eastAsia" w:ascii="仿宋" w:hAnsi="仿宋" w:eastAsia="仿宋" w:cs="仿宋"/>
                <w:bCs/>
                <w:highlight w:val="none"/>
              </w:rPr>
            </w:pPr>
            <w:r>
              <w:rPr>
                <w:rFonts w:hint="eastAsia" w:ascii="仿宋" w:hAnsi="仿宋" w:eastAsia="仿宋" w:cs="仿宋"/>
                <w:bCs/>
                <w:highlight w:val="none"/>
              </w:rPr>
              <w:t>小写：CNY</w:t>
            </w:r>
            <w:r>
              <w:rPr>
                <w:rFonts w:hint="eastAsia" w:ascii="仿宋" w:hAnsi="仿宋" w:eastAsia="仿宋" w:cs="仿宋"/>
                <w:bCs/>
                <w:highlight w:val="none"/>
                <w:u w:val="single"/>
              </w:rPr>
              <w:t xml:space="preserve">               </w:t>
            </w:r>
            <w:r>
              <w:rPr>
                <w:rFonts w:hint="eastAsia" w:ascii="仿宋" w:hAnsi="仿宋" w:eastAsia="仿宋" w:cs="仿宋"/>
                <w:bCs/>
                <w:highlight w:val="none"/>
              </w:rPr>
              <w:t xml:space="preserve"> </w:t>
            </w:r>
          </w:p>
        </w:tc>
      </w:tr>
      <w:tr w14:paraId="13DA2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14FAECE4">
            <w:pPr>
              <w:pStyle w:val="310"/>
              <w:spacing w:line="440" w:lineRule="exact"/>
              <w:rPr>
                <w:rFonts w:hint="eastAsia" w:ascii="仿宋" w:hAnsi="仿宋" w:eastAsia="仿宋" w:cs="仿宋"/>
                <w:bCs/>
                <w:highlight w:val="none"/>
                <w:lang w:val="en-US" w:eastAsia="zh-CN"/>
              </w:rPr>
            </w:pPr>
            <w:r>
              <w:rPr>
                <w:rFonts w:hint="eastAsia" w:ascii="仿宋" w:hAnsi="仿宋" w:eastAsia="仿宋" w:cs="仿宋"/>
                <w:bCs/>
                <w:highlight w:val="none"/>
                <w:lang w:val="en-US" w:eastAsia="zh-CN"/>
              </w:rPr>
              <w:t>合计</w:t>
            </w:r>
          </w:p>
        </w:tc>
        <w:tc>
          <w:tcPr>
            <w:tcW w:w="5587" w:type="dxa"/>
            <w:tcMar>
              <w:top w:w="100" w:type="dxa"/>
              <w:bottom w:w="100" w:type="dxa"/>
            </w:tcMar>
            <w:vAlign w:val="center"/>
          </w:tcPr>
          <w:p w14:paraId="5AC7C154">
            <w:pPr>
              <w:pStyle w:val="310"/>
              <w:spacing w:line="440" w:lineRule="exact"/>
              <w:rPr>
                <w:rFonts w:ascii="仿宋" w:hAnsi="仿宋" w:eastAsia="仿宋" w:cs="仿宋"/>
                <w:bCs/>
                <w:highlight w:val="none"/>
              </w:rPr>
            </w:pPr>
            <w:r>
              <w:rPr>
                <w:rFonts w:hint="eastAsia" w:ascii="仿宋" w:hAnsi="仿宋" w:eastAsia="仿宋" w:cs="仿宋"/>
                <w:bCs/>
                <w:highlight w:val="none"/>
              </w:rPr>
              <w:t>大写：人民币</w:t>
            </w:r>
            <w:r>
              <w:rPr>
                <w:rFonts w:hint="eastAsia" w:ascii="仿宋" w:hAnsi="仿宋" w:eastAsia="仿宋" w:cs="仿宋"/>
                <w:bCs/>
                <w:highlight w:val="none"/>
                <w:u w:val="single"/>
              </w:rPr>
              <w:t xml:space="preserve">           </w:t>
            </w:r>
            <w:r>
              <w:rPr>
                <w:rFonts w:hint="eastAsia" w:ascii="仿宋" w:hAnsi="仿宋" w:eastAsia="仿宋" w:cs="仿宋"/>
                <w:bCs/>
                <w:highlight w:val="none"/>
              </w:rPr>
              <w:t>元</w:t>
            </w:r>
          </w:p>
          <w:p w14:paraId="743DBFEA">
            <w:pPr>
              <w:pStyle w:val="310"/>
              <w:spacing w:line="440" w:lineRule="exact"/>
              <w:rPr>
                <w:rFonts w:ascii="仿宋" w:hAnsi="仿宋" w:eastAsia="仿宋" w:cs="仿宋"/>
                <w:bCs/>
                <w:highlight w:val="none"/>
              </w:rPr>
            </w:pPr>
            <w:r>
              <w:rPr>
                <w:rFonts w:hint="eastAsia" w:ascii="仿宋" w:hAnsi="仿宋" w:eastAsia="仿宋" w:cs="仿宋"/>
                <w:bCs/>
                <w:highlight w:val="none"/>
              </w:rPr>
              <w:t>小写：CNY</w:t>
            </w:r>
            <w:r>
              <w:rPr>
                <w:rFonts w:hint="eastAsia" w:ascii="仿宋" w:hAnsi="仿宋" w:eastAsia="仿宋" w:cs="仿宋"/>
                <w:bCs/>
                <w:highlight w:val="none"/>
                <w:u w:val="single"/>
              </w:rPr>
              <w:t xml:space="preserve">               </w:t>
            </w:r>
            <w:r>
              <w:rPr>
                <w:rFonts w:hint="eastAsia" w:ascii="仿宋" w:hAnsi="仿宋" w:eastAsia="仿宋" w:cs="仿宋"/>
                <w:bCs/>
                <w:highlight w:val="none"/>
              </w:rPr>
              <w:t xml:space="preserve">   </w:t>
            </w:r>
          </w:p>
        </w:tc>
      </w:tr>
      <w:tr w14:paraId="7AC28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5740732B">
            <w:pPr>
              <w:pStyle w:val="310"/>
              <w:spacing w:line="440" w:lineRule="exact"/>
              <w:rPr>
                <w:rFonts w:ascii="仿宋" w:hAnsi="仿宋" w:eastAsia="仿宋" w:cs="仿宋"/>
                <w:bCs/>
                <w:highlight w:val="none"/>
              </w:rPr>
            </w:pPr>
            <w:r>
              <w:rPr>
                <w:rFonts w:hint="eastAsia" w:ascii="仿宋" w:hAnsi="仿宋" w:eastAsia="仿宋" w:cs="仿宋"/>
                <w:bCs/>
                <w:highlight w:val="none"/>
              </w:rPr>
              <w:t>实施周期</w:t>
            </w:r>
          </w:p>
        </w:tc>
        <w:tc>
          <w:tcPr>
            <w:tcW w:w="5587" w:type="dxa"/>
            <w:tcMar>
              <w:top w:w="100" w:type="dxa"/>
              <w:bottom w:w="100" w:type="dxa"/>
            </w:tcMar>
            <w:vAlign w:val="center"/>
          </w:tcPr>
          <w:p w14:paraId="415AB534">
            <w:pPr>
              <w:pStyle w:val="310"/>
              <w:spacing w:line="440" w:lineRule="exact"/>
              <w:rPr>
                <w:rFonts w:ascii="仿宋" w:hAnsi="仿宋" w:eastAsia="仿宋" w:cs="仿宋"/>
                <w:bCs/>
                <w:highlight w:val="none"/>
              </w:rPr>
            </w:pPr>
            <w:r>
              <w:rPr>
                <w:rFonts w:hint="eastAsia" w:ascii="仿宋" w:hAnsi="仿宋" w:eastAsia="仿宋" w:cs="仿宋"/>
                <w:bCs/>
                <w:highlight w:val="none"/>
                <w:u w:val="single"/>
              </w:rPr>
              <w:t xml:space="preserve">      </w:t>
            </w:r>
            <w:r>
              <w:rPr>
                <w:rFonts w:hint="eastAsia" w:ascii="仿宋" w:hAnsi="仿宋" w:eastAsia="仿宋" w:cs="仿宋"/>
                <w:bCs/>
                <w:highlight w:val="none"/>
                <w:u w:val="single"/>
                <w:lang w:val="en-US" w:eastAsia="zh-CN"/>
              </w:rPr>
              <w:t xml:space="preserve">   </w:t>
            </w:r>
            <w:r>
              <w:rPr>
                <w:rFonts w:hint="eastAsia" w:ascii="仿宋" w:hAnsi="仿宋" w:eastAsia="仿宋" w:cs="仿宋"/>
                <w:bCs/>
                <w:highlight w:val="none"/>
                <w:u w:val="single"/>
              </w:rPr>
              <w:t xml:space="preserve">  </w:t>
            </w:r>
          </w:p>
        </w:tc>
      </w:tr>
      <w:tr w14:paraId="3C7A0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6432E6D0">
            <w:pPr>
              <w:pStyle w:val="310"/>
              <w:spacing w:line="440" w:lineRule="exact"/>
              <w:rPr>
                <w:rFonts w:ascii="仿宋" w:hAnsi="仿宋" w:eastAsia="仿宋" w:cs="仿宋"/>
                <w:bCs/>
                <w:highlight w:val="none"/>
              </w:rPr>
            </w:pPr>
            <w:r>
              <w:rPr>
                <w:rFonts w:hint="eastAsia" w:ascii="仿宋" w:hAnsi="仿宋" w:eastAsia="仿宋" w:cs="仿宋"/>
                <w:bCs/>
                <w:highlight w:val="none"/>
              </w:rPr>
              <w:t>是否符合小微型企业或监狱企业或残疾人福利性单位的政策</w:t>
            </w:r>
          </w:p>
        </w:tc>
        <w:tc>
          <w:tcPr>
            <w:tcW w:w="5587" w:type="dxa"/>
            <w:tcMar>
              <w:top w:w="100" w:type="dxa"/>
              <w:bottom w:w="100" w:type="dxa"/>
            </w:tcMar>
            <w:vAlign w:val="center"/>
          </w:tcPr>
          <w:p w14:paraId="58ACAFB7">
            <w:pPr>
              <w:pStyle w:val="310"/>
              <w:spacing w:line="440" w:lineRule="exact"/>
              <w:rPr>
                <w:rFonts w:ascii="仿宋" w:hAnsi="仿宋" w:eastAsia="仿宋" w:cs="仿宋"/>
                <w:bCs/>
                <w:highlight w:val="none"/>
                <w:u w:val="single"/>
              </w:rPr>
            </w:pPr>
          </w:p>
        </w:tc>
      </w:tr>
      <w:tr w14:paraId="692E3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00" w:type="dxa"/>
            <w:left w:w="108" w:type="dxa"/>
            <w:bottom w:w="100" w:type="dxa"/>
            <w:right w:w="108" w:type="dxa"/>
          </w:tblCellMar>
        </w:tblPrEx>
        <w:trPr>
          <w:tblHeader/>
        </w:trPr>
        <w:tc>
          <w:tcPr>
            <w:tcW w:w="3473" w:type="dxa"/>
            <w:tcMar>
              <w:top w:w="100" w:type="dxa"/>
              <w:bottom w:w="100" w:type="dxa"/>
            </w:tcMar>
            <w:vAlign w:val="center"/>
          </w:tcPr>
          <w:p w14:paraId="5F40B09E">
            <w:pPr>
              <w:pStyle w:val="310"/>
              <w:spacing w:line="440" w:lineRule="exact"/>
              <w:rPr>
                <w:rFonts w:ascii="仿宋" w:hAnsi="仿宋" w:eastAsia="仿宋" w:cs="仿宋"/>
                <w:bCs/>
                <w:highlight w:val="none"/>
              </w:rPr>
            </w:pPr>
            <w:r>
              <w:rPr>
                <w:rFonts w:hint="eastAsia" w:ascii="仿宋" w:hAnsi="仿宋" w:eastAsia="仿宋" w:cs="仿宋"/>
                <w:bCs/>
                <w:highlight w:val="none"/>
              </w:rPr>
              <w:t>其他</w:t>
            </w:r>
          </w:p>
        </w:tc>
        <w:tc>
          <w:tcPr>
            <w:tcW w:w="5587" w:type="dxa"/>
            <w:tcMar>
              <w:top w:w="100" w:type="dxa"/>
              <w:bottom w:w="100" w:type="dxa"/>
            </w:tcMar>
            <w:vAlign w:val="center"/>
          </w:tcPr>
          <w:p w14:paraId="1EE4B61D">
            <w:pPr>
              <w:pStyle w:val="310"/>
              <w:spacing w:line="440" w:lineRule="exact"/>
              <w:rPr>
                <w:rFonts w:ascii="仿宋" w:hAnsi="仿宋" w:eastAsia="仿宋" w:cs="仿宋"/>
                <w:bCs/>
                <w:highlight w:val="none"/>
              </w:rPr>
            </w:pPr>
            <w:r>
              <w:rPr>
                <w:rFonts w:hint="eastAsia" w:ascii="仿宋" w:hAnsi="仿宋" w:eastAsia="仿宋" w:cs="仿宋"/>
                <w:bCs/>
                <w:highlight w:val="none"/>
              </w:rPr>
              <w:t>（没有请打“/”）</w:t>
            </w:r>
          </w:p>
        </w:tc>
      </w:tr>
    </w:tbl>
    <w:p w14:paraId="7BE2D80A">
      <w:pPr>
        <w:pStyle w:val="311"/>
        <w:rPr>
          <w:rFonts w:ascii="仿宋" w:hAnsi="仿宋" w:eastAsia="仿宋" w:cs="仿宋"/>
          <w:highlight w:val="none"/>
        </w:rPr>
      </w:pPr>
    </w:p>
    <w:p w14:paraId="6EC3CE22">
      <w:pPr>
        <w:pStyle w:val="312"/>
        <w:rPr>
          <w:rFonts w:ascii="仿宋" w:hAnsi="仿宋" w:eastAsia="仿宋" w:cs="仿宋"/>
          <w:highlight w:val="none"/>
        </w:rPr>
      </w:pPr>
      <w:r>
        <w:rPr>
          <w:rFonts w:hint="eastAsia" w:ascii="仿宋" w:hAnsi="仿宋" w:eastAsia="仿宋" w:cs="仿宋"/>
          <w:highlight w:val="none"/>
        </w:rPr>
        <w:t xml:space="preserve"> </w:t>
      </w:r>
    </w:p>
    <w:p w14:paraId="3C2B27EA">
      <w:pPr>
        <w:pStyle w:val="299"/>
        <w:spacing w:line="520" w:lineRule="exact"/>
        <w:rPr>
          <w:rFonts w:ascii="仿宋" w:hAnsi="仿宋" w:eastAsia="仿宋" w:cs="仿宋"/>
          <w:b/>
          <w:sz w:val="24"/>
          <w:szCs w:val="20"/>
          <w:highlight w:val="none"/>
        </w:rPr>
      </w:pPr>
      <w:r>
        <w:rPr>
          <w:rFonts w:hint="eastAsia" w:ascii="仿宋" w:hAnsi="仿宋" w:eastAsia="仿宋" w:cs="仿宋"/>
          <w:b/>
          <w:sz w:val="24"/>
          <w:szCs w:val="20"/>
          <w:highlight w:val="none"/>
        </w:rPr>
        <w:t>单位名称：</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（盖章）</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0C990CEA">
      <w:pPr>
        <w:pStyle w:val="307"/>
        <w:spacing w:line="520" w:lineRule="exact"/>
        <w:rPr>
          <w:rFonts w:ascii="仿宋" w:hAnsi="仿宋" w:eastAsia="仿宋" w:cs="仿宋"/>
          <w:b/>
          <w:sz w:val="24"/>
          <w:szCs w:val="20"/>
          <w:highlight w:val="none"/>
        </w:rPr>
      </w:pPr>
      <w:r>
        <w:rPr>
          <w:rFonts w:hint="eastAsia" w:ascii="仿宋" w:hAnsi="仿宋" w:eastAsia="仿宋" w:cs="仿宋"/>
          <w:b/>
          <w:sz w:val="24"/>
          <w:szCs w:val="20"/>
          <w:highlight w:val="none"/>
        </w:rPr>
        <w:t>法定代表人（或授权代表）：</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（签字）</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62F2F052">
      <w:pPr>
        <w:pStyle w:val="310"/>
        <w:spacing w:line="520" w:lineRule="exact"/>
        <w:outlineLvl w:val="1"/>
        <w:rPr>
          <w:rFonts w:ascii="仿宋" w:hAnsi="仿宋" w:eastAsia="仿宋" w:cs="仿宋"/>
          <w:b/>
          <w:sz w:val="32"/>
          <w:highlight w:val="none"/>
        </w:rPr>
      </w:pPr>
      <w:r>
        <w:rPr>
          <w:rFonts w:hint="eastAsia" w:ascii="仿宋" w:hAnsi="仿宋" w:eastAsia="仿宋" w:cs="仿宋"/>
          <w:highlight w:val="none"/>
        </w:rPr>
        <w:br w:type="page" w:clear="all"/>
      </w:r>
      <w:bookmarkStart w:id="83" w:name="_Toc27852"/>
      <w:r>
        <w:rPr>
          <w:rFonts w:hint="eastAsia" w:ascii="仿宋" w:hAnsi="仿宋" w:eastAsia="仿宋" w:cs="仿宋"/>
          <w:b/>
          <w:sz w:val="32"/>
          <w:highlight w:val="none"/>
        </w:rPr>
        <w:t>六、明细报价表</w:t>
      </w:r>
      <w:bookmarkEnd w:id="83"/>
    </w:p>
    <w:p w14:paraId="03EB7112">
      <w:pPr>
        <w:spacing w:line="600" w:lineRule="exact"/>
        <w:jc w:val="center"/>
        <w:rPr>
          <w:rFonts w:ascii="仿宋" w:hAnsi="仿宋" w:eastAsia="仿宋" w:cs="仿宋"/>
          <w:bCs/>
          <w:sz w:val="36"/>
          <w:szCs w:val="36"/>
          <w:highlight w:val="none"/>
        </w:rPr>
      </w:pPr>
      <w:r>
        <w:rPr>
          <w:rFonts w:hint="eastAsia" w:ascii="仿宋" w:hAnsi="仿宋" w:eastAsia="仿宋" w:cs="仿宋"/>
          <w:bCs/>
          <w:sz w:val="36"/>
          <w:szCs w:val="36"/>
          <w:highlight w:val="none"/>
        </w:rPr>
        <w:t>明细报价表</w:t>
      </w:r>
    </w:p>
    <w:tbl>
      <w:tblPr>
        <w:tblStyle w:val="35"/>
        <w:tblW w:w="898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2446"/>
        <w:gridCol w:w="1288"/>
        <w:gridCol w:w="1106"/>
        <w:gridCol w:w="1027"/>
        <w:gridCol w:w="1252"/>
        <w:gridCol w:w="991"/>
      </w:tblGrid>
      <w:tr w14:paraId="332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0" w:hRule="atLeast"/>
        </w:trPr>
        <w:tc>
          <w:tcPr>
            <w:tcW w:w="875" w:type="dxa"/>
            <w:noWrap w:val="0"/>
            <w:vAlign w:val="center"/>
          </w:tcPr>
          <w:p w14:paraId="41153F4D">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序号</w:t>
            </w:r>
          </w:p>
        </w:tc>
        <w:tc>
          <w:tcPr>
            <w:tcW w:w="2446" w:type="dxa"/>
            <w:noWrap w:val="0"/>
            <w:vAlign w:val="center"/>
          </w:tcPr>
          <w:p w14:paraId="42DE267C">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货物名称</w:t>
            </w:r>
          </w:p>
        </w:tc>
        <w:tc>
          <w:tcPr>
            <w:tcW w:w="1288" w:type="dxa"/>
            <w:noWrap w:val="0"/>
            <w:vAlign w:val="center"/>
          </w:tcPr>
          <w:p w14:paraId="772FD3CC">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品牌.型号.产地</w:t>
            </w:r>
          </w:p>
        </w:tc>
        <w:tc>
          <w:tcPr>
            <w:tcW w:w="1106" w:type="dxa"/>
            <w:noWrap w:val="0"/>
            <w:vAlign w:val="center"/>
          </w:tcPr>
          <w:p w14:paraId="2556959B">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单价</w:t>
            </w:r>
          </w:p>
          <w:p w14:paraId="3B078A48">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（元）</w:t>
            </w:r>
          </w:p>
        </w:tc>
        <w:tc>
          <w:tcPr>
            <w:tcW w:w="1027" w:type="dxa"/>
            <w:noWrap w:val="0"/>
            <w:vAlign w:val="center"/>
          </w:tcPr>
          <w:p w14:paraId="45FB07FF">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数量</w:t>
            </w:r>
          </w:p>
        </w:tc>
        <w:tc>
          <w:tcPr>
            <w:tcW w:w="1252" w:type="dxa"/>
            <w:noWrap w:val="0"/>
            <w:vAlign w:val="center"/>
          </w:tcPr>
          <w:p w14:paraId="02F6877C">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合价</w:t>
            </w:r>
          </w:p>
          <w:p w14:paraId="048CE53C">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（元）</w:t>
            </w:r>
          </w:p>
        </w:tc>
        <w:tc>
          <w:tcPr>
            <w:tcW w:w="991" w:type="dxa"/>
            <w:noWrap w:val="0"/>
            <w:vAlign w:val="center"/>
          </w:tcPr>
          <w:p w14:paraId="70E28C94">
            <w:pPr>
              <w:pStyle w:val="304"/>
              <w:widowControl/>
              <w:spacing w:line="3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备注</w:t>
            </w:r>
          </w:p>
        </w:tc>
      </w:tr>
      <w:tr w14:paraId="26515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2" w:hRule="atLeast"/>
        </w:trPr>
        <w:tc>
          <w:tcPr>
            <w:tcW w:w="875" w:type="dxa"/>
            <w:noWrap w:val="0"/>
            <w:vAlign w:val="center"/>
          </w:tcPr>
          <w:p w14:paraId="3BCDBE89">
            <w:pPr>
              <w:pStyle w:val="304"/>
              <w:widowControl/>
              <w:spacing w:line="5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1</w:t>
            </w:r>
          </w:p>
        </w:tc>
        <w:tc>
          <w:tcPr>
            <w:tcW w:w="2446" w:type="dxa"/>
            <w:noWrap w:val="0"/>
            <w:vAlign w:val="center"/>
          </w:tcPr>
          <w:p w14:paraId="469FD681">
            <w:pPr>
              <w:jc w:val="center"/>
              <w:rPr>
                <w:rStyle w:val="212"/>
                <w:rFonts w:hint="eastAsia" w:ascii="仿宋" w:hAnsi="仿宋" w:eastAsia="仿宋" w:cs="仿宋"/>
                <w:sz w:val="28"/>
                <w:szCs w:val="28"/>
                <w:lang w:val="en-US" w:eastAsia="zh-CN" w:bidi="ar-SA"/>
              </w:rPr>
            </w:pPr>
          </w:p>
        </w:tc>
        <w:tc>
          <w:tcPr>
            <w:tcW w:w="1288" w:type="dxa"/>
            <w:noWrap w:val="0"/>
            <w:vAlign w:val="center"/>
          </w:tcPr>
          <w:p w14:paraId="56F29536">
            <w:pPr>
              <w:jc w:val="center"/>
              <w:rPr>
                <w:rStyle w:val="212"/>
                <w:rFonts w:hint="eastAsia" w:ascii="仿宋" w:hAnsi="仿宋" w:eastAsia="仿宋" w:cs="仿宋"/>
                <w:sz w:val="28"/>
                <w:szCs w:val="28"/>
              </w:rPr>
            </w:pPr>
          </w:p>
        </w:tc>
        <w:tc>
          <w:tcPr>
            <w:tcW w:w="1106" w:type="dxa"/>
            <w:noWrap w:val="0"/>
            <w:vAlign w:val="center"/>
          </w:tcPr>
          <w:p w14:paraId="69876587">
            <w:pPr>
              <w:pStyle w:val="304"/>
              <w:spacing w:line="560" w:lineRule="exact"/>
              <w:jc w:val="center"/>
              <w:rPr>
                <w:rStyle w:val="212"/>
                <w:rFonts w:hint="eastAsia" w:ascii="仿宋" w:hAnsi="仿宋" w:eastAsia="仿宋" w:cs="仿宋"/>
                <w:sz w:val="28"/>
                <w:szCs w:val="28"/>
              </w:rPr>
            </w:pPr>
          </w:p>
        </w:tc>
        <w:tc>
          <w:tcPr>
            <w:tcW w:w="1027" w:type="dxa"/>
            <w:noWrap w:val="0"/>
            <w:vAlign w:val="center"/>
          </w:tcPr>
          <w:p w14:paraId="12235CA2">
            <w:pPr>
              <w:jc w:val="center"/>
              <w:rPr>
                <w:rStyle w:val="212"/>
                <w:rFonts w:hint="eastAsia" w:ascii="仿宋" w:hAnsi="仿宋" w:eastAsia="仿宋" w:cs="仿宋"/>
                <w:sz w:val="28"/>
                <w:szCs w:val="28"/>
              </w:rPr>
            </w:pPr>
          </w:p>
        </w:tc>
        <w:tc>
          <w:tcPr>
            <w:tcW w:w="1252" w:type="dxa"/>
            <w:noWrap w:val="0"/>
            <w:vAlign w:val="center"/>
          </w:tcPr>
          <w:p w14:paraId="5D99BD1E">
            <w:pPr>
              <w:pStyle w:val="304"/>
              <w:spacing w:line="560" w:lineRule="exact"/>
              <w:jc w:val="center"/>
              <w:rPr>
                <w:rStyle w:val="212"/>
                <w:rFonts w:hint="eastAsia" w:ascii="仿宋" w:hAnsi="仿宋" w:eastAsia="仿宋" w:cs="仿宋"/>
                <w:sz w:val="28"/>
                <w:szCs w:val="28"/>
              </w:rPr>
            </w:pPr>
          </w:p>
        </w:tc>
        <w:tc>
          <w:tcPr>
            <w:tcW w:w="991" w:type="dxa"/>
            <w:noWrap w:val="0"/>
            <w:vAlign w:val="center"/>
          </w:tcPr>
          <w:p w14:paraId="7C87E481">
            <w:pPr>
              <w:pStyle w:val="304"/>
              <w:spacing w:line="560" w:lineRule="exact"/>
              <w:jc w:val="center"/>
              <w:rPr>
                <w:rStyle w:val="212"/>
                <w:rFonts w:hint="eastAsia" w:ascii="仿宋" w:hAnsi="仿宋" w:eastAsia="仿宋" w:cs="仿宋"/>
                <w:sz w:val="28"/>
                <w:szCs w:val="28"/>
              </w:rPr>
            </w:pPr>
          </w:p>
        </w:tc>
      </w:tr>
      <w:tr w14:paraId="29D50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6" w:hRule="atLeast"/>
        </w:trPr>
        <w:tc>
          <w:tcPr>
            <w:tcW w:w="875" w:type="dxa"/>
            <w:noWrap w:val="0"/>
            <w:vAlign w:val="center"/>
          </w:tcPr>
          <w:p w14:paraId="1936D703">
            <w:pPr>
              <w:pStyle w:val="304"/>
              <w:widowControl/>
              <w:spacing w:line="560" w:lineRule="exact"/>
              <w:jc w:val="center"/>
              <w:rPr>
                <w:rStyle w:val="212"/>
                <w:rFonts w:hint="eastAsia" w:ascii="仿宋" w:hAnsi="仿宋" w:eastAsia="仿宋" w:cs="仿宋"/>
                <w:sz w:val="28"/>
                <w:szCs w:val="28"/>
              </w:rPr>
            </w:pPr>
            <w:r>
              <w:rPr>
                <w:rStyle w:val="212"/>
                <w:rFonts w:hint="eastAsia" w:ascii="仿宋" w:hAnsi="仿宋" w:eastAsia="仿宋" w:cs="仿宋"/>
                <w:sz w:val="28"/>
                <w:szCs w:val="28"/>
              </w:rPr>
              <w:t>2</w:t>
            </w:r>
          </w:p>
        </w:tc>
        <w:tc>
          <w:tcPr>
            <w:tcW w:w="2446" w:type="dxa"/>
            <w:noWrap w:val="0"/>
            <w:vAlign w:val="center"/>
          </w:tcPr>
          <w:p w14:paraId="6B4C4C18">
            <w:pPr>
              <w:jc w:val="center"/>
              <w:rPr>
                <w:rStyle w:val="212"/>
                <w:rFonts w:hint="eastAsia" w:ascii="仿宋" w:hAnsi="仿宋" w:eastAsia="仿宋" w:cs="仿宋"/>
                <w:sz w:val="28"/>
                <w:szCs w:val="28"/>
                <w:lang w:val="en-US" w:eastAsia="zh-CN" w:bidi="ar-SA"/>
              </w:rPr>
            </w:pPr>
          </w:p>
        </w:tc>
        <w:tc>
          <w:tcPr>
            <w:tcW w:w="1288" w:type="dxa"/>
            <w:noWrap w:val="0"/>
            <w:vAlign w:val="center"/>
          </w:tcPr>
          <w:p w14:paraId="6FCF50A4">
            <w:pPr>
              <w:jc w:val="center"/>
              <w:rPr>
                <w:rStyle w:val="212"/>
                <w:rFonts w:hint="eastAsia" w:ascii="仿宋" w:hAnsi="仿宋" w:eastAsia="仿宋" w:cs="仿宋"/>
                <w:sz w:val="28"/>
                <w:szCs w:val="28"/>
              </w:rPr>
            </w:pPr>
          </w:p>
        </w:tc>
        <w:tc>
          <w:tcPr>
            <w:tcW w:w="1106" w:type="dxa"/>
            <w:noWrap w:val="0"/>
            <w:vAlign w:val="center"/>
          </w:tcPr>
          <w:p w14:paraId="6541EEC0">
            <w:pPr>
              <w:pStyle w:val="304"/>
              <w:spacing w:line="560" w:lineRule="exact"/>
              <w:jc w:val="center"/>
              <w:rPr>
                <w:rStyle w:val="212"/>
                <w:rFonts w:hint="eastAsia" w:ascii="仿宋" w:hAnsi="仿宋" w:eastAsia="仿宋" w:cs="仿宋"/>
                <w:sz w:val="28"/>
                <w:szCs w:val="28"/>
              </w:rPr>
            </w:pPr>
          </w:p>
        </w:tc>
        <w:tc>
          <w:tcPr>
            <w:tcW w:w="1027" w:type="dxa"/>
            <w:noWrap w:val="0"/>
            <w:vAlign w:val="center"/>
          </w:tcPr>
          <w:p w14:paraId="0B53A3CF">
            <w:pPr>
              <w:jc w:val="center"/>
              <w:rPr>
                <w:rStyle w:val="212"/>
                <w:rFonts w:hint="eastAsia" w:ascii="仿宋" w:hAnsi="仿宋" w:eastAsia="仿宋" w:cs="仿宋"/>
                <w:sz w:val="28"/>
                <w:szCs w:val="28"/>
              </w:rPr>
            </w:pPr>
          </w:p>
        </w:tc>
        <w:tc>
          <w:tcPr>
            <w:tcW w:w="1252" w:type="dxa"/>
            <w:noWrap w:val="0"/>
            <w:vAlign w:val="center"/>
          </w:tcPr>
          <w:p w14:paraId="7CA97E01">
            <w:pPr>
              <w:pStyle w:val="304"/>
              <w:spacing w:line="560" w:lineRule="exact"/>
              <w:jc w:val="center"/>
              <w:rPr>
                <w:rStyle w:val="212"/>
                <w:rFonts w:hint="eastAsia" w:ascii="仿宋" w:hAnsi="仿宋" w:eastAsia="仿宋" w:cs="仿宋"/>
                <w:sz w:val="28"/>
                <w:szCs w:val="28"/>
              </w:rPr>
            </w:pPr>
          </w:p>
        </w:tc>
        <w:tc>
          <w:tcPr>
            <w:tcW w:w="991" w:type="dxa"/>
            <w:noWrap w:val="0"/>
            <w:vAlign w:val="center"/>
          </w:tcPr>
          <w:p w14:paraId="626A2E24">
            <w:pPr>
              <w:pStyle w:val="304"/>
              <w:spacing w:line="560" w:lineRule="exact"/>
              <w:jc w:val="center"/>
              <w:rPr>
                <w:rStyle w:val="212"/>
                <w:rFonts w:hint="eastAsia" w:ascii="仿宋" w:hAnsi="仿宋" w:eastAsia="仿宋" w:cs="仿宋"/>
                <w:sz w:val="28"/>
                <w:szCs w:val="28"/>
              </w:rPr>
            </w:pPr>
          </w:p>
        </w:tc>
      </w:tr>
      <w:tr w14:paraId="103DA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875" w:type="dxa"/>
            <w:noWrap w:val="0"/>
            <w:vAlign w:val="center"/>
          </w:tcPr>
          <w:p w14:paraId="75027A25">
            <w:pPr>
              <w:pStyle w:val="304"/>
              <w:widowControl/>
              <w:spacing w:line="560" w:lineRule="exact"/>
              <w:jc w:val="center"/>
              <w:rPr>
                <w:rStyle w:val="212"/>
                <w:rFonts w:hint="eastAsia" w:ascii="仿宋" w:hAnsi="仿宋" w:eastAsia="仿宋" w:cs="仿宋"/>
                <w:sz w:val="28"/>
                <w:szCs w:val="28"/>
                <w:lang w:val="en-US" w:eastAsia="zh-CN"/>
              </w:rPr>
            </w:pPr>
            <w:r>
              <w:rPr>
                <w:rStyle w:val="212"/>
                <w:rFonts w:hint="eastAsia" w:ascii="仿宋" w:hAnsi="仿宋" w:eastAsia="仿宋" w:cs="仿宋"/>
                <w:sz w:val="28"/>
                <w:szCs w:val="28"/>
                <w:lang w:val="en-US" w:eastAsia="zh-CN"/>
              </w:rPr>
              <w:t>3</w:t>
            </w:r>
          </w:p>
        </w:tc>
        <w:tc>
          <w:tcPr>
            <w:tcW w:w="2446" w:type="dxa"/>
            <w:noWrap w:val="0"/>
            <w:vAlign w:val="center"/>
          </w:tcPr>
          <w:p w14:paraId="357EC784">
            <w:pPr>
              <w:jc w:val="center"/>
              <w:rPr>
                <w:rStyle w:val="212"/>
                <w:rFonts w:hint="default" w:ascii="仿宋" w:hAnsi="仿宋" w:eastAsia="仿宋" w:cs="仿宋"/>
                <w:sz w:val="28"/>
                <w:szCs w:val="28"/>
                <w:lang w:val="en-US" w:eastAsia="zh-CN"/>
              </w:rPr>
            </w:pPr>
          </w:p>
        </w:tc>
        <w:tc>
          <w:tcPr>
            <w:tcW w:w="1288" w:type="dxa"/>
            <w:noWrap w:val="0"/>
            <w:vAlign w:val="center"/>
          </w:tcPr>
          <w:p w14:paraId="4C39CC5D">
            <w:pPr>
              <w:jc w:val="center"/>
              <w:rPr>
                <w:rStyle w:val="212"/>
                <w:rFonts w:hint="eastAsia" w:ascii="仿宋" w:hAnsi="仿宋" w:eastAsia="仿宋" w:cs="仿宋"/>
                <w:sz w:val="28"/>
                <w:szCs w:val="28"/>
              </w:rPr>
            </w:pPr>
          </w:p>
        </w:tc>
        <w:tc>
          <w:tcPr>
            <w:tcW w:w="1106" w:type="dxa"/>
            <w:noWrap w:val="0"/>
            <w:vAlign w:val="center"/>
          </w:tcPr>
          <w:p w14:paraId="5418E1F5">
            <w:pPr>
              <w:pStyle w:val="304"/>
              <w:spacing w:line="560" w:lineRule="exact"/>
              <w:jc w:val="center"/>
              <w:rPr>
                <w:rStyle w:val="212"/>
                <w:rFonts w:hint="eastAsia" w:ascii="仿宋" w:hAnsi="仿宋" w:eastAsia="仿宋" w:cs="仿宋"/>
                <w:sz w:val="28"/>
                <w:szCs w:val="28"/>
              </w:rPr>
            </w:pPr>
          </w:p>
        </w:tc>
        <w:tc>
          <w:tcPr>
            <w:tcW w:w="1027" w:type="dxa"/>
            <w:noWrap w:val="0"/>
            <w:vAlign w:val="center"/>
          </w:tcPr>
          <w:p w14:paraId="772F02AD">
            <w:pPr>
              <w:jc w:val="center"/>
              <w:rPr>
                <w:rStyle w:val="212"/>
                <w:rFonts w:hint="eastAsia" w:ascii="仿宋" w:hAnsi="仿宋" w:eastAsia="仿宋" w:cs="仿宋"/>
                <w:sz w:val="28"/>
                <w:szCs w:val="28"/>
              </w:rPr>
            </w:pPr>
          </w:p>
        </w:tc>
        <w:tc>
          <w:tcPr>
            <w:tcW w:w="1252" w:type="dxa"/>
            <w:noWrap w:val="0"/>
            <w:vAlign w:val="center"/>
          </w:tcPr>
          <w:p w14:paraId="7AEBE5C8">
            <w:pPr>
              <w:pStyle w:val="304"/>
              <w:spacing w:line="560" w:lineRule="exact"/>
              <w:jc w:val="center"/>
              <w:rPr>
                <w:rStyle w:val="212"/>
                <w:rFonts w:hint="eastAsia" w:ascii="仿宋" w:hAnsi="仿宋" w:eastAsia="仿宋" w:cs="仿宋"/>
                <w:sz w:val="28"/>
                <w:szCs w:val="28"/>
              </w:rPr>
            </w:pPr>
          </w:p>
        </w:tc>
        <w:tc>
          <w:tcPr>
            <w:tcW w:w="991" w:type="dxa"/>
            <w:noWrap w:val="0"/>
            <w:vAlign w:val="center"/>
          </w:tcPr>
          <w:p w14:paraId="411AEDAA">
            <w:pPr>
              <w:pStyle w:val="304"/>
              <w:spacing w:line="560" w:lineRule="exact"/>
              <w:jc w:val="center"/>
              <w:rPr>
                <w:rStyle w:val="212"/>
                <w:rFonts w:hint="eastAsia" w:ascii="仿宋" w:hAnsi="仿宋" w:eastAsia="仿宋" w:cs="仿宋"/>
                <w:sz w:val="28"/>
                <w:szCs w:val="28"/>
              </w:rPr>
            </w:pPr>
          </w:p>
        </w:tc>
      </w:tr>
      <w:tr w14:paraId="7B6F1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875" w:type="dxa"/>
            <w:noWrap w:val="0"/>
            <w:vAlign w:val="center"/>
          </w:tcPr>
          <w:p w14:paraId="0774C79F">
            <w:pPr>
              <w:pStyle w:val="304"/>
              <w:widowControl/>
              <w:spacing w:line="560" w:lineRule="exact"/>
              <w:jc w:val="center"/>
              <w:rPr>
                <w:rStyle w:val="212"/>
                <w:rFonts w:hint="eastAsia" w:ascii="仿宋" w:hAnsi="仿宋" w:eastAsia="仿宋" w:cs="仿宋"/>
                <w:sz w:val="28"/>
                <w:szCs w:val="28"/>
                <w:lang w:val="en-US" w:eastAsia="zh-CN"/>
              </w:rPr>
            </w:pPr>
            <w:r>
              <w:rPr>
                <w:rStyle w:val="212"/>
                <w:rFonts w:hint="eastAsia" w:ascii="仿宋" w:hAnsi="仿宋" w:eastAsia="仿宋" w:cs="仿宋"/>
                <w:sz w:val="28"/>
                <w:szCs w:val="28"/>
                <w:lang w:val="en-US" w:eastAsia="zh-CN"/>
              </w:rPr>
              <w:t>4</w:t>
            </w:r>
          </w:p>
        </w:tc>
        <w:tc>
          <w:tcPr>
            <w:tcW w:w="2446" w:type="dxa"/>
            <w:noWrap w:val="0"/>
            <w:vAlign w:val="center"/>
          </w:tcPr>
          <w:p w14:paraId="4F2B7ACA">
            <w:pPr>
              <w:jc w:val="center"/>
              <w:rPr>
                <w:rStyle w:val="212"/>
                <w:rFonts w:hint="eastAsia" w:ascii="仿宋" w:hAnsi="仿宋" w:eastAsia="仿宋" w:cs="仿宋"/>
                <w:sz w:val="28"/>
                <w:szCs w:val="28"/>
              </w:rPr>
            </w:pPr>
          </w:p>
        </w:tc>
        <w:tc>
          <w:tcPr>
            <w:tcW w:w="1288" w:type="dxa"/>
            <w:noWrap w:val="0"/>
            <w:vAlign w:val="center"/>
          </w:tcPr>
          <w:p w14:paraId="1B6EB88A">
            <w:pPr>
              <w:jc w:val="center"/>
              <w:rPr>
                <w:rStyle w:val="212"/>
                <w:rFonts w:hint="eastAsia" w:ascii="仿宋" w:hAnsi="仿宋" w:eastAsia="仿宋" w:cs="仿宋"/>
                <w:sz w:val="28"/>
                <w:szCs w:val="28"/>
              </w:rPr>
            </w:pPr>
          </w:p>
        </w:tc>
        <w:tc>
          <w:tcPr>
            <w:tcW w:w="1106" w:type="dxa"/>
            <w:noWrap w:val="0"/>
            <w:vAlign w:val="center"/>
          </w:tcPr>
          <w:p w14:paraId="289EF893">
            <w:pPr>
              <w:pStyle w:val="304"/>
              <w:spacing w:line="560" w:lineRule="exact"/>
              <w:jc w:val="center"/>
              <w:rPr>
                <w:rStyle w:val="212"/>
                <w:rFonts w:hint="eastAsia" w:ascii="仿宋" w:hAnsi="仿宋" w:eastAsia="仿宋" w:cs="仿宋"/>
                <w:sz w:val="28"/>
                <w:szCs w:val="28"/>
              </w:rPr>
            </w:pPr>
          </w:p>
        </w:tc>
        <w:tc>
          <w:tcPr>
            <w:tcW w:w="1027" w:type="dxa"/>
            <w:noWrap w:val="0"/>
            <w:vAlign w:val="center"/>
          </w:tcPr>
          <w:p w14:paraId="520118AF">
            <w:pPr>
              <w:jc w:val="center"/>
              <w:rPr>
                <w:rStyle w:val="212"/>
                <w:rFonts w:hint="eastAsia" w:ascii="仿宋" w:hAnsi="仿宋" w:eastAsia="仿宋" w:cs="仿宋"/>
                <w:sz w:val="28"/>
                <w:szCs w:val="28"/>
              </w:rPr>
            </w:pPr>
          </w:p>
        </w:tc>
        <w:tc>
          <w:tcPr>
            <w:tcW w:w="1252" w:type="dxa"/>
            <w:noWrap w:val="0"/>
            <w:vAlign w:val="center"/>
          </w:tcPr>
          <w:p w14:paraId="7745F22B">
            <w:pPr>
              <w:pStyle w:val="304"/>
              <w:spacing w:line="560" w:lineRule="exact"/>
              <w:jc w:val="center"/>
              <w:rPr>
                <w:rStyle w:val="212"/>
                <w:rFonts w:hint="eastAsia" w:ascii="仿宋" w:hAnsi="仿宋" w:eastAsia="仿宋" w:cs="仿宋"/>
                <w:sz w:val="28"/>
                <w:szCs w:val="28"/>
              </w:rPr>
            </w:pPr>
          </w:p>
        </w:tc>
        <w:tc>
          <w:tcPr>
            <w:tcW w:w="991" w:type="dxa"/>
            <w:noWrap w:val="0"/>
            <w:vAlign w:val="center"/>
          </w:tcPr>
          <w:p w14:paraId="0DB59B54">
            <w:pPr>
              <w:pStyle w:val="304"/>
              <w:spacing w:line="560" w:lineRule="exact"/>
              <w:jc w:val="center"/>
              <w:rPr>
                <w:rStyle w:val="212"/>
                <w:rFonts w:hint="eastAsia" w:ascii="仿宋" w:hAnsi="仿宋" w:eastAsia="仿宋" w:cs="仿宋"/>
                <w:sz w:val="28"/>
                <w:szCs w:val="28"/>
              </w:rPr>
            </w:pPr>
          </w:p>
        </w:tc>
      </w:tr>
      <w:tr w14:paraId="053B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875" w:type="dxa"/>
            <w:noWrap w:val="0"/>
            <w:vAlign w:val="center"/>
          </w:tcPr>
          <w:p w14:paraId="7B4A8F16">
            <w:pPr>
              <w:pStyle w:val="304"/>
              <w:widowControl/>
              <w:spacing w:line="560" w:lineRule="exact"/>
              <w:jc w:val="center"/>
              <w:rPr>
                <w:rStyle w:val="212"/>
                <w:rFonts w:hint="eastAsia" w:ascii="仿宋" w:hAnsi="仿宋" w:eastAsia="仿宋" w:cs="仿宋"/>
                <w:sz w:val="28"/>
                <w:szCs w:val="28"/>
                <w:lang w:eastAsia="zh-CN"/>
              </w:rPr>
            </w:pPr>
            <w:r>
              <w:rPr>
                <w:rStyle w:val="212"/>
                <w:rFonts w:hint="eastAsia" w:ascii="仿宋" w:hAnsi="仿宋" w:eastAsia="仿宋" w:cs="仿宋"/>
                <w:sz w:val="28"/>
                <w:szCs w:val="28"/>
                <w:lang w:val="en-US" w:eastAsia="zh-CN"/>
              </w:rPr>
              <w:t>5</w:t>
            </w:r>
          </w:p>
        </w:tc>
        <w:tc>
          <w:tcPr>
            <w:tcW w:w="2446" w:type="dxa"/>
            <w:noWrap w:val="0"/>
            <w:vAlign w:val="center"/>
          </w:tcPr>
          <w:p w14:paraId="28038A7D">
            <w:pPr>
              <w:jc w:val="center"/>
              <w:rPr>
                <w:rStyle w:val="212"/>
                <w:rFonts w:hint="eastAsia" w:ascii="仿宋" w:hAnsi="仿宋" w:eastAsia="仿宋" w:cs="仿宋"/>
                <w:sz w:val="28"/>
                <w:szCs w:val="28"/>
              </w:rPr>
            </w:pPr>
          </w:p>
        </w:tc>
        <w:tc>
          <w:tcPr>
            <w:tcW w:w="1288" w:type="dxa"/>
            <w:noWrap w:val="0"/>
            <w:vAlign w:val="center"/>
          </w:tcPr>
          <w:p w14:paraId="54AA595C">
            <w:pPr>
              <w:jc w:val="center"/>
              <w:rPr>
                <w:rStyle w:val="212"/>
                <w:rFonts w:hint="eastAsia" w:ascii="仿宋" w:hAnsi="仿宋" w:eastAsia="仿宋" w:cs="仿宋"/>
                <w:sz w:val="28"/>
                <w:szCs w:val="28"/>
              </w:rPr>
            </w:pPr>
          </w:p>
        </w:tc>
        <w:tc>
          <w:tcPr>
            <w:tcW w:w="1106" w:type="dxa"/>
            <w:noWrap w:val="0"/>
            <w:vAlign w:val="center"/>
          </w:tcPr>
          <w:p w14:paraId="14D058DE">
            <w:pPr>
              <w:pStyle w:val="304"/>
              <w:spacing w:line="560" w:lineRule="exact"/>
              <w:jc w:val="center"/>
              <w:rPr>
                <w:rStyle w:val="212"/>
                <w:rFonts w:hint="eastAsia" w:ascii="仿宋" w:hAnsi="仿宋" w:eastAsia="仿宋" w:cs="仿宋"/>
                <w:sz w:val="28"/>
                <w:szCs w:val="28"/>
              </w:rPr>
            </w:pPr>
          </w:p>
        </w:tc>
        <w:tc>
          <w:tcPr>
            <w:tcW w:w="1027" w:type="dxa"/>
            <w:noWrap w:val="0"/>
            <w:vAlign w:val="center"/>
          </w:tcPr>
          <w:p w14:paraId="1A21628D">
            <w:pPr>
              <w:jc w:val="center"/>
              <w:rPr>
                <w:rStyle w:val="212"/>
                <w:rFonts w:hint="eastAsia" w:ascii="仿宋" w:hAnsi="仿宋" w:eastAsia="仿宋" w:cs="仿宋"/>
                <w:sz w:val="28"/>
                <w:szCs w:val="28"/>
              </w:rPr>
            </w:pPr>
          </w:p>
        </w:tc>
        <w:tc>
          <w:tcPr>
            <w:tcW w:w="1252" w:type="dxa"/>
            <w:noWrap w:val="0"/>
            <w:vAlign w:val="center"/>
          </w:tcPr>
          <w:p w14:paraId="7D7AEA0D">
            <w:pPr>
              <w:pStyle w:val="304"/>
              <w:spacing w:line="560" w:lineRule="exact"/>
              <w:jc w:val="center"/>
              <w:rPr>
                <w:rStyle w:val="212"/>
                <w:rFonts w:hint="eastAsia" w:ascii="仿宋" w:hAnsi="仿宋" w:eastAsia="仿宋" w:cs="仿宋"/>
                <w:sz w:val="28"/>
                <w:szCs w:val="28"/>
              </w:rPr>
            </w:pPr>
          </w:p>
        </w:tc>
        <w:tc>
          <w:tcPr>
            <w:tcW w:w="991" w:type="dxa"/>
            <w:noWrap w:val="0"/>
            <w:vAlign w:val="center"/>
          </w:tcPr>
          <w:p w14:paraId="7963122E">
            <w:pPr>
              <w:pStyle w:val="304"/>
              <w:spacing w:line="560" w:lineRule="exact"/>
              <w:jc w:val="center"/>
              <w:rPr>
                <w:rStyle w:val="212"/>
                <w:rFonts w:hint="eastAsia" w:ascii="仿宋" w:hAnsi="仿宋" w:eastAsia="仿宋" w:cs="仿宋"/>
                <w:sz w:val="28"/>
                <w:szCs w:val="28"/>
              </w:rPr>
            </w:pPr>
          </w:p>
        </w:tc>
      </w:tr>
      <w:tr w14:paraId="6ACB8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0" w:hRule="atLeast"/>
        </w:trPr>
        <w:tc>
          <w:tcPr>
            <w:tcW w:w="875" w:type="dxa"/>
            <w:noWrap w:val="0"/>
            <w:vAlign w:val="center"/>
          </w:tcPr>
          <w:p w14:paraId="2310A825">
            <w:pPr>
              <w:pStyle w:val="304"/>
              <w:widowControl/>
              <w:spacing w:line="560" w:lineRule="exact"/>
              <w:jc w:val="center"/>
              <w:rPr>
                <w:rStyle w:val="212"/>
                <w:rFonts w:hint="default" w:ascii="仿宋" w:hAnsi="仿宋" w:eastAsia="仿宋" w:cs="仿宋"/>
                <w:sz w:val="28"/>
                <w:szCs w:val="28"/>
                <w:lang w:val="en-US" w:eastAsia="zh-CN"/>
              </w:rPr>
            </w:pPr>
            <w:r>
              <w:rPr>
                <w:rStyle w:val="212"/>
                <w:rFonts w:hint="eastAsia" w:ascii="仿宋" w:hAnsi="仿宋" w:eastAsia="仿宋" w:cs="仿宋"/>
                <w:sz w:val="28"/>
                <w:szCs w:val="28"/>
                <w:lang w:val="en-US" w:eastAsia="zh-CN"/>
              </w:rPr>
              <w:t>...</w:t>
            </w:r>
          </w:p>
        </w:tc>
        <w:tc>
          <w:tcPr>
            <w:tcW w:w="2446" w:type="dxa"/>
            <w:noWrap w:val="0"/>
            <w:vAlign w:val="center"/>
          </w:tcPr>
          <w:p w14:paraId="42A0B823">
            <w:pPr>
              <w:jc w:val="center"/>
              <w:rPr>
                <w:rStyle w:val="212"/>
                <w:rFonts w:hint="eastAsia" w:ascii="仿宋" w:hAnsi="仿宋" w:eastAsia="仿宋" w:cs="仿宋"/>
                <w:sz w:val="28"/>
                <w:szCs w:val="28"/>
              </w:rPr>
            </w:pPr>
          </w:p>
        </w:tc>
        <w:tc>
          <w:tcPr>
            <w:tcW w:w="1288" w:type="dxa"/>
            <w:noWrap w:val="0"/>
            <w:vAlign w:val="center"/>
          </w:tcPr>
          <w:p w14:paraId="51AED758">
            <w:pPr>
              <w:jc w:val="center"/>
              <w:rPr>
                <w:rStyle w:val="212"/>
                <w:rFonts w:hint="eastAsia" w:ascii="仿宋" w:hAnsi="仿宋" w:eastAsia="仿宋" w:cs="仿宋"/>
                <w:sz w:val="28"/>
                <w:szCs w:val="28"/>
              </w:rPr>
            </w:pPr>
          </w:p>
        </w:tc>
        <w:tc>
          <w:tcPr>
            <w:tcW w:w="1106" w:type="dxa"/>
            <w:noWrap w:val="0"/>
            <w:vAlign w:val="center"/>
          </w:tcPr>
          <w:p w14:paraId="410BC1F8">
            <w:pPr>
              <w:pStyle w:val="304"/>
              <w:spacing w:line="560" w:lineRule="exact"/>
              <w:jc w:val="center"/>
              <w:rPr>
                <w:rStyle w:val="212"/>
                <w:rFonts w:hint="eastAsia" w:ascii="仿宋" w:hAnsi="仿宋" w:eastAsia="仿宋" w:cs="仿宋"/>
                <w:sz w:val="28"/>
                <w:szCs w:val="28"/>
              </w:rPr>
            </w:pPr>
          </w:p>
        </w:tc>
        <w:tc>
          <w:tcPr>
            <w:tcW w:w="1027" w:type="dxa"/>
            <w:noWrap w:val="0"/>
            <w:vAlign w:val="center"/>
          </w:tcPr>
          <w:p w14:paraId="4DD24760">
            <w:pPr>
              <w:jc w:val="center"/>
              <w:rPr>
                <w:rStyle w:val="212"/>
                <w:rFonts w:hint="eastAsia" w:ascii="仿宋" w:hAnsi="仿宋" w:eastAsia="仿宋" w:cs="仿宋"/>
                <w:sz w:val="28"/>
                <w:szCs w:val="28"/>
              </w:rPr>
            </w:pPr>
          </w:p>
        </w:tc>
        <w:tc>
          <w:tcPr>
            <w:tcW w:w="1252" w:type="dxa"/>
            <w:noWrap w:val="0"/>
            <w:vAlign w:val="center"/>
          </w:tcPr>
          <w:p w14:paraId="7E5B170C">
            <w:pPr>
              <w:pStyle w:val="304"/>
              <w:spacing w:line="560" w:lineRule="exact"/>
              <w:jc w:val="center"/>
              <w:rPr>
                <w:rStyle w:val="212"/>
                <w:rFonts w:hint="eastAsia" w:ascii="仿宋" w:hAnsi="仿宋" w:eastAsia="仿宋" w:cs="仿宋"/>
                <w:sz w:val="28"/>
                <w:szCs w:val="28"/>
              </w:rPr>
            </w:pPr>
          </w:p>
        </w:tc>
        <w:tc>
          <w:tcPr>
            <w:tcW w:w="991" w:type="dxa"/>
            <w:noWrap w:val="0"/>
            <w:vAlign w:val="center"/>
          </w:tcPr>
          <w:p w14:paraId="4371C46C">
            <w:pPr>
              <w:pStyle w:val="304"/>
              <w:spacing w:line="560" w:lineRule="exact"/>
              <w:jc w:val="center"/>
              <w:rPr>
                <w:rStyle w:val="212"/>
                <w:rFonts w:hint="eastAsia" w:ascii="仿宋" w:hAnsi="仿宋" w:eastAsia="仿宋" w:cs="仿宋"/>
                <w:sz w:val="28"/>
                <w:szCs w:val="28"/>
              </w:rPr>
            </w:pPr>
          </w:p>
        </w:tc>
      </w:tr>
      <w:tr w14:paraId="08DEA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06" w:hRule="atLeast"/>
        </w:trPr>
        <w:tc>
          <w:tcPr>
            <w:tcW w:w="3321" w:type="dxa"/>
            <w:gridSpan w:val="2"/>
            <w:noWrap w:val="0"/>
            <w:vAlign w:val="center"/>
          </w:tcPr>
          <w:p w14:paraId="1F87C3E6">
            <w:pPr>
              <w:pStyle w:val="304"/>
              <w:spacing w:line="500" w:lineRule="exact"/>
              <w:jc w:val="center"/>
              <w:rPr>
                <w:rStyle w:val="212"/>
                <w:rFonts w:hint="eastAsia" w:ascii="仿宋" w:hAnsi="仿宋" w:eastAsia="仿宋" w:cs="仿宋"/>
                <w:b/>
                <w:bCs/>
                <w:sz w:val="28"/>
                <w:szCs w:val="28"/>
              </w:rPr>
            </w:pPr>
            <w:r>
              <w:rPr>
                <w:rStyle w:val="212"/>
                <w:rFonts w:hint="eastAsia" w:ascii="仿宋" w:hAnsi="仿宋" w:eastAsia="仿宋" w:cs="仿宋"/>
                <w:b/>
                <w:bCs/>
                <w:sz w:val="28"/>
                <w:szCs w:val="28"/>
              </w:rPr>
              <w:t>报价总计</w:t>
            </w:r>
          </w:p>
        </w:tc>
        <w:tc>
          <w:tcPr>
            <w:tcW w:w="5664" w:type="dxa"/>
            <w:gridSpan w:val="5"/>
            <w:noWrap w:val="0"/>
            <w:vAlign w:val="center"/>
          </w:tcPr>
          <w:p w14:paraId="79802D4B">
            <w:pPr>
              <w:pStyle w:val="304"/>
              <w:spacing w:line="500" w:lineRule="exact"/>
              <w:rPr>
                <w:rStyle w:val="212"/>
                <w:rFonts w:hint="eastAsia" w:ascii="仿宋" w:hAnsi="仿宋" w:eastAsia="仿宋" w:cs="仿宋"/>
                <w:b/>
                <w:bCs/>
                <w:sz w:val="28"/>
                <w:szCs w:val="28"/>
              </w:rPr>
            </w:pPr>
            <w:r>
              <w:rPr>
                <w:rStyle w:val="212"/>
                <w:rFonts w:hint="eastAsia" w:ascii="仿宋" w:hAnsi="仿宋" w:eastAsia="仿宋" w:cs="仿宋"/>
                <w:b/>
                <w:bCs/>
                <w:sz w:val="28"/>
                <w:szCs w:val="28"/>
              </w:rPr>
              <w:t>￥</w:t>
            </w:r>
            <w:r>
              <w:rPr>
                <w:rStyle w:val="212"/>
                <w:rFonts w:hint="eastAsia" w:ascii="仿宋" w:hAnsi="仿宋" w:eastAsia="仿宋" w:cs="仿宋"/>
                <w:sz w:val="28"/>
                <w:szCs w:val="28"/>
              </w:rPr>
              <w:t xml:space="preserve">  </w:t>
            </w:r>
            <w:r>
              <w:rPr>
                <w:rStyle w:val="212"/>
                <w:rFonts w:hint="eastAsia" w:ascii="仿宋" w:hAnsi="仿宋" w:eastAsia="仿宋" w:cs="仿宋"/>
                <w:sz w:val="28"/>
                <w:szCs w:val="28"/>
                <w:u w:val="single"/>
              </w:rPr>
              <w:t xml:space="preserve">              </w:t>
            </w:r>
            <w:r>
              <w:rPr>
                <w:rStyle w:val="212"/>
                <w:rFonts w:hint="eastAsia" w:ascii="仿宋" w:hAnsi="仿宋" w:eastAsia="仿宋" w:cs="仿宋"/>
                <w:sz w:val="28"/>
                <w:szCs w:val="28"/>
              </w:rPr>
              <w:t xml:space="preserve">                 </w:t>
            </w:r>
          </w:p>
          <w:p w14:paraId="09193F78">
            <w:pPr>
              <w:pStyle w:val="304"/>
              <w:spacing w:line="500" w:lineRule="exact"/>
              <w:rPr>
                <w:rStyle w:val="212"/>
                <w:rFonts w:hint="eastAsia" w:ascii="仿宋" w:hAnsi="仿宋" w:eastAsia="仿宋" w:cs="仿宋"/>
                <w:b/>
                <w:bCs/>
                <w:sz w:val="28"/>
                <w:szCs w:val="28"/>
              </w:rPr>
            </w:pPr>
            <w:r>
              <w:rPr>
                <w:rStyle w:val="212"/>
                <w:rFonts w:hint="eastAsia" w:ascii="仿宋" w:hAnsi="仿宋" w:eastAsia="仿宋" w:cs="仿宋"/>
                <w:b/>
                <w:bCs/>
                <w:sz w:val="28"/>
                <w:szCs w:val="28"/>
              </w:rPr>
              <w:t>人民币（大写）：</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佰</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拾</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 xml:space="preserve"> 万</w:t>
            </w:r>
            <w:r>
              <w:rPr>
                <w:rStyle w:val="212"/>
                <w:rFonts w:hint="eastAsia" w:ascii="仿宋" w:hAnsi="仿宋" w:eastAsia="仿宋" w:cs="仿宋"/>
                <w:bCs/>
                <w:sz w:val="28"/>
                <w:szCs w:val="28"/>
                <w:u w:val="single"/>
              </w:rPr>
              <w:t xml:space="preserve">    </w:t>
            </w:r>
            <w:r>
              <w:rPr>
                <w:rStyle w:val="212"/>
                <w:rFonts w:hint="eastAsia" w:ascii="仿宋" w:hAnsi="仿宋" w:eastAsia="仿宋" w:cs="仿宋"/>
                <w:bCs/>
                <w:sz w:val="28"/>
                <w:szCs w:val="28"/>
              </w:rPr>
              <w:t>仟</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佰</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拾</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元</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角</w:t>
            </w:r>
            <w:r>
              <w:rPr>
                <w:rStyle w:val="212"/>
                <w:rFonts w:hint="eastAsia" w:ascii="仿宋" w:hAnsi="仿宋" w:eastAsia="仿宋" w:cs="仿宋"/>
                <w:sz w:val="28"/>
                <w:szCs w:val="28"/>
                <w:u w:val="single"/>
              </w:rPr>
              <w:t xml:space="preserve">      </w:t>
            </w:r>
            <w:r>
              <w:rPr>
                <w:rStyle w:val="212"/>
                <w:rFonts w:hint="eastAsia" w:ascii="仿宋" w:hAnsi="仿宋" w:eastAsia="仿宋" w:cs="仿宋"/>
                <w:bCs/>
                <w:sz w:val="28"/>
                <w:szCs w:val="28"/>
              </w:rPr>
              <w:t>分</w:t>
            </w:r>
          </w:p>
        </w:tc>
      </w:tr>
    </w:tbl>
    <w:p w14:paraId="3F02D0CC">
      <w:pPr>
        <w:widowControl/>
        <w:spacing w:line="400" w:lineRule="exact"/>
        <w:ind w:firstLine="480"/>
        <w:jc w:val="left"/>
        <w:rPr>
          <w:rFonts w:ascii="仿宋" w:hAnsi="仿宋" w:eastAsia="仿宋" w:cs="仿宋"/>
          <w:b/>
          <w:highlight w:val="none"/>
        </w:rPr>
      </w:pPr>
      <w:r>
        <w:rPr>
          <w:rFonts w:hint="eastAsia" w:ascii="仿宋" w:hAnsi="仿宋" w:eastAsia="仿宋" w:cs="仿宋"/>
          <w:highlight w:val="none"/>
        </w:rPr>
        <w:t>注：</w:t>
      </w:r>
      <w:r>
        <w:rPr>
          <w:rFonts w:hint="eastAsia" w:ascii="仿宋" w:hAnsi="仿宋" w:eastAsia="仿宋" w:cs="仿宋"/>
          <w:szCs w:val="30"/>
          <w:highlight w:val="none"/>
          <w:lang w:eastAsia="zh-CN"/>
        </w:rPr>
        <w:t>投标人</w:t>
      </w:r>
      <w:r>
        <w:rPr>
          <w:rFonts w:hint="eastAsia" w:ascii="仿宋" w:hAnsi="仿宋" w:eastAsia="仿宋" w:cs="仿宋"/>
          <w:szCs w:val="30"/>
          <w:highlight w:val="none"/>
        </w:rPr>
        <w:t>应分项进行填报，表中表格行数可自行添加。报价应包含</w:t>
      </w:r>
      <w:r>
        <w:rPr>
          <w:rFonts w:hint="eastAsia" w:ascii="仿宋" w:hAnsi="仿宋" w:eastAsia="仿宋" w:cs="仿宋"/>
          <w:iCs/>
          <w:szCs w:val="28"/>
          <w:highlight w:val="none"/>
        </w:rPr>
        <w:t>项目实施过程中一切相关费用。</w:t>
      </w:r>
      <w:r>
        <w:rPr>
          <w:rFonts w:hint="eastAsia" w:ascii="仿宋" w:hAnsi="仿宋" w:eastAsia="仿宋" w:cs="仿宋"/>
          <w:b/>
          <w:szCs w:val="30"/>
          <w:highlight w:val="none"/>
        </w:rPr>
        <w:t>表中报价总计应与对应开标一览表中总价一致</w:t>
      </w:r>
      <w:r>
        <w:rPr>
          <w:rFonts w:hint="eastAsia" w:ascii="仿宋" w:hAnsi="仿宋" w:eastAsia="仿宋" w:cs="仿宋"/>
          <w:b/>
          <w:highlight w:val="none"/>
        </w:rPr>
        <w:t>。</w:t>
      </w:r>
    </w:p>
    <w:p w14:paraId="40988920">
      <w:pPr>
        <w:pStyle w:val="308"/>
        <w:widowControl/>
        <w:spacing w:line="400" w:lineRule="exact"/>
        <w:ind w:firstLine="482"/>
        <w:jc w:val="left"/>
        <w:rPr>
          <w:rFonts w:ascii="仿宋" w:hAnsi="仿宋" w:eastAsia="仿宋" w:cs="仿宋"/>
          <w:b/>
          <w:sz w:val="24"/>
          <w:highlight w:val="none"/>
        </w:rPr>
      </w:pPr>
    </w:p>
    <w:p w14:paraId="4CF26202">
      <w:pPr>
        <w:pStyle w:val="308"/>
        <w:jc w:val="right"/>
        <w:rPr>
          <w:rFonts w:ascii="仿宋" w:hAnsi="仿宋" w:eastAsia="仿宋" w:cs="仿宋"/>
          <w:sz w:val="24"/>
          <w:highlight w:val="none"/>
        </w:rPr>
      </w:pPr>
    </w:p>
    <w:p w14:paraId="107A900A">
      <w:pPr>
        <w:pStyle w:val="299"/>
        <w:spacing w:line="520" w:lineRule="exact"/>
        <w:rPr>
          <w:rFonts w:ascii="仿宋" w:hAnsi="仿宋" w:eastAsia="仿宋" w:cs="仿宋"/>
          <w:b/>
          <w:sz w:val="24"/>
          <w:szCs w:val="20"/>
          <w:highlight w:val="none"/>
        </w:rPr>
      </w:pPr>
      <w:bookmarkStart w:id="84" w:name="_Toc17048"/>
      <w:r>
        <w:rPr>
          <w:rFonts w:hint="eastAsia" w:ascii="仿宋" w:hAnsi="仿宋" w:eastAsia="仿宋" w:cs="仿宋"/>
          <w:b/>
          <w:sz w:val="24"/>
          <w:szCs w:val="20"/>
          <w:highlight w:val="none"/>
        </w:rPr>
        <w:t>单位名称：</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（盖章）</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7D249209">
      <w:pPr>
        <w:pStyle w:val="307"/>
        <w:spacing w:line="520" w:lineRule="exact"/>
        <w:rPr>
          <w:rFonts w:ascii="仿宋" w:hAnsi="仿宋" w:eastAsia="仿宋" w:cs="仿宋"/>
          <w:b/>
          <w:sz w:val="24"/>
          <w:szCs w:val="20"/>
          <w:highlight w:val="none"/>
        </w:rPr>
      </w:pPr>
      <w:r>
        <w:rPr>
          <w:rFonts w:hint="eastAsia" w:ascii="仿宋" w:hAnsi="仿宋" w:eastAsia="仿宋" w:cs="仿宋"/>
          <w:b/>
          <w:sz w:val="24"/>
          <w:szCs w:val="20"/>
          <w:highlight w:val="none"/>
        </w:rPr>
        <w:t>法定代表人（或授权代表）：</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（签字）</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6D223126">
      <w:pPr>
        <w:pStyle w:val="238"/>
        <w:spacing w:line="360" w:lineRule="auto"/>
        <w:ind w:left="0"/>
        <w:rPr>
          <w:rFonts w:ascii="仿宋" w:hAnsi="仿宋" w:eastAsia="仿宋" w:cs="仿宋"/>
          <w:b/>
          <w:bCs/>
          <w:szCs w:val="24"/>
          <w:highlight w:val="none"/>
        </w:rPr>
      </w:pPr>
    </w:p>
    <w:p w14:paraId="07968FDF">
      <w:pPr>
        <w:pStyle w:val="313"/>
        <w:outlineLvl w:val="1"/>
        <w:rPr>
          <w:rFonts w:ascii="仿宋" w:hAnsi="仿宋" w:eastAsia="仿宋" w:cs="仿宋"/>
          <w:highlight w:val="none"/>
        </w:rPr>
      </w:pPr>
      <w:r>
        <w:rPr>
          <w:rFonts w:hint="eastAsia" w:ascii="仿宋" w:hAnsi="仿宋" w:eastAsia="仿宋" w:cs="仿宋"/>
          <w:highlight w:val="none"/>
        </w:rPr>
        <w:br w:type="page" w:clear="all"/>
      </w:r>
      <w:r>
        <w:rPr>
          <w:rFonts w:hint="eastAsia" w:ascii="仿宋" w:hAnsi="仿宋" w:eastAsia="仿宋" w:cs="仿宋"/>
          <w:highlight w:val="none"/>
        </w:rPr>
        <w:t>七、技术响应偏离表</w:t>
      </w:r>
      <w:bookmarkEnd w:id="84"/>
    </w:p>
    <w:p w14:paraId="6DFF3098">
      <w:pPr>
        <w:pStyle w:val="314"/>
        <w:jc w:val="center"/>
        <w:rPr>
          <w:rFonts w:ascii="仿宋" w:hAnsi="仿宋" w:eastAsia="仿宋" w:cs="仿宋"/>
          <w:sz w:val="32"/>
          <w:szCs w:val="32"/>
          <w:highlight w:val="none"/>
        </w:rPr>
      </w:pPr>
      <w:r>
        <w:rPr>
          <w:rFonts w:hint="eastAsia" w:ascii="仿宋" w:hAnsi="仿宋" w:eastAsia="仿宋" w:cs="仿宋"/>
          <w:sz w:val="32"/>
          <w:szCs w:val="32"/>
          <w:highlight w:val="none"/>
        </w:rPr>
        <w:t>技术响应偏离表</w:t>
      </w:r>
    </w:p>
    <w:p w14:paraId="2DDD6516">
      <w:pPr>
        <w:pStyle w:val="316"/>
        <w:ind w:firstLine="480"/>
        <w:rPr>
          <w:rFonts w:ascii="仿宋" w:hAnsi="仿宋" w:eastAsia="仿宋" w:cs="仿宋"/>
          <w:sz w:val="24"/>
          <w:szCs w:val="20"/>
          <w:highlight w:val="none"/>
        </w:rPr>
      </w:pPr>
    </w:p>
    <w:tbl>
      <w:tblPr>
        <w:tblStyle w:val="35"/>
        <w:tblW w:w="93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8"/>
        <w:gridCol w:w="2867"/>
        <w:gridCol w:w="1866"/>
        <w:gridCol w:w="1732"/>
      </w:tblGrid>
      <w:tr w14:paraId="4EA8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2838" w:type="dxa"/>
            <w:vAlign w:val="center"/>
          </w:tcPr>
          <w:p w14:paraId="4192D258">
            <w:pPr>
              <w:pStyle w:val="314"/>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招标文件内容</w:t>
            </w:r>
          </w:p>
        </w:tc>
        <w:tc>
          <w:tcPr>
            <w:tcW w:w="2867" w:type="dxa"/>
            <w:vAlign w:val="center"/>
          </w:tcPr>
          <w:p w14:paraId="50E24A68">
            <w:pPr>
              <w:pStyle w:val="314"/>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投标文件内容</w:t>
            </w:r>
          </w:p>
        </w:tc>
        <w:tc>
          <w:tcPr>
            <w:tcW w:w="1866" w:type="dxa"/>
            <w:vAlign w:val="center"/>
          </w:tcPr>
          <w:p w14:paraId="51F6B8E2">
            <w:pPr>
              <w:pStyle w:val="314"/>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偏离内容及说明</w:t>
            </w:r>
          </w:p>
        </w:tc>
        <w:tc>
          <w:tcPr>
            <w:tcW w:w="1732" w:type="dxa"/>
            <w:vAlign w:val="center"/>
          </w:tcPr>
          <w:p w14:paraId="194E3444">
            <w:pPr>
              <w:pStyle w:val="314"/>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技术支持资料对应页码</w:t>
            </w:r>
          </w:p>
        </w:tc>
      </w:tr>
      <w:tr w14:paraId="4186A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2838" w:type="dxa"/>
            <w:vAlign w:val="center"/>
          </w:tcPr>
          <w:p w14:paraId="3E0B8B55">
            <w:pPr>
              <w:spacing w:line="440" w:lineRule="exact"/>
              <w:rPr>
                <w:rFonts w:ascii="仿宋" w:hAnsi="仿宋" w:eastAsia="仿宋" w:cs="仿宋"/>
                <w:highlight w:val="none"/>
              </w:rPr>
            </w:pPr>
          </w:p>
        </w:tc>
        <w:tc>
          <w:tcPr>
            <w:tcW w:w="2867" w:type="dxa"/>
            <w:vAlign w:val="center"/>
          </w:tcPr>
          <w:p w14:paraId="177E0B77">
            <w:pPr>
              <w:spacing w:line="460" w:lineRule="exact"/>
              <w:rPr>
                <w:rFonts w:ascii="仿宋" w:hAnsi="仿宋" w:eastAsia="仿宋" w:cs="仿宋"/>
                <w:highlight w:val="none"/>
              </w:rPr>
            </w:pPr>
          </w:p>
        </w:tc>
        <w:tc>
          <w:tcPr>
            <w:tcW w:w="1866" w:type="dxa"/>
            <w:vAlign w:val="center"/>
          </w:tcPr>
          <w:p w14:paraId="575615C9">
            <w:pPr>
              <w:pStyle w:val="314"/>
              <w:spacing w:line="560" w:lineRule="exact"/>
              <w:jc w:val="center"/>
              <w:rPr>
                <w:rFonts w:ascii="仿宋" w:hAnsi="仿宋" w:eastAsia="仿宋" w:cs="仿宋"/>
                <w:sz w:val="24"/>
                <w:szCs w:val="24"/>
                <w:highlight w:val="none"/>
              </w:rPr>
            </w:pPr>
          </w:p>
        </w:tc>
        <w:tc>
          <w:tcPr>
            <w:tcW w:w="1732" w:type="dxa"/>
            <w:vAlign w:val="center"/>
          </w:tcPr>
          <w:p w14:paraId="2AAB6CB8">
            <w:pPr>
              <w:pStyle w:val="314"/>
              <w:spacing w:line="560" w:lineRule="exact"/>
              <w:jc w:val="center"/>
              <w:rPr>
                <w:rFonts w:ascii="仿宋" w:hAnsi="仿宋" w:eastAsia="仿宋" w:cs="仿宋"/>
                <w:sz w:val="24"/>
                <w:szCs w:val="24"/>
                <w:highlight w:val="none"/>
              </w:rPr>
            </w:pPr>
          </w:p>
        </w:tc>
      </w:tr>
      <w:tr w14:paraId="27D8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8" w:type="dxa"/>
            <w:vAlign w:val="center"/>
          </w:tcPr>
          <w:p w14:paraId="52731D39">
            <w:pPr>
              <w:spacing w:line="460" w:lineRule="exact"/>
              <w:rPr>
                <w:rFonts w:ascii="仿宋" w:hAnsi="仿宋" w:eastAsia="仿宋" w:cs="仿宋"/>
                <w:szCs w:val="22"/>
                <w:highlight w:val="none"/>
              </w:rPr>
            </w:pPr>
          </w:p>
        </w:tc>
        <w:tc>
          <w:tcPr>
            <w:tcW w:w="2867" w:type="dxa"/>
            <w:vAlign w:val="center"/>
          </w:tcPr>
          <w:p w14:paraId="0F53BE08">
            <w:pPr>
              <w:spacing w:line="460" w:lineRule="exact"/>
              <w:rPr>
                <w:rFonts w:ascii="仿宋" w:hAnsi="仿宋" w:eastAsia="仿宋" w:cs="仿宋"/>
                <w:szCs w:val="22"/>
                <w:highlight w:val="none"/>
              </w:rPr>
            </w:pPr>
          </w:p>
        </w:tc>
        <w:tc>
          <w:tcPr>
            <w:tcW w:w="1866" w:type="dxa"/>
            <w:vAlign w:val="center"/>
          </w:tcPr>
          <w:p w14:paraId="72DAD81D">
            <w:pPr>
              <w:pStyle w:val="314"/>
              <w:spacing w:line="560" w:lineRule="exact"/>
              <w:jc w:val="center"/>
              <w:rPr>
                <w:rFonts w:ascii="仿宋" w:hAnsi="仿宋" w:eastAsia="仿宋" w:cs="仿宋"/>
                <w:sz w:val="24"/>
                <w:szCs w:val="22"/>
                <w:highlight w:val="none"/>
              </w:rPr>
            </w:pPr>
          </w:p>
        </w:tc>
        <w:tc>
          <w:tcPr>
            <w:tcW w:w="1732" w:type="dxa"/>
            <w:vAlign w:val="center"/>
          </w:tcPr>
          <w:p w14:paraId="2289F39C">
            <w:pPr>
              <w:pStyle w:val="314"/>
              <w:spacing w:line="560" w:lineRule="exact"/>
              <w:jc w:val="center"/>
              <w:rPr>
                <w:rFonts w:ascii="仿宋" w:hAnsi="仿宋" w:eastAsia="仿宋" w:cs="仿宋"/>
                <w:sz w:val="24"/>
                <w:szCs w:val="22"/>
                <w:highlight w:val="none"/>
              </w:rPr>
            </w:pPr>
          </w:p>
        </w:tc>
      </w:tr>
      <w:tr w14:paraId="7B973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8" w:type="dxa"/>
            <w:vAlign w:val="center"/>
          </w:tcPr>
          <w:p w14:paraId="78220140">
            <w:pPr>
              <w:spacing w:line="460" w:lineRule="exact"/>
              <w:rPr>
                <w:rFonts w:ascii="仿宋" w:hAnsi="仿宋" w:eastAsia="仿宋" w:cs="仿宋"/>
                <w:szCs w:val="22"/>
                <w:highlight w:val="none"/>
              </w:rPr>
            </w:pPr>
          </w:p>
        </w:tc>
        <w:tc>
          <w:tcPr>
            <w:tcW w:w="2867" w:type="dxa"/>
            <w:vAlign w:val="center"/>
          </w:tcPr>
          <w:p w14:paraId="2895D12B">
            <w:pPr>
              <w:spacing w:line="460" w:lineRule="exact"/>
              <w:rPr>
                <w:rFonts w:ascii="仿宋" w:hAnsi="仿宋" w:eastAsia="仿宋" w:cs="仿宋"/>
                <w:szCs w:val="22"/>
                <w:highlight w:val="none"/>
              </w:rPr>
            </w:pPr>
          </w:p>
        </w:tc>
        <w:tc>
          <w:tcPr>
            <w:tcW w:w="1866" w:type="dxa"/>
            <w:vAlign w:val="center"/>
          </w:tcPr>
          <w:p w14:paraId="75C51917">
            <w:pPr>
              <w:pStyle w:val="314"/>
              <w:spacing w:line="560" w:lineRule="exact"/>
              <w:jc w:val="center"/>
              <w:rPr>
                <w:rFonts w:ascii="仿宋" w:hAnsi="仿宋" w:eastAsia="仿宋" w:cs="仿宋"/>
                <w:sz w:val="24"/>
                <w:szCs w:val="22"/>
                <w:highlight w:val="none"/>
              </w:rPr>
            </w:pPr>
          </w:p>
        </w:tc>
        <w:tc>
          <w:tcPr>
            <w:tcW w:w="1732" w:type="dxa"/>
            <w:vAlign w:val="center"/>
          </w:tcPr>
          <w:p w14:paraId="7C44F99E">
            <w:pPr>
              <w:pStyle w:val="314"/>
              <w:spacing w:line="560" w:lineRule="exact"/>
              <w:jc w:val="center"/>
              <w:rPr>
                <w:rFonts w:ascii="仿宋" w:hAnsi="仿宋" w:eastAsia="仿宋" w:cs="仿宋"/>
                <w:sz w:val="24"/>
                <w:szCs w:val="22"/>
                <w:highlight w:val="none"/>
              </w:rPr>
            </w:pPr>
          </w:p>
        </w:tc>
      </w:tr>
      <w:tr w14:paraId="1B1C5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8" w:type="dxa"/>
            <w:vAlign w:val="center"/>
          </w:tcPr>
          <w:p w14:paraId="1BD71178">
            <w:pPr>
              <w:spacing w:line="460" w:lineRule="exact"/>
              <w:rPr>
                <w:rFonts w:ascii="仿宋" w:hAnsi="仿宋" w:eastAsia="仿宋" w:cs="仿宋"/>
                <w:szCs w:val="22"/>
                <w:highlight w:val="none"/>
              </w:rPr>
            </w:pPr>
          </w:p>
        </w:tc>
        <w:tc>
          <w:tcPr>
            <w:tcW w:w="2867" w:type="dxa"/>
            <w:vAlign w:val="center"/>
          </w:tcPr>
          <w:p w14:paraId="4FC3FB8A">
            <w:pPr>
              <w:spacing w:line="460" w:lineRule="exact"/>
              <w:rPr>
                <w:rFonts w:ascii="仿宋" w:hAnsi="仿宋" w:eastAsia="仿宋" w:cs="仿宋"/>
                <w:szCs w:val="22"/>
                <w:highlight w:val="none"/>
              </w:rPr>
            </w:pPr>
          </w:p>
        </w:tc>
        <w:tc>
          <w:tcPr>
            <w:tcW w:w="1866" w:type="dxa"/>
            <w:vAlign w:val="center"/>
          </w:tcPr>
          <w:p w14:paraId="7676B1F4">
            <w:pPr>
              <w:pStyle w:val="314"/>
              <w:spacing w:line="560" w:lineRule="exact"/>
              <w:jc w:val="center"/>
              <w:rPr>
                <w:rFonts w:ascii="仿宋" w:hAnsi="仿宋" w:eastAsia="仿宋" w:cs="仿宋"/>
                <w:sz w:val="24"/>
                <w:szCs w:val="22"/>
                <w:highlight w:val="none"/>
              </w:rPr>
            </w:pPr>
          </w:p>
        </w:tc>
        <w:tc>
          <w:tcPr>
            <w:tcW w:w="1732" w:type="dxa"/>
            <w:vAlign w:val="center"/>
          </w:tcPr>
          <w:p w14:paraId="466A4265">
            <w:pPr>
              <w:pStyle w:val="314"/>
              <w:spacing w:line="560" w:lineRule="exact"/>
              <w:jc w:val="center"/>
              <w:rPr>
                <w:rFonts w:ascii="仿宋" w:hAnsi="仿宋" w:eastAsia="仿宋" w:cs="仿宋"/>
                <w:sz w:val="24"/>
                <w:szCs w:val="22"/>
                <w:highlight w:val="none"/>
              </w:rPr>
            </w:pPr>
          </w:p>
        </w:tc>
      </w:tr>
      <w:tr w14:paraId="44DB4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8" w:type="dxa"/>
            <w:vAlign w:val="center"/>
          </w:tcPr>
          <w:p w14:paraId="7D2A3733">
            <w:pPr>
              <w:spacing w:line="460" w:lineRule="exact"/>
              <w:rPr>
                <w:rFonts w:ascii="仿宋" w:hAnsi="仿宋" w:eastAsia="仿宋" w:cs="仿宋"/>
                <w:szCs w:val="22"/>
                <w:highlight w:val="none"/>
              </w:rPr>
            </w:pPr>
          </w:p>
        </w:tc>
        <w:tc>
          <w:tcPr>
            <w:tcW w:w="2867" w:type="dxa"/>
            <w:vAlign w:val="center"/>
          </w:tcPr>
          <w:p w14:paraId="164084DF">
            <w:pPr>
              <w:spacing w:line="460" w:lineRule="exact"/>
              <w:rPr>
                <w:rFonts w:ascii="仿宋" w:hAnsi="仿宋" w:eastAsia="仿宋" w:cs="仿宋"/>
                <w:szCs w:val="22"/>
                <w:highlight w:val="none"/>
              </w:rPr>
            </w:pPr>
          </w:p>
        </w:tc>
        <w:tc>
          <w:tcPr>
            <w:tcW w:w="1866" w:type="dxa"/>
            <w:vAlign w:val="center"/>
          </w:tcPr>
          <w:p w14:paraId="170AD48B">
            <w:pPr>
              <w:pStyle w:val="314"/>
              <w:spacing w:line="560" w:lineRule="exact"/>
              <w:jc w:val="center"/>
              <w:rPr>
                <w:rFonts w:ascii="仿宋" w:hAnsi="仿宋" w:eastAsia="仿宋" w:cs="仿宋"/>
                <w:sz w:val="24"/>
                <w:szCs w:val="22"/>
                <w:highlight w:val="none"/>
              </w:rPr>
            </w:pPr>
          </w:p>
        </w:tc>
        <w:tc>
          <w:tcPr>
            <w:tcW w:w="1732" w:type="dxa"/>
            <w:vAlign w:val="center"/>
          </w:tcPr>
          <w:p w14:paraId="72D79458">
            <w:pPr>
              <w:pStyle w:val="314"/>
              <w:spacing w:line="560" w:lineRule="exact"/>
              <w:jc w:val="center"/>
              <w:rPr>
                <w:rFonts w:ascii="仿宋" w:hAnsi="仿宋" w:eastAsia="仿宋" w:cs="仿宋"/>
                <w:sz w:val="24"/>
                <w:szCs w:val="22"/>
                <w:highlight w:val="none"/>
              </w:rPr>
            </w:pPr>
          </w:p>
        </w:tc>
      </w:tr>
    </w:tbl>
    <w:p w14:paraId="2C27D923">
      <w:pPr>
        <w:pStyle w:val="299"/>
        <w:spacing w:line="700" w:lineRule="exact"/>
        <w:rPr>
          <w:rFonts w:ascii="仿宋" w:hAnsi="仿宋" w:eastAsia="仿宋" w:cs="仿宋"/>
          <w:b/>
          <w:sz w:val="24"/>
          <w:szCs w:val="20"/>
          <w:highlight w:val="none"/>
        </w:rPr>
      </w:pPr>
      <w:r>
        <w:rPr>
          <w:rFonts w:hint="eastAsia" w:ascii="仿宋" w:hAnsi="仿宋" w:eastAsia="仿宋" w:cs="仿宋"/>
          <w:b/>
          <w:sz w:val="24"/>
          <w:szCs w:val="20"/>
          <w:highlight w:val="none"/>
        </w:rPr>
        <w:t>单位名称：</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（盖章）</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1D3B4C3A">
      <w:pPr>
        <w:pStyle w:val="307"/>
        <w:rPr>
          <w:rFonts w:ascii="仿宋" w:hAnsi="仿宋" w:eastAsia="仿宋" w:cs="仿宋"/>
          <w:b/>
          <w:sz w:val="24"/>
          <w:szCs w:val="20"/>
          <w:highlight w:val="none"/>
        </w:rPr>
      </w:pPr>
      <w:r>
        <w:rPr>
          <w:rFonts w:hint="eastAsia" w:ascii="仿宋" w:hAnsi="仿宋" w:eastAsia="仿宋" w:cs="仿宋"/>
          <w:b/>
          <w:sz w:val="24"/>
          <w:szCs w:val="20"/>
          <w:highlight w:val="none"/>
        </w:rPr>
        <w:t>法定代表人（或授权代表）：</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（签字）</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6E8521E5">
      <w:pPr>
        <w:pStyle w:val="307"/>
        <w:numPr>
          <w:ilvl w:val="0"/>
          <w:numId w:val="6"/>
        </w:numPr>
        <w:rPr>
          <w:rFonts w:ascii="仿宋" w:hAnsi="仿宋" w:eastAsia="仿宋" w:cs="仿宋"/>
          <w:b/>
          <w:bCs/>
          <w:sz w:val="24"/>
          <w:szCs w:val="28"/>
          <w:highlight w:val="none"/>
        </w:rPr>
      </w:pPr>
      <w:r>
        <w:rPr>
          <w:rFonts w:hint="eastAsia" w:ascii="仿宋" w:hAnsi="仿宋" w:eastAsia="仿宋" w:cs="仿宋"/>
          <w:b/>
          <w:bCs/>
          <w:sz w:val="24"/>
          <w:szCs w:val="28"/>
          <w:highlight w:val="none"/>
        </w:rPr>
        <w:t>招标文件</w:t>
      </w:r>
      <w:r>
        <w:rPr>
          <w:rFonts w:hint="eastAsia" w:ascii="仿宋" w:hAnsi="仿宋" w:eastAsia="仿宋" w:cs="仿宋"/>
          <w:b/>
          <w:bCs/>
          <w:color w:val="auto"/>
          <w:sz w:val="24"/>
          <w:szCs w:val="28"/>
          <w:highlight w:val="none"/>
        </w:rPr>
        <w:t>第四部分采购需求</w:t>
      </w:r>
      <w:r>
        <w:rPr>
          <w:rFonts w:hint="eastAsia" w:ascii="仿宋" w:hAnsi="仿宋" w:eastAsia="仿宋" w:cs="仿宋"/>
          <w:b/>
          <w:bCs/>
          <w:color w:val="auto"/>
          <w:sz w:val="24"/>
          <w:szCs w:val="28"/>
          <w:highlight w:val="none"/>
          <w:lang w:val="en-US" w:eastAsia="zh-CN"/>
        </w:rPr>
        <w:t>中（一）技术要求</w:t>
      </w:r>
      <w:r>
        <w:rPr>
          <w:rFonts w:hint="eastAsia" w:ascii="仿宋" w:hAnsi="仿宋" w:eastAsia="仿宋" w:cs="仿宋"/>
          <w:b/>
          <w:bCs/>
          <w:sz w:val="24"/>
          <w:szCs w:val="28"/>
          <w:highlight w:val="none"/>
        </w:rPr>
        <w:t>的</w:t>
      </w:r>
      <w:r>
        <w:rPr>
          <w:rFonts w:hint="eastAsia" w:ascii="仿宋" w:hAnsi="仿宋" w:eastAsia="仿宋" w:cs="仿宋"/>
          <w:b/>
          <w:bCs/>
          <w:sz w:val="24"/>
          <w:szCs w:val="28"/>
          <w:highlight w:val="none"/>
          <w:lang w:val="en-US" w:eastAsia="zh-CN"/>
        </w:rPr>
        <w:t>所有</w:t>
      </w:r>
      <w:r>
        <w:rPr>
          <w:rFonts w:hint="eastAsia" w:ascii="仿宋" w:hAnsi="仿宋" w:eastAsia="仿宋" w:cs="仿宋"/>
          <w:b/>
          <w:bCs/>
          <w:sz w:val="24"/>
          <w:szCs w:val="28"/>
          <w:highlight w:val="none"/>
        </w:rPr>
        <w:t>内容应当逐条在此表中列明并由</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逐条响应，所提供</w:t>
      </w:r>
      <w:r>
        <w:rPr>
          <w:rFonts w:hint="eastAsia" w:ascii="仿宋" w:hAnsi="仿宋" w:eastAsia="仿宋" w:cs="仿宋"/>
          <w:b/>
          <w:bCs/>
          <w:sz w:val="24"/>
          <w:szCs w:val="28"/>
          <w:highlight w:val="none"/>
          <w:lang w:val="en-US" w:eastAsia="zh-CN"/>
        </w:rPr>
        <w:t>货物</w:t>
      </w:r>
      <w:r>
        <w:rPr>
          <w:rFonts w:hint="eastAsia" w:ascii="仿宋" w:hAnsi="仿宋" w:eastAsia="仿宋" w:cs="仿宋"/>
          <w:b/>
          <w:bCs/>
          <w:sz w:val="24"/>
          <w:szCs w:val="28"/>
          <w:highlight w:val="none"/>
        </w:rPr>
        <w:t>与招标文件没有偏离的，应在此表偏离内容及说明中注明“无偏离”；凡投标文件中所提供</w:t>
      </w:r>
      <w:r>
        <w:rPr>
          <w:rFonts w:hint="eastAsia" w:ascii="仿宋" w:hAnsi="仿宋" w:eastAsia="仿宋" w:cs="仿宋"/>
          <w:b/>
          <w:bCs/>
          <w:sz w:val="24"/>
          <w:szCs w:val="28"/>
          <w:highlight w:val="none"/>
          <w:lang w:val="en-US" w:eastAsia="zh-CN"/>
        </w:rPr>
        <w:t>货物</w:t>
      </w:r>
      <w:r>
        <w:rPr>
          <w:rFonts w:hint="eastAsia" w:ascii="仿宋" w:hAnsi="仿宋" w:eastAsia="仿宋" w:cs="仿宋"/>
          <w:b/>
          <w:bCs/>
          <w:sz w:val="24"/>
          <w:szCs w:val="28"/>
          <w:highlight w:val="none"/>
        </w:rPr>
        <w:t>与招标文件有偏离的（包括正偏离和负偏离），均应在此表偏离内容及说明中注明“正偏离”或“负偏离”并详细列出偏离内容或说明理由。</w:t>
      </w:r>
    </w:p>
    <w:p w14:paraId="6B0705C5">
      <w:pPr>
        <w:pStyle w:val="307"/>
        <w:rPr>
          <w:rFonts w:ascii="仿宋" w:hAnsi="仿宋" w:eastAsia="仿宋" w:cs="仿宋"/>
          <w:b/>
          <w:bCs/>
          <w:sz w:val="24"/>
          <w:szCs w:val="28"/>
          <w:highlight w:val="none"/>
        </w:rPr>
      </w:pPr>
      <w:r>
        <w:rPr>
          <w:rFonts w:hint="eastAsia" w:ascii="仿宋" w:hAnsi="仿宋" w:eastAsia="仿宋" w:cs="仿宋"/>
          <w:b/>
          <w:bCs/>
          <w:sz w:val="24"/>
          <w:szCs w:val="28"/>
          <w:highlight w:val="none"/>
        </w:rPr>
        <w:t>2、应后附详细说明及技术资料，并注明投标文件中对应的页码范围。</w:t>
      </w:r>
    </w:p>
    <w:p w14:paraId="2ED3FDB2">
      <w:pPr>
        <w:pStyle w:val="291"/>
        <w:jc w:val="left"/>
        <w:rPr>
          <w:rFonts w:ascii="仿宋" w:hAnsi="仿宋" w:eastAsia="仿宋" w:cs="仿宋"/>
          <w:b/>
          <w:bCs/>
          <w:sz w:val="24"/>
          <w:szCs w:val="28"/>
          <w:highlight w:val="none"/>
        </w:rPr>
      </w:pPr>
      <w:r>
        <w:rPr>
          <w:rFonts w:hint="eastAsia" w:ascii="仿宋" w:hAnsi="仿宋" w:eastAsia="仿宋" w:cs="仿宋"/>
          <w:b/>
          <w:bCs/>
          <w:sz w:val="24"/>
          <w:szCs w:val="28"/>
          <w:highlight w:val="none"/>
        </w:rPr>
        <w:t>3、响应内容不得完全复制采购需求的内容，须</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自行进行响应。</w:t>
      </w:r>
    </w:p>
    <w:p w14:paraId="46381FDC">
      <w:pPr>
        <w:pStyle w:val="291"/>
        <w:jc w:val="left"/>
        <w:rPr>
          <w:rFonts w:ascii="仿宋" w:hAnsi="仿宋" w:eastAsia="仿宋" w:cs="仿宋"/>
          <w:b/>
          <w:bCs/>
          <w:sz w:val="24"/>
          <w:szCs w:val="28"/>
          <w:highlight w:val="none"/>
        </w:rPr>
      </w:pPr>
      <w:r>
        <w:rPr>
          <w:rFonts w:hint="eastAsia" w:ascii="仿宋" w:hAnsi="仿宋" w:eastAsia="仿宋" w:cs="仿宋"/>
          <w:b/>
          <w:bCs/>
          <w:sz w:val="24"/>
          <w:szCs w:val="28"/>
          <w:highlight w:val="none"/>
        </w:rPr>
        <w:t>4、表格中填写（例）仅为</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理解表格使用，</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制作文件时请删除。</w:t>
      </w:r>
    </w:p>
    <w:p w14:paraId="3FF70147">
      <w:pPr>
        <w:pStyle w:val="291"/>
        <w:jc w:val="left"/>
        <w:rPr>
          <w:rFonts w:ascii="仿宋" w:hAnsi="仿宋" w:eastAsia="仿宋" w:cs="仿宋"/>
          <w:b/>
          <w:bCs/>
          <w:sz w:val="24"/>
          <w:szCs w:val="28"/>
          <w:highlight w:val="none"/>
        </w:rPr>
      </w:pPr>
      <w:r>
        <w:rPr>
          <w:rFonts w:hint="eastAsia" w:ascii="仿宋" w:hAnsi="仿宋" w:eastAsia="仿宋" w:cs="仿宋"/>
          <w:b/>
          <w:bCs/>
          <w:sz w:val="24"/>
          <w:szCs w:val="28"/>
          <w:highlight w:val="none"/>
        </w:rPr>
        <w:t>5、行数不够请自行添加。</w:t>
      </w:r>
    </w:p>
    <w:p w14:paraId="06EBB8C7">
      <w:pPr>
        <w:pStyle w:val="291"/>
        <w:jc w:val="left"/>
        <w:outlineLvl w:val="1"/>
        <w:rPr>
          <w:rFonts w:ascii="仿宋" w:hAnsi="仿宋" w:eastAsia="仿宋" w:cs="仿宋"/>
          <w:b/>
          <w:sz w:val="32"/>
          <w:szCs w:val="24"/>
          <w:highlight w:val="none"/>
        </w:rPr>
      </w:pPr>
      <w:r>
        <w:rPr>
          <w:rFonts w:hint="eastAsia" w:ascii="仿宋" w:hAnsi="仿宋" w:eastAsia="仿宋" w:cs="仿宋"/>
          <w:b/>
          <w:bCs/>
          <w:sz w:val="24"/>
          <w:szCs w:val="28"/>
          <w:highlight w:val="none"/>
        </w:rPr>
        <w:br w:type="page" w:clear="all"/>
      </w:r>
      <w:bookmarkStart w:id="85" w:name="_Toc26098"/>
      <w:r>
        <w:rPr>
          <w:rFonts w:hint="eastAsia" w:ascii="仿宋" w:hAnsi="仿宋" w:eastAsia="仿宋" w:cs="仿宋"/>
          <w:b/>
          <w:sz w:val="32"/>
          <w:szCs w:val="24"/>
          <w:highlight w:val="none"/>
        </w:rPr>
        <w:t>八、</w:t>
      </w:r>
      <w:bookmarkStart w:id="86" w:name="_Toc8566"/>
      <w:bookmarkStart w:id="87" w:name="_Toc9396"/>
      <w:r>
        <w:rPr>
          <w:rFonts w:hint="eastAsia" w:ascii="仿宋" w:hAnsi="仿宋" w:eastAsia="仿宋" w:cs="仿宋"/>
          <w:b/>
          <w:sz w:val="32"/>
          <w:szCs w:val="24"/>
          <w:highlight w:val="none"/>
        </w:rPr>
        <w:t>商务</w:t>
      </w:r>
      <w:r>
        <w:rPr>
          <w:rFonts w:hint="eastAsia" w:ascii="仿宋" w:hAnsi="仿宋" w:eastAsia="仿宋" w:cs="仿宋"/>
          <w:b/>
          <w:sz w:val="32"/>
          <w:szCs w:val="24"/>
          <w:highlight w:val="none"/>
          <w:lang w:val="en-US" w:eastAsia="zh-CN"/>
        </w:rPr>
        <w:t>响应</w:t>
      </w:r>
      <w:r>
        <w:rPr>
          <w:rFonts w:hint="eastAsia" w:ascii="仿宋" w:hAnsi="仿宋" w:eastAsia="仿宋" w:cs="仿宋"/>
          <w:b/>
          <w:sz w:val="32"/>
          <w:szCs w:val="24"/>
          <w:highlight w:val="none"/>
        </w:rPr>
        <w:t>偏离表</w:t>
      </w:r>
      <w:bookmarkEnd w:id="86"/>
      <w:bookmarkEnd w:id="87"/>
    </w:p>
    <w:p w14:paraId="5C80CE89">
      <w:pPr>
        <w:pStyle w:val="314"/>
        <w:jc w:val="center"/>
        <w:rPr>
          <w:rFonts w:ascii="仿宋" w:hAnsi="仿宋" w:eastAsia="仿宋" w:cs="仿宋"/>
          <w:b/>
          <w:bCs/>
          <w:highlight w:val="none"/>
        </w:rPr>
      </w:pPr>
      <w:r>
        <w:rPr>
          <w:rFonts w:hint="eastAsia" w:ascii="仿宋" w:hAnsi="仿宋" w:eastAsia="仿宋" w:cs="仿宋"/>
          <w:sz w:val="32"/>
          <w:szCs w:val="32"/>
          <w:highlight w:val="none"/>
        </w:rPr>
        <w:t>商务响应偏离表</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12"/>
        <w:gridCol w:w="3632"/>
        <w:gridCol w:w="1863"/>
      </w:tblGrid>
      <w:tr w14:paraId="47558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3012" w:type="dxa"/>
            <w:vAlign w:val="center"/>
          </w:tcPr>
          <w:p w14:paraId="58C81C31">
            <w:pPr>
              <w:pStyle w:val="305"/>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招标文件内容</w:t>
            </w:r>
          </w:p>
        </w:tc>
        <w:tc>
          <w:tcPr>
            <w:tcW w:w="3632" w:type="dxa"/>
            <w:vAlign w:val="center"/>
          </w:tcPr>
          <w:p w14:paraId="169F743E">
            <w:pPr>
              <w:pStyle w:val="305"/>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投标文件内容</w:t>
            </w:r>
          </w:p>
        </w:tc>
        <w:tc>
          <w:tcPr>
            <w:tcW w:w="1863" w:type="dxa"/>
            <w:vAlign w:val="center"/>
          </w:tcPr>
          <w:p w14:paraId="242E6465">
            <w:pPr>
              <w:pStyle w:val="305"/>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偏离内容及说明</w:t>
            </w:r>
          </w:p>
        </w:tc>
      </w:tr>
      <w:tr w14:paraId="3740B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3012" w:type="dxa"/>
            <w:vAlign w:val="center"/>
          </w:tcPr>
          <w:p w14:paraId="4EA206D9">
            <w:pPr>
              <w:pStyle w:val="305"/>
              <w:spacing w:line="560" w:lineRule="exact"/>
              <w:jc w:val="center"/>
              <w:rPr>
                <w:rFonts w:ascii="仿宋" w:hAnsi="仿宋" w:eastAsia="仿宋" w:cs="仿宋"/>
                <w:sz w:val="24"/>
                <w:highlight w:val="none"/>
              </w:rPr>
            </w:pPr>
          </w:p>
        </w:tc>
        <w:tc>
          <w:tcPr>
            <w:tcW w:w="3632" w:type="dxa"/>
            <w:vAlign w:val="center"/>
          </w:tcPr>
          <w:p w14:paraId="2E71A734">
            <w:pPr>
              <w:pStyle w:val="305"/>
              <w:spacing w:line="560" w:lineRule="exact"/>
              <w:jc w:val="center"/>
              <w:rPr>
                <w:rFonts w:ascii="仿宋" w:hAnsi="仿宋" w:eastAsia="仿宋" w:cs="仿宋"/>
                <w:sz w:val="24"/>
                <w:highlight w:val="none"/>
              </w:rPr>
            </w:pPr>
          </w:p>
        </w:tc>
        <w:tc>
          <w:tcPr>
            <w:tcW w:w="1863" w:type="dxa"/>
            <w:vAlign w:val="center"/>
          </w:tcPr>
          <w:p w14:paraId="24F9D76B">
            <w:pPr>
              <w:pStyle w:val="305"/>
              <w:spacing w:line="560" w:lineRule="exact"/>
              <w:jc w:val="center"/>
              <w:rPr>
                <w:rFonts w:ascii="仿宋" w:hAnsi="仿宋" w:eastAsia="仿宋" w:cs="仿宋"/>
                <w:sz w:val="24"/>
                <w:highlight w:val="none"/>
              </w:rPr>
            </w:pPr>
          </w:p>
        </w:tc>
      </w:tr>
      <w:tr w14:paraId="35A68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3012" w:type="dxa"/>
            <w:vAlign w:val="center"/>
          </w:tcPr>
          <w:p w14:paraId="2BDF10F7">
            <w:pPr>
              <w:pStyle w:val="305"/>
              <w:spacing w:line="560" w:lineRule="exact"/>
              <w:jc w:val="center"/>
              <w:rPr>
                <w:rFonts w:ascii="仿宋" w:hAnsi="仿宋" w:eastAsia="仿宋" w:cs="仿宋"/>
                <w:sz w:val="24"/>
                <w:highlight w:val="none"/>
              </w:rPr>
            </w:pPr>
          </w:p>
        </w:tc>
        <w:tc>
          <w:tcPr>
            <w:tcW w:w="3632" w:type="dxa"/>
            <w:vAlign w:val="center"/>
          </w:tcPr>
          <w:p w14:paraId="7B9E4EBE">
            <w:pPr>
              <w:pStyle w:val="305"/>
              <w:spacing w:line="560" w:lineRule="exact"/>
              <w:jc w:val="center"/>
              <w:rPr>
                <w:rFonts w:ascii="仿宋" w:hAnsi="仿宋" w:eastAsia="仿宋" w:cs="仿宋"/>
                <w:sz w:val="24"/>
                <w:highlight w:val="none"/>
              </w:rPr>
            </w:pPr>
          </w:p>
        </w:tc>
        <w:tc>
          <w:tcPr>
            <w:tcW w:w="1863" w:type="dxa"/>
            <w:vAlign w:val="center"/>
          </w:tcPr>
          <w:p w14:paraId="78ACAE4A">
            <w:pPr>
              <w:spacing w:line="560" w:lineRule="exact"/>
              <w:jc w:val="center"/>
              <w:rPr>
                <w:rFonts w:ascii="仿宋" w:hAnsi="仿宋" w:eastAsia="仿宋" w:cs="仿宋"/>
                <w:highlight w:val="none"/>
              </w:rPr>
            </w:pPr>
          </w:p>
        </w:tc>
      </w:tr>
      <w:tr w14:paraId="63EB5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jc w:val="center"/>
        </w:trPr>
        <w:tc>
          <w:tcPr>
            <w:tcW w:w="3012" w:type="dxa"/>
            <w:vAlign w:val="center"/>
          </w:tcPr>
          <w:p w14:paraId="04F734C4">
            <w:pPr>
              <w:pStyle w:val="305"/>
              <w:spacing w:line="560" w:lineRule="exact"/>
              <w:jc w:val="center"/>
              <w:rPr>
                <w:rFonts w:ascii="仿宋" w:hAnsi="仿宋" w:eastAsia="仿宋" w:cs="仿宋"/>
                <w:sz w:val="24"/>
                <w:highlight w:val="none"/>
              </w:rPr>
            </w:pPr>
          </w:p>
        </w:tc>
        <w:tc>
          <w:tcPr>
            <w:tcW w:w="3632" w:type="dxa"/>
            <w:vAlign w:val="center"/>
          </w:tcPr>
          <w:p w14:paraId="0FE11D4E">
            <w:pPr>
              <w:pStyle w:val="305"/>
              <w:spacing w:line="560" w:lineRule="exact"/>
              <w:jc w:val="center"/>
              <w:rPr>
                <w:rFonts w:ascii="仿宋" w:hAnsi="仿宋" w:eastAsia="仿宋" w:cs="仿宋"/>
                <w:sz w:val="24"/>
                <w:highlight w:val="none"/>
              </w:rPr>
            </w:pPr>
          </w:p>
        </w:tc>
        <w:tc>
          <w:tcPr>
            <w:tcW w:w="1863" w:type="dxa"/>
            <w:vAlign w:val="center"/>
          </w:tcPr>
          <w:p w14:paraId="40B84C48">
            <w:pPr>
              <w:spacing w:line="560" w:lineRule="exact"/>
              <w:jc w:val="center"/>
              <w:rPr>
                <w:rFonts w:ascii="仿宋" w:hAnsi="仿宋" w:eastAsia="仿宋" w:cs="仿宋"/>
                <w:highlight w:val="none"/>
              </w:rPr>
            </w:pPr>
          </w:p>
        </w:tc>
      </w:tr>
    </w:tbl>
    <w:p w14:paraId="36113A6E">
      <w:pPr>
        <w:pStyle w:val="307"/>
        <w:rPr>
          <w:rFonts w:ascii="仿宋" w:hAnsi="仿宋" w:eastAsia="仿宋" w:cs="仿宋"/>
          <w:b/>
          <w:bCs/>
          <w:sz w:val="24"/>
          <w:szCs w:val="28"/>
          <w:highlight w:val="none"/>
        </w:rPr>
      </w:pPr>
    </w:p>
    <w:p w14:paraId="3BC7CDA4">
      <w:pPr>
        <w:pStyle w:val="307"/>
        <w:rPr>
          <w:rFonts w:ascii="仿宋" w:hAnsi="仿宋" w:eastAsia="仿宋" w:cs="仿宋"/>
          <w:b/>
          <w:bCs/>
          <w:sz w:val="24"/>
          <w:szCs w:val="28"/>
          <w:highlight w:val="none"/>
        </w:rPr>
      </w:pPr>
    </w:p>
    <w:p w14:paraId="601DDD51">
      <w:pPr>
        <w:pStyle w:val="307"/>
        <w:rPr>
          <w:rFonts w:hint="eastAsia" w:ascii="仿宋" w:hAnsi="仿宋" w:eastAsia="仿宋" w:cs="仿宋"/>
          <w:b/>
          <w:bCs/>
          <w:sz w:val="24"/>
          <w:szCs w:val="28"/>
          <w:highlight w:val="none"/>
        </w:rPr>
      </w:pPr>
      <w:r>
        <w:rPr>
          <w:rFonts w:hint="eastAsia" w:ascii="仿宋" w:hAnsi="仿宋" w:eastAsia="仿宋" w:cs="仿宋"/>
          <w:b/>
          <w:bCs/>
          <w:sz w:val="24"/>
          <w:szCs w:val="28"/>
          <w:highlight w:val="none"/>
        </w:rPr>
        <w:t>注：</w:t>
      </w:r>
      <w:r>
        <w:rPr>
          <w:rFonts w:hint="eastAsia" w:ascii="仿宋" w:hAnsi="仿宋" w:eastAsia="仿宋" w:cs="仿宋"/>
          <w:b/>
          <w:bCs/>
          <w:sz w:val="24"/>
          <w:szCs w:val="28"/>
          <w:highlight w:val="none"/>
          <w:lang w:val="en-US" w:eastAsia="zh-CN"/>
        </w:rPr>
        <w:t>1.</w:t>
      </w:r>
      <w:r>
        <w:rPr>
          <w:rFonts w:hint="eastAsia" w:ascii="仿宋" w:hAnsi="仿宋" w:eastAsia="仿宋" w:cs="仿宋"/>
          <w:b/>
          <w:bCs/>
          <w:sz w:val="24"/>
          <w:szCs w:val="28"/>
          <w:highlight w:val="none"/>
        </w:rPr>
        <w:t>招标文件</w:t>
      </w:r>
      <w:r>
        <w:rPr>
          <w:rFonts w:hint="eastAsia" w:ascii="仿宋" w:hAnsi="仿宋" w:eastAsia="仿宋" w:cs="仿宋"/>
          <w:b/>
          <w:bCs/>
          <w:color w:val="auto"/>
          <w:sz w:val="24"/>
          <w:szCs w:val="28"/>
          <w:highlight w:val="none"/>
        </w:rPr>
        <w:t>第四部分采购需求</w:t>
      </w:r>
      <w:r>
        <w:rPr>
          <w:rFonts w:hint="eastAsia" w:ascii="仿宋" w:hAnsi="仿宋" w:eastAsia="仿宋" w:cs="仿宋"/>
          <w:b/>
          <w:bCs/>
          <w:color w:val="auto"/>
          <w:sz w:val="24"/>
          <w:szCs w:val="28"/>
          <w:highlight w:val="none"/>
          <w:lang w:val="en-US" w:eastAsia="zh-CN"/>
        </w:rPr>
        <w:t>中（二）</w:t>
      </w:r>
      <w:r>
        <w:rPr>
          <w:rFonts w:hint="eastAsia" w:ascii="仿宋" w:hAnsi="仿宋" w:eastAsia="仿宋" w:cs="仿宋"/>
          <w:b/>
          <w:bCs/>
          <w:color w:val="auto"/>
          <w:sz w:val="24"/>
          <w:szCs w:val="28"/>
          <w:highlight w:val="none"/>
        </w:rPr>
        <w:t>商务要求</w:t>
      </w:r>
      <w:r>
        <w:rPr>
          <w:rFonts w:hint="eastAsia" w:ascii="仿宋" w:hAnsi="仿宋" w:eastAsia="仿宋" w:cs="仿宋"/>
          <w:b/>
          <w:bCs/>
          <w:color w:val="auto"/>
          <w:sz w:val="24"/>
          <w:szCs w:val="28"/>
          <w:highlight w:val="none"/>
          <w:lang w:val="en-US" w:eastAsia="zh-CN"/>
        </w:rPr>
        <w:t>的内容</w:t>
      </w:r>
      <w:r>
        <w:rPr>
          <w:rFonts w:hint="eastAsia" w:ascii="仿宋" w:hAnsi="仿宋" w:eastAsia="仿宋" w:cs="仿宋"/>
          <w:b/>
          <w:bCs/>
          <w:sz w:val="24"/>
          <w:szCs w:val="28"/>
          <w:highlight w:val="none"/>
        </w:rPr>
        <w:t>应当逐条在此表中列明并由</w:t>
      </w:r>
      <w:r>
        <w:rPr>
          <w:rFonts w:hint="eastAsia" w:ascii="仿宋" w:hAnsi="仿宋" w:eastAsia="仿宋" w:cs="仿宋"/>
          <w:b/>
          <w:bCs/>
          <w:sz w:val="24"/>
          <w:szCs w:val="28"/>
          <w:highlight w:val="none"/>
          <w:lang w:eastAsia="zh-CN"/>
        </w:rPr>
        <w:t>投标人</w:t>
      </w:r>
      <w:r>
        <w:rPr>
          <w:rFonts w:hint="eastAsia" w:ascii="仿宋" w:hAnsi="仿宋" w:eastAsia="仿宋" w:cs="仿宋"/>
          <w:b/>
          <w:bCs/>
          <w:sz w:val="24"/>
          <w:szCs w:val="28"/>
          <w:highlight w:val="none"/>
        </w:rPr>
        <w:t>逐条响应，与招标文件没有偏离的，应在此表偏离内容及说明中注明“无偏离”；凡投标文件中响应的</w:t>
      </w:r>
      <w:r>
        <w:rPr>
          <w:rFonts w:hint="eastAsia" w:ascii="仿宋" w:hAnsi="仿宋" w:eastAsia="仿宋" w:cs="仿宋"/>
          <w:b/>
          <w:bCs/>
          <w:sz w:val="24"/>
          <w:szCs w:val="28"/>
          <w:highlight w:val="none"/>
          <w:lang w:val="en-US" w:eastAsia="zh-CN"/>
        </w:rPr>
        <w:t>内容</w:t>
      </w:r>
      <w:r>
        <w:rPr>
          <w:rFonts w:hint="eastAsia" w:ascii="仿宋" w:hAnsi="仿宋" w:eastAsia="仿宋" w:cs="仿宋"/>
          <w:b/>
          <w:bCs/>
          <w:sz w:val="24"/>
          <w:szCs w:val="28"/>
          <w:highlight w:val="none"/>
        </w:rPr>
        <w:t>与招标文件有偏离的，均应在此表偏离内容及说明中注明“正偏离”或“负偏离”并详细列出偏离内容或说明理由。</w:t>
      </w:r>
    </w:p>
    <w:p w14:paraId="0F29A906">
      <w:pPr>
        <w:pStyle w:val="307"/>
        <w:rPr>
          <w:rFonts w:hint="default" w:ascii="仿宋" w:hAnsi="仿宋" w:eastAsia="仿宋" w:cs="仿宋"/>
          <w:b/>
          <w:bCs/>
          <w:sz w:val="24"/>
          <w:szCs w:val="28"/>
          <w:highlight w:val="none"/>
          <w:lang w:val="en-US" w:eastAsia="zh-CN"/>
        </w:rPr>
      </w:pPr>
      <w:r>
        <w:rPr>
          <w:rFonts w:hint="eastAsia" w:ascii="仿宋" w:hAnsi="仿宋" w:eastAsia="仿宋" w:cs="仿宋"/>
          <w:b/>
          <w:bCs/>
          <w:sz w:val="24"/>
          <w:szCs w:val="28"/>
          <w:highlight w:val="none"/>
          <w:lang w:val="en-US" w:eastAsia="zh-CN"/>
        </w:rPr>
        <w:t>2.</w:t>
      </w:r>
      <w:r>
        <w:rPr>
          <w:rFonts w:hint="eastAsia" w:ascii="仿宋" w:hAnsi="仿宋" w:eastAsia="仿宋" w:cs="仿宋"/>
          <w:b/>
          <w:bCs/>
          <w:color w:val="auto"/>
          <w:sz w:val="24"/>
          <w:szCs w:val="28"/>
          <w:highlight w:val="none"/>
        </w:rPr>
        <w:t>行数不够请自行添加</w:t>
      </w:r>
    </w:p>
    <w:p w14:paraId="1CFDEDC1">
      <w:pPr>
        <w:pStyle w:val="318"/>
        <w:jc w:val="center"/>
        <w:rPr>
          <w:rFonts w:ascii="仿宋" w:hAnsi="仿宋" w:eastAsia="仿宋" w:cs="仿宋"/>
          <w:sz w:val="24"/>
          <w:szCs w:val="21"/>
          <w:highlight w:val="none"/>
        </w:rPr>
      </w:pPr>
      <w:r>
        <w:rPr>
          <w:rFonts w:hint="eastAsia" w:ascii="仿宋" w:hAnsi="仿宋" w:eastAsia="仿宋" w:cs="仿宋"/>
          <w:highlight w:val="none"/>
        </w:rPr>
        <w:br w:type="page" w:clear="all"/>
      </w:r>
      <w:bookmarkEnd w:id="85"/>
    </w:p>
    <w:p w14:paraId="5053C142">
      <w:pPr>
        <w:pStyle w:val="321"/>
        <w:outlineLvl w:val="1"/>
        <w:rPr>
          <w:rFonts w:ascii="仿宋" w:hAnsi="仿宋" w:eastAsia="仿宋" w:cs="仿宋"/>
          <w:highlight w:val="none"/>
        </w:rPr>
      </w:pPr>
      <w:bookmarkStart w:id="88" w:name="_Toc27225"/>
      <w:r>
        <w:rPr>
          <w:rFonts w:hint="eastAsia" w:ascii="仿宋" w:hAnsi="仿宋" w:eastAsia="仿宋" w:cs="仿宋"/>
          <w:highlight w:val="none"/>
          <w:lang w:val="en-US" w:eastAsia="zh-CN"/>
        </w:rPr>
        <w:t>九</w:t>
      </w:r>
      <w:r>
        <w:rPr>
          <w:rFonts w:hint="eastAsia" w:ascii="仿宋" w:hAnsi="仿宋" w:eastAsia="仿宋" w:cs="仿宋"/>
          <w:highlight w:val="none"/>
        </w:rPr>
        <w:t>、</w:t>
      </w:r>
      <w:bookmarkEnd w:id="88"/>
      <w:r>
        <w:rPr>
          <w:rFonts w:hint="eastAsia" w:ascii="仿宋" w:hAnsi="仿宋" w:eastAsia="仿宋" w:cs="仿宋"/>
          <w:highlight w:val="none"/>
        </w:rPr>
        <w:t>服务方案等</w:t>
      </w:r>
    </w:p>
    <w:p w14:paraId="6C02B77F">
      <w:pPr>
        <w:pStyle w:val="322"/>
        <w:spacing w:line="560" w:lineRule="exact"/>
        <w:jc w:val="center"/>
        <w:rPr>
          <w:rFonts w:ascii="仿宋" w:hAnsi="仿宋" w:eastAsia="仿宋" w:cs="仿宋"/>
          <w:b/>
          <w:bCs/>
          <w:sz w:val="32"/>
          <w:szCs w:val="32"/>
          <w:highlight w:val="none"/>
        </w:rPr>
      </w:pPr>
    </w:p>
    <w:p w14:paraId="3403B113">
      <w:pPr>
        <w:pStyle w:val="322"/>
        <w:spacing w:line="56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（根据招标文件要求提供方案）格式自拟</w:t>
      </w:r>
    </w:p>
    <w:p w14:paraId="6DA6E659">
      <w:pPr>
        <w:pStyle w:val="299"/>
        <w:spacing w:line="700" w:lineRule="exact"/>
        <w:rPr>
          <w:rFonts w:ascii="仿宋" w:hAnsi="仿宋" w:eastAsia="仿宋" w:cs="仿宋"/>
          <w:b/>
          <w:sz w:val="24"/>
          <w:szCs w:val="20"/>
          <w:highlight w:val="none"/>
        </w:rPr>
      </w:pPr>
      <w:r>
        <w:rPr>
          <w:rFonts w:hint="eastAsia" w:ascii="仿宋" w:hAnsi="仿宋" w:eastAsia="仿宋" w:cs="仿宋"/>
          <w:b/>
          <w:sz w:val="24"/>
          <w:szCs w:val="20"/>
          <w:highlight w:val="none"/>
        </w:rPr>
        <w:t>单位名称：</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（盖章）</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7C8AB8AE">
      <w:pPr>
        <w:pStyle w:val="307"/>
        <w:rPr>
          <w:rFonts w:ascii="仿宋" w:hAnsi="仿宋" w:eastAsia="仿宋" w:cs="仿宋"/>
          <w:b/>
          <w:sz w:val="24"/>
          <w:szCs w:val="20"/>
          <w:highlight w:val="none"/>
        </w:rPr>
      </w:pPr>
      <w:r>
        <w:rPr>
          <w:rFonts w:hint="eastAsia" w:ascii="仿宋" w:hAnsi="仿宋" w:eastAsia="仿宋" w:cs="仿宋"/>
          <w:b/>
          <w:sz w:val="24"/>
          <w:szCs w:val="20"/>
          <w:highlight w:val="none"/>
        </w:rPr>
        <w:t>法定代表人（或授权代表）：</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（签字）</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4943F381">
      <w:pPr>
        <w:pStyle w:val="323"/>
        <w:numPr>
          <w:ilvl w:val="0"/>
          <w:numId w:val="0"/>
        </w:numPr>
        <w:outlineLvl w:val="1"/>
        <w:rPr>
          <w:rFonts w:ascii="仿宋" w:hAnsi="仿宋" w:eastAsia="仿宋" w:cs="仿宋"/>
          <w:highlight w:val="none"/>
        </w:rPr>
      </w:pPr>
      <w:r>
        <w:rPr>
          <w:rFonts w:hint="eastAsia" w:ascii="仿宋" w:hAnsi="仿宋" w:eastAsia="仿宋" w:cs="仿宋"/>
          <w:highlight w:val="none"/>
        </w:rPr>
        <w:br w:type="page" w:clear="all"/>
      </w:r>
      <w:r>
        <w:rPr>
          <w:rFonts w:hint="eastAsia" w:ascii="仿宋" w:hAnsi="仿宋" w:eastAsia="仿宋" w:cs="仿宋"/>
          <w:highlight w:val="none"/>
          <w:lang w:val="en-US" w:eastAsia="zh-CN"/>
        </w:rPr>
        <w:t>十、</w:t>
      </w:r>
      <w:r>
        <w:rPr>
          <w:rFonts w:hint="eastAsia" w:ascii="仿宋" w:hAnsi="仿宋" w:eastAsia="仿宋" w:cs="仿宋"/>
          <w:highlight w:val="none"/>
          <w:lang w:eastAsia="zh-CN"/>
        </w:rPr>
        <w:t>投标人</w:t>
      </w:r>
      <w:r>
        <w:rPr>
          <w:rFonts w:hint="eastAsia" w:ascii="仿宋" w:hAnsi="仿宋" w:eastAsia="仿宋" w:cs="仿宋"/>
          <w:highlight w:val="none"/>
        </w:rPr>
        <w:t>项目管理、技术及服务人员一览表</w:t>
      </w:r>
    </w:p>
    <w:p w14:paraId="091FB9D5">
      <w:pPr>
        <w:pStyle w:val="323"/>
        <w:jc w:val="center"/>
        <w:rPr>
          <w:rFonts w:ascii="仿宋" w:hAnsi="仿宋" w:eastAsia="仿宋" w:cs="仿宋"/>
          <w:highlight w:val="none"/>
        </w:rPr>
      </w:pPr>
      <w:r>
        <w:rPr>
          <w:rFonts w:hint="eastAsia" w:ascii="仿宋" w:hAnsi="仿宋" w:eastAsia="仿宋" w:cs="仿宋"/>
          <w:highlight w:val="none"/>
          <w:lang w:eastAsia="zh-CN"/>
        </w:rPr>
        <w:t>投标人</w:t>
      </w:r>
      <w:r>
        <w:rPr>
          <w:rFonts w:hint="eastAsia" w:ascii="仿宋" w:hAnsi="仿宋" w:eastAsia="仿宋" w:cs="仿宋"/>
          <w:highlight w:val="none"/>
        </w:rPr>
        <w:t>项目管理、技术及服务人员一览表</w:t>
      </w:r>
    </w:p>
    <w:tbl>
      <w:tblPr>
        <w:tblStyle w:val="35"/>
        <w:tblpPr w:leftFromText="180" w:rightFromText="180" w:vertAnchor="text" w:horzAnchor="margin" w:tblpXSpec="center" w:tblpY="7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88"/>
        <w:gridCol w:w="1800"/>
        <w:gridCol w:w="1080"/>
        <w:gridCol w:w="1920"/>
        <w:gridCol w:w="960"/>
        <w:gridCol w:w="1493"/>
      </w:tblGrid>
      <w:tr w14:paraId="09F0F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1188" w:type="dxa"/>
            <w:vAlign w:val="center"/>
          </w:tcPr>
          <w:p w14:paraId="55F64C31">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姓  名</w:t>
            </w:r>
          </w:p>
        </w:tc>
        <w:tc>
          <w:tcPr>
            <w:tcW w:w="1800" w:type="dxa"/>
            <w:vAlign w:val="center"/>
          </w:tcPr>
          <w:p w14:paraId="0EC454B4">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本项目</w:t>
            </w:r>
          </w:p>
          <w:p w14:paraId="2F429BA8">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拟任职务</w:t>
            </w:r>
          </w:p>
        </w:tc>
        <w:tc>
          <w:tcPr>
            <w:tcW w:w="1080" w:type="dxa"/>
            <w:vAlign w:val="center"/>
          </w:tcPr>
          <w:p w14:paraId="49BC2A46">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学 历</w:t>
            </w:r>
          </w:p>
        </w:tc>
        <w:tc>
          <w:tcPr>
            <w:tcW w:w="1920" w:type="dxa"/>
            <w:vAlign w:val="center"/>
          </w:tcPr>
          <w:p w14:paraId="5F713FEA">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身份证号</w:t>
            </w:r>
          </w:p>
        </w:tc>
        <w:tc>
          <w:tcPr>
            <w:tcW w:w="960" w:type="dxa"/>
            <w:vAlign w:val="center"/>
          </w:tcPr>
          <w:p w14:paraId="615A684D">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电话</w:t>
            </w:r>
          </w:p>
        </w:tc>
        <w:tc>
          <w:tcPr>
            <w:tcW w:w="1493" w:type="dxa"/>
            <w:vAlign w:val="center"/>
          </w:tcPr>
          <w:p w14:paraId="5ABFB6CC">
            <w:pPr>
              <w:pStyle w:val="327"/>
              <w:widowControl/>
              <w:spacing w:before="100" w:beforeAutospacing="1"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备注</w:t>
            </w:r>
          </w:p>
        </w:tc>
      </w:tr>
      <w:tr w14:paraId="2F54D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62F38389">
            <w:pPr>
              <w:pStyle w:val="327"/>
              <w:spacing w:line="560" w:lineRule="exact"/>
              <w:jc w:val="center"/>
              <w:rPr>
                <w:rFonts w:ascii="仿宋" w:hAnsi="仿宋" w:eastAsia="仿宋" w:cs="仿宋"/>
                <w:sz w:val="28"/>
                <w:szCs w:val="28"/>
                <w:highlight w:val="none"/>
              </w:rPr>
            </w:pPr>
          </w:p>
        </w:tc>
        <w:tc>
          <w:tcPr>
            <w:tcW w:w="1800" w:type="dxa"/>
            <w:vAlign w:val="center"/>
          </w:tcPr>
          <w:p w14:paraId="2A10CBDE">
            <w:pPr>
              <w:pStyle w:val="327"/>
              <w:spacing w:line="560" w:lineRule="exact"/>
              <w:jc w:val="center"/>
              <w:rPr>
                <w:rFonts w:ascii="仿宋" w:hAnsi="仿宋" w:eastAsia="仿宋" w:cs="仿宋"/>
                <w:sz w:val="28"/>
                <w:szCs w:val="28"/>
                <w:highlight w:val="none"/>
              </w:rPr>
            </w:pPr>
          </w:p>
        </w:tc>
        <w:tc>
          <w:tcPr>
            <w:tcW w:w="1080" w:type="dxa"/>
            <w:vAlign w:val="center"/>
          </w:tcPr>
          <w:p w14:paraId="1E8FA8F0">
            <w:pPr>
              <w:pStyle w:val="327"/>
              <w:spacing w:line="560" w:lineRule="exact"/>
              <w:jc w:val="center"/>
              <w:rPr>
                <w:rFonts w:ascii="仿宋" w:hAnsi="仿宋" w:eastAsia="仿宋" w:cs="仿宋"/>
                <w:sz w:val="28"/>
                <w:szCs w:val="28"/>
                <w:highlight w:val="none"/>
              </w:rPr>
            </w:pPr>
          </w:p>
        </w:tc>
        <w:tc>
          <w:tcPr>
            <w:tcW w:w="1920" w:type="dxa"/>
            <w:vAlign w:val="center"/>
          </w:tcPr>
          <w:p w14:paraId="054FDCEC">
            <w:pPr>
              <w:pStyle w:val="327"/>
              <w:spacing w:line="560" w:lineRule="exact"/>
              <w:jc w:val="center"/>
              <w:rPr>
                <w:rFonts w:ascii="仿宋" w:hAnsi="仿宋" w:eastAsia="仿宋" w:cs="仿宋"/>
                <w:sz w:val="28"/>
                <w:szCs w:val="28"/>
                <w:highlight w:val="none"/>
              </w:rPr>
            </w:pPr>
          </w:p>
        </w:tc>
        <w:tc>
          <w:tcPr>
            <w:tcW w:w="960" w:type="dxa"/>
            <w:vAlign w:val="center"/>
          </w:tcPr>
          <w:p w14:paraId="3DA752DD">
            <w:pPr>
              <w:pStyle w:val="327"/>
              <w:spacing w:line="560" w:lineRule="exact"/>
              <w:jc w:val="center"/>
              <w:rPr>
                <w:rFonts w:ascii="仿宋" w:hAnsi="仿宋" w:eastAsia="仿宋" w:cs="仿宋"/>
                <w:sz w:val="28"/>
                <w:szCs w:val="28"/>
                <w:highlight w:val="none"/>
              </w:rPr>
            </w:pPr>
          </w:p>
        </w:tc>
        <w:tc>
          <w:tcPr>
            <w:tcW w:w="1493" w:type="dxa"/>
            <w:vAlign w:val="center"/>
          </w:tcPr>
          <w:p w14:paraId="4EE7D1A4">
            <w:pPr>
              <w:pStyle w:val="327"/>
              <w:spacing w:line="560" w:lineRule="exact"/>
              <w:jc w:val="center"/>
              <w:rPr>
                <w:rFonts w:ascii="仿宋" w:hAnsi="仿宋" w:eastAsia="仿宋" w:cs="仿宋"/>
                <w:sz w:val="28"/>
                <w:szCs w:val="28"/>
                <w:highlight w:val="none"/>
              </w:rPr>
            </w:pPr>
          </w:p>
        </w:tc>
      </w:tr>
      <w:tr w14:paraId="30B5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504879EB">
            <w:pPr>
              <w:pStyle w:val="327"/>
              <w:spacing w:line="560" w:lineRule="exact"/>
              <w:jc w:val="center"/>
              <w:rPr>
                <w:rFonts w:ascii="仿宋" w:hAnsi="仿宋" w:eastAsia="仿宋" w:cs="仿宋"/>
                <w:sz w:val="28"/>
                <w:szCs w:val="28"/>
                <w:highlight w:val="none"/>
              </w:rPr>
            </w:pPr>
          </w:p>
        </w:tc>
        <w:tc>
          <w:tcPr>
            <w:tcW w:w="1800" w:type="dxa"/>
            <w:vAlign w:val="center"/>
          </w:tcPr>
          <w:p w14:paraId="60EAC187">
            <w:pPr>
              <w:pStyle w:val="327"/>
              <w:spacing w:line="560" w:lineRule="exact"/>
              <w:jc w:val="center"/>
              <w:rPr>
                <w:rFonts w:ascii="仿宋" w:hAnsi="仿宋" w:eastAsia="仿宋" w:cs="仿宋"/>
                <w:sz w:val="28"/>
                <w:szCs w:val="28"/>
                <w:highlight w:val="none"/>
              </w:rPr>
            </w:pPr>
          </w:p>
        </w:tc>
        <w:tc>
          <w:tcPr>
            <w:tcW w:w="1080" w:type="dxa"/>
            <w:vAlign w:val="center"/>
          </w:tcPr>
          <w:p w14:paraId="3F653409">
            <w:pPr>
              <w:pStyle w:val="327"/>
              <w:spacing w:line="560" w:lineRule="exact"/>
              <w:jc w:val="center"/>
              <w:rPr>
                <w:rFonts w:ascii="仿宋" w:hAnsi="仿宋" w:eastAsia="仿宋" w:cs="仿宋"/>
                <w:sz w:val="28"/>
                <w:szCs w:val="28"/>
                <w:highlight w:val="none"/>
              </w:rPr>
            </w:pPr>
          </w:p>
        </w:tc>
        <w:tc>
          <w:tcPr>
            <w:tcW w:w="1920" w:type="dxa"/>
            <w:vAlign w:val="center"/>
          </w:tcPr>
          <w:p w14:paraId="314EA8A4">
            <w:pPr>
              <w:pStyle w:val="327"/>
              <w:spacing w:line="560" w:lineRule="exact"/>
              <w:jc w:val="center"/>
              <w:rPr>
                <w:rFonts w:ascii="仿宋" w:hAnsi="仿宋" w:eastAsia="仿宋" w:cs="仿宋"/>
                <w:sz w:val="28"/>
                <w:szCs w:val="28"/>
                <w:highlight w:val="none"/>
              </w:rPr>
            </w:pPr>
          </w:p>
        </w:tc>
        <w:tc>
          <w:tcPr>
            <w:tcW w:w="960" w:type="dxa"/>
            <w:vAlign w:val="center"/>
          </w:tcPr>
          <w:p w14:paraId="63B6E119">
            <w:pPr>
              <w:pStyle w:val="327"/>
              <w:spacing w:line="560" w:lineRule="exact"/>
              <w:jc w:val="center"/>
              <w:rPr>
                <w:rFonts w:ascii="仿宋" w:hAnsi="仿宋" w:eastAsia="仿宋" w:cs="仿宋"/>
                <w:sz w:val="28"/>
                <w:szCs w:val="28"/>
                <w:highlight w:val="none"/>
              </w:rPr>
            </w:pPr>
          </w:p>
        </w:tc>
        <w:tc>
          <w:tcPr>
            <w:tcW w:w="1493" w:type="dxa"/>
            <w:vAlign w:val="center"/>
          </w:tcPr>
          <w:p w14:paraId="68E5D631">
            <w:pPr>
              <w:pStyle w:val="327"/>
              <w:spacing w:line="560" w:lineRule="exact"/>
              <w:jc w:val="center"/>
              <w:rPr>
                <w:rFonts w:ascii="仿宋" w:hAnsi="仿宋" w:eastAsia="仿宋" w:cs="仿宋"/>
                <w:sz w:val="28"/>
                <w:szCs w:val="28"/>
                <w:highlight w:val="none"/>
              </w:rPr>
            </w:pPr>
          </w:p>
        </w:tc>
      </w:tr>
      <w:tr w14:paraId="2C50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5C146C48">
            <w:pPr>
              <w:pStyle w:val="327"/>
              <w:spacing w:line="560" w:lineRule="exact"/>
              <w:jc w:val="center"/>
              <w:rPr>
                <w:rFonts w:ascii="仿宋" w:hAnsi="仿宋" w:eastAsia="仿宋" w:cs="仿宋"/>
                <w:sz w:val="28"/>
                <w:szCs w:val="28"/>
                <w:highlight w:val="none"/>
              </w:rPr>
            </w:pPr>
          </w:p>
        </w:tc>
        <w:tc>
          <w:tcPr>
            <w:tcW w:w="1800" w:type="dxa"/>
            <w:vAlign w:val="center"/>
          </w:tcPr>
          <w:p w14:paraId="49686FFB">
            <w:pPr>
              <w:pStyle w:val="327"/>
              <w:spacing w:line="560" w:lineRule="exact"/>
              <w:jc w:val="center"/>
              <w:rPr>
                <w:rFonts w:ascii="仿宋" w:hAnsi="仿宋" w:eastAsia="仿宋" w:cs="仿宋"/>
                <w:sz w:val="28"/>
                <w:szCs w:val="28"/>
                <w:highlight w:val="none"/>
              </w:rPr>
            </w:pPr>
          </w:p>
        </w:tc>
        <w:tc>
          <w:tcPr>
            <w:tcW w:w="1080" w:type="dxa"/>
            <w:vAlign w:val="center"/>
          </w:tcPr>
          <w:p w14:paraId="0529C50B">
            <w:pPr>
              <w:pStyle w:val="327"/>
              <w:spacing w:line="560" w:lineRule="exact"/>
              <w:jc w:val="center"/>
              <w:rPr>
                <w:rFonts w:ascii="仿宋" w:hAnsi="仿宋" w:eastAsia="仿宋" w:cs="仿宋"/>
                <w:sz w:val="28"/>
                <w:szCs w:val="28"/>
                <w:highlight w:val="none"/>
              </w:rPr>
            </w:pPr>
          </w:p>
        </w:tc>
        <w:tc>
          <w:tcPr>
            <w:tcW w:w="1920" w:type="dxa"/>
            <w:vAlign w:val="center"/>
          </w:tcPr>
          <w:p w14:paraId="4CFF0F07">
            <w:pPr>
              <w:pStyle w:val="327"/>
              <w:spacing w:line="560" w:lineRule="exact"/>
              <w:jc w:val="center"/>
              <w:rPr>
                <w:rFonts w:ascii="仿宋" w:hAnsi="仿宋" w:eastAsia="仿宋" w:cs="仿宋"/>
                <w:sz w:val="28"/>
                <w:szCs w:val="28"/>
                <w:highlight w:val="none"/>
              </w:rPr>
            </w:pPr>
          </w:p>
        </w:tc>
        <w:tc>
          <w:tcPr>
            <w:tcW w:w="960" w:type="dxa"/>
            <w:vAlign w:val="center"/>
          </w:tcPr>
          <w:p w14:paraId="56C1FED7">
            <w:pPr>
              <w:pStyle w:val="327"/>
              <w:spacing w:line="560" w:lineRule="exact"/>
              <w:jc w:val="center"/>
              <w:rPr>
                <w:rFonts w:ascii="仿宋" w:hAnsi="仿宋" w:eastAsia="仿宋" w:cs="仿宋"/>
                <w:sz w:val="28"/>
                <w:szCs w:val="28"/>
                <w:highlight w:val="none"/>
              </w:rPr>
            </w:pPr>
          </w:p>
        </w:tc>
        <w:tc>
          <w:tcPr>
            <w:tcW w:w="1493" w:type="dxa"/>
            <w:vAlign w:val="center"/>
          </w:tcPr>
          <w:p w14:paraId="7798101F">
            <w:pPr>
              <w:pStyle w:val="327"/>
              <w:spacing w:line="560" w:lineRule="exact"/>
              <w:jc w:val="center"/>
              <w:rPr>
                <w:rFonts w:ascii="仿宋" w:hAnsi="仿宋" w:eastAsia="仿宋" w:cs="仿宋"/>
                <w:sz w:val="28"/>
                <w:szCs w:val="28"/>
                <w:highlight w:val="none"/>
              </w:rPr>
            </w:pPr>
          </w:p>
        </w:tc>
      </w:tr>
      <w:tr w14:paraId="50706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5EE7FA4F">
            <w:pPr>
              <w:pStyle w:val="327"/>
              <w:spacing w:line="560" w:lineRule="exact"/>
              <w:jc w:val="center"/>
              <w:rPr>
                <w:rFonts w:ascii="仿宋" w:hAnsi="仿宋" w:eastAsia="仿宋" w:cs="仿宋"/>
                <w:sz w:val="28"/>
                <w:szCs w:val="28"/>
                <w:highlight w:val="none"/>
              </w:rPr>
            </w:pPr>
          </w:p>
        </w:tc>
        <w:tc>
          <w:tcPr>
            <w:tcW w:w="1800" w:type="dxa"/>
            <w:vAlign w:val="center"/>
          </w:tcPr>
          <w:p w14:paraId="10E6A02E">
            <w:pPr>
              <w:pStyle w:val="327"/>
              <w:spacing w:line="560" w:lineRule="exact"/>
              <w:jc w:val="center"/>
              <w:rPr>
                <w:rFonts w:ascii="仿宋" w:hAnsi="仿宋" w:eastAsia="仿宋" w:cs="仿宋"/>
                <w:sz w:val="28"/>
                <w:szCs w:val="28"/>
                <w:highlight w:val="none"/>
              </w:rPr>
            </w:pPr>
          </w:p>
        </w:tc>
        <w:tc>
          <w:tcPr>
            <w:tcW w:w="1080" w:type="dxa"/>
            <w:vAlign w:val="center"/>
          </w:tcPr>
          <w:p w14:paraId="47DBFEBE">
            <w:pPr>
              <w:pStyle w:val="327"/>
              <w:spacing w:line="560" w:lineRule="exact"/>
              <w:jc w:val="center"/>
              <w:rPr>
                <w:rFonts w:ascii="仿宋" w:hAnsi="仿宋" w:eastAsia="仿宋" w:cs="仿宋"/>
                <w:sz w:val="28"/>
                <w:szCs w:val="28"/>
                <w:highlight w:val="none"/>
              </w:rPr>
            </w:pPr>
          </w:p>
        </w:tc>
        <w:tc>
          <w:tcPr>
            <w:tcW w:w="1920" w:type="dxa"/>
            <w:vAlign w:val="center"/>
          </w:tcPr>
          <w:p w14:paraId="47599A66">
            <w:pPr>
              <w:pStyle w:val="327"/>
              <w:spacing w:line="560" w:lineRule="exact"/>
              <w:jc w:val="center"/>
              <w:rPr>
                <w:rFonts w:ascii="仿宋" w:hAnsi="仿宋" w:eastAsia="仿宋" w:cs="仿宋"/>
                <w:sz w:val="28"/>
                <w:szCs w:val="28"/>
                <w:highlight w:val="none"/>
              </w:rPr>
            </w:pPr>
          </w:p>
        </w:tc>
        <w:tc>
          <w:tcPr>
            <w:tcW w:w="960" w:type="dxa"/>
            <w:vAlign w:val="center"/>
          </w:tcPr>
          <w:p w14:paraId="36A236DE">
            <w:pPr>
              <w:pStyle w:val="327"/>
              <w:spacing w:line="560" w:lineRule="exact"/>
              <w:jc w:val="center"/>
              <w:rPr>
                <w:rFonts w:ascii="仿宋" w:hAnsi="仿宋" w:eastAsia="仿宋" w:cs="仿宋"/>
                <w:sz w:val="28"/>
                <w:szCs w:val="28"/>
                <w:highlight w:val="none"/>
              </w:rPr>
            </w:pPr>
          </w:p>
        </w:tc>
        <w:tc>
          <w:tcPr>
            <w:tcW w:w="1493" w:type="dxa"/>
            <w:vAlign w:val="center"/>
          </w:tcPr>
          <w:p w14:paraId="3D3227EA">
            <w:pPr>
              <w:pStyle w:val="327"/>
              <w:spacing w:line="560" w:lineRule="exact"/>
              <w:jc w:val="center"/>
              <w:rPr>
                <w:rFonts w:ascii="仿宋" w:hAnsi="仿宋" w:eastAsia="仿宋" w:cs="仿宋"/>
                <w:sz w:val="28"/>
                <w:szCs w:val="28"/>
                <w:highlight w:val="none"/>
              </w:rPr>
            </w:pPr>
          </w:p>
        </w:tc>
      </w:tr>
      <w:tr w14:paraId="29442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6092F668">
            <w:pPr>
              <w:pStyle w:val="327"/>
              <w:spacing w:line="560" w:lineRule="exact"/>
              <w:jc w:val="center"/>
              <w:rPr>
                <w:rFonts w:ascii="仿宋" w:hAnsi="仿宋" w:eastAsia="仿宋" w:cs="仿宋"/>
                <w:sz w:val="28"/>
                <w:szCs w:val="28"/>
                <w:highlight w:val="none"/>
              </w:rPr>
            </w:pPr>
          </w:p>
        </w:tc>
        <w:tc>
          <w:tcPr>
            <w:tcW w:w="1800" w:type="dxa"/>
            <w:vAlign w:val="center"/>
          </w:tcPr>
          <w:p w14:paraId="0FB87E05">
            <w:pPr>
              <w:pStyle w:val="327"/>
              <w:spacing w:line="560" w:lineRule="exact"/>
              <w:jc w:val="center"/>
              <w:rPr>
                <w:rFonts w:ascii="仿宋" w:hAnsi="仿宋" w:eastAsia="仿宋" w:cs="仿宋"/>
                <w:sz w:val="28"/>
                <w:szCs w:val="28"/>
                <w:highlight w:val="none"/>
              </w:rPr>
            </w:pPr>
          </w:p>
        </w:tc>
        <w:tc>
          <w:tcPr>
            <w:tcW w:w="1080" w:type="dxa"/>
            <w:vAlign w:val="center"/>
          </w:tcPr>
          <w:p w14:paraId="37740273">
            <w:pPr>
              <w:pStyle w:val="327"/>
              <w:spacing w:line="560" w:lineRule="exact"/>
              <w:jc w:val="center"/>
              <w:rPr>
                <w:rFonts w:ascii="仿宋" w:hAnsi="仿宋" w:eastAsia="仿宋" w:cs="仿宋"/>
                <w:sz w:val="28"/>
                <w:szCs w:val="28"/>
                <w:highlight w:val="none"/>
              </w:rPr>
            </w:pPr>
          </w:p>
        </w:tc>
        <w:tc>
          <w:tcPr>
            <w:tcW w:w="1920" w:type="dxa"/>
            <w:vAlign w:val="center"/>
          </w:tcPr>
          <w:p w14:paraId="0C1C9626">
            <w:pPr>
              <w:pStyle w:val="327"/>
              <w:spacing w:line="560" w:lineRule="exact"/>
              <w:jc w:val="center"/>
              <w:rPr>
                <w:rFonts w:ascii="仿宋" w:hAnsi="仿宋" w:eastAsia="仿宋" w:cs="仿宋"/>
                <w:sz w:val="28"/>
                <w:szCs w:val="28"/>
                <w:highlight w:val="none"/>
              </w:rPr>
            </w:pPr>
          </w:p>
        </w:tc>
        <w:tc>
          <w:tcPr>
            <w:tcW w:w="960" w:type="dxa"/>
            <w:vAlign w:val="center"/>
          </w:tcPr>
          <w:p w14:paraId="051BD829">
            <w:pPr>
              <w:pStyle w:val="327"/>
              <w:spacing w:line="560" w:lineRule="exact"/>
              <w:jc w:val="center"/>
              <w:rPr>
                <w:rFonts w:ascii="仿宋" w:hAnsi="仿宋" w:eastAsia="仿宋" w:cs="仿宋"/>
                <w:sz w:val="28"/>
                <w:szCs w:val="28"/>
                <w:highlight w:val="none"/>
              </w:rPr>
            </w:pPr>
          </w:p>
        </w:tc>
        <w:tc>
          <w:tcPr>
            <w:tcW w:w="1493" w:type="dxa"/>
            <w:vAlign w:val="center"/>
          </w:tcPr>
          <w:p w14:paraId="5A009C61">
            <w:pPr>
              <w:pStyle w:val="327"/>
              <w:spacing w:line="560" w:lineRule="exact"/>
              <w:jc w:val="center"/>
              <w:rPr>
                <w:rFonts w:ascii="仿宋" w:hAnsi="仿宋" w:eastAsia="仿宋" w:cs="仿宋"/>
                <w:sz w:val="28"/>
                <w:szCs w:val="28"/>
                <w:highlight w:val="none"/>
              </w:rPr>
            </w:pPr>
          </w:p>
        </w:tc>
      </w:tr>
      <w:tr w14:paraId="039A8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5212A7AB">
            <w:pPr>
              <w:pStyle w:val="327"/>
              <w:spacing w:line="560" w:lineRule="exact"/>
              <w:jc w:val="center"/>
              <w:rPr>
                <w:rFonts w:ascii="仿宋" w:hAnsi="仿宋" w:eastAsia="仿宋" w:cs="仿宋"/>
                <w:sz w:val="28"/>
                <w:szCs w:val="28"/>
                <w:highlight w:val="none"/>
              </w:rPr>
            </w:pPr>
          </w:p>
        </w:tc>
        <w:tc>
          <w:tcPr>
            <w:tcW w:w="1800" w:type="dxa"/>
            <w:vAlign w:val="center"/>
          </w:tcPr>
          <w:p w14:paraId="6650CDD5">
            <w:pPr>
              <w:pStyle w:val="327"/>
              <w:spacing w:line="560" w:lineRule="exact"/>
              <w:jc w:val="center"/>
              <w:rPr>
                <w:rFonts w:ascii="仿宋" w:hAnsi="仿宋" w:eastAsia="仿宋" w:cs="仿宋"/>
                <w:sz w:val="28"/>
                <w:szCs w:val="28"/>
                <w:highlight w:val="none"/>
              </w:rPr>
            </w:pPr>
          </w:p>
        </w:tc>
        <w:tc>
          <w:tcPr>
            <w:tcW w:w="1080" w:type="dxa"/>
            <w:vAlign w:val="center"/>
          </w:tcPr>
          <w:p w14:paraId="01D43B8A">
            <w:pPr>
              <w:pStyle w:val="327"/>
              <w:spacing w:line="560" w:lineRule="exact"/>
              <w:jc w:val="center"/>
              <w:rPr>
                <w:rFonts w:ascii="仿宋" w:hAnsi="仿宋" w:eastAsia="仿宋" w:cs="仿宋"/>
                <w:sz w:val="28"/>
                <w:szCs w:val="28"/>
                <w:highlight w:val="none"/>
              </w:rPr>
            </w:pPr>
          </w:p>
        </w:tc>
        <w:tc>
          <w:tcPr>
            <w:tcW w:w="1920" w:type="dxa"/>
            <w:vAlign w:val="center"/>
          </w:tcPr>
          <w:p w14:paraId="3E7E3B8D">
            <w:pPr>
              <w:pStyle w:val="327"/>
              <w:spacing w:line="560" w:lineRule="exact"/>
              <w:jc w:val="center"/>
              <w:rPr>
                <w:rFonts w:ascii="仿宋" w:hAnsi="仿宋" w:eastAsia="仿宋" w:cs="仿宋"/>
                <w:sz w:val="28"/>
                <w:szCs w:val="28"/>
                <w:highlight w:val="none"/>
              </w:rPr>
            </w:pPr>
          </w:p>
        </w:tc>
        <w:tc>
          <w:tcPr>
            <w:tcW w:w="960" w:type="dxa"/>
            <w:vAlign w:val="center"/>
          </w:tcPr>
          <w:p w14:paraId="575B4346">
            <w:pPr>
              <w:pStyle w:val="327"/>
              <w:spacing w:line="560" w:lineRule="exact"/>
              <w:jc w:val="center"/>
              <w:rPr>
                <w:rFonts w:ascii="仿宋" w:hAnsi="仿宋" w:eastAsia="仿宋" w:cs="仿宋"/>
                <w:sz w:val="28"/>
                <w:szCs w:val="28"/>
                <w:highlight w:val="none"/>
              </w:rPr>
            </w:pPr>
          </w:p>
        </w:tc>
        <w:tc>
          <w:tcPr>
            <w:tcW w:w="1493" w:type="dxa"/>
            <w:vAlign w:val="center"/>
          </w:tcPr>
          <w:p w14:paraId="050BDEF4">
            <w:pPr>
              <w:pStyle w:val="327"/>
              <w:spacing w:line="560" w:lineRule="exact"/>
              <w:jc w:val="center"/>
              <w:rPr>
                <w:rFonts w:ascii="仿宋" w:hAnsi="仿宋" w:eastAsia="仿宋" w:cs="仿宋"/>
                <w:sz w:val="28"/>
                <w:szCs w:val="28"/>
                <w:highlight w:val="none"/>
              </w:rPr>
            </w:pPr>
          </w:p>
        </w:tc>
      </w:tr>
      <w:tr w14:paraId="7378E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166F1DE6">
            <w:pPr>
              <w:pStyle w:val="327"/>
              <w:spacing w:line="560" w:lineRule="exact"/>
              <w:jc w:val="center"/>
              <w:rPr>
                <w:rFonts w:ascii="仿宋" w:hAnsi="仿宋" w:eastAsia="仿宋" w:cs="仿宋"/>
                <w:sz w:val="28"/>
                <w:szCs w:val="28"/>
                <w:highlight w:val="none"/>
              </w:rPr>
            </w:pPr>
          </w:p>
        </w:tc>
        <w:tc>
          <w:tcPr>
            <w:tcW w:w="1800" w:type="dxa"/>
            <w:vAlign w:val="center"/>
          </w:tcPr>
          <w:p w14:paraId="75C6E589">
            <w:pPr>
              <w:pStyle w:val="327"/>
              <w:spacing w:line="560" w:lineRule="exact"/>
              <w:jc w:val="center"/>
              <w:rPr>
                <w:rFonts w:ascii="仿宋" w:hAnsi="仿宋" w:eastAsia="仿宋" w:cs="仿宋"/>
                <w:sz w:val="28"/>
                <w:szCs w:val="28"/>
                <w:highlight w:val="none"/>
              </w:rPr>
            </w:pPr>
          </w:p>
        </w:tc>
        <w:tc>
          <w:tcPr>
            <w:tcW w:w="1080" w:type="dxa"/>
            <w:vAlign w:val="center"/>
          </w:tcPr>
          <w:p w14:paraId="29358CF8">
            <w:pPr>
              <w:pStyle w:val="327"/>
              <w:spacing w:line="560" w:lineRule="exact"/>
              <w:jc w:val="center"/>
              <w:rPr>
                <w:rFonts w:ascii="仿宋" w:hAnsi="仿宋" w:eastAsia="仿宋" w:cs="仿宋"/>
                <w:sz w:val="28"/>
                <w:szCs w:val="28"/>
                <w:highlight w:val="none"/>
              </w:rPr>
            </w:pPr>
          </w:p>
        </w:tc>
        <w:tc>
          <w:tcPr>
            <w:tcW w:w="1920" w:type="dxa"/>
            <w:vAlign w:val="center"/>
          </w:tcPr>
          <w:p w14:paraId="7DA5517D">
            <w:pPr>
              <w:pStyle w:val="327"/>
              <w:spacing w:line="560" w:lineRule="exact"/>
              <w:jc w:val="center"/>
              <w:rPr>
                <w:rFonts w:ascii="仿宋" w:hAnsi="仿宋" w:eastAsia="仿宋" w:cs="仿宋"/>
                <w:sz w:val="28"/>
                <w:szCs w:val="28"/>
                <w:highlight w:val="none"/>
              </w:rPr>
            </w:pPr>
          </w:p>
        </w:tc>
        <w:tc>
          <w:tcPr>
            <w:tcW w:w="960" w:type="dxa"/>
            <w:vAlign w:val="center"/>
          </w:tcPr>
          <w:p w14:paraId="0EB113C5">
            <w:pPr>
              <w:pStyle w:val="327"/>
              <w:spacing w:line="560" w:lineRule="exact"/>
              <w:jc w:val="center"/>
              <w:rPr>
                <w:rFonts w:ascii="仿宋" w:hAnsi="仿宋" w:eastAsia="仿宋" w:cs="仿宋"/>
                <w:sz w:val="28"/>
                <w:szCs w:val="28"/>
                <w:highlight w:val="none"/>
              </w:rPr>
            </w:pPr>
          </w:p>
        </w:tc>
        <w:tc>
          <w:tcPr>
            <w:tcW w:w="1493" w:type="dxa"/>
            <w:vAlign w:val="center"/>
          </w:tcPr>
          <w:p w14:paraId="47748FDB">
            <w:pPr>
              <w:pStyle w:val="327"/>
              <w:spacing w:line="560" w:lineRule="exact"/>
              <w:jc w:val="center"/>
              <w:rPr>
                <w:rFonts w:ascii="仿宋" w:hAnsi="仿宋" w:eastAsia="仿宋" w:cs="仿宋"/>
                <w:sz w:val="28"/>
                <w:szCs w:val="28"/>
                <w:highlight w:val="none"/>
              </w:rPr>
            </w:pPr>
          </w:p>
        </w:tc>
      </w:tr>
      <w:tr w14:paraId="0490D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73F60A24">
            <w:pPr>
              <w:pStyle w:val="327"/>
              <w:spacing w:line="560" w:lineRule="exact"/>
              <w:jc w:val="center"/>
              <w:rPr>
                <w:rFonts w:ascii="仿宋" w:hAnsi="仿宋" w:eastAsia="仿宋" w:cs="仿宋"/>
                <w:sz w:val="28"/>
                <w:szCs w:val="28"/>
                <w:highlight w:val="none"/>
              </w:rPr>
            </w:pPr>
          </w:p>
        </w:tc>
        <w:tc>
          <w:tcPr>
            <w:tcW w:w="1800" w:type="dxa"/>
            <w:vAlign w:val="center"/>
          </w:tcPr>
          <w:p w14:paraId="30F4A0D8">
            <w:pPr>
              <w:pStyle w:val="327"/>
              <w:spacing w:line="560" w:lineRule="exact"/>
              <w:jc w:val="center"/>
              <w:rPr>
                <w:rFonts w:ascii="仿宋" w:hAnsi="仿宋" w:eastAsia="仿宋" w:cs="仿宋"/>
                <w:sz w:val="28"/>
                <w:szCs w:val="28"/>
                <w:highlight w:val="none"/>
              </w:rPr>
            </w:pPr>
          </w:p>
        </w:tc>
        <w:tc>
          <w:tcPr>
            <w:tcW w:w="1080" w:type="dxa"/>
            <w:vAlign w:val="center"/>
          </w:tcPr>
          <w:p w14:paraId="4AAA8270">
            <w:pPr>
              <w:pStyle w:val="327"/>
              <w:spacing w:line="560" w:lineRule="exact"/>
              <w:jc w:val="center"/>
              <w:rPr>
                <w:rFonts w:ascii="仿宋" w:hAnsi="仿宋" w:eastAsia="仿宋" w:cs="仿宋"/>
                <w:sz w:val="28"/>
                <w:szCs w:val="28"/>
                <w:highlight w:val="none"/>
              </w:rPr>
            </w:pPr>
          </w:p>
        </w:tc>
        <w:tc>
          <w:tcPr>
            <w:tcW w:w="1920" w:type="dxa"/>
            <w:vAlign w:val="center"/>
          </w:tcPr>
          <w:p w14:paraId="3F3F1CF4">
            <w:pPr>
              <w:pStyle w:val="327"/>
              <w:spacing w:line="560" w:lineRule="exact"/>
              <w:jc w:val="center"/>
              <w:rPr>
                <w:rFonts w:ascii="仿宋" w:hAnsi="仿宋" w:eastAsia="仿宋" w:cs="仿宋"/>
                <w:sz w:val="28"/>
                <w:szCs w:val="28"/>
                <w:highlight w:val="none"/>
              </w:rPr>
            </w:pPr>
          </w:p>
        </w:tc>
        <w:tc>
          <w:tcPr>
            <w:tcW w:w="960" w:type="dxa"/>
            <w:vAlign w:val="center"/>
          </w:tcPr>
          <w:p w14:paraId="6E20333A">
            <w:pPr>
              <w:pStyle w:val="327"/>
              <w:spacing w:line="560" w:lineRule="exact"/>
              <w:jc w:val="center"/>
              <w:rPr>
                <w:rFonts w:ascii="仿宋" w:hAnsi="仿宋" w:eastAsia="仿宋" w:cs="仿宋"/>
                <w:sz w:val="28"/>
                <w:szCs w:val="28"/>
                <w:highlight w:val="none"/>
              </w:rPr>
            </w:pPr>
          </w:p>
        </w:tc>
        <w:tc>
          <w:tcPr>
            <w:tcW w:w="1493" w:type="dxa"/>
            <w:vAlign w:val="center"/>
          </w:tcPr>
          <w:p w14:paraId="622D4960">
            <w:pPr>
              <w:pStyle w:val="327"/>
              <w:spacing w:line="560" w:lineRule="exact"/>
              <w:jc w:val="center"/>
              <w:rPr>
                <w:rFonts w:ascii="仿宋" w:hAnsi="仿宋" w:eastAsia="仿宋" w:cs="仿宋"/>
                <w:sz w:val="28"/>
                <w:szCs w:val="28"/>
                <w:highlight w:val="none"/>
              </w:rPr>
            </w:pPr>
          </w:p>
        </w:tc>
      </w:tr>
      <w:tr w14:paraId="0F4C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00A8B1BD">
            <w:pPr>
              <w:pStyle w:val="327"/>
              <w:spacing w:line="560" w:lineRule="exact"/>
              <w:jc w:val="center"/>
              <w:rPr>
                <w:rFonts w:ascii="仿宋" w:hAnsi="仿宋" w:eastAsia="仿宋" w:cs="仿宋"/>
                <w:sz w:val="28"/>
                <w:szCs w:val="28"/>
                <w:highlight w:val="none"/>
              </w:rPr>
            </w:pPr>
          </w:p>
        </w:tc>
        <w:tc>
          <w:tcPr>
            <w:tcW w:w="1800" w:type="dxa"/>
            <w:vAlign w:val="center"/>
          </w:tcPr>
          <w:p w14:paraId="3A9C6E69">
            <w:pPr>
              <w:pStyle w:val="327"/>
              <w:spacing w:line="560" w:lineRule="exact"/>
              <w:jc w:val="center"/>
              <w:rPr>
                <w:rFonts w:ascii="仿宋" w:hAnsi="仿宋" w:eastAsia="仿宋" w:cs="仿宋"/>
                <w:sz w:val="28"/>
                <w:szCs w:val="28"/>
                <w:highlight w:val="none"/>
              </w:rPr>
            </w:pPr>
          </w:p>
        </w:tc>
        <w:tc>
          <w:tcPr>
            <w:tcW w:w="1080" w:type="dxa"/>
            <w:vAlign w:val="center"/>
          </w:tcPr>
          <w:p w14:paraId="1211B638">
            <w:pPr>
              <w:pStyle w:val="327"/>
              <w:spacing w:line="560" w:lineRule="exact"/>
              <w:jc w:val="center"/>
              <w:rPr>
                <w:rFonts w:ascii="仿宋" w:hAnsi="仿宋" w:eastAsia="仿宋" w:cs="仿宋"/>
                <w:sz w:val="28"/>
                <w:szCs w:val="28"/>
                <w:highlight w:val="none"/>
              </w:rPr>
            </w:pPr>
          </w:p>
        </w:tc>
        <w:tc>
          <w:tcPr>
            <w:tcW w:w="1920" w:type="dxa"/>
            <w:vAlign w:val="center"/>
          </w:tcPr>
          <w:p w14:paraId="64C846A7">
            <w:pPr>
              <w:pStyle w:val="327"/>
              <w:spacing w:line="560" w:lineRule="exact"/>
              <w:jc w:val="center"/>
              <w:rPr>
                <w:rFonts w:ascii="仿宋" w:hAnsi="仿宋" w:eastAsia="仿宋" w:cs="仿宋"/>
                <w:sz w:val="28"/>
                <w:szCs w:val="28"/>
                <w:highlight w:val="none"/>
              </w:rPr>
            </w:pPr>
          </w:p>
        </w:tc>
        <w:tc>
          <w:tcPr>
            <w:tcW w:w="960" w:type="dxa"/>
            <w:vAlign w:val="center"/>
          </w:tcPr>
          <w:p w14:paraId="33A8FA88">
            <w:pPr>
              <w:pStyle w:val="327"/>
              <w:spacing w:line="560" w:lineRule="exact"/>
              <w:jc w:val="center"/>
              <w:rPr>
                <w:rFonts w:ascii="仿宋" w:hAnsi="仿宋" w:eastAsia="仿宋" w:cs="仿宋"/>
                <w:sz w:val="28"/>
                <w:szCs w:val="28"/>
                <w:highlight w:val="none"/>
              </w:rPr>
            </w:pPr>
          </w:p>
        </w:tc>
        <w:tc>
          <w:tcPr>
            <w:tcW w:w="1493" w:type="dxa"/>
            <w:vAlign w:val="center"/>
          </w:tcPr>
          <w:p w14:paraId="06870346">
            <w:pPr>
              <w:pStyle w:val="327"/>
              <w:spacing w:line="560" w:lineRule="exact"/>
              <w:jc w:val="center"/>
              <w:rPr>
                <w:rFonts w:ascii="仿宋" w:hAnsi="仿宋" w:eastAsia="仿宋" w:cs="仿宋"/>
                <w:sz w:val="28"/>
                <w:szCs w:val="28"/>
                <w:highlight w:val="none"/>
              </w:rPr>
            </w:pPr>
          </w:p>
        </w:tc>
      </w:tr>
      <w:tr w14:paraId="58C59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1188" w:type="dxa"/>
            <w:vAlign w:val="center"/>
          </w:tcPr>
          <w:p w14:paraId="5C921ADF">
            <w:pPr>
              <w:pStyle w:val="327"/>
              <w:spacing w:line="560" w:lineRule="exact"/>
              <w:jc w:val="center"/>
              <w:rPr>
                <w:rFonts w:ascii="仿宋" w:hAnsi="仿宋" w:eastAsia="仿宋" w:cs="仿宋"/>
                <w:sz w:val="28"/>
                <w:szCs w:val="28"/>
                <w:highlight w:val="none"/>
              </w:rPr>
            </w:pPr>
          </w:p>
        </w:tc>
        <w:tc>
          <w:tcPr>
            <w:tcW w:w="1800" w:type="dxa"/>
            <w:vAlign w:val="center"/>
          </w:tcPr>
          <w:p w14:paraId="5A588A69">
            <w:pPr>
              <w:pStyle w:val="327"/>
              <w:spacing w:line="560" w:lineRule="exact"/>
              <w:jc w:val="center"/>
              <w:rPr>
                <w:rFonts w:ascii="仿宋" w:hAnsi="仿宋" w:eastAsia="仿宋" w:cs="仿宋"/>
                <w:sz w:val="28"/>
                <w:szCs w:val="28"/>
                <w:highlight w:val="none"/>
              </w:rPr>
            </w:pPr>
          </w:p>
        </w:tc>
        <w:tc>
          <w:tcPr>
            <w:tcW w:w="1080" w:type="dxa"/>
            <w:vAlign w:val="center"/>
          </w:tcPr>
          <w:p w14:paraId="1A92742D">
            <w:pPr>
              <w:pStyle w:val="327"/>
              <w:spacing w:line="560" w:lineRule="exact"/>
              <w:jc w:val="center"/>
              <w:rPr>
                <w:rFonts w:ascii="仿宋" w:hAnsi="仿宋" w:eastAsia="仿宋" w:cs="仿宋"/>
                <w:sz w:val="28"/>
                <w:szCs w:val="28"/>
                <w:highlight w:val="none"/>
              </w:rPr>
            </w:pPr>
          </w:p>
        </w:tc>
        <w:tc>
          <w:tcPr>
            <w:tcW w:w="1920" w:type="dxa"/>
            <w:vAlign w:val="center"/>
          </w:tcPr>
          <w:p w14:paraId="0D7E76C1">
            <w:pPr>
              <w:pStyle w:val="327"/>
              <w:spacing w:line="560" w:lineRule="exact"/>
              <w:jc w:val="center"/>
              <w:rPr>
                <w:rFonts w:ascii="仿宋" w:hAnsi="仿宋" w:eastAsia="仿宋" w:cs="仿宋"/>
                <w:sz w:val="28"/>
                <w:szCs w:val="28"/>
                <w:highlight w:val="none"/>
              </w:rPr>
            </w:pPr>
          </w:p>
        </w:tc>
        <w:tc>
          <w:tcPr>
            <w:tcW w:w="960" w:type="dxa"/>
            <w:vAlign w:val="center"/>
          </w:tcPr>
          <w:p w14:paraId="21A04307">
            <w:pPr>
              <w:pStyle w:val="327"/>
              <w:spacing w:line="560" w:lineRule="exact"/>
              <w:jc w:val="center"/>
              <w:rPr>
                <w:rFonts w:ascii="仿宋" w:hAnsi="仿宋" w:eastAsia="仿宋" w:cs="仿宋"/>
                <w:sz w:val="28"/>
                <w:szCs w:val="28"/>
                <w:highlight w:val="none"/>
              </w:rPr>
            </w:pPr>
          </w:p>
        </w:tc>
        <w:tc>
          <w:tcPr>
            <w:tcW w:w="1493" w:type="dxa"/>
            <w:vAlign w:val="center"/>
          </w:tcPr>
          <w:p w14:paraId="1E8BA7D6">
            <w:pPr>
              <w:pStyle w:val="327"/>
              <w:spacing w:line="560" w:lineRule="exact"/>
              <w:jc w:val="center"/>
              <w:rPr>
                <w:rFonts w:ascii="仿宋" w:hAnsi="仿宋" w:eastAsia="仿宋" w:cs="仿宋"/>
                <w:sz w:val="28"/>
                <w:szCs w:val="28"/>
                <w:highlight w:val="none"/>
              </w:rPr>
            </w:pPr>
          </w:p>
        </w:tc>
      </w:tr>
    </w:tbl>
    <w:p w14:paraId="4300F1E3">
      <w:pPr>
        <w:pStyle w:val="327"/>
        <w:spacing w:line="460" w:lineRule="exact"/>
        <w:ind w:firstLine="398"/>
        <w:rPr>
          <w:rFonts w:ascii="仿宋" w:hAnsi="仿宋" w:eastAsia="仿宋" w:cs="仿宋"/>
          <w:b/>
          <w:sz w:val="24"/>
          <w:highlight w:val="none"/>
        </w:rPr>
      </w:pPr>
      <w:r>
        <w:rPr>
          <w:rFonts w:hint="eastAsia" w:ascii="仿宋" w:hAnsi="仿宋" w:eastAsia="仿宋" w:cs="仿宋"/>
          <w:b/>
          <w:sz w:val="24"/>
          <w:highlight w:val="none"/>
        </w:rPr>
        <w:t>注：如</w:t>
      </w:r>
      <w:r>
        <w:rPr>
          <w:rFonts w:hint="eastAsia" w:ascii="仿宋" w:hAnsi="仿宋" w:eastAsia="仿宋" w:cs="仿宋"/>
          <w:b/>
          <w:sz w:val="24"/>
          <w:highlight w:val="none"/>
          <w:lang w:eastAsia="zh-CN"/>
        </w:rPr>
        <w:t>投标人</w:t>
      </w:r>
      <w:r>
        <w:rPr>
          <w:rFonts w:hint="eastAsia" w:ascii="仿宋" w:hAnsi="仿宋" w:eastAsia="仿宋" w:cs="仿宋"/>
          <w:b/>
          <w:sz w:val="24"/>
          <w:highlight w:val="none"/>
        </w:rPr>
        <w:t>中标/成交，项目管理、技术及服务人员必须按本表承诺人员操作，不得随意更换。按招标文件要求附相关人员证书。</w:t>
      </w:r>
    </w:p>
    <w:p w14:paraId="60433833">
      <w:pPr>
        <w:pStyle w:val="299"/>
        <w:spacing w:line="700" w:lineRule="exact"/>
        <w:rPr>
          <w:rFonts w:ascii="仿宋" w:hAnsi="仿宋" w:eastAsia="仿宋" w:cs="仿宋"/>
          <w:b/>
          <w:sz w:val="24"/>
          <w:szCs w:val="20"/>
          <w:highlight w:val="none"/>
        </w:rPr>
      </w:pPr>
      <w:r>
        <w:rPr>
          <w:rFonts w:hint="eastAsia" w:ascii="仿宋" w:hAnsi="仿宋" w:eastAsia="仿宋" w:cs="仿宋"/>
          <w:b/>
          <w:sz w:val="24"/>
          <w:szCs w:val="20"/>
          <w:highlight w:val="none"/>
        </w:rPr>
        <w:t>单位名称：</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（盖章）</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19F44CB1">
      <w:pPr>
        <w:pStyle w:val="307"/>
        <w:rPr>
          <w:rFonts w:ascii="仿宋" w:hAnsi="仿宋" w:eastAsia="仿宋" w:cs="仿宋"/>
          <w:b/>
          <w:sz w:val="24"/>
          <w:szCs w:val="20"/>
          <w:highlight w:val="none"/>
        </w:rPr>
      </w:pPr>
      <w:r>
        <w:rPr>
          <w:rFonts w:hint="eastAsia" w:ascii="仿宋" w:hAnsi="仿宋" w:eastAsia="仿宋" w:cs="仿宋"/>
          <w:b/>
          <w:sz w:val="24"/>
          <w:szCs w:val="20"/>
          <w:highlight w:val="none"/>
        </w:rPr>
        <w:t>法定代表人（或授权代表）：</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（签字）</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43F3871D">
      <w:pPr>
        <w:pStyle w:val="328"/>
        <w:outlineLvl w:val="1"/>
        <w:rPr>
          <w:rFonts w:ascii="仿宋" w:hAnsi="仿宋" w:eastAsia="仿宋" w:cs="仿宋"/>
          <w:highlight w:val="none"/>
        </w:rPr>
      </w:pPr>
      <w:r>
        <w:rPr>
          <w:rFonts w:hint="eastAsia" w:ascii="仿宋" w:hAnsi="仿宋" w:eastAsia="仿宋" w:cs="仿宋"/>
          <w:highlight w:val="none"/>
        </w:rPr>
        <w:br w:type="page" w:clear="all"/>
      </w:r>
      <w:bookmarkStart w:id="89" w:name="_Toc12503"/>
      <w:r>
        <w:rPr>
          <w:rFonts w:hint="eastAsia" w:ascii="仿宋" w:hAnsi="仿宋" w:eastAsia="仿宋" w:cs="仿宋"/>
          <w:highlight w:val="none"/>
        </w:rPr>
        <w:t>十</w:t>
      </w:r>
      <w:r>
        <w:rPr>
          <w:rFonts w:hint="eastAsia" w:ascii="仿宋" w:hAnsi="仿宋" w:eastAsia="仿宋" w:cs="仿宋"/>
          <w:highlight w:val="none"/>
          <w:lang w:val="en-US" w:eastAsia="zh-CN"/>
        </w:rPr>
        <w:t>一</w:t>
      </w:r>
      <w:r>
        <w:rPr>
          <w:rFonts w:hint="eastAsia" w:ascii="仿宋" w:hAnsi="仿宋" w:eastAsia="仿宋" w:cs="仿宋"/>
          <w:highlight w:val="none"/>
        </w:rPr>
        <w:t>、业绩一览表</w:t>
      </w:r>
      <w:bookmarkEnd w:id="89"/>
    </w:p>
    <w:p w14:paraId="0FC3BBBE">
      <w:pPr>
        <w:pStyle w:val="329"/>
        <w:jc w:val="center"/>
        <w:rPr>
          <w:rFonts w:ascii="仿宋" w:hAnsi="仿宋" w:eastAsia="仿宋" w:cs="仿宋"/>
          <w:b/>
          <w:sz w:val="32"/>
          <w:szCs w:val="32"/>
          <w:highlight w:val="none"/>
        </w:rPr>
      </w:pPr>
      <w:r>
        <w:rPr>
          <w:rFonts w:hint="eastAsia" w:ascii="仿宋" w:hAnsi="仿宋" w:eastAsia="仿宋" w:cs="仿宋"/>
          <w:b/>
          <w:sz w:val="32"/>
          <w:szCs w:val="32"/>
          <w:highlight w:val="none"/>
        </w:rPr>
        <w:t>业绩一览表</w:t>
      </w:r>
    </w:p>
    <w:tbl>
      <w:tblPr>
        <w:tblStyle w:val="35"/>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3"/>
        <w:gridCol w:w="2775"/>
        <w:gridCol w:w="1846"/>
        <w:gridCol w:w="1592"/>
        <w:gridCol w:w="2061"/>
      </w:tblGrid>
      <w:tr w14:paraId="172A2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123" w:type="dxa"/>
            <w:vAlign w:val="center"/>
          </w:tcPr>
          <w:p w14:paraId="6840B62C">
            <w:pPr>
              <w:pStyle w:val="329"/>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2775" w:type="dxa"/>
            <w:vAlign w:val="center"/>
          </w:tcPr>
          <w:p w14:paraId="62A0AB89">
            <w:pPr>
              <w:pStyle w:val="329"/>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1846" w:type="dxa"/>
            <w:vAlign w:val="center"/>
          </w:tcPr>
          <w:p w14:paraId="2A5A3F63">
            <w:pPr>
              <w:pStyle w:val="329"/>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采购单位</w:t>
            </w:r>
          </w:p>
        </w:tc>
        <w:tc>
          <w:tcPr>
            <w:tcW w:w="1592" w:type="dxa"/>
            <w:vAlign w:val="center"/>
          </w:tcPr>
          <w:p w14:paraId="61E97B25">
            <w:pPr>
              <w:pStyle w:val="329"/>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合同金额</w:t>
            </w:r>
          </w:p>
        </w:tc>
        <w:tc>
          <w:tcPr>
            <w:tcW w:w="2061" w:type="dxa"/>
            <w:vAlign w:val="center"/>
          </w:tcPr>
          <w:p w14:paraId="3A0D5F52">
            <w:pPr>
              <w:pStyle w:val="329"/>
              <w:spacing w:line="56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合同签订时间</w:t>
            </w:r>
          </w:p>
        </w:tc>
      </w:tr>
      <w:tr w14:paraId="27EF2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0F760432">
            <w:pPr>
              <w:pStyle w:val="329"/>
              <w:spacing w:line="560" w:lineRule="exact"/>
              <w:jc w:val="center"/>
              <w:rPr>
                <w:rFonts w:ascii="仿宋" w:hAnsi="仿宋" w:eastAsia="仿宋" w:cs="仿宋"/>
                <w:sz w:val="28"/>
                <w:highlight w:val="none"/>
              </w:rPr>
            </w:pPr>
          </w:p>
        </w:tc>
        <w:tc>
          <w:tcPr>
            <w:tcW w:w="2775" w:type="dxa"/>
            <w:vAlign w:val="center"/>
          </w:tcPr>
          <w:p w14:paraId="675DBE2D">
            <w:pPr>
              <w:pStyle w:val="329"/>
              <w:spacing w:line="560" w:lineRule="exact"/>
              <w:jc w:val="center"/>
              <w:rPr>
                <w:rFonts w:ascii="仿宋" w:hAnsi="仿宋" w:eastAsia="仿宋" w:cs="仿宋"/>
                <w:sz w:val="28"/>
                <w:highlight w:val="none"/>
              </w:rPr>
            </w:pPr>
          </w:p>
        </w:tc>
        <w:tc>
          <w:tcPr>
            <w:tcW w:w="1846" w:type="dxa"/>
            <w:vAlign w:val="center"/>
          </w:tcPr>
          <w:p w14:paraId="3AE87D38">
            <w:pPr>
              <w:pStyle w:val="329"/>
              <w:spacing w:line="560" w:lineRule="exact"/>
              <w:jc w:val="center"/>
              <w:rPr>
                <w:rFonts w:ascii="仿宋" w:hAnsi="仿宋" w:eastAsia="仿宋" w:cs="仿宋"/>
                <w:sz w:val="28"/>
                <w:highlight w:val="none"/>
              </w:rPr>
            </w:pPr>
          </w:p>
        </w:tc>
        <w:tc>
          <w:tcPr>
            <w:tcW w:w="1592" w:type="dxa"/>
            <w:vAlign w:val="center"/>
          </w:tcPr>
          <w:p w14:paraId="2C897A01">
            <w:pPr>
              <w:pStyle w:val="329"/>
              <w:spacing w:line="560" w:lineRule="exact"/>
              <w:jc w:val="center"/>
              <w:rPr>
                <w:rFonts w:ascii="仿宋" w:hAnsi="仿宋" w:eastAsia="仿宋" w:cs="仿宋"/>
                <w:sz w:val="28"/>
                <w:highlight w:val="none"/>
              </w:rPr>
            </w:pPr>
          </w:p>
        </w:tc>
        <w:tc>
          <w:tcPr>
            <w:tcW w:w="2061" w:type="dxa"/>
            <w:vAlign w:val="center"/>
          </w:tcPr>
          <w:p w14:paraId="1513161B">
            <w:pPr>
              <w:pStyle w:val="329"/>
              <w:spacing w:line="560" w:lineRule="exact"/>
              <w:jc w:val="center"/>
              <w:rPr>
                <w:rFonts w:ascii="仿宋" w:hAnsi="仿宋" w:eastAsia="仿宋" w:cs="仿宋"/>
                <w:sz w:val="28"/>
                <w:highlight w:val="none"/>
              </w:rPr>
            </w:pPr>
          </w:p>
        </w:tc>
      </w:tr>
      <w:tr w14:paraId="213EE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0F9D08D6">
            <w:pPr>
              <w:pStyle w:val="329"/>
              <w:spacing w:line="560" w:lineRule="exact"/>
              <w:jc w:val="center"/>
              <w:rPr>
                <w:rFonts w:ascii="仿宋" w:hAnsi="仿宋" w:eastAsia="仿宋" w:cs="仿宋"/>
                <w:sz w:val="28"/>
                <w:highlight w:val="none"/>
              </w:rPr>
            </w:pPr>
          </w:p>
        </w:tc>
        <w:tc>
          <w:tcPr>
            <w:tcW w:w="2775" w:type="dxa"/>
            <w:vAlign w:val="center"/>
          </w:tcPr>
          <w:p w14:paraId="38D6EDAF">
            <w:pPr>
              <w:pStyle w:val="329"/>
              <w:spacing w:line="560" w:lineRule="exact"/>
              <w:jc w:val="center"/>
              <w:rPr>
                <w:rFonts w:ascii="仿宋" w:hAnsi="仿宋" w:eastAsia="仿宋" w:cs="仿宋"/>
                <w:sz w:val="28"/>
                <w:highlight w:val="none"/>
              </w:rPr>
            </w:pPr>
          </w:p>
        </w:tc>
        <w:tc>
          <w:tcPr>
            <w:tcW w:w="1846" w:type="dxa"/>
            <w:vAlign w:val="center"/>
          </w:tcPr>
          <w:p w14:paraId="6CE49779">
            <w:pPr>
              <w:pStyle w:val="329"/>
              <w:spacing w:line="560" w:lineRule="exact"/>
              <w:jc w:val="center"/>
              <w:rPr>
                <w:rFonts w:ascii="仿宋" w:hAnsi="仿宋" w:eastAsia="仿宋" w:cs="仿宋"/>
                <w:sz w:val="28"/>
                <w:highlight w:val="none"/>
              </w:rPr>
            </w:pPr>
          </w:p>
        </w:tc>
        <w:tc>
          <w:tcPr>
            <w:tcW w:w="1592" w:type="dxa"/>
            <w:vAlign w:val="center"/>
          </w:tcPr>
          <w:p w14:paraId="76413EED">
            <w:pPr>
              <w:pStyle w:val="329"/>
              <w:spacing w:line="560" w:lineRule="exact"/>
              <w:jc w:val="center"/>
              <w:rPr>
                <w:rFonts w:ascii="仿宋" w:hAnsi="仿宋" w:eastAsia="仿宋" w:cs="仿宋"/>
                <w:sz w:val="28"/>
                <w:highlight w:val="none"/>
              </w:rPr>
            </w:pPr>
          </w:p>
        </w:tc>
        <w:tc>
          <w:tcPr>
            <w:tcW w:w="2061" w:type="dxa"/>
            <w:vAlign w:val="center"/>
          </w:tcPr>
          <w:p w14:paraId="646219B3">
            <w:pPr>
              <w:pStyle w:val="329"/>
              <w:spacing w:line="560" w:lineRule="exact"/>
              <w:jc w:val="center"/>
              <w:rPr>
                <w:rFonts w:ascii="仿宋" w:hAnsi="仿宋" w:eastAsia="仿宋" w:cs="仿宋"/>
                <w:sz w:val="28"/>
                <w:highlight w:val="none"/>
              </w:rPr>
            </w:pPr>
          </w:p>
        </w:tc>
      </w:tr>
      <w:tr w14:paraId="2F411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074F1FE2">
            <w:pPr>
              <w:pStyle w:val="329"/>
              <w:spacing w:line="560" w:lineRule="exact"/>
              <w:jc w:val="center"/>
              <w:rPr>
                <w:rFonts w:ascii="仿宋" w:hAnsi="仿宋" w:eastAsia="仿宋" w:cs="仿宋"/>
                <w:sz w:val="28"/>
                <w:highlight w:val="none"/>
              </w:rPr>
            </w:pPr>
          </w:p>
        </w:tc>
        <w:tc>
          <w:tcPr>
            <w:tcW w:w="2775" w:type="dxa"/>
            <w:vAlign w:val="center"/>
          </w:tcPr>
          <w:p w14:paraId="2FEBACCC">
            <w:pPr>
              <w:pStyle w:val="329"/>
              <w:spacing w:line="560" w:lineRule="exact"/>
              <w:jc w:val="center"/>
              <w:rPr>
                <w:rFonts w:ascii="仿宋" w:hAnsi="仿宋" w:eastAsia="仿宋" w:cs="仿宋"/>
                <w:sz w:val="28"/>
                <w:highlight w:val="none"/>
              </w:rPr>
            </w:pPr>
          </w:p>
        </w:tc>
        <w:tc>
          <w:tcPr>
            <w:tcW w:w="1846" w:type="dxa"/>
            <w:vAlign w:val="center"/>
          </w:tcPr>
          <w:p w14:paraId="77E1B830">
            <w:pPr>
              <w:pStyle w:val="329"/>
              <w:spacing w:line="560" w:lineRule="exact"/>
              <w:jc w:val="center"/>
              <w:rPr>
                <w:rFonts w:ascii="仿宋" w:hAnsi="仿宋" w:eastAsia="仿宋" w:cs="仿宋"/>
                <w:sz w:val="28"/>
                <w:highlight w:val="none"/>
              </w:rPr>
            </w:pPr>
          </w:p>
        </w:tc>
        <w:tc>
          <w:tcPr>
            <w:tcW w:w="1592" w:type="dxa"/>
            <w:vAlign w:val="center"/>
          </w:tcPr>
          <w:p w14:paraId="79AF5056">
            <w:pPr>
              <w:pStyle w:val="329"/>
              <w:spacing w:line="560" w:lineRule="exact"/>
              <w:jc w:val="center"/>
              <w:rPr>
                <w:rFonts w:ascii="仿宋" w:hAnsi="仿宋" w:eastAsia="仿宋" w:cs="仿宋"/>
                <w:sz w:val="28"/>
                <w:highlight w:val="none"/>
              </w:rPr>
            </w:pPr>
          </w:p>
        </w:tc>
        <w:tc>
          <w:tcPr>
            <w:tcW w:w="2061" w:type="dxa"/>
            <w:vAlign w:val="center"/>
          </w:tcPr>
          <w:p w14:paraId="4E468C7B">
            <w:pPr>
              <w:pStyle w:val="329"/>
              <w:spacing w:line="560" w:lineRule="exact"/>
              <w:jc w:val="center"/>
              <w:rPr>
                <w:rFonts w:ascii="仿宋" w:hAnsi="仿宋" w:eastAsia="仿宋" w:cs="仿宋"/>
                <w:sz w:val="28"/>
                <w:highlight w:val="none"/>
              </w:rPr>
            </w:pPr>
          </w:p>
        </w:tc>
      </w:tr>
      <w:tr w14:paraId="33EE9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6B692865">
            <w:pPr>
              <w:pStyle w:val="329"/>
              <w:spacing w:line="560" w:lineRule="exact"/>
              <w:jc w:val="center"/>
              <w:rPr>
                <w:rFonts w:ascii="仿宋" w:hAnsi="仿宋" w:eastAsia="仿宋" w:cs="仿宋"/>
                <w:sz w:val="28"/>
                <w:highlight w:val="none"/>
              </w:rPr>
            </w:pPr>
          </w:p>
        </w:tc>
        <w:tc>
          <w:tcPr>
            <w:tcW w:w="2775" w:type="dxa"/>
            <w:vAlign w:val="center"/>
          </w:tcPr>
          <w:p w14:paraId="5498F184">
            <w:pPr>
              <w:pStyle w:val="329"/>
              <w:spacing w:line="560" w:lineRule="exact"/>
              <w:jc w:val="center"/>
              <w:rPr>
                <w:rFonts w:ascii="仿宋" w:hAnsi="仿宋" w:eastAsia="仿宋" w:cs="仿宋"/>
                <w:sz w:val="28"/>
                <w:highlight w:val="none"/>
              </w:rPr>
            </w:pPr>
          </w:p>
        </w:tc>
        <w:tc>
          <w:tcPr>
            <w:tcW w:w="1846" w:type="dxa"/>
            <w:vAlign w:val="center"/>
          </w:tcPr>
          <w:p w14:paraId="285CF841">
            <w:pPr>
              <w:pStyle w:val="329"/>
              <w:spacing w:line="560" w:lineRule="exact"/>
              <w:jc w:val="center"/>
              <w:rPr>
                <w:rFonts w:ascii="仿宋" w:hAnsi="仿宋" w:eastAsia="仿宋" w:cs="仿宋"/>
                <w:sz w:val="28"/>
                <w:highlight w:val="none"/>
              </w:rPr>
            </w:pPr>
          </w:p>
        </w:tc>
        <w:tc>
          <w:tcPr>
            <w:tcW w:w="1592" w:type="dxa"/>
            <w:vAlign w:val="center"/>
          </w:tcPr>
          <w:p w14:paraId="6C7E7C1E">
            <w:pPr>
              <w:pStyle w:val="329"/>
              <w:spacing w:line="560" w:lineRule="exact"/>
              <w:jc w:val="center"/>
              <w:rPr>
                <w:rFonts w:ascii="仿宋" w:hAnsi="仿宋" w:eastAsia="仿宋" w:cs="仿宋"/>
                <w:sz w:val="28"/>
                <w:highlight w:val="none"/>
              </w:rPr>
            </w:pPr>
          </w:p>
        </w:tc>
        <w:tc>
          <w:tcPr>
            <w:tcW w:w="2061" w:type="dxa"/>
            <w:vAlign w:val="center"/>
          </w:tcPr>
          <w:p w14:paraId="5F56D843">
            <w:pPr>
              <w:pStyle w:val="329"/>
              <w:spacing w:line="560" w:lineRule="exact"/>
              <w:jc w:val="center"/>
              <w:rPr>
                <w:rFonts w:ascii="仿宋" w:hAnsi="仿宋" w:eastAsia="仿宋" w:cs="仿宋"/>
                <w:sz w:val="28"/>
                <w:highlight w:val="none"/>
              </w:rPr>
            </w:pPr>
          </w:p>
        </w:tc>
      </w:tr>
      <w:tr w14:paraId="4D46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216F018E">
            <w:pPr>
              <w:pStyle w:val="329"/>
              <w:spacing w:line="560" w:lineRule="exact"/>
              <w:jc w:val="center"/>
              <w:rPr>
                <w:rFonts w:ascii="仿宋" w:hAnsi="仿宋" w:eastAsia="仿宋" w:cs="仿宋"/>
                <w:sz w:val="28"/>
                <w:highlight w:val="none"/>
              </w:rPr>
            </w:pPr>
          </w:p>
        </w:tc>
        <w:tc>
          <w:tcPr>
            <w:tcW w:w="2775" w:type="dxa"/>
            <w:vAlign w:val="center"/>
          </w:tcPr>
          <w:p w14:paraId="5A6C4BB5">
            <w:pPr>
              <w:pStyle w:val="329"/>
              <w:spacing w:line="560" w:lineRule="exact"/>
              <w:jc w:val="center"/>
              <w:rPr>
                <w:rFonts w:ascii="仿宋" w:hAnsi="仿宋" w:eastAsia="仿宋" w:cs="仿宋"/>
                <w:sz w:val="28"/>
                <w:highlight w:val="none"/>
              </w:rPr>
            </w:pPr>
          </w:p>
        </w:tc>
        <w:tc>
          <w:tcPr>
            <w:tcW w:w="1846" w:type="dxa"/>
            <w:vAlign w:val="center"/>
          </w:tcPr>
          <w:p w14:paraId="386A12E2">
            <w:pPr>
              <w:pStyle w:val="329"/>
              <w:spacing w:line="560" w:lineRule="exact"/>
              <w:jc w:val="center"/>
              <w:rPr>
                <w:rFonts w:ascii="仿宋" w:hAnsi="仿宋" w:eastAsia="仿宋" w:cs="仿宋"/>
                <w:sz w:val="28"/>
                <w:highlight w:val="none"/>
              </w:rPr>
            </w:pPr>
          </w:p>
        </w:tc>
        <w:tc>
          <w:tcPr>
            <w:tcW w:w="1592" w:type="dxa"/>
            <w:vAlign w:val="center"/>
          </w:tcPr>
          <w:p w14:paraId="0FCA8198">
            <w:pPr>
              <w:pStyle w:val="329"/>
              <w:spacing w:line="560" w:lineRule="exact"/>
              <w:jc w:val="center"/>
              <w:rPr>
                <w:rFonts w:ascii="仿宋" w:hAnsi="仿宋" w:eastAsia="仿宋" w:cs="仿宋"/>
                <w:sz w:val="28"/>
                <w:highlight w:val="none"/>
              </w:rPr>
            </w:pPr>
          </w:p>
        </w:tc>
        <w:tc>
          <w:tcPr>
            <w:tcW w:w="2061" w:type="dxa"/>
            <w:vAlign w:val="center"/>
          </w:tcPr>
          <w:p w14:paraId="79F6B751">
            <w:pPr>
              <w:pStyle w:val="329"/>
              <w:spacing w:line="560" w:lineRule="exact"/>
              <w:jc w:val="center"/>
              <w:rPr>
                <w:rFonts w:ascii="仿宋" w:hAnsi="仿宋" w:eastAsia="仿宋" w:cs="仿宋"/>
                <w:sz w:val="28"/>
                <w:highlight w:val="none"/>
              </w:rPr>
            </w:pPr>
          </w:p>
        </w:tc>
      </w:tr>
      <w:tr w14:paraId="14E5E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139A7DA3">
            <w:pPr>
              <w:pStyle w:val="329"/>
              <w:spacing w:line="560" w:lineRule="exact"/>
              <w:jc w:val="center"/>
              <w:rPr>
                <w:rFonts w:ascii="仿宋" w:hAnsi="仿宋" w:eastAsia="仿宋" w:cs="仿宋"/>
                <w:sz w:val="28"/>
                <w:highlight w:val="none"/>
              </w:rPr>
            </w:pPr>
          </w:p>
        </w:tc>
        <w:tc>
          <w:tcPr>
            <w:tcW w:w="2775" w:type="dxa"/>
            <w:vAlign w:val="center"/>
          </w:tcPr>
          <w:p w14:paraId="06564C2E">
            <w:pPr>
              <w:pStyle w:val="329"/>
              <w:spacing w:line="560" w:lineRule="exact"/>
              <w:jc w:val="center"/>
              <w:rPr>
                <w:rFonts w:ascii="仿宋" w:hAnsi="仿宋" w:eastAsia="仿宋" w:cs="仿宋"/>
                <w:sz w:val="28"/>
                <w:highlight w:val="none"/>
              </w:rPr>
            </w:pPr>
          </w:p>
        </w:tc>
        <w:tc>
          <w:tcPr>
            <w:tcW w:w="1846" w:type="dxa"/>
            <w:vAlign w:val="center"/>
          </w:tcPr>
          <w:p w14:paraId="189CB37E">
            <w:pPr>
              <w:pStyle w:val="329"/>
              <w:spacing w:line="560" w:lineRule="exact"/>
              <w:jc w:val="center"/>
              <w:rPr>
                <w:rFonts w:ascii="仿宋" w:hAnsi="仿宋" w:eastAsia="仿宋" w:cs="仿宋"/>
                <w:sz w:val="28"/>
                <w:highlight w:val="none"/>
              </w:rPr>
            </w:pPr>
          </w:p>
        </w:tc>
        <w:tc>
          <w:tcPr>
            <w:tcW w:w="1592" w:type="dxa"/>
            <w:vAlign w:val="center"/>
          </w:tcPr>
          <w:p w14:paraId="5C3B59CF">
            <w:pPr>
              <w:pStyle w:val="329"/>
              <w:spacing w:line="560" w:lineRule="exact"/>
              <w:jc w:val="center"/>
              <w:rPr>
                <w:rFonts w:ascii="仿宋" w:hAnsi="仿宋" w:eastAsia="仿宋" w:cs="仿宋"/>
                <w:sz w:val="28"/>
                <w:highlight w:val="none"/>
              </w:rPr>
            </w:pPr>
          </w:p>
        </w:tc>
        <w:tc>
          <w:tcPr>
            <w:tcW w:w="2061" w:type="dxa"/>
            <w:vAlign w:val="center"/>
          </w:tcPr>
          <w:p w14:paraId="71387947">
            <w:pPr>
              <w:pStyle w:val="329"/>
              <w:spacing w:line="560" w:lineRule="exact"/>
              <w:jc w:val="center"/>
              <w:rPr>
                <w:rFonts w:ascii="仿宋" w:hAnsi="仿宋" w:eastAsia="仿宋" w:cs="仿宋"/>
                <w:sz w:val="28"/>
                <w:highlight w:val="none"/>
              </w:rPr>
            </w:pPr>
          </w:p>
        </w:tc>
      </w:tr>
      <w:tr w14:paraId="7375B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50754D11">
            <w:pPr>
              <w:pStyle w:val="329"/>
              <w:spacing w:line="560" w:lineRule="exact"/>
              <w:jc w:val="center"/>
              <w:rPr>
                <w:rFonts w:ascii="仿宋" w:hAnsi="仿宋" w:eastAsia="仿宋" w:cs="仿宋"/>
                <w:sz w:val="28"/>
                <w:highlight w:val="none"/>
              </w:rPr>
            </w:pPr>
          </w:p>
        </w:tc>
        <w:tc>
          <w:tcPr>
            <w:tcW w:w="2775" w:type="dxa"/>
            <w:vAlign w:val="center"/>
          </w:tcPr>
          <w:p w14:paraId="7A1F7BEA">
            <w:pPr>
              <w:pStyle w:val="329"/>
              <w:spacing w:line="560" w:lineRule="exact"/>
              <w:jc w:val="center"/>
              <w:rPr>
                <w:rFonts w:ascii="仿宋" w:hAnsi="仿宋" w:eastAsia="仿宋" w:cs="仿宋"/>
                <w:sz w:val="28"/>
                <w:highlight w:val="none"/>
              </w:rPr>
            </w:pPr>
          </w:p>
        </w:tc>
        <w:tc>
          <w:tcPr>
            <w:tcW w:w="1846" w:type="dxa"/>
            <w:vAlign w:val="center"/>
          </w:tcPr>
          <w:p w14:paraId="3A5D0CCA">
            <w:pPr>
              <w:pStyle w:val="329"/>
              <w:spacing w:line="560" w:lineRule="exact"/>
              <w:jc w:val="center"/>
              <w:rPr>
                <w:rFonts w:ascii="仿宋" w:hAnsi="仿宋" w:eastAsia="仿宋" w:cs="仿宋"/>
                <w:sz w:val="28"/>
                <w:highlight w:val="none"/>
              </w:rPr>
            </w:pPr>
          </w:p>
        </w:tc>
        <w:tc>
          <w:tcPr>
            <w:tcW w:w="1592" w:type="dxa"/>
            <w:vAlign w:val="center"/>
          </w:tcPr>
          <w:p w14:paraId="04712488">
            <w:pPr>
              <w:pStyle w:val="329"/>
              <w:spacing w:line="560" w:lineRule="exact"/>
              <w:jc w:val="center"/>
              <w:rPr>
                <w:rFonts w:ascii="仿宋" w:hAnsi="仿宋" w:eastAsia="仿宋" w:cs="仿宋"/>
                <w:sz w:val="28"/>
                <w:highlight w:val="none"/>
              </w:rPr>
            </w:pPr>
          </w:p>
        </w:tc>
        <w:tc>
          <w:tcPr>
            <w:tcW w:w="2061" w:type="dxa"/>
            <w:vAlign w:val="center"/>
          </w:tcPr>
          <w:p w14:paraId="1361CAEC">
            <w:pPr>
              <w:pStyle w:val="329"/>
              <w:spacing w:line="560" w:lineRule="exact"/>
              <w:jc w:val="center"/>
              <w:rPr>
                <w:rFonts w:ascii="仿宋" w:hAnsi="仿宋" w:eastAsia="仿宋" w:cs="仿宋"/>
                <w:sz w:val="28"/>
                <w:highlight w:val="none"/>
              </w:rPr>
            </w:pPr>
          </w:p>
        </w:tc>
      </w:tr>
      <w:tr w14:paraId="6B0D1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75B0DA9B">
            <w:pPr>
              <w:pStyle w:val="329"/>
              <w:spacing w:line="560" w:lineRule="exact"/>
              <w:jc w:val="center"/>
              <w:rPr>
                <w:rFonts w:ascii="仿宋" w:hAnsi="仿宋" w:eastAsia="仿宋" w:cs="仿宋"/>
                <w:sz w:val="28"/>
                <w:highlight w:val="none"/>
              </w:rPr>
            </w:pPr>
          </w:p>
        </w:tc>
        <w:tc>
          <w:tcPr>
            <w:tcW w:w="2775" w:type="dxa"/>
            <w:vAlign w:val="center"/>
          </w:tcPr>
          <w:p w14:paraId="02335333">
            <w:pPr>
              <w:pStyle w:val="329"/>
              <w:spacing w:line="560" w:lineRule="exact"/>
              <w:jc w:val="center"/>
              <w:rPr>
                <w:rFonts w:ascii="仿宋" w:hAnsi="仿宋" w:eastAsia="仿宋" w:cs="仿宋"/>
                <w:sz w:val="28"/>
                <w:highlight w:val="none"/>
              </w:rPr>
            </w:pPr>
          </w:p>
        </w:tc>
        <w:tc>
          <w:tcPr>
            <w:tcW w:w="1846" w:type="dxa"/>
            <w:vAlign w:val="center"/>
          </w:tcPr>
          <w:p w14:paraId="7294F7FD">
            <w:pPr>
              <w:pStyle w:val="329"/>
              <w:spacing w:line="560" w:lineRule="exact"/>
              <w:jc w:val="center"/>
              <w:rPr>
                <w:rFonts w:ascii="仿宋" w:hAnsi="仿宋" w:eastAsia="仿宋" w:cs="仿宋"/>
                <w:sz w:val="28"/>
                <w:highlight w:val="none"/>
              </w:rPr>
            </w:pPr>
          </w:p>
        </w:tc>
        <w:tc>
          <w:tcPr>
            <w:tcW w:w="1592" w:type="dxa"/>
            <w:vAlign w:val="center"/>
          </w:tcPr>
          <w:p w14:paraId="79CD445B">
            <w:pPr>
              <w:pStyle w:val="329"/>
              <w:spacing w:line="560" w:lineRule="exact"/>
              <w:jc w:val="center"/>
              <w:rPr>
                <w:rFonts w:ascii="仿宋" w:hAnsi="仿宋" w:eastAsia="仿宋" w:cs="仿宋"/>
                <w:sz w:val="28"/>
                <w:highlight w:val="none"/>
              </w:rPr>
            </w:pPr>
          </w:p>
        </w:tc>
        <w:tc>
          <w:tcPr>
            <w:tcW w:w="2061" w:type="dxa"/>
            <w:vAlign w:val="center"/>
          </w:tcPr>
          <w:p w14:paraId="4C2C9301">
            <w:pPr>
              <w:pStyle w:val="329"/>
              <w:spacing w:line="560" w:lineRule="exact"/>
              <w:jc w:val="center"/>
              <w:rPr>
                <w:rFonts w:ascii="仿宋" w:hAnsi="仿宋" w:eastAsia="仿宋" w:cs="仿宋"/>
                <w:sz w:val="28"/>
                <w:highlight w:val="none"/>
              </w:rPr>
            </w:pPr>
          </w:p>
        </w:tc>
      </w:tr>
      <w:tr w14:paraId="2CBB7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123" w:type="dxa"/>
            <w:vAlign w:val="center"/>
          </w:tcPr>
          <w:p w14:paraId="18338DB5">
            <w:pPr>
              <w:pStyle w:val="329"/>
              <w:spacing w:line="560" w:lineRule="exact"/>
              <w:jc w:val="center"/>
              <w:rPr>
                <w:rFonts w:ascii="仿宋" w:hAnsi="仿宋" w:eastAsia="仿宋" w:cs="仿宋"/>
                <w:sz w:val="28"/>
                <w:highlight w:val="none"/>
              </w:rPr>
            </w:pPr>
          </w:p>
        </w:tc>
        <w:tc>
          <w:tcPr>
            <w:tcW w:w="2775" w:type="dxa"/>
            <w:vAlign w:val="center"/>
          </w:tcPr>
          <w:p w14:paraId="4F3FCBED">
            <w:pPr>
              <w:pStyle w:val="329"/>
              <w:spacing w:line="560" w:lineRule="exact"/>
              <w:jc w:val="center"/>
              <w:rPr>
                <w:rFonts w:ascii="仿宋" w:hAnsi="仿宋" w:eastAsia="仿宋" w:cs="仿宋"/>
                <w:sz w:val="28"/>
                <w:highlight w:val="none"/>
              </w:rPr>
            </w:pPr>
          </w:p>
        </w:tc>
        <w:tc>
          <w:tcPr>
            <w:tcW w:w="1846" w:type="dxa"/>
            <w:vAlign w:val="center"/>
          </w:tcPr>
          <w:p w14:paraId="597089CF">
            <w:pPr>
              <w:pStyle w:val="329"/>
              <w:spacing w:line="560" w:lineRule="exact"/>
              <w:jc w:val="center"/>
              <w:rPr>
                <w:rFonts w:ascii="仿宋" w:hAnsi="仿宋" w:eastAsia="仿宋" w:cs="仿宋"/>
                <w:sz w:val="28"/>
                <w:highlight w:val="none"/>
              </w:rPr>
            </w:pPr>
          </w:p>
        </w:tc>
        <w:tc>
          <w:tcPr>
            <w:tcW w:w="1592" w:type="dxa"/>
            <w:vAlign w:val="center"/>
          </w:tcPr>
          <w:p w14:paraId="1D9C89E7">
            <w:pPr>
              <w:pStyle w:val="329"/>
              <w:spacing w:line="560" w:lineRule="exact"/>
              <w:jc w:val="center"/>
              <w:rPr>
                <w:rFonts w:ascii="仿宋" w:hAnsi="仿宋" w:eastAsia="仿宋" w:cs="仿宋"/>
                <w:sz w:val="28"/>
                <w:highlight w:val="none"/>
              </w:rPr>
            </w:pPr>
          </w:p>
        </w:tc>
        <w:tc>
          <w:tcPr>
            <w:tcW w:w="2061" w:type="dxa"/>
            <w:vAlign w:val="center"/>
          </w:tcPr>
          <w:p w14:paraId="25C95B5F">
            <w:pPr>
              <w:pStyle w:val="329"/>
              <w:spacing w:line="560" w:lineRule="exact"/>
              <w:jc w:val="center"/>
              <w:rPr>
                <w:rFonts w:ascii="仿宋" w:hAnsi="仿宋" w:eastAsia="仿宋" w:cs="仿宋"/>
                <w:sz w:val="28"/>
                <w:highlight w:val="none"/>
              </w:rPr>
            </w:pPr>
          </w:p>
        </w:tc>
      </w:tr>
    </w:tbl>
    <w:p w14:paraId="2CF0E1D0">
      <w:pPr>
        <w:pStyle w:val="327"/>
        <w:spacing w:line="460" w:lineRule="exact"/>
        <w:ind w:firstLine="398"/>
        <w:rPr>
          <w:rFonts w:ascii="仿宋" w:hAnsi="仿宋" w:eastAsia="仿宋" w:cs="仿宋"/>
          <w:b/>
          <w:sz w:val="24"/>
          <w:highlight w:val="none"/>
        </w:rPr>
      </w:pPr>
    </w:p>
    <w:p w14:paraId="4B8D4F43">
      <w:pPr>
        <w:pStyle w:val="327"/>
        <w:spacing w:line="460" w:lineRule="exact"/>
        <w:ind w:firstLine="398"/>
        <w:rPr>
          <w:rFonts w:ascii="仿宋" w:hAnsi="仿宋" w:eastAsia="仿宋" w:cs="仿宋"/>
          <w:b/>
          <w:sz w:val="24"/>
          <w:highlight w:val="none"/>
        </w:rPr>
      </w:pPr>
      <w:r>
        <w:rPr>
          <w:rFonts w:hint="eastAsia" w:ascii="仿宋" w:hAnsi="仿宋" w:eastAsia="仿宋" w:cs="仿宋"/>
          <w:b/>
          <w:sz w:val="24"/>
          <w:highlight w:val="none"/>
        </w:rPr>
        <w:t>注：</w:t>
      </w:r>
      <w:r>
        <w:rPr>
          <w:rFonts w:hint="eastAsia" w:ascii="仿宋" w:hAnsi="仿宋" w:eastAsia="仿宋" w:cs="仿宋"/>
          <w:b/>
          <w:color w:val="auto"/>
          <w:sz w:val="24"/>
          <w:highlight w:val="none"/>
        </w:rPr>
        <w:t>按</w:t>
      </w:r>
      <w:r>
        <w:rPr>
          <w:rFonts w:hint="eastAsia" w:ascii="仿宋" w:hAnsi="仿宋" w:eastAsia="仿宋" w:cs="仿宋"/>
          <w:b/>
          <w:color w:val="auto"/>
          <w:sz w:val="24"/>
          <w:highlight w:val="none"/>
          <w:lang w:eastAsia="zh-CN"/>
        </w:rPr>
        <w:t>招标文件</w:t>
      </w:r>
      <w:r>
        <w:rPr>
          <w:rFonts w:hint="eastAsia" w:ascii="仿宋" w:hAnsi="仿宋" w:eastAsia="仿宋" w:cs="仿宋"/>
          <w:b/>
          <w:color w:val="auto"/>
          <w:sz w:val="24"/>
          <w:highlight w:val="none"/>
        </w:rPr>
        <w:t>要求附证明材料</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如文件还需提供其他信息可以自行扩充表格列数</w:t>
      </w:r>
      <w:r>
        <w:rPr>
          <w:rFonts w:hint="eastAsia" w:ascii="仿宋" w:hAnsi="仿宋" w:eastAsia="仿宋" w:cs="仿宋"/>
          <w:b/>
          <w:color w:val="auto"/>
          <w:sz w:val="24"/>
          <w:highlight w:val="none"/>
        </w:rPr>
        <w:t>。</w:t>
      </w:r>
    </w:p>
    <w:p w14:paraId="0013CF34">
      <w:pPr>
        <w:pStyle w:val="299"/>
        <w:spacing w:line="700" w:lineRule="exact"/>
        <w:rPr>
          <w:rFonts w:ascii="仿宋" w:hAnsi="仿宋" w:eastAsia="仿宋" w:cs="仿宋"/>
          <w:b/>
          <w:sz w:val="24"/>
          <w:szCs w:val="20"/>
          <w:highlight w:val="none"/>
        </w:rPr>
      </w:pPr>
      <w:r>
        <w:rPr>
          <w:rFonts w:hint="eastAsia" w:ascii="仿宋" w:hAnsi="仿宋" w:eastAsia="仿宋" w:cs="仿宋"/>
          <w:b/>
          <w:sz w:val="24"/>
          <w:szCs w:val="20"/>
          <w:highlight w:val="none"/>
        </w:rPr>
        <w:t>单位名称：</w:t>
      </w:r>
      <w:r>
        <w:rPr>
          <w:rFonts w:hint="eastAsia" w:ascii="仿宋" w:hAnsi="仿宋" w:eastAsia="仿宋" w:cs="仿宋"/>
          <w:sz w:val="24"/>
          <w:szCs w:val="20"/>
          <w:highlight w:val="none"/>
          <w:u w:val="single"/>
        </w:rPr>
        <w:t xml:space="preserve">                 </w:t>
      </w:r>
      <w:r>
        <w:rPr>
          <w:rFonts w:hint="eastAsia" w:ascii="仿宋" w:hAnsi="仿宋" w:eastAsia="仿宋" w:cs="仿宋"/>
          <w:b/>
          <w:sz w:val="24"/>
          <w:szCs w:val="20"/>
          <w:highlight w:val="none"/>
        </w:rPr>
        <w:t>（盖章）</w:t>
      </w:r>
      <w:r>
        <w:rPr>
          <w:rFonts w:hint="eastAsia" w:ascii="仿宋" w:hAnsi="仿宋" w:eastAsia="仿宋" w:cs="仿宋"/>
          <w:sz w:val="24"/>
          <w:szCs w:val="20"/>
          <w:highlight w:val="none"/>
        </w:rPr>
        <w:t xml:space="preserve"> </w:t>
      </w:r>
      <w:r>
        <w:rPr>
          <w:rFonts w:hint="eastAsia" w:ascii="仿宋" w:hAnsi="仿宋" w:eastAsia="仿宋" w:cs="仿宋"/>
          <w:b/>
          <w:sz w:val="24"/>
          <w:szCs w:val="20"/>
          <w:highlight w:val="none"/>
        </w:rPr>
        <w:t xml:space="preserve">                   </w:t>
      </w:r>
    </w:p>
    <w:p w14:paraId="529B29DD">
      <w:pPr>
        <w:pStyle w:val="313"/>
        <w:rPr>
          <w:rFonts w:ascii="仿宋" w:hAnsi="仿宋" w:eastAsia="仿宋" w:cs="仿宋"/>
          <w:highlight w:val="none"/>
        </w:rPr>
      </w:pPr>
      <w:r>
        <w:rPr>
          <w:rFonts w:hint="eastAsia" w:ascii="仿宋" w:hAnsi="仿宋" w:eastAsia="仿宋" w:cs="仿宋"/>
          <w:sz w:val="24"/>
          <w:szCs w:val="20"/>
          <w:highlight w:val="none"/>
        </w:rPr>
        <w:t>法定代表人（或授权代表）：</w:t>
      </w:r>
      <w:r>
        <w:rPr>
          <w:rFonts w:hint="eastAsia" w:ascii="仿宋" w:hAnsi="仿宋" w:eastAsia="仿宋" w:cs="仿宋"/>
          <w:sz w:val="24"/>
          <w:szCs w:val="20"/>
          <w:highlight w:val="none"/>
          <w:u w:val="single"/>
        </w:rPr>
        <w:t xml:space="preserve">                 </w:t>
      </w:r>
      <w:r>
        <w:rPr>
          <w:rFonts w:hint="eastAsia" w:ascii="仿宋" w:hAnsi="仿宋" w:eastAsia="仿宋" w:cs="仿宋"/>
          <w:sz w:val="24"/>
          <w:szCs w:val="20"/>
          <w:highlight w:val="none"/>
        </w:rPr>
        <w:t xml:space="preserve">（签字）                    </w:t>
      </w:r>
      <w:r>
        <w:rPr>
          <w:rFonts w:hint="eastAsia" w:ascii="仿宋" w:hAnsi="仿宋" w:eastAsia="仿宋" w:cs="仿宋"/>
          <w:highlight w:val="none"/>
        </w:rPr>
        <w:br w:type="page" w:clear="all"/>
      </w:r>
      <w:bookmarkEnd w:id="75"/>
      <w:bookmarkStart w:id="90" w:name="_Toc15017"/>
    </w:p>
    <w:p w14:paraId="4E90374C">
      <w:pPr>
        <w:pStyle w:val="313"/>
        <w:outlineLvl w:val="1"/>
        <w:rPr>
          <w:rStyle w:val="212"/>
          <w:rFonts w:ascii="仿宋" w:hAnsi="仿宋" w:eastAsia="仿宋" w:cs="仿宋"/>
          <w:highlight w:val="none"/>
        </w:rPr>
      </w:pPr>
      <w:r>
        <w:rPr>
          <w:rStyle w:val="212"/>
          <w:rFonts w:hint="eastAsia" w:ascii="仿宋" w:hAnsi="仿宋" w:eastAsia="仿宋" w:cs="仿宋"/>
          <w:highlight w:val="none"/>
        </w:rPr>
        <w:t>十</w:t>
      </w:r>
      <w:r>
        <w:rPr>
          <w:rStyle w:val="212"/>
          <w:rFonts w:hint="eastAsia" w:ascii="仿宋" w:hAnsi="仿宋" w:eastAsia="仿宋" w:cs="仿宋"/>
          <w:highlight w:val="none"/>
          <w:lang w:val="en-US" w:eastAsia="zh-CN"/>
        </w:rPr>
        <w:t>二</w:t>
      </w:r>
      <w:r>
        <w:rPr>
          <w:rStyle w:val="212"/>
          <w:rFonts w:hint="eastAsia" w:ascii="仿宋" w:hAnsi="仿宋" w:eastAsia="仿宋" w:cs="仿宋"/>
          <w:highlight w:val="none"/>
        </w:rPr>
        <w:t>、中小企业或残疾人福利性单位声明函</w:t>
      </w:r>
    </w:p>
    <w:p w14:paraId="1A45D931">
      <w:pPr>
        <w:pStyle w:val="291"/>
        <w:rPr>
          <w:rStyle w:val="212"/>
          <w:rFonts w:ascii="仿宋" w:hAnsi="仿宋" w:eastAsia="仿宋" w:cs="仿宋"/>
          <w:b/>
          <w:sz w:val="36"/>
          <w:szCs w:val="36"/>
          <w:highlight w:val="none"/>
        </w:rPr>
      </w:pPr>
    </w:p>
    <w:p w14:paraId="1538F8BC">
      <w:pPr>
        <w:pStyle w:val="291"/>
        <w:jc w:val="center"/>
        <w:rPr>
          <w:rStyle w:val="212"/>
          <w:rFonts w:ascii="仿宋" w:hAnsi="仿宋" w:eastAsia="仿宋" w:cs="仿宋"/>
          <w:b/>
          <w:sz w:val="36"/>
          <w:szCs w:val="36"/>
          <w:highlight w:val="none"/>
        </w:rPr>
      </w:pPr>
      <w:r>
        <w:rPr>
          <w:rStyle w:val="212"/>
          <w:rFonts w:hint="eastAsia" w:ascii="仿宋" w:hAnsi="仿宋" w:eastAsia="仿宋" w:cs="仿宋"/>
          <w:b/>
          <w:sz w:val="36"/>
          <w:szCs w:val="36"/>
          <w:highlight w:val="none"/>
        </w:rPr>
        <w:t>中小企业声明函（货物）</w:t>
      </w:r>
    </w:p>
    <w:p w14:paraId="407B274A">
      <w:pPr>
        <w:pStyle w:val="291"/>
        <w:jc w:val="left"/>
        <w:rPr>
          <w:rStyle w:val="212"/>
          <w:rFonts w:ascii="仿宋" w:hAnsi="仿宋" w:eastAsia="仿宋" w:cs="仿宋"/>
          <w:b/>
          <w:sz w:val="32"/>
          <w:szCs w:val="32"/>
          <w:highlight w:val="none"/>
        </w:rPr>
      </w:pPr>
    </w:p>
    <w:p w14:paraId="7F128586">
      <w:pPr>
        <w:pStyle w:val="291"/>
        <w:spacing w:line="500" w:lineRule="exact"/>
        <w:ind w:firstLine="480"/>
        <w:jc w:val="lef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本公司（联合体）郑重声明，根据《政府采购促进中小企业发展管理办法》（财库﹝2020﹞46 号）的规定，本公司（联合体）参加</w:t>
      </w:r>
      <w:r>
        <w:rPr>
          <w:rStyle w:val="212"/>
          <w:rFonts w:hint="eastAsia" w:ascii="仿宋" w:hAnsi="仿宋" w:eastAsia="仿宋" w:cs="仿宋"/>
          <w:sz w:val="24"/>
          <w:szCs w:val="24"/>
          <w:highlight w:val="none"/>
          <w:u w:val="single"/>
        </w:rPr>
        <w:t>（单位名称）</w:t>
      </w:r>
      <w:r>
        <w:rPr>
          <w:rStyle w:val="212"/>
          <w:rFonts w:hint="eastAsia" w:ascii="仿宋" w:hAnsi="仿宋" w:eastAsia="仿宋" w:cs="仿宋"/>
          <w:sz w:val="24"/>
          <w:szCs w:val="24"/>
          <w:highlight w:val="none"/>
        </w:rPr>
        <w:t>的</w:t>
      </w:r>
      <w:r>
        <w:rPr>
          <w:rStyle w:val="212"/>
          <w:rFonts w:hint="eastAsia" w:ascii="仿宋" w:hAnsi="仿宋" w:eastAsia="仿宋" w:cs="仿宋"/>
          <w:sz w:val="24"/>
          <w:szCs w:val="24"/>
          <w:highlight w:val="none"/>
          <w:u w:val="single"/>
        </w:rPr>
        <w:t>（项目名称）</w:t>
      </w:r>
      <w:r>
        <w:rPr>
          <w:rStyle w:val="212"/>
          <w:rFonts w:hint="eastAsia" w:ascii="仿宋" w:hAnsi="仿宋" w:eastAsia="仿宋" w:cs="仿宋"/>
          <w:sz w:val="24"/>
          <w:szCs w:val="24"/>
          <w:highlight w:val="none"/>
        </w:rPr>
        <w:t>采购活动，提供的货物全部由符合政策要求的中小企业制造。相关企业（含联合体中的中小企业、签订分包意向协议的中小企业）的具体情况如下：</w:t>
      </w:r>
    </w:p>
    <w:p w14:paraId="219F76D0">
      <w:pPr>
        <w:pStyle w:val="291"/>
        <w:spacing w:line="500" w:lineRule="exact"/>
        <w:ind w:firstLine="480"/>
        <w:jc w:val="lef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1.</w:t>
      </w:r>
      <w:r>
        <w:rPr>
          <w:rStyle w:val="212"/>
          <w:rFonts w:hint="eastAsia" w:ascii="仿宋" w:hAnsi="仿宋" w:eastAsia="仿宋" w:cs="仿宋"/>
          <w:sz w:val="24"/>
          <w:szCs w:val="24"/>
          <w:highlight w:val="none"/>
          <w:u w:val="single"/>
        </w:rPr>
        <w:t>（标的名称）</w:t>
      </w:r>
      <w:r>
        <w:rPr>
          <w:rStyle w:val="212"/>
          <w:rFonts w:hint="eastAsia" w:ascii="仿宋" w:hAnsi="仿宋" w:eastAsia="仿宋" w:cs="仿宋"/>
          <w:sz w:val="24"/>
          <w:szCs w:val="24"/>
          <w:highlight w:val="none"/>
        </w:rPr>
        <w:t>，属于</w:t>
      </w:r>
      <w:r>
        <w:rPr>
          <w:rStyle w:val="212"/>
          <w:rFonts w:hint="eastAsia" w:ascii="仿宋" w:hAnsi="仿宋" w:eastAsia="仿宋" w:cs="仿宋"/>
          <w:sz w:val="24"/>
          <w:szCs w:val="24"/>
          <w:highlight w:val="none"/>
          <w:u w:val="single"/>
        </w:rPr>
        <w:t>（采购文件中明确的所属行业）</w:t>
      </w:r>
      <w:r>
        <w:rPr>
          <w:rStyle w:val="212"/>
          <w:rFonts w:hint="eastAsia" w:ascii="仿宋" w:hAnsi="仿宋" w:eastAsia="仿宋" w:cs="仿宋"/>
          <w:sz w:val="24"/>
          <w:szCs w:val="24"/>
          <w:highlight w:val="none"/>
        </w:rPr>
        <w:t>行业；制造商为</w:t>
      </w:r>
      <w:r>
        <w:rPr>
          <w:rStyle w:val="212"/>
          <w:rFonts w:hint="eastAsia" w:ascii="仿宋" w:hAnsi="仿宋" w:eastAsia="仿宋" w:cs="仿宋"/>
          <w:sz w:val="24"/>
          <w:szCs w:val="24"/>
          <w:highlight w:val="none"/>
          <w:u w:val="single"/>
        </w:rPr>
        <w:t>（企业名称）</w:t>
      </w:r>
      <w:r>
        <w:rPr>
          <w:rStyle w:val="212"/>
          <w:rFonts w:hint="eastAsia" w:ascii="仿宋" w:hAnsi="仿宋" w:eastAsia="仿宋" w:cs="仿宋"/>
          <w:sz w:val="24"/>
          <w:szCs w:val="24"/>
          <w:highlight w:val="none"/>
        </w:rPr>
        <w:t>，从业人员</w:t>
      </w:r>
      <w:r>
        <w:rPr>
          <w:rStyle w:val="212"/>
          <w:rFonts w:hint="eastAsia" w:ascii="仿宋" w:hAnsi="仿宋" w:eastAsia="仿宋" w:cs="仿宋"/>
          <w:sz w:val="24"/>
          <w:szCs w:val="24"/>
          <w:highlight w:val="none"/>
          <w:u w:val="single"/>
        </w:rPr>
        <w:t xml:space="preserve">   </w:t>
      </w:r>
      <w:r>
        <w:rPr>
          <w:rStyle w:val="212"/>
          <w:rFonts w:hint="eastAsia" w:ascii="仿宋" w:hAnsi="仿宋" w:eastAsia="仿宋" w:cs="仿宋"/>
          <w:sz w:val="24"/>
          <w:szCs w:val="24"/>
          <w:highlight w:val="none"/>
        </w:rPr>
        <w:t>人，营业收入为</w:t>
      </w:r>
      <w:r>
        <w:rPr>
          <w:rStyle w:val="212"/>
          <w:rFonts w:hint="eastAsia" w:ascii="仿宋" w:hAnsi="仿宋" w:eastAsia="仿宋" w:cs="仿宋"/>
          <w:sz w:val="24"/>
          <w:szCs w:val="24"/>
          <w:highlight w:val="none"/>
          <w:u w:val="single"/>
        </w:rPr>
        <w:t xml:space="preserve">   </w:t>
      </w:r>
      <w:r>
        <w:rPr>
          <w:rStyle w:val="212"/>
          <w:rFonts w:hint="eastAsia" w:ascii="仿宋" w:hAnsi="仿宋" w:eastAsia="仿宋" w:cs="仿宋"/>
          <w:sz w:val="24"/>
          <w:szCs w:val="24"/>
          <w:highlight w:val="none"/>
        </w:rPr>
        <w:t>万元，资产总额为</w:t>
      </w:r>
      <w:r>
        <w:rPr>
          <w:rStyle w:val="212"/>
          <w:rFonts w:hint="eastAsia" w:ascii="仿宋" w:hAnsi="仿宋" w:eastAsia="仿宋" w:cs="仿宋"/>
          <w:sz w:val="24"/>
          <w:szCs w:val="24"/>
          <w:highlight w:val="none"/>
          <w:u w:val="single"/>
        </w:rPr>
        <w:t xml:space="preserve">   </w:t>
      </w:r>
      <w:r>
        <w:rPr>
          <w:rStyle w:val="212"/>
          <w:rFonts w:hint="eastAsia" w:ascii="仿宋" w:hAnsi="仿宋" w:eastAsia="仿宋" w:cs="仿宋"/>
          <w:sz w:val="24"/>
          <w:szCs w:val="24"/>
          <w:highlight w:val="none"/>
        </w:rPr>
        <w:t>万元</w:t>
      </w:r>
      <w:r>
        <w:rPr>
          <w:rStyle w:val="42"/>
          <w:rFonts w:hint="eastAsia" w:ascii="仿宋" w:hAnsi="仿宋" w:eastAsia="仿宋" w:cs="仿宋"/>
          <w:sz w:val="24"/>
          <w:szCs w:val="24"/>
          <w:highlight w:val="none"/>
        </w:rPr>
        <w:footnoteReference w:id="0"/>
      </w:r>
      <w:r>
        <w:rPr>
          <w:rStyle w:val="212"/>
          <w:rFonts w:hint="eastAsia" w:ascii="仿宋" w:hAnsi="仿宋" w:eastAsia="仿宋" w:cs="仿宋"/>
          <w:sz w:val="24"/>
          <w:szCs w:val="24"/>
          <w:highlight w:val="none"/>
        </w:rPr>
        <w:t>，属于</w:t>
      </w:r>
      <w:r>
        <w:rPr>
          <w:rStyle w:val="212"/>
          <w:rFonts w:hint="eastAsia" w:ascii="仿宋" w:hAnsi="仿宋" w:eastAsia="仿宋" w:cs="仿宋"/>
          <w:sz w:val="24"/>
          <w:szCs w:val="24"/>
          <w:highlight w:val="none"/>
          <w:u w:val="single"/>
        </w:rPr>
        <w:t>（中型企业、小型企业、微型企业）</w:t>
      </w:r>
      <w:r>
        <w:rPr>
          <w:rStyle w:val="212"/>
          <w:rFonts w:hint="eastAsia" w:ascii="仿宋" w:hAnsi="仿宋" w:eastAsia="仿宋" w:cs="仿宋"/>
          <w:sz w:val="24"/>
          <w:szCs w:val="24"/>
          <w:highlight w:val="none"/>
        </w:rPr>
        <w:t>；</w:t>
      </w:r>
    </w:p>
    <w:p w14:paraId="555FE25E">
      <w:pPr>
        <w:pStyle w:val="291"/>
        <w:spacing w:line="500" w:lineRule="exact"/>
        <w:ind w:firstLine="480"/>
        <w:jc w:val="lef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2.</w:t>
      </w:r>
      <w:r>
        <w:rPr>
          <w:rStyle w:val="212"/>
          <w:rFonts w:hint="eastAsia" w:ascii="仿宋" w:hAnsi="仿宋" w:eastAsia="仿宋" w:cs="仿宋"/>
          <w:sz w:val="24"/>
          <w:szCs w:val="24"/>
          <w:highlight w:val="none"/>
          <w:u w:val="single"/>
        </w:rPr>
        <w:t>（标的名称）</w:t>
      </w:r>
      <w:r>
        <w:rPr>
          <w:rStyle w:val="212"/>
          <w:rFonts w:hint="eastAsia" w:ascii="仿宋" w:hAnsi="仿宋" w:eastAsia="仿宋" w:cs="仿宋"/>
          <w:sz w:val="24"/>
          <w:szCs w:val="24"/>
          <w:highlight w:val="none"/>
        </w:rPr>
        <w:t>，属于</w:t>
      </w:r>
      <w:r>
        <w:rPr>
          <w:rStyle w:val="212"/>
          <w:rFonts w:hint="eastAsia" w:ascii="仿宋" w:hAnsi="仿宋" w:eastAsia="仿宋" w:cs="仿宋"/>
          <w:sz w:val="24"/>
          <w:szCs w:val="24"/>
          <w:highlight w:val="none"/>
          <w:u w:val="single"/>
        </w:rPr>
        <w:t>（采购文件中明确的所属行业）</w:t>
      </w:r>
      <w:r>
        <w:rPr>
          <w:rStyle w:val="212"/>
          <w:rFonts w:hint="eastAsia" w:ascii="仿宋" w:hAnsi="仿宋" w:eastAsia="仿宋" w:cs="仿宋"/>
          <w:sz w:val="24"/>
          <w:szCs w:val="24"/>
          <w:highlight w:val="none"/>
        </w:rPr>
        <w:t>行业；制造商为</w:t>
      </w:r>
      <w:r>
        <w:rPr>
          <w:rStyle w:val="212"/>
          <w:rFonts w:hint="eastAsia" w:ascii="仿宋" w:hAnsi="仿宋" w:eastAsia="仿宋" w:cs="仿宋"/>
          <w:sz w:val="24"/>
          <w:szCs w:val="24"/>
          <w:highlight w:val="none"/>
          <w:u w:val="single"/>
        </w:rPr>
        <w:t>（企业名称）</w:t>
      </w:r>
      <w:r>
        <w:rPr>
          <w:rStyle w:val="212"/>
          <w:rFonts w:hint="eastAsia" w:ascii="仿宋" w:hAnsi="仿宋" w:eastAsia="仿宋" w:cs="仿宋"/>
          <w:sz w:val="24"/>
          <w:szCs w:val="24"/>
          <w:highlight w:val="none"/>
        </w:rPr>
        <w:t>，从业人员</w:t>
      </w:r>
      <w:r>
        <w:rPr>
          <w:rStyle w:val="212"/>
          <w:rFonts w:hint="eastAsia" w:ascii="仿宋" w:hAnsi="仿宋" w:eastAsia="仿宋" w:cs="仿宋"/>
          <w:sz w:val="24"/>
          <w:szCs w:val="24"/>
          <w:highlight w:val="none"/>
          <w:u w:val="single"/>
        </w:rPr>
        <w:t xml:space="preserve">   </w:t>
      </w:r>
      <w:r>
        <w:rPr>
          <w:rStyle w:val="212"/>
          <w:rFonts w:hint="eastAsia" w:ascii="仿宋" w:hAnsi="仿宋" w:eastAsia="仿宋" w:cs="仿宋"/>
          <w:sz w:val="24"/>
          <w:szCs w:val="24"/>
          <w:highlight w:val="none"/>
        </w:rPr>
        <w:t>人，营业收入为</w:t>
      </w:r>
      <w:r>
        <w:rPr>
          <w:rStyle w:val="212"/>
          <w:rFonts w:hint="eastAsia" w:ascii="仿宋" w:hAnsi="仿宋" w:eastAsia="仿宋" w:cs="仿宋"/>
          <w:sz w:val="24"/>
          <w:szCs w:val="24"/>
          <w:highlight w:val="none"/>
          <w:u w:val="single"/>
        </w:rPr>
        <w:t xml:space="preserve">   </w:t>
      </w:r>
      <w:r>
        <w:rPr>
          <w:rStyle w:val="212"/>
          <w:rFonts w:hint="eastAsia" w:ascii="仿宋" w:hAnsi="仿宋" w:eastAsia="仿宋" w:cs="仿宋"/>
          <w:sz w:val="24"/>
          <w:szCs w:val="24"/>
          <w:highlight w:val="none"/>
        </w:rPr>
        <w:t>万元，资产总额为</w:t>
      </w:r>
      <w:r>
        <w:rPr>
          <w:rStyle w:val="212"/>
          <w:rFonts w:hint="eastAsia" w:ascii="仿宋" w:hAnsi="仿宋" w:eastAsia="仿宋" w:cs="仿宋"/>
          <w:sz w:val="24"/>
          <w:szCs w:val="24"/>
          <w:highlight w:val="none"/>
          <w:u w:val="single"/>
        </w:rPr>
        <w:t xml:space="preserve">   </w:t>
      </w:r>
      <w:r>
        <w:rPr>
          <w:rStyle w:val="212"/>
          <w:rFonts w:hint="eastAsia" w:ascii="仿宋" w:hAnsi="仿宋" w:eastAsia="仿宋" w:cs="仿宋"/>
          <w:sz w:val="24"/>
          <w:szCs w:val="24"/>
          <w:highlight w:val="none"/>
        </w:rPr>
        <w:t>万元，属于</w:t>
      </w:r>
      <w:r>
        <w:rPr>
          <w:rStyle w:val="212"/>
          <w:rFonts w:hint="eastAsia" w:ascii="仿宋" w:hAnsi="仿宋" w:eastAsia="仿宋" w:cs="仿宋"/>
          <w:sz w:val="24"/>
          <w:szCs w:val="24"/>
          <w:highlight w:val="none"/>
          <w:u w:val="single"/>
        </w:rPr>
        <w:t>（中型企业、小型企业、微型企业）</w:t>
      </w:r>
      <w:r>
        <w:rPr>
          <w:rStyle w:val="212"/>
          <w:rFonts w:hint="eastAsia" w:ascii="仿宋" w:hAnsi="仿宋" w:eastAsia="仿宋" w:cs="仿宋"/>
          <w:sz w:val="24"/>
          <w:szCs w:val="24"/>
          <w:highlight w:val="none"/>
        </w:rPr>
        <w:t>；</w:t>
      </w:r>
    </w:p>
    <w:p w14:paraId="5AF9EA72">
      <w:pPr>
        <w:pStyle w:val="291"/>
        <w:spacing w:line="500" w:lineRule="exact"/>
        <w:ind w:firstLine="480"/>
        <w:jc w:val="lef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w:t>
      </w:r>
    </w:p>
    <w:p w14:paraId="7C5F39BC">
      <w:pPr>
        <w:pStyle w:val="291"/>
        <w:spacing w:line="500" w:lineRule="exact"/>
        <w:ind w:firstLine="480"/>
        <w:jc w:val="lef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以上企业，不属于大企业的分支机构，不存在控股股东为大企业的情形，也不存在与大企业的负责人为同一人的情形。</w:t>
      </w:r>
    </w:p>
    <w:p w14:paraId="04A2A05E">
      <w:pPr>
        <w:pStyle w:val="291"/>
        <w:spacing w:line="500" w:lineRule="exact"/>
        <w:ind w:firstLine="480"/>
        <w:jc w:val="lef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本企业对上述声明内容的真实性负责。如有虚假，将依法承担相应责任。</w:t>
      </w:r>
    </w:p>
    <w:p w14:paraId="0B06A28F">
      <w:pPr>
        <w:pStyle w:val="291"/>
        <w:spacing w:line="500" w:lineRule="exact"/>
        <w:ind w:firstLine="480"/>
        <w:jc w:val="center"/>
        <w:rPr>
          <w:rStyle w:val="212"/>
          <w:rFonts w:ascii="仿宋" w:hAnsi="仿宋" w:eastAsia="仿宋" w:cs="仿宋"/>
          <w:sz w:val="24"/>
          <w:szCs w:val="24"/>
          <w:highlight w:val="none"/>
        </w:rPr>
      </w:pPr>
    </w:p>
    <w:p w14:paraId="4236755A">
      <w:pPr>
        <w:pStyle w:val="291"/>
        <w:spacing w:line="500" w:lineRule="exact"/>
        <w:ind w:firstLine="480"/>
        <w:jc w:val="righ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 xml:space="preserve">企业名称（盖章）：                 </w:t>
      </w:r>
    </w:p>
    <w:p w14:paraId="54B3FF48">
      <w:pPr>
        <w:pStyle w:val="291"/>
        <w:spacing w:line="500" w:lineRule="exact"/>
        <w:ind w:firstLine="480"/>
        <w:jc w:val="right"/>
        <w:rPr>
          <w:rStyle w:val="212"/>
          <w:rFonts w:ascii="仿宋" w:hAnsi="仿宋" w:eastAsia="仿宋" w:cs="仿宋"/>
          <w:sz w:val="24"/>
          <w:szCs w:val="24"/>
          <w:highlight w:val="none"/>
        </w:rPr>
      </w:pPr>
      <w:r>
        <w:rPr>
          <w:rStyle w:val="212"/>
          <w:rFonts w:hint="eastAsia" w:ascii="仿宋" w:hAnsi="仿宋" w:eastAsia="仿宋" w:cs="仿宋"/>
          <w:sz w:val="24"/>
          <w:szCs w:val="24"/>
          <w:highlight w:val="none"/>
        </w:rPr>
        <w:t xml:space="preserve">日期：    年   月   日          </w:t>
      </w:r>
    </w:p>
    <w:p w14:paraId="58F689CA">
      <w:pPr>
        <w:pStyle w:val="291"/>
        <w:spacing w:line="500" w:lineRule="exact"/>
        <w:ind w:firstLine="480"/>
        <w:rPr>
          <w:rStyle w:val="212"/>
          <w:rFonts w:ascii="仿宋" w:hAnsi="仿宋" w:eastAsia="仿宋" w:cs="仿宋"/>
          <w:sz w:val="24"/>
          <w:szCs w:val="24"/>
          <w:highlight w:val="none"/>
        </w:rPr>
      </w:pPr>
    </w:p>
    <w:p w14:paraId="64D97112">
      <w:pPr>
        <w:pStyle w:val="291"/>
        <w:spacing w:line="560" w:lineRule="exact"/>
        <w:ind w:firstLine="360"/>
        <w:rPr>
          <w:rStyle w:val="212"/>
          <w:rFonts w:ascii="仿宋" w:hAnsi="仿宋" w:eastAsia="仿宋" w:cs="仿宋"/>
          <w:sz w:val="18"/>
          <w:szCs w:val="18"/>
          <w:highlight w:val="none"/>
        </w:rPr>
      </w:pPr>
    </w:p>
    <w:p w14:paraId="78F1030E">
      <w:pPr>
        <w:pStyle w:val="291"/>
        <w:spacing w:before="151" w:after="151" w:line="600" w:lineRule="exact"/>
        <w:jc w:val="center"/>
        <w:rPr>
          <w:rStyle w:val="212"/>
          <w:rFonts w:ascii="仿宋" w:hAnsi="仿宋" w:eastAsia="仿宋" w:cs="仿宋"/>
          <w:b/>
          <w:bCs/>
          <w:sz w:val="32"/>
          <w:szCs w:val="32"/>
          <w:highlight w:val="none"/>
        </w:rPr>
      </w:pPr>
    </w:p>
    <w:p w14:paraId="22666690">
      <w:pPr>
        <w:pStyle w:val="600"/>
        <w:spacing w:before="151" w:after="151" w:line="240" w:lineRule="atLeast"/>
        <w:ind w:firstLine="445"/>
        <w:rPr>
          <w:rStyle w:val="212"/>
          <w:rFonts w:ascii="仿宋" w:hAnsi="仿宋" w:eastAsia="仿宋" w:cs="仿宋"/>
          <w:color w:val="FF0000"/>
          <w:sz w:val="24"/>
          <w:highlight w:val="none"/>
        </w:rPr>
      </w:pPr>
      <w:r>
        <w:rPr>
          <w:rFonts w:hint="eastAsia" w:hAnsi="宋体"/>
          <w:szCs w:val="24"/>
          <w:highlight w:val="none"/>
        </w:rPr>
        <w:br w:type="page" w:clear="all"/>
      </w:r>
      <w:r>
        <w:rPr>
          <w:rStyle w:val="212"/>
          <w:rFonts w:hint="eastAsia" w:ascii="仿宋" w:hAnsi="仿宋" w:eastAsia="仿宋" w:cs="仿宋"/>
          <w:color w:val="FF0000"/>
          <w:sz w:val="24"/>
          <w:highlight w:val="none"/>
        </w:rPr>
        <w:t>根据</w:t>
      </w:r>
      <w:r>
        <w:rPr>
          <w:rStyle w:val="212"/>
          <w:rFonts w:hint="eastAsia" w:ascii="仿宋" w:hAnsi="仿宋" w:eastAsia="仿宋" w:cs="仿宋"/>
          <w:color w:val="FF0000"/>
          <w:sz w:val="24"/>
          <w:highlight w:val="none"/>
          <w:lang w:eastAsia="zh-CN"/>
        </w:rPr>
        <w:t>投标人</w:t>
      </w:r>
      <w:r>
        <w:rPr>
          <w:rStyle w:val="212"/>
          <w:rFonts w:hint="eastAsia" w:ascii="仿宋" w:hAnsi="仿宋" w:eastAsia="仿宋" w:cs="仿宋"/>
          <w:color w:val="FF0000"/>
          <w:sz w:val="24"/>
          <w:highlight w:val="none"/>
        </w:rPr>
        <w:t>和产品本身提供相关材料，不适用的无需提供</w:t>
      </w:r>
    </w:p>
    <w:p w14:paraId="5F72802C">
      <w:pPr>
        <w:spacing w:before="50" w:line="360" w:lineRule="auto"/>
        <w:ind w:left="100"/>
        <w:jc w:val="left"/>
        <w:outlineLvl w:val="2"/>
        <w:rPr>
          <w:rStyle w:val="212"/>
          <w:rFonts w:ascii="仿宋" w:hAnsi="仿宋" w:eastAsia="仿宋" w:cs="仿宋"/>
          <w:b/>
          <w:bCs/>
          <w:sz w:val="32"/>
          <w:szCs w:val="32"/>
          <w:highlight w:val="none"/>
        </w:rPr>
      </w:pPr>
      <w:r>
        <w:rPr>
          <w:rFonts w:hint="eastAsia" w:hAnsi="宋体"/>
          <w:b/>
          <w:bCs/>
          <w:highlight w:val="none"/>
        </w:rPr>
        <w:t>（一）残疾人福利性单位声明函格式</w:t>
      </w:r>
    </w:p>
    <w:p w14:paraId="14E7FA00">
      <w:pPr>
        <w:pStyle w:val="600"/>
        <w:spacing w:before="151" w:after="151" w:line="600" w:lineRule="exact"/>
        <w:jc w:val="center"/>
        <w:rPr>
          <w:rStyle w:val="212"/>
          <w:rFonts w:ascii="仿宋" w:hAnsi="仿宋" w:eastAsia="仿宋" w:cs="仿宋"/>
          <w:b/>
          <w:bCs/>
          <w:sz w:val="32"/>
          <w:szCs w:val="32"/>
          <w:highlight w:val="none"/>
        </w:rPr>
      </w:pPr>
      <w:r>
        <w:rPr>
          <w:rStyle w:val="212"/>
          <w:rFonts w:hint="eastAsia" w:ascii="仿宋" w:hAnsi="仿宋" w:eastAsia="仿宋" w:cs="仿宋"/>
          <w:b/>
          <w:bCs/>
          <w:sz w:val="32"/>
          <w:szCs w:val="32"/>
          <w:highlight w:val="none"/>
        </w:rPr>
        <w:t>残疾人福利性单位声明函</w:t>
      </w:r>
    </w:p>
    <w:p w14:paraId="40E0A3F6">
      <w:pPr>
        <w:pStyle w:val="601"/>
        <w:spacing w:line="588" w:lineRule="exact"/>
        <w:rPr>
          <w:rStyle w:val="212"/>
          <w:rFonts w:ascii="仿宋" w:hAnsi="仿宋" w:eastAsia="仿宋" w:cs="仿宋"/>
          <w:b/>
          <w:spacing w:val="6"/>
          <w:sz w:val="30"/>
          <w:szCs w:val="30"/>
          <w:highlight w:val="none"/>
        </w:rPr>
      </w:pPr>
    </w:p>
    <w:p w14:paraId="5BCD18D3">
      <w:pPr>
        <w:pStyle w:val="600"/>
        <w:spacing w:line="500" w:lineRule="exact"/>
        <w:ind w:firstLine="480"/>
        <w:rPr>
          <w:rStyle w:val="212"/>
          <w:rFonts w:ascii="仿宋" w:hAnsi="仿宋" w:eastAsia="仿宋" w:cs="仿宋"/>
          <w:sz w:val="24"/>
          <w:highlight w:val="none"/>
        </w:rPr>
      </w:pPr>
      <w:r>
        <w:rPr>
          <w:rStyle w:val="212"/>
          <w:rFonts w:hint="eastAsia" w:ascii="仿宋" w:hAnsi="仿宋" w:eastAsia="仿宋" w:cs="仿宋"/>
          <w:sz w:val="24"/>
          <w:highlight w:val="none"/>
        </w:rPr>
        <w:t>本单位郑重声明，根据《财政部 民政部 中国残疾人联合会关于促进残疾人就业政府采购政策的通知》（财库〔2017〕141号）的规定，本单位为符合条件的残疾人福利性单位，且本单位参加</w:t>
      </w:r>
      <w:r>
        <w:rPr>
          <w:rStyle w:val="212"/>
          <w:rFonts w:hint="eastAsia" w:ascii="仿宋" w:hAnsi="仿宋" w:eastAsia="仿宋" w:cs="仿宋"/>
          <w:sz w:val="24"/>
          <w:highlight w:val="none"/>
          <w:u w:val="single"/>
        </w:rPr>
        <w:t xml:space="preserve">          </w:t>
      </w:r>
      <w:r>
        <w:rPr>
          <w:rStyle w:val="212"/>
          <w:rFonts w:hint="eastAsia" w:ascii="仿宋" w:hAnsi="仿宋" w:eastAsia="仿宋" w:cs="仿宋"/>
          <w:sz w:val="24"/>
          <w:highlight w:val="none"/>
        </w:rPr>
        <w:t>的</w:t>
      </w:r>
      <w:r>
        <w:rPr>
          <w:rStyle w:val="212"/>
          <w:rFonts w:hint="eastAsia" w:ascii="仿宋" w:hAnsi="仿宋" w:eastAsia="仿宋" w:cs="仿宋"/>
          <w:sz w:val="24"/>
          <w:highlight w:val="none"/>
          <w:u w:val="single"/>
        </w:rPr>
        <w:t xml:space="preserve">                  </w:t>
      </w:r>
      <w:r>
        <w:rPr>
          <w:rStyle w:val="212"/>
          <w:rFonts w:hint="eastAsia" w:ascii="仿宋" w:hAnsi="仿宋" w:eastAsia="仿宋" w:cs="仿宋"/>
          <w:sz w:val="24"/>
          <w:highlight w:val="none"/>
        </w:rPr>
        <w:t>项目采购活动提供本单位制造的货物（由本单位承担工程/提供服务），或者提供其他残疾人福利性单位制造的货物（不包括使用非残疾人福利性单位注册商标的货物）。</w:t>
      </w:r>
    </w:p>
    <w:p w14:paraId="5C8C8237">
      <w:pPr>
        <w:pStyle w:val="600"/>
        <w:spacing w:line="500" w:lineRule="exact"/>
        <w:ind w:firstLine="480"/>
        <w:rPr>
          <w:rStyle w:val="212"/>
          <w:rFonts w:ascii="仿宋" w:hAnsi="仿宋" w:eastAsia="仿宋" w:cs="仿宋"/>
          <w:sz w:val="24"/>
          <w:highlight w:val="none"/>
        </w:rPr>
      </w:pPr>
      <w:r>
        <w:rPr>
          <w:rStyle w:val="212"/>
          <w:rFonts w:hint="eastAsia" w:ascii="仿宋" w:hAnsi="仿宋" w:eastAsia="仿宋" w:cs="仿宋"/>
          <w:sz w:val="24"/>
          <w:highlight w:val="none"/>
        </w:rPr>
        <w:t>本单位对上述声明的真实性负责。如有虚假，将依法承担相应责任。</w:t>
      </w:r>
    </w:p>
    <w:p w14:paraId="200C9DF4">
      <w:pPr>
        <w:pStyle w:val="602"/>
        <w:spacing w:line="500" w:lineRule="exact"/>
        <w:ind w:firstLine="3810"/>
        <w:rPr>
          <w:rStyle w:val="212"/>
          <w:rFonts w:ascii="仿宋" w:hAnsi="仿宋" w:eastAsia="仿宋" w:cs="仿宋"/>
          <w:spacing w:val="6"/>
          <w:sz w:val="24"/>
          <w:szCs w:val="24"/>
          <w:highlight w:val="none"/>
        </w:rPr>
      </w:pPr>
    </w:p>
    <w:p w14:paraId="751656E2">
      <w:pPr>
        <w:pStyle w:val="602"/>
        <w:spacing w:line="500" w:lineRule="exact"/>
        <w:ind w:firstLine="3628"/>
        <w:jc w:val="left"/>
        <w:rPr>
          <w:rStyle w:val="212"/>
          <w:rFonts w:ascii="仿宋" w:hAnsi="仿宋" w:eastAsia="仿宋" w:cs="仿宋"/>
          <w:sz w:val="24"/>
          <w:highlight w:val="none"/>
        </w:rPr>
      </w:pPr>
    </w:p>
    <w:p w14:paraId="1FBF9376">
      <w:pPr>
        <w:pStyle w:val="602"/>
        <w:spacing w:line="500" w:lineRule="exact"/>
        <w:ind w:firstLine="480"/>
        <w:jc w:val="left"/>
        <w:rPr>
          <w:rStyle w:val="212"/>
          <w:rFonts w:ascii="仿宋" w:hAnsi="仿宋" w:eastAsia="仿宋" w:cs="仿宋"/>
          <w:sz w:val="24"/>
          <w:highlight w:val="none"/>
        </w:rPr>
      </w:pPr>
      <w:r>
        <w:rPr>
          <w:rStyle w:val="212"/>
          <w:rFonts w:hint="eastAsia" w:ascii="仿宋" w:hAnsi="仿宋" w:eastAsia="仿宋" w:cs="仿宋"/>
          <w:sz w:val="24"/>
          <w:highlight w:val="none"/>
        </w:rPr>
        <w:t>单位名称：</w:t>
      </w:r>
      <w:r>
        <w:rPr>
          <w:rStyle w:val="212"/>
          <w:rFonts w:hint="eastAsia" w:ascii="仿宋" w:hAnsi="仿宋" w:eastAsia="仿宋" w:cs="仿宋"/>
          <w:sz w:val="24"/>
          <w:highlight w:val="none"/>
          <w:u w:val="single"/>
        </w:rPr>
        <w:t xml:space="preserve">              </w:t>
      </w:r>
      <w:r>
        <w:rPr>
          <w:rStyle w:val="212"/>
          <w:rFonts w:hint="eastAsia" w:ascii="仿宋" w:hAnsi="仿宋" w:eastAsia="仿宋" w:cs="仿宋"/>
          <w:sz w:val="24"/>
          <w:highlight w:val="none"/>
        </w:rPr>
        <w:t>（盖章）</w:t>
      </w:r>
    </w:p>
    <w:p w14:paraId="4E91BBF2">
      <w:pPr>
        <w:pStyle w:val="291"/>
        <w:spacing w:line="500" w:lineRule="exact"/>
        <w:ind w:firstLine="480"/>
        <w:jc w:val="left"/>
        <w:rPr>
          <w:rStyle w:val="212"/>
          <w:rFonts w:ascii="仿宋" w:hAnsi="仿宋" w:eastAsia="仿宋" w:cs="仿宋"/>
          <w:sz w:val="24"/>
          <w:szCs w:val="20"/>
          <w:highlight w:val="none"/>
        </w:rPr>
      </w:pPr>
      <w:r>
        <w:rPr>
          <w:rStyle w:val="212"/>
          <w:rFonts w:hint="eastAsia" w:ascii="仿宋" w:hAnsi="仿宋" w:eastAsia="仿宋" w:cs="仿宋"/>
          <w:sz w:val="24"/>
          <w:szCs w:val="20"/>
          <w:highlight w:val="none"/>
        </w:rPr>
        <w:t>日期：  年  月  日</w:t>
      </w:r>
    </w:p>
    <w:p w14:paraId="56BD7EC6">
      <w:pPr>
        <w:pStyle w:val="603"/>
        <w:spacing w:line="500" w:lineRule="exact"/>
        <w:ind w:firstLine="0"/>
        <w:rPr>
          <w:rStyle w:val="212"/>
          <w:rFonts w:ascii="仿宋" w:hAnsi="仿宋" w:eastAsia="仿宋" w:cs="仿宋"/>
          <w:sz w:val="24"/>
          <w:szCs w:val="24"/>
          <w:highlight w:val="none"/>
        </w:rPr>
      </w:pPr>
    </w:p>
    <w:p w14:paraId="5E6F2285">
      <w:pPr>
        <w:spacing w:before="50" w:line="360" w:lineRule="auto"/>
        <w:ind w:left="100"/>
        <w:jc w:val="left"/>
        <w:rPr>
          <w:rFonts w:hAnsi="宋体"/>
          <w:highlight w:val="none"/>
        </w:rPr>
      </w:pPr>
    </w:p>
    <w:p w14:paraId="02E0E339">
      <w:pPr>
        <w:spacing w:before="50" w:line="360" w:lineRule="auto"/>
        <w:ind w:left="100"/>
        <w:jc w:val="left"/>
        <w:outlineLvl w:val="2"/>
        <w:rPr>
          <w:rFonts w:hAnsi="宋体"/>
          <w:b/>
          <w:bCs/>
          <w:highlight w:val="none"/>
        </w:rPr>
      </w:pPr>
      <w:r>
        <w:rPr>
          <w:rFonts w:hint="eastAsia" w:hAnsi="宋体"/>
          <w:b/>
          <w:bCs/>
          <w:highlight w:val="none"/>
        </w:rPr>
        <w:t>（二）属于监狱企业的证明文件</w:t>
      </w:r>
    </w:p>
    <w:p w14:paraId="09EB3A7B">
      <w:pPr>
        <w:spacing w:line="360" w:lineRule="auto"/>
        <w:ind w:firstLine="480"/>
        <w:rPr>
          <w:rFonts w:hAnsi="宋体"/>
          <w:highlight w:val="none"/>
        </w:rPr>
      </w:pPr>
      <w:r>
        <w:rPr>
          <w:rFonts w:hint="eastAsia" w:hAnsi="宋体"/>
          <w:highlight w:val="none"/>
        </w:rPr>
        <w:t>提供由省级以上监狱管理局、戒毒管理局(含新疆生产建设兵团)出具的属于监狱企业的证明文件</w:t>
      </w:r>
    </w:p>
    <w:p w14:paraId="69F37D68">
      <w:pPr>
        <w:spacing w:line="360" w:lineRule="auto"/>
        <w:ind w:firstLine="480"/>
        <w:rPr>
          <w:rFonts w:hAnsi="宋体"/>
          <w:highlight w:val="none"/>
        </w:rPr>
      </w:pPr>
    </w:p>
    <w:p w14:paraId="2E59289F">
      <w:pPr>
        <w:spacing w:before="50" w:line="360" w:lineRule="auto"/>
        <w:ind w:left="100"/>
        <w:jc w:val="left"/>
        <w:outlineLvl w:val="2"/>
        <w:rPr>
          <w:rFonts w:hAnsi="宋体"/>
          <w:b/>
          <w:bCs/>
          <w:highlight w:val="none"/>
        </w:rPr>
      </w:pPr>
      <w:r>
        <w:rPr>
          <w:rFonts w:hint="eastAsia" w:hAnsi="宋体"/>
          <w:b/>
          <w:bCs/>
          <w:highlight w:val="none"/>
        </w:rPr>
        <w:t>（三）节能产品认证文件</w:t>
      </w:r>
    </w:p>
    <w:p w14:paraId="54E7BF7D">
      <w:pPr>
        <w:spacing w:line="360" w:lineRule="auto"/>
        <w:ind w:firstLine="480"/>
        <w:rPr>
          <w:rFonts w:hAnsi="宋体"/>
          <w:highlight w:val="none"/>
        </w:rPr>
      </w:pPr>
      <w:r>
        <w:rPr>
          <w:rFonts w:hint="eastAsia" w:hAnsi="宋体"/>
          <w:highlight w:val="none"/>
        </w:rPr>
        <w:t>提供其投标产品在《节能产品政府采购清单》中相应的页面截图及相关证明材料</w:t>
      </w:r>
    </w:p>
    <w:p w14:paraId="1DB99DF5">
      <w:pPr>
        <w:spacing w:line="360" w:lineRule="auto"/>
        <w:ind w:firstLine="480"/>
        <w:rPr>
          <w:rFonts w:hAnsi="宋体"/>
          <w:highlight w:val="none"/>
        </w:rPr>
      </w:pPr>
    </w:p>
    <w:p w14:paraId="28D50703">
      <w:pPr>
        <w:spacing w:before="50" w:line="360" w:lineRule="auto"/>
        <w:ind w:left="100"/>
        <w:jc w:val="left"/>
        <w:outlineLvl w:val="2"/>
        <w:rPr>
          <w:rFonts w:hAnsi="宋体"/>
          <w:b/>
          <w:bCs/>
          <w:highlight w:val="none"/>
        </w:rPr>
      </w:pPr>
      <w:r>
        <w:rPr>
          <w:rFonts w:hint="eastAsia" w:hAnsi="宋体"/>
          <w:b/>
          <w:bCs/>
          <w:highlight w:val="none"/>
        </w:rPr>
        <w:t>（四）环境标志产品认证文件</w:t>
      </w:r>
    </w:p>
    <w:p w14:paraId="224D399E">
      <w:pPr>
        <w:spacing w:line="360" w:lineRule="auto"/>
        <w:ind w:firstLine="480"/>
        <w:rPr>
          <w:rFonts w:hAnsi="宋体"/>
          <w:highlight w:val="none"/>
        </w:rPr>
      </w:pPr>
      <w:r>
        <w:rPr>
          <w:rFonts w:hint="eastAsia" w:hAnsi="宋体"/>
          <w:highlight w:val="none"/>
        </w:rPr>
        <w:t>提供其投标产品在《环境标志产品政府采购清单》中相应的页面截图及相关证明材料</w:t>
      </w:r>
    </w:p>
    <w:p w14:paraId="4E776B0B">
      <w:pPr>
        <w:pStyle w:val="330"/>
        <w:outlineLvl w:val="1"/>
        <w:rPr>
          <w:rFonts w:ascii="仿宋" w:hAnsi="仿宋" w:eastAsia="仿宋" w:cs="仿宋"/>
          <w:b/>
          <w:sz w:val="32"/>
          <w:szCs w:val="24"/>
          <w:highlight w:val="none"/>
        </w:rPr>
      </w:pPr>
      <w:r>
        <w:rPr>
          <w:rFonts w:hint="eastAsia" w:ascii="仿宋" w:hAnsi="仿宋" w:eastAsia="仿宋" w:cs="仿宋"/>
          <w:highlight w:val="none"/>
        </w:rPr>
        <w:br w:type="page" w:clear="all"/>
      </w:r>
      <w:r>
        <w:rPr>
          <w:rFonts w:hint="eastAsia" w:ascii="仿宋" w:hAnsi="仿宋" w:eastAsia="仿宋" w:cs="仿宋"/>
          <w:b/>
          <w:sz w:val="32"/>
          <w:szCs w:val="24"/>
          <w:highlight w:val="none"/>
        </w:rPr>
        <w:t>十</w:t>
      </w:r>
      <w:r>
        <w:rPr>
          <w:rFonts w:hint="eastAsia" w:ascii="仿宋" w:hAnsi="仿宋" w:eastAsia="仿宋" w:cs="仿宋"/>
          <w:b/>
          <w:sz w:val="32"/>
          <w:szCs w:val="24"/>
          <w:highlight w:val="none"/>
          <w:lang w:val="en-US" w:eastAsia="zh-CN"/>
        </w:rPr>
        <w:t>三</w:t>
      </w:r>
      <w:r>
        <w:rPr>
          <w:rFonts w:hint="eastAsia" w:ascii="仿宋" w:hAnsi="仿宋" w:eastAsia="仿宋" w:cs="仿宋"/>
          <w:b/>
          <w:sz w:val="32"/>
          <w:szCs w:val="24"/>
          <w:highlight w:val="none"/>
        </w:rPr>
        <w:t>、投标所需的其他资料</w:t>
      </w:r>
      <w:bookmarkEnd w:id="90"/>
    </w:p>
    <w:p w14:paraId="248AAC82">
      <w:pPr>
        <w:pStyle w:val="330"/>
        <w:ind w:firstLine="420" w:firstLineChars="200"/>
        <w:rPr>
          <w:rFonts w:ascii="仿宋" w:hAnsi="仿宋" w:eastAsia="仿宋" w:cs="仿宋"/>
          <w:highlight w:val="none"/>
        </w:rPr>
      </w:pPr>
      <w:r>
        <w:rPr>
          <w:rFonts w:hint="eastAsia" w:ascii="仿宋" w:hAnsi="仿宋" w:eastAsia="仿宋" w:cs="仿宋"/>
          <w:highlight w:val="none"/>
        </w:rPr>
        <w:t>请在此文档中增加投标所需其他相关内容（包括但不限于资格要求、评分办法、采购需求中涉及的证件证明及</w:t>
      </w:r>
      <w:r>
        <w:rPr>
          <w:rFonts w:hint="eastAsia" w:ascii="仿宋" w:hAnsi="仿宋" w:eastAsia="仿宋" w:cs="仿宋"/>
          <w:highlight w:val="none"/>
          <w:lang w:eastAsia="zh-CN"/>
        </w:rPr>
        <w:t>其他投标人</w:t>
      </w:r>
      <w:r>
        <w:rPr>
          <w:rFonts w:hint="eastAsia" w:ascii="仿宋" w:hAnsi="仿宋" w:eastAsia="仿宋" w:cs="仿宋"/>
          <w:highlight w:val="none"/>
        </w:rPr>
        <w:t>认为有必要提供的资料），如没有请空置。</w:t>
      </w:r>
    </w:p>
    <w:sectPr>
      <w:footerReference r:id="rId5" w:type="default"/>
      <w:pgSz w:w="11906" w:h="16838"/>
      <w:pgMar w:top="1440" w:right="1474" w:bottom="1440" w:left="1588"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7E48D6A-966A-428D-A9AC-418910233421}"/>
  </w:font>
  <w:font w:name="黑体">
    <w:panose1 w:val="02010609060101010101"/>
    <w:charset w:val="86"/>
    <w:family w:val="auto"/>
    <w:pitch w:val="default"/>
    <w:sig w:usb0="800002BF" w:usb1="38CF7CFA" w:usb2="00000016" w:usb3="00000000" w:csb0="00040001" w:csb1="00000000"/>
    <w:embedRegular r:id="rId2" w:fontKey="{4BDA0A21-8650-45A2-B604-BDF11D0102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3E7CF0B-27E2-4B14-BED8-3CA2B80574B9}"/>
  </w:font>
  <w:font w:name="仿宋_GB2312">
    <w:panose1 w:val="02010609030101010101"/>
    <w:charset w:val="86"/>
    <w:family w:val="modern"/>
    <w:pitch w:val="default"/>
    <w:sig w:usb0="00000001" w:usb1="080E0000" w:usb2="00000000" w:usb3="00000000" w:csb0="00040000" w:csb1="00000000"/>
    <w:embedRegular r:id="rId4" w:fontKey="{7B5EF7CC-1EF6-469F-825C-F34DB55E2AFA}"/>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Kingsoft Phonetic Plain">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Helvetica">
    <w:altName w:val="Arial"/>
    <w:panose1 w:val="020B0504020202020204"/>
    <w:charset w:val="00"/>
    <w:family w:val="swiss"/>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Helvetica-Light">
    <w:altName w:val="DejaVu Math TeX Gyre"/>
    <w:panose1 w:val="00000000000000000000"/>
    <w:charset w:val="00"/>
    <w:family w:val="auto"/>
    <w:pitch w:val="default"/>
    <w:sig w:usb0="00000000" w:usb1="00000000" w:usb2="00000000" w:usb3="00000000" w:csb0="00000000" w:csb1="00000000"/>
  </w:font>
  <w:font w:name="Book Antiqua">
    <w:panose1 w:val="02040602050305030304"/>
    <w:charset w:val="00"/>
    <w:family w:val="roman"/>
    <w:pitch w:val="default"/>
    <w:sig w:usb0="00000287" w:usb1="00000000" w:usb2="00000000" w:usb3="00000000" w:csb0="2000009F" w:csb1="DFD70000"/>
  </w:font>
  <w:font w:name="华文琥珀">
    <w:panose1 w:val="02010800040101010101"/>
    <w:charset w:val="86"/>
    <w:family w:val="auto"/>
    <w:pitch w:val="default"/>
    <w:sig w:usb0="00000001" w:usb1="080F0000" w:usb2="00000000" w:usb3="00000000" w:csb0="00040000" w:csb1="00000000"/>
    <w:embedRegular r:id="rId5" w:fontKey="{906F4D1E-8D5C-4722-8AE9-FABE947B4096}"/>
  </w:font>
  <w:font w:name="仿宋">
    <w:panose1 w:val="02010609060101010101"/>
    <w:charset w:val="86"/>
    <w:family w:val="modern"/>
    <w:pitch w:val="default"/>
    <w:sig w:usb0="800002BF" w:usb1="38CF7CFA" w:usb2="00000016" w:usb3="00000000" w:csb0="00040001" w:csb1="00000000"/>
    <w:embedRegular r:id="rId6" w:fontKey="{FB26F778-F06A-45AC-A7D6-05584EF563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B6971">
    <w:pPr>
      <w:pStyle w:val="250"/>
      <w:framePr w:wrap="around" w:vAnchor="text" w:hAnchor="margin" w:xAlign="right" w:y="1"/>
      <w:jc w:val="center"/>
      <w:rPr>
        <w:rStyle w:val="277"/>
      </w:rPr>
    </w:pPr>
  </w:p>
  <w:p w14:paraId="77460FD0">
    <w:pPr>
      <w:pStyle w:val="25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05031">
    <w:pPr>
      <w:pStyle w:val="250"/>
      <w:jc w:val="center"/>
      <w:rPr>
        <w:rStyle w:val="27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B507">
                          <w:pPr>
                            <w:pStyle w:val="2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37B507">
                    <w:pPr>
                      <w:pStyle w:val="22"/>
                    </w:pPr>
                    <w:r>
                      <w:fldChar w:fldCharType="begin"/>
                    </w:r>
                    <w:r>
                      <w:instrText xml:space="preserve"> PAGE  \* MERGEFORMAT </w:instrText>
                    </w:r>
                    <w:r>
                      <w:fldChar w:fldCharType="separate"/>
                    </w:r>
                    <w:r>
                      <w:t>44</w:t>
                    </w:r>
                    <w:r>
                      <w:fldChar w:fldCharType="end"/>
                    </w:r>
                  </w:p>
                </w:txbxContent>
              </v:textbox>
            </v:shape>
          </w:pict>
        </mc:Fallback>
      </mc:AlternateContent>
    </w:r>
  </w:p>
  <w:p w14:paraId="642C42EA">
    <w:pPr>
      <w:pStyle w:val="25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1DEF4173">
      <w:pPr>
        <w:pStyle w:val="27"/>
      </w:pPr>
      <w:r>
        <w:rPr>
          <w:rStyle w:val="42"/>
        </w:rPr>
        <w:footnoteRef/>
      </w:r>
      <w:r>
        <w:t xml:space="preserve"> </w:t>
      </w:r>
      <w:r>
        <w:rPr>
          <w:rStyle w:val="212"/>
          <w:rFonts w:hint="eastAsia" w:ascii="仿宋" w:hAnsi="仿宋" w:eastAsia="仿宋" w:cs="仿宋"/>
          <w:szCs w:val="18"/>
        </w:rPr>
        <w:t>从业人员、营业收入、资产总额填报上一年数据，无上一年数据的新成立企业可不填报。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BB408"/>
    <w:multiLevelType w:val="singleLevel"/>
    <w:tmpl w:val="889BB408"/>
    <w:lvl w:ilvl="0" w:tentative="0">
      <w:start w:val="1"/>
      <w:numFmt w:val="chineseCounting"/>
      <w:suff w:val="nothing"/>
      <w:lvlText w:val="%1、"/>
      <w:lvlJc w:val="left"/>
      <w:pPr>
        <w:ind w:left="0" w:firstLine="420"/>
      </w:pPr>
      <w:rPr>
        <w:rFonts w:hint="eastAsia"/>
      </w:rPr>
    </w:lvl>
  </w:abstractNum>
  <w:abstractNum w:abstractNumId="1">
    <w:nsid w:val="CF092B84"/>
    <w:multiLevelType w:val="multilevel"/>
    <w:tmpl w:val="CF092B84"/>
    <w:lvl w:ilvl="0" w:tentative="0">
      <w:start w:val="1"/>
      <w:numFmt w:val="bullet"/>
      <w:lvlText w:val=""/>
      <w:lvlJc w:val="left"/>
      <w:pPr>
        <w:tabs>
          <w:tab w:val="left" w:pos="900"/>
        </w:tabs>
        <w:ind w:left="900" w:hanging="420"/>
      </w:pPr>
      <w:rPr>
        <w:rFonts w:ascii="Wingdings" w:hAnsi="Wingdings"/>
      </w:rPr>
    </w:lvl>
    <w:lvl w:ilvl="1" w:tentative="0">
      <w:start w:val="1"/>
      <w:numFmt w:val="bullet"/>
      <w:lvlText w:val=""/>
      <w:lvlJc w:val="left"/>
      <w:pPr>
        <w:tabs>
          <w:tab w:val="left" w:pos="0"/>
        </w:tabs>
        <w:ind w:left="1320" w:hanging="420"/>
      </w:pPr>
      <w:rPr>
        <w:rFonts w:ascii="Wingdings" w:hAnsi="Wingdings"/>
      </w:rPr>
    </w:lvl>
    <w:lvl w:ilvl="2" w:tentative="0">
      <w:start w:val="1"/>
      <w:numFmt w:val="bullet"/>
      <w:pStyle w:val="534"/>
      <w:lvlText w:val=""/>
      <w:lvlJc w:val="left"/>
      <w:pPr>
        <w:tabs>
          <w:tab w:val="left" w:pos="0"/>
        </w:tabs>
        <w:ind w:left="1740" w:hanging="420"/>
      </w:pPr>
      <w:rPr>
        <w:rFonts w:ascii="Wingdings" w:hAnsi="Wingdings"/>
      </w:rPr>
    </w:lvl>
    <w:lvl w:ilvl="3" w:tentative="0">
      <w:start w:val="1"/>
      <w:numFmt w:val="bullet"/>
      <w:lvlText w:val=""/>
      <w:lvlJc w:val="left"/>
      <w:pPr>
        <w:tabs>
          <w:tab w:val="left" w:pos="0"/>
        </w:tabs>
        <w:ind w:left="2160" w:hanging="420"/>
      </w:pPr>
      <w:rPr>
        <w:rFonts w:ascii="Wingdings" w:hAnsi="Wingdings"/>
      </w:rPr>
    </w:lvl>
    <w:lvl w:ilvl="4" w:tentative="0">
      <w:start w:val="1"/>
      <w:numFmt w:val="bullet"/>
      <w:lvlText w:val=""/>
      <w:lvlJc w:val="left"/>
      <w:pPr>
        <w:tabs>
          <w:tab w:val="left" w:pos="0"/>
        </w:tabs>
        <w:ind w:left="2580" w:hanging="420"/>
      </w:pPr>
      <w:rPr>
        <w:rFonts w:ascii="Wingdings" w:hAnsi="Wingdings"/>
      </w:rPr>
    </w:lvl>
    <w:lvl w:ilvl="5" w:tentative="0">
      <w:start w:val="1"/>
      <w:numFmt w:val="bullet"/>
      <w:lvlText w:val=""/>
      <w:lvlJc w:val="left"/>
      <w:pPr>
        <w:tabs>
          <w:tab w:val="left" w:pos="0"/>
        </w:tabs>
        <w:ind w:left="3000" w:hanging="420"/>
      </w:pPr>
      <w:rPr>
        <w:rFonts w:ascii="Wingdings" w:hAnsi="Wingdings"/>
      </w:rPr>
    </w:lvl>
    <w:lvl w:ilvl="6" w:tentative="0">
      <w:start w:val="1"/>
      <w:numFmt w:val="bullet"/>
      <w:lvlText w:val=""/>
      <w:lvlJc w:val="left"/>
      <w:pPr>
        <w:tabs>
          <w:tab w:val="left" w:pos="0"/>
        </w:tabs>
        <w:ind w:left="3420" w:hanging="420"/>
      </w:pPr>
      <w:rPr>
        <w:rFonts w:ascii="Wingdings" w:hAnsi="Wingdings"/>
      </w:rPr>
    </w:lvl>
    <w:lvl w:ilvl="7" w:tentative="0">
      <w:start w:val="1"/>
      <w:numFmt w:val="bullet"/>
      <w:lvlText w:val=""/>
      <w:lvlJc w:val="left"/>
      <w:pPr>
        <w:tabs>
          <w:tab w:val="left" w:pos="0"/>
        </w:tabs>
        <w:ind w:left="3840" w:hanging="420"/>
      </w:pPr>
      <w:rPr>
        <w:rFonts w:ascii="Wingdings" w:hAnsi="Wingdings"/>
      </w:rPr>
    </w:lvl>
    <w:lvl w:ilvl="8" w:tentative="0">
      <w:start w:val="1"/>
      <w:numFmt w:val="bullet"/>
      <w:lvlText w:val=""/>
      <w:lvlJc w:val="left"/>
      <w:pPr>
        <w:tabs>
          <w:tab w:val="left" w:pos="0"/>
        </w:tabs>
        <w:ind w:left="4260" w:hanging="420"/>
      </w:pPr>
      <w:rPr>
        <w:rFonts w:ascii="Wingdings" w:hAnsi="Wingdings"/>
      </w:rPr>
    </w:lvl>
  </w:abstractNum>
  <w:abstractNum w:abstractNumId="2">
    <w:nsid w:val="0053208E"/>
    <w:multiLevelType w:val="multilevel"/>
    <w:tmpl w:val="0053208E"/>
    <w:lvl w:ilvl="0" w:tentative="0">
      <w:start w:val="1"/>
      <w:numFmt w:val="bullet"/>
      <w:pStyle w:val="511"/>
      <w:lvlText w:val="◆"/>
      <w:lvlJc w:val="left"/>
      <w:pPr>
        <w:tabs>
          <w:tab w:val="left" w:pos="930"/>
        </w:tabs>
        <w:ind w:left="930" w:hanging="210"/>
      </w:pPr>
      <w:rPr>
        <w:rFonts w:hint="eastAsia" w:ascii="宋体" w:hAnsi="宋体"/>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3D62ECE"/>
    <w:multiLevelType w:val="multilevel"/>
    <w:tmpl w:val="03D62EC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pStyle w:val="535"/>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5A241D34"/>
    <w:multiLevelType w:val="multilevel"/>
    <w:tmpl w:val="5A241D34"/>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2"/>
    <w:footnote w:id="3"/>
  </w:footnotePr>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yZmZlM2RiNzNkODYzMmRmMzE4MjFlOTcxMTVjYTIifQ=="/>
    <w:docVar w:name="KSO_WPS_MARK_KEY" w:val="4722abe3-a33f-438f-a7ce-d60bc55373a4"/>
  </w:docVars>
  <w:rsids>
    <w:rsidRoot w:val="00CC24D4"/>
    <w:rsid w:val="00145DC0"/>
    <w:rsid w:val="002B68C9"/>
    <w:rsid w:val="00441EA0"/>
    <w:rsid w:val="00646768"/>
    <w:rsid w:val="008A28FC"/>
    <w:rsid w:val="009B34DF"/>
    <w:rsid w:val="00A221B3"/>
    <w:rsid w:val="00AF3127"/>
    <w:rsid w:val="00B406C6"/>
    <w:rsid w:val="00BA1A55"/>
    <w:rsid w:val="00C61A87"/>
    <w:rsid w:val="00CB77BE"/>
    <w:rsid w:val="00CC24D4"/>
    <w:rsid w:val="01A00C4B"/>
    <w:rsid w:val="02400CA0"/>
    <w:rsid w:val="02497BFD"/>
    <w:rsid w:val="02ED1C6E"/>
    <w:rsid w:val="02F85C8E"/>
    <w:rsid w:val="03463A74"/>
    <w:rsid w:val="034C72DC"/>
    <w:rsid w:val="037800D1"/>
    <w:rsid w:val="03984646"/>
    <w:rsid w:val="03F37758"/>
    <w:rsid w:val="040556DD"/>
    <w:rsid w:val="042518DB"/>
    <w:rsid w:val="043B2EAD"/>
    <w:rsid w:val="0591547A"/>
    <w:rsid w:val="05D13AC9"/>
    <w:rsid w:val="061F0937"/>
    <w:rsid w:val="065B15E4"/>
    <w:rsid w:val="072916E2"/>
    <w:rsid w:val="089B216C"/>
    <w:rsid w:val="08A54D99"/>
    <w:rsid w:val="08FC06EA"/>
    <w:rsid w:val="091A4149"/>
    <w:rsid w:val="09324C4C"/>
    <w:rsid w:val="09324FA1"/>
    <w:rsid w:val="09350607"/>
    <w:rsid w:val="09AE6EA9"/>
    <w:rsid w:val="09E661A6"/>
    <w:rsid w:val="09F75AC8"/>
    <w:rsid w:val="0A0037A8"/>
    <w:rsid w:val="0A3A2A58"/>
    <w:rsid w:val="0A7E3AF3"/>
    <w:rsid w:val="0AB1211B"/>
    <w:rsid w:val="0AB43D6A"/>
    <w:rsid w:val="0B066C56"/>
    <w:rsid w:val="0B332B30"/>
    <w:rsid w:val="0B535EA9"/>
    <w:rsid w:val="0B7A075E"/>
    <w:rsid w:val="0BAB01FE"/>
    <w:rsid w:val="0C3527C0"/>
    <w:rsid w:val="0C796C68"/>
    <w:rsid w:val="0CA77331"/>
    <w:rsid w:val="0CF32576"/>
    <w:rsid w:val="0D1F15BD"/>
    <w:rsid w:val="0D305579"/>
    <w:rsid w:val="0DC44C14"/>
    <w:rsid w:val="0E1D03B8"/>
    <w:rsid w:val="0E5E57C3"/>
    <w:rsid w:val="0F000F7B"/>
    <w:rsid w:val="0F4D714E"/>
    <w:rsid w:val="0F7F6343"/>
    <w:rsid w:val="0F8730EF"/>
    <w:rsid w:val="0F932BB2"/>
    <w:rsid w:val="0FE63F26"/>
    <w:rsid w:val="0FEC37DE"/>
    <w:rsid w:val="10107BBC"/>
    <w:rsid w:val="10182BC0"/>
    <w:rsid w:val="102D2243"/>
    <w:rsid w:val="10D4446D"/>
    <w:rsid w:val="113B44EC"/>
    <w:rsid w:val="1157326D"/>
    <w:rsid w:val="11987B90"/>
    <w:rsid w:val="11B53C3B"/>
    <w:rsid w:val="11D502A0"/>
    <w:rsid w:val="1213737E"/>
    <w:rsid w:val="131A1D49"/>
    <w:rsid w:val="131B6383"/>
    <w:rsid w:val="13386F35"/>
    <w:rsid w:val="13516249"/>
    <w:rsid w:val="13966BF0"/>
    <w:rsid w:val="13D408FE"/>
    <w:rsid w:val="14117786"/>
    <w:rsid w:val="143E4A1F"/>
    <w:rsid w:val="14634486"/>
    <w:rsid w:val="14A66120"/>
    <w:rsid w:val="14CB1C36"/>
    <w:rsid w:val="15070FFD"/>
    <w:rsid w:val="15171EDB"/>
    <w:rsid w:val="1517701E"/>
    <w:rsid w:val="15415C1E"/>
    <w:rsid w:val="15A5462A"/>
    <w:rsid w:val="16180DAE"/>
    <w:rsid w:val="165F3B0B"/>
    <w:rsid w:val="16797F90"/>
    <w:rsid w:val="179D7CAF"/>
    <w:rsid w:val="17EC11C7"/>
    <w:rsid w:val="18071421"/>
    <w:rsid w:val="183F2B14"/>
    <w:rsid w:val="184C56C8"/>
    <w:rsid w:val="1977008B"/>
    <w:rsid w:val="19BC1F42"/>
    <w:rsid w:val="1A0D2C56"/>
    <w:rsid w:val="1A352420"/>
    <w:rsid w:val="1A472154"/>
    <w:rsid w:val="1A4A57A0"/>
    <w:rsid w:val="1AD0026A"/>
    <w:rsid w:val="1AD11A1D"/>
    <w:rsid w:val="1C210334"/>
    <w:rsid w:val="1C890801"/>
    <w:rsid w:val="1C8C6DF7"/>
    <w:rsid w:val="1CA80841"/>
    <w:rsid w:val="1CD102E8"/>
    <w:rsid w:val="1D2F2A5D"/>
    <w:rsid w:val="1D4B3D09"/>
    <w:rsid w:val="1DB23D88"/>
    <w:rsid w:val="1DC615E1"/>
    <w:rsid w:val="1E3D29FE"/>
    <w:rsid w:val="1F220A99"/>
    <w:rsid w:val="1F941997"/>
    <w:rsid w:val="1FAA2460"/>
    <w:rsid w:val="1FD47FE6"/>
    <w:rsid w:val="20781D79"/>
    <w:rsid w:val="20D14525"/>
    <w:rsid w:val="20E10E2F"/>
    <w:rsid w:val="20FA3A7C"/>
    <w:rsid w:val="21283B77"/>
    <w:rsid w:val="21696E53"/>
    <w:rsid w:val="223B434C"/>
    <w:rsid w:val="22A21F7F"/>
    <w:rsid w:val="22A2261D"/>
    <w:rsid w:val="234F660E"/>
    <w:rsid w:val="237C4C1C"/>
    <w:rsid w:val="23AA458A"/>
    <w:rsid w:val="24291D0B"/>
    <w:rsid w:val="24CD14A7"/>
    <w:rsid w:val="24E0742D"/>
    <w:rsid w:val="254A3D5C"/>
    <w:rsid w:val="256B13EC"/>
    <w:rsid w:val="25783B09"/>
    <w:rsid w:val="259465A5"/>
    <w:rsid w:val="260158AC"/>
    <w:rsid w:val="26152E63"/>
    <w:rsid w:val="26431405"/>
    <w:rsid w:val="266C0821"/>
    <w:rsid w:val="26725B7A"/>
    <w:rsid w:val="267C4F33"/>
    <w:rsid w:val="26E56F7C"/>
    <w:rsid w:val="26FB67A0"/>
    <w:rsid w:val="27483067"/>
    <w:rsid w:val="27651F8D"/>
    <w:rsid w:val="27C272BD"/>
    <w:rsid w:val="27F45333"/>
    <w:rsid w:val="286C447C"/>
    <w:rsid w:val="28A6273B"/>
    <w:rsid w:val="290A0F1C"/>
    <w:rsid w:val="297A59BD"/>
    <w:rsid w:val="29A7676B"/>
    <w:rsid w:val="2A375D41"/>
    <w:rsid w:val="2A423023"/>
    <w:rsid w:val="2B0534A8"/>
    <w:rsid w:val="2B88437A"/>
    <w:rsid w:val="2B9F687E"/>
    <w:rsid w:val="2BB313F7"/>
    <w:rsid w:val="2BE924D9"/>
    <w:rsid w:val="2C7A3CC3"/>
    <w:rsid w:val="2CA23219"/>
    <w:rsid w:val="2CC82C80"/>
    <w:rsid w:val="2CD71115"/>
    <w:rsid w:val="2D07540A"/>
    <w:rsid w:val="2D0839C4"/>
    <w:rsid w:val="2D281971"/>
    <w:rsid w:val="2D7E4D28"/>
    <w:rsid w:val="2D8822C0"/>
    <w:rsid w:val="2DAD1E76"/>
    <w:rsid w:val="2E6764C9"/>
    <w:rsid w:val="2E884DBD"/>
    <w:rsid w:val="2EB01BD4"/>
    <w:rsid w:val="2EB90E2A"/>
    <w:rsid w:val="2ED40002"/>
    <w:rsid w:val="2EE605D2"/>
    <w:rsid w:val="2F440E5D"/>
    <w:rsid w:val="2F490946"/>
    <w:rsid w:val="2FD857F6"/>
    <w:rsid w:val="2FE70733"/>
    <w:rsid w:val="2FE75783"/>
    <w:rsid w:val="2FED15EF"/>
    <w:rsid w:val="309A2B85"/>
    <w:rsid w:val="30A6152A"/>
    <w:rsid w:val="30B41869"/>
    <w:rsid w:val="31572824"/>
    <w:rsid w:val="3186135C"/>
    <w:rsid w:val="31B934DF"/>
    <w:rsid w:val="321150C9"/>
    <w:rsid w:val="33A45AC9"/>
    <w:rsid w:val="33CC4061"/>
    <w:rsid w:val="33D62126"/>
    <w:rsid w:val="33DA5199"/>
    <w:rsid w:val="33E6761A"/>
    <w:rsid w:val="33E92933"/>
    <w:rsid w:val="34110C26"/>
    <w:rsid w:val="3437693D"/>
    <w:rsid w:val="344D7F0F"/>
    <w:rsid w:val="34C603ED"/>
    <w:rsid w:val="34EE524E"/>
    <w:rsid w:val="356F3F88"/>
    <w:rsid w:val="35CC0506"/>
    <w:rsid w:val="361D3989"/>
    <w:rsid w:val="36BB5604"/>
    <w:rsid w:val="36D149D7"/>
    <w:rsid w:val="36D52B69"/>
    <w:rsid w:val="36F86858"/>
    <w:rsid w:val="36FB054C"/>
    <w:rsid w:val="376F3EFE"/>
    <w:rsid w:val="37864F82"/>
    <w:rsid w:val="3789675C"/>
    <w:rsid w:val="37AE6F16"/>
    <w:rsid w:val="37EB3CC7"/>
    <w:rsid w:val="37FC5ED4"/>
    <w:rsid w:val="38211DDE"/>
    <w:rsid w:val="384328FB"/>
    <w:rsid w:val="384653A1"/>
    <w:rsid w:val="38C369F1"/>
    <w:rsid w:val="38E5105E"/>
    <w:rsid w:val="393A3157"/>
    <w:rsid w:val="394A0EC1"/>
    <w:rsid w:val="39A7195C"/>
    <w:rsid w:val="39C3343E"/>
    <w:rsid w:val="39DC420F"/>
    <w:rsid w:val="3A777A93"/>
    <w:rsid w:val="3AA82343"/>
    <w:rsid w:val="3ACB7B00"/>
    <w:rsid w:val="3AE432D3"/>
    <w:rsid w:val="3B1F0857"/>
    <w:rsid w:val="3B551553"/>
    <w:rsid w:val="3B60603A"/>
    <w:rsid w:val="3B6C3370"/>
    <w:rsid w:val="3BC30B07"/>
    <w:rsid w:val="3BFE5F4B"/>
    <w:rsid w:val="3C4D0DDB"/>
    <w:rsid w:val="3C592F0F"/>
    <w:rsid w:val="3CC05B15"/>
    <w:rsid w:val="3D3A47CF"/>
    <w:rsid w:val="3D5742E8"/>
    <w:rsid w:val="3D5A6899"/>
    <w:rsid w:val="3D9170BE"/>
    <w:rsid w:val="3D9F17DB"/>
    <w:rsid w:val="3E210695"/>
    <w:rsid w:val="3E4B1963"/>
    <w:rsid w:val="3E5B7667"/>
    <w:rsid w:val="3E7F2AF6"/>
    <w:rsid w:val="3FBE7F13"/>
    <w:rsid w:val="400C0C7E"/>
    <w:rsid w:val="40493C80"/>
    <w:rsid w:val="40750F19"/>
    <w:rsid w:val="41140732"/>
    <w:rsid w:val="4154177D"/>
    <w:rsid w:val="415914C1"/>
    <w:rsid w:val="41F5553B"/>
    <w:rsid w:val="421B164C"/>
    <w:rsid w:val="423D15C3"/>
    <w:rsid w:val="4253248D"/>
    <w:rsid w:val="42B850ED"/>
    <w:rsid w:val="43B104BA"/>
    <w:rsid w:val="43B9111D"/>
    <w:rsid w:val="43E73EDC"/>
    <w:rsid w:val="44663053"/>
    <w:rsid w:val="449000D0"/>
    <w:rsid w:val="44F3240C"/>
    <w:rsid w:val="453B6F34"/>
    <w:rsid w:val="454A2974"/>
    <w:rsid w:val="45D3296A"/>
    <w:rsid w:val="462516B1"/>
    <w:rsid w:val="476E221E"/>
    <w:rsid w:val="47EC7D13"/>
    <w:rsid w:val="480476BC"/>
    <w:rsid w:val="481132D5"/>
    <w:rsid w:val="481608EC"/>
    <w:rsid w:val="48325E9B"/>
    <w:rsid w:val="48C22822"/>
    <w:rsid w:val="48F1110C"/>
    <w:rsid w:val="48FA01FC"/>
    <w:rsid w:val="49447842"/>
    <w:rsid w:val="495F7D93"/>
    <w:rsid w:val="49627B61"/>
    <w:rsid w:val="496757BD"/>
    <w:rsid w:val="49787384"/>
    <w:rsid w:val="4A1B793E"/>
    <w:rsid w:val="4A743FEF"/>
    <w:rsid w:val="4A7F200E"/>
    <w:rsid w:val="4A8561FD"/>
    <w:rsid w:val="4A9D7C22"/>
    <w:rsid w:val="4B4E2C02"/>
    <w:rsid w:val="4B7A73E4"/>
    <w:rsid w:val="4B885FA4"/>
    <w:rsid w:val="4BDF36EB"/>
    <w:rsid w:val="4BF03B4A"/>
    <w:rsid w:val="4BF2341E"/>
    <w:rsid w:val="4C1A4723"/>
    <w:rsid w:val="4C8A18A8"/>
    <w:rsid w:val="4CE6417F"/>
    <w:rsid w:val="4D857735"/>
    <w:rsid w:val="4DF72F6D"/>
    <w:rsid w:val="4E0B2A9E"/>
    <w:rsid w:val="4E0C3F18"/>
    <w:rsid w:val="4E593C28"/>
    <w:rsid w:val="4E740A62"/>
    <w:rsid w:val="4E8A3DE2"/>
    <w:rsid w:val="4EB1136E"/>
    <w:rsid w:val="4EB940FE"/>
    <w:rsid w:val="4EF13E61"/>
    <w:rsid w:val="4F082563"/>
    <w:rsid w:val="4F1B2C8C"/>
    <w:rsid w:val="4F1B712F"/>
    <w:rsid w:val="4F365D17"/>
    <w:rsid w:val="4F8E345D"/>
    <w:rsid w:val="4FDF393F"/>
    <w:rsid w:val="4FE52526"/>
    <w:rsid w:val="50120532"/>
    <w:rsid w:val="50212524"/>
    <w:rsid w:val="503E4E84"/>
    <w:rsid w:val="50CD6207"/>
    <w:rsid w:val="50F10307"/>
    <w:rsid w:val="50F639B0"/>
    <w:rsid w:val="512A181C"/>
    <w:rsid w:val="517843C5"/>
    <w:rsid w:val="518965D2"/>
    <w:rsid w:val="518B7B62"/>
    <w:rsid w:val="51912959"/>
    <w:rsid w:val="519F6D53"/>
    <w:rsid w:val="51B864AE"/>
    <w:rsid w:val="52323441"/>
    <w:rsid w:val="5245699D"/>
    <w:rsid w:val="53004672"/>
    <w:rsid w:val="5382777D"/>
    <w:rsid w:val="53F02939"/>
    <w:rsid w:val="53FD4708"/>
    <w:rsid w:val="540957A8"/>
    <w:rsid w:val="5419546B"/>
    <w:rsid w:val="544E58B1"/>
    <w:rsid w:val="54EC188A"/>
    <w:rsid w:val="5510282A"/>
    <w:rsid w:val="553A3615"/>
    <w:rsid w:val="55653051"/>
    <w:rsid w:val="55773FA8"/>
    <w:rsid w:val="558D41B7"/>
    <w:rsid w:val="559850C6"/>
    <w:rsid w:val="5672337D"/>
    <w:rsid w:val="56D52B89"/>
    <w:rsid w:val="584E5C79"/>
    <w:rsid w:val="587E1427"/>
    <w:rsid w:val="58A27F7A"/>
    <w:rsid w:val="58B77EC9"/>
    <w:rsid w:val="58BD4DB3"/>
    <w:rsid w:val="599D70BF"/>
    <w:rsid w:val="59A246D5"/>
    <w:rsid w:val="59AC10B0"/>
    <w:rsid w:val="5A292701"/>
    <w:rsid w:val="5A2A0227"/>
    <w:rsid w:val="5A400646"/>
    <w:rsid w:val="5A511C57"/>
    <w:rsid w:val="5A755946"/>
    <w:rsid w:val="5AA23612"/>
    <w:rsid w:val="5ABA3CA0"/>
    <w:rsid w:val="5B13515F"/>
    <w:rsid w:val="5B2353A2"/>
    <w:rsid w:val="5C257241"/>
    <w:rsid w:val="5C35785F"/>
    <w:rsid w:val="5D2B2C34"/>
    <w:rsid w:val="5D526412"/>
    <w:rsid w:val="5D5F468B"/>
    <w:rsid w:val="5D7E2D63"/>
    <w:rsid w:val="5DB91FED"/>
    <w:rsid w:val="5DDC5CDC"/>
    <w:rsid w:val="5E2A1226"/>
    <w:rsid w:val="5EA762EA"/>
    <w:rsid w:val="5EC24ED2"/>
    <w:rsid w:val="5EF64B7B"/>
    <w:rsid w:val="5EFA0B0F"/>
    <w:rsid w:val="5F3846C5"/>
    <w:rsid w:val="5F4B79A1"/>
    <w:rsid w:val="5F9619B3"/>
    <w:rsid w:val="5F9F3465"/>
    <w:rsid w:val="601169F1"/>
    <w:rsid w:val="602816AC"/>
    <w:rsid w:val="604F32A9"/>
    <w:rsid w:val="606D70BF"/>
    <w:rsid w:val="607641C6"/>
    <w:rsid w:val="60A46F85"/>
    <w:rsid w:val="60B370C5"/>
    <w:rsid w:val="60D07D7A"/>
    <w:rsid w:val="60D86D65"/>
    <w:rsid w:val="61161F30"/>
    <w:rsid w:val="61446072"/>
    <w:rsid w:val="620E7FED"/>
    <w:rsid w:val="62A25746"/>
    <w:rsid w:val="63B76FCF"/>
    <w:rsid w:val="63EE51A7"/>
    <w:rsid w:val="64357EF4"/>
    <w:rsid w:val="64DB4F3F"/>
    <w:rsid w:val="64F61D79"/>
    <w:rsid w:val="65015C46"/>
    <w:rsid w:val="65273CE0"/>
    <w:rsid w:val="65401246"/>
    <w:rsid w:val="65640EC5"/>
    <w:rsid w:val="658729D1"/>
    <w:rsid w:val="65A17FF2"/>
    <w:rsid w:val="65CB4FB4"/>
    <w:rsid w:val="65EF4235"/>
    <w:rsid w:val="660A5ADC"/>
    <w:rsid w:val="660D2ED6"/>
    <w:rsid w:val="66432D9C"/>
    <w:rsid w:val="685C1EF3"/>
    <w:rsid w:val="69B0579B"/>
    <w:rsid w:val="69DF24DB"/>
    <w:rsid w:val="6A3A2708"/>
    <w:rsid w:val="6A800265"/>
    <w:rsid w:val="6AC65D4A"/>
    <w:rsid w:val="6ADE12E5"/>
    <w:rsid w:val="6B5477F9"/>
    <w:rsid w:val="6BC404DB"/>
    <w:rsid w:val="6BF72D8A"/>
    <w:rsid w:val="6C4433CA"/>
    <w:rsid w:val="6C923AA2"/>
    <w:rsid w:val="6CF92610"/>
    <w:rsid w:val="6D2D3E5E"/>
    <w:rsid w:val="6D6E6B40"/>
    <w:rsid w:val="6D855A48"/>
    <w:rsid w:val="6DD864C0"/>
    <w:rsid w:val="6E6E2980"/>
    <w:rsid w:val="6EA97E5C"/>
    <w:rsid w:val="6EB5235D"/>
    <w:rsid w:val="6EE554A3"/>
    <w:rsid w:val="6F15104E"/>
    <w:rsid w:val="6F894A4A"/>
    <w:rsid w:val="6F975F07"/>
    <w:rsid w:val="6FB97C2B"/>
    <w:rsid w:val="6FC265E2"/>
    <w:rsid w:val="701B6B38"/>
    <w:rsid w:val="70531E2E"/>
    <w:rsid w:val="705A7660"/>
    <w:rsid w:val="70F829D5"/>
    <w:rsid w:val="71092B30"/>
    <w:rsid w:val="710C05FB"/>
    <w:rsid w:val="71312236"/>
    <w:rsid w:val="71431756"/>
    <w:rsid w:val="716B0FFA"/>
    <w:rsid w:val="729F57FE"/>
    <w:rsid w:val="730E028E"/>
    <w:rsid w:val="7346211D"/>
    <w:rsid w:val="737143A4"/>
    <w:rsid w:val="74051691"/>
    <w:rsid w:val="743107AA"/>
    <w:rsid w:val="746F1200"/>
    <w:rsid w:val="74EB6AD9"/>
    <w:rsid w:val="750C1956"/>
    <w:rsid w:val="75350D93"/>
    <w:rsid w:val="75401DBB"/>
    <w:rsid w:val="75B657DC"/>
    <w:rsid w:val="75BC66C7"/>
    <w:rsid w:val="75F83993"/>
    <w:rsid w:val="76157B85"/>
    <w:rsid w:val="76B47A83"/>
    <w:rsid w:val="76DA7E60"/>
    <w:rsid w:val="770F2826"/>
    <w:rsid w:val="772C388C"/>
    <w:rsid w:val="776112D4"/>
    <w:rsid w:val="77753E77"/>
    <w:rsid w:val="77D73344"/>
    <w:rsid w:val="77FD1FBD"/>
    <w:rsid w:val="78051595"/>
    <w:rsid w:val="78063C29"/>
    <w:rsid w:val="78C338C8"/>
    <w:rsid w:val="79142376"/>
    <w:rsid w:val="79CD2C51"/>
    <w:rsid w:val="79ED6E4F"/>
    <w:rsid w:val="7A1218DB"/>
    <w:rsid w:val="7A3E3B4E"/>
    <w:rsid w:val="7A70549E"/>
    <w:rsid w:val="7AA16DCA"/>
    <w:rsid w:val="7AA217F2"/>
    <w:rsid w:val="7AE97C25"/>
    <w:rsid w:val="7B044525"/>
    <w:rsid w:val="7BE87290"/>
    <w:rsid w:val="7C183F2B"/>
    <w:rsid w:val="7C26489A"/>
    <w:rsid w:val="7C8D66C7"/>
    <w:rsid w:val="7C9E08D4"/>
    <w:rsid w:val="7CC16371"/>
    <w:rsid w:val="7D1763C6"/>
    <w:rsid w:val="7D2D101F"/>
    <w:rsid w:val="7D3B06CD"/>
    <w:rsid w:val="7D881CAC"/>
    <w:rsid w:val="7E0B3D48"/>
    <w:rsid w:val="7E374B3D"/>
    <w:rsid w:val="7E4400B0"/>
    <w:rsid w:val="7E553215"/>
    <w:rsid w:val="7E6779C7"/>
    <w:rsid w:val="7EB048EF"/>
    <w:rsid w:val="7EB75C7D"/>
    <w:rsid w:val="7EC2059E"/>
    <w:rsid w:val="7EE527EB"/>
    <w:rsid w:val="7F171895"/>
    <w:rsid w:val="7F6A7194"/>
    <w:rsid w:val="7FA83238"/>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sz w:val="24"/>
      <w:szCs w:val="24"/>
      <w:lang w:val="en-US" w:eastAsia="zh-CN" w:bidi="ar-SA"/>
    </w:rPr>
  </w:style>
  <w:style w:type="paragraph" w:styleId="2">
    <w:name w:val="heading 1"/>
    <w:basedOn w:val="1"/>
    <w:next w:val="1"/>
    <w:link w:val="6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63"/>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64"/>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65"/>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66"/>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7"/>
    <w:unhideWhenUsed/>
    <w:qFormat/>
    <w:uiPriority w:val="9"/>
    <w:pPr>
      <w:keepNext/>
      <w:keepLines/>
      <w:spacing w:before="320" w:after="200"/>
      <w:outlineLvl w:val="8"/>
    </w:pPr>
    <w:rPr>
      <w:rFonts w:ascii="Arial" w:hAnsi="Arial" w:eastAsia="Arial" w:cs="Arial"/>
      <w:i/>
      <w:iCs/>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616"/>
    <w:semiHidden/>
    <w:unhideWhenUsed/>
    <w:qFormat/>
    <w:uiPriority w:val="99"/>
    <w:pPr>
      <w:jc w:val="left"/>
    </w:pPr>
  </w:style>
  <w:style w:type="paragraph" w:styleId="14">
    <w:name w:val="Body Text"/>
    <w:basedOn w:val="1"/>
    <w:next w:val="1"/>
    <w:qFormat/>
    <w:uiPriority w:val="0"/>
    <w:pPr>
      <w:spacing w:line="60" w:lineRule="auto"/>
    </w:pPr>
    <w:rPr>
      <w:rFonts w:ascii="仿宋_GB2312" w:eastAsia="仿宋_GB2312"/>
      <w:sz w:val="32"/>
    </w:rPr>
  </w:style>
  <w:style w:type="paragraph" w:styleId="15">
    <w:name w:val="Body Text Indent"/>
    <w:basedOn w:val="1"/>
    <w:next w:val="1"/>
    <w:qFormat/>
    <w:uiPriority w:val="0"/>
    <w:pPr>
      <w:ind w:firstLine="225" w:firstLineChars="225"/>
    </w:pPr>
    <w:rPr>
      <w:rFonts w:ascii="仿宋_GB2312" w:eastAsia="仿宋_GB2312"/>
      <w:sz w:val="32"/>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Plain Text"/>
    <w:basedOn w:val="1"/>
    <w:qFormat/>
    <w:uiPriority w:val="0"/>
    <w:rPr>
      <w:rFonts w:ascii="宋体" w:cs="Courier New"/>
    </w:rPr>
  </w:style>
  <w:style w:type="paragraph" w:styleId="19">
    <w:name w:val="toc 8"/>
    <w:basedOn w:val="1"/>
    <w:next w:val="1"/>
    <w:unhideWhenUsed/>
    <w:qFormat/>
    <w:uiPriority w:val="39"/>
    <w:pPr>
      <w:spacing w:after="57"/>
      <w:ind w:left="1984"/>
    </w:pPr>
  </w:style>
  <w:style w:type="paragraph" w:styleId="20">
    <w:name w:val="endnote text"/>
    <w:basedOn w:val="1"/>
    <w:link w:val="202"/>
    <w:semiHidden/>
    <w:unhideWhenUsed/>
    <w:qFormat/>
    <w:uiPriority w:val="99"/>
    <w:rPr>
      <w:sz w:val="20"/>
    </w:rPr>
  </w:style>
  <w:style w:type="paragraph" w:styleId="21">
    <w:name w:val="Balloon Text"/>
    <w:basedOn w:val="1"/>
    <w:link w:val="615"/>
    <w:semiHidden/>
    <w:unhideWhenUsed/>
    <w:qFormat/>
    <w:uiPriority w:val="99"/>
    <w:rPr>
      <w:sz w:val="18"/>
      <w:szCs w:val="18"/>
    </w:rPr>
  </w:style>
  <w:style w:type="paragraph" w:styleId="22">
    <w:name w:val="footer"/>
    <w:basedOn w:val="1"/>
    <w:link w:val="75"/>
    <w:unhideWhenUsed/>
    <w:qFormat/>
    <w:uiPriority w:val="99"/>
    <w:pPr>
      <w:tabs>
        <w:tab w:val="center" w:pos="7143"/>
        <w:tab w:val="right" w:pos="14287"/>
      </w:tabs>
    </w:pPr>
  </w:style>
  <w:style w:type="paragraph" w:styleId="23">
    <w:name w:val="header"/>
    <w:basedOn w:val="1"/>
    <w:unhideWhenUsed/>
    <w:qFormat/>
    <w:uiPriority w:val="99"/>
    <w:pPr>
      <w:tabs>
        <w:tab w:val="center" w:pos="7143"/>
        <w:tab w:val="right" w:pos="14287"/>
      </w:tabs>
    </w:pPr>
  </w:style>
  <w:style w:type="paragraph" w:styleId="24">
    <w:name w:val="toc 1"/>
    <w:basedOn w:val="1"/>
    <w:next w:val="1"/>
    <w:unhideWhenUsed/>
    <w:qFormat/>
    <w:uiPriority w:val="39"/>
    <w:pPr>
      <w:spacing w:after="57"/>
    </w:pPr>
  </w:style>
  <w:style w:type="paragraph" w:styleId="25">
    <w:name w:val="toc 4"/>
    <w:basedOn w:val="1"/>
    <w:next w:val="1"/>
    <w:unhideWhenUsed/>
    <w:qFormat/>
    <w:uiPriority w:val="39"/>
    <w:pPr>
      <w:spacing w:after="57"/>
      <w:ind w:left="850"/>
    </w:pPr>
  </w:style>
  <w:style w:type="paragraph" w:styleId="26">
    <w:name w:val="Subtitle"/>
    <w:basedOn w:val="1"/>
    <w:next w:val="1"/>
    <w:link w:val="70"/>
    <w:qFormat/>
    <w:uiPriority w:val="11"/>
    <w:pPr>
      <w:spacing w:before="200" w:after="200"/>
    </w:pPr>
  </w:style>
  <w:style w:type="paragraph" w:styleId="27">
    <w:name w:val="footnote text"/>
    <w:basedOn w:val="1"/>
    <w:link w:val="201"/>
    <w:semiHidden/>
    <w:unhideWhenUsed/>
    <w:qFormat/>
    <w:uiPriority w:val="99"/>
    <w:pPr>
      <w:spacing w:after="40"/>
    </w:pPr>
    <w:rPr>
      <w:sz w:val="18"/>
    </w:rPr>
  </w:style>
  <w:style w:type="paragraph" w:styleId="28">
    <w:name w:val="toc 6"/>
    <w:basedOn w:val="1"/>
    <w:next w:val="1"/>
    <w:unhideWhenUsed/>
    <w:qFormat/>
    <w:uiPriority w:val="39"/>
    <w:pPr>
      <w:spacing w:after="57"/>
      <w:ind w:left="1417"/>
    </w:pPr>
  </w:style>
  <w:style w:type="paragraph" w:styleId="29">
    <w:name w:val="table of figures"/>
    <w:basedOn w:val="1"/>
    <w:next w:val="1"/>
    <w:unhideWhenUsed/>
    <w:qFormat/>
    <w:uiPriority w:val="99"/>
  </w:style>
  <w:style w:type="paragraph" w:styleId="30">
    <w:name w:val="toc 2"/>
    <w:basedOn w:val="1"/>
    <w:next w:val="1"/>
    <w:unhideWhenUsed/>
    <w:qFormat/>
    <w:uiPriority w:val="39"/>
    <w:pPr>
      <w:spacing w:after="57"/>
      <w:ind w:left="283"/>
    </w:pPr>
  </w:style>
  <w:style w:type="paragraph" w:styleId="31">
    <w:name w:val="toc 9"/>
    <w:basedOn w:val="1"/>
    <w:next w:val="1"/>
    <w:unhideWhenUsed/>
    <w:qFormat/>
    <w:uiPriority w:val="39"/>
    <w:pPr>
      <w:spacing w:after="57"/>
      <w:ind w:left="2268"/>
    </w:pPr>
  </w:style>
  <w:style w:type="paragraph" w:styleId="32">
    <w:name w:val="Normal (Web)"/>
    <w:basedOn w:val="1"/>
    <w:semiHidden/>
    <w:unhideWhenUsed/>
    <w:qFormat/>
    <w:uiPriority w:val="99"/>
    <w:pPr>
      <w:spacing w:beforeAutospacing="1" w:afterAutospacing="1"/>
      <w:jc w:val="left"/>
    </w:pPr>
  </w:style>
  <w:style w:type="paragraph" w:styleId="33">
    <w:name w:val="Title"/>
    <w:basedOn w:val="1"/>
    <w:next w:val="1"/>
    <w:link w:val="69"/>
    <w:qFormat/>
    <w:uiPriority w:val="10"/>
    <w:pPr>
      <w:spacing w:before="300" w:after="200"/>
      <w:contextualSpacing/>
    </w:pPr>
    <w:rPr>
      <w:sz w:val="48"/>
      <w:szCs w:val="48"/>
    </w:rPr>
  </w:style>
  <w:style w:type="paragraph" w:styleId="34">
    <w:name w:val="annotation subject"/>
    <w:basedOn w:val="13"/>
    <w:next w:val="13"/>
    <w:link w:val="617"/>
    <w:semiHidden/>
    <w:unhideWhenUsed/>
    <w:qFormat/>
    <w:uiPriority w:val="99"/>
    <w:rPr>
      <w:b/>
      <w:bCs/>
    </w:r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nhideWhenUsed/>
    <w:qFormat/>
    <w:uiPriority w:val="99"/>
    <w:rPr>
      <w:vertAlign w:val="superscript"/>
    </w:rPr>
  </w:style>
  <w:style w:type="character" w:styleId="39">
    <w:name w:val="page number"/>
    <w:qFormat/>
    <w:uiPriority w:val="0"/>
  </w:style>
  <w:style w:type="character" w:styleId="40">
    <w:name w:val="Hyperlink"/>
    <w:unhideWhenUsed/>
    <w:qFormat/>
    <w:uiPriority w:val="99"/>
    <w:rPr>
      <w:color w:val="0000FF" w:themeColor="hyperlink"/>
      <w:u w:val="single"/>
      <w14:textFill>
        <w14:solidFill>
          <w14:schemeClr w14:val="hlink"/>
        </w14:solidFill>
      </w14:textFill>
    </w:rPr>
  </w:style>
  <w:style w:type="character" w:styleId="41">
    <w:name w:val="annotation reference"/>
    <w:basedOn w:val="37"/>
    <w:semiHidden/>
    <w:unhideWhenUsed/>
    <w:qFormat/>
    <w:uiPriority w:val="99"/>
    <w:rPr>
      <w:sz w:val="21"/>
      <w:szCs w:val="21"/>
    </w:rPr>
  </w:style>
  <w:style w:type="character" w:styleId="42">
    <w:name w:val="footnote reference"/>
    <w:unhideWhenUsed/>
    <w:qFormat/>
    <w:uiPriority w:val="99"/>
    <w:rPr>
      <w:vertAlign w:val="superscript"/>
    </w:rPr>
  </w:style>
  <w:style w:type="paragraph" w:customStyle="1" w:styleId="43">
    <w:name w:val="BodyText"/>
    <w:basedOn w:val="1"/>
    <w:next w:val="44"/>
    <w:qFormat/>
    <w:uiPriority w:val="0"/>
    <w:pPr>
      <w:spacing w:line="360" w:lineRule="exact"/>
      <w:textAlignment w:val="baseline"/>
    </w:pPr>
  </w:style>
  <w:style w:type="paragraph" w:customStyle="1" w:styleId="44">
    <w:name w:val="UserStyle_6"/>
    <w:basedOn w:val="45"/>
    <w:next w:val="46"/>
    <w:qFormat/>
    <w:uiPriority w:val="0"/>
    <w:pPr>
      <w:spacing w:line="240" w:lineRule="auto"/>
      <w:ind w:left="420"/>
    </w:pPr>
  </w:style>
  <w:style w:type="paragraph" w:customStyle="1" w:styleId="45">
    <w:name w:val="UserStyle_7"/>
    <w:next w:val="1"/>
    <w:qFormat/>
    <w:uiPriority w:val="0"/>
    <w:pPr>
      <w:spacing w:line="360" w:lineRule="auto"/>
      <w:jc w:val="both"/>
      <w:textAlignment w:val="baseline"/>
    </w:pPr>
    <w:rPr>
      <w:rFonts w:ascii="黑体" w:hAnsi="等线" w:eastAsia="黑体" w:cs="等线"/>
      <w:sz w:val="21"/>
      <w:szCs w:val="21"/>
      <w:lang w:val="en-US" w:eastAsia="zh-CN" w:bidi="ar-SA"/>
    </w:rPr>
  </w:style>
  <w:style w:type="paragraph" w:customStyle="1" w:styleId="46">
    <w:name w:val="UserStyle_8"/>
    <w:next w:val="1"/>
    <w:qFormat/>
    <w:uiPriority w:val="0"/>
    <w:pPr>
      <w:ind w:firstLine="200" w:firstLineChars="200"/>
      <w:jc w:val="both"/>
      <w:textAlignment w:val="baseline"/>
    </w:pPr>
    <w:rPr>
      <w:rFonts w:ascii="宋体" w:hAnsi="等线" w:eastAsia="等线" w:cs="等线"/>
      <w:sz w:val="21"/>
      <w:szCs w:val="21"/>
      <w:lang w:val="en-US" w:eastAsia="zh-CN" w:bidi="ar-SA"/>
    </w:rPr>
  </w:style>
  <w:style w:type="paragraph" w:customStyle="1" w:styleId="47">
    <w:name w:val="标题 31"/>
    <w:basedOn w:val="1"/>
    <w:next w:val="1"/>
    <w:link w:val="214"/>
    <w:qFormat/>
    <w:uiPriority w:val="0"/>
    <w:pPr>
      <w:keepNext/>
      <w:keepLines/>
      <w:spacing w:before="260" w:after="260" w:line="413" w:lineRule="auto"/>
      <w:outlineLvl w:val="2"/>
    </w:pPr>
    <w:rPr>
      <w:rFonts w:eastAsia="宋体"/>
      <w:b/>
      <w:sz w:val="32"/>
      <w:szCs w:val="20"/>
    </w:rPr>
  </w:style>
  <w:style w:type="character" w:customStyle="1" w:styleId="48">
    <w:name w:val="Heading 1 Char"/>
    <w:basedOn w:val="37"/>
    <w:qFormat/>
    <w:uiPriority w:val="9"/>
    <w:rPr>
      <w:rFonts w:ascii="Arial" w:hAnsi="Arial" w:eastAsia="Arial" w:cs="Arial"/>
      <w:sz w:val="40"/>
      <w:szCs w:val="40"/>
    </w:rPr>
  </w:style>
  <w:style w:type="character" w:customStyle="1" w:styleId="49">
    <w:name w:val="Heading 5 Char"/>
    <w:basedOn w:val="37"/>
    <w:qFormat/>
    <w:uiPriority w:val="9"/>
    <w:rPr>
      <w:rFonts w:ascii="Arial" w:hAnsi="Arial" w:eastAsia="Arial" w:cs="Arial"/>
      <w:b/>
      <w:bCs/>
      <w:sz w:val="24"/>
      <w:szCs w:val="24"/>
    </w:rPr>
  </w:style>
  <w:style w:type="character" w:customStyle="1" w:styleId="50">
    <w:name w:val="Heading 6 Char"/>
    <w:basedOn w:val="37"/>
    <w:qFormat/>
    <w:uiPriority w:val="9"/>
    <w:rPr>
      <w:rFonts w:ascii="Arial" w:hAnsi="Arial" w:eastAsia="Arial" w:cs="Arial"/>
      <w:b/>
      <w:bCs/>
      <w:sz w:val="22"/>
      <w:szCs w:val="22"/>
    </w:rPr>
  </w:style>
  <w:style w:type="character" w:customStyle="1" w:styleId="51">
    <w:name w:val="Heading 7 Char"/>
    <w:basedOn w:val="37"/>
    <w:qFormat/>
    <w:uiPriority w:val="9"/>
    <w:rPr>
      <w:rFonts w:ascii="Arial" w:hAnsi="Arial" w:eastAsia="Arial" w:cs="Arial"/>
      <w:b/>
      <w:bCs/>
      <w:i/>
      <w:iCs/>
      <w:sz w:val="22"/>
      <w:szCs w:val="22"/>
    </w:rPr>
  </w:style>
  <w:style w:type="character" w:customStyle="1" w:styleId="52">
    <w:name w:val="Heading 8 Char"/>
    <w:basedOn w:val="37"/>
    <w:qFormat/>
    <w:uiPriority w:val="9"/>
    <w:rPr>
      <w:rFonts w:ascii="Arial" w:hAnsi="Arial" w:eastAsia="Arial" w:cs="Arial"/>
      <w:i/>
      <w:iCs/>
      <w:sz w:val="22"/>
      <w:szCs w:val="22"/>
    </w:rPr>
  </w:style>
  <w:style w:type="character" w:customStyle="1" w:styleId="53">
    <w:name w:val="Heading 9 Char"/>
    <w:basedOn w:val="37"/>
    <w:qFormat/>
    <w:uiPriority w:val="9"/>
    <w:rPr>
      <w:rFonts w:ascii="Arial" w:hAnsi="Arial" w:eastAsia="Arial" w:cs="Arial"/>
      <w:i/>
      <w:iCs/>
      <w:sz w:val="21"/>
      <w:szCs w:val="21"/>
    </w:rPr>
  </w:style>
  <w:style w:type="character" w:customStyle="1" w:styleId="54">
    <w:name w:val="Title Char"/>
    <w:basedOn w:val="37"/>
    <w:qFormat/>
    <w:uiPriority w:val="10"/>
    <w:rPr>
      <w:sz w:val="48"/>
      <w:szCs w:val="48"/>
    </w:rPr>
  </w:style>
  <w:style w:type="character" w:customStyle="1" w:styleId="55">
    <w:name w:val="Subtitle Char"/>
    <w:basedOn w:val="37"/>
    <w:qFormat/>
    <w:uiPriority w:val="11"/>
    <w:rPr>
      <w:sz w:val="24"/>
      <w:szCs w:val="24"/>
    </w:rPr>
  </w:style>
  <w:style w:type="character" w:customStyle="1" w:styleId="56">
    <w:name w:val="Quote Char"/>
    <w:qFormat/>
    <w:uiPriority w:val="29"/>
    <w:rPr>
      <w:i/>
    </w:rPr>
  </w:style>
  <w:style w:type="character" w:customStyle="1" w:styleId="57">
    <w:name w:val="Intense Quote Char"/>
    <w:qFormat/>
    <w:uiPriority w:val="30"/>
    <w:rPr>
      <w:i/>
    </w:rPr>
  </w:style>
  <w:style w:type="character" w:customStyle="1" w:styleId="58">
    <w:name w:val="Caption Char"/>
    <w:qFormat/>
    <w:uiPriority w:val="99"/>
  </w:style>
  <w:style w:type="character" w:customStyle="1" w:styleId="59">
    <w:name w:val="Footnote Text Char"/>
    <w:qFormat/>
    <w:uiPriority w:val="99"/>
    <w:rPr>
      <w:sz w:val="18"/>
    </w:rPr>
  </w:style>
  <w:style w:type="character" w:customStyle="1" w:styleId="60">
    <w:name w:val="Endnote Text Char"/>
    <w:qFormat/>
    <w:uiPriority w:val="99"/>
    <w:rPr>
      <w:sz w:val="20"/>
    </w:rPr>
  </w:style>
  <w:style w:type="paragraph" w:customStyle="1" w:styleId="61">
    <w:name w:val="TOC 标题1"/>
    <w:unhideWhenUsed/>
    <w:qFormat/>
    <w:uiPriority w:val="39"/>
    <w:rPr>
      <w:rFonts w:ascii="Times New Roman" w:hAnsi="Times New Roman" w:eastAsia="宋体" w:cs="Times New Roman"/>
      <w:lang w:val="en-US" w:eastAsia="zh-CN" w:bidi="ar-SA"/>
    </w:rPr>
  </w:style>
  <w:style w:type="character" w:customStyle="1" w:styleId="62">
    <w:name w:val="标题 1 字符"/>
    <w:link w:val="2"/>
    <w:qFormat/>
    <w:uiPriority w:val="9"/>
    <w:rPr>
      <w:rFonts w:ascii="Arial" w:hAnsi="Arial" w:eastAsia="Arial" w:cs="Arial"/>
      <w:sz w:val="40"/>
      <w:szCs w:val="40"/>
    </w:rPr>
  </w:style>
  <w:style w:type="character" w:customStyle="1" w:styleId="63">
    <w:name w:val="标题 5 字符"/>
    <w:link w:val="6"/>
    <w:qFormat/>
    <w:uiPriority w:val="9"/>
    <w:rPr>
      <w:rFonts w:ascii="Arial" w:hAnsi="Arial" w:eastAsia="Arial" w:cs="Arial"/>
      <w:b/>
      <w:bCs/>
      <w:sz w:val="24"/>
      <w:szCs w:val="24"/>
    </w:rPr>
  </w:style>
  <w:style w:type="character" w:customStyle="1" w:styleId="64">
    <w:name w:val="标题 6 字符"/>
    <w:link w:val="7"/>
    <w:qFormat/>
    <w:uiPriority w:val="9"/>
    <w:rPr>
      <w:rFonts w:ascii="Arial" w:hAnsi="Arial" w:eastAsia="Arial" w:cs="Arial"/>
      <w:b/>
      <w:bCs/>
      <w:sz w:val="22"/>
      <w:szCs w:val="22"/>
    </w:rPr>
  </w:style>
  <w:style w:type="character" w:customStyle="1" w:styleId="65">
    <w:name w:val="标题 7 字符"/>
    <w:link w:val="8"/>
    <w:qFormat/>
    <w:uiPriority w:val="9"/>
    <w:rPr>
      <w:rFonts w:ascii="Arial" w:hAnsi="Arial" w:eastAsia="Arial" w:cs="Arial"/>
      <w:b/>
      <w:bCs/>
      <w:i/>
      <w:iCs/>
      <w:sz w:val="22"/>
      <w:szCs w:val="22"/>
    </w:rPr>
  </w:style>
  <w:style w:type="character" w:customStyle="1" w:styleId="66">
    <w:name w:val="标题 8 字符"/>
    <w:link w:val="9"/>
    <w:qFormat/>
    <w:uiPriority w:val="9"/>
    <w:rPr>
      <w:rFonts w:ascii="Arial" w:hAnsi="Arial" w:eastAsia="Arial" w:cs="Arial"/>
      <w:i/>
      <w:iCs/>
      <w:sz w:val="22"/>
      <w:szCs w:val="22"/>
    </w:rPr>
  </w:style>
  <w:style w:type="character" w:customStyle="1" w:styleId="67">
    <w:name w:val="标题 9 字符"/>
    <w:link w:val="10"/>
    <w:qFormat/>
    <w:uiPriority w:val="9"/>
    <w:rPr>
      <w:rFonts w:ascii="Arial" w:hAnsi="Arial" w:eastAsia="Arial" w:cs="Arial"/>
      <w:i/>
      <w:iCs/>
      <w:sz w:val="21"/>
      <w:szCs w:val="21"/>
    </w:rPr>
  </w:style>
  <w:style w:type="paragraph" w:styleId="68">
    <w:name w:val="No Spacing"/>
    <w:qFormat/>
    <w:uiPriority w:val="1"/>
    <w:rPr>
      <w:rFonts w:ascii="Times New Roman" w:hAnsi="Times New Roman" w:eastAsia="宋体" w:cs="Times New Roman"/>
      <w:lang w:val="en-US" w:eastAsia="zh-CN" w:bidi="ar-SA"/>
    </w:rPr>
  </w:style>
  <w:style w:type="character" w:customStyle="1" w:styleId="69">
    <w:name w:val="标题 字符"/>
    <w:link w:val="33"/>
    <w:qFormat/>
    <w:uiPriority w:val="10"/>
    <w:rPr>
      <w:sz w:val="48"/>
      <w:szCs w:val="48"/>
    </w:rPr>
  </w:style>
  <w:style w:type="character" w:customStyle="1" w:styleId="70">
    <w:name w:val="副标题 字符"/>
    <w:link w:val="26"/>
    <w:qFormat/>
    <w:uiPriority w:val="11"/>
    <w:rPr>
      <w:sz w:val="24"/>
      <w:szCs w:val="24"/>
    </w:rPr>
  </w:style>
  <w:style w:type="paragraph" w:styleId="71">
    <w:name w:val="Quote"/>
    <w:basedOn w:val="1"/>
    <w:next w:val="1"/>
    <w:link w:val="72"/>
    <w:qFormat/>
    <w:uiPriority w:val="29"/>
    <w:pPr>
      <w:ind w:left="720" w:right="720"/>
    </w:pPr>
    <w:rPr>
      <w:i/>
    </w:rPr>
  </w:style>
  <w:style w:type="character" w:customStyle="1" w:styleId="72">
    <w:name w:val="引用 字符"/>
    <w:link w:val="71"/>
    <w:qFormat/>
    <w:uiPriority w:val="29"/>
    <w:rPr>
      <w:i/>
    </w:rPr>
  </w:style>
  <w:style w:type="paragraph" w:styleId="73">
    <w:name w:val="Intense Quote"/>
    <w:basedOn w:val="1"/>
    <w:next w:val="1"/>
    <w:link w:val="7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4">
    <w:name w:val="明显引用 字符"/>
    <w:link w:val="73"/>
    <w:qFormat/>
    <w:uiPriority w:val="30"/>
    <w:rPr>
      <w:i/>
    </w:rPr>
  </w:style>
  <w:style w:type="character" w:customStyle="1" w:styleId="75">
    <w:name w:val="页脚 字符"/>
    <w:link w:val="22"/>
    <w:qFormat/>
    <w:uiPriority w:val="99"/>
  </w:style>
  <w:style w:type="table" w:customStyle="1" w:styleId="76">
    <w:name w:val="Table Grid Light"/>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无格式表格 11"/>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无格式表格 21"/>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无格式表格 31"/>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无格式表格 41"/>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无格式表格 51"/>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网格表 1 浅色1"/>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网格表 2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网格表 31"/>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网格表 41"/>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网格表 5 深色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网格表 6 彩色1"/>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1">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网格表 7 彩色1"/>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28">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脚注文本 字符"/>
    <w:link w:val="27"/>
    <w:qFormat/>
    <w:uiPriority w:val="99"/>
    <w:rPr>
      <w:sz w:val="18"/>
    </w:rPr>
  </w:style>
  <w:style w:type="character" w:customStyle="1" w:styleId="202">
    <w:name w:val="尾注文本 字符"/>
    <w:link w:val="20"/>
    <w:qFormat/>
    <w:uiPriority w:val="99"/>
    <w:rPr>
      <w:sz w:val="20"/>
    </w:rPr>
  </w:style>
  <w:style w:type="paragraph" w:customStyle="1" w:styleId="203">
    <w:name w:val="TOC 标题11"/>
    <w:unhideWhenUsed/>
    <w:qFormat/>
    <w:uiPriority w:val="39"/>
    <w:rPr>
      <w:rFonts w:ascii="Times New Roman" w:hAnsi="Times New Roman" w:eastAsia="宋体" w:cs="Times New Roman"/>
      <w:lang w:val="en-US" w:eastAsia="zh-CN" w:bidi="ar-SA"/>
    </w:rPr>
  </w:style>
  <w:style w:type="paragraph" w:customStyle="1" w:styleId="204">
    <w:name w:val="标题 11"/>
    <w:basedOn w:val="1"/>
    <w:next w:val="1"/>
    <w:link w:val="215"/>
    <w:qFormat/>
    <w:uiPriority w:val="0"/>
    <w:pPr>
      <w:keepNext/>
      <w:keepLines/>
      <w:spacing w:before="340" w:after="330" w:line="576" w:lineRule="auto"/>
      <w:outlineLvl w:val="0"/>
    </w:pPr>
    <w:rPr>
      <w:rFonts w:eastAsia="宋体"/>
      <w:b/>
      <w:sz w:val="44"/>
      <w:szCs w:val="20"/>
    </w:rPr>
  </w:style>
  <w:style w:type="paragraph" w:customStyle="1" w:styleId="205">
    <w:name w:val="标题 21"/>
    <w:basedOn w:val="1"/>
    <w:next w:val="1"/>
    <w:link w:val="216"/>
    <w:qFormat/>
    <w:uiPriority w:val="0"/>
    <w:pPr>
      <w:keepNext/>
      <w:keepLines/>
      <w:spacing w:before="260" w:after="260" w:line="413" w:lineRule="auto"/>
      <w:outlineLvl w:val="1"/>
    </w:pPr>
    <w:rPr>
      <w:rFonts w:ascii="Arial" w:hAnsi="Arial" w:eastAsia="黑体"/>
      <w:b/>
      <w:sz w:val="32"/>
      <w:szCs w:val="20"/>
    </w:rPr>
  </w:style>
  <w:style w:type="paragraph" w:customStyle="1" w:styleId="206">
    <w:name w:val="标题 41"/>
    <w:basedOn w:val="1"/>
    <w:next w:val="1"/>
    <w:link w:val="217"/>
    <w:qFormat/>
    <w:uiPriority w:val="0"/>
    <w:pPr>
      <w:keepNext/>
      <w:keepLines/>
      <w:tabs>
        <w:tab w:val="left" w:pos="1134"/>
        <w:tab w:val="right" w:pos="7371"/>
      </w:tabs>
      <w:spacing w:line="360" w:lineRule="auto"/>
      <w:outlineLvl w:val="3"/>
    </w:pPr>
    <w:rPr>
      <w:rFonts w:ascii="宋体" w:eastAsia="宋体"/>
      <w:color w:val="800000"/>
      <w:sz w:val="28"/>
      <w:szCs w:val="20"/>
    </w:rPr>
  </w:style>
  <w:style w:type="paragraph" w:customStyle="1" w:styleId="207">
    <w:name w:val="标题 51"/>
    <w:basedOn w:val="1"/>
    <w:next w:val="1"/>
    <w:qFormat/>
    <w:uiPriority w:val="0"/>
    <w:pPr>
      <w:keepNext/>
      <w:keepLines/>
      <w:tabs>
        <w:tab w:val="left" w:pos="1134"/>
        <w:tab w:val="right" w:pos="7371"/>
      </w:tabs>
      <w:spacing w:line="360" w:lineRule="auto"/>
      <w:jc w:val="left"/>
      <w:outlineLvl w:val="4"/>
    </w:pPr>
    <w:rPr>
      <w:rFonts w:ascii="宋体" w:eastAsia="宋体"/>
      <w:color w:val="008000"/>
      <w:sz w:val="28"/>
      <w:szCs w:val="20"/>
    </w:rPr>
  </w:style>
  <w:style w:type="paragraph" w:customStyle="1" w:styleId="208">
    <w:name w:val="标题 61"/>
    <w:basedOn w:val="1"/>
    <w:next w:val="1"/>
    <w:qFormat/>
    <w:uiPriority w:val="0"/>
    <w:pPr>
      <w:keepNext/>
      <w:keepLines/>
      <w:tabs>
        <w:tab w:val="left" w:pos="1134"/>
        <w:tab w:val="right" w:pos="7371"/>
      </w:tabs>
      <w:spacing w:before="240" w:after="64" w:line="316" w:lineRule="auto"/>
      <w:jc w:val="left"/>
      <w:outlineLvl w:val="5"/>
    </w:pPr>
    <w:rPr>
      <w:rFonts w:ascii="Arial" w:hAnsi="Arial" w:eastAsia="黑体"/>
      <w:b/>
      <w:color w:val="000000"/>
      <w:szCs w:val="20"/>
    </w:rPr>
  </w:style>
  <w:style w:type="paragraph" w:customStyle="1" w:styleId="209">
    <w:name w:val="标题 71"/>
    <w:basedOn w:val="1"/>
    <w:next w:val="1"/>
    <w:qFormat/>
    <w:uiPriority w:val="0"/>
    <w:pPr>
      <w:keepNext/>
      <w:keepLines/>
      <w:tabs>
        <w:tab w:val="left" w:pos="1134"/>
        <w:tab w:val="right" w:pos="7371"/>
      </w:tabs>
      <w:spacing w:before="240" w:after="64" w:line="316" w:lineRule="auto"/>
      <w:jc w:val="left"/>
      <w:outlineLvl w:val="6"/>
    </w:pPr>
    <w:rPr>
      <w:rFonts w:ascii="宋体" w:eastAsia="宋体"/>
      <w:b/>
      <w:color w:val="000000"/>
      <w:szCs w:val="20"/>
    </w:rPr>
  </w:style>
  <w:style w:type="paragraph" w:customStyle="1" w:styleId="210">
    <w:name w:val="标题 81"/>
    <w:basedOn w:val="1"/>
    <w:next w:val="1"/>
    <w:qFormat/>
    <w:uiPriority w:val="0"/>
    <w:pPr>
      <w:keepNext/>
      <w:keepLines/>
      <w:tabs>
        <w:tab w:val="left" w:pos="1134"/>
        <w:tab w:val="right" w:pos="7371"/>
      </w:tabs>
      <w:spacing w:before="240" w:after="64" w:line="316" w:lineRule="auto"/>
      <w:jc w:val="left"/>
      <w:outlineLvl w:val="7"/>
    </w:pPr>
    <w:rPr>
      <w:rFonts w:ascii="Arial" w:hAnsi="Arial" w:eastAsia="黑体"/>
      <w:color w:val="000000"/>
      <w:szCs w:val="20"/>
    </w:rPr>
  </w:style>
  <w:style w:type="paragraph" w:customStyle="1" w:styleId="211">
    <w:name w:val="标题 91"/>
    <w:basedOn w:val="1"/>
    <w:next w:val="1"/>
    <w:qFormat/>
    <w:uiPriority w:val="0"/>
    <w:pPr>
      <w:keepNext/>
      <w:spacing w:line="600" w:lineRule="exact"/>
      <w:jc w:val="center"/>
      <w:outlineLvl w:val="8"/>
    </w:pPr>
    <w:rPr>
      <w:rFonts w:ascii="仿宋_GB2312" w:eastAsia="仿宋_GB2312"/>
      <w:sz w:val="32"/>
    </w:rPr>
  </w:style>
  <w:style w:type="character" w:customStyle="1" w:styleId="212">
    <w:name w:val="默认段落字体1"/>
    <w:qFormat/>
    <w:uiPriority w:val="0"/>
    <w:rPr>
      <w:rFonts w:ascii="Times New Roman" w:hAnsi="Times New Roman" w:eastAsia="宋体" w:cs="Times New Roman"/>
    </w:rPr>
  </w:style>
  <w:style w:type="table" w:customStyle="1" w:styleId="213">
    <w:name w:val="普通表格1"/>
    <w:qFormat/>
    <w:uiPriority w:val="0"/>
    <w:tblPr>
      <w:tblCellMar>
        <w:top w:w="0" w:type="dxa"/>
        <w:left w:w="0" w:type="dxa"/>
        <w:bottom w:w="0" w:type="dxa"/>
        <w:right w:w="0" w:type="dxa"/>
      </w:tblCellMar>
    </w:tblPr>
  </w:style>
  <w:style w:type="character" w:customStyle="1" w:styleId="214">
    <w:name w:val="标题 3 Char"/>
    <w:link w:val="47"/>
    <w:qFormat/>
    <w:uiPriority w:val="0"/>
    <w:rPr>
      <w:rFonts w:ascii="Times New Roman" w:hAnsi="Times New Roman" w:eastAsia="宋体" w:cs="Times New Roman"/>
      <w:b/>
      <w:sz w:val="32"/>
    </w:rPr>
  </w:style>
  <w:style w:type="character" w:customStyle="1" w:styleId="215">
    <w:name w:val="标题 1 Char"/>
    <w:link w:val="204"/>
    <w:qFormat/>
    <w:uiPriority w:val="0"/>
    <w:rPr>
      <w:rFonts w:ascii="Times New Roman" w:hAnsi="Times New Roman" w:eastAsia="宋体" w:cs="Times New Roman"/>
      <w:b/>
      <w:sz w:val="44"/>
    </w:rPr>
  </w:style>
  <w:style w:type="character" w:customStyle="1" w:styleId="216">
    <w:name w:val="标题 2 Char"/>
    <w:link w:val="205"/>
    <w:qFormat/>
    <w:uiPriority w:val="0"/>
    <w:rPr>
      <w:rFonts w:ascii="Arial" w:hAnsi="Arial" w:eastAsia="黑体" w:cs="Times New Roman"/>
      <w:b/>
      <w:sz w:val="32"/>
    </w:rPr>
  </w:style>
  <w:style w:type="character" w:customStyle="1" w:styleId="217">
    <w:name w:val="标题 4 Char"/>
    <w:link w:val="206"/>
    <w:qFormat/>
    <w:uiPriority w:val="0"/>
    <w:rPr>
      <w:rFonts w:ascii="宋体" w:hAnsi="Times New Roman" w:eastAsia="宋体" w:cs="Times New Roman"/>
      <w:color w:val="800000"/>
      <w:sz w:val="28"/>
      <w:lang w:val="en-US" w:eastAsia="zh-CN" w:bidi="ar-SA"/>
    </w:rPr>
  </w:style>
  <w:style w:type="paragraph" w:customStyle="1" w:styleId="218">
    <w:name w:val="目录 71"/>
    <w:basedOn w:val="1"/>
    <w:next w:val="1"/>
    <w:qFormat/>
    <w:uiPriority w:val="0"/>
    <w:pPr>
      <w:ind w:left="1260"/>
      <w:jc w:val="left"/>
    </w:pPr>
    <w:rPr>
      <w:rFonts w:ascii="Calibri" w:hAnsi="Calibri" w:eastAsia="宋体" w:cs="Calibri"/>
      <w:sz w:val="18"/>
      <w:szCs w:val="18"/>
    </w:rPr>
  </w:style>
  <w:style w:type="paragraph" w:customStyle="1" w:styleId="219">
    <w:name w:val="列表项目符号 41"/>
    <w:basedOn w:val="1"/>
    <w:qFormat/>
    <w:uiPriority w:val="0"/>
    <w:pPr>
      <w:tabs>
        <w:tab w:val="left" w:pos="360"/>
      </w:tabs>
      <w:spacing w:line="380" w:lineRule="exact"/>
      <w:ind w:left="360" w:hanging="360"/>
    </w:pPr>
    <w:rPr>
      <w:rFonts w:ascii="Calibri" w:hAnsi="Calibri" w:eastAsia="宋体"/>
      <w:sz w:val="28"/>
      <w:szCs w:val="22"/>
    </w:rPr>
  </w:style>
  <w:style w:type="paragraph" w:customStyle="1" w:styleId="220">
    <w:name w:val="索引 81"/>
    <w:basedOn w:val="1"/>
    <w:next w:val="1"/>
    <w:qFormat/>
    <w:uiPriority w:val="0"/>
    <w:pPr>
      <w:ind w:left="1400"/>
    </w:pPr>
    <w:rPr>
      <w:rFonts w:ascii="Calibri" w:hAnsi="Calibri" w:eastAsia="宋体"/>
      <w:szCs w:val="22"/>
    </w:rPr>
  </w:style>
  <w:style w:type="paragraph" w:customStyle="1" w:styleId="221">
    <w:name w:val="列表编号1"/>
    <w:basedOn w:val="1"/>
    <w:qFormat/>
    <w:uiPriority w:val="0"/>
    <w:pPr>
      <w:tabs>
        <w:tab w:val="left" w:pos="0"/>
        <w:tab w:val="left" w:pos="840"/>
      </w:tabs>
      <w:spacing w:line="360" w:lineRule="auto"/>
    </w:pPr>
    <w:rPr>
      <w:rFonts w:eastAsia="宋体"/>
    </w:rPr>
  </w:style>
  <w:style w:type="paragraph" w:customStyle="1" w:styleId="222">
    <w:name w:val="正文缩进1"/>
    <w:basedOn w:val="1"/>
    <w:qFormat/>
    <w:uiPriority w:val="0"/>
    <w:pPr>
      <w:ind w:firstLine="420"/>
    </w:pPr>
    <w:rPr>
      <w:rFonts w:ascii="宋体" w:eastAsia="宋体"/>
      <w:color w:val="000000"/>
      <w:szCs w:val="20"/>
    </w:rPr>
  </w:style>
  <w:style w:type="paragraph" w:customStyle="1" w:styleId="223">
    <w:name w:val="题注1"/>
    <w:basedOn w:val="1"/>
    <w:next w:val="1"/>
    <w:link w:val="224"/>
    <w:qFormat/>
    <w:uiPriority w:val="0"/>
    <w:pPr>
      <w:tabs>
        <w:tab w:val="left" w:pos="0"/>
      </w:tabs>
      <w:spacing w:line="360" w:lineRule="auto"/>
    </w:pPr>
    <w:rPr>
      <w:rFonts w:ascii="Arial" w:hAnsi="Arial" w:eastAsia="黑体"/>
      <w:sz w:val="20"/>
      <w:szCs w:val="20"/>
    </w:rPr>
  </w:style>
  <w:style w:type="character" w:customStyle="1" w:styleId="224">
    <w:name w:val="题注 Char"/>
    <w:link w:val="223"/>
    <w:qFormat/>
    <w:uiPriority w:val="0"/>
    <w:rPr>
      <w:rFonts w:ascii="Arial" w:hAnsi="Arial" w:eastAsia="黑体" w:cs="Arial"/>
    </w:rPr>
  </w:style>
  <w:style w:type="paragraph" w:customStyle="1" w:styleId="225">
    <w:name w:val="索引 51"/>
    <w:basedOn w:val="1"/>
    <w:next w:val="1"/>
    <w:qFormat/>
    <w:uiPriority w:val="0"/>
    <w:pPr>
      <w:ind w:left="800"/>
    </w:pPr>
    <w:rPr>
      <w:rFonts w:ascii="Calibri" w:hAnsi="Calibri" w:eastAsia="宋体"/>
      <w:szCs w:val="22"/>
    </w:rPr>
  </w:style>
  <w:style w:type="paragraph" w:customStyle="1" w:styleId="226">
    <w:name w:val="列表项目符号1"/>
    <w:basedOn w:val="1"/>
    <w:qFormat/>
    <w:uiPriority w:val="0"/>
    <w:pPr>
      <w:tabs>
        <w:tab w:val="left" w:pos="840"/>
      </w:tabs>
      <w:spacing w:line="360" w:lineRule="auto"/>
      <w:ind w:left="962" w:hanging="480"/>
    </w:pPr>
    <w:rPr>
      <w:rFonts w:eastAsia="宋体"/>
    </w:rPr>
  </w:style>
  <w:style w:type="paragraph" w:customStyle="1" w:styleId="227">
    <w:name w:val="文档结构图1"/>
    <w:basedOn w:val="1"/>
    <w:qFormat/>
    <w:uiPriority w:val="0"/>
    <w:pPr>
      <w:shd w:val="clear" w:color="auto" w:fill="000080"/>
    </w:pPr>
    <w:rPr>
      <w:rFonts w:eastAsia="宋体"/>
    </w:rPr>
  </w:style>
  <w:style w:type="paragraph" w:customStyle="1" w:styleId="228">
    <w:name w:val="批注文字1"/>
    <w:basedOn w:val="1"/>
    <w:link w:val="229"/>
    <w:qFormat/>
    <w:uiPriority w:val="0"/>
    <w:pPr>
      <w:jc w:val="left"/>
    </w:pPr>
    <w:rPr>
      <w:rFonts w:eastAsia="宋体"/>
      <w:szCs w:val="20"/>
    </w:rPr>
  </w:style>
  <w:style w:type="character" w:customStyle="1" w:styleId="229">
    <w:name w:val="批注文字 Char"/>
    <w:link w:val="228"/>
    <w:qFormat/>
    <w:uiPriority w:val="0"/>
    <w:rPr>
      <w:rFonts w:ascii="Calibri" w:hAnsi="Calibri" w:eastAsia="宋体" w:cs="Times New Roman"/>
      <w:sz w:val="21"/>
    </w:rPr>
  </w:style>
  <w:style w:type="paragraph" w:customStyle="1" w:styleId="230">
    <w:name w:val="索引 61"/>
    <w:basedOn w:val="1"/>
    <w:next w:val="1"/>
    <w:qFormat/>
    <w:uiPriority w:val="0"/>
    <w:pPr>
      <w:ind w:left="1000"/>
    </w:pPr>
    <w:rPr>
      <w:rFonts w:ascii="Calibri" w:hAnsi="Calibri" w:eastAsia="宋体"/>
      <w:szCs w:val="22"/>
    </w:rPr>
  </w:style>
  <w:style w:type="paragraph" w:customStyle="1" w:styleId="231">
    <w:name w:val="正文文本 31"/>
    <w:basedOn w:val="1"/>
    <w:qFormat/>
    <w:uiPriority w:val="0"/>
    <w:rPr>
      <w:rFonts w:eastAsia="宋体"/>
      <w:color w:val="000000"/>
    </w:rPr>
  </w:style>
  <w:style w:type="paragraph" w:customStyle="1" w:styleId="232">
    <w:name w:val="列表项目符号 31"/>
    <w:basedOn w:val="1"/>
    <w:qFormat/>
    <w:uiPriority w:val="0"/>
    <w:pPr>
      <w:tabs>
        <w:tab w:val="left" w:pos="1200"/>
      </w:tabs>
      <w:spacing w:line="380" w:lineRule="exact"/>
      <w:ind w:left="1200" w:hanging="360"/>
    </w:pPr>
    <w:rPr>
      <w:rFonts w:ascii="Calibri" w:hAnsi="Calibri" w:eastAsia="宋体"/>
      <w:sz w:val="28"/>
      <w:szCs w:val="22"/>
    </w:rPr>
  </w:style>
  <w:style w:type="paragraph" w:customStyle="1" w:styleId="233">
    <w:name w:val="正文文本11"/>
    <w:basedOn w:val="1"/>
    <w:qFormat/>
    <w:uiPriority w:val="0"/>
    <w:pPr>
      <w:spacing w:line="60" w:lineRule="auto"/>
    </w:pPr>
    <w:rPr>
      <w:rFonts w:ascii="仿宋_GB2312" w:eastAsia="仿宋_GB2312"/>
      <w:sz w:val="32"/>
    </w:rPr>
  </w:style>
  <w:style w:type="paragraph" w:customStyle="1" w:styleId="234">
    <w:name w:val="正文文本缩进1"/>
    <w:basedOn w:val="1"/>
    <w:qFormat/>
    <w:uiPriority w:val="0"/>
    <w:pPr>
      <w:ind w:firstLine="225"/>
    </w:pPr>
    <w:rPr>
      <w:rFonts w:ascii="仿宋_GB2312" w:eastAsia="仿宋_GB2312"/>
      <w:sz w:val="32"/>
    </w:rPr>
  </w:style>
  <w:style w:type="paragraph" w:customStyle="1" w:styleId="235">
    <w:name w:val="文本块1"/>
    <w:basedOn w:val="1"/>
    <w:qFormat/>
    <w:uiPriority w:val="0"/>
    <w:pPr>
      <w:spacing w:line="360" w:lineRule="exact"/>
      <w:ind w:left="1548" w:right="12" w:hanging="2405"/>
    </w:pPr>
    <w:rPr>
      <w:rFonts w:ascii="宋体" w:eastAsia="宋体"/>
      <w:bCs/>
      <w:sz w:val="28"/>
      <w:szCs w:val="22"/>
    </w:rPr>
  </w:style>
  <w:style w:type="paragraph" w:customStyle="1" w:styleId="236">
    <w:name w:val="列表项目符号 21"/>
    <w:basedOn w:val="1"/>
    <w:qFormat/>
    <w:uiPriority w:val="0"/>
    <w:pPr>
      <w:tabs>
        <w:tab w:val="left" w:pos="720"/>
      </w:tabs>
      <w:spacing w:line="360" w:lineRule="auto"/>
      <w:ind w:left="720" w:hanging="360"/>
    </w:pPr>
    <w:rPr>
      <w:rFonts w:eastAsia="宋体"/>
    </w:rPr>
  </w:style>
  <w:style w:type="paragraph" w:customStyle="1" w:styleId="237">
    <w:name w:val="HTML 地址1"/>
    <w:basedOn w:val="1"/>
    <w:qFormat/>
    <w:uiPriority w:val="0"/>
    <w:rPr>
      <w:rFonts w:eastAsia="宋体"/>
      <w:i/>
      <w:iCs/>
    </w:rPr>
  </w:style>
  <w:style w:type="paragraph" w:customStyle="1" w:styleId="238">
    <w:name w:val="索引 411"/>
    <w:basedOn w:val="1"/>
    <w:next w:val="1"/>
    <w:qFormat/>
    <w:uiPriority w:val="0"/>
    <w:pPr>
      <w:ind w:left="600"/>
    </w:pPr>
    <w:rPr>
      <w:rFonts w:ascii="Calibri" w:hAnsi="Calibri" w:eastAsia="宋体"/>
      <w:szCs w:val="22"/>
    </w:rPr>
  </w:style>
  <w:style w:type="paragraph" w:customStyle="1" w:styleId="239">
    <w:name w:val="目录 51"/>
    <w:basedOn w:val="1"/>
    <w:next w:val="1"/>
    <w:qFormat/>
    <w:uiPriority w:val="0"/>
    <w:pPr>
      <w:ind w:left="840"/>
      <w:jc w:val="left"/>
    </w:pPr>
    <w:rPr>
      <w:rFonts w:ascii="Calibri" w:hAnsi="Calibri" w:eastAsia="宋体" w:cs="Calibri"/>
      <w:sz w:val="18"/>
      <w:szCs w:val="18"/>
    </w:rPr>
  </w:style>
  <w:style w:type="paragraph" w:customStyle="1" w:styleId="240">
    <w:name w:val="目录 31"/>
    <w:basedOn w:val="1"/>
    <w:next w:val="1"/>
    <w:qFormat/>
    <w:uiPriority w:val="0"/>
    <w:pPr>
      <w:ind w:left="420"/>
      <w:jc w:val="left"/>
    </w:pPr>
    <w:rPr>
      <w:rFonts w:ascii="Calibri" w:hAnsi="Calibri" w:eastAsia="宋体" w:cs="Calibri"/>
      <w:i/>
      <w:iCs/>
      <w:sz w:val="20"/>
      <w:szCs w:val="20"/>
    </w:rPr>
  </w:style>
  <w:style w:type="paragraph" w:customStyle="1" w:styleId="241">
    <w:name w:val="纯文本1"/>
    <w:basedOn w:val="1"/>
    <w:link w:val="242"/>
    <w:qFormat/>
    <w:uiPriority w:val="0"/>
    <w:rPr>
      <w:rFonts w:ascii="宋体" w:eastAsia="宋体"/>
      <w:szCs w:val="21"/>
    </w:rPr>
  </w:style>
  <w:style w:type="character" w:customStyle="1" w:styleId="242">
    <w:name w:val="纯文本 Char1"/>
    <w:link w:val="241"/>
    <w:qFormat/>
    <w:uiPriority w:val="0"/>
    <w:rPr>
      <w:rFonts w:ascii="宋体" w:hAnsi="Calibri" w:eastAsia="宋体" w:cs="Times New Roman"/>
      <w:sz w:val="21"/>
      <w:szCs w:val="21"/>
      <w:lang w:val="en-US" w:eastAsia="zh-CN" w:bidi="ar-SA"/>
    </w:rPr>
  </w:style>
  <w:style w:type="paragraph" w:customStyle="1" w:styleId="243">
    <w:name w:val="列表项目符号 51"/>
    <w:basedOn w:val="1"/>
    <w:qFormat/>
    <w:uiPriority w:val="0"/>
    <w:pPr>
      <w:tabs>
        <w:tab w:val="left" w:pos="720"/>
      </w:tabs>
      <w:spacing w:line="380" w:lineRule="exact"/>
      <w:ind w:left="720" w:hanging="360"/>
    </w:pPr>
    <w:rPr>
      <w:rFonts w:ascii="Calibri" w:hAnsi="Calibri" w:eastAsia="宋体"/>
      <w:sz w:val="28"/>
      <w:szCs w:val="22"/>
    </w:rPr>
  </w:style>
  <w:style w:type="paragraph" w:customStyle="1" w:styleId="244">
    <w:name w:val="目录 81"/>
    <w:basedOn w:val="1"/>
    <w:next w:val="1"/>
    <w:qFormat/>
    <w:uiPriority w:val="0"/>
    <w:pPr>
      <w:ind w:left="1470"/>
      <w:jc w:val="left"/>
    </w:pPr>
    <w:rPr>
      <w:rFonts w:ascii="Calibri" w:hAnsi="Calibri" w:eastAsia="宋体" w:cs="Calibri"/>
      <w:sz w:val="18"/>
      <w:szCs w:val="18"/>
    </w:rPr>
  </w:style>
  <w:style w:type="paragraph" w:customStyle="1" w:styleId="245">
    <w:name w:val="索引 31"/>
    <w:basedOn w:val="1"/>
    <w:next w:val="1"/>
    <w:qFormat/>
    <w:uiPriority w:val="0"/>
    <w:pPr>
      <w:ind w:left="400"/>
    </w:pPr>
    <w:rPr>
      <w:rFonts w:ascii="Calibri" w:hAnsi="Calibri" w:eastAsia="宋体"/>
      <w:szCs w:val="22"/>
    </w:rPr>
  </w:style>
  <w:style w:type="paragraph" w:customStyle="1" w:styleId="246">
    <w:name w:val="日期1"/>
    <w:basedOn w:val="1"/>
    <w:next w:val="1"/>
    <w:qFormat/>
    <w:uiPriority w:val="0"/>
    <w:pPr>
      <w:ind w:left="2500"/>
    </w:pPr>
    <w:rPr>
      <w:rFonts w:eastAsia="宋体"/>
    </w:rPr>
  </w:style>
  <w:style w:type="paragraph" w:customStyle="1" w:styleId="247">
    <w:name w:val="正文文本缩进 21"/>
    <w:basedOn w:val="1"/>
    <w:qFormat/>
    <w:uiPriority w:val="0"/>
    <w:pPr>
      <w:spacing w:line="540" w:lineRule="exact"/>
      <w:ind w:firstLine="225"/>
      <w:jc w:val="left"/>
    </w:pPr>
    <w:rPr>
      <w:rFonts w:ascii="仿宋_GB2312" w:eastAsia="仿宋_GB2312"/>
      <w:sz w:val="32"/>
    </w:rPr>
  </w:style>
  <w:style w:type="paragraph" w:customStyle="1" w:styleId="248">
    <w:name w:val="尾注文本1"/>
    <w:basedOn w:val="1"/>
    <w:qFormat/>
    <w:uiPriority w:val="0"/>
    <w:pPr>
      <w:widowControl/>
      <w:jc w:val="left"/>
    </w:pPr>
    <w:rPr>
      <w:rFonts w:ascii="宋体" w:eastAsia="宋体"/>
      <w:bCs/>
      <w:szCs w:val="21"/>
    </w:rPr>
  </w:style>
  <w:style w:type="paragraph" w:customStyle="1" w:styleId="249">
    <w:name w:val="批注框文本1"/>
    <w:basedOn w:val="1"/>
    <w:qFormat/>
    <w:uiPriority w:val="0"/>
    <w:rPr>
      <w:rFonts w:eastAsia="宋体"/>
      <w:sz w:val="18"/>
      <w:szCs w:val="20"/>
    </w:rPr>
  </w:style>
  <w:style w:type="paragraph" w:customStyle="1" w:styleId="250">
    <w:name w:val="页脚1"/>
    <w:basedOn w:val="1"/>
    <w:qFormat/>
    <w:uiPriority w:val="0"/>
    <w:pPr>
      <w:tabs>
        <w:tab w:val="center" w:pos="4153"/>
        <w:tab w:val="right" w:pos="8306"/>
      </w:tabs>
      <w:jc w:val="left"/>
    </w:pPr>
    <w:rPr>
      <w:rFonts w:eastAsia="宋体"/>
      <w:sz w:val="18"/>
      <w:szCs w:val="18"/>
    </w:rPr>
  </w:style>
  <w:style w:type="paragraph" w:customStyle="1" w:styleId="251">
    <w:name w:val="页眉1"/>
    <w:basedOn w:val="1"/>
    <w:qFormat/>
    <w:uiPriority w:val="0"/>
    <w:pPr>
      <w:pBdr>
        <w:bottom w:val="single" w:color="000000" w:sz="6" w:space="1"/>
      </w:pBdr>
      <w:tabs>
        <w:tab w:val="center" w:pos="4153"/>
        <w:tab w:val="right" w:pos="8306"/>
      </w:tabs>
      <w:jc w:val="center"/>
    </w:pPr>
    <w:rPr>
      <w:rFonts w:eastAsia="宋体"/>
      <w:sz w:val="18"/>
      <w:szCs w:val="18"/>
    </w:rPr>
  </w:style>
  <w:style w:type="paragraph" w:customStyle="1" w:styleId="252">
    <w:name w:val="目录 11"/>
    <w:basedOn w:val="1"/>
    <w:next w:val="1"/>
    <w:qFormat/>
    <w:uiPriority w:val="0"/>
    <w:pPr>
      <w:spacing w:before="120" w:after="120"/>
      <w:jc w:val="left"/>
    </w:pPr>
    <w:rPr>
      <w:rFonts w:ascii="Calibri" w:hAnsi="Calibri" w:eastAsia="宋体" w:cs="Calibri"/>
      <w:b/>
      <w:bCs/>
      <w:caps/>
      <w:sz w:val="20"/>
      <w:szCs w:val="20"/>
    </w:rPr>
  </w:style>
  <w:style w:type="paragraph" w:customStyle="1" w:styleId="253">
    <w:name w:val="目录 41"/>
    <w:basedOn w:val="1"/>
    <w:next w:val="1"/>
    <w:qFormat/>
    <w:uiPriority w:val="0"/>
    <w:pPr>
      <w:ind w:left="630"/>
      <w:jc w:val="left"/>
    </w:pPr>
    <w:rPr>
      <w:rFonts w:ascii="Calibri" w:hAnsi="Calibri" w:eastAsia="宋体" w:cs="Calibri"/>
      <w:sz w:val="18"/>
      <w:szCs w:val="18"/>
    </w:rPr>
  </w:style>
  <w:style w:type="paragraph" w:customStyle="1" w:styleId="254">
    <w:name w:val="索引标题1"/>
    <w:basedOn w:val="1"/>
    <w:next w:val="255"/>
    <w:qFormat/>
    <w:uiPriority w:val="0"/>
    <w:rPr>
      <w:rFonts w:ascii="Calibri" w:hAnsi="Calibri" w:eastAsia="宋体"/>
      <w:szCs w:val="22"/>
    </w:rPr>
  </w:style>
  <w:style w:type="paragraph" w:customStyle="1" w:styleId="255">
    <w:name w:val="索引 11"/>
    <w:basedOn w:val="1"/>
    <w:next w:val="1"/>
    <w:qFormat/>
    <w:uiPriority w:val="0"/>
    <w:rPr>
      <w:rFonts w:ascii="Calibri" w:hAnsi="Calibri" w:eastAsia="宋体"/>
      <w:szCs w:val="22"/>
    </w:rPr>
  </w:style>
  <w:style w:type="paragraph" w:customStyle="1" w:styleId="256">
    <w:name w:val="脚注文本1"/>
    <w:basedOn w:val="1"/>
    <w:qFormat/>
    <w:uiPriority w:val="0"/>
    <w:pPr>
      <w:jc w:val="left"/>
    </w:pPr>
    <w:rPr>
      <w:rFonts w:ascii="宋体" w:eastAsia="宋体"/>
      <w:bCs/>
      <w:sz w:val="18"/>
      <w:szCs w:val="18"/>
    </w:rPr>
  </w:style>
  <w:style w:type="paragraph" w:customStyle="1" w:styleId="257">
    <w:name w:val="目录 61"/>
    <w:basedOn w:val="1"/>
    <w:next w:val="1"/>
    <w:qFormat/>
    <w:uiPriority w:val="0"/>
    <w:pPr>
      <w:ind w:left="1050"/>
      <w:jc w:val="left"/>
    </w:pPr>
    <w:rPr>
      <w:rFonts w:ascii="Calibri" w:hAnsi="Calibri" w:eastAsia="宋体" w:cs="Calibri"/>
      <w:sz w:val="18"/>
      <w:szCs w:val="18"/>
    </w:rPr>
  </w:style>
  <w:style w:type="paragraph" w:customStyle="1" w:styleId="258">
    <w:name w:val="正文文本缩进 31"/>
    <w:basedOn w:val="1"/>
    <w:qFormat/>
    <w:uiPriority w:val="0"/>
    <w:pPr>
      <w:ind w:firstLine="213"/>
    </w:pPr>
    <w:rPr>
      <w:rFonts w:ascii="仿宋_GB2312" w:eastAsia="仿宋_GB2312"/>
      <w:sz w:val="30"/>
    </w:rPr>
  </w:style>
  <w:style w:type="paragraph" w:customStyle="1" w:styleId="259">
    <w:name w:val="索引 71"/>
    <w:basedOn w:val="1"/>
    <w:next w:val="1"/>
    <w:qFormat/>
    <w:uiPriority w:val="0"/>
    <w:pPr>
      <w:ind w:left="1200"/>
    </w:pPr>
    <w:rPr>
      <w:rFonts w:ascii="Calibri" w:hAnsi="Calibri" w:eastAsia="宋体"/>
      <w:szCs w:val="22"/>
    </w:rPr>
  </w:style>
  <w:style w:type="paragraph" w:customStyle="1" w:styleId="260">
    <w:name w:val="索引 91"/>
    <w:basedOn w:val="1"/>
    <w:next w:val="1"/>
    <w:qFormat/>
    <w:uiPriority w:val="0"/>
    <w:pPr>
      <w:ind w:left="1600"/>
    </w:pPr>
    <w:rPr>
      <w:rFonts w:ascii="Calibri" w:hAnsi="Calibri" w:eastAsia="宋体"/>
      <w:szCs w:val="22"/>
    </w:rPr>
  </w:style>
  <w:style w:type="paragraph" w:customStyle="1" w:styleId="261">
    <w:name w:val="图表目录11"/>
    <w:basedOn w:val="1"/>
    <w:next w:val="1"/>
    <w:qFormat/>
    <w:uiPriority w:val="0"/>
    <w:pPr>
      <w:widowControl/>
      <w:ind w:left="400" w:hanging="200"/>
      <w:jc w:val="left"/>
    </w:pPr>
    <w:rPr>
      <w:rFonts w:ascii="宋体" w:eastAsia="宋体"/>
      <w:bCs/>
      <w:szCs w:val="21"/>
    </w:rPr>
  </w:style>
  <w:style w:type="paragraph" w:customStyle="1" w:styleId="262">
    <w:name w:val="目录 21"/>
    <w:basedOn w:val="1"/>
    <w:next w:val="1"/>
    <w:qFormat/>
    <w:uiPriority w:val="0"/>
    <w:pPr>
      <w:ind w:left="210"/>
      <w:jc w:val="left"/>
    </w:pPr>
    <w:rPr>
      <w:rFonts w:ascii="Calibri" w:hAnsi="Calibri" w:eastAsia="宋体" w:cs="Calibri"/>
      <w:smallCaps/>
      <w:sz w:val="20"/>
      <w:szCs w:val="20"/>
    </w:rPr>
  </w:style>
  <w:style w:type="paragraph" w:customStyle="1" w:styleId="263">
    <w:name w:val="目录 91"/>
    <w:basedOn w:val="1"/>
    <w:next w:val="1"/>
    <w:qFormat/>
    <w:uiPriority w:val="0"/>
    <w:pPr>
      <w:ind w:left="1680"/>
      <w:jc w:val="left"/>
    </w:pPr>
    <w:rPr>
      <w:rFonts w:ascii="Calibri" w:hAnsi="Calibri" w:eastAsia="宋体" w:cs="Calibri"/>
      <w:sz w:val="18"/>
      <w:szCs w:val="18"/>
    </w:rPr>
  </w:style>
  <w:style w:type="paragraph" w:customStyle="1" w:styleId="264">
    <w:name w:val="正文文本 21"/>
    <w:basedOn w:val="1"/>
    <w:qFormat/>
    <w:uiPriority w:val="0"/>
    <w:pPr>
      <w:spacing w:line="560" w:lineRule="exact"/>
    </w:pPr>
    <w:rPr>
      <w:rFonts w:ascii="仿宋_GB2312" w:eastAsia="仿宋_GB2312"/>
      <w:sz w:val="28"/>
      <w:szCs w:val="30"/>
    </w:rPr>
  </w:style>
  <w:style w:type="paragraph" w:customStyle="1" w:styleId="265">
    <w:name w:val="列表接续 21"/>
    <w:basedOn w:val="1"/>
    <w:next w:val="253"/>
    <w:qFormat/>
    <w:uiPriority w:val="0"/>
    <w:pPr>
      <w:spacing w:after="120"/>
      <w:ind w:left="840"/>
    </w:pPr>
    <w:rPr>
      <w:rFonts w:eastAsia="宋体"/>
    </w:rPr>
  </w:style>
  <w:style w:type="paragraph" w:customStyle="1" w:styleId="26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rPr>
  </w:style>
  <w:style w:type="paragraph" w:customStyle="1" w:styleId="267">
    <w:name w:val="普通(网站)1"/>
    <w:basedOn w:val="1"/>
    <w:qFormat/>
    <w:uiPriority w:val="0"/>
    <w:pPr>
      <w:widowControl/>
      <w:spacing w:before="100" w:beforeAutospacing="1" w:after="100" w:afterAutospacing="1"/>
      <w:jc w:val="left"/>
    </w:pPr>
    <w:rPr>
      <w:rFonts w:ascii="宋体" w:eastAsia="宋体"/>
      <w:szCs w:val="20"/>
    </w:rPr>
  </w:style>
  <w:style w:type="paragraph" w:customStyle="1" w:styleId="268">
    <w:name w:val="索引 21"/>
    <w:basedOn w:val="1"/>
    <w:next w:val="1"/>
    <w:qFormat/>
    <w:uiPriority w:val="0"/>
    <w:pPr>
      <w:ind w:left="200"/>
    </w:pPr>
    <w:rPr>
      <w:rFonts w:ascii="Calibri" w:hAnsi="Calibri" w:eastAsia="宋体"/>
      <w:szCs w:val="22"/>
    </w:rPr>
  </w:style>
  <w:style w:type="paragraph" w:customStyle="1" w:styleId="269">
    <w:name w:val="标题1"/>
    <w:basedOn w:val="1"/>
    <w:qFormat/>
    <w:uiPriority w:val="0"/>
    <w:pPr>
      <w:spacing w:before="240" w:after="60"/>
      <w:jc w:val="center"/>
      <w:outlineLvl w:val="0"/>
    </w:pPr>
    <w:rPr>
      <w:rFonts w:ascii="Cambria" w:hAnsi="Cambria" w:eastAsia="宋体"/>
      <w:b/>
      <w:bCs/>
      <w:sz w:val="32"/>
      <w:szCs w:val="32"/>
    </w:rPr>
  </w:style>
  <w:style w:type="paragraph" w:customStyle="1" w:styleId="270">
    <w:name w:val="批注主题1"/>
    <w:basedOn w:val="228"/>
    <w:next w:val="228"/>
    <w:qFormat/>
    <w:uiPriority w:val="0"/>
    <w:rPr>
      <w:b/>
    </w:rPr>
  </w:style>
  <w:style w:type="paragraph" w:customStyle="1" w:styleId="271">
    <w:name w:val="正文首行缩进1"/>
    <w:basedOn w:val="233"/>
    <w:qFormat/>
    <w:uiPriority w:val="0"/>
    <w:pPr>
      <w:spacing w:after="120" w:line="240" w:lineRule="auto"/>
      <w:ind w:firstLine="100"/>
    </w:pPr>
    <w:rPr>
      <w:rFonts w:ascii="Times New Roman" w:eastAsia="宋体"/>
      <w:sz w:val="21"/>
    </w:rPr>
  </w:style>
  <w:style w:type="paragraph" w:customStyle="1" w:styleId="272">
    <w:name w:val="正文首行缩进 21"/>
    <w:basedOn w:val="234"/>
    <w:link w:val="273"/>
    <w:qFormat/>
    <w:uiPriority w:val="0"/>
    <w:pPr>
      <w:spacing w:after="120"/>
      <w:ind w:left="200" w:firstLine="200"/>
    </w:pPr>
    <w:rPr>
      <w:rFonts w:ascii="Times New Roman" w:eastAsia="宋体"/>
      <w:sz w:val="24"/>
    </w:rPr>
  </w:style>
  <w:style w:type="character" w:customStyle="1" w:styleId="273">
    <w:name w:val="正文首行缩进 2 Char"/>
    <w:link w:val="272"/>
    <w:qFormat/>
    <w:uiPriority w:val="0"/>
    <w:rPr>
      <w:rFonts w:ascii="Times New Roman" w:hAnsi="Times New Roman" w:eastAsia="仿宋_GB2312" w:cs="Times New Roman"/>
      <w:sz w:val="24"/>
      <w:szCs w:val="24"/>
      <w:lang w:bidi="ar-SA"/>
    </w:rPr>
  </w:style>
  <w:style w:type="table" w:customStyle="1" w:styleId="274">
    <w:name w:val="网格型1"/>
    <w:basedOn w:val="213"/>
    <w:qFormat/>
    <w:uiPriority w:val="0"/>
  </w:style>
  <w:style w:type="character" w:customStyle="1" w:styleId="275">
    <w:name w:val="要点1"/>
    <w:qFormat/>
    <w:uiPriority w:val="0"/>
    <w:rPr>
      <w:rFonts w:ascii="Times New Roman" w:hAnsi="Times New Roman" w:eastAsia="宋体" w:cs="Times New Roman"/>
      <w:b/>
    </w:rPr>
  </w:style>
  <w:style w:type="character" w:customStyle="1" w:styleId="276">
    <w:name w:val="尾注引用1"/>
    <w:qFormat/>
    <w:uiPriority w:val="0"/>
    <w:rPr>
      <w:rFonts w:ascii="Times New Roman" w:hAnsi="Times New Roman" w:eastAsia="宋体" w:cs="Times New Roman"/>
      <w:vertAlign w:val="superscript"/>
    </w:rPr>
  </w:style>
  <w:style w:type="character" w:customStyle="1" w:styleId="277">
    <w:name w:val="页码1"/>
    <w:basedOn w:val="212"/>
    <w:qFormat/>
    <w:uiPriority w:val="0"/>
    <w:rPr>
      <w:rFonts w:ascii="Times New Roman" w:hAnsi="Times New Roman" w:eastAsia="宋体" w:cs="Times New Roman"/>
    </w:rPr>
  </w:style>
  <w:style w:type="character" w:customStyle="1" w:styleId="278">
    <w:name w:val="已访问的超链接1"/>
    <w:qFormat/>
    <w:uiPriority w:val="0"/>
    <w:rPr>
      <w:rFonts w:ascii="Times New Roman" w:hAnsi="Times New Roman" w:eastAsia="宋体" w:cs="Times New Roman"/>
      <w:color w:val="800080"/>
      <w:u w:val="single"/>
    </w:rPr>
  </w:style>
  <w:style w:type="character" w:customStyle="1" w:styleId="279">
    <w:name w:val="强调1"/>
    <w:qFormat/>
    <w:uiPriority w:val="0"/>
    <w:rPr>
      <w:rFonts w:ascii="Times New Roman" w:hAnsi="Times New Roman" w:eastAsia="宋体" w:cs="Times New Roman"/>
      <w:color w:val="CC0033"/>
    </w:rPr>
  </w:style>
  <w:style w:type="character" w:customStyle="1" w:styleId="280">
    <w:name w:val="HTML 打字机1"/>
    <w:qFormat/>
    <w:uiPriority w:val="0"/>
    <w:rPr>
      <w:rFonts w:ascii="宋体" w:hAnsi="Times New Roman" w:eastAsia="宋体" w:cs="宋体"/>
      <w:sz w:val="24"/>
      <w:szCs w:val="24"/>
      <w:lang w:bidi="ar-SA"/>
    </w:rPr>
  </w:style>
  <w:style w:type="character" w:customStyle="1" w:styleId="281">
    <w:name w:val="超链接1"/>
    <w:qFormat/>
    <w:uiPriority w:val="0"/>
    <w:rPr>
      <w:rFonts w:ascii="Times New Roman" w:hAnsi="Times New Roman" w:eastAsia="宋体" w:cs="Times New Roman"/>
      <w:color w:val="0000FF"/>
      <w:u w:val="single"/>
    </w:rPr>
  </w:style>
  <w:style w:type="character" w:customStyle="1" w:styleId="282">
    <w:name w:val="批注引用1"/>
    <w:qFormat/>
    <w:uiPriority w:val="0"/>
    <w:rPr>
      <w:rFonts w:ascii="Times New Roman" w:hAnsi="Times New Roman" w:eastAsia="宋体" w:cs="Times New Roman"/>
      <w:sz w:val="21"/>
    </w:rPr>
  </w:style>
  <w:style w:type="character" w:customStyle="1" w:styleId="283">
    <w:name w:val="脚注引用1"/>
    <w:qFormat/>
    <w:uiPriority w:val="0"/>
    <w:rPr>
      <w:rFonts w:ascii="Times New Roman" w:hAnsi="Times New Roman" w:eastAsia="宋体" w:cs="Times New Roman"/>
      <w:vertAlign w:val="superscript"/>
    </w:rPr>
  </w:style>
  <w:style w:type="paragraph" w:customStyle="1" w:styleId="284">
    <w:name w:val="标题二、"/>
    <w:basedOn w:val="1"/>
    <w:qFormat/>
    <w:uiPriority w:val="0"/>
    <w:pPr>
      <w:spacing w:line="360" w:lineRule="auto"/>
      <w:ind w:firstLine="200"/>
      <w:outlineLvl w:val="2"/>
    </w:pPr>
    <w:rPr>
      <w:rFonts w:ascii="宋体" w:hAnsi="宋体" w:eastAsia="微软雅黑"/>
      <w:b/>
      <w:szCs w:val="21"/>
    </w:rPr>
  </w:style>
  <w:style w:type="paragraph" w:customStyle="1" w:styleId="285">
    <w:name w:val="Normal_0"/>
    <w:qFormat/>
    <w:uiPriority w:val="0"/>
    <w:rPr>
      <w:rFonts w:ascii="黑体" w:hAnsi="黑体" w:eastAsia="黑体" w:cs="Times New Roman"/>
      <w:b/>
      <w:sz w:val="32"/>
      <w:szCs w:val="24"/>
      <w:lang w:val="en-US" w:eastAsia="zh-CN" w:bidi="ar-SA"/>
    </w:rPr>
  </w:style>
  <w:style w:type="paragraph" w:customStyle="1" w:styleId="286">
    <w:name w:val="索引 41"/>
    <w:basedOn w:val="1"/>
    <w:next w:val="1"/>
    <w:qFormat/>
    <w:uiPriority w:val="0"/>
    <w:pPr>
      <w:ind w:left="600"/>
    </w:pPr>
    <w:rPr>
      <w:rFonts w:ascii="Verdana" w:hAnsi="Verdana" w:eastAsia="宋体"/>
      <w:szCs w:val="20"/>
    </w:rPr>
  </w:style>
  <w:style w:type="paragraph" w:customStyle="1" w:styleId="287">
    <w:name w:val="列出段落1"/>
    <w:basedOn w:val="1"/>
    <w:qFormat/>
    <w:uiPriority w:val="0"/>
    <w:pPr>
      <w:ind w:firstLine="420"/>
    </w:pPr>
    <w:rPr>
      <w:rFonts w:eastAsia="宋体"/>
    </w:rPr>
  </w:style>
  <w:style w:type="character" w:customStyle="1" w:styleId="288">
    <w:name w:val="fontstyle01"/>
    <w:qFormat/>
    <w:uiPriority w:val="0"/>
    <w:rPr>
      <w:rFonts w:hint="eastAsia" w:ascii="宋体" w:hAnsi="宋体" w:eastAsia="宋体" w:cs="Times New Roman"/>
      <w:color w:val="000000"/>
      <w:sz w:val="24"/>
      <w:szCs w:val="24"/>
    </w:rPr>
  </w:style>
  <w:style w:type="paragraph" w:customStyle="1" w:styleId="289">
    <w:name w:val="Normal_0_3"/>
    <w:qFormat/>
    <w:uiPriority w:val="0"/>
    <w:rPr>
      <w:rFonts w:ascii="黑体" w:hAnsi="黑体" w:eastAsia="黑体" w:cs="黑体"/>
      <w:b/>
      <w:sz w:val="32"/>
      <w:szCs w:val="24"/>
      <w:lang w:val="en-US" w:eastAsia="zh-CN" w:bidi="ar-SA"/>
    </w:rPr>
  </w:style>
  <w:style w:type="paragraph" w:customStyle="1" w:styleId="290">
    <w:name w:val="正文_17"/>
    <w:qFormat/>
    <w:uiPriority w:val="0"/>
    <w:pPr>
      <w:widowControl w:val="0"/>
      <w:jc w:val="both"/>
    </w:pPr>
    <w:rPr>
      <w:rFonts w:ascii="Calibri" w:hAnsi="Calibri" w:eastAsia="宋体" w:cs="Times New Roman"/>
      <w:sz w:val="21"/>
      <w:szCs w:val="22"/>
      <w:lang w:val="en-US" w:eastAsia="zh-CN" w:bidi="ar-SA"/>
    </w:rPr>
  </w:style>
  <w:style w:type="paragraph" w:customStyle="1" w:styleId="291">
    <w:name w:val="Normal_13_0"/>
    <w:qFormat/>
    <w:uiPriority w:val="0"/>
    <w:pPr>
      <w:widowControl w:val="0"/>
      <w:jc w:val="both"/>
    </w:pPr>
    <w:rPr>
      <w:rFonts w:ascii="Calibri" w:hAnsi="Calibri" w:eastAsia="宋体" w:cs="Times New Roman"/>
      <w:sz w:val="21"/>
      <w:szCs w:val="22"/>
      <w:lang w:val="en-US" w:eastAsia="zh-CN" w:bidi="ar-SA"/>
    </w:rPr>
  </w:style>
  <w:style w:type="paragraph" w:customStyle="1" w:styleId="292">
    <w:name w:val="Normal_1_2"/>
    <w:qFormat/>
    <w:uiPriority w:val="0"/>
    <w:rPr>
      <w:rFonts w:ascii="Times New Roman" w:hAnsi="Times New Roman" w:eastAsia="Times New Roman" w:cs="Times New Roman"/>
      <w:sz w:val="24"/>
      <w:szCs w:val="24"/>
      <w:lang w:val="en-US" w:eastAsia="zh-CN" w:bidi="ar-SA"/>
    </w:rPr>
  </w:style>
  <w:style w:type="paragraph" w:customStyle="1" w:styleId="293">
    <w:name w:val="Normal_0_1"/>
    <w:qFormat/>
    <w:uiPriority w:val="0"/>
    <w:rPr>
      <w:rFonts w:ascii="黑体" w:hAnsi="黑体" w:eastAsia="黑体" w:cs="黑体"/>
      <w:b/>
      <w:sz w:val="32"/>
      <w:szCs w:val="24"/>
      <w:lang w:val="en-US" w:eastAsia="zh-CN" w:bidi="ar-SA"/>
    </w:rPr>
  </w:style>
  <w:style w:type="paragraph" w:customStyle="1" w:styleId="294">
    <w:name w:val="Normal_1_1"/>
    <w:qFormat/>
    <w:uiPriority w:val="0"/>
    <w:pPr>
      <w:widowControl w:val="0"/>
      <w:jc w:val="both"/>
    </w:pPr>
    <w:rPr>
      <w:rFonts w:ascii="Calibri" w:hAnsi="Calibri" w:eastAsia="宋体" w:cs="Times New Roman"/>
      <w:sz w:val="21"/>
      <w:szCs w:val="22"/>
      <w:lang w:val="en-US" w:eastAsia="zh-CN" w:bidi="ar-SA"/>
    </w:rPr>
  </w:style>
  <w:style w:type="paragraph" w:customStyle="1" w:styleId="295">
    <w:name w:val="Normal_2_0"/>
    <w:qFormat/>
    <w:uiPriority w:val="0"/>
    <w:rPr>
      <w:rFonts w:ascii="黑体" w:hAnsi="黑体" w:eastAsia="黑体" w:cs="黑体"/>
      <w:b/>
      <w:sz w:val="32"/>
      <w:szCs w:val="24"/>
      <w:lang w:val="en-US" w:eastAsia="zh-CN" w:bidi="ar-SA"/>
    </w:rPr>
  </w:style>
  <w:style w:type="paragraph" w:customStyle="1" w:styleId="296">
    <w:name w:val="正文_1_0_0"/>
    <w:qFormat/>
    <w:uiPriority w:val="0"/>
    <w:pPr>
      <w:widowControl w:val="0"/>
      <w:jc w:val="both"/>
    </w:pPr>
    <w:rPr>
      <w:rFonts w:ascii="Times New Roman" w:hAnsi="Times New Roman" w:eastAsia="宋体" w:cs="Times New Roman"/>
      <w:sz w:val="21"/>
      <w:lang w:val="en-US" w:eastAsia="zh-CN" w:bidi="ar-SA"/>
    </w:rPr>
  </w:style>
  <w:style w:type="paragraph" w:customStyle="1" w:styleId="297">
    <w:name w:val="正文_0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98">
    <w:name w:val="正文_0_0_0_0_0"/>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9">
    <w:name w:val="正文_16"/>
    <w:qFormat/>
    <w:uiPriority w:val="0"/>
    <w:pPr>
      <w:widowControl w:val="0"/>
      <w:jc w:val="both"/>
    </w:pPr>
    <w:rPr>
      <w:rFonts w:ascii="Calibri" w:hAnsi="Calibri" w:eastAsia="宋体" w:cs="Times New Roman"/>
      <w:sz w:val="21"/>
      <w:szCs w:val="22"/>
      <w:lang w:val="en-US" w:eastAsia="zh-CN" w:bidi="ar-SA"/>
    </w:rPr>
  </w:style>
  <w:style w:type="paragraph" w:customStyle="1" w:styleId="300">
    <w:name w:val="Normal_3_0"/>
    <w:qFormat/>
    <w:uiPriority w:val="0"/>
    <w:rPr>
      <w:rFonts w:ascii="黑体" w:hAnsi="黑体" w:eastAsia="黑体" w:cs="黑体"/>
      <w:b/>
      <w:sz w:val="32"/>
      <w:szCs w:val="24"/>
      <w:lang w:val="en-US" w:eastAsia="zh-CN" w:bidi="ar-SA"/>
    </w:rPr>
  </w:style>
  <w:style w:type="paragraph" w:customStyle="1" w:styleId="301">
    <w:name w:val="正文_0_2"/>
    <w:qFormat/>
    <w:uiPriority w:val="0"/>
    <w:pPr>
      <w:widowControl w:val="0"/>
      <w:jc w:val="both"/>
    </w:pPr>
    <w:rPr>
      <w:rFonts w:ascii="Calibri" w:hAnsi="Calibri" w:eastAsia="宋体" w:cs="Times New Roman"/>
      <w:sz w:val="21"/>
      <w:szCs w:val="22"/>
      <w:lang w:val="en-US" w:eastAsia="zh-CN" w:bidi="ar-SA"/>
    </w:rPr>
  </w:style>
  <w:style w:type="paragraph" w:customStyle="1" w:styleId="302">
    <w:name w:val="Normal_4_0"/>
    <w:qFormat/>
    <w:uiPriority w:val="0"/>
    <w:pPr>
      <w:widowControl w:val="0"/>
      <w:jc w:val="both"/>
    </w:pPr>
    <w:rPr>
      <w:rFonts w:ascii="Calibri" w:hAnsi="Calibri" w:eastAsia="宋体" w:cs="Times New Roman"/>
      <w:sz w:val="21"/>
      <w:szCs w:val="22"/>
      <w:lang w:val="en-US" w:eastAsia="zh-CN" w:bidi="ar-SA"/>
    </w:rPr>
  </w:style>
  <w:style w:type="paragraph" w:customStyle="1" w:styleId="303">
    <w:name w:val="正文_4_0"/>
    <w:qFormat/>
    <w:uiPriority w:val="0"/>
    <w:pPr>
      <w:widowControl w:val="0"/>
      <w:jc w:val="both"/>
    </w:pPr>
    <w:rPr>
      <w:rFonts w:ascii="Calibri" w:hAnsi="Calibri" w:eastAsia="宋体" w:cs="Times New Roman"/>
      <w:sz w:val="21"/>
      <w:szCs w:val="22"/>
      <w:lang w:val="en-US" w:eastAsia="zh-CN" w:bidi="ar-SA"/>
    </w:rPr>
  </w:style>
  <w:style w:type="paragraph" w:customStyle="1" w:styleId="304">
    <w:name w:val="正文_3_0"/>
    <w:qFormat/>
    <w:uiPriority w:val="0"/>
    <w:pPr>
      <w:widowControl w:val="0"/>
      <w:jc w:val="both"/>
    </w:pPr>
    <w:rPr>
      <w:rFonts w:ascii="Calibri" w:hAnsi="Calibri" w:eastAsia="宋体" w:cs="Times New Roman"/>
      <w:sz w:val="21"/>
      <w:szCs w:val="22"/>
      <w:lang w:val="en-US" w:eastAsia="zh-CN" w:bidi="ar-SA"/>
    </w:rPr>
  </w:style>
  <w:style w:type="paragraph" w:customStyle="1" w:styleId="305">
    <w:name w:val="正文_7_1_0"/>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06">
    <w:name w:val="纯文本 Char_0_0"/>
    <w:link w:val="307"/>
    <w:qFormat/>
    <w:uiPriority w:val="0"/>
    <w:rPr>
      <w:rFonts w:ascii="宋体" w:hAnsi="Courier New" w:eastAsia="宋体" w:cs="Times New Roman"/>
      <w:sz w:val="21"/>
      <w:szCs w:val="21"/>
    </w:rPr>
  </w:style>
  <w:style w:type="paragraph" w:customStyle="1" w:styleId="307">
    <w:name w:val="纯文本_0_0"/>
    <w:basedOn w:val="305"/>
    <w:link w:val="306"/>
    <w:qFormat/>
    <w:uiPriority w:val="0"/>
    <w:rPr>
      <w:rFonts w:ascii="宋体" w:hAnsi="Courier New"/>
      <w:szCs w:val="21"/>
    </w:rPr>
  </w:style>
  <w:style w:type="paragraph" w:customStyle="1" w:styleId="308">
    <w:name w:val="正文_4_1"/>
    <w:qFormat/>
    <w:uiPriority w:val="0"/>
    <w:pPr>
      <w:widowControl w:val="0"/>
      <w:jc w:val="both"/>
    </w:pPr>
    <w:rPr>
      <w:rFonts w:ascii="Calibri" w:hAnsi="Calibri" w:eastAsia="宋体" w:cs="Times New Roman"/>
      <w:sz w:val="21"/>
      <w:szCs w:val="22"/>
      <w:lang w:val="en-US" w:eastAsia="zh-CN" w:bidi="ar-SA"/>
    </w:rPr>
  </w:style>
  <w:style w:type="paragraph" w:customStyle="1" w:styleId="309">
    <w:name w:val="Normal_3_0_0"/>
    <w:qFormat/>
    <w:uiPriority w:val="0"/>
    <w:rPr>
      <w:rFonts w:ascii="黑体" w:hAnsi="黑体" w:eastAsia="黑体" w:cs="Times New Roman"/>
      <w:b/>
      <w:sz w:val="32"/>
      <w:szCs w:val="24"/>
      <w:lang w:val="en-US" w:eastAsia="zh-CN" w:bidi="ar-SA"/>
    </w:rPr>
  </w:style>
  <w:style w:type="paragraph" w:customStyle="1" w:styleId="310">
    <w:name w:val="Normal_9_0"/>
    <w:qFormat/>
    <w:uiPriority w:val="0"/>
    <w:rPr>
      <w:rFonts w:ascii="Times New Roman" w:hAnsi="Times New Roman" w:eastAsia="Times New Roman" w:cs="Times New Roman"/>
      <w:sz w:val="24"/>
      <w:szCs w:val="24"/>
      <w:lang w:val="en-US" w:eastAsia="zh-CN" w:bidi="ar-SA"/>
    </w:rPr>
  </w:style>
  <w:style w:type="paragraph" w:customStyle="1" w:styleId="311">
    <w:name w:val="Normal_7_0"/>
    <w:qFormat/>
    <w:uiPriority w:val="0"/>
    <w:pPr>
      <w:widowControl w:val="0"/>
      <w:jc w:val="both"/>
    </w:pPr>
    <w:rPr>
      <w:rFonts w:ascii="Calibri" w:hAnsi="Calibri" w:eastAsia="宋体" w:cs="Times New Roman"/>
      <w:sz w:val="21"/>
      <w:szCs w:val="22"/>
      <w:lang w:val="en-US" w:eastAsia="zh-CN" w:bidi="ar-SA"/>
    </w:rPr>
  </w:style>
  <w:style w:type="paragraph" w:customStyle="1" w:styleId="312">
    <w:name w:val="Normal_8_0"/>
    <w:qFormat/>
    <w:uiPriority w:val="0"/>
    <w:rPr>
      <w:rFonts w:ascii="黑体" w:hAnsi="黑体" w:eastAsia="黑体" w:cs="黑体"/>
      <w:b/>
      <w:sz w:val="32"/>
      <w:szCs w:val="24"/>
      <w:lang w:val="en-US" w:eastAsia="zh-CN" w:bidi="ar-SA"/>
    </w:rPr>
  </w:style>
  <w:style w:type="paragraph" w:customStyle="1" w:styleId="313">
    <w:name w:val="Normal_12_0"/>
    <w:qFormat/>
    <w:uiPriority w:val="0"/>
    <w:rPr>
      <w:rFonts w:ascii="黑体" w:hAnsi="黑体" w:eastAsia="黑体" w:cs="黑体"/>
      <w:b/>
      <w:sz w:val="32"/>
      <w:szCs w:val="24"/>
      <w:lang w:val="en-US" w:eastAsia="zh-CN" w:bidi="ar-SA"/>
    </w:rPr>
  </w:style>
  <w:style w:type="paragraph" w:customStyle="1" w:styleId="314">
    <w:name w:val="正文_7_0_0"/>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315">
    <w:name w:val="正文缩进 Char1_0_0"/>
    <w:link w:val="316"/>
    <w:qFormat/>
    <w:uiPriority w:val="0"/>
    <w:rPr>
      <w:rFonts w:ascii="Times New Roman" w:hAnsi="Times New Roman" w:eastAsia="宋体" w:cs="Times New Roman"/>
      <w:sz w:val="21"/>
      <w:szCs w:val="22"/>
    </w:rPr>
  </w:style>
  <w:style w:type="paragraph" w:customStyle="1" w:styleId="316">
    <w:name w:val="正文缩进_0_0"/>
    <w:basedOn w:val="314"/>
    <w:link w:val="315"/>
    <w:qFormat/>
    <w:uiPriority w:val="0"/>
    <w:pPr>
      <w:ind w:firstLine="420"/>
    </w:pPr>
    <w:rPr>
      <w:rFonts w:ascii="Calibri" w:hAnsi="Calibri"/>
      <w:szCs w:val="22"/>
    </w:rPr>
  </w:style>
  <w:style w:type="paragraph" w:customStyle="1" w:styleId="317">
    <w:name w:val="正文_3"/>
    <w:qFormat/>
    <w:uiPriority w:val="0"/>
    <w:pPr>
      <w:widowControl w:val="0"/>
      <w:jc w:val="both"/>
    </w:pPr>
    <w:rPr>
      <w:rFonts w:ascii="Calibri" w:hAnsi="Calibri" w:eastAsia="宋体" w:cs="Times New Roman"/>
      <w:sz w:val="21"/>
      <w:szCs w:val="22"/>
      <w:lang w:val="en-US" w:eastAsia="zh-CN" w:bidi="ar-SA"/>
    </w:rPr>
  </w:style>
  <w:style w:type="paragraph" w:customStyle="1" w:styleId="318">
    <w:name w:val="Normal_14_0"/>
    <w:qFormat/>
    <w:uiPriority w:val="0"/>
    <w:rPr>
      <w:rFonts w:ascii="黑体" w:hAnsi="黑体" w:eastAsia="黑体" w:cs="黑体"/>
      <w:b/>
      <w:sz w:val="32"/>
      <w:szCs w:val="24"/>
      <w:lang w:val="en-US" w:eastAsia="zh-CN" w:bidi="ar-SA"/>
    </w:rPr>
  </w:style>
  <w:style w:type="paragraph" w:customStyle="1" w:styleId="319">
    <w:name w:val="正文_9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20">
    <w:name w:val="正文_9_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21">
    <w:name w:val="Normal_15_0"/>
    <w:qFormat/>
    <w:uiPriority w:val="0"/>
    <w:rPr>
      <w:rFonts w:ascii="黑体" w:hAnsi="黑体" w:eastAsia="黑体" w:cs="黑体"/>
      <w:b/>
      <w:sz w:val="32"/>
      <w:szCs w:val="24"/>
      <w:lang w:val="en-US" w:eastAsia="zh-CN" w:bidi="ar-SA"/>
    </w:rPr>
  </w:style>
  <w:style w:type="paragraph" w:customStyle="1" w:styleId="322">
    <w:name w:val="正文_1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23">
    <w:name w:val="Normal_17_0"/>
    <w:qFormat/>
    <w:uiPriority w:val="0"/>
    <w:rPr>
      <w:rFonts w:ascii="黑体" w:hAnsi="黑体" w:eastAsia="黑体" w:cs="黑体"/>
      <w:b/>
      <w:sz w:val="32"/>
      <w:szCs w:val="24"/>
      <w:lang w:val="en-US" w:eastAsia="zh-CN" w:bidi="ar-SA"/>
    </w:rPr>
  </w:style>
  <w:style w:type="paragraph" w:customStyle="1" w:styleId="324">
    <w:name w:val="正文_13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25">
    <w:name w:val="正文_9_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326">
    <w:name w:val="Normal_14_0_0"/>
    <w:qFormat/>
    <w:uiPriority w:val="0"/>
    <w:rPr>
      <w:rFonts w:ascii="黑体" w:hAnsi="黑体" w:eastAsia="黑体" w:cs="Times New Roman"/>
      <w:b/>
      <w:sz w:val="32"/>
      <w:szCs w:val="24"/>
      <w:lang w:val="en-US" w:eastAsia="zh-CN" w:bidi="ar-SA"/>
    </w:rPr>
  </w:style>
  <w:style w:type="paragraph" w:customStyle="1" w:styleId="327">
    <w:name w:val="正文_12_0"/>
    <w:qFormat/>
    <w:uiPriority w:val="0"/>
    <w:pPr>
      <w:widowControl w:val="0"/>
      <w:jc w:val="both"/>
    </w:pPr>
    <w:rPr>
      <w:rFonts w:ascii="Calibri" w:hAnsi="Calibri" w:eastAsia="宋体" w:cs="Times New Roman"/>
      <w:sz w:val="21"/>
      <w:szCs w:val="22"/>
      <w:lang w:val="en-US" w:eastAsia="zh-CN" w:bidi="ar-SA"/>
    </w:rPr>
  </w:style>
  <w:style w:type="paragraph" w:customStyle="1" w:styleId="328">
    <w:name w:val="Normal_18_0"/>
    <w:qFormat/>
    <w:uiPriority w:val="0"/>
    <w:rPr>
      <w:rFonts w:ascii="黑体" w:hAnsi="黑体" w:eastAsia="黑体" w:cs="黑体"/>
      <w:b/>
      <w:sz w:val="32"/>
      <w:szCs w:val="24"/>
      <w:lang w:val="en-US" w:eastAsia="zh-CN" w:bidi="ar-SA"/>
    </w:rPr>
  </w:style>
  <w:style w:type="paragraph" w:customStyle="1" w:styleId="329">
    <w:name w:val="正文_14_0"/>
    <w:qFormat/>
    <w:uiPriority w:val="0"/>
    <w:pPr>
      <w:widowControl w:val="0"/>
      <w:jc w:val="both"/>
    </w:pPr>
    <w:rPr>
      <w:rFonts w:ascii="Calibri" w:hAnsi="Calibri" w:eastAsia="宋体" w:cs="Times New Roman"/>
      <w:sz w:val="21"/>
      <w:szCs w:val="22"/>
      <w:lang w:val="en-US" w:eastAsia="zh-CN" w:bidi="ar-SA"/>
    </w:rPr>
  </w:style>
  <w:style w:type="paragraph" w:customStyle="1" w:styleId="330">
    <w:name w:val="正文_15_0"/>
    <w:qFormat/>
    <w:uiPriority w:val="0"/>
    <w:pPr>
      <w:widowControl w:val="0"/>
      <w:jc w:val="both"/>
    </w:pPr>
    <w:rPr>
      <w:rFonts w:ascii="Calibri" w:hAnsi="Calibri" w:eastAsia="宋体" w:cs="Times New Roman"/>
      <w:sz w:val="21"/>
      <w:szCs w:val="22"/>
      <w:lang w:val="en-US" w:eastAsia="zh-CN" w:bidi="ar-SA"/>
    </w:rPr>
  </w:style>
  <w:style w:type="paragraph" w:customStyle="1" w:styleId="331">
    <w:name w:val="Default"/>
    <w:qFormat/>
    <w:uiPriority w:val="0"/>
    <w:pPr>
      <w:widowControl w:val="0"/>
    </w:pPr>
    <w:rPr>
      <w:rFonts w:ascii="宋体" w:hAnsi="Times New Roman" w:eastAsia="宋体" w:cs="宋体"/>
      <w:color w:val="000000"/>
      <w:sz w:val="24"/>
      <w:szCs w:val="24"/>
      <w:lang w:val="en-US" w:eastAsia="zh-CN" w:bidi="ar-SA"/>
    </w:rPr>
  </w:style>
  <w:style w:type="paragraph" w:customStyle="1" w:styleId="332">
    <w:name w:val="正文文本1"/>
    <w:basedOn w:val="1"/>
    <w:next w:val="331"/>
    <w:qFormat/>
    <w:uiPriority w:val="0"/>
    <w:pPr>
      <w:tabs>
        <w:tab w:val="left" w:pos="567"/>
      </w:tabs>
      <w:spacing w:before="120" w:line="22" w:lineRule="atLeast"/>
    </w:pPr>
    <w:rPr>
      <w:rFonts w:ascii="宋体" w:hAnsi="宋体" w:eastAsia="宋体" w:cs="宋体"/>
    </w:rPr>
  </w:style>
  <w:style w:type="character" w:customStyle="1" w:styleId="333">
    <w:name w:val="正文（标记） Char2"/>
    <w:link w:val="334"/>
    <w:qFormat/>
    <w:uiPriority w:val="0"/>
    <w:rPr>
      <w:rFonts w:ascii="Times New Roman" w:hAnsi="Times New Roman" w:eastAsia="宋体" w:cs="Times New Roman"/>
      <w:sz w:val="24"/>
      <w:szCs w:val="24"/>
    </w:rPr>
  </w:style>
  <w:style w:type="paragraph" w:customStyle="1" w:styleId="334">
    <w:name w:val="正文（标记）"/>
    <w:basedOn w:val="1"/>
    <w:link w:val="333"/>
    <w:qFormat/>
    <w:uiPriority w:val="0"/>
    <w:pPr>
      <w:tabs>
        <w:tab w:val="left" w:pos="0"/>
        <w:tab w:val="left" w:pos="840"/>
      </w:tabs>
      <w:spacing w:before="50" w:after="50"/>
    </w:pPr>
    <w:rPr>
      <w:rFonts w:eastAsia="宋体"/>
    </w:rPr>
  </w:style>
  <w:style w:type="character" w:customStyle="1" w:styleId="335">
    <w:name w:val="Char Char2"/>
    <w:qFormat/>
    <w:uiPriority w:val="0"/>
    <w:rPr>
      <w:rFonts w:ascii="Times New Roman" w:hAnsi="Times New Roman" w:eastAsia="宋体" w:cs="Times New Roman"/>
      <w:sz w:val="18"/>
      <w:szCs w:val="18"/>
    </w:rPr>
  </w:style>
  <w:style w:type="character" w:customStyle="1" w:styleId="336">
    <w:name w:val="maywed421"/>
    <w:qFormat/>
    <w:uiPriority w:val="0"/>
    <w:rPr>
      <w:rFonts w:ascii="Times New Roman" w:hAnsi="Times New Roman" w:eastAsia="宋体" w:cs="Times New Roman"/>
      <w:color w:val="366FB6"/>
      <w:u w:val="none"/>
    </w:rPr>
  </w:style>
  <w:style w:type="paragraph" w:customStyle="1" w:styleId="337">
    <w:name w:val="编号2"/>
    <w:qFormat/>
    <w:uiPriority w:val="0"/>
    <w:pPr>
      <w:tabs>
        <w:tab w:val="left" w:pos="-40"/>
      </w:tabs>
      <w:spacing w:before="120" w:after="120" w:line="360" w:lineRule="auto"/>
      <w:ind w:left="720" w:hanging="360"/>
    </w:pPr>
    <w:rPr>
      <w:rFonts w:ascii="仿宋_GB2312" w:hAnsi="Times New Roman" w:eastAsia="仿宋_GB2312" w:cs="Times New Roman"/>
      <w:color w:val="FF0000"/>
      <w:sz w:val="24"/>
      <w:szCs w:val="24"/>
      <w:lang w:val="en-US" w:eastAsia="zh-CN" w:bidi="ar-SA"/>
    </w:rPr>
  </w:style>
  <w:style w:type="paragraph" w:customStyle="1" w:styleId="338">
    <w:name w:val="一级缩进"/>
    <w:qFormat/>
    <w:uiPriority w:val="0"/>
    <w:pPr>
      <w:tabs>
        <w:tab w:val="left" w:pos="0"/>
        <w:tab w:val="left" w:pos="568"/>
      </w:tabs>
      <w:spacing w:before="120" w:after="120" w:line="360" w:lineRule="auto"/>
      <w:jc w:val="both"/>
    </w:pPr>
    <w:rPr>
      <w:rFonts w:ascii="Times New Roman" w:hAnsi="Times New Roman" w:eastAsia="仿宋_GB2312" w:cs="Times New Roman"/>
      <w:sz w:val="24"/>
      <w:szCs w:val="24"/>
      <w:lang w:val="en-US" w:eastAsia="zh-CN" w:bidi="ar-SA"/>
    </w:rPr>
  </w:style>
  <w:style w:type="character" w:customStyle="1" w:styleId="339">
    <w:name w:val="Comment Text Char"/>
    <w:qFormat/>
    <w:uiPriority w:val="0"/>
    <w:rPr>
      <w:rFonts w:ascii="Times New Roman" w:hAnsi="Times New Roman" w:eastAsia="宋体" w:cs="Times New Roman"/>
      <w:sz w:val="21"/>
      <w:szCs w:val="21"/>
      <w:lang w:bidi="ar-SA"/>
    </w:rPr>
  </w:style>
  <w:style w:type="character" w:customStyle="1" w:styleId="340">
    <w:name w:val="Footer Char"/>
    <w:qFormat/>
    <w:uiPriority w:val="0"/>
    <w:rPr>
      <w:rFonts w:ascii="Times New Roman" w:hAnsi="Times New Roman" w:eastAsia="宋体" w:cs="Times New Roman"/>
      <w:sz w:val="18"/>
      <w:lang w:val="en-US" w:eastAsia="zh-CN"/>
    </w:rPr>
  </w:style>
  <w:style w:type="character" w:customStyle="1" w:styleId="341">
    <w:name w:val="ca-41"/>
    <w:qFormat/>
    <w:uiPriority w:val="0"/>
    <w:rPr>
      <w:rFonts w:ascii="宋体" w:hAnsi="Times New Roman" w:eastAsia="宋体" w:cs="Times New Roman"/>
      <w:b/>
      <w:bCs/>
      <w:color w:val="000000"/>
      <w:spacing w:val="-20"/>
      <w:sz w:val="21"/>
      <w:szCs w:val="21"/>
    </w:rPr>
  </w:style>
  <w:style w:type="character" w:customStyle="1" w:styleId="342">
    <w:name w:val="ca-1"/>
    <w:basedOn w:val="212"/>
    <w:qFormat/>
    <w:uiPriority w:val="0"/>
    <w:rPr>
      <w:rFonts w:ascii="Times New Roman" w:hAnsi="Times New Roman" w:eastAsia="宋体" w:cs="Times New Roman"/>
    </w:rPr>
  </w:style>
  <w:style w:type="character" w:customStyle="1" w:styleId="343">
    <w:name w:val="Plain Text Char"/>
    <w:qFormat/>
    <w:uiPriority w:val="0"/>
    <w:rPr>
      <w:rFonts w:ascii="宋体" w:hAnsi="Times New Roman" w:eastAsia="宋体" w:cs="Times New Roman"/>
      <w:sz w:val="21"/>
      <w:lang w:val="en-US" w:eastAsia="zh-CN"/>
    </w:rPr>
  </w:style>
  <w:style w:type="character" w:customStyle="1" w:styleId="344">
    <w:name w:val="Header Char"/>
    <w:qFormat/>
    <w:uiPriority w:val="0"/>
    <w:rPr>
      <w:rFonts w:ascii="Times New Roman" w:hAnsi="Times New Roman" w:eastAsia="宋体" w:cs="Times New Roman"/>
      <w:sz w:val="18"/>
      <w:lang w:val="en-US" w:eastAsia="zh-CN"/>
    </w:rPr>
  </w:style>
  <w:style w:type="character" w:customStyle="1" w:styleId="345">
    <w:name w:val="marklong"/>
    <w:basedOn w:val="212"/>
    <w:qFormat/>
    <w:uiPriority w:val="0"/>
    <w:rPr>
      <w:rFonts w:ascii="Times New Roman" w:hAnsi="Times New Roman" w:eastAsia="宋体" w:cs="Times New Roman"/>
    </w:rPr>
  </w:style>
  <w:style w:type="character" w:customStyle="1" w:styleId="346">
    <w:name w:val="普通文字1 Char"/>
    <w:qFormat/>
    <w:uiPriority w:val="0"/>
    <w:rPr>
      <w:rFonts w:ascii="宋体" w:hAnsi="Times New Roman" w:eastAsia="宋体" w:cs="Courier New"/>
      <w:sz w:val="21"/>
      <w:szCs w:val="21"/>
      <w:lang w:val="en-US" w:eastAsia="zh-CN" w:bidi="ar-SA"/>
    </w:rPr>
  </w:style>
  <w:style w:type="character" w:customStyle="1" w:styleId="347">
    <w:name w:val="ca-21"/>
    <w:qFormat/>
    <w:uiPriority w:val="0"/>
    <w:rPr>
      <w:rFonts w:ascii="宋体" w:hAnsi="Times New Roman" w:eastAsia="宋体" w:cs="Times New Roman"/>
      <w:sz w:val="21"/>
    </w:rPr>
  </w:style>
  <w:style w:type="paragraph" w:customStyle="1" w:styleId="348">
    <w:name w:val="正文（缩进）"/>
    <w:basedOn w:val="1"/>
    <w:qFormat/>
    <w:uiPriority w:val="0"/>
    <w:pPr>
      <w:spacing w:before="50" w:after="50" w:line="360" w:lineRule="auto"/>
      <w:ind w:firstLine="200"/>
    </w:pPr>
    <w:rPr>
      <w:rFonts w:eastAsia="宋体"/>
    </w:rPr>
  </w:style>
  <w:style w:type="character" w:customStyle="1" w:styleId="349">
    <w:name w:val="Heading 3 Char"/>
    <w:qFormat/>
    <w:uiPriority w:val="0"/>
    <w:rPr>
      <w:rFonts w:ascii="Times New Roman" w:hAnsi="Times New Roman" w:eastAsia="宋体" w:cs="Times New Roman"/>
      <w:b/>
      <w:bCs/>
      <w:sz w:val="32"/>
      <w:szCs w:val="32"/>
      <w:lang w:bidi="ar-SA"/>
    </w:rPr>
  </w:style>
  <w:style w:type="character" w:customStyle="1" w:styleId="350">
    <w:name w:val="z12 style23"/>
    <w:basedOn w:val="212"/>
    <w:qFormat/>
    <w:uiPriority w:val="0"/>
    <w:rPr>
      <w:rFonts w:ascii="Times New Roman" w:hAnsi="Times New Roman" w:eastAsia="宋体" w:cs="Times New Roman"/>
    </w:rPr>
  </w:style>
  <w:style w:type="paragraph" w:customStyle="1" w:styleId="351">
    <w:name w:val="Indent Normal"/>
    <w:basedOn w:val="1"/>
    <w:qFormat/>
    <w:uiPriority w:val="0"/>
    <w:pPr>
      <w:ind w:firstLine="150"/>
    </w:pPr>
    <w:rPr>
      <w:rFonts w:eastAsia="宋体"/>
      <w:szCs w:val="20"/>
    </w:rPr>
  </w:style>
  <w:style w:type="character" w:customStyle="1" w:styleId="352">
    <w:name w:val="Char Char21"/>
    <w:qFormat/>
    <w:uiPriority w:val="0"/>
    <w:rPr>
      <w:rFonts w:ascii="Times New Roman" w:hAnsi="Times New Roman" w:eastAsia="宋体" w:cs="Times New Roman"/>
      <w:sz w:val="18"/>
      <w:szCs w:val="18"/>
    </w:rPr>
  </w:style>
  <w:style w:type="character" w:customStyle="1" w:styleId="353">
    <w:name w:val="ca-31"/>
    <w:qFormat/>
    <w:uiPriority w:val="0"/>
    <w:rPr>
      <w:rFonts w:ascii="宋体" w:hAnsi="Times New Roman" w:eastAsia="宋体" w:cs="Times New Roman"/>
      <w:color w:val="000000"/>
      <w:sz w:val="21"/>
      <w:szCs w:val="21"/>
    </w:rPr>
  </w:style>
  <w:style w:type="character" w:customStyle="1" w:styleId="354">
    <w:name w:val="apple-converted-space"/>
    <w:basedOn w:val="212"/>
    <w:qFormat/>
    <w:uiPriority w:val="0"/>
    <w:rPr>
      <w:rFonts w:ascii="Times New Roman" w:hAnsi="Times New Roman" w:eastAsia="宋体" w:cs="Times New Roman"/>
    </w:rPr>
  </w:style>
  <w:style w:type="character" w:customStyle="1" w:styleId="355">
    <w:name w:val="Char Char1"/>
    <w:qFormat/>
    <w:uiPriority w:val="0"/>
    <w:rPr>
      <w:rFonts w:ascii="宋体" w:hAnsi="Times New Roman" w:eastAsia="宋体" w:cs="Times New Roman"/>
      <w:sz w:val="21"/>
      <w:lang w:val="en-US" w:eastAsia="zh-CN"/>
    </w:rPr>
  </w:style>
  <w:style w:type="character" w:customStyle="1" w:styleId="356">
    <w:name w:val="font21"/>
    <w:qFormat/>
    <w:uiPriority w:val="0"/>
    <w:rPr>
      <w:rFonts w:ascii="Times New Roman" w:hAnsi="Times New Roman" w:eastAsia="宋体" w:cs="Times New Roman"/>
      <w:color w:val="000000"/>
      <w:sz w:val="20"/>
      <w:u w:val="none"/>
    </w:rPr>
  </w:style>
  <w:style w:type="character" w:customStyle="1" w:styleId="357">
    <w:name w:val="ca-01"/>
    <w:qFormat/>
    <w:uiPriority w:val="0"/>
    <w:rPr>
      <w:rFonts w:ascii="宋体" w:hAnsi="Times New Roman" w:eastAsia="宋体" w:cs="Times New Roman"/>
      <w:b/>
      <w:bCs/>
      <w:spacing w:val="-20"/>
      <w:sz w:val="24"/>
      <w:szCs w:val="24"/>
    </w:rPr>
  </w:style>
  <w:style w:type="character" w:customStyle="1" w:styleId="358">
    <w:name w:val="Char Char23"/>
    <w:qFormat/>
    <w:uiPriority w:val="0"/>
    <w:rPr>
      <w:rFonts w:ascii="Times New Roman" w:hAnsi="Times New Roman" w:eastAsia="宋体" w:cs="Times New Roman"/>
      <w:sz w:val="24"/>
      <w:szCs w:val="21"/>
      <w:lang w:bidi="ar-SA"/>
    </w:rPr>
  </w:style>
  <w:style w:type="character" w:customStyle="1" w:styleId="359">
    <w:name w:val="Char Char"/>
    <w:qFormat/>
    <w:uiPriority w:val="0"/>
    <w:rPr>
      <w:rFonts w:ascii="Times New Roman" w:hAnsi="Times New Roman" w:eastAsia="宋体" w:cs="Times New Roman"/>
      <w:sz w:val="18"/>
      <w:lang w:val="en-US" w:eastAsia="zh-CN"/>
    </w:rPr>
  </w:style>
  <w:style w:type="character" w:customStyle="1" w:styleId="360">
    <w:name w:val="Char Char3"/>
    <w:qFormat/>
    <w:uiPriority w:val="0"/>
    <w:rPr>
      <w:rFonts w:ascii="宋体" w:hAnsi="Times New Roman" w:eastAsia="宋体" w:cs="Times New Roman"/>
      <w:sz w:val="18"/>
      <w:szCs w:val="18"/>
      <w:lang w:val="en-US" w:eastAsia="zh-CN" w:bidi="ar-SA"/>
    </w:rPr>
  </w:style>
  <w:style w:type="paragraph" w:customStyle="1" w:styleId="361">
    <w:name w:val="段落"/>
    <w:qFormat/>
    <w:uiPriority w:val="0"/>
    <w:pPr>
      <w:spacing w:before="120" w:after="120" w:line="360" w:lineRule="auto"/>
      <w:ind w:firstLine="420"/>
      <w:jc w:val="both"/>
    </w:pPr>
    <w:rPr>
      <w:rFonts w:ascii="Times New Roman" w:hAnsi="Times New Roman" w:eastAsia="仿宋_GB2312" w:cs="Times New Roman"/>
      <w:sz w:val="24"/>
      <w:szCs w:val="24"/>
      <w:lang w:val="en-US" w:eastAsia="zh-CN" w:bidi="ar-SA"/>
    </w:rPr>
  </w:style>
  <w:style w:type="character" w:customStyle="1" w:styleId="362">
    <w:name w:val="Heading 4 Char"/>
    <w:qFormat/>
    <w:uiPriority w:val="0"/>
    <w:rPr>
      <w:rFonts w:ascii="Cambria" w:hAnsi="Cambria" w:eastAsia="宋体" w:cs="Cambria"/>
      <w:b/>
      <w:bCs/>
      <w:sz w:val="28"/>
      <w:szCs w:val="28"/>
      <w:lang w:bidi="ar-SA"/>
    </w:rPr>
  </w:style>
  <w:style w:type="character" w:customStyle="1" w:styleId="363">
    <w:name w:val="Header Char1"/>
    <w:qFormat/>
    <w:uiPriority w:val="0"/>
    <w:rPr>
      <w:rFonts w:ascii="Times New Roman" w:hAnsi="Times New Roman" w:eastAsia="宋体" w:cs="Times New Roman"/>
      <w:sz w:val="18"/>
      <w:szCs w:val="18"/>
      <w:lang w:bidi="ar-SA"/>
    </w:rPr>
  </w:style>
  <w:style w:type="character" w:customStyle="1" w:styleId="364">
    <w:name w:val="Footer Char1"/>
    <w:qFormat/>
    <w:uiPriority w:val="0"/>
    <w:rPr>
      <w:rFonts w:ascii="Times New Roman" w:hAnsi="Times New Roman" w:eastAsia="宋体" w:cs="Times New Roman"/>
      <w:sz w:val="18"/>
      <w:szCs w:val="18"/>
      <w:lang w:bidi="ar-SA"/>
    </w:rPr>
  </w:style>
  <w:style w:type="character" w:customStyle="1" w:styleId="365">
    <w:name w:val="wj1"/>
    <w:qFormat/>
    <w:uiPriority w:val="0"/>
    <w:rPr>
      <w:rFonts w:ascii="Times New Roman" w:hAnsi="Times New Roman" w:eastAsia="宋体" w:cs="Times New Roman"/>
      <w:color w:val="000000"/>
      <w:sz w:val="18"/>
      <w:szCs w:val="18"/>
      <w:u w:val="none"/>
    </w:rPr>
  </w:style>
  <w:style w:type="character" w:customStyle="1" w:styleId="366">
    <w:name w:val="ca-11"/>
    <w:qFormat/>
    <w:uiPriority w:val="0"/>
    <w:rPr>
      <w:rFonts w:ascii="宋体" w:hAnsi="Times New Roman" w:eastAsia="宋体" w:cs="Times New Roman"/>
      <w:b/>
      <w:bCs/>
      <w:color w:val="000000"/>
      <w:spacing w:val="-20"/>
      <w:sz w:val="28"/>
      <w:szCs w:val="28"/>
    </w:rPr>
  </w:style>
  <w:style w:type="paragraph" w:customStyle="1" w:styleId="367">
    <w:name w:val="表格样式居中"/>
    <w:qFormat/>
    <w:uiPriority w:val="0"/>
    <w:pPr>
      <w:jc w:val="center"/>
    </w:pPr>
    <w:rPr>
      <w:rFonts w:ascii="Times New Roman" w:hAnsi="Times New Roman" w:eastAsia="仿宋_GB2312" w:cs="Times New Roman"/>
      <w:bCs/>
      <w:sz w:val="21"/>
      <w:szCs w:val="44"/>
      <w:lang w:val="en-US" w:eastAsia="zh-CN" w:bidi="ar-SA"/>
    </w:rPr>
  </w:style>
  <w:style w:type="character" w:customStyle="1" w:styleId="368">
    <w:name w:val="Plain Text Char1"/>
    <w:qFormat/>
    <w:uiPriority w:val="0"/>
    <w:rPr>
      <w:rFonts w:ascii="宋体" w:hAnsi="Times New Roman" w:eastAsia="宋体" w:cs="Times New Roman"/>
      <w:sz w:val="21"/>
      <w:szCs w:val="21"/>
      <w:lang w:val="en-US" w:eastAsia="zh-CN" w:bidi="ar-SA"/>
    </w:rPr>
  </w:style>
  <w:style w:type="character" w:customStyle="1" w:styleId="369">
    <w:name w:val="段落 Char"/>
    <w:qFormat/>
    <w:uiPriority w:val="0"/>
    <w:rPr>
      <w:rFonts w:ascii="仿宋_GB2312" w:hAnsi="Times New Roman" w:eastAsia="仿宋_GB2312" w:cs="Times New Roman"/>
      <w:sz w:val="24"/>
      <w:szCs w:val="24"/>
      <w:lang w:val="en-US" w:eastAsia="zh-CN" w:bidi="ar-SA"/>
    </w:rPr>
  </w:style>
  <w:style w:type="character" w:customStyle="1" w:styleId="370">
    <w:name w:val="Heading 2 Char"/>
    <w:qFormat/>
    <w:uiPriority w:val="0"/>
    <w:rPr>
      <w:rFonts w:ascii="Arial" w:hAnsi="Arial" w:eastAsia="黑体" w:cs="Times New Roman"/>
      <w:b/>
      <w:bCs/>
      <w:sz w:val="32"/>
      <w:szCs w:val="32"/>
      <w:lang w:val="en-US" w:eastAsia="zh-CN" w:bidi="ar-SA"/>
    </w:rPr>
  </w:style>
  <w:style w:type="paragraph" w:customStyle="1" w:styleId="371">
    <w:name w:val="表格样式居左"/>
    <w:qFormat/>
    <w:uiPriority w:val="0"/>
    <w:pPr>
      <w:spacing w:before="120" w:after="120" w:line="400" w:lineRule="exact"/>
      <w:jc w:val="both"/>
    </w:pPr>
    <w:rPr>
      <w:rFonts w:ascii="Times New Roman" w:hAnsi="Times New Roman" w:eastAsia="仿宋_GB2312" w:cs="Times New Roman"/>
      <w:bCs/>
      <w:sz w:val="21"/>
      <w:szCs w:val="21"/>
      <w:lang w:val="en-US" w:eastAsia="zh-CN" w:bidi="ar-SA"/>
    </w:rPr>
  </w:style>
  <w:style w:type="character" w:customStyle="1" w:styleId="372">
    <w:name w:val="Char Char31"/>
    <w:qFormat/>
    <w:uiPriority w:val="0"/>
    <w:rPr>
      <w:rFonts w:ascii="Arial" w:hAnsi="Arial" w:eastAsia="黑体" w:cs="Times New Roman"/>
      <w:b/>
      <w:bCs/>
      <w:sz w:val="32"/>
      <w:szCs w:val="32"/>
      <w:lang w:val="en-US" w:eastAsia="zh-CN" w:bidi="ar-SA"/>
    </w:rPr>
  </w:style>
  <w:style w:type="paragraph" w:customStyle="1" w:styleId="373">
    <w:name w:val="正文（黑体）"/>
    <w:basedOn w:val="1"/>
    <w:next w:val="1"/>
    <w:qFormat/>
    <w:uiPriority w:val="0"/>
    <w:pPr>
      <w:spacing w:before="50" w:after="50" w:line="360" w:lineRule="auto"/>
      <w:ind w:firstLine="200"/>
    </w:pPr>
    <w:rPr>
      <w:rFonts w:ascii="黑体" w:eastAsia="黑体"/>
      <w:color w:val="000080"/>
    </w:rPr>
  </w:style>
  <w:style w:type="character" w:customStyle="1" w:styleId="374">
    <w:name w:val="ca-51"/>
    <w:qFormat/>
    <w:uiPriority w:val="0"/>
    <w:rPr>
      <w:rFonts w:ascii="楷体_GB2312" w:hAnsi="Times New Roman" w:eastAsia="楷体_GB2312" w:cs="Times New Roman"/>
      <w:b/>
      <w:bCs/>
      <w:spacing w:val="-20"/>
      <w:sz w:val="24"/>
      <w:szCs w:val="24"/>
    </w:rPr>
  </w:style>
  <w:style w:type="paragraph" w:customStyle="1" w:styleId="375">
    <w:name w:val="加点正文缩进"/>
    <w:basedOn w:val="1"/>
    <w:qFormat/>
    <w:uiPriority w:val="0"/>
    <w:pPr>
      <w:tabs>
        <w:tab w:val="left" w:pos="840"/>
      </w:tabs>
      <w:spacing w:line="300" w:lineRule="auto"/>
      <w:ind w:left="962" w:hanging="480"/>
    </w:pPr>
    <w:rPr>
      <w:rFonts w:eastAsia="宋体"/>
    </w:rPr>
  </w:style>
  <w:style w:type="paragraph" w:customStyle="1" w:styleId="376">
    <w:name w:val="默认段落字体 Para Char Char Char Char Char Char Char Char Char Char Char Char Char Char"/>
    <w:basedOn w:val="227"/>
    <w:qFormat/>
    <w:uiPriority w:val="0"/>
    <w:rPr>
      <w:rFonts w:ascii="Tahoma" w:hAnsi="Tahoma"/>
    </w:rPr>
  </w:style>
  <w:style w:type="paragraph" w:styleId="377">
    <w:name w:val="List Paragraph"/>
    <w:basedOn w:val="1"/>
    <w:qFormat/>
    <w:uiPriority w:val="0"/>
    <w:pPr>
      <w:ind w:firstLine="200"/>
    </w:pPr>
    <w:rPr>
      <w:rFonts w:ascii="Calibri" w:hAnsi="Calibri" w:eastAsia="宋体"/>
      <w:szCs w:val="22"/>
    </w:rPr>
  </w:style>
  <w:style w:type="paragraph" w:customStyle="1" w:styleId="378">
    <w:name w:val="序号"/>
    <w:next w:val="1"/>
    <w:qFormat/>
    <w:uiPriority w:val="0"/>
    <w:pPr>
      <w:jc w:val="center"/>
    </w:pPr>
    <w:rPr>
      <w:rFonts w:ascii="Times New Roman" w:hAnsi="Times New Roman" w:eastAsia="仿宋_GB2312" w:cs="Times New Roman"/>
      <w:bCs/>
      <w:sz w:val="21"/>
      <w:szCs w:val="44"/>
      <w:lang w:val="en-US" w:eastAsia="zh-CN" w:bidi="ar-SA"/>
    </w:rPr>
  </w:style>
  <w:style w:type="paragraph" w:customStyle="1" w:styleId="379">
    <w:name w:val="Char"/>
    <w:basedOn w:val="1"/>
    <w:qFormat/>
    <w:uiPriority w:val="0"/>
    <w:pPr>
      <w:tabs>
        <w:tab w:val="left" w:pos="360"/>
      </w:tabs>
    </w:pPr>
    <w:rPr>
      <w:rFonts w:ascii="仿宋_GB2312" w:eastAsia="仿宋_GB2312"/>
      <w:b/>
    </w:rPr>
  </w:style>
  <w:style w:type="paragraph" w:customStyle="1" w:styleId="380">
    <w:name w:val="xl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381">
    <w:name w:val="xl36"/>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382">
    <w:name w:val="Char Char Char"/>
    <w:basedOn w:val="1"/>
    <w:qFormat/>
    <w:uiPriority w:val="0"/>
    <w:rPr>
      <w:rFonts w:ascii="Tahoma" w:hAnsi="Tahoma" w:eastAsia="宋体"/>
      <w:szCs w:val="20"/>
    </w:rPr>
  </w:style>
  <w:style w:type="paragraph" w:customStyle="1" w:styleId="383">
    <w:name w:val="Char12"/>
    <w:basedOn w:val="1"/>
    <w:qFormat/>
    <w:uiPriority w:val="0"/>
    <w:pPr>
      <w:tabs>
        <w:tab w:val="left" w:pos="360"/>
      </w:tabs>
      <w:spacing w:line="480" w:lineRule="auto"/>
      <w:ind w:left="360" w:right="202" w:firstLine="360"/>
    </w:pPr>
    <w:rPr>
      <w:rFonts w:eastAsia="宋体"/>
    </w:rPr>
  </w:style>
  <w:style w:type="paragraph" w:customStyle="1" w:styleId="384">
    <w:name w:val="Char Char Char Char Char Char Char Char Char Char"/>
    <w:basedOn w:val="1"/>
    <w:qFormat/>
    <w:uiPriority w:val="0"/>
    <w:rPr>
      <w:rFonts w:ascii="Tahoma" w:hAnsi="Tahoma" w:eastAsia="宋体"/>
      <w:szCs w:val="20"/>
    </w:rPr>
  </w:style>
  <w:style w:type="paragraph" w:customStyle="1" w:styleId="385">
    <w:name w:val="正文段"/>
    <w:basedOn w:val="1"/>
    <w:qFormat/>
    <w:uiPriority w:val="0"/>
    <w:pPr>
      <w:widowControl/>
      <w:spacing w:after="240" w:line="240" w:lineRule="atLeast"/>
      <w:ind w:firstLine="425"/>
    </w:pPr>
    <w:rPr>
      <w:rFonts w:eastAsia="宋体"/>
      <w:szCs w:val="20"/>
    </w:rPr>
  </w:style>
  <w:style w:type="paragraph" w:customStyle="1" w:styleId="386">
    <w:name w:val="段"/>
    <w:qFormat/>
    <w:uiPriority w:val="0"/>
    <w:pPr>
      <w:ind w:firstLine="200"/>
      <w:jc w:val="both"/>
    </w:pPr>
    <w:rPr>
      <w:rFonts w:ascii="宋体" w:hAnsi="Times New Roman" w:eastAsia="宋体" w:cs="Times New Roman"/>
      <w:sz w:val="21"/>
      <w:lang w:val="en-US" w:eastAsia="zh-CN" w:bidi="ar-SA"/>
    </w:rPr>
  </w:style>
  <w:style w:type="paragraph" w:customStyle="1" w:styleId="387">
    <w:name w:val="Char Char Char Char Char Char Char Char Char Char1"/>
    <w:basedOn w:val="1"/>
    <w:qFormat/>
    <w:uiPriority w:val="0"/>
    <w:rPr>
      <w:rFonts w:ascii="Tahoma" w:hAnsi="Tahoma" w:eastAsia="宋体" w:cs="Tahoma"/>
    </w:rPr>
  </w:style>
  <w:style w:type="paragraph" w:customStyle="1" w:styleId="388">
    <w:name w:val="xl34"/>
    <w:basedOn w:val="1"/>
    <w:qFormat/>
    <w:uiPriority w:val="0"/>
    <w:pPr>
      <w:widowControl/>
      <w:spacing w:before="100" w:beforeAutospacing="1" w:after="100" w:afterAutospacing="1"/>
      <w:jc w:val="center"/>
    </w:pPr>
    <w:rPr>
      <w:rFonts w:ascii="Arial Unicode MS" w:hAnsi="Arial Unicode MS" w:eastAsia="Arial Unicode MS"/>
    </w:rPr>
  </w:style>
  <w:style w:type="paragraph" w:customStyle="1" w:styleId="38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90">
    <w:name w:val="Char Char Char Char Char Char Char Char Char Char Char Char Char"/>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391">
    <w:name w:val="pa-0"/>
    <w:basedOn w:val="1"/>
    <w:qFormat/>
    <w:uiPriority w:val="0"/>
    <w:pPr>
      <w:widowControl/>
      <w:spacing w:line="360" w:lineRule="atLeast"/>
      <w:ind w:firstLine="480"/>
    </w:pPr>
    <w:rPr>
      <w:rFonts w:ascii="宋体" w:eastAsia="宋体" w:cs="宋体"/>
    </w:rPr>
  </w:style>
  <w:style w:type="paragraph" w:customStyle="1" w:styleId="392">
    <w:name w:val="Char111"/>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393">
    <w:name w:val="一级条标题"/>
    <w:next w:val="386"/>
    <w:qFormat/>
    <w:uiPriority w:val="0"/>
    <w:pPr>
      <w:outlineLvl w:val="2"/>
    </w:pPr>
    <w:rPr>
      <w:rFonts w:ascii="Times New Roman" w:hAnsi="Times New Roman" w:eastAsia="黑体" w:cs="Times New Roman"/>
      <w:sz w:val="21"/>
      <w:lang w:val="en-US" w:eastAsia="zh-CN" w:bidi="ar-SA"/>
    </w:rPr>
  </w:style>
  <w:style w:type="paragraph" w:customStyle="1" w:styleId="394">
    <w:name w:val="二级条标题"/>
    <w:basedOn w:val="393"/>
    <w:next w:val="386"/>
    <w:qFormat/>
    <w:uiPriority w:val="0"/>
    <w:pPr>
      <w:ind w:left="360"/>
      <w:outlineLvl w:val="3"/>
    </w:pPr>
    <w:rPr>
      <w:rFonts w:eastAsia="宋体"/>
    </w:rPr>
  </w:style>
  <w:style w:type="paragraph" w:customStyle="1" w:styleId="395">
    <w:name w:val="三级条标题"/>
    <w:basedOn w:val="394"/>
    <w:next w:val="386"/>
    <w:qFormat/>
    <w:uiPriority w:val="0"/>
    <w:pPr>
      <w:ind w:left="1050"/>
      <w:outlineLvl w:val="4"/>
    </w:pPr>
  </w:style>
  <w:style w:type="paragraph" w:customStyle="1" w:styleId="396">
    <w:name w:val="FA正文+标号"/>
    <w:basedOn w:val="1"/>
    <w:qFormat/>
    <w:uiPriority w:val="0"/>
    <w:pPr>
      <w:tabs>
        <w:tab w:val="left" w:pos="907"/>
        <w:tab w:val="left" w:pos="3375"/>
      </w:tabs>
      <w:spacing w:line="400" w:lineRule="exact"/>
      <w:ind w:left="900" w:hanging="420"/>
    </w:pPr>
    <w:rPr>
      <w:rFonts w:ascii="仿宋_GB2312" w:eastAsia="仿宋_GB2312"/>
      <w:szCs w:val="20"/>
    </w:rPr>
  </w:style>
  <w:style w:type="paragraph" w:customStyle="1" w:styleId="397">
    <w:name w:val="表文1"/>
    <w:basedOn w:val="1"/>
    <w:qFormat/>
    <w:uiPriority w:val="0"/>
    <w:pPr>
      <w:widowControl/>
      <w:spacing w:line="360" w:lineRule="auto"/>
      <w:ind w:firstLine="196"/>
    </w:pPr>
    <w:rPr>
      <w:rFonts w:ascii="宋体" w:eastAsia="宋体"/>
    </w:rPr>
  </w:style>
  <w:style w:type="paragraph" w:customStyle="1" w:styleId="398">
    <w:name w:val="正文1"/>
    <w:basedOn w:val="1"/>
    <w:qFormat/>
    <w:uiPriority w:val="0"/>
    <w:pPr>
      <w:widowControl/>
      <w:spacing w:line="360" w:lineRule="auto"/>
      <w:ind w:left="357" w:firstLine="420"/>
      <w:jc w:val="left"/>
    </w:pPr>
    <w:rPr>
      <w:rFonts w:eastAsia="宋体" w:cs="Arial"/>
      <w:szCs w:val="20"/>
    </w:rPr>
  </w:style>
  <w:style w:type="paragraph" w:customStyle="1" w:styleId="399">
    <w:name w:val="表内容"/>
    <w:basedOn w:val="398"/>
    <w:qFormat/>
    <w:uiPriority w:val="0"/>
    <w:pPr>
      <w:spacing w:line="320" w:lineRule="exact"/>
      <w:ind w:left="0" w:firstLine="0"/>
    </w:pPr>
    <w:rPr>
      <w:rFonts w:cs="Times New Roman"/>
      <w:sz w:val="20"/>
    </w:rPr>
  </w:style>
  <w:style w:type="paragraph" w:customStyle="1" w:styleId="400">
    <w:name w:val="Char Char1 Char Char Char Char Char Char"/>
    <w:basedOn w:val="1"/>
    <w:qFormat/>
    <w:uiPriority w:val="0"/>
    <w:pPr>
      <w:widowControl/>
      <w:jc w:val="center"/>
    </w:pPr>
    <w:rPr>
      <w:rFonts w:eastAsia="宋体"/>
      <w:szCs w:val="20"/>
    </w:rPr>
  </w:style>
  <w:style w:type="paragraph" w:customStyle="1" w:styleId="401">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402">
    <w:name w:val="普通正文"/>
    <w:basedOn w:val="1"/>
    <w:qFormat/>
    <w:uiPriority w:val="0"/>
    <w:pPr>
      <w:ind w:firstLine="425"/>
      <w:jc w:val="left"/>
    </w:pPr>
    <w:rPr>
      <w:rFonts w:ascii="宋体" w:eastAsia="宋体"/>
      <w:sz w:val="20"/>
      <w:szCs w:val="20"/>
    </w:rPr>
  </w:style>
  <w:style w:type="paragraph" w:customStyle="1" w:styleId="403">
    <w:name w:val="封面标准号1"/>
    <w:qFormat/>
    <w:uiPriority w:val="0"/>
    <w:pPr>
      <w:widowControl w:val="0"/>
      <w:spacing w:before="308"/>
      <w:jc w:val="right"/>
    </w:pPr>
    <w:rPr>
      <w:rFonts w:ascii="Times New Roman" w:hAnsi="Times New Roman" w:eastAsia="宋体" w:cs="Times New Roman"/>
      <w:sz w:val="28"/>
      <w:lang w:val="en-US" w:eastAsia="zh-CN" w:bidi="ar-SA"/>
    </w:rPr>
  </w:style>
  <w:style w:type="paragraph" w:customStyle="1" w:styleId="404">
    <w:name w:val="附图标题"/>
    <w:basedOn w:val="223"/>
    <w:next w:val="222"/>
    <w:qFormat/>
    <w:uiPriority w:val="0"/>
    <w:pPr>
      <w:tabs>
        <w:tab w:val="left" w:pos="780"/>
      </w:tabs>
      <w:spacing w:after="100"/>
      <w:ind w:left="780" w:hanging="480"/>
      <w:jc w:val="center"/>
    </w:pPr>
    <w:rPr>
      <w:rFonts w:ascii="Times New Roman" w:hAnsi="Times New Roman" w:eastAsia="宋体"/>
      <w:b/>
      <w:sz w:val="21"/>
    </w:rPr>
  </w:style>
  <w:style w:type="paragraph" w:customStyle="1" w:styleId="405">
    <w:name w:val="图号"/>
    <w:basedOn w:val="1"/>
    <w:qFormat/>
    <w:uiPriority w:val="0"/>
    <w:pPr>
      <w:keepNext/>
      <w:tabs>
        <w:tab w:val="left" w:pos="0"/>
        <w:tab w:val="left" w:pos="3360"/>
      </w:tabs>
      <w:spacing w:before="105" w:line="360" w:lineRule="auto"/>
      <w:jc w:val="center"/>
    </w:pPr>
    <w:rPr>
      <w:rFonts w:ascii="Arial" w:hAnsi="Arial" w:eastAsia="宋体"/>
      <w:sz w:val="18"/>
      <w:szCs w:val="18"/>
    </w:rPr>
  </w:style>
  <w:style w:type="paragraph" w:customStyle="1" w:styleId="406">
    <w:name w:val="xl40"/>
    <w:basedOn w:val="1"/>
    <w:qFormat/>
    <w:uiPriority w:val="0"/>
    <w:pPr>
      <w:widowControl/>
      <w:pBdr>
        <w:right w:val="single" w:color="000000" w:sz="4" w:space="0"/>
      </w:pBdr>
      <w:spacing w:before="100" w:beforeAutospacing="1" w:after="100" w:afterAutospacing="1"/>
      <w:jc w:val="left"/>
    </w:pPr>
    <w:rPr>
      <w:rFonts w:ascii="Arial Unicode MS" w:hAnsi="Arial Unicode MS" w:eastAsia="宋体"/>
    </w:rPr>
  </w:style>
  <w:style w:type="paragraph" w:customStyle="1" w:styleId="407">
    <w:name w:val="缩进正文"/>
    <w:basedOn w:val="1"/>
    <w:qFormat/>
    <w:uiPriority w:val="0"/>
    <w:pPr>
      <w:widowControl/>
      <w:spacing w:after="200" w:line="400" w:lineRule="exact"/>
      <w:ind w:left="1418" w:firstLine="425"/>
      <w:jc w:val="left"/>
    </w:pPr>
    <w:rPr>
      <w:rFonts w:ascii="宋体" w:eastAsia="宋体"/>
      <w:szCs w:val="20"/>
    </w:rPr>
  </w:style>
  <w:style w:type="paragraph" w:customStyle="1" w:styleId="408">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宋体"/>
      <w:sz w:val="20"/>
      <w:szCs w:val="20"/>
    </w:rPr>
  </w:style>
  <w:style w:type="paragraph" w:customStyle="1" w:styleId="409">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sz w:val="20"/>
      <w:szCs w:val="20"/>
    </w:rPr>
  </w:style>
  <w:style w:type="paragraph" w:customStyle="1" w:styleId="410">
    <w:name w:val="Char1"/>
    <w:basedOn w:val="1"/>
    <w:qFormat/>
    <w:uiPriority w:val="0"/>
    <w:pPr>
      <w:tabs>
        <w:tab w:val="left" w:pos="360"/>
      </w:tabs>
      <w:spacing w:line="480" w:lineRule="auto"/>
      <w:ind w:left="360" w:right="202" w:firstLine="360"/>
    </w:pPr>
    <w:rPr>
      <w:rFonts w:eastAsia="宋体"/>
    </w:rPr>
  </w:style>
  <w:style w:type="paragraph" w:customStyle="1" w:styleId="411">
    <w:name w:val="首页标题"/>
    <w:qFormat/>
    <w:uiPriority w:val="0"/>
    <w:pPr>
      <w:jc w:val="center"/>
    </w:pPr>
    <w:rPr>
      <w:rFonts w:ascii="宋体" w:hAnsi="Times New Roman" w:eastAsia="宋体" w:cs="宋体"/>
      <w:sz w:val="72"/>
      <w:szCs w:val="72"/>
      <w:lang w:val="en-US" w:eastAsia="zh-CN" w:bidi="ar-SA"/>
    </w:rPr>
  </w:style>
  <w:style w:type="paragraph" w:customStyle="1" w:styleId="412">
    <w:name w:val="pa-10"/>
    <w:basedOn w:val="1"/>
    <w:qFormat/>
    <w:uiPriority w:val="0"/>
    <w:pPr>
      <w:widowControl/>
      <w:spacing w:line="240" w:lineRule="atLeast"/>
    </w:pPr>
    <w:rPr>
      <w:rFonts w:ascii="宋体" w:eastAsia="宋体" w:cs="宋体"/>
    </w:rPr>
  </w:style>
  <w:style w:type="paragraph" w:customStyle="1" w:styleId="413">
    <w:name w:val="特点"/>
    <w:basedOn w:val="1"/>
    <w:next w:val="1"/>
    <w:qFormat/>
    <w:uiPriority w:val="0"/>
    <w:pPr>
      <w:spacing w:line="360" w:lineRule="auto"/>
      <w:jc w:val="center"/>
    </w:pPr>
    <w:rPr>
      <w:rFonts w:ascii="Arial" w:hAnsi="Arial" w:eastAsia="宋体"/>
      <w:szCs w:val="20"/>
    </w:rPr>
  </w:style>
  <w:style w:type="paragraph" w:customStyle="1" w:styleId="414">
    <w:name w:val="pa-4"/>
    <w:basedOn w:val="1"/>
    <w:qFormat/>
    <w:uiPriority w:val="0"/>
    <w:pPr>
      <w:widowControl/>
      <w:spacing w:line="280" w:lineRule="atLeast"/>
      <w:jc w:val="center"/>
    </w:pPr>
    <w:rPr>
      <w:rFonts w:ascii="宋体" w:eastAsia="宋体" w:cs="宋体"/>
    </w:rPr>
  </w:style>
  <w:style w:type="paragraph" w:customStyle="1" w:styleId="415">
    <w:name w:val="编号"/>
    <w:basedOn w:val="1"/>
    <w:next w:val="361"/>
    <w:qFormat/>
    <w:uiPriority w:val="0"/>
    <w:pPr>
      <w:widowControl/>
      <w:tabs>
        <w:tab w:val="left" w:pos="420"/>
      </w:tabs>
      <w:ind w:left="420" w:right="-136" w:hanging="420"/>
    </w:pPr>
    <w:rPr>
      <w:rFonts w:ascii="仿宋_GB2312" w:eastAsia="仿宋_GB2312"/>
      <w:b/>
      <w:bCs/>
      <w:szCs w:val="21"/>
    </w:rPr>
  </w:style>
  <w:style w:type="paragraph" w:customStyle="1" w:styleId="416">
    <w:name w:val="编号3"/>
    <w:qFormat/>
    <w:uiPriority w:val="0"/>
    <w:pPr>
      <w:tabs>
        <w:tab w:val="left" w:pos="771"/>
      </w:tabs>
      <w:spacing w:before="120" w:after="120" w:line="360" w:lineRule="auto"/>
      <w:ind w:left="1021" w:hanging="250"/>
      <w:jc w:val="both"/>
    </w:pPr>
    <w:rPr>
      <w:rFonts w:ascii="Times New Roman" w:hAnsi="Times New Roman" w:eastAsia="仿宋_GB2312" w:cs="Times New Roman"/>
      <w:sz w:val="24"/>
      <w:szCs w:val="24"/>
      <w:lang w:val="en-US" w:eastAsia="zh-CN" w:bidi="ar-SA"/>
    </w:rPr>
  </w:style>
  <w:style w:type="paragraph" w:customStyle="1" w:styleId="417">
    <w:name w:val="xl3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Arial Unicode MS" w:hAnsi="Arial Unicode MS" w:eastAsia="宋体"/>
      <w:sz w:val="20"/>
      <w:szCs w:val="20"/>
    </w:rPr>
  </w:style>
  <w:style w:type="paragraph" w:customStyle="1" w:styleId="418">
    <w:name w:val="编号1"/>
    <w:next w:val="361"/>
    <w:qFormat/>
    <w:uiPriority w:val="0"/>
    <w:pPr>
      <w:tabs>
        <w:tab w:val="left" w:pos="420"/>
      </w:tabs>
      <w:spacing w:before="120" w:after="120" w:line="360" w:lineRule="auto"/>
      <w:ind w:left="720" w:hanging="360"/>
    </w:pPr>
    <w:rPr>
      <w:rFonts w:ascii="Times New Roman" w:hAnsi="Times New Roman" w:eastAsia="宋体" w:cs="Times New Roman"/>
      <w:sz w:val="24"/>
      <w:szCs w:val="24"/>
      <w:lang w:val="en-US" w:eastAsia="zh-CN" w:bidi="ar-SA"/>
    </w:rPr>
  </w:style>
  <w:style w:type="paragraph" w:customStyle="1" w:styleId="419">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420">
    <w:name w:val="CM17"/>
    <w:basedOn w:val="1"/>
    <w:next w:val="1"/>
    <w:qFormat/>
    <w:uiPriority w:val="0"/>
    <w:pPr>
      <w:spacing w:after="273" w:line="360" w:lineRule="auto"/>
      <w:jc w:val="left"/>
    </w:pPr>
    <w:rPr>
      <w:rFonts w:ascii="宋体" w:eastAsia="宋体"/>
    </w:rPr>
  </w:style>
  <w:style w:type="paragraph" w:customStyle="1" w:styleId="421">
    <w:name w:val="xl3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422">
    <w:name w:val="参考资料清单+倾斜+蓝色"/>
    <w:basedOn w:val="1"/>
    <w:qFormat/>
    <w:uiPriority w:val="0"/>
    <w:pPr>
      <w:spacing w:line="360" w:lineRule="auto"/>
    </w:pPr>
    <w:rPr>
      <w:rFonts w:ascii="Arial" w:hAnsi="Arial" w:eastAsia="宋体"/>
      <w:i/>
      <w:iCs/>
      <w:color w:val="0000FF"/>
      <w:szCs w:val="21"/>
    </w:rPr>
  </w:style>
  <w:style w:type="paragraph" w:customStyle="1" w:styleId="423">
    <w:name w:val="英文音标"/>
    <w:qFormat/>
    <w:uiPriority w:val="0"/>
    <w:rPr>
      <w:rFonts w:ascii="Kingsoft Phonetic Plain" w:hAnsi="Kingsoft Phonetic Plain" w:eastAsia="Kingsoft Phonetic Plain" w:cs="Times New Roman"/>
      <w:sz w:val="24"/>
      <w:szCs w:val="24"/>
      <w:lang w:val="en-US" w:eastAsia="zh-CN" w:bidi="ar-SA"/>
    </w:rPr>
  </w:style>
  <w:style w:type="paragraph" w:customStyle="1" w:styleId="424">
    <w:name w:val="pa-8"/>
    <w:basedOn w:val="1"/>
    <w:qFormat/>
    <w:uiPriority w:val="0"/>
    <w:pPr>
      <w:widowControl/>
      <w:spacing w:line="280" w:lineRule="atLeast"/>
      <w:ind w:firstLine="480"/>
    </w:pPr>
    <w:rPr>
      <w:rFonts w:ascii="宋体" w:eastAsia="宋体" w:cs="宋体"/>
    </w:rPr>
  </w:style>
  <w:style w:type="paragraph" w:customStyle="1" w:styleId="425">
    <w:name w:val="标书2"/>
    <w:next w:val="361"/>
    <w:qFormat/>
    <w:uiPriority w:val="0"/>
    <w:rPr>
      <w:rFonts w:ascii="Times New Roman" w:hAnsi="Times New Roman" w:eastAsia="黑体" w:cs="宋体"/>
      <w:b/>
      <w:sz w:val="44"/>
      <w:lang w:val="en-US" w:eastAsia="zh-CN" w:bidi="ar-SA"/>
    </w:rPr>
  </w:style>
  <w:style w:type="paragraph" w:customStyle="1" w:styleId="426">
    <w:name w:val="表格文字"/>
    <w:basedOn w:val="1"/>
    <w:qFormat/>
    <w:uiPriority w:val="0"/>
    <w:pPr>
      <w:jc w:val="left"/>
    </w:pPr>
    <w:rPr>
      <w:rFonts w:eastAsia="宋体"/>
      <w:sz w:val="18"/>
    </w:rPr>
  </w:style>
  <w:style w:type="paragraph" w:customStyle="1" w:styleId="427">
    <w:name w:val="首页空格"/>
    <w:qFormat/>
    <w:uiPriority w:val="0"/>
    <w:pPr>
      <w:jc w:val="center"/>
    </w:pPr>
    <w:rPr>
      <w:rFonts w:ascii="Times New Roman" w:hAnsi="Times New Roman" w:eastAsia="宋体" w:cs="宋体"/>
      <w:sz w:val="72"/>
      <w:lang w:val="en-US" w:eastAsia="zh-CN" w:bidi="ar-SA"/>
    </w:rPr>
  </w:style>
  <w:style w:type="paragraph" w:customStyle="1" w:styleId="428">
    <w:name w:val="保密事宜格式"/>
    <w:basedOn w:val="223"/>
    <w:qFormat/>
    <w:uiPriority w:val="0"/>
    <w:pPr>
      <w:pBdr>
        <w:top w:val="single" w:color="000000" w:sz="4" w:space="1"/>
        <w:left w:val="single" w:color="000000" w:sz="4" w:space="4"/>
        <w:bottom w:val="single" w:color="000000" w:sz="4" w:space="1"/>
        <w:right w:val="single" w:color="000000" w:sz="4" w:space="4"/>
      </w:pBdr>
      <w:shd w:val="clear" w:color="auto" w:fill="E6E6E6"/>
      <w:spacing w:before="152" w:after="160"/>
    </w:pPr>
    <w:rPr>
      <w:rFonts w:ascii="Tahoma" w:hAnsi="Tahoma" w:eastAsia="楷体_GB2312" w:cs="宋体"/>
      <w:b/>
      <w:sz w:val="32"/>
    </w:rPr>
  </w:style>
  <w:style w:type="paragraph" w:customStyle="1" w:styleId="429">
    <w:name w:val="SFClearBullets"/>
    <w:qFormat/>
    <w:uiPriority w:val="0"/>
    <w:pPr>
      <w:tabs>
        <w:tab w:val="left" w:pos="1440"/>
      </w:tabs>
      <w:ind w:left="1440" w:hanging="360"/>
    </w:pPr>
    <w:rPr>
      <w:rFonts w:ascii="Helvetica" w:hAnsi="Helvetica" w:eastAsia="宋体" w:cs="Times New Roman"/>
      <w:szCs w:val="24"/>
      <w:lang w:val="en-US" w:eastAsia="en-US" w:bidi="ar-SA"/>
    </w:rPr>
  </w:style>
  <w:style w:type="paragraph" w:customStyle="1" w:styleId="430">
    <w:name w:val="È±Ê¡ÎÄ±¾"/>
    <w:basedOn w:val="1"/>
    <w:qFormat/>
    <w:uiPriority w:val="0"/>
    <w:pPr>
      <w:widowControl/>
      <w:spacing w:line="360" w:lineRule="auto"/>
      <w:jc w:val="left"/>
    </w:pPr>
    <w:rPr>
      <w:rFonts w:eastAsia="宋体"/>
      <w:szCs w:val="20"/>
    </w:rPr>
  </w:style>
  <w:style w:type="paragraph" w:customStyle="1" w:styleId="431">
    <w:name w:val="Char Char Char Char Char Char Char"/>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43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宋体"/>
      <w:sz w:val="20"/>
      <w:szCs w:val="20"/>
    </w:rPr>
  </w:style>
  <w:style w:type="paragraph" w:customStyle="1" w:styleId="433">
    <w:name w:val="附图居中"/>
    <w:basedOn w:val="1"/>
    <w:next w:val="404"/>
    <w:qFormat/>
    <w:uiPriority w:val="0"/>
    <w:pPr>
      <w:keepNext/>
      <w:tabs>
        <w:tab w:val="left" w:pos="0"/>
      </w:tabs>
      <w:spacing w:line="360" w:lineRule="auto"/>
      <w:ind w:left="1271" w:hanging="420"/>
      <w:jc w:val="center"/>
    </w:pPr>
    <w:rPr>
      <w:rFonts w:eastAsia="宋体"/>
      <w:caps/>
    </w:rPr>
  </w:style>
  <w:style w:type="paragraph" w:customStyle="1" w:styleId="434">
    <w:name w:val="pa-6"/>
    <w:basedOn w:val="1"/>
    <w:qFormat/>
    <w:uiPriority w:val="0"/>
    <w:pPr>
      <w:widowControl/>
      <w:spacing w:line="360" w:lineRule="atLeast"/>
    </w:pPr>
    <w:rPr>
      <w:rFonts w:ascii="宋体" w:eastAsia="宋体"/>
      <w:szCs w:val="20"/>
    </w:rPr>
  </w:style>
  <w:style w:type="paragraph" w:customStyle="1" w:styleId="435">
    <w:name w:val="规范正文"/>
    <w:basedOn w:val="1"/>
    <w:qFormat/>
    <w:uiPriority w:val="0"/>
    <w:pPr>
      <w:spacing w:line="360" w:lineRule="auto"/>
      <w:ind w:left="480"/>
    </w:pPr>
    <w:rPr>
      <w:rFonts w:eastAsia="宋体"/>
      <w:szCs w:val="20"/>
    </w:rPr>
  </w:style>
  <w:style w:type="paragraph" w:customStyle="1" w:styleId="436">
    <w:name w:val="font7"/>
    <w:basedOn w:val="1"/>
    <w:qFormat/>
    <w:uiPriority w:val="0"/>
    <w:pPr>
      <w:widowControl/>
      <w:spacing w:before="100" w:beforeAutospacing="1" w:after="100" w:afterAutospacing="1"/>
      <w:jc w:val="left"/>
    </w:pPr>
    <w:rPr>
      <w:rFonts w:ascii="宋体" w:eastAsia="宋体"/>
      <w:sz w:val="20"/>
      <w:szCs w:val="20"/>
    </w:rPr>
  </w:style>
  <w:style w:type="paragraph" w:customStyle="1" w:styleId="437">
    <w:name w:val="缺省文本"/>
    <w:basedOn w:val="1"/>
    <w:qFormat/>
    <w:uiPriority w:val="0"/>
    <w:pPr>
      <w:jc w:val="left"/>
    </w:pPr>
    <w:rPr>
      <w:rFonts w:eastAsia="宋体"/>
      <w:szCs w:val="20"/>
    </w:rPr>
  </w:style>
  <w:style w:type="paragraph" w:customStyle="1" w:styleId="438">
    <w:name w:val="序号-----------"/>
    <w:basedOn w:val="1"/>
    <w:qFormat/>
    <w:uiPriority w:val="0"/>
    <w:pPr>
      <w:widowControl/>
      <w:jc w:val="left"/>
    </w:pPr>
    <w:rPr>
      <w:rFonts w:ascii="宋体" w:eastAsia="宋体"/>
      <w:bCs/>
      <w:szCs w:val="21"/>
    </w:rPr>
  </w:style>
  <w:style w:type="paragraph" w:customStyle="1" w:styleId="439">
    <w:name w:val="font8"/>
    <w:basedOn w:val="1"/>
    <w:qFormat/>
    <w:uiPriority w:val="0"/>
    <w:pPr>
      <w:widowControl/>
      <w:spacing w:before="100" w:beforeAutospacing="1" w:after="100" w:afterAutospacing="1"/>
      <w:jc w:val="left"/>
    </w:pPr>
    <w:rPr>
      <w:rFonts w:ascii="Arial" w:hAnsi="Arial" w:eastAsia="宋体" w:cs="Arial"/>
      <w:color w:val="000000"/>
      <w:sz w:val="18"/>
      <w:szCs w:val="18"/>
    </w:rPr>
  </w:style>
  <w:style w:type="paragraph" w:customStyle="1" w:styleId="440">
    <w:name w:val="表格标题"/>
    <w:basedOn w:val="1"/>
    <w:qFormat/>
    <w:uiPriority w:val="0"/>
    <w:pPr>
      <w:jc w:val="center"/>
    </w:pPr>
    <w:rPr>
      <w:rFonts w:eastAsia="宋体"/>
      <w:b/>
    </w:rPr>
  </w:style>
  <w:style w:type="paragraph" w:customStyle="1" w:styleId="441">
    <w:name w:val="章标题"/>
    <w:next w:val="386"/>
    <w:qFormat/>
    <w:uiPriority w:val="0"/>
    <w:pPr>
      <w:tabs>
        <w:tab w:val="left" w:pos="1200"/>
      </w:tabs>
      <w:spacing w:before="50" w:after="50"/>
      <w:ind w:left="1320" w:hanging="420"/>
      <w:jc w:val="both"/>
      <w:outlineLvl w:val="1"/>
    </w:pPr>
    <w:rPr>
      <w:rFonts w:ascii="黑体" w:hAnsi="Times New Roman" w:eastAsia="黑体" w:cs="Times New Roman"/>
      <w:sz w:val="21"/>
      <w:lang w:val="en-US" w:eastAsia="zh-CN" w:bidi="ar-SA"/>
    </w:rPr>
  </w:style>
  <w:style w:type="paragraph" w:customStyle="1" w:styleId="442">
    <w:name w:val="首页单位日期"/>
    <w:basedOn w:val="1"/>
    <w:qFormat/>
    <w:uiPriority w:val="0"/>
    <w:pPr>
      <w:widowControl/>
      <w:jc w:val="center"/>
    </w:pPr>
    <w:rPr>
      <w:rFonts w:ascii="宋体" w:eastAsia="宋体" w:cs="宋体"/>
      <w:bCs/>
      <w:sz w:val="28"/>
      <w:szCs w:val="20"/>
    </w:rPr>
  </w:style>
  <w:style w:type="paragraph" w:customStyle="1" w:styleId="443">
    <w:name w:val="样式 正文缩进 + (中文) 仿宋_GB2312 小四 Char"/>
    <w:basedOn w:val="222"/>
    <w:qFormat/>
    <w:uiPriority w:val="0"/>
    <w:pPr>
      <w:spacing w:line="360" w:lineRule="auto"/>
      <w:ind w:firstLine="200"/>
    </w:pPr>
    <w:rPr>
      <w:szCs w:val="24"/>
    </w:rPr>
  </w:style>
  <w:style w:type="paragraph" w:customStyle="1" w:styleId="444">
    <w:name w:val="项目"/>
    <w:basedOn w:val="1"/>
    <w:qFormat/>
    <w:uiPriority w:val="0"/>
    <w:pPr>
      <w:tabs>
        <w:tab w:val="left" w:pos="840"/>
      </w:tabs>
      <w:spacing w:before="60" w:after="60" w:line="360" w:lineRule="auto"/>
      <w:ind w:left="840" w:hanging="420"/>
    </w:pPr>
    <w:rPr>
      <w:rFonts w:ascii="宋体" w:eastAsia="宋体"/>
      <w:szCs w:val="20"/>
    </w:rPr>
  </w:style>
  <w:style w:type="paragraph" w:customStyle="1" w:styleId="445">
    <w:name w:val="默认段落字体 Para Char"/>
    <w:basedOn w:val="1"/>
    <w:qFormat/>
    <w:uiPriority w:val="0"/>
    <w:rPr>
      <w:rFonts w:ascii="宋体" w:eastAsia="宋体"/>
      <w:b/>
      <w:sz w:val="28"/>
      <w:szCs w:val="28"/>
    </w:rPr>
  </w:style>
  <w:style w:type="paragraph" w:customStyle="1" w:styleId="446">
    <w:name w:val="篇名"/>
    <w:next w:val="204"/>
    <w:qFormat/>
    <w:uiPriority w:val="0"/>
    <w:pPr>
      <w:pageBreakBefore/>
      <w:spacing w:before="480" w:after="480"/>
      <w:jc w:val="center"/>
    </w:pPr>
    <w:rPr>
      <w:rFonts w:ascii="Times New Roman" w:hAnsi="Times New Roman" w:eastAsia="黑体" w:cs="Times New Roman"/>
      <w:b/>
      <w:sz w:val="44"/>
      <w:szCs w:val="24"/>
      <w:lang w:val="en-US" w:eastAsia="zh-CN" w:bidi="ar-SA"/>
    </w:rPr>
  </w:style>
  <w:style w:type="paragraph" w:customStyle="1" w:styleId="447">
    <w:name w:val="Char13"/>
    <w:basedOn w:val="1"/>
    <w:qFormat/>
    <w:uiPriority w:val="0"/>
    <w:rPr>
      <w:rFonts w:eastAsia="宋体"/>
    </w:rPr>
  </w:style>
  <w:style w:type="paragraph" w:customStyle="1" w:styleId="448">
    <w:name w:val="表头"/>
    <w:basedOn w:val="398"/>
    <w:qFormat/>
    <w:uiPriority w:val="0"/>
    <w:pPr>
      <w:spacing w:line="240" w:lineRule="auto"/>
      <w:ind w:left="0" w:firstLine="0"/>
    </w:pPr>
    <w:rPr>
      <w:rFonts w:cs="Times New Roman"/>
      <w:sz w:val="20"/>
    </w:rPr>
  </w:style>
  <w:style w:type="paragraph" w:customStyle="1" w:styleId="449">
    <w:name w:val="表格序号"/>
    <w:qFormat/>
    <w:uiPriority w:val="0"/>
    <w:rPr>
      <w:rFonts w:ascii="Times New Roman" w:hAnsi="Times New Roman" w:eastAsia="仿宋_GB2312" w:cs="宋体"/>
      <w:sz w:val="21"/>
      <w:lang w:val="en-US" w:eastAsia="zh-CN" w:bidi="ar-SA"/>
    </w:rPr>
  </w:style>
  <w:style w:type="paragraph" w:customStyle="1" w:styleId="450">
    <w:name w:val="Char Char Char Char1"/>
    <w:basedOn w:val="1"/>
    <w:qFormat/>
    <w:uiPriority w:val="0"/>
    <w:pPr>
      <w:spacing w:line="360" w:lineRule="auto"/>
      <w:ind w:firstLine="200"/>
    </w:pPr>
    <w:rPr>
      <w:rFonts w:eastAsia="宋体"/>
      <w:szCs w:val="20"/>
    </w:rPr>
  </w:style>
  <w:style w:type="paragraph" w:customStyle="1" w:styleId="451">
    <w:name w:val="标书3"/>
    <w:next w:val="361"/>
    <w:qFormat/>
    <w:uiPriority w:val="0"/>
    <w:pPr>
      <w:widowControl w:val="0"/>
      <w:jc w:val="center"/>
    </w:pPr>
    <w:rPr>
      <w:rFonts w:ascii="Times New Roman" w:hAnsi="Times New Roman" w:eastAsia="黑体" w:cs="Times New Roman"/>
      <w:b/>
      <w:sz w:val="44"/>
      <w:szCs w:val="24"/>
      <w:lang w:val="en-US" w:eastAsia="zh-CN" w:bidi="ar-SA"/>
    </w:rPr>
  </w:style>
  <w:style w:type="paragraph" w:customStyle="1" w:styleId="452">
    <w:name w:val="首页小标题"/>
    <w:next w:val="427"/>
    <w:qFormat/>
    <w:uiPriority w:val="0"/>
    <w:pPr>
      <w:jc w:val="center"/>
    </w:pPr>
    <w:rPr>
      <w:rFonts w:ascii="Times New Roman" w:hAnsi="Times New Roman" w:eastAsia="宋体" w:cs="宋体"/>
      <w:sz w:val="44"/>
      <w:lang w:val="en-US" w:eastAsia="zh-CN" w:bidi="ar-SA"/>
    </w:rPr>
  </w:style>
  <w:style w:type="paragraph" w:customStyle="1" w:styleId="453">
    <w:name w:val="新段落缩进"/>
    <w:basedOn w:val="1"/>
    <w:qFormat/>
    <w:uiPriority w:val="0"/>
    <w:pPr>
      <w:spacing w:line="400" w:lineRule="exact"/>
      <w:ind w:firstLine="200"/>
    </w:pPr>
    <w:rPr>
      <w:rFonts w:ascii="仿宋_GB2312" w:eastAsia="仿宋_GB2312"/>
    </w:rPr>
  </w:style>
  <w:style w:type="paragraph" w:customStyle="1" w:styleId="454">
    <w:name w:val="pa-2"/>
    <w:basedOn w:val="1"/>
    <w:qFormat/>
    <w:uiPriority w:val="0"/>
    <w:pPr>
      <w:widowControl/>
      <w:spacing w:line="360" w:lineRule="atLeast"/>
    </w:pPr>
    <w:rPr>
      <w:rFonts w:ascii="宋体" w:eastAsia="宋体" w:cs="宋体"/>
    </w:rPr>
  </w:style>
  <w:style w:type="paragraph" w:customStyle="1" w:styleId="455">
    <w:name w:val="四级条标题"/>
    <w:basedOn w:val="395"/>
    <w:next w:val="386"/>
    <w:qFormat/>
    <w:uiPriority w:val="0"/>
    <w:pPr>
      <w:ind w:left="0"/>
      <w:outlineLvl w:val="5"/>
    </w:pPr>
  </w:style>
  <w:style w:type="paragraph" w:customStyle="1" w:styleId="456">
    <w:name w:val="保密事宜内容"/>
    <w:basedOn w:val="1"/>
    <w:qFormat/>
    <w:uiPriority w:val="0"/>
    <w:pPr>
      <w:pBdr>
        <w:top w:val="single" w:color="000000" w:sz="4" w:space="1"/>
        <w:left w:val="single" w:color="000000" w:sz="4" w:space="4"/>
        <w:bottom w:val="single" w:color="000000" w:sz="4" w:space="1"/>
        <w:right w:val="single" w:color="000000" w:sz="4" w:space="4"/>
      </w:pBdr>
      <w:spacing w:line="360" w:lineRule="auto"/>
      <w:ind w:firstLine="200"/>
    </w:pPr>
    <w:rPr>
      <w:rFonts w:ascii="Tahoma" w:hAnsi="Tahoma" w:eastAsia="楷体_GB2312" w:cs="宋体"/>
      <w:bCs/>
      <w:szCs w:val="20"/>
    </w:rPr>
  </w:style>
  <w:style w:type="paragraph" w:customStyle="1" w:styleId="45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458">
    <w:name w:val="Char1 Char Char Char"/>
    <w:basedOn w:val="1"/>
    <w:qFormat/>
    <w:uiPriority w:val="0"/>
    <w:rPr>
      <w:rFonts w:eastAsia="宋体"/>
      <w:szCs w:val="20"/>
    </w:rPr>
  </w:style>
  <w:style w:type="paragraph" w:customStyle="1" w:styleId="459">
    <w:name w:val="正文 + 宋体"/>
    <w:basedOn w:val="1"/>
    <w:qFormat/>
    <w:uiPriority w:val="0"/>
    <w:pPr>
      <w:ind w:firstLine="250"/>
    </w:pPr>
    <w:rPr>
      <w:rFonts w:ascii="宋体" w:eastAsia="宋体"/>
      <w:szCs w:val="21"/>
    </w:rPr>
  </w:style>
  <w:style w:type="paragraph" w:customStyle="1" w:styleId="460">
    <w:name w:val="xl31"/>
    <w:basedOn w:val="1"/>
    <w:qFormat/>
    <w:uiPriority w:val="0"/>
    <w:pPr>
      <w:widowControl/>
      <w:pBdr>
        <w:top w:val="single" w:color="FFFFFF" w:sz="4" w:space="0"/>
        <w:left w:val="single" w:color="FFFFFF" w:sz="4" w:space="0"/>
        <w:bottom w:val="single" w:color="FFFFFF" w:sz="4" w:space="0"/>
        <w:right w:val="single" w:color="FFFFFF" w:sz="4" w:space="0"/>
      </w:pBdr>
      <w:shd w:val="clear" w:color="auto" w:fill="FFFFFF"/>
      <w:spacing w:before="100" w:beforeAutospacing="1" w:after="100" w:afterAutospacing="1"/>
      <w:jc w:val="left"/>
    </w:pPr>
    <w:rPr>
      <w:rFonts w:ascii="Arial Unicode MS" w:hAnsi="Arial Unicode MS" w:eastAsia="宋体"/>
      <w:color w:val="000000"/>
      <w:sz w:val="18"/>
      <w:szCs w:val="18"/>
    </w:rPr>
  </w:style>
  <w:style w:type="paragraph" w:customStyle="1" w:styleId="461">
    <w:name w:val="pbody"/>
    <w:basedOn w:val="1"/>
    <w:qFormat/>
    <w:uiPriority w:val="0"/>
    <w:pPr>
      <w:widowControl/>
      <w:spacing w:before="100" w:beforeAutospacing="1" w:after="100" w:afterAutospacing="1" w:line="360" w:lineRule="auto"/>
      <w:jc w:val="left"/>
    </w:pPr>
    <w:rPr>
      <w:rFonts w:ascii="宋体" w:eastAsia="宋体" w:cs="宋体"/>
    </w:rPr>
  </w:style>
  <w:style w:type="paragraph" w:customStyle="1" w:styleId="462">
    <w:name w:val="xl42"/>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eastAsia="宋体"/>
    </w:rPr>
  </w:style>
  <w:style w:type="paragraph" w:customStyle="1" w:styleId="463">
    <w:name w:val="txt"/>
    <w:basedOn w:val="1"/>
    <w:qFormat/>
    <w:uiPriority w:val="0"/>
    <w:pPr>
      <w:widowControl/>
      <w:spacing w:before="100" w:beforeAutospacing="1" w:after="100" w:afterAutospacing="1"/>
      <w:jc w:val="left"/>
    </w:pPr>
    <w:rPr>
      <w:rFonts w:ascii="宋体" w:eastAsia="宋体" w:cs="宋体"/>
    </w:rPr>
  </w:style>
  <w:style w:type="paragraph" w:customStyle="1" w:styleId="464">
    <w:name w:val="样式1"/>
    <w:basedOn w:val="221"/>
    <w:next w:val="1"/>
    <w:qFormat/>
    <w:uiPriority w:val="0"/>
    <w:rPr>
      <w:rFonts w:ascii="Arial" w:hAnsi="Arial" w:eastAsia="幼圆" w:cs="Arial"/>
      <w:szCs w:val="20"/>
    </w:rPr>
  </w:style>
  <w:style w:type="paragraph" w:customStyle="1" w:styleId="465">
    <w:name w:val="xl3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eastAsia="宋体"/>
      <w:sz w:val="20"/>
      <w:szCs w:val="20"/>
    </w:rPr>
  </w:style>
  <w:style w:type="paragraph" w:customStyle="1" w:styleId="466">
    <w:name w:val="图表目录1"/>
    <w:qFormat/>
    <w:uiPriority w:val="0"/>
    <w:pPr>
      <w:ind w:left="840" w:hanging="420"/>
    </w:pPr>
    <w:rPr>
      <w:rFonts w:ascii="Times New Roman" w:hAnsi="Times New Roman" w:eastAsia="宋体" w:cs="宋体"/>
      <w:sz w:val="21"/>
      <w:lang w:val="en-US" w:eastAsia="zh-CN" w:bidi="ar-SA"/>
    </w:rPr>
  </w:style>
  <w:style w:type="paragraph" w:customStyle="1" w:styleId="467">
    <w:name w:val="样式 序号----------- + 仿宋_GB2312"/>
    <w:basedOn w:val="438"/>
    <w:qFormat/>
    <w:uiPriority w:val="0"/>
    <w:pPr>
      <w:spacing w:line="360" w:lineRule="auto"/>
      <w:ind w:firstLine="200"/>
    </w:pPr>
    <w:rPr>
      <w:rFonts w:ascii="仿宋_GB2312" w:eastAsia="仿宋_GB2312"/>
      <w:bCs w:val="0"/>
    </w:rPr>
  </w:style>
  <w:style w:type="paragraph" w:customStyle="1" w:styleId="468">
    <w:name w:val="xl41"/>
    <w:basedOn w:val="1"/>
    <w:qFormat/>
    <w:uiPriority w:val="0"/>
    <w:pPr>
      <w:widowControl/>
      <w:pBdr>
        <w:bottom w:val="single" w:color="000000" w:sz="4" w:space="0"/>
        <w:right w:val="single" w:color="000000" w:sz="4" w:space="0"/>
      </w:pBdr>
      <w:spacing w:before="100" w:beforeAutospacing="1" w:after="100" w:afterAutospacing="1"/>
      <w:jc w:val="left"/>
    </w:pPr>
    <w:rPr>
      <w:rFonts w:ascii="Arial Unicode MS" w:hAnsi="Arial Unicode MS" w:eastAsia="宋体"/>
    </w:rPr>
  </w:style>
  <w:style w:type="paragraph" w:customStyle="1" w:styleId="469">
    <w:name w:val="Char11"/>
    <w:basedOn w:val="1"/>
    <w:qFormat/>
    <w:uiPriority w:val="0"/>
    <w:rPr>
      <w:rFonts w:eastAsia="宋体"/>
      <w:szCs w:val="21"/>
    </w:rPr>
  </w:style>
  <w:style w:type="paragraph" w:customStyle="1" w:styleId="470">
    <w:name w:val="样式 序号----------- + 仿宋_GB23121"/>
    <w:basedOn w:val="438"/>
    <w:qFormat/>
    <w:uiPriority w:val="0"/>
    <w:pPr>
      <w:spacing w:line="360" w:lineRule="auto"/>
    </w:pPr>
    <w:rPr>
      <w:rFonts w:ascii="仿宋_GB2312" w:eastAsia="仿宋_GB2312"/>
      <w:bCs w:val="0"/>
    </w:rPr>
  </w:style>
  <w:style w:type="paragraph" w:customStyle="1" w:styleId="471">
    <w:name w:val="pa-9"/>
    <w:basedOn w:val="1"/>
    <w:qFormat/>
    <w:uiPriority w:val="0"/>
    <w:pPr>
      <w:widowControl/>
      <w:spacing w:line="360" w:lineRule="atLeast"/>
      <w:jc w:val="center"/>
    </w:pPr>
    <w:rPr>
      <w:rFonts w:ascii="宋体" w:eastAsia="宋体" w:cs="宋体"/>
    </w:rPr>
  </w:style>
  <w:style w:type="paragraph" w:customStyle="1" w:styleId="472">
    <w:name w:val="pa-3"/>
    <w:basedOn w:val="1"/>
    <w:qFormat/>
    <w:uiPriority w:val="0"/>
    <w:pPr>
      <w:widowControl/>
      <w:spacing w:before="150" w:after="150"/>
      <w:jc w:val="left"/>
    </w:pPr>
    <w:rPr>
      <w:rFonts w:ascii="宋体" w:eastAsia="宋体" w:cs="宋体"/>
    </w:rPr>
  </w:style>
  <w:style w:type="paragraph" w:customStyle="1" w:styleId="473">
    <w:name w:val="font5"/>
    <w:basedOn w:val="1"/>
    <w:qFormat/>
    <w:uiPriority w:val="0"/>
    <w:pPr>
      <w:widowControl/>
      <w:spacing w:before="100" w:beforeAutospacing="1" w:after="100" w:afterAutospacing="1"/>
      <w:jc w:val="left"/>
    </w:pPr>
    <w:rPr>
      <w:rFonts w:ascii="宋体" w:eastAsia="宋体"/>
      <w:sz w:val="18"/>
      <w:szCs w:val="18"/>
    </w:rPr>
  </w:style>
  <w:style w:type="paragraph" w:customStyle="1" w:styleId="474">
    <w:name w:val="pa-5"/>
    <w:basedOn w:val="1"/>
    <w:qFormat/>
    <w:uiPriority w:val="0"/>
    <w:pPr>
      <w:widowControl/>
      <w:spacing w:line="280" w:lineRule="atLeast"/>
    </w:pPr>
    <w:rPr>
      <w:rFonts w:ascii="宋体" w:eastAsia="宋体" w:cs="宋体"/>
    </w:rPr>
  </w:style>
  <w:style w:type="paragraph" w:customStyle="1" w:styleId="475">
    <w:name w:val="xl39"/>
    <w:basedOn w:val="1"/>
    <w:qFormat/>
    <w:uiPriority w:val="0"/>
    <w:pPr>
      <w:widowControl/>
      <w:pBdr>
        <w:top w:val="single" w:color="000000" w:sz="4" w:space="0"/>
        <w:right w:val="single" w:color="000000" w:sz="4" w:space="0"/>
      </w:pBdr>
      <w:spacing w:before="100" w:beforeAutospacing="1" w:after="100" w:afterAutospacing="1"/>
      <w:jc w:val="left"/>
    </w:pPr>
    <w:rPr>
      <w:rFonts w:ascii="Arial Unicode MS" w:hAnsi="Arial Unicode MS" w:eastAsia="宋体"/>
      <w:sz w:val="20"/>
      <w:szCs w:val="20"/>
    </w:rPr>
  </w:style>
  <w:style w:type="paragraph" w:customStyle="1" w:styleId="476">
    <w:name w:val="font6"/>
    <w:basedOn w:val="1"/>
    <w:qFormat/>
    <w:uiPriority w:val="0"/>
    <w:pPr>
      <w:widowControl/>
      <w:spacing w:before="100" w:beforeAutospacing="1" w:after="100" w:afterAutospacing="1"/>
      <w:jc w:val="left"/>
    </w:pPr>
    <w:rPr>
      <w:rFonts w:eastAsia="宋体"/>
      <w:sz w:val="20"/>
      <w:szCs w:val="20"/>
    </w:rPr>
  </w:style>
  <w:style w:type="paragraph" w:customStyle="1" w:styleId="477">
    <w:name w:val="font9"/>
    <w:basedOn w:val="1"/>
    <w:qFormat/>
    <w:uiPriority w:val="0"/>
    <w:pPr>
      <w:widowControl/>
      <w:spacing w:before="100" w:beforeAutospacing="1" w:after="100" w:afterAutospacing="1"/>
      <w:jc w:val="left"/>
    </w:pPr>
    <w:rPr>
      <w:rFonts w:ascii="宋体" w:eastAsia="宋体"/>
      <w:color w:val="000000"/>
      <w:sz w:val="18"/>
      <w:szCs w:val="18"/>
    </w:rPr>
  </w:style>
  <w:style w:type="paragraph" w:customStyle="1" w:styleId="478">
    <w:name w:val="列出段落11"/>
    <w:basedOn w:val="1"/>
    <w:qFormat/>
    <w:uiPriority w:val="0"/>
    <w:pPr>
      <w:ind w:firstLine="200"/>
    </w:pPr>
    <w:rPr>
      <w:rFonts w:ascii="Calibri" w:hAnsi="Calibri" w:eastAsia="宋体"/>
      <w:szCs w:val="22"/>
    </w:rPr>
  </w:style>
  <w:style w:type="paragraph" w:customStyle="1" w:styleId="479">
    <w:name w:val="p0"/>
    <w:basedOn w:val="1"/>
    <w:qFormat/>
    <w:uiPriority w:val="0"/>
    <w:pPr>
      <w:widowControl/>
    </w:pPr>
    <w:rPr>
      <w:rFonts w:eastAsia="宋体"/>
      <w:szCs w:val="21"/>
    </w:rPr>
  </w:style>
  <w:style w:type="paragraph" w:customStyle="1" w:styleId="480">
    <w:name w:val="Char Char Char Char Char Char Char Char Char Char21"/>
    <w:basedOn w:val="1"/>
    <w:qFormat/>
    <w:uiPriority w:val="0"/>
    <w:rPr>
      <w:rFonts w:ascii="Tahoma" w:hAnsi="Tahoma" w:eastAsia="宋体"/>
      <w:szCs w:val="20"/>
    </w:rPr>
  </w:style>
  <w:style w:type="paragraph" w:customStyle="1" w:styleId="481">
    <w:name w:val="封面标准名称"/>
    <w:qFormat/>
    <w:uiPriority w:val="0"/>
    <w:pPr>
      <w:widowControl w:val="0"/>
      <w:spacing w:line="680" w:lineRule="exact"/>
      <w:jc w:val="center"/>
    </w:pPr>
    <w:rPr>
      <w:rFonts w:ascii="黑体" w:hAnsi="Times New Roman" w:eastAsia="黑体" w:cs="Times New Roman"/>
      <w:sz w:val="52"/>
      <w:lang w:val="en-US" w:eastAsia="zh-CN" w:bidi="ar-SA"/>
    </w:rPr>
  </w:style>
  <w:style w:type="paragraph" w:customStyle="1" w:styleId="482">
    <w:name w:val="表格正文"/>
    <w:basedOn w:val="1"/>
    <w:qFormat/>
    <w:uiPriority w:val="0"/>
    <w:pPr>
      <w:tabs>
        <w:tab w:val="left" w:pos="420"/>
      </w:tabs>
      <w:spacing w:line="300" w:lineRule="auto"/>
    </w:pPr>
    <w:rPr>
      <w:rFonts w:eastAsia="宋体"/>
    </w:rPr>
  </w:style>
  <w:style w:type="paragraph" w:customStyle="1" w:styleId="483">
    <w:name w:val="首页标题小初"/>
    <w:qFormat/>
    <w:uiPriority w:val="0"/>
    <w:pPr>
      <w:jc w:val="center"/>
    </w:pPr>
    <w:rPr>
      <w:rFonts w:ascii="黑体" w:hAnsi="Times New Roman" w:eastAsia="黑体" w:cs="宋体"/>
      <w:sz w:val="72"/>
      <w:lang w:val="en-US" w:eastAsia="zh-CN" w:bidi="ar-SA"/>
    </w:rPr>
  </w:style>
  <w:style w:type="paragraph" w:customStyle="1" w:styleId="484">
    <w:name w:val="五级条标题"/>
    <w:basedOn w:val="455"/>
    <w:next w:val="386"/>
    <w:qFormat/>
    <w:uiPriority w:val="0"/>
    <w:pPr>
      <w:outlineLvl w:val="6"/>
    </w:pPr>
  </w:style>
  <w:style w:type="paragraph" w:customStyle="1" w:styleId="485">
    <w:name w:val="Char Char Char Char Char Char Char1"/>
    <w:basedOn w:val="1"/>
    <w:qFormat/>
    <w:uiPriority w:val="0"/>
    <w:pPr>
      <w:widowControl/>
      <w:spacing w:after="160" w:line="240" w:lineRule="exact"/>
      <w:jc w:val="left"/>
    </w:pPr>
    <w:rPr>
      <w:rFonts w:ascii="Verdana" w:hAnsi="Verdana" w:eastAsia="宋体"/>
      <w:sz w:val="20"/>
      <w:szCs w:val="20"/>
      <w:lang w:eastAsia="en-US"/>
    </w:rPr>
  </w:style>
  <w:style w:type="paragraph" w:customStyle="1" w:styleId="486">
    <w:name w:val="ibm-list-next"/>
    <w:basedOn w:val="1"/>
    <w:qFormat/>
    <w:uiPriority w:val="0"/>
    <w:pPr>
      <w:widowControl/>
      <w:spacing w:before="100" w:beforeAutospacing="1" w:after="100" w:afterAutospacing="1"/>
      <w:jc w:val="left"/>
    </w:pPr>
    <w:rPr>
      <w:rFonts w:ascii="宋体" w:eastAsia="宋体" w:cs="宋体"/>
    </w:rPr>
  </w:style>
  <w:style w:type="paragraph" w:customStyle="1" w:styleId="487">
    <w:name w:val="首页标题 一号"/>
    <w:basedOn w:val="483"/>
    <w:qFormat/>
    <w:uiPriority w:val="0"/>
    <w:rPr>
      <w:rFonts w:ascii="Times New Roman" w:eastAsia="宋体" w:cs="Times New Roman"/>
      <w:sz w:val="52"/>
    </w:rPr>
  </w:style>
  <w:style w:type="paragraph" w:customStyle="1" w:styleId="488">
    <w:name w:val="Char Char Char Char Char Char Char Char Char Char2"/>
    <w:basedOn w:val="1"/>
    <w:qFormat/>
    <w:uiPriority w:val="0"/>
    <w:rPr>
      <w:rFonts w:ascii="Tahoma" w:hAnsi="Tahoma" w:eastAsia="宋体"/>
      <w:szCs w:val="20"/>
    </w:rPr>
  </w:style>
  <w:style w:type="character" w:customStyle="1" w:styleId="489">
    <w:name w:val="正文（编号） Char Char"/>
    <w:link w:val="490"/>
    <w:qFormat/>
    <w:uiPriority w:val="0"/>
    <w:rPr>
      <w:rFonts w:ascii="Times New Roman" w:hAnsi="Times New Roman" w:eastAsia="宋体" w:cs="Times New Roman"/>
      <w:sz w:val="24"/>
      <w:szCs w:val="24"/>
    </w:rPr>
  </w:style>
  <w:style w:type="paragraph" w:customStyle="1" w:styleId="490">
    <w:name w:val="正文（编号）"/>
    <w:basedOn w:val="348"/>
    <w:link w:val="489"/>
    <w:qFormat/>
    <w:uiPriority w:val="0"/>
    <w:pPr>
      <w:tabs>
        <w:tab w:val="left" w:pos="720"/>
        <w:tab w:val="left" w:pos="780"/>
      </w:tabs>
      <w:ind w:left="720" w:firstLine="0"/>
    </w:pPr>
  </w:style>
  <w:style w:type="paragraph" w:customStyle="1" w:styleId="491">
    <w:name w:val="表格"/>
    <w:basedOn w:val="1"/>
    <w:qFormat/>
    <w:uiPriority w:val="0"/>
    <w:pPr>
      <w:ind w:firstLine="21"/>
    </w:pPr>
    <w:rPr>
      <w:rFonts w:ascii="宋体" w:eastAsia="宋体"/>
      <w:szCs w:val="20"/>
    </w:rPr>
  </w:style>
  <w:style w:type="character" w:customStyle="1" w:styleId="492">
    <w:name w:val="正文（缩进） Char Char"/>
    <w:qFormat/>
    <w:uiPriority w:val="0"/>
    <w:rPr>
      <w:rFonts w:ascii="Times New Roman" w:hAnsi="Times New Roman" w:eastAsia="宋体" w:cs="Times New Roman"/>
      <w:sz w:val="24"/>
      <w:szCs w:val="24"/>
      <w:lang w:val="en-US" w:eastAsia="zh-CN" w:bidi="ar-SA"/>
    </w:rPr>
  </w:style>
  <w:style w:type="paragraph" w:customStyle="1" w:styleId="493">
    <w:name w:val="Char Char Char1"/>
    <w:basedOn w:val="1"/>
    <w:qFormat/>
    <w:uiPriority w:val="0"/>
    <w:rPr>
      <w:rFonts w:ascii="Calibri" w:hAnsi="Calibri" w:eastAsia="宋体"/>
      <w:szCs w:val="21"/>
    </w:rPr>
  </w:style>
  <w:style w:type="paragraph" w:customStyle="1" w:styleId="494">
    <w:name w:val="样式 正文2 + 首行缩进:  0 厘米 段后: 1.5 行"/>
    <w:basedOn w:val="1"/>
    <w:qFormat/>
    <w:uiPriority w:val="0"/>
    <w:pPr>
      <w:widowControl/>
      <w:tabs>
        <w:tab w:val="left" w:pos="987"/>
      </w:tabs>
      <w:spacing w:line="360" w:lineRule="auto"/>
      <w:ind w:left="985" w:hanging="567"/>
      <w:jc w:val="left"/>
    </w:pPr>
    <w:rPr>
      <w:rFonts w:ascii="Calibri" w:hAnsi="Calibri" w:eastAsia="楷体_GB2312"/>
      <w:szCs w:val="20"/>
      <w:lang w:eastAsia="en-US"/>
    </w:rPr>
  </w:style>
  <w:style w:type="paragraph" w:customStyle="1" w:styleId="495">
    <w:name w:val="表中文字"/>
    <w:basedOn w:val="1"/>
    <w:qFormat/>
    <w:uiPriority w:val="0"/>
    <w:pPr>
      <w:widowControl/>
    </w:pPr>
    <w:rPr>
      <w:rFonts w:ascii="Calibri" w:hAnsi="Calibri" w:eastAsia="宋体"/>
      <w:szCs w:val="20"/>
    </w:rPr>
  </w:style>
  <w:style w:type="character" w:customStyle="1" w:styleId="496">
    <w:name w:val="z1"/>
    <w:basedOn w:val="212"/>
    <w:qFormat/>
    <w:uiPriority w:val="0"/>
    <w:rPr>
      <w:rFonts w:ascii="Times New Roman" w:hAnsi="Times New Roman" w:eastAsia="宋体" w:cs="Times New Roman"/>
    </w:rPr>
  </w:style>
  <w:style w:type="paragraph" w:customStyle="1" w:styleId="497">
    <w:name w:val="a1"/>
    <w:basedOn w:val="1"/>
    <w:qFormat/>
    <w:uiPriority w:val="0"/>
    <w:pPr>
      <w:widowControl/>
      <w:spacing w:before="100" w:beforeAutospacing="1" w:after="100" w:afterAutospacing="1"/>
      <w:jc w:val="left"/>
    </w:pPr>
    <w:rPr>
      <w:rFonts w:ascii="宋体" w:eastAsia="宋体"/>
      <w:szCs w:val="22"/>
    </w:rPr>
  </w:style>
  <w:style w:type="paragraph" w:customStyle="1" w:styleId="498">
    <w:name w:val="a0"/>
    <w:basedOn w:val="1"/>
    <w:qFormat/>
    <w:uiPriority w:val="0"/>
    <w:pPr>
      <w:widowControl/>
      <w:spacing w:before="100" w:beforeAutospacing="1" w:after="100" w:afterAutospacing="1"/>
      <w:jc w:val="left"/>
    </w:pPr>
    <w:rPr>
      <w:rFonts w:ascii="宋体" w:eastAsia="宋体"/>
      <w:szCs w:val="22"/>
    </w:rPr>
  </w:style>
  <w:style w:type="paragraph" w:customStyle="1" w:styleId="499">
    <w:name w:val="tabletext"/>
    <w:basedOn w:val="1"/>
    <w:qFormat/>
    <w:uiPriority w:val="0"/>
    <w:pPr>
      <w:widowControl/>
      <w:spacing w:before="100" w:beforeAutospacing="1" w:after="100" w:afterAutospacing="1"/>
      <w:jc w:val="left"/>
    </w:pPr>
    <w:rPr>
      <w:rFonts w:ascii="宋体" w:eastAsia="宋体"/>
      <w:szCs w:val="22"/>
    </w:rPr>
  </w:style>
  <w:style w:type="paragraph" w:customStyle="1" w:styleId="500">
    <w:name w:val="我的样式"/>
    <w:basedOn w:val="1"/>
    <w:qFormat/>
    <w:uiPriority w:val="0"/>
    <w:pPr>
      <w:widowControl/>
      <w:spacing w:after="120"/>
      <w:ind w:firstLine="420"/>
      <w:jc w:val="left"/>
    </w:pPr>
    <w:rPr>
      <w:rFonts w:ascii="宋体" w:eastAsia="宋体"/>
      <w:color w:val="000000"/>
      <w:szCs w:val="16"/>
    </w:rPr>
  </w:style>
  <w:style w:type="paragraph" w:customStyle="1" w:styleId="501">
    <w:name w:val="Figure and Table Title"/>
    <w:basedOn w:val="1"/>
    <w:qFormat/>
    <w:uiPriority w:val="0"/>
    <w:pPr>
      <w:widowControl/>
      <w:ind w:left="2160"/>
      <w:jc w:val="left"/>
    </w:pPr>
    <w:rPr>
      <w:rFonts w:ascii="Helvetica-Light" w:hAnsi="Helvetica-Light" w:eastAsia="宋体"/>
      <w:b/>
      <w:bCs/>
      <w:sz w:val="20"/>
      <w:szCs w:val="22"/>
      <w:lang w:eastAsia="en-US"/>
    </w:rPr>
  </w:style>
  <w:style w:type="paragraph" w:customStyle="1" w:styleId="502">
    <w:name w:val="Table Text/Title"/>
    <w:basedOn w:val="1"/>
    <w:qFormat/>
    <w:uiPriority w:val="0"/>
    <w:pPr>
      <w:widowControl/>
      <w:jc w:val="left"/>
    </w:pPr>
    <w:rPr>
      <w:rFonts w:ascii="宋体" w:eastAsia="宋体"/>
      <w:b/>
      <w:bCs/>
      <w:sz w:val="20"/>
      <w:szCs w:val="20"/>
      <w:lang w:eastAsia="en-US"/>
    </w:rPr>
  </w:style>
  <w:style w:type="paragraph" w:customStyle="1" w:styleId="503">
    <w:name w:val="Sourcetext bullet"/>
    <w:basedOn w:val="1"/>
    <w:qFormat/>
    <w:uiPriority w:val="0"/>
    <w:pPr>
      <w:widowControl/>
      <w:tabs>
        <w:tab w:val="left" w:pos="360"/>
      </w:tabs>
      <w:spacing w:after="120"/>
      <w:ind w:left="2160" w:hanging="360"/>
      <w:jc w:val="left"/>
    </w:pPr>
    <w:rPr>
      <w:rFonts w:ascii="Book Antiqua" w:hAnsi="Book Antiqua" w:eastAsia="宋体"/>
      <w:sz w:val="20"/>
      <w:szCs w:val="20"/>
      <w:lang w:eastAsia="en-US"/>
    </w:rPr>
  </w:style>
  <w:style w:type="paragraph" w:customStyle="1" w:styleId="504">
    <w:name w:val="无标题正文 Char Char Char Char Char Char Char Char Char Char Char Char Char Char Char Char Char Char Char Char Char Char Char Char Char Char Char1 Char"/>
    <w:basedOn w:val="1"/>
    <w:qFormat/>
    <w:uiPriority w:val="0"/>
    <w:pPr>
      <w:widowControl/>
      <w:spacing w:after="160" w:line="240" w:lineRule="exact"/>
      <w:jc w:val="center"/>
    </w:pPr>
    <w:rPr>
      <w:rFonts w:ascii="Arial" w:hAnsi="Arial" w:eastAsia="宋体"/>
      <w:sz w:val="20"/>
      <w:szCs w:val="20"/>
      <w:lang w:eastAsia="en-US"/>
    </w:rPr>
  </w:style>
  <w:style w:type="paragraph" w:customStyle="1" w:styleId="505">
    <w:name w:val="Char Char Char Char"/>
    <w:basedOn w:val="1"/>
    <w:qFormat/>
    <w:uiPriority w:val="0"/>
    <w:pPr>
      <w:widowControl/>
      <w:spacing w:after="120" w:line="360" w:lineRule="auto"/>
      <w:ind w:left="560" w:firstLine="200"/>
      <w:jc w:val="left"/>
    </w:pPr>
    <w:rPr>
      <w:rFonts w:ascii="Verdana" w:hAnsi="Verdana" w:eastAsia="宋体"/>
      <w:szCs w:val="22"/>
    </w:rPr>
  </w:style>
  <w:style w:type="character" w:customStyle="1" w:styleId="506">
    <w:name w:val="style91"/>
    <w:qFormat/>
    <w:uiPriority w:val="0"/>
    <w:rPr>
      <w:rFonts w:ascii="Times New Roman" w:hAnsi="Times New Roman" w:eastAsia="宋体" w:cs="Times New Roman"/>
      <w:color w:val="2060C0"/>
      <w:sz w:val="24"/>
      <w:szCs w:val="24"/>
    </w:rPr>
  </w:style>
  <w:style w:type="paragraph" w:customStyle="1" w:styleId="507">
    <w:name w:val="标准小四"/>
    <w:basedOn w:val="1"/>
    <w:qFormat/>
    <w:uiPriority w:val="0"/>
    <w:pPr>
      <w:spacing w:line="360" w:lineRule="auto"/>
      <w:ind w:firstLine="200"/>
    </w:pPr>
    <w:rPr>
      <w:rFonts w:ascii="Arial" w:hAnsi="Arial" w:eastAsia="宋体"/>
      <w:szCs w:val="21"/>
    </w:rPr>
  </w:style>
  <w:style w:type="paragraph" w:customStyle="1" w:styleId="508">
    <w:name w:val="样式 正文首行缩进 + 宋体 首行缩进:  0.74 厘米"/>
    <w:basedOn w:val="271"/>
    <w:qFormat/>
    <w:uiPriority w:val="0"/>
    <w:pPr>
      <w:spacing w:before="120" w:after="0" w:line="380" w:lineRule="exact"/>
      <w:ind w:firstLine="210"/>
    </w:pPr>
    <w:rPr>
      <w:rFonts w:ascii="宋体" w:cs="宋体"/>
      <w:sz w:val="24"/>
      <w:szCs w:val="20"/>
    </w:rPr>
  </w:style>
  <w:style w:type="paragraph" w:customStyle="1" w:styleId="509">
    <w:name w:val="默认段落字体 Para Char Char Char Char Char Char Char Char Char1"/>
    <w:basedOn w:val="1"/>
    <w:qFormat/>
    <w:uiPriority w:val="0"/>
    <w:rPr>
      <w:rFonts w:ascii="Tahoma" w:hAnsi="Tahoma" w:eastAsia="宋体"/>
      <w:szCs w:val="20"/>
    </w:rPr>
  </w:style>
  <w:style w:type="paragraph" w:customStyle="1" w:styleId="510">
    <w:name w:val="正文小四"/>
    <w:basedOn w:val="1"/>
    <w:qFormat/>
    <w:uiPriority w:val="0"/>
    <w:pPr>
      <w:spacing w:line="312" w:lineRule="auto"/>
    </w:pPr>
    <w:rPr>
      <w:rFonts w:ascii="Calibri" w:hAnsi="Calibri" w:eastAsia="宋体"/>
      <w:szCs w:val="22"/>
    </w:rPr>
  </w:style>
  <w:style w:type="paragraph" w:customStyle="1" w:styleId="511">
    <w:name w:val="ul"/>
    <w:basedOn w:val="1"/>
    <w:qFormat/>
    <w:uiPriority w:val="0"/>
    <w:pPr>
      <w:widowControl/>
      <w:numPr>
        <w:ilvl w:val="0"/>
        <w:numId w:val="1"/>
      </w:numPr>
      <w:tabs>
        <w:tab w:val="left" w:pos="842"/>
      </w:tabs>
      <w:spacing w:line="360" w:lineRule="auto"/>
      <w:ind w:left="567" w:hanging="85"/>
      <w:jc w:val="left"/>
    </w:pPr>
    <w:rPr>
      <w:rFonts w:ascii="Calibri" w:hAnsi="Calibri" w:eastAsia="宋体"/>
      <w:szCs w:val="22"/>
    </w:rPr>
  </w:style>
  <w:style w:type="paragraph" w:customStyle="1" w:styleId="512">
    <w:name w:val="Bullet"/>
    <w:basedOn w:val="1"/>
    <w:qFormat/>
    <w:uiPriority w:val="0"/>
    <w:pPr>
      <w:widowControl/>
      <w:tabs>
        <w:tab w:val="left" w:pos="360"/>
        <w:tab w:val="left" w:pos="720"/>
      </w:tabs>
      <w:spacing w:before="120" w:after="60" w:line="387" w:lineRule="atLeast"/>
      <w:ind w:left="720" w:right="360" w:hanging="360"/>
    </w:pPr>
    <w:rPr>
      <w:rFonts w:ascii="Book Antiqua" w:hAnsi="Book Antiqua" w:eastAsia="宋体"/>
      <w:szCs w:val="20"/>
    </w:rPr>
  </w:style>
  <w:style w:type="paragraph" w:customStyle="1" w:styleId="513">
    <w:name w:val="正文（首行缩进）"/>
    <w:basedOn w:val="1"/>
    <w:qFormat/>
    <w:uiPriority w:val="0"/>
    <w:pPr>
      <w:widowControl/>
      <w:spacing w:before="120" w:line="360" w:lineRule="auto"/>
      <w:ind w:firstLine="482"/>
    </w:pPr>
    <w:rPr>
      <w:rFonts w:ascii="Calibri" w:hAnsi="Calibri" w:eastAsia="宋体"/>
      <w:szCs w:val="20"/>
    </w:rPr>
  </w:style>
  <w:style w:type="character" w:customStyle="1" w:styleId="514">
    <w:name w:val="style161"/>
    <w:qFormat/>
    <w:uiPriority w:val="0"/>
    <w:rPr>
      <w:rFonts w:ascii="Verdana" w:hAnsi="Verdana" w:eastAsia="宋体" w:cs="Times New Roman"/>
      <w:b/>
      <w:color w:val="0A246A"/>
      <w:sz w:val="24"/>
      <w:szCs w:val="24"/>
      <w:lang w:val="en-US" w:eastAsia="zh-CN" w:bidi="ar-SA"/>
    </w:rPr>
  </w:style>
  <w:style w:type="paragraph" w:customStyle="1" w:styleId="515">
    <w:name w:val="正文（首行缩进两字）"/>
    <w:basedOn w:val="1"/>
    <w:qFormat/>
    <w:uiPriority w:val="0"/>
    <w:pPr>
      <w:spacing w:line="312" w:lineRule="auto"/>
    </w:pPr>
    <w:rPr>
      <w:rFonts w:ascii="宋体" w:eastAsia="宋体" w:cs="宋体"/>
      <w:szCs w:val="22"/>
    </w:rPr>
  </w:style>
  <w:style w:type="paragraph" w:customStyle="1" w:styleId="516">
    <w:name w:val="正文文字缩进 3"/>
    <w:basedOn w:val="1"/>
    <w:qFormat/>
    <w:uiPriority w:val="0"/>
    <w:pPr>
      <w:spacing w:line="312" w:lineRule="auto"/>
      <w:ind w:left="420" w:firstLine="420"/>
    </w:pPr>
    <w:rPr>
      <w:rFonts w:ascii="黑体" w:hAnsi="黑体" w:eastAsia="宋体" w:cs="宋体"/>
      <w:bCs/>
      <w:color w:val="000000"/>
      <w:szCs w:val="22"/>
    </w:rPr>
  </w:style>
  <w:style w:type="paragraph" w:customStyle="1" w:styleId="517">
    <w:name w:val="技术方案3"/>
    <w:basedOn w:val="1"/>
    <w:qFormat/>
    <w:uiPriority w:val="0"/>
    <w:pPr>
      <w:spacing w:line="360" w:lineRule="auto"/>
    </w:pPr>
    <w:rPr>
      <w:rFonts w:ascii="宋体" w:eastAsia="宋体"/>
      <w:b/>
      <w:bCs/>
      <w:sz w:val="32"/>
      <w:szCs w:val="22"/>
    </w:rPr>
  </w:style>
  <w:style w:type="paragraph" w:customStyle="1" w:styleId="518">
    <w:name w:val="技术方案2"/>
    <w:basedOn w:val="1"/>
    <w:qFormat/>
    <w:uiPriority w:val="0"/>
    <w:pPr>
      <w:spacing w:line="480" w:lineRule="auto"/>
    </w:pPr>
    <w:rPr>
      <w:rFonts w:ascii="宋体" w:eastAsia="宋体"/>
      <w:b/>
      <w:bCs/>
      <w:sz w:val="36"/>
      <w:szCs w:val="22"/>
    </w:rPr>
  </w:style>
  <w:style w:type="paragraph" w:customStyle="1" w:styleId="519">
    <w:name w:val="技术方案正文"/>
    <w:basedOn w:val="1"/>
    <w:qFormat/>
    <w:uiPriority w:val="0"/>
    <w:pPr>
      <w:spacing w:line="360" w:lineRule="auto"/>
      <w:ind w:firstLine="480"/>
    </w:pPr>
    <w:rPr>
      <w:rFonts w:ascii="宋体" w:eastAsia="宋体"/>
      <w:szCs w:val="22"/>
    </w:rPr>
  </w:style>
  <w:style w:type="paragraph" w:customStyle="1" w:styleId="520">
    <w:name w:val="Normal Paragraph"/>
    <w:basedOn w:val="1"/>
    <w:qFormat/>
    <w:uiPriority w:val="0"/>
    <w:pPr>
      <w:widowControl/>
      <w:spacing w:before="120" w:line="360" w:lineRule="auto"/>
      <w:ind w:firstLine="425"/>
    </w:pPr>
    <w:rPr>
      <w:rFonts w:ascii="Calibri" w:hAnsi="Calibri" w:eastAsia="宋体"/>
      <w:szCs w:val="20"/>
    </w:rPr>
  </w:style>
  <w:style w:type="paragraph" w:customStyle="1" w:styleId="521">
    <w:name w:val="Normal Paragraph Char"/>
    <w:basedOn w:val="1"/>
    <w:qFormat/>
    <w:uiPriority w:val="0"/>
    <w:pPr>
      <w:widowControl/>
      <w:spacing w:before="120" w:line="360" w:lineRule="auto"/>
      <w:ind w:firstLine="425"/>
    </w:pPr>
    <w:rPr>
      <w:rFonts w:ascii="Calibri" w:hAnsi="Calibri" w:eastAsia="宋体"/>
      <w:szCs w:val="22"/>
    </w:rPr>
  </w:style>
  <w:style w:type="paragraph" w:customStyle="1" w:styleId="522">
    <w:name w:val="文档正文"/>
    <w:basedOn w:val="1"/>
    <w:qFormat/>
    <w:uiPriority w:val="0"/>
    <w:rPr>
      <w:rFonts w:ascii="宋体" w:eastAsia="宋体"/>
      <w:szCs w:val="20"/>
    </w:rPr>
  </w:style>
  <w:style w:type="paragraph" w:customStyle="1" w:styleId="523">
    <w:name w:val="默认段落字体 Para Char Char Char Char Char"/>
    <w:basedOn w:val="1"/>
    <w:qFormat/>
    <w:uiPriority w:val="0"/>
    <w:pPr>
      <w:spacing w:before="100" w:beforeAutospacing="1" w:after="100" w:afterAutospacing="1" w:line="360" w:lineRule="auto"/>
      <w:ind w:firstLine="200"/>
      <w:jc w:val="left"/>
    </w:pPr>
    <w:rPr>
      <w:rFonts w:ascii="Arial" w:hAnsi="Arial" w:eastAsia="宋体"/>
      <w:szCs w:val="22"/>
      <w:lang w:eastAsia="en-US"/>
    </w:rPr>
  </w:style>
  <w:style w:type="paragraph" w:customStyle="1" w:styleId="524">
    <w:name w:val="标题2"/>
    <w:basedOn w:val="1"/>
    <w:qFormat/>
    <w:uiPriority w:val="0"/>
    <w:pPr>
      <w:tabs>
        <w:tab w:val="left" w:pos="0"/>
      </w:tabs>
    </w:pPr>
    <w:rPr>
      <w:rFonts w:ascii="黑体" w:eastAsia="黑体"/>
      <w:szCs w:val="22"/>
    </w:rPr>
  </w:style>
  <w:style w:type="paragraph" w:customStyle="1" w:styleId="525">
    <w:name w:val="Char Char Char Char Char Char Char Char Char Char Char Char Char1"/>
    <w:basedOn w:val="1"/>
    <w:qFormat/>
    <w:uiPriority w:val="0"/>
    <w:pPr>
      <w:widowControl/>
      <w:spacing w:after="160" w:line="240" w:lineRule="exact"/>
      <w:jc w:val="left"/>
    </w:pPr>
    <w:rPr>
      <w:rFonts w:ascii="Arial" w:hAnsi="Arial" w:cs="Verdana"/>
      <w:b/>
      <w:szCs w:val="32"/>
      <w:lang w:eastAsia="en-US"/>
    </w:rPr>
  </w:style>
  <w:style w:type="paragraph" w:customStyle="1" w:styleId="526">
    <w:name w:val="样式2"/>
    <w:basedOn w:val="47"/>
    <w:qFormat/>
    <w:uiPriority w:val="0"/>
    <w:pPr>
      <w:spacing w:line="415" w:lineRule="auto"/>
    </w:pPr>
    <w:rPr>
      <w:rFonts w:ascii="Calibri" w:hAnsi="Calibri"/>
      <w:bCs/>
      <w:color w:val="000000"/>
      <w:sz w:val="28"/>
      <w:szCs w:val="28"/>
    </w:rPr>
  </w:style>
  <w:style w:type="paragraph" w:customStyle="1" w:styleId="527">
    <w:name w:val="样式3"/>
    <w:basedOn w:val="47"/>
    <w:qFormat/>
    <w:uiPriority w:val="0"/>
    <w:pPr>
      <w:spacing w:line="415" w:lineRule="auto"/>
    </w:pPr>
    <w:rPr>
      <w:rFonts w:ascii="Calibri" w:hAnsi="Calibri"/>
      <w:bCs/>
      <w:color w:val="000000"/>
      <w:sz w:val="28"/>
      <w:szCs w:val="28"/>
    </w:rPr>
  </w:style>
  <w:style w:type="paragraph" w:customStyle="1" w:styleId="528">
    <w:name w:val="样式4"/>
    <w:basedOn w:val="47"/>
    <w:qFormat/>
    <w:uiPriority w:val="0"/>
    <w:pPr>
      <w:spacing w:line="415" w:lineRule="auto"/>
    </w:pPr>
    <w:rPr>
      <w:rFonts w:ascii="Calibri" w:hAnsi="Calibri"/>
      <w:bCs/>
      <w:color w:val="000000"/>
      <w:sz w:val="28"/>
      <w:szCs w:val="28"/>
    </w:rPr>
  </w:style>
  <w:style w:type="paragraph" w:customStyle="1" w:styleId="529">
    <w:name w:val="样式5"/>
    <w:basedOn w:val="47"/>
    <w:qFormat/>
    <w:uiPriority w:val="0"/>
    <w:pPr>
      <w:spacing w:line="415" w:lineRule="auto"/>
    </w:pPr>
    <w:rPr>
      <w:rFonts w:ascii="Calibri" w:hAnsi="Calibri"/>
      <w:bCs/>
      <w:color w:val="000000"/>
      <w:sz w:val="28"/>
      <w:szCs w:val="28"/>
    </w:rPr>
  </w:style>
  <w:style w:type="paragraph" w:customStyle="1" w:styleId="530">
    <w:name w:val="样式6"/>
    <w:basedOn w:val="464"/>
    <w:qFormat/>
    <w:uiPriority w:val="0"/>
    <w:pPr>
      <w:keepNext/>
      <w:keepLines/>
      <w:spacing w:before="260" w:after="260" w:line="415" w:lineRule="auto"/>
      <w:outlineLvl w:val="1"/>
    </w:pPr>
    <w:rPr>
      <w:rFonts w:ascii="Times New Roman" w:hAnsi="Times New Roman" w:eastAsia="宋体" w:cs="Times New Roman"/>
      <w:b/>
      <w:bCs/>
      <w:sz w:val="32"/>
      <w:szCs w:val="32"/>
    </w:rPr>
  </w:style>
  <w:style w:type="paragraph" w:customStyle="1" w:styleId="531">
    <w:name w:val="大汉方案正文 Char"/>
    <w:basedOn w:val="1"/>
    <w:qFormat/>
    <w:uiPriority w:val="0"/>
    <w:pPr>
      <w:spacing w:line="360" w:lineRule="auto"/>
      <w:ind w:firstLine="200"/>
    </w:pPr>
    <w:rPr>
      <w:rFonts w:ascii="Arial" w:hAnsi="Arial" w:eastAsia="宋体"/>
      <w:szCs w:val="22"/>
    </w:rPr>
  </w:style>
  <w:style w:type="character" w:customStyle="1" w:styleId="532">
    <w:name w:val="标题 2 Char Char Char"/>
    <w:qFormat/>
    <w:uiPriority w:val="0"/>
    <w:rPr>
      <w:rFonts w:ascii="Arial" w:hAnsi="Arial" w:eastAsia="宋体" w:cs="Arial"/>
      <w:b/>
      <w:bCs/>
      <w:i/>
      <w:iCs/>
      <w:sz w:val="28"/>
      <w:szCs w:val="28"/>
      <w:lang w:val="en-US" w:eastAsia="zh-CN" w:bidi="ar-SA"/>
    </w:rPr>
  </w:style>
  <w:style w:type="character" w:customStyle="1" w:styleId="533">
    <w:name w:val="question-title"/>
    <w:basedOn w:val="212"/>
    <w:qFormat/>
    <w:uiPriority w:val="0"/>
    <w:rPr>
      <w:rFonts w:ascii="Times New Roman" w:hAnsi="Times New Roman" w:eastAsia="宋体" w:cs="Times New Roman"/>
    </w:rPr>
  </w:style>
  <w:style w:type="paragraph" w:customStyle="1" w:styleId="534">
    <w:name w:val="说明书3级标题"/>
    <w:basedOn w:val="1"/>
    <w:next w:val="1"/>
    <w:qFormat/>
    <w:uiPriority w:val="0"/>
    <w:pPr>
      <w:numPr>
        <w:ilvl w:val="2"/>
        <w:numId w:val="2"/>
      </w:numPr>
      <w:spacing w:line="360" w:lineRule="auto"/>
    </w:pPr>
    <w:rPr>
      <w:rFonts w:ascii="Calibri" w:hAnsi="Calibri" w:eastAsia="黑体"/>
      <w:szCs w:val="22"/>
    </w:rPr>
  </w:style>
  <w:style w:type="paragraph" w:customStyle="1" w:styleId="535">
    <w:name w:val="说明书2级标题"/>
    <w:basedOn w:val="1"/>
    <w:next w:val="534"/>
    <w:qFormat/>
    <w:uiPriority w:val="0"/>
    <w:pPr>
      <w:numPr>
        <w:ilvl w:val="2"/>
        <w:numId w:val="3"/>
      </w:numPr>
      <w:spacing w:before="100"/>
    </w:pPr>
    <w:rPr>
      <w:rFonts w:ascii="Calibri" w:hAnsi="Calibri" w:eastAsia="黑体"/>
      <w:sz w:val="28"/>
      <w:szCs w:val="28"/>
    </w:rPr>
  </w:style>
  <w:style w:type="character" w:customStyle="1" w:styleId="536">
    <w:name w:val="style15"/>
    <w:basedOn w:val="212"/>
    <w:qFormat/>
    <w:uiPriority w:val="0"/>
    <w:rPr>
      <w:rFonts w:ascii="Times New Roman" w:hAnsi="Times New Roman" w:eastAsia="宋体" w:cs="Times New Roman"/>
    </w:rPr>
  </w:style>
  <w:style w:type="paragraph" w:customStyle="1" w:styleId="537">
    <w:name w:val="列出段落[858D7CFB-ED40-4347-BF05-701D383B685F][858D7CFB-ED40-4347-BF05-701D383B685F]"/>
    <w:basedOn w:val="1"/>
    <w:qFormat/>
    <w:uiPriority w:val="0"/>
    <w:pPr>
      <w:ind w:firstLine="200"/>
    </w:pPr>
    <w:rPr>
      <w:rFonts w:ascii="Calibri" w:hAnsi="Calibri" w:eastAsia="宋体"/>
      <w:szCs w:val="22"/>
    </w:rPr>
  </w:style>
  <w:style w:type="paragraph" w:customStyle="1" w:styleId="538">
    <w:name w:val="默认段落字体 Para Char Char Char Char Char Char Char Char Char1 Char Char Char Char Char Char Char Char"/>
    <w:basedOn w:val="227"/>
    <w:qFormat/>
    <w:uiPriority w:val="0"/>
    <w:rPr>
      <w:rFonts w:ascii="Calibri" w:hAnsi="Calibri"/>
      <w:szCs w:val="22"/>
    </w:rPr>
  </w:style>
  <w:style w:type="paragraph" w:customStyle="1" w:styleId="539">
    <w:name w:val="style42"/>
    <w:basedOn w:val="1"/>
    <w:qFormat/>
    <w:uiPriority w:val="0"/>
    <w:pPr>
      <w:widowControl/>
      <w:spacing w:before="100" w:beforeAutospacing="1" w:after="100" w:afterAutospacing="1"/>
      <w:jc w:val="left"/>
    </w:pPr>
    <w:rPr>
      <w:rFonts w:ascii="宋体" w:eastAsia="宋体" w:cs="宋体"/>
      <w:color w:val="000000"/>
      <w:sz w:val="15"/>
      <w:szCs w:val="15"/>
    </w:rPr>
  </w:style>
  <w:style w:type="paragraph" w:customStyle="1" w:styleId="540">
    <w:name w:val="Char Char1 Char Char Char Char Char Char Char Char"/>
    <w:basedOn w:val="1"/>
    <w:qFormat/>
    <w:uiPriority w:val="0"/>
    <w:pPr>
      <w:widowControl/>
      <w:spacing w:after="160" w:line="240" w:lineRule="exact"/>
      <w:jc w:val="left"/>
    </w:pPr>
    <w:rPr>
      <w:rFonts w:eastAsia="宋体"/>
    </w:rPr>
  </w:style>
  <w:style w:type="paragraph" w:customStyle="1" w:styleId="541">
    <w:name w:val="技术方案正文样式"/>
    <w:basedOn w:val="1"/>
    <w:qFormat/>
    <w:uiPriority w:val="0"/>
    <w:pPr>
      <w:spacing w:line="400" w:lineRule="exact"/>
      <w:ind w:firstLine="200"/>
    </w:pPr>
    <w:rPr>
      <w:rFonts w:ascii="宋体" w:eastAsia="宋体" w:cs="宋体"/>
      <w:szCs w:val="21"/>
    </w:rPr>
  </w:style>
  <w:style w:type="paragraph" w:customStyle="1" w:styleId="542">
    <w:name w:val="修订1"/>
    <w:qFormat/>
    <w:uiPriority w:val="0"/>
    <w:rPr>
      <w:rFonts w:ascii="Times New Roman" w:hAnsi="Times New Roman" w:eastAsia="宋体" w:cs="Times New Roman"/>
      <w:sz w:val="21"/>
      <w:szCs w:val="24"/>
      <w:lang w:val="en-US" w:eastAsia="zh-CN" w:bidi="ar-SA"/>
    </w:rPr>
  </w:style>
  <w:style w:type="paragraph" w:customStyle="1" w:styleId="543">
    <w:name w:val="D&amp;L"/>
    <w:basedOn w:val="251"/>
    <w:qFormat/>
    <w:uiPriority w:val="0"/>
    <w:pPr>
      <w:pBdr>
        <w:bottom w:val="single" w:color="000000" w:sz="18" w:space="1"/>
      </w:pBdr>
      <w:spacing w:line="240" w:lineRule="atLeast"/>
    </w:pPr>
    <w:rPr>
      <w:sz w:val="24"/>
      <w:szCs w:val="20"/>
    </w:rPr>
  </w:style>
  <w:style w:type="paragraph" w:customStyle="1" w:styleId="544">
    <w:name w:val="样式 标题 2 + Times New Roman 四号 非加粗 段前: 5 磅 段后: 0 磅 行距: 固定值 20..."/>
    <w:basedOn w:val="205"/>
    <w:qFormat/>
    <w:uiPriority w:val="0"/>
    <w:pPr>
      <w:spacing w:before="100" w:after="0" w:line="400" w:lineRule="exact"/>
    </w:pPr>
    <w:rPr>
      <w:rFonts w:ascii="Times New Roman" w:hAnsi="Times New Roman" w:eastAsia="宋体" w:cs="宋体"/>
      <w:b w:val="0"/>
      <w:sz w:val="28"/>
    </w:rPr>
  </w:style>
  <w:style w:type="paragraph" w:customStyle="1" w:styleId="545">
    <w:name w:val="Char Char Char Char Char Char Char1 Char"/>
    <w:basedOn w:val="1"/>
    <w:qFormat/>
    <w:uiPriority w:val="0"/>
    <w:rPr>
      <w:rFonts w:ascii="Tahoma" w:hAnsi="Tahoma" w:eastAsia="宋体"/>
      <w:szCs w:val="20"/>
    </w:rPr>
  </w:style>
  <w:style w:type="paragraph" w:customStyle="1" w:styleId="546">
    <w:name w:val="TOC 标题2"/>
    <w:basedOn w:val="204"/>
    <w:next w:val="1"/>
    <w:qFormat/>
    <w:uiPriority w:val="0"/>
    <w:pPr>
      <w:widowControl/>
      <w:spacing w:before="480" w:after="0" w:line="276" w:lineRule="auto"/>
      <w:outlineLvl w:val="9"/>
    </w:pPr>
    <w:rPr>
      <w:rFonts w:ascii="Cambria" w:hAnsi="Cambria"/>
      <w:color w:val="365F91"/>
      <w:sz w:val="28"/>
    </w:rPr>
  </w:style>
  <w:style w:type="character" w:customStyle="1" w:styleId="547">
    <w:name w:val="无间隔 Char"/>
    <w:link w:val="548"/>
    <w:qFormat/>
    <w:uiPriority w:val="0"/>
    <w:rPr>
      <w:rFonts w:ascii="Calibri" w:hAnsi="Calibri" w:eastAsia="宋体" w:cs="Times New Roman"/>
      <w:sz w:val="22"/>
      <w:lang w:bidi="ar-SA"/>
    </w:rPr>
  </w:style>
  <w:style w:type="paragraph" w:customStyle="1" w:styleId="548">
    <w:name w:val="无间隔1"/>
    <w:link w:val="547"/>
    <w:qFormat/>
    <w:uiPriority w:val="0"/>
    <w:rPr>
      <w:rFonts w:ascii="Calibri" w:hAnsi="Calibri" w:eastAsia="宋体" w:cs="Times New Roman"/>
      <w:sz w:val="22"/>
      <w:lang w:val="en-US" w:eastAsia="zh-CN" w:bidi="ar-SA"/>
    </w:rPr>
  </w:style>
  <w:style w:type="paragraph" w:customStyle="1" w:styleId="549">
    <w:name w:val="正文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50">
    <w:name w:val="Normal_1"/>
    <w:qFormat/>
    <w:uiPriority w:val="0"/>
    <w:rPr>
      <w:rFonts w:ascii="黑体" w:hAnsi="黑体" w:eastAsia="黑体" w:cs="Times New Roman"/>
      <w:b/>
      <w:sz w:val="32"/>
      <w:szCs w:val="24"/>
      <w:lang w:val="en-US" w:eastAsia="zh-CN" w:bidi="ar-SA"/>
    </w:rPr>
  </w:style>
  <w:style w:type="paragraph" w:customStyle="1" w:styleId="551">
    <w:name w:val="正文_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52">
    <w:name w:val="正文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53">
    <w:name w:val="正文_0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54">
    <w:name w:val="Normal_2"/>
    <w:qFormat/>
    <w:uiPriority w:val="0"/>
    <w:rPr>
      <w:rFonts w:ascii="黑体" w:hAnsi="黑体" w:eastAsia="黑体" w:cs="Times New Roman"/>
      <w:b/>
      <w:sz w:val="32"/>
      <w:szCs w:val="24"/>
      <w:lang w:val="en-US" w:eastAsia="zh-CN" w:bidi="ar-SA"/>
    </w:rPr>
  </w:style>
  <w:style w:type="paragraph" w:customStyle="1" w:styleId="555">
    <w:name w:val="正文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56">
    <w:name w:val="Normal_3"/>
    <w:qFormat/>
    <w:uiPriority w:val="0"/>
    <w:rPr>
      <w:rFonts w:ascii="黑体" w:hAnsi="黑体" w:eastAsia="黑体" w:cs="Times New Roman"/>
      <w:b/>
      <w:sz w:val="32"/>
      <w:szCs w:val="24"/>
      <w:lang w:val="en-US" w:eastAsia="zh-CN" w:bidi="ar-SA"/>
    </w:rPr>
  </w:style>
  <w:style w:type="paragraph" w:customStyle="1" w:styleId="557">
    <w:name w:val="Normal_4"/>
    <w:qFormat/>
    <w:uiPriority w:val="0"/>
    <w:rPr>
      <w:rFonts w:ascii="黑体" w:hAnsi="黑体" w:eastAsia="黑体" w:cs="Times New Roman"/>
      <w:b/>
      <w:sz w:val="32"/>
      <w:szCs w:val="24"/>
      <w:lang w:val="en-US" w:eastAsia="zh-CN" w:bidi="ar-SA"/>
    </w:rPr>
  </w:style>
  <w:style w:type="paragraph" w:customStyle="1" w:styleId="558">
    <w:name w:val="Normal_5"/>
    <w:qFormat/>
    <w:uiPriority w:val="0"/>
    <w:rPr>
      <w:rFonts w:ascii="黑体" w:hAnsi="黑体" w:eastAsia="黑体" w:cs="Times New Roman"/>
      <w:b/>
      <w:sz w:val="32"/>
      <w:szCs w:val="24"/>
      <w:lang w:val="en-US" w:eastAsia="zh-CN" w:bidi="ar-SA"/>
    </w:rPr>
  </w:style>
  <w:style w:type="paragraph" w:customStyle="1" w:styleId="559">
    <w:name w:val="正文_4"/>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60">
    <w:name w:val="Normal_6"/>
    <w:qFormat/>
    <w:uiPriority w:val="0"/>
    <w:rPr>
      <w:rFonts w:ascii="黑体" w:hAnsi="黑体" w:eastAsia="黑体" w:cs="Times New Roman"/>
      <w:b/>
      <w:sz w:val="32"/>
      <w:szCs w:val="24"/>
      <w:lang w:val="en-US" w:eastAsia="zh-CN" w:bidi="ar-SA"/>
    </w:rPr>
  </w:style>
  <w:style w:type="paragraph" w:customStyle="1" w:styleId="561">
    <w:name w:val="正文_5"/>
    <w:qFormat/>
    <w:uiPriority w:val="0"/>
    <w:pPr>
      <w:widowControl w:val="0"/>
      <w:jc w:val="both"/>
    </w:pPr>
    <w:rPr>
      <w:rFonts w:ascii="Times New Roman" w:hAnsi="Times New Roman" w:eastAsia="宋体" w:cs="Times New Roman"/>
      <w:sz w:val="21"/>
      <w:lang w:val="en-US" w:eastAsia="zh-CN" w:bidi="ar-SA"/>
    </w:rPr>
  </w:style>
  <w:style w:type="paragraph" w:customStyle="1" w:styleId="562">
    <w:name w:val="Normal_7"/>
    <w:qFormat/>
    <w:uiPriority w:val="0"/>
    <w:rPr>
      <w:rFonts w:ascii="黑体" w:hAnsi="黑体" w:eastAsia="黑体" w:cs="Times New Roman"/>
      <w:b/>
      <w:sz w:val="32"/>
      <w:szCs w:val="24"/>
      <w:lang w:val="en-US" w:eastAsia="zh-CN" w:bidi="ar-SA"/>
    </w:rPr>
  </w:style>
  <w:style w:type="paragraph" w:customStyle="1" w:styleId="563">
    <w:name w:val="Normal_8"/>
    <w:qFormat/>
    <w:uiPriority w:val="0"/>
    <w:rPr>
      <w:rFonts w:ascii="Times New Roman" w:hAnsi="Times New Roman" w:eastAsia="Times New Roman" w:cs="Times New Roman"/>
      <w:sz w:val="24"/>
      <w:szCs w:val="24"/>
      <w:lang w:val="en-US" w:eastAsia="zh-CN" w:bidi="ar-SA"/>
    </w:rPr>
  </w:style>
  <w:style w:type="paragraph" w:customStyle="1" w:styleId="564">
    <w:name w:val="Normal_9"/>
    <w:qFormat/>
    <w:uiPriority w:val="0"/>
    <w:rPr>
      <w:rFonts w:ascii="黑体" w:hAnsi="黑体" w:eastAsia="黑体" w:cs="Times New Roman"/>
      <w:b/>
      <w:sz w:val="32"/>
      <w:szCs w:val="24"/>
      <w:lang w:val="en-US" w:eastAsia="zh-CN" w:bidi="ar-SA"/>
    </w:rPr>
  </w:style>
  <w:style w:type="paragraph" w:customStyle="1" w:styleId="565">
    <w:name w:val="正文_6"/>
    <w:qFormat/>
    <w:uiPriority w:val="0"/>
    <w:pPr>
      <w:widowControl w:val="0"/>
      <w:jc w:val="both"/>
    </w:pPr>
    <w:rPr>
      <w:rFonts w:ascii="Calibri" w:hAnsi="Calibri" w:eastAsia="宋体" w:cs="Times New Roman"/>
      <w:sz w:val="21"/>
      <w:szCs w:val="22"/>
      <w:lang w:val="en-US" w:eastAsia="zh-CN" w:bidi="ar-SA"/>
    </w:rPr>
  </w:style>
  <w:style w:type="paragraph" w:customStyle="1" w:styleId="566">
    <w:name w:val="Normal_10"/>
    <w:qFormat/>
    <w:uiPriority w:val="0"/>
    <w:rPr>
      <w:rFonts w:ascii="黑体" w:hAnsi="黑体" w:eastAsia="黑体" w:cs="Times New Roman"/>
      <w:b/>
      <w:sz w:val="32"/>
      <w:szCs w:val="24"/>
      <w:lang w:val="en-US" w:eastAsia="zh-CN" w:bidi="ar-SA"/>
    </w:rPr>
  </w:style>
  <w:style w:type="paragraph" w:customStyle="1" w:styleId="567">
    <w:name w:val="正文_7"/>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568">
    <w:name w:val="正文缩进 Char1_0"/>
    <w:link w:val="569"/>
    <w:qFormat/>
    <w:uiPriority w:val="0"/>
    <w:rPr>
      <w:rFonts w:ascii="Times New Roman" w:hAnsi="Times New Roman" w:eastAsia="宋体" w:cs="Times New Roman"/>
      <w:sz w:val="21"/>
      <w:szCs w:val="22"/>
    </w:rPr>
  </w:style>
  <w:style w:type="paragraph" w:customStyle="1" w:styleId="569">
    <w:name w:val="正文缩进_0"/>
    <w:basedOn w:val="567"/>
    <w:link w:val="568"/>
    <w:qFormat/>
    <w:uiPriority w:val="0"/>
    <w:pPr>
      <w:ind w:firstLine="420"/>
    </w:pPr>
    <w:rPr>
      <w:szCs w:val="22"/>
    </w:rPr>
  </w:style>
  <w:style w:type="character" w:customStyle="1" w:styleId="570">
    <w:name w:val="纯文本 Char_0"/>
    <w:link w:val="571"/>
    <w:qFormat/>
    <w:uiPriority w:val="0"/>
    <w:rPr>
      <w:rFonts w:ascii="宋体" w:hAnsi="Courier New" w:eastAsia="宋体" w:cs="Courier New"/>
      <w:sz w:val="21"/>
      <w:szCs w:val="21"/>
    </w:rPr>
  </w:style>
  <w:style w:type="paragraph" w:customStyle="1" w:styleId="571">
    <w:name w:val="纯文本_0"/>
    <w:basedOn w:val="567"/>
    <w:link w:val="570"/>
    <w:qFormat/>
    <w:uiPriority w:val="0"/>
    <w:rPr>
      <w:rFonts w:ascii="宋体" w:hAnsi="Courier New"/>
      <w:szCs w:val="21"/>
    </w:rPr>
  </w:style>
  <w:style w:type="paragraph" w:customStyle="1" w:styleId="572">
    <w:name w:val="Normal_11"/>
    <w:qFormat/>
    <w:uiPriority w:val="0"/>
    <w:rPr>
      <w:rFonts w:ascii="黑体" w:hAnsi="黑体" w:eastAsia="黑体" w:cs="Times New Roman"/>
      <w:b/>
      <w:sz w:val="32"/>
      <w:szCs w:val="24"/>
      <w:lang w:val="en-US" w:eastAsia="zh-CN" w:bidi="ar-SA"/>
    </w:rPr>
  </w:style>
  <w:style w:type="paragraph" w:customStyle="1" w:styleId="573">
    <w:name w:val="正文_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74">
    <w:name w:val="Normal_12"/>
    <w:qFormat/>
    <w:uiPriority w:val="0"/>
    <w:rPr>
      <w:rFonts w:ascii="黑体" w:hAnsi="黑体" w:eastAsia="黑体" w:cs="Times New Roman"/>
      <w:b/>
      <w:sz w:val="32"/>
      <w:szCs w:val="24"/>
      <w:lang w:val="en-US" w:eastAsia="zh-CN" w:bidi="ar-SA"/>
    </w:rPr>
  </w:style>
  <w:style w:type="paragraph" w:customStyle="1" w:styleId="575">
    <w:name w:val="正文_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76">
    <w:name w:val="Normal_13"/>
    <w:qFormat/>
    <w:uiPriority w:val="0"/>
    <w:rPr>
      <w:rFonts w:ascii="黑体" w:hAnsi="黑体" w:eastAsia="黑体" w:cs="Times New Roman"/>
      <w:b/>
      <w:sz w:val="32"/>
      <w:szCs w:val="24"/>
      <w:lang w:val="en-US" w:eastAsia="zh-CN" w:bidi="ar-SA"/>
    </w:rPr>
  </w:style>
  <w:style w:type="paragraph" w:customStyle="1" w:styleId="577">
    <w:name w:val="正文_1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78">
    <w:name w:val="Normal_14"/>
    <w:qFormat/>
    <w:uiPriority w:val="0"/>
    <w:rPr>
      <w:rFonts w:ascii="黑体" w:hAnsi="黑体" w:eastAsia="黑体" w:cs="Times New Roman"/>
      <w:b/>
      <w:sz w:val="32"/>
      <w:szCs w:val="24"/>
      <w:lang w:val="en-US" w:eastAsia="zh-CN" w:bidi="ar-SA"/>
    </w:rPr>
  </w:style>
  <w:style w:type="paragraph" w:customStyle="1" w:styleId="579">
    <w:name w:val="正文_1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0">
    <w:name w:val="Normal_15"/>
    <w:qFormat/>
    <w:uiPriority w:val="0"/>
    <w:rPr>
      <w:rFonts w:ascii="黑体" w:hAnsi="黑体" w:eastAsia="黑体" w:cs="Times New Roman"/>
      <w:b/>
      <w:sz w:val="32"/>
      <w:szCs w:val="24"/>
      <w:lang w:val="en-US" w:eastAsia="zh-CN" w:bidi="ar-SA"/>
    </w:rPr>
  </w:style>
  <w:style w:type="paragraph" w:customStyle="1" w:styleId="581">
    <w:name w:val="正文_12"/>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2">
    <w:name w:val="Normal_16"/>
    <w:qFormat/>
    <w:uiPriority w:val="0"/>
    <w:rPr>
      <w:rFonts w:ascii="黑体" w:hAnsi="黑体" w:eastAsia="黑体" w:cs="Times New Roman"/>
      <w:b/>
      <w:sz w:val="32"/>
      <w:szCs w:val="24"/>
      <w:lang w:val="en-US" w:eastAsia="zh-CN" w:bidi="ar-SA"/>
    </w:rPr>
  </w:style>
  <w:style w:type="paragraph" w:customStyle="1" w:styleId="583">
    <w:name w:val="正文_1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84">
    <w:name w:val="正文_14"/>
    <w:qFormat/>
    <w:uiPriority w:val="0"/>
    <w:pPr>
      <w:widowControl w:val="0"/>
      <w:jc w:val="both"/>
    </w:pPr>
    <w:rPr>
      <w:rFonts w:ascii="Calibri" w:hAnsi="Calibri" w:eastAsia="宋体" w:cs="Times New Roman"/>
      <w:sz w:val="21"/>
      <w:szCs w:val="22"/>
      <w:lang w:val="en-US" w:eastAsia="zh-CN" w:bidi="ar-SA"/>
    </w:rPr>
  </w:style>
  <w:style w:type="paragraph" w:customStyle="1" w:styleId="585">
    <w:name w:val="Normal_17"/>
    <w:qFormat/>
    <w:uiPriority w:val="0"/>
    <w:rPr>
      <w:rFonts w:ascii="黑体" w:hAnsi="黑体" w:eastAsia="黑体" w:cs="Times New Roman"/>
      <w:b/>
      <w:sz w:val="32"/>
      <w:szCs w:val="24"/>
      <w:lang w:val="en-US" w:eastAsia="zh-CN" w:bidi="ar-SA"/>
    </w:rPr>
  </w:style>
  <w:style w:type="paragraph" w:customStyle="1" w:styleId="586">
    <w:name w:val="Normal_18"/>
    <w:qFormat/>
    <w:uiPriority w:val="0"/>
    <w:rPr>
      <w:rFonts w:ascii="黑体" w:hAnsi="黑体" w:eastAsia="黑体" w:cs="Times New Roman"/>
      <w:b/>
      <w:sz w:val="32"/>
      <w:szCs w:val="24"/>
      <w:lang w:val="en-US" w:eastAsia="zh-CN" w:bidi="ar-SA"/>
    </w:rPr>
  </w:style>
  <w:style w:type="paragraph" w:customStyle="1" w:styleId="587">
    <w:name w:val="正文_15"/>
    <w:qFormat/>
    <w:uiPriority w:val="0"/>
    <w:pPr>
      <w:widowControl w:val="0"/>
      <w:jc w:val="both"/>
    </w:pPr>
    <w:rPr>
      <w:rFonts w:ascii="Calibri" w:hAnsi="Calibri" w:eastAsia="宋体" w:cs="Times New Roman"/>
      <w:sz w:val="21"/>
      <w:szCs w:val="22"/>
      <w:lang w:val="en-US" w:eastAsia="zh-CN" w:bidi="ar-SA"/>
    </w:rPr>
  </w:style>
  <w:style w:type="paragraph" w:customStyle="1" w:styleId="588">
    <w:name w:val="Normal_0_0"/>
    <w:qFormat/>
    <w:uiPriority w:val="0"/>
    <w:rPr>
      <w:rFonts w:ascii="黑体" w:hAnsi="黑体" w:eastAsia="黑体" w:cs="Times New Roman"/>
      <w:b/>
      <w:sz w:val="40"/>
      <w:szCs w:val="24"/>
      <w:lang w:val="en-US" w:eastAsia="zh-CN" w:bidi="ar-SA"/>
    </w:rPr>
  </w:style>
  <w:style w:type="paragraph" w:customStyle="1" w:styleId="589">
    <w:name w:val="Normal_1_0"/>
    <w:qFormat/>
    <w:uiPriority w:val="0"/>
    <w:rPr>
      <w:rFonts w:ascii="Times New Roman" w:hAnsi="Times New Roman" w:eastAsia="Times New Roman" w:cs="Times New Roman"/>
      <w:sz w:val="24"/>
      <w:szCs w:val="24"/>
      <w:lang w:val="en-US" w:eastAsia="zh-CN" w:bidi="ar-SA"/>
    </w:rPr>
  </w:style>
  <w:style w:type="paragraph" w:customStyle="1" w:styleId="590">
    <w:name w:val="Normal1"/>
    <w:qFormat/>
    <w:uiPriority w:val="0"/>
    <w:rPr>
      <w:rFonts w:ascii="Times New Roman" w:hAnsi="Times New Roman" w:eastAsia="Times New Roman" w:cs="Times New Roman"/>
      <w:sz w:val="24"/>
      <w:szCs w:val="24"/>
      <w:lang w:val="en-US" w:eastAsia="zh-CN" w:bidi="ar-SA"/>
    </w:rPr>
  </w:style>
  <w:style w:type="paragraph" w:customStyle="1" w:styleId="591">
    <w:name w:val="正文_0_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592">
    <w:name w:val="正文_2"/>
    <w:qFormat/>
    <w:uiPriority w:val="0"/>
    <w:pPr>
      <w:widowControl w:val="0"/>
      <w:jc w:val="both"/>
    </w:pPr>
    <w:rPr>
      <w:rFonts w:ascii="Calibri" w:hAnsi="Calibri" w:eastAsia="宋体" w:cs="Times New Roman"/>
      <w:sz w:val="21"/>
      <w:szCs w:val="22"/>
      <w:lang w:val="en-US" w:eastAsia="zh-CN" w:bidi="ar-SA"/>
    </w:rPr>
  </w:style>
  <w:style w:type="paragraph" w:customStyle="1" w:styleId="593">
    <w:name w:val="Normal_19"/>
    <w:qFormat/>
    <w:uiPriority w:val="0"/>
    <w:rPr>
      <w:rFonts w:ascii="Times New Roman" w:hAnsi="Times New Roman" w:eastAsia="Times New Roman" w:cs="Times New Roman"/>
      <w:sz w:val="24"/>
      <w:szCs w:val="24"/>
      <w:lang w:val="en-US" w:eastAsia="zh-CN" w:bidi="ar-SA"/>
    </w:rPr>
  </w:style>
  <w:style w:type="paragraph" w:customStyle="1" w:styleId="594">
    <w:name w:val="Normal_5_0"/>
    <w:qFormat/>
    <w:uiPriority w:val="0"/>
    <w:rPr>
      <w:rFonts w:ascii="黑体" w:hAnsi="黑体" w:eastAsia="黑体" w:cs="黑体"/>
      <w:b/>
      <w:sz w:val="32"/>
      <w:szCs w:val="24"/>
      <w:lang w:val="en-US" w:eastAsia="zh-CN" w:bidi="ar-SA"/>
    </w:rPr>
  </w:style>
  <w:style w:type="paragraph" w:customStyle="1" w:styleId="595">
    <w:name w:val="Normal_6_0"/>
    <w:qFormat/>
    <w:uiPriority w:val="0"/>
    <w:rPr>
      <w:rFonts w:ascii="黑体" w:hAnsi="黑体" w:eastAsia="黑体" w:cs="黑体"/>
      <w:b/>
      <w:sz w:val="32"/>
      <w:szCs w:val="24"/>
      <w:lang w:val="en-US" w:eastAsia="zh-CN" w:bidi="ar-SA"/>
    </w:rPr>
  </w:style>
  <w:style w:type="paragraph" w:customStyle="1" w:styleId="596">
    <w:name w:val="Normal_10_0"/>
    <w:qFormat/>
    <w:uiPriority w:val="0"/>
    <w:rPr>
      <w:rFonts w:ascii="Times New Roman" w:hAnsi="Times New Roman" w:eastAsia="Times New Roman" w:cs="Times New Roman"/>
      <w:sz w:val="24"/>
      <w:szCs w:val="24"/>
      <w:lang w:val="en-US" w:eastAsia="zh-CN" w:bidi="ar-SA"/>
    </w:rPr>
  </w:style>
  <w:style w:type="paragraph" w:customStyle="1" w:styleId="597">
    <w:name w:val="Normal_11_0"/>
    <w:qFormat/>
    <w:uiPriority w:val="0"/>
    <w:rPr>
      <w:rFonts w:ascii="黑体" w:hAnsi="黑体" w:eastAsia="黑体" w:cs="黑体"/>
      <w:b/>
      <w:sz w:val="32"/>
      <w:szCs w:val="24"/>
      <w:lang w:val="en-US" w:eastAsia="zh-CN" w:bidi="ar-SA"/>
    </w:rPr>
  </w:style>
  <w:style w:type="paragraph" w:customStyle="1" w:styleId="598">
    <w:name w:val="正文_1_1"/>
    <w:qFormat/>
    <w:uiPriority w:val="0"/>
    <w:pPr>
      <w:widowControl w:val="0"/>
      <w:jc w:val="both"/>
    </w:pPr>
    <w:rPr>
      <w:rFonts w:ascii="Calibri" w:hAnsi="Calibri" w:eastAsia="宋体" w:cs="Times New Roman"/>
      <w:sz w:val="21"/>
      <w:szCs w:val="22"/>
      <w:lang w:val="en-US" w:eastAsia="zh-CN" w:bidi="ar-SA"/>
    </w:rPr>
  </w:style>
  <w:style w:type="paragraph" w:customStyle="1" w:styleId="599">
    <w:name w:val="正文_2_0"/>
    <w:qFormat/>
    <w:uiPriority w:val="0"/>
    <w:pPr>
      <w:widowControl w:val="0"/>
      <w:jc w:val="both"/>
    </w:pPr>
    <w:rPr>
      <w:rFonts w:ascii="Calibri" w:hAnsi="Calibri" w:eastAsia="宋体" w:cs="Times New Roman"/>
      <w:sz w:val="21"/>
      <w:szCs w:val="22"/>
      <w:lang w:val="en-US" w:eastAsia="zh-CN" w:bidi="ar-SA"/>
    </w:rPr>
  </w:style>
  <w:style w:type="paragraph" w:customStyle="1" w:styleId="600">
    <w:name w:val="正文_9_0"/>
    <w:qFormat/>
    <w:uiPriority w:val="0"/>
    <w:pPr>
      <w:widowControl w:val="0"/>
      <w:jc w:val="both"/>
    </w:pPr>
    <w:rPr>
      <w:rFonts w:ascii="Calibri" w:hAnsi="Calibri" w:eastAsia="宋体" w:cs="Times New Roman"/>
      <w:sz w:val="21"/>
      <w:szCs w:val="22"/>
      <w:lang w:val="en-US" w:eastAsia="zh-CN" w:bidi="ar-SA"/>
    </w:rPr>
  </w:style>
  <w:style w:type="paragraph" w:customStyle="1" w:styleId="601">
    <w:name w:val="正文_8_1"/>
    <w:qFormat/>
    <w:uiPriority w:val="0"/>
    <w:pPr>
      <w:widowControl w:val="0"/>
      <w:jc w:val="both"/>
    </w:pPr>
    <w:rPr>
      <w:rFonts w:ascii="Calibri" w:hAnsi="Calibri" w:eastAsia="宋体" w:cs="Times New Roman"/>
      <w:sz w:val="21"/>
      <w:szCs w:val="22"/>
      <w:lang w:val="en-US" w:eastAsia="zh-CN" w:bidi="ar-SA"/>
    </w:rPr>
  </w:style>
  <w:style w:type="paragraph" w:customStyle="1" w:styleId="602">
    <w:name w:val="正文_1_0_0_0_0"/>
    <w:qFormat/>
    <w:uiPriority w:val="0"/>
    <w:pPr>
      <w:widowControl w:val="0"/>
      <w:jc w:val="both"/>
    </w:pPr>
    <w:rPr>
      <w:rFonts w:ascii="Times New Roman" w:hAnsi="Times New Roman" w:eastAsia="宋体" w:cs="Times New Roman"/>
      <w:sz w:val="21"/>
      <w:lang w:val="en-US" w:eastAsia="zh-CN" w:bidi="ar-SA"/>
    </w:rPr>
  </w:style>
  <w:style w:type="paragraph" w:customStyle="1" w:styleId="603">
    <w:name w:val="列出段落_2"/>
    <w:basedOn w:val="601"/>
    <w:qFormat/>
    <w:uiPriority w:val="0"/>
    <w:pPr>
      <w:ind w:firstLine="420"/>
    </w:pPr>
  </w:style>
  <w:style w:type="paragraph" w:customStyle="1" w:styleId="604">
    <w:name w:val="正文_8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05">
    <w:name w:val="Normal_16_0"/>
    <w:qFormat/>
    <w:uiPriority w:val="0"/>
    <w:rPr>
      <w:rFonts w:ascii="黑体" w:hAnsi="黑体" w:eastAsia="黑体" w:cs="黑体"/>
      <w:b/>
      <w:sz w:val="32"/>
      <w:szCs w:val="24"/>
      <w:lang w:val="en-US" w:eastAsia="zh-CN" w:bidi="ar-SA"/>
    </w:rPr>
  </w:style>
  <w:style w:type="paragraph" w:customStyle="1" w:styleId="606">
    <w:name w:val="正文_5_0"/>
    <w:qFormat/>
    <w:uiPriority w:val="0"/>
    <w:pPr>
      <w:widowControl w:val="0"/>
      <w:jc w:val="both"/>
    </w:pPr>
    <w:rPr>
      <w:rFonts w:ascii="Calibri" w:hAnsi="Calibri" w:eastAsia="宋体" w:cs="Times New Roman"/>
      <w:sz w:val="21"/>
      <w:szCs w:val="22"/>
      <w:lang w:val="en-US" w:eastAsia="zh-CN" w:bidi="ar-SA"/>
    </w:rPr>
  </w:style>
  <w:style w:type="paragraph" w:customStyle="1" w:styleId="607">
    <w:name w:val="正文_11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08">
    <w:name w:val="Normal_19_0"/>
    <w:qFormat/>
    <w:uiPriority w:val="0"/>
    <w:rPr>
      <w:rFonts w:ascii="黑体" w:hAnsi="黑体" w:eastAsia="黑体" w:cs="黑体"/>
      <w:b/>
      <w:sz w:val="32"/>
      <w:szCs w:val="24"/>
      <w:lang w:val="en-US" w:eastAsia="zh-CN" w:bidi="ar-SA"/>
    </w:rPr>
  </w:style>
  <w:style w:type="paragraph" w:customStyle="1" w:styleId="609">
    <w:name w:val="正文_12_0_0"/>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10">
    <w:name w:val="Normal_20"/>
    <w:qFormat/>
    <w:uiPriority w:val="0"/>
    <w:rPr>
      <w:rFonts w:ascii="黑体" w:hAnsi="黑体" w:eastAsia="黑体" w:cs="黑体"/>
      <w:b/>
      <w:sz w:val="32"/>
      <w:szCs w:val="24"/>
      <w:lang w:val="en-US" w:eastAsia="zh-CN" w:bidi="ar-SA"/>
    </w:rPr>
  </w:style>
  <w:style w:type="paragraph" w:customStyle="1" w:styleId="611">
    <w:name w:val="Normal_21"/>
    <w:qFormat/>
    <w:uiPriority w:val="0"/>
    <w:rPr>
      <w:rFonts w:ascii="黑体" w:hAnsi="黑体" w:eastAsia="黑体" w:cs="黑体"/>
      <w:b/>
      <w:sz w:val="32"/>
      <w:szCs w:val="24"/>
      <w:lang w:val="en-US" w:eastAsia="zh-CN" w:bidi="ar-SA"/>
    </w:rPr>
  </w:style>
  <w:style w:type="paragraph" w:customStyle="1" w:styleId="612">
    <w:name w:val="Normal_0_2"/>
    <w:qFormat/>
    <w:uiPriority w:val="0"/>
    <w:rPr>
      <w:rFonts w:ascii="黑体" w:hAnsi="黑体" w:eastAsia="黑体" w:cs="黑体"/>
      <w:b/>
      <w:sz w:val="32"/>
      <w:szCs w:val="24"/>
      <w:lang w:val="en-US" w:eastAsia="zh-CN" w:bidi="ar-SA"/>
    </w:rPr>
  </w:style>
  <w:style w:type="paragraph" w:customStyle="1" w:styleId="613">
    <w:name w:val="首行缩进"/>
    <w:basedOn w:val="1"/>
    <w:qFormat/>
    <w:uiPriority w:val="0"/>
    <w:pPr>
      <w:ind w:firstLine="480"/>
    </w:pPr>
    <w:rPr>
      <w:rFonts w:eastAsia="宋体"/>
      <w:szCs w:val="20"/>
      <w:lang w:val="zh-CN"/>
    </w:rPr>
  </w:style>
  <w:style w:type="paragraph" w:customStyle="1" w:styleId="614">
    <w:name w:val="列出段落2"/>
    <w:basedOn w:val="1"/>
    <w:qFormat/>
    <w:uiPriority w:val="0"/>
    <w:pPr>
      <w:widowControl/>
    </w:pPr>
    <w:rPr>
      <w:rFonts w:eastAsia="宋体"/>
      <w:szCs w:val="20"/>
      <w:lang w:eastAsia="ar-SA"/>
    </w:rPr>
  </w:style>
  <w:style w:type="character" w:customStyle="1" w:styleId="615">
    <w:name w:val="批注框文本 字符"/>
    <w:basedOn w:val="37"/>
    <w:link w:val="21"/>
    <w:semiHidden/>
    <w:qFormat/>
    <w:uiPriority w:val="99"/>
    <w:rPr>
      <w:rFonts w:eastAsia="Times New Roman"/>
      <w:sz w:val="18"/>
      <w:szCs w:val="18"/>
    </w:rPr>
  </w:style>
  <w:style w:type="character" w:customStyle="1" w:styleId="616">
    <w:name w:val="批注文字 字符"/>
    <w:basedOn w:val="37"/>
    <w:link w:val="13"/>
    <w:semiHidden/>
    <w:qFormat/>
    <w:uiPriority w:val="99"/>
    <w:rPr>
      <w:rFonts w:eastAsia="Times New Roman"/>
      <w:sz w:val="24"/>
      <w:szCs w:val="24"/>
    </w:rPr>
  </w:style>
  <w:style w:type="character" w:customStyle="1" w:styleId="617">
    <w:name w:val="批注主题 字符"/>
    <w:basedOn w:val="616"/>
    <w:link w:val="34"/>
    <w:qFormat/>
    <w:uiPriority w:val="0"/>
    <w:rPr>
      <w:rFonts w:eastAsia="Times New Roman"/>
      <w:sz w:val="24"/>
      <w:szCs w:val="24"/>
    </w:rPr>
  </w:style>
  <w:style w:type="paragraph" w:customStyle="1" w:styleId="618">
    <w:name w:val="WPSOffice手动目录 1"/>
    <w:qFormat/>
    <w:uiPriority w:val="0"/>
    <w:rPr>
      <w:rFonts w:ascii="Times New Roman" w:hAnsi="Times New Roman" w:eastAsia="宋体" w:cs="Times New Roman"/>
      <w:lang w:val="en-US" w:eastAsia="zh-CN" w:bidi="ar-SA"/>
    </w:rPr>
  </w:style>
  <w:style w:type="character" w:customStyle="1" w:styleId="619">
    <w:name w:val="16"/>
    <w:basedOn w:val="37"/>
    <w:qFormat/>
    <w:uiPriority w:val="0"/>
    <w:rPr>
      <w:rFonts w:hint="default" w:ascii="Times New Roman" w:hAnsi="Times New Roman" w:eastAsia="宋体" w:cs="Times New Roman"/>
    </w:rPr>
  </w:style>
  <w:style w:type="character" w:customStyle="1" w:styleId="620">
    <w:name w:val="15"/>
    <w:basedOn w:val="37"/>
    <w:qFormat/>
    <w:uiPriority w:val="0"/>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Company>
  <Pages>88</Pages>
  <Words>19532</Words>
  <Characters>20862</Characters>
  <Lines>1</Lines>
  <Paragraphs>1</Paragraphs>
  <TotalTime>38</TotalTime>
  <ScaleCrop>false</ScaleCrop>
  <LinksUpToDate>false</LinksUpToDate>
  <CharactersWithSpaces>21354</CharactersWithSpaces>
  <Application>WPS Office_12.1.0.22529_F1E327BC-269C-435d-A152-05C5408002CA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2024-08-29T02:47:00Z</dcterms:created>
  <dc:creator>Adminis</dc:creator>
  <cp:lastModifiedBy>相度咨询</cp:lastModifiedBy>
  <cp:lastPrinted>2024-07-04T06:54:00Z</cp:lastPrinted>
  <dcterms:modified xsi:type="dcterms:W3CDTF">2025-09-18T02:59:47Z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8975126B33BA4602A90FF22BDD9E62E1_13</vt:lpwstr>
  </property>
  <property fmtid="{D5CDD505-2E9C-101B-9397-08002B2CF9AE}" pid="4" name="KSOTemplateDocerSaveRecord">
    <vt:lpwstr>eyJoZGlkIjoiZjQzNTkxODEzNWM3MTM0ODc0MDI1YmVmNjA0OGZkM2QiLCJ1c2VySWQiOiIzMDIxMTIwMyJ9</vt:lpwstr>
  </property>
</Properties>
</file>