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highlight w:val="none"/>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84"/>
        </w:rPr>
        <w:t xml:space="preserve">公 开 招 标 文 件</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rPr>
        <w:t xml:space="preserve">（暗标）</w:t>
      </w:r>
      <w:r/>
    </w:p>
    <w:p>
      <w:pPr>
        <w:ind w:left="0" w:right="0" w:firstLine="0"/>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52"/>
          <w:highlight w:val="none"/>
        </w:rPr>
        <w:t xml:space="preserve"> </w:t>
      </w:r>
      <w:r/>
    </w:p>
    <w:p>
      <w:pPr>
        <w:ind w:left="0" w:right="0" w:firstLine="19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项目编号：JSZC-320213-JZCG-G2024-0030</w:t>
      </w:r>
      <w:r/>
    </w:p>
    <w:p>
      <w:pPr>
        <w:ind w:left="3515" w:right="0" w:hanging="160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项目名称：五爱小学石门路分校－智慧教育装备</w:t>
      </w:r>
      <w:r/>
    </w:p>
    <w:p>
      <w:pPr>
        <w:ind w:left="0" w:right="0" w:firstLine="192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 购 人：无锡市五爱小学</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p>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采购代理机构：无锡市公共资源交易中心梁溪分中心</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二○二四年七月</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line="36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rPr>
          <w:rFonts w:ascii="SimHei" w:hAnsi="SimHei" w:eastAsia="SimHei" w:cs="SimHei"/>
          <w:color w:val="000000"/>
          <w:sz w:val="36"/>
        </w:rPr>
        <w:t xml:space="preserve"> 总  目  录</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投标邀请----------------------------------（2）</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投标人须知--------------------------------（5）</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合同文本---------------------------------（17）</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采购需求---------------------------------（32）</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评标方法与评标标准---------------------- （94）</w:t>
      </w:r>
      <w:r/>
    </w:p>
    <w:p>
      <w:pPr>
        <w:numPr>
          <w:ilvl w:val="0"/>
          <w:numId w:val="36"/>
        </w:numPr>
        <w:jc w:val="both"/>
        <w:spacing w:before="0" w:after="0" w:line="170" w:lineRule="atLeast"/>
        <w:tabs>
          <w:tab w:val="left" w:pos="14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投标文件内容与格式-----------------------（100）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第一章  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受无锡市五爱小学的委托，无锡市公共资源交易中心梁溪分中心就五爱小学石门路分校－智慧教育装备（JSZC-320213-JZCG-G2024-0030）进行公开招标采购，欢迎符合条件的供应商投标。</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49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五爱小学石门路分校－智慧教育装备采购项目的潜在投标人应在“无锡政府采购网”“江苏政府采购网”自行浏览招标文件，如有投标意向须在本招标文件有效获取期内通过登录“江苏省政府采购（苏采云）平台”下载的方式依法获取招标文件，并于2024年8月8日09点30分（北京时间）前递交投标文件。</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一、项目基本情况</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1.项目编号：JSZC-320213-JZCG-G2024-0030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2.项目名称：五爱小学石门路分校－智慧教育装备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3.项目预算金额：620万元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4.项目最高限价：620万元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5.采购需求：详见招标文件第四章《采购需求》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6.合同履行期限：详见招标文件第四章《采购需求》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7.采购方式：公开招标（暗标）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8.本项目</w:t>
      </w:r>
      <w:r>
        <w:rPr>
          <w:rFonts w:ascii="SimSun" w:hAnsi="SimSun" w:eastAsia="SimSun" w:cs="SimSun"/>
          <w:b/>
          <w:color w:val="000000"/>
          <w:sz w:val="24"/>
        </w:rPr>
        <w:t xml:space="preserve">不</w:t>
      </w:r>
      <w:r>
        <w:rPr>
          <w:rFonts w:ascii="SimSun" w:hAnsi="SimSun" w:eastAsia="SimSun" w:cs="SimSun"/>
          <w:color w:val="000000"/>
          <w:sz w:val="24"/>
        </w:rPr>
        <w:t xml:space="preserve">接受联合体投标。</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二、申请人的资格要求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2.1中小企业政策：无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三、获取招标文件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1.时间：本招标文件有效获取期限以本项目招标公告中规定的获取招标文件时间为准。</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方式：请有投标意向的供应商在招标文件有效获取期内及时至“江苏省政府采购（苏采云）平台”获取。在招标文件有效获取期限内，从“江苏省政府采购（苏采云）平台”获取的招标文件，视为依法获取的招标文件。</w:t>
      </w:r>
      <w:r/>
    </w:p>
    <w:p>
      <w:pPr>
        <w:ind w:left="0" w:right="0" w:firstLine="54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4.售价：本项目招标文件免费。</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四、提交投标文件截止时间、开标时间和地点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1.时间：2024年8月8日09点30分（北京时间）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2.地点：“江苏省政府采购（苏采云）平台”网上开标大厅。</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五、公告期限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（招标公告及招标文件公告期限）自本公告发布之日起5个工作日。</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六、其他补充事宜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七、本项目联系方式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称：无锡市五爱小学</w:t>
        <w:tab/>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址：无锡市梁溪区人民西路37号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none"/>
        </w:rPr>
        <w:t xml:space="preserve">见“项目联系方式”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称：无锡市公共资源交易中心梁溪分中心</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址：无锡市梁溪区清名路380号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联系方式：见“项目联系方式”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采购人项目咨询联系人：江洋；电话：13951588180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采购人质疑受理联系人：江洋；电话：13951588180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交易中心项目咨询联系人：王湉湉；电话：0510-85058802</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八、其他</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（一）供应商“账号注册”及CA办理</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1.请有意参加本项目采购活动的供应商按以下流程进行操作：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访问“无锡政府采购网”点击“江苏省政府采购（苏采云）平台”（以下简称“苏采云”系统）选择供应商版块，点击“用户注册”按钮，进行账号注册，注册完成后需在系统中填写资质信息并提交。也可以直接通过http://jszfcg.jsczt.cn/进入界面。</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（2）办理“意源”CA数字证书和“方正”电子签章（办理地址：无锡市滨湖区观山路199号12号楼二楼9号、10号窗口），办理指南链接：http://jsxcmm.com/help/help.html。</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（3）CA驱动下载：</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在“苏</w:t>
      </w:r>
      <w:r>
        <w:rPr>
          <w:rFonts w:ascii="SimSun" w:hAnsi="SimSun" w:eastAsia="SimSun" w:cs="SimSun"/>
          <w:b/>
          <w:color w:val="000000"/>
          <w:sz w:val="24"/>
        </w:rPr>
        <w:t xml:space="preserve">采云</w:t>
      </w:r>
      <w:r>
        <w:rPr>
          <w:rFonts w:ascii="SimSun" w:hAnsi="SimSun" w:eastAsia="SimSun" w:cs="SimSun"/>
          <w:color w:val="000000"/>
          <w:sz w:val="24"/>
        </w:rPr>
        <w:t xml:space="preserve">”系统账号登录页面，点击“驱动下载”链接中的“政务CA、方正签章控件驱动安装包及安装说明”可以直接下载驱动安装包，安装包中附有驱动安装手册。</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技术服务电话：0510-81827781（服务时间：工作日9:00-11:30,13:00-17:00）</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2.完成“苏采云”系统账号注册的供应商方可在“苏采云”系统中进行CA绑定。登录“苏采云”系统，插入CA后，点击【账号设置】——【绑定CA】。</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3.供应商应按上述要求提供相关材料信息，所提供的材料应均是真实的、准确的，若有违背，供应商自行承担由此而产生的一切后果。</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如供应商未按上述要求操作，由此所产生的损失及风险由供应商自行承担。具体操作步骤详见《“苏采云”系统供应商操作手册》（以下简称《操作手册》），下载地址：无锡市政府采购网——资料下载——苏采云——</w:t>
      </w:r>
      <w:hyperlink r:id="rId13" w:tooltip="http://cz.wuxi.gov.cn/doc/2023/10/11/4080287.shtml" w:history="1">
        <w:r>
          <w:rPr>
            <w:rStyle w:val="986"/>
            <w:rFonts w:ascii="SimSun" w:hAnsi="SimSun" w:eastAsia="SimSun" w:cs="SimSun"/>
            <w:color w:val="000000"/>
            <w:sz w:val="24"/>
            <w:u w:val="single"/>
          </w:rPr>
          <w:t xml:space="preserve">“苏采云”系统供应商操作手册</w:t>
        </w:r>
      </w:hyperlink>
      <w:r>
        <w:rPr>
          <w:rFonts w:ascii="SimSun" w:hAnsi="SimSun" w:eastAsia="SimSun" w:cs="SimSun"/>
          <w:color w:val="000000"/>
          <w:sz w:val="24"/>
        </w:rPr>
        <w:t xml:space="preserve">。</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技术支持QQ：孙先生：442456465；王先生：1476328133。</w:t>
      </w:r>
      <w:r/>
    </w:p>
    <w:p>
      <w:pPr>
        <w:ind w:left="0" w:right="0" w:firstLine="480"/>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（二）完成项目参与，获取招标文件</w:t>
      </w:r>
      <w:r/>
    </w:p>
    <w:p>
      <w:pPr>
        <w:ind w:left="0" w:right="0" w:firstLine="480"/>
        <w:jc w:val="both"/>
        <w:spacing w:before="0" w:after="0" w:line="49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项目招标公告附件中查看公开招标文件，如确定参加本次采购活动，必须在招标文件提供期限内从“苏采云”系统中下载文件（“项目参与”——“采购项目参与”找到需要获取招标文件的项目，点击“我要参与”——“参与投标”——“下载文件”），完成项目参与，将“苏采云”系统中下载的招标文件（后缀名为“.kedt”）导入到“政府采购客户端”，离线按要求编制并加密投标文件（使用“CA数字证书”），导出加密的投标文件（后缀名为zip，不得超过150M）并在“苏采云”系统上传该加密的投标文件，对招标文件各项内容做出实质性响应</w:t>
      </w:r>
      <w:r>
        <w:rPr>
          <w:rFonts w:ascii="SimSun" w:hAnsi="SimSun" w:eastAsia="SimSun" w:cs="SimSun"/>
          <w:color w:val="000000"/>
          <w:sz w:val="24"/>
        </w:rPr>
        <w:t xml:space="preserve">，否则其投标文件无效。</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（三）有关本次采购的事项若存在变动或修改，敬请及时关注无锡市公共资源交易中心梁溪分中心在“无锡政府采购网”“江苏政府采购网”发布的更正公告。</w:t>
      </w:r>
      <w:r/>
    </w:p>
    <w:p>
      <w:pPr>
        <w:ind w:left="0" w:right="0" w:firstLine="480"/>
        <w:jc w:val="both"/>
        <w:spacing w:before="0" w:after="0" w:line="49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（四）本次采购不收取投标保证金。</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t xml:space="preserve"> </w:t>
      </w:r>
      <w:r/>
    </w:p>
    <w:p>
      <w:pPr>
        <w:ind w:left="0" w:right="0" w:firstLine="0"/>
        <w:jc w:val="center"/>
        <w:spacing w:before="0" w:after="0" w:line="499"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u w:val="none"/>
        </w:rPr>
        <w:t xml:space="preserve">第二章</w:t>
      </w:r>
      <w:r>
        <w:rPr>
          <w:rFonts w:ascii="SimHei" w:hAnsi="SimHei" w:eastAsia="SimHei" w:cs="SimHei"/>
          <w:color w:val="000000"/>
          <w:sz w:val="36"/>
        </w:rPr>
        <w:t xml:space="preserve">  投标人须知</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一、总则</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1.招标方式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1.1本次招标采取公开招标方式，本招标文件仅适用于招标公告中所述项目。</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2.采购人、采购代理机构、投标人、联合体</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2.1采购人、采购代理机构：指依法进行政府采购的国家机关、事业单位、团体组织，及其委托的采购代理机构。本项目采购人、采购代理机构见第一章《投标邀请》。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2.2投标人（也称“供应商”“申请人”）：是指响应招标、参加投标竞争的法人、其他组织或者自然人。合格的投标人应满足招标公告中供应商的资格要求以及本文件实质性要求和条件的规定。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3.适用法律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本次招标及由此产生的合同受中华人民共和国有关的法律法规制约和保护。</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4.投标费用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4.1投标人应自行承担所有与参加投标有关的费用，无论投标过程中的做法和结果如何，无锡市公共资源交易中心梁溪分中心（以下简称交易中心）在任何情况下均无义务和责任承担这些费用。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4.2本次招标标书工本费、中标服务费、招标文件均免费。</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5.招标文件的约束力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5.1投标人一旦参加本项目采购活动，即被认为接受了本招标文件的规定和约束。</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二、招标文件</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6.招标文件构成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6.1招标文件由以下部分组成：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（1）投标邀请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（2）投标人须知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（5）评标方法与评标标准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（6）投标文件内容与格式</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请仔细检查招标文件是否齐全，如有缺漏请立即与交易中心联系解决。</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投标人应认真阅读招标文件中所有的事项、格式、条款和规范等要求。按招标文件要求和规定编制投标文件，并保证所提供的全部资料的真实性，以使其投标文件对招标文件做出实质性响应，否则其风险由投标人自行承担。</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7.招标文件的澄清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交易中心根据采购人要求将于以下时间、地点公开组织召开开标前答疑会。投标人如有需要对招标文件要求澄清的问题，请于答疑会前按招标公告或招标文件中的联系方式以书面形式通知交易中心，或可于答疑会时将其带至现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答疑会时间：2024年7月22日10:30</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答疑会地点：无锡市公共资源交易中心梁溪分中心开标一室（清名路380号6楼）</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8.招标文件的修改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8.1交易中心可在投标截止时间十五日前对招标文件进行必要的澄清或者修改，不足十五日的，将顺延提交投标文件的截止时间和开标日期。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如需对招标文件进行澄清或修改，交易中心将在无锡政府采购网、江苏政府采购网发布更正公告，澄清或修改的内容为招标文件的组成部分，并对投标人具有约束力。投标人应在投标截止时间前登录“苏采云”系统或关注原招标公告媒体上发布的更正公告。因投标人未尽注意义务，未及时更新上传投标文件或未全面地关注更正公告导致其提交的投标材料不符合本项目相关招标要求，而造成的损失及风险（包括但不限于未中标）由投标人自行承担。</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三、投标文件的编制</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9.投标文件的语言及度量衡单位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9.1投标人提交的投标文件以及投标人与交易中心就有关投标的所有来往通知、函件和文件均应使用简体中文（规格、型号辅助符号例外）。</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9.2除技术性能另有规定外，投标文件所使用的度量衡单位，均须采用国家法定计量单位。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9.3投标文件由投标人按给定格式如实填写（编写），须有法人（盖章）、法定代表人或法定代表人授权代表签字或盖章，方为有效，未尽事宜可自行补充。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9.4如无特别说明，投标人报价一律以人民币为投标结算货币，结算单位为“元”。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9.5投标文件格式部分，应由投标人按给定格式提供，不得更改。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9.6.投标人在制作电子投标文件时，请正确关联到对应页，在评审过程中，评审专家如因在相对应页面找不到该相关联的文件，由此产生的后果由投标人自行承担。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9.7投标费用自理。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9.8在评分标准中除了投标报价外，还须包含明标（产品和材料及质量检测报告、投标人综合实力）和暗标（技术方案）两大部分，其暗标编制要求如下：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（1）暗标编制应按采购文件规定的格式制作，要求版面整洁、字迹清楚、不得涂改、不得标注。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暗标中封面、封底及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3）字体、段落、页码、页面布局的设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字体：一级标题为宋体黑色二号字，其余正文均采用宋体黑色小四号字体，不得出现手写。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段落：使用1.5倍行间距、字间距标准、每段段前空两格。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页码：页码应当连续居中，不得有空白页。不得设置页眉，页脚只准出现页码，采用黑色小5号阿拉伯数字格式，设在页脚对中位置。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页面布局：纸张方向纵向、页面底色白色，分栏为一栏。</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10.投标文件构成</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10.2投标人所须提供的相关证明文件和要求以及投标文件的部分格式要求，详见第六章《投标文件内容与格式》。</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10.3如标书制作工具中格式和内容与招标文件不一致的，请以招标文件为准。</w:t>
      </w:r>
      <w:r>
        <w:rPr>
          <w:rFonts w:ascii="SimSun" w:hAnsi="SimSun" w:eastAsia="SimSun" w:cs="SimSun"/>
          <w:b/>
          <w:color w:val="000000"/>
          <w:sz w:val="24"/>
          <w:u w:val="single"/>
        </w:rPr>
        <w:t xml:space="preserve">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不得有体现投标人身份的内容是指：</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10.4.1技术部分不得出现能够体现投标人身份、名称的相关描述、材料、文件等内容；</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10.4.2技术部分不得更改，不得在其中涂改、标注或做任何可以辨认投标人及所属人员身份的名称、印章、商标等标记；</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10.4.3技术部分应当版面整洁、字迹清楚、不许批注或进行底纹、阴影、水印等特殊设置，不得采用任何不符合常规、有别于其他投标人的特殊做法；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10.4.4不得有其他体现投标人身份的内容。</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11.证明投标人及投标标的符合招标文件规定的文件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11.1投标人应按照法律、法规、规章和规范性文件以及招标文件要求提交证明文件，证明其及投标标的符合招标文件规定。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11.2招标文件对证明文件无明确形式要求的，证明文件可以以文字资料、图纸和数据等形式提交。</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12.投标函、承诺书和开标一览表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12.1投标人应按照招标文件中提供的格式完整、正确填写投标函、承诺书和开标一览表。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12.2对于采用货币报价的项目，开标一览表中的投标总报价应与分项报价表的总额一致，如不一致，不作为无效投标处理，但评标时按开标一览表中价格为准。</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13.分项报价表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13.1投标人应按照招标文件规定格式填报分项报价表。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13.2投标货币。投标文件中的单价和总价无特殊规定的采用人民币报价，以“元”为单位标注。招标文件中另有规定的按规定执行。</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14.投标偏离表</w:t>
      </w:r>
      <w:r/>
    </w:p>
    <w:p>
      <w:pPr>
        <w:ind w:left="0" w:right="0" w:firstLine="480"/>
        <w:jc w:val="both"/>
        <w:spacing w:before="0" w:after="0" w:line="49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14.1投标人可在投标文件中提供认为需要的其他技术文件或说明。</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15.投标有效期</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15.1投标有效期为招标文件规定的开标之日后九十（90）天。投标有效期比规定短的将被视为未实质性响应招标文件而予以拒绝。</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16.投标有效期的延长</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四、投标文件的递交</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17.投标文件的递交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17.1电子投标文件的递交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投标人应当按照《操作手册》规定，在投标截止时间前制作并上传电子投标文件。</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18.投标截止时间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18.1投标人上传电子投标文件的时间不得迟于招标公告中规定的投标截止时间。</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18.2交易中心可以按照规定，通过更正公告修改投标截止时间，投标人的所有权利和义务以及投标人受制的截止时间均应以延长后新的截止时间为准。</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19.投标文件的拒收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19.1交易中心拒绝接收在其规定的投标截止时间后上传的任何投标文件。</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20.投标文件的撤回和修改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21.1.1电子投标文件的撤回</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21.1.2投标人撤回电子投标文件，则认为其不再参与本项目投标活动。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20.2投标文件的修改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20.2.1投标人可在投标截止时间前，对其电子投标文件进行修改，具体操作方法见《操作手册》。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20.2.2在投标截止时间之后，投标人不得对其电子投标文件作任何修改。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20.3在投标截止时间至招标文件中规定的投标有效期满之间的这段时间内，投标人不得撤回其投标。</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五、开标与评标</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21.开标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21.2开标仪式由交易中心组织。“苏采云”系统将自动对项目进行开标，并宣布各投标人名称和投标价格。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21.3投标人在开标过程中涉及到的投标文件解密、开标结果确认等工作，应按照《操作手册》规定执行。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21.4投标人如果对开标过程和开标记录有疑义，应当根据《操作手册》规定提出，如“苏采云”系统中《开标记录表》宣布后5分钟内未提出的，视同认可开标结果。</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22.评标委员会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22.1开标后，交易中心将立即组织评标委员会（以下简称评委会）进行评标。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22.2评委会依法组建，且人员构成符合政府采购有关规定。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22.3评委会独立工作，负责评审所有投标文件并确定中标候选人。</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23.评标过程的保密与公正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23.1凡是与审查、澄清、评价和比较投标的有关资料以及授标建议等，采购人、评委、交易中心均不得向投标人或与评标无关的其他人员透露。</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23.2在评标过程中，投标人不得以任何行为影响评标过程，否则其投标文件将被作为无效投标文件。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23.3交易中心和评标委员会不向未中标的投标人解释未中标原因，也不公布评标过程中的相关细节。</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23.4采用综合评分法的项目，未中标的投标人可于中标结果公告发布后通过“苏采云”系统查看自己的评审得分及排序情况。</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24.投标文件的澄清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24.1评标期间，评委会对投标文件中含义不明确、同类问题表述不一致或者有明显文字和计算错误的内容，有权要求投标人做出必要的澄清、说明或者补正。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24.3接到评委会澄清、说明和补正要求的投标人如未按规定及时做出澄清、说明和补正，其风险由投标人自行承担。</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25.对投标文件的初审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25.1投标文件初审分为资格审查和符合性审查。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25.1.1资格审查：依据法律法规和招标文件的规定，由采购人对投标文件中的资格证明文件进行审查。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采购人在进行资格审查的同时，将通过“信用中国”网站（</w:t>
      </w:r>
      <w:hyperlink r:id="rId14" w:tooltip="http://www.creditchina.gov.cn" w:history="1">
        <w:r>
          <w:rPr>
            <w:rStyle w:val="986"/>
            <w:rFonts w:ascii="SimSun" w:hAnsi="SimSun" w:eastAsia="SimSun" w:cs="SimSun"/>
            <w:color w:val="000000"/>
            <w:sz w:val="24"/>
            <w:u w:val="none"/>
          </w:rPr>
          <w:t xml:space="preserve">www.creditchina.gov.cn</w:t>
        </w:r>
      </w:hyperlink>
      <w:r>
        <w:rPr>
          <w:rFonts w:ascii="SimSun" w:hAnsi="SimSun" w:eastAsia="SimSun" w:cs="SimSun"/>
          <w:color w:val="000000"/>
          <w:sz w:val="24"/>
        </w:rPr>
        <w:t xml:space="preserve">）、中国政府采购网（www.ccgp.gov.cn）查询投标供应商在投标截止时间之前，是否被列入失信被执行人、重大税收违法案件当事人名单、政府采购严重违法失信行为记录名单，以确定投标供应商是否具备投标资格。查询结果留存并归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25.1.2符合性审查：依据招标文件的规定，由评委会从投标文件的有效性、完整性和对招标文件的响应程度进行审查，以确定是否对招标文件的实质性要求做出响应。</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25.1.3未通过资格审查或符合性审查的投标人，将在“苏采云”系统中告知未通过资格审查或符合性审查的原因，评标结束后，将不再告知未通过资格审查和符合性审查的原因。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25.3如果投标文件实质上没有响应招标文件的要求，评委会将予以拒绝，其投标文件无效，投标人不得通过修改或撤销不合要求的偏离或保留而使其投标成为实质性响应的投标。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25.4评委会将对确定为实质性响应的投标进行进一步审核，确定其是否有计算上或累加上的算术错误，修正错误的原则如下：</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（1）投标文件中开标一览表内容与投标文件中相应内容不一致的，以开标一览表为准。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（2）大写金额和小写金额不一致的，以大写金额为准。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（3）单价金额小数点或者百分比有明显错位的，以开标一览表的总价为准，并修改单价。</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（4）总价金额与按单价汇总金额不一致的，以单价金额计算结果为准。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25.5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25.6投标人在开、评标全过程中应保持通讯畅通，及时登录“苏采云”系统查阅、答复相关信息，并安排专人随时接受与代理机构及评标委员会的相关询问。</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26.无效投标条款和废标条款</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26.1无效投标条款</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26.1.1未按《“苏采云”系统供应商操作手册》进行正确操作的。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26.1.2投标人在“苏采云”系统规定的时间内未成功解密电子投标文件的。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26.1.3投标人未按照招标文件要求上传电子投标文件、电子投标文件未按规定期限投标的，纸质投标文件（如有）未按规定的期限、地点送达的。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26.1.4投标人的电子投标文件未按招标文件要求签章的。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26.1.5投标人的被授权代表无授权委托书或授权委托日期晚于投标截止日期的。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26.1.6投标人不具备招标文件中规定的资格要求或未按招标文件规定的要求提供资格证明文件的。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26.1.7同一投标人提交两套（含两套）以上不同的投标报价的。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26.1.8投标人被“信用中国”网站（</w:t>
      </w:r>
      <w:hyperlink r:id="rId15" w:tooltip="http://www.creditchina.gov.cn" w:history="1">
        <w:r>
          <w:rPr>
            <w:rStyle w:val="986"/>
            <w:rFonts w:ascii="SimSun" w:hAnsi="SimSun" w:eastAsia="SimSun" w:cs="SimSun"/>
            <w:color w:val="000000"/>
            <w:sz w:val="24"/>
            <w:u w:val="single"/>
          </w:rPr>
          <w:t xml:space="preserve">www.creditchina.gov.cn</w:t>
        </w:r>
      </w:hyperlink>
      <w:r>
        <w:rPr>
          <w:rFonts w:ascii="SimSun" w:hAnsi="SimSun" w:eastAsia="SimSun" w:cs="SimSun"/>
          <w:color w:val="000000"/>
          <w:sz w:val="24"/>
        </w:rPr>
        <w:t xml:space="preserve">）、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26.1.9投标文件未按招标文件规定的内容和要求填写的。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26.1.10投标人的项目（标项、标段、分包）投标总价超过本项目（标项、标段、分包）预算或最高限价的。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26.1.11未通过符合性审查的。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26.1.12投标文件含有采购人不能接受的附加条件的。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26.1.13电子投标文件图片、字迹模糊不清、无法辨认导致无法评审的。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26.1.14投标文件中有招标文件未允许提供的选择性内容。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26.1.15不同投标人委托同一单位或者个人办理投标事宜的。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26.1.16不同投标人的单位负责人为同一人或者存在直接控股、管理关系的。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26.1.17不同投标人的投标文件的装订形式、纸张情况、目录序号、排版格式、文字风格等存在明显的相似性或一致性，特征显示由同一单位或者同一个人编制的。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26.1.18不同投标人投标文件内容存在非正常一致、项目组成员出现同一人、投标文件中错误（或异常）一致或雷同、电子文档信息一致或雷同的、投标报价呈规律性差异的。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26.1.20提供虚假材料的（包括工商营业执照、财务报表、资格证明文件等）。</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26.1.21除单一来源采购项目外，为采购项目提供整体设计、规范编制或者项目管理、监理、检测等服务的。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26.1.22评标委员会认定投标人的报价明显低于其他通过符合性审查投标人的报价，有可能影响产品质量或者不能诚信履约，且投标人不能应评标委员会要求通过“苏采云”系统（或在评标现场）给定的合理时间内提供说明（必要时评标委员会可要求投标人提交相关证明材料）证明其报价合理性的，评标委员会应当将其作为无效投标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26.1.23投标文件内容不全或不符合招标文件中规定的其它实质性要求和条件的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26.1.24其他法律、法规及本招标文件规定的属无效投标的情形。</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26.2废标条款</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26.2.1符合专业条件的供应商或者对招标文件作实质响应的供应商不足三家的。26.2.2出现影响采购公正的违法、违规行为的。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26.2.3因重大变故，采购任务取消的。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26.2.4评标委员会认定招标文件存在歧义、重大缺陷导致评审工作无法进行。</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26.2.5 因“苏采云”系统故障原因造成开标不成功的；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26.2.6投标人的报价均超过采购预算，采购人不能支付的。</w:t>
      </w:r>
      <w:r/>
    </w:p>
    <w:p>
      <w:pPr>
        <w:ind w:left="479"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 投标截止时间结束后参加投标的供应商不足三家的处理：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26.3.1如出现投标截止时间结束后参加投标的供应商或者在评标期间对招标文件做出实质响应的供应商不足三家情况，按政府采购相关规定执行。</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none"/>
        </w:rPr>
        <w:t xml:space="preserve">六、</w:t>
      </w:r>
      <w:r>
        <w:rPr>
          <w:rFonts w:ascii="SimSun" w:hAnsi="SimSun" w:eastAsia="SimSun" w:cs="SimSun"/>
          <w:b/>
          <w:color w:val="000000"/>
          <w:sz w:val="30"/>
        </w:rPr>
        <w:t xml:space="preserve">定标</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27、确定中标单位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27.1评标委员会根据招标文件规定的评标方法和评标标准进行评审，按招标文件的要求依法选取中标候选人，中标候选人的选取原则和数量见招标文件第五章规定。</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27.2采购人应根据评委会推荐的中标候选人确定中标人。联合体中标的，联合体各方应当共同与采购人签订合同，就中标项目向采购人承担连带责任。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27.3交易中心将在“无锡政府采购网”“江苏政府采购网”发布中标公告，公告期限为1个工作日。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27.4中标无效的确认</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27.4.1提供虚假材料谋取中标的。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27.4.2向采购人、交易中心行贿或者提供其他不正当利益的。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27.4.3属于本文件规定的无效投标文件条件的，但在评标过程中又未被评委会发现的。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27.4.4与采购人或者其他供应商恶意串通的。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27.4.5采取不正当手段诋毁、排挤其他供应商的。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27.4.6</w:t>
      </w:r>
      <w:r>
        <w:rPr>
          <w:rFonts w:ascii="SimSun" w:hAnsi="SimSun" w:eastAsia="SimSun" w:cs="SimSun"/>
          <w:color w:val="000000"/>
          <w:sz w:val="24"/>
        </w:rPr>
        <w:t xml:space="preserve">在招标过程中与采购人进行协商谈判、不按照招标文件和中标供应商的投标文件订立合同，或者与采购人另行订立背离合同实质性内容的协议的；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27.4.7拒绝有关部门监督检查或者提供虚假情况的。</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 有下列情形之一的，视为投标人串通投标，投标无效：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27.5.1不同投标人的投标文件由同一单位或者个人编制。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27.5.2不同投标人委托同一单位或者个人办理投标事宜。</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27.5.3 不同投标人的投标文件载明的项目管理成员或者联系人员为同一人。</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27.5.4不同投标人的投标文件异常一致或者投标报价呈规律性差异。</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28.质疑处理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28.1提出质疑的供应商应当是参与所质疑项目采购活动的供应商。潜在供应商依法获取其可质疑的采购文件的，可以对采购文件提出质疑。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28.2.1对可以质疑的采购文件提出质疑的，为收到采购文件之日或者采购文件公告期限届满之日；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28.2.2对采购过程提出质疑的，为各采购程序环节结束之日；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28.2.3对中标或者成交结果提出质疑的，为中标或者成交结果公告期限届满之日。</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采购人、交易中心只接收以纸质原件形式送达的质疑，质疑供应商可通过面交或邮寄方式送达（采购人和交易中心不接受未填写快递运单的快件）。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采购人、交易中心联系人、联系方式、通信地址见招标文件第一章。</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28.5以下情形的质疑不予受理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28.5.1内容不符合《政府采购质疑和投诉办法》第十二条规定的质疑。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28.5.2超出政府采购法定期限的质疑。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28.5.3以传真、电子邮件等方式递交的非原件形式的质疑。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28.5.4未参加投标活动的供应商或在投标活动中自身权益未受到损害的供应商所提出的质疑。</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28.5.5供应商组成联合体参加投标，联合体中任何一方或多方未按要求签字、盖章、加盖公章的质疑。</w:t>
      </w:r>
      <w:r/>
    </w:p>
    <w:p>
      <w:pPr>
        <w:ind w:left="0" w:right="0" w:firstLine="468"/>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29.中标通知书</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l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825"/>
        <w:ind w:left="0" w:right="0" w:firstLine="45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七、授予合同</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30.签订合同</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人的投标文件及招标过程中有关澄清、承诺文件均应作为合同附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30.2中标人非因不可抗力未履行招、投标文件和合同规定的义务，一经查实，交易中心将根据具体情况提请政府采购管理部门做出相应处理。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31. 货物（包含与货物相关的服务）的追加</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p>
    <w:p>
      <w:pPr>
        <w:pStyle w:val="826"/>
        <w:ind w:left="0" w:right="0" w:firstLine="422"/>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第三章  合同文本</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以下为中标后签订本项目合同的通用条款，中标人不得提出实质性的修改。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政府采购货物买卖合同</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KaiTi" w:hAnsi="KaiTi" w:eastAsia="KaiTi" w:cs="KaiTi"/>
          <w:b/>
          <w:color w:val="000000"/>
          <w:spacing w:val="-20"/>
          <w:sz w:val="48"/>
        </w:rPr>
        <w:t xml:space="preserve">（试行）</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40"/>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项目名称：</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合同编号：</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甲</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方：</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乙</w:t>
      </w:r>
      <w:r>
        <w:rPr>
          <w:rFonts w:ascii="Times New Roman" w:hAnsi="Times New Roman" w:eastAsia="Times New Roman" w:cs="Times New Roman"/>
          <w:color w:val="000000"/>
          <w:sz w:val="32"/>
        </w:rPr>
        <w:t xml:space="preserve">    </w:t>
      </w:r>
      <w:r>
        <w:rPr>
          <w:rFonts w:ascii="SimSun" w:hAnsi="SimSun" w:eastAsia="SimSun" w:cs="SimSun"/>
          <w:color w:val="000000"/>
          <w:sz w:val="32"/>
        </w:rPr>
        <w:t xml:space="preserve">方：</w:t>
      </w:r>
      <w:r>
        <w:rPr>
          <w:rFonts w:ascii="Times New Roman" w:hAnsi="Times New Roman" w:eastAsia="Times New Roman" w:cs="Times New Roman"/>
          <w:color w:val="000000"/>
          <w:sz w:val="32"/>
          <w:u w:val="single"/>
        </w:rPr>
        <w:t xml:space="preserve">                             </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签订时间：</w:t>
      </w:r>
      <w:r>
        <w:rPr>
          <w:rFonts w:ascii="Times New Roman" w:hAnsi="Times New Roman" w:eastAsia="Times New Roman" w:cs="Times New Roman"/>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使</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用</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说</w:t>
      </w:r>
      <w:r>
        <w:rPr>
          <w:rFonts w:ascii="Times New Roman" w:hAnsi="Times New Roman" w:eastAsia="Times New Roman" w:cs="Times New Roman"/>
          <w:color w:val="000000"/>
          <w:sz w:val="44"/>
        </w:rPr>
        <w:t xml:space="preserve"> </w:t>
      </w:r>
      <w:r>
        <w:rPr>
          <w:rFonts w:ascii="SimHei" w:hAnsi="SimHei" w:eastAsia="SimHei" w:cs="SimHei"/>
          <w:color w:val="000000"/>
          <w:sz w:val="44"/>
        </w:rPr>
        <w:t xml:space="preserve">明</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 </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1.本合同标准文本适用于购买现成货物的采购项目，不包括需要供应商定制开发、创新研发的货物采购项目。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rPr>
          <w:rFonts w:ascii="FangSong" w:hAnsi="FangSong" w:eastAsia="FangSong" w:cs="FangSong"/>
          <w:color w:val="000000"/>
          <w:sz w:val="32"/>
        </w:rPr>
        <w:t xml:space="preserve">2.本合同标准文本为政府采购货物买卖合同编制提供参考，可以结合采购项目具体情况，对文本作必要的调整修订后使用。</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2"/>
        </w:rPr>
        <w:t xml:space="preserve">3.本合同标准文本各条款中，如涉及填写多家供应商、制造商，多种采购标的、分包主要内容等信息的，可根据采购项目具体情况添加信息项。</w:t>
      </w:r>
      <w:r/>
    </w:p>
    <w:p>
      <w:pPr>
        <w:pStyle w:val="82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0"/>
        </w:rPr>
        <w:t xml:space="preserve"> </w:t>
      </w:r>
      <w:r/>
    </w:p>
    <w:p>
      <w:pPr>
        <w:pStyle w:val="82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第一节 政府采购合同协议书</w:t>
      </w:r>
      <w:r/>
    </w:p>
    <w:p>
      <w:pPr>
        <w:pStyle w:val="82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甲方（全称）：</w:t>
      </w:r>
      <w:r>
        <w:rPr>
          <w:rFonts w:ascii="SimSun" w:hAnsi="SimSun" w:eastAsia="SimSun" w:cs="SimSun"/>
          <w:color w:val="000000"/>
          <w:sz w:val="21"/>
          <w:u w:val="single"/>
        </w:rPr>
        <w:t xml:space="preserve">                        </w:t>
      </w:r>
      <w:r>
        <w:rPr>
          <w:rFonts w:ascii="SimSun" w:hAnsi="SimSun" w:eastAsia="SimSun" w:cs="SimSun"/>
          <w:color w:val="000000"/>
          <w:sz w:val="21"/>
        </w:rPr>
        <w:t xml:space="preserve">（采购人、受采购人委托签订合同的单位或采购</w:t>
        <w:tab/>
        <w:t xml:space="preserve">                                   文件约定的合同甲方）</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乙方1（全称）：</w:t>
      </w:r>
      <w:r>
        <w:rPr>
          <w:rFonts w:ascii="SimSun" w:hAnsi="SimSun" w:eastAsia="SimSun" w:cs="SimSun"/>
          <w:color w:val="000000"/>
          <w:sz w:val="21"/>
          <w:u w:val="single"/>
        </w:rPr>
        <w:t xml:space="preserve">                       </w:t>
      </w:r>
      <w:r>
        <w:rPr>
          <w:rFonts w:ascii="SimSun" w:hAnsi="SimSun" w:eastAsia="SimSun" w:cs="SimSun"/>
          <w:color w:val="000000"/>
          <w:sz w:val="21"/>
        </w:rPr>
        <w:t xml:space="preserve">（供应商）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乙方2（全称）：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乙方3（全称）</w:t>
      </w:r>
      <w:r>
        <w:rPr>
          <w:rFonts w:ascii="SimSun" w:hAnsi="SimSun" w:eastAsia="SimSun" w:cs="SimSun"/>
          <w:color w:val="000000"/>
          <w:sz w:val="21"/>
          <w:u w:val="single"/>
        </w:rPr>
        <w:t xml:space="preserve">                          </w:t>
      </w:r>
      <w:r>
        <w:rPr>
          <w:rFonts w:ascii="SimSun" w:hAnsi="SimSun" w:eastAsia="SimSun" w:cs="SimSun"/>
          <w:color w:val="000000"/>
          <w:sz w:val="21"/>
        </w:rPr>
        <w:t xml:space="preserve">（联合体成员供应商或其他合同主体）（如有）</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依据《中华人民共和国民法典》《中华人民共和国政府采购法》等有关的法律法规，以及本采购项目的招标</w:t>
      </w:r>
      <w:r>
        <w:rPr>
          <w:rFonts w:ascii="SimSun" w:hAnsi="SimSun" w:eastAsia="SimSun" w:cs="SimSun"/>
          <w:color w:val="000000"/>
          <w:sz w:val="32"/>
        </w:rPr>
        <w:t xml:space="preserve">/</w:t>
      </w:r>
      <w:r>
        <w:rPr>
          <w:rFonts w:ascii="KaiTi" w:hAnsi="KaiTi" w:eastAsia="KaiTi" w:cs="KaiTi"/>
          <w:color w:val="000000"/>
          <w:sz w:val="32"/>
        </w:rPr>
        <w:t xml:space="preserve">谈判文件等采购文件、乙方的《投标（响应）文件》及《中标（成交）通知书》，甲乙双方同意签订本合同。具体情况及要求如下：</w:t>
      </w:r>
      <w:r>
        <w:rPr>
          <w:rFonts w:ascii="SimSun" w:hAnsi="SimSun" w:eastAsia="SimSun" w:cs="SimSun"/>
          <w:color w:val="000000"/>
          <w:sz w:val="32"/>
        </w:rPr>
        <w:t xml:space="preserve">     </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项目信息</w:t>
      </w:r>
      <w:r/>
    </w:p>
    <w:p>
      <w:pPr>
        <w:numPr>
          <w:ilvl w:val="0"/>
          <w:numId w:val="38"/>
        </w:numPr>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采购项目名称：</w:t>
      </w:r>
      <w:r>
        <w:rPr>
          <w:rFonts w:ascii="SimSun" w:hAnsi="SimSun" w:eastAsia="SimSun" w:cs="SimSun"/>
          <w:color w:val="000000"/>
          <w:sz w:val="32"/>
          <w:u w:val="single"/>
        </w:rPr>
        <w:t xml:space="preserve">                                          </w:t>
      </w:r>
      <w:r/>
    </w:p>
    <w:p>
      <w:pPr>
        <w:ind w:left="0" w:right="0" w:firstLine="0"/>
        <w:jc w:val="both"/>
        <w:spacing w:before="0" w:after="0" w:line="400" w:lineRule="atLeast"/>
        <w:tabs>
          <w:tab w:val="left" w:pos="99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rPr>
          <w:rFonts w:ascii="KaiTi" w:hAnsi="KaiTi" w:eastAsia="KaiTi" w:cs="KaiTi"/>
          <w:color w:val="000000"/>
          <w:sz w:val="32"/>
        </w:rPr>
        <w:t xml:space="preserve">采购项目编号：</w:t>
      </w:r>
      <w:r>
        <w:rPr>
          <w:rFonts w:ascii="SimSun" w:hAnsi="SimSun" w:eastAsia="SimSun" w:cs="SimSun"/>
          <w:color w:val="000000"/>
          <w:sz w:val="32"/>
          <w:u w:val="single"/>
        </w:rPr>
        <w:t xml:space="preserve">                                          </w:t>
      </w:r>
      <w:r/>
    </w:p>
    <w:p>
      <w:pPr>
        <w:ind w:left="0" w:right="0" w:firstLine="640"/>
        <w:jc w:val="both"/>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w:t>
      </w:r>
      <w:r>
        <w:rPr>
          <w:rFonts w:ascii="SimSun" w:hAnsi="SimSun" w:eastAsia="SimSun" w:cs="SimSun"/>
          <w:color w:val="000000"/>
          <w:sz w:val="32"/>
        </w:rPr>
        <w:t xml:space="preserve">2</w:t>
      </w:r>
      <w:r>
        <w:rPr>
          <w:rFonts w:ascii="KaiTi" w:hAnsi="KaiTi" w:eastAsia="KaiTi" w:cs="KaiTi"/>
          <w:color w:val="000000"/>
          <w:sz w:val="32"/>
        </w:rPr>
        <w:t xml:space="preserve">）采购计划编号：</w:t>
      </w:r>
      <w:r>
        <w:rPr>
          <w:rFonts w:ascii="SimSun" w:hAnsi="SimSun" w:eastAsia="SimSun" w:cs="SimSun"/>
          <w:color w:val="000000"/>
          <w:sz w:val="32"/>
          <w:u w:val="single"/>
        </w:rPr>
        <w:t xml:space="preserve">                                          </w:t>
      </w:r>
      <w:r>
        <w:rPr>
          <w:rFonts w:ascii="SimSun" w:hAnsi="SimSun" w:eastAsia="SimSun" w:cs="SimSun"/>
          <w:color w:val="000000"/>
          <w:sz w:val="32"/>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（3）项目内容：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采购标的及数量（台/套/个/架/组等）：</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采购标的的技术要求、商务要求具体见附件。</w:t>
      </w:r>
      <w:r/>
    </w:p>
    <w:p>
      <w:pPr>
        <w:ind w:left="0" w:right="0" w:firstLine="945"/>
        <w:jc w:val="both"/>
        <w:spacing w:before="0" w:after="0" w:line="40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①</w:t>
      </w:r>
      <w:r>
        <w:rPr>
          <w:rFonts w:ascii="SimSun" w:hAnsi="SimSun" w:eastAsia="SimSun" w:cs="SimSun"/>
          <w:color w:val="000000"/>
          <w:sz w:val="21"/>
        </w:rPr>
        <w:t xml:space="preserve">涉及信息类产品，请填写该产品关键部件的品牌、型号：</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标的名称：</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关键部件：</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型号：</w:t>
      </w:r>
      <w:r>
        <w:rPr>
          <w:rFonts w:ascii="SimSun" w:hAnsi="SimSun" w:eastAsia="SimSun" w:cs="SimSun"/>
          <w:color w:val="000000"/>
          <w:sz w:val="21"/>
          <w:u w:val="single"/>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（注：关键部件是指财政部会同有关部门发布的政府采购需求标准规定的需要通过国家有关部门指定的测评机构开展的安全可靠测评的软硬件，如CPU芯片、操作系统、数据库等。）</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②</w:t>
      </w:r>
      <w:r>
        <w:rPr>
          <w:rFonts w:ascii="SimSun" w:hAnsi="SimSun" w:eastAsia="SimSun" w:cs="SimSun"/>
          <w:color w:val="000000"/>
          <w:sz w:val="21"/>
        </w:rPr>
        <w:t xml:space="preserve">涉及车辆采购，请填写是否属于新能源汽车：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数量：</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（4）政府采购组织形式：</w:t>
      </w:r>
      <w:r>
        <w:rPr>
          <w:rFonts w:ascii="Wingdings" w:hAnsi="Wingdings" w:eastAsia="Wingdings" w:cs="Wingdings"/>
          <w:color w:val="000000"/>
          <w:sz w:val="21"/>
        </w:rPr>
        <w:t xml:space="preserve">¨</w:t>
      </w:r>
      <w:r>
        <w:rPr>
          <w:rFonts w:ascii="SimSun" w:hAnsi="SimSun" w:eastAsia="SimSun" w:cs="SimSun"/>
          <w:color w:val="000000"/>
          <w:sz w:val="21"/>
        </w:rPr>
        <w:t xml:space="preserve">政府集中采购  </w:t>
      </w:r>
      <w:r>
        <w:rPr>
          <w:rFonts w:ascii="Wingdings" w:hAnsi="Wingdings" w:eastAsia="Wingdings" w:cs="Wingdings"/>
          <w:color w:val="000000"/>
          <w:sz w:val="21"/>
        </w:rPr>
        <w:t xml:space="preserve">¨</w:t>
      </w:r>
      <w:r>
        <w:rPr>
          <w:rFonts w:ascii="SimSun" w:hAnsi="SimSun" w:eastAsia="SimSun" w:cs="SimSun"/>
          <w:color w:val="000000"/>
          <w:sz w:val="21"/>
        </w:rPr>
        <w:t xml:space="preserve">部门集中采购  </w:t>
      </w:r>
      <w:r>
        <w:rPr>
          <w:rFonts w:ascii="Wingdings" w:hAnsi="Wingdings" w:eastAsia="Wingdings" w:cs="Wingdings"/>
          <w:color w:val="000000"/>
          <w:sz w:val="21"/>
        </w:rPr>
        <w:t xml:space="preserve">¨</w:t>
      </w:r>
      <w:r>
        <w:rPr>
          <w:rFonts w:ascii="SimSun" w:hAnsi="SimSun" w:eastAsia="SimSun" w:cs="SimSun"/>
          <w:color w:val="000000"/>
          <w:sz w:val="21"/>
        </w:rPr>
        <w:t xml:space="preserve">分散采购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（5）政府采购方式：</w:t>
      </w:r>
      <w:r>
        <w:rPr>
          <w:rFonts w:ascii="Wingdings" w:hAnsi="Wingdings" w:eastAsia="Wingdings" w:cs="Wingdings"/>
          <w:color w:val="000000"/>
          <w:sz w:val="21"/>
        </w:rPr>
        <w:t xml:space="preserve">¨</w:t>
      </w:r>
      <w:r>
        <w:rPr>
          <w:rFonts w:ascii="SimSun" w:hAnsi="SimSun" w:eastAsia="SimSun" w:cs="SimSun"/>
          <w:color w:val="000000"/>
          <w:sz w:val="21"/>
        </w:rPr>
        <w:t xml:space="preserve">公开招标 </w:t>
      </w:r>
      <w:r>
        <w:rPr>
          <w:rFonts w:ascii="Wingdings" w:hAnsi="Wingdings" w:eastAsia="Wingdings" w:cs="Wingdings"/>
          <w:color w:val="000000"/>
          <w:sz w:val="21"/>
        </w:rPr>
        <w:t xml:space="preserve">¨</w:t>
      </w:r>
      <w:r>
        <w:rPr>
          <w:rFonts w:ascii="SimSun" w:hAnsi="SimSun" w:eastAsia="SimSun" w:cs="SimSun"/>
          <w:color w:val="000000"/>
          <w:sz w:val="21"/>
        </w:rPr>
        <w:t xml:space="preserve">邀请招标 </w:t>
      </w:r>
      <w:r>
        <w:rPr>
          <w:rFonts w:ascii="Wingdings" w:hAnsi="Wingdings" w:eastAsia="Wingdings" w:cs="Wingdings"/>
          <w:color w:val="000000"/>
          <w:sz w:val="21"/>
        </w:rPr>
        <w:t xml:space="preserve">¨</w:t>
      </w:r>
      <w:r>
        <w:rPr>
          <w:rFonts w:ascii="SimSun" w:hAnsi="SimSun" w:eastAsia="SimSun" w:cs="SimSun"/>
          <w:color w:val="000000"/>
          <w:sz w:val="21"/>
        </w:rPr>
        <w:t xml:space="preserve">竞争性谈判 </w:t>
      </w:r>
      <w:r>
        <w:rPr>
          <w:rFonts w:ascii="Wingdings" w:hAnsi="Wingdings" w:eastAsia="Wingdings" w:cs="Wingdings"/>
          <w:color w:val="000000"/>
          <w:sz w:val="21"/>
        </w:rPr>
        <w:t xml:space="preserve">¨</w:t>
      </w:r>
      <w:r>
        <w:rPr>
          <w:rFonts w:ascii="SimSun" w:hAnsi="SimSun" w:eastAsia="SimSun" w:cs="SimSun"/>
          <w:color w:val="000000"/>
          <w:sz w:val="21"/>
        </w:rPr>
        <w:t xml:space="preserve">竞争性磋商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询价 </w:t>
      </w:r>
      <w:r>
        <w:rPr>
          <w:rFonts w:ascii="Wingdings" w:hAnsi="Wingdings" w:eastAsia="Wingdings" w:cs="Wingdings"/>
          <w:color w:val="000000"/>
          <w:sz w:val="21"/>
        </w:rPr>
        <w:t xml:space="preserve">¨</w:t>
      </w:r>
      <w:r>
        <w:rPr>
          <w:rFonts w:ascii="SimSun" w:hAnsi="SimSun" w:eastAsia="SimSun" w:cs="SimSun"/>
          <w:color w:val="000000"/>
          <w:sz w:val="21"/>
        </w:rPr>
        <w:t xml:space="preserve">单一来源 </w:t>
      </w:r>
      <w:r>
        <w:rPr>
          <w:rFonts w:ascii="Wingdings" w:hAnsi="Wingdings" w:eastAsia="Wingdings" w:cs="Wingdings"/>
          <w:color w:val="000000"/>
          <w:sz w:val="21"/>
        </w:rPr>
        <w:t xml:space="preserve">¨</w:t>
      </w:r>
      <w:r>
        <w:rPr>
          <w:rFonts w:ascii="SimSun" w:hAnsi="SimSun" w:eastAsia="SimSun" w:cs="SimSun"/>
          <w:color w:val="000000"/>
          <w:sz w:val="21"/>
        </w:rPr>
        <w:t xml:space="preserve">框架协议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（注：在框架协议采购的第二阶段，可选择使用该合同文本）</w:t>
      </w:r>
      <w:r/>
    </w:p>
    <w:p>
      <w:pPr>
        <w:ind w:left="0" w:right="0" w:firstLine="2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TKaiti" w:hAnsi="STKaiti" w:eastAsia="STKaiti" w:cs="STKaiti"/>
          <w:color w:val="000000"/>
          <w:sz w:val="22"/>
        </w:rPr>
        <w:t xml:space="preserve">（</w:t>
      </w:r>
      <w:r>
        <w:rPr>
          <w:rFonts w:ascii="SimSun" w:hAnsi="SimSun" w:eastAsia="SimSun" w:cs="SimSun"/>
          <w:color w:val="000000"/>
          <w:sz w:val="22"/>
        </w:rPr>
        <w:t xml:space="preserve">6</w:t>
      </w:r>
      <w:r>
        <w:rPr>
          <w:rFonts w:ascii="STKaiti" w:hAnsi="STKaiti" w:eastAsia="STKaiti" w:cs="STKaiti"/>
          <w:color w:val="000000"/>
          <w:sz w:val="22"/>
        </w:rPr>
        <w:t xml:space="preserve">）</w:t>
      </w:r>
      <w:r>
        <w:rPr>
          <w:rFonts w:ascii="SimSun" w:hAnsi="SimSun" w:eastAsia="SimSun" w:cs="SimSun"/>
          <w:color w:val="000000"/>
          <w:sz w:val="21"/>
        </w:rPr>
        <w:t xml:space="preserve">中标（成交）采购标的制造商是否为中小企业：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本合同是否为专门面向中小企业的采购合同（中小企业预留合同）：</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若本项目不专门面向中小企业采购，是否给予小微企业评审优惠：</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中标（成交）采购标的制造商是否为残疾人福利性单位：</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中标（成交）采购标的制造商是否为监狱企业：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（7）合同是否分包：</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分包主要内容：</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分包供应商/制造商名称（如供应商和制造商不同，请分别填写）：</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分包供应商/制造商类型（如果供应商和制造商不同，只填写制造商类型）：</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大型企业  </w:t>
      </w:r>
      <w:r>
        <w:rPr>
          <w:rFonts w:ascii="Wingdings" w:hAnsi="Wingdings" w:eastAsia="Wingdings" w:cs="Wingdings"/>
          <w:color w:val="000000"/>
          <w:sz w:val="21"/>
        </w:rPr>
        <w:t xml:space="preserve">¨</w:t>
      </w:r>
      <w:r>
        <w:rPr>
          <w:rFonts w:ascii="SimSun" w:hAnsi="SimSun" w:eastAsia="SimSun" w:cs="SimSun"/>
          <w:color w:val="000000"/>
          <w:sz w:val="21"/>
        </w:rPr>
        <w:t xml:space="preserve">中型企业  </w:t>
      </w:r>
      <w:r>
        <w:rPr>
          <w:rFonts w:ascii="Wingdings" w:hAnsi="Wingdings" w:eastAsia="Wingdings" w:cs="Wingdings"/>
          <w:color w:val="000000"/>
          <w:sz w:val="21"/>
        </w:rPr>
        <w:t xml:space="preserve">¨</w:t>
      </w:r>
      <w:r>
        <w:rPr>
          <w:rFonts w:ascii="SimSun" w:hAnsi="SimSun" w:eastAsia="SimSun" w:cs="SimSun"/>
          <w:color w:val="000000"/>
          <w:sz w:val="21"/>
        </w:rPr>
        <w:t xml:space="preserve">小微型企业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残疾人福利性单位 </w:t>
      </w:r>
      <w:r>
        <w:rPr>
          <w:rFonts w:ascii="Wingdings" w:hAnsi="Wingdings" w:eastAsia="Wingdings" w:cs="Wingdings"/>
          <w:color w:val="000000"/>
          <w:sz w:val="21"/>
        </w:rPr>
        <w:t xml:space="preserve">¨</w:t>
      </w:r>
      <w:r>
        <w:rPr>
          <w:rFonts w:ascii="SimSun" w:hAnsi="SimSun" w:eastAsia="SimSun" w:cs="SimSun"/>
          <w:color w:val="000000"/>
          <w:sz w:val="21"/>
        </w:rPr>
        <w:t xml:space="preserve">监狱企业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（8）中标（成交）供应商是否为外商投资企业：</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spacing w:before="0" w:after="0" w:line="400" w:lineRule="atLeast"/>
        <w:tabs>
          <w:tab w:val="left" w:pos="13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外商投资企业类型：</w:t>
      </w:r>
      <w:r>
        <w:rPr>
          <w:rFonts w:ascii="Wingdings" w:hAnsi="Wingdings" w:eastAsia="Wingdings" w:cs="Wingdings"/>
          <w:color w:val="000000"/>
          <w:sz w:val="21"/>
        </w:rPr>
        <w:t xml:space="preserve">¨</w:t>
      </w:r>
      <w:r>
        <w:rPr>
          <w:rFonts w:ascii="SimSun" w:hAnsi="SimSun" w:eastAsia="SimSun" w:cs="SimSun"/>
          <w:color w:val="000000"/>
          <w:sz w:val="21"/>
        </w:rPr>
        <w:t xml:space="preserve">全部由外国投资者投资  </w:t>
      </w:r>
      <w:r>
        <w:rPr>
          <w:rFonts w:ascii="Wingdings" w:hAnsi="Wingdings" w:eastAsia="Wingdings" w:cs="Wingdings"/>
          <w:color w:val="000000"/>
          <w:sz w:val="21"/>
        </w:rPr>
        <w:t xml:space="preserve">¨</w:t>
      </w:r>
      <w:r>
        <w:rPr>
          <w:rFonts w:ascii="SimSun" w:hAnsi="SimSun" w:eastAsia="SimSun" w:cs="SimSun"/>
          <w:color w:val="000000"/>
          <w:sz w:val="21"/>
        </w:rPr>
        <w:t xml:space="preserve">部分由外国投资者投资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（9）是否涉及进口产品：</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是，《政府采购品目分类目录》底级品目名称：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金额：</w:t>
      </w:r>
      <w:r>
        <w:rPr>
          <w:rFonts w:ascii="SimSun" w:hAnsi="SimSun" w:eastAsia="SimSun" w:cs="SimSun"/>
          <w:color w:val="000000"/>
          <w:sz w:val="21"/>
          <w:u w:val="single"/>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国别：</w:t>
      </w:r>
      <w:r>
        <w:rPr>
          <w:rFonts w:ascii="SimSun" w:hAnsi="SimSun" w:eastAsia="SimSun" w:cs="SimSun"/>
          <w:color w:val="000000"/>
          <w:sz w:val="21"/>
          <w:u w:val="single"/>
        </w:rPr>
        <w:t xml:space="preserve">        </w:t>
      </w:r>
      <w:r>
        <w:rPr>
          <w:rFonts w:ascii="SimSun" w:hAnsi="SimSun" w:eastAsia="SimSun" w:cs="SimSun"/>
          <w:color w:val="000000"/>
          <w:sz w:val="21"/>
        </w:rPr>
        <w:t xml:space="preserve"> 品牌：</w:t>
      </w:r>
      <w:r>
        <w:rPr>
          <w:rFonts w:ascii="SimSun" w:hAnsi="SimSun" w:eastAsia="SimSun" w:cs="SimSun"/>
          <w:color w:val="000000"/>
          <w:sz w:val="21"/>
          <w:u w:val="single"/>
        </w:rPr>
        <w:t xml:space="preserve">        </w:t>
      </w:r>
      <w:r>
        <w:rPr>
          <w:rFonts w:ascii="SimSun" w:hAnsi="SimSun" w:eastAsia="SimSun" w:cs="SimSun"/>
          <w:color w:val="000000"/>
          <w:sz w:val="21"/>
        </w:rPr>
        <w:t xml:space="preserve"> 规格型号：</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（10）是否涉及节能产品：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是，《节能产品政府采购品目清单》的底级品目名称：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是否涉及环境标志产品：</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是，《环境标志产品政府采购品目清单》的底级品目名称：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是否涉及绿色产品：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是，绿色产品政府采购相关政策确定的底级品目名称：</w:t>
      </w:r>
      <w:r>
        <w:rPr>
          <w:rFonts w:ascii="SimSun" w:hAnsi="SimSun" w:eastAsia="SimSun" w:cs="SimSun"/>
          <w:color w:val="000000"/>
          <w:sz w:val="22"/>
          <w:u w:val="single"/>
        </w:rPr>
        <w:t xml:space="preserve">         </w:t>
      </w:r>
      <w:r/>
    </w:p>
    <w:p>
      <w:pPr>
        <w:ind w:left="0" w:right="0" w:firstLine="0"/>
        <w:jc w:val="both"/>
        <w:spacing w:before="0" w:after="0" w:line="400" w:lineRule="atLeast"/>
        <w:tabs>
          <w:tab w:val="left" w:pos="7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强制采购       </w:t>
      </w:r>
      <w:r>
        <w:rPr>
          <w:rFonts w:ascii="Wingdings" w:hAnsi="Wingdings" w:eastAsia="Wingdings" w:cs="Wingdings"/>
          <w:color w:val="000000"/>
          <w:sz w:val="21"/>
        </w:rPr>
        <w:t xml:space="preserve">¨</w:t>
      </w:r>
      <w:r>
        <w:rPr>
          <w:rFonts w:ascii="SimSun" w:hAnsi="SimSun" w:eastAsia="SimSun" w:cs="SimSun"/>
          <w:color w:val="000000"/>
          <w:sz w:val="21"/>
        </w:rPr>
        <w:t xml:space="preserve">优先采购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（11）涉及商品包装和快递包装的，是否参考《商品包装政府采购需求标准（试行）》《快递包装政府采购需求标准（试行）》明确产品及相关快递服务的具体包装要求：</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      </w:t>
      </w:r>
      <w:r>
        <w:rPr>
          <w:rFonts w:ascii="Wingdings" w:hAnsi="Wingdings" w:eastAsia="Wingdings" w:cs="Wingdings"/>
          <w:color w:val="000000"/>
          <w:sz w:val="21"/>
        </w:rPr>
        <w:t xml:space="preserve">¨</w:t>
      </w:r>
      <w:r>
        <w:rPr>
          <w:rFonts w:ascii="SimSun" w:hAnsi="SimSun" w:eastAsia="SimSun" w:cs="SimSun"/>
          <w:color w:val="000000"/>
          <w:sz w:val="21"/>
        </w:rPr>
        <w:t xml:space="preserve">不涉及</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（1）合同金额小写：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分包金额（如有）小写：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大写：</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（注：固定单价合同应填写单价和最高限价）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（2）合同定价方式（采用组合定价方式的，可以勾选多项）：</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固定总价 </w:t>
      </w:r>
      <w:r>
        <w:rPr>
          <w:rFonts w:ascii="Wingdings" w:hAnsi="Wingdings" w:eastAsia="Wingdings" w:cs="Wingdings"/>
          <w:color w:val="000000"/>
          <w:sz w:val="21"/>
        </w:rPr>
        <w:t xml:space="preserve">¨</w:t>
      </w:r>
      <w:r>
        <w:rPr>
          <w:rFonts w:ascii="SimSun" w:hAnsi="SimSun" w:eastAsia="SimSun" w:cs="SimSun"/>
          <w:color w:val="000000"/>
          <w:sz w:val="21"/>
        </w:rPr>
        <w:t xml:space="preserve">固定单价 </w:t>
      </w:r>
      <w:r>
        <w:rPr>
          <w:rFonts w:ascii="Wingdings" w:hAnsi="Wingdings" w:eastAsia="Wingdings" w:cs="Wingdings"/>
          <w:color w:val="000000"/>
          <w:sz w:val="21"/>
        </w:rPr>
        <w:t xml:space="preserve">¨</w:t>
      </w:r>
      <w:r>
        <w:rPr>
          <w:rFonts w:ascii="SimSun" w:hAnsi="SimSun" w:eastAsia="SimSun" w:cs="SimSun"/>
          <w:color w:val="000000"/>
          <w:sz w:val="21"/>
        </w:rPr>
        <w:t xml:space="preserve">固定费率 </w:t>
      </w:r>
      <w:r>
        <w:rPr>
          <w:rFonts w:ascii="Wingdings" w:hAnsi="Wingdings" w:eastAsia="Wingdings" w:cs="Wingdings"/>
          <w:color w:val="000000"/>
          <w:sz w:val="21"/>
        </w:rPr>
        <w:t xml:space="preserve">¨</w:t>
      </w:r>
      <w:r>
        <w:rPr>
          <w:rFonts w:ascii="SimSun" w:hAnsi="SimSun" w:eastAsia="SimSun" w:cs="SimSun"/>
          <w:color w:val="000000"/>
          <w:sz w:val="21"/>
        </w:rPr>
        <w:t xml:space="preserve">成本补偿 </w:t>
      </w:r>
      <w:r>
        <w:rPr>
          <w:rFonts w:ascii="Wingdings" w:hAnsi="Wingdings" w:eastAsia="Wingdings" w:cs="Wingdings"/>
          <w:color w:val="000000"/>
          <w:sz w:val="21"/>
        </w:rPr>
        <w:t xml:space="preserve">¨</w:t>
      </w:r>
      <w:r>
        <w:rPr>
          <w:rFonts w:ascii="SimSun" w:hAnsi="SimSun" w:eastAsia="SimSun" w:cs="SimSun"/>
          <w:color w:val="000000"/>
          <w:sz w:val="21"/>
        </w:rPr>
        <w:t xml:space="preserve">绩效激励 </w:t>
      </w:r>
      <w:r>
        <w:rPr>
          <w:rFonts w:ascii="Wingdings" w:hAnsi="Wingdings" w:eastAsia="Wingdings" w:cs="Wingdings"/>
          <w:color w:val="000000"/>
          <w:sz w:val="21"/>
        </w:rPr>
        <w:t xml:space="preserve">¨</w:t>
      </w:r>
      <w:r>
        <w:rPr>
          <w:rFonts w:ascii="SimSun" w:hAnsi="SimSun" w:eastAsia="SimSun" w:cs="SimSun"/>
          <w:color w:val="000000"/>
          <w:sz w:val="21"/>
        </w:rPr>
        <w:t xml:space="preserve">其他</w:t>
      </w:r>
      <w:r>
        <w:rPr>
          <w:rFonts w:ascii="SimSun" w:hAnsi="SimSun" w:eastAsia="SimSun" w:cs="SimSun"/>
          <w:color w:val="000000"/>
          <w:sz w:val="21"/>
          <w:u w:val="single"/>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（3）付款方式（按项目实际勾选填写）：</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全额付款：</w:t>
      </w:r>
      <w:r>
        <w:rPr>
          <w:rFonts w:ascii="SimSun" w:hAnsi="SimSun" w:eastAsia="SimSun" w:cs="SimSun"/>
          <w:color w:val="000000"/>
          <w:sz w:val="21"/>
          <w:u w:val="single"/>
        </w:rPr>
        <w:t xml:space="preserve">     （应明确一次性支付合同款项的条件）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分期付款：</w:t>
      </w:r>
      <w:r>
        <w:rPr>
          <w:rFonts w:ascii="SimSun" w:hAnsi="SimSun" w:eastAsia="SimSun" w:cs="SimSun"/>
          <w:color w:val="000000"/>
          <w:sz w:val="21"/>
          <w:u w:val="single"/>
        </w:rPr>
        <w:t xml:space="preserve">  （应明确分期支付合同款项的各期比例和支付条件，各期支付条件应与分期履约验收情况挂钩） </w:t>
      </w:r>
      <w:r>
        <w:rPr>
          <w:rFonts w:ascii="SimSun" w:hAnsi="SimSun" w:eastAsia="SimSun" w:cs="SimSun"/>
          <w:color w:val="000000"/>
          <w:sz w:val="21"/>
        </w:rPr>
        <w:t xml:space="preserve">，其中涉及预付款的：</w:t>
      </w:r>
      <w:r>
        <w:rPr>
          <w:rFonts w:ascii="SimSun" w:hAnsi="SimSun" w:eastAsia="SimSun" w:cs="SimSun"/>
          <w:color w:val="000000"/>
          <w:sz w:val="21"/>
          <w:u w:val="single"/>
        </w:rPr>
        <w:t xml:space="preserve"> （应明确预付款的支付比例和支付条件）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成本补偿：</w:t>
      </w:r>
      <w:r>
        <w:rPr>
          <w:rFonts w:ascii="SimSun" w:hAnsi="SimSun" w:eastAsia="SimSun" w:cs="SimSun"/>
          <w:color w:val="000000"/>
          <w:sz w:val="21"/>
          <w:u w:val="single"/>
        </w:rPr>
        <w:t xml:space="preserve">      （应明确按照成本补偿方式的支付方式和支付条件）   </w:t>
      </w:r>
      <w:r/>
    </w:p>
    <w:p>
      <w:pPr>
        <w:ind w:left="0" w:right="0" w:firstLine="630"/>
        <w:jc w:val="both"/>
        <w:spacing w:before="0" w:after="0" w:line="400"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color w:val="000000"/>
          <w:sz w:val="21"/>
        </w:rPr>
        <w:t xml:space="preserve">¨</w:t>
      </w:r>
      <w:r>
        <w:rPr>
          <w:rFonts w:ascii="SimSun" w:hAnsi="SimSun" w:eastAsia="SimSun" w:cs="SimSun"/>
          <w:color w:val="000000"/>
          <w:sz w:val="21"/>
        </w:rPr>
        <w:t xml:space="preserve">绩效激励：</w:t>
      </w:r>
      <w:r>
        <w:rPr>
          <w:rFonts w:ascii="SimSun" w:hAnsi="SimSun" w:eastAsia="SimSun" w:cs="SimSun"/>
          <w:color w:val="000000"/>
          <w:sz w:val="21"/>
          <w:u w:val="single"/>
        </w:rPr>
        <w:t xml:space="preserve">      （应明确按照绩效激励方式的支付方式和支付条件）   </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合同履行</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（1）起始日期：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日，完成日期：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（3）履约担保：是否收取履约保证金：</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rPr>
          <w:rFonts w:ascii="SimSun" w:hAnsi="SimSun" w:eastAsia="SimSun" w:cs="SimSun"/>
          <w:color w:val="000000"/>
          <w:sz w:val="21"/>
        </w:rPr>
        <w:t xml:space="preserve">  收取履约保证金形式：</w:t>
      </w:r>
      <w:r>
        <w:rPr>
          <w:rFonts w:ascii="SimSun" w:hAnsi="SimSun" w:eastAsia="SimSun" w:cs="SimSun"/>
          <w:color w:val="000000"/>
          <w:sz w:val="21"/>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收取履约保证金金额：</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履约担保期限：</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（4）分期履行要求：</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（5）风险处置措施和替代方案：</w:t>
      </w:r>
      <w:r>
        <w:rPr>
          <w:rFonts w:ascii="SimSun" w:hAnsi="SimSun" w:eastAsia="SimSun" w:cs="SimSun"/>
          <w:color w:val="0000ff"/>
          <w:sz w:val="21"/>
          <w:u w:val="single"/>
        </w:rPr>
        <w:t xml:space="preserve"> </w:t>
      </w:r>
      <w:r>
        <w:rPr>
          <w:rFonts w:ascii="SimSun" w:hAnsi="SimSun" w:eastAsia="SimSun" w:cs="SimSun"/>
          <w:color w:val="000000"/>
          <w:sz w:val="21"/>
          <w:u w:val="single"/>
        </w:rPr>
        <w:t xml:space="preserve">                                                              </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合同验收</w:t>
      </w:r>
      <w:r/>
    </w:p>
    <w:p>
      <w:pPr>
        <w:numPr>
          <w:ilvl w:val="0"/>
          <w:numId w:val="39"/>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验收组织方式：</w:t>
      </w:r>
      <w:r>
        <w:rPr>
          <w:rFonts w:ascii="Wingdings" w:hAnsi="Wingdings" w:eastAsia="Wingdings" w:cs="Wingdings"/>
          <w:color w:val="000000"/>
          <w:sz w:val="21"/>
        </w:rPr>
        <w:t xml:space="preserve">¨</w:t>
      </w:r>
      <w:r>
        <w:rPr>
          <w:rFonts w:ascii="SimSun" w:hAnsi="SimSun" w:eastAsia="SimSun" w:cs="SimSun"/>
          <w:color w:val="000000"/>
          <w:sz w:val="21"/>
        </w:rPr>
        <w:t xml:space="preserve">自行组织 </w:t>
      </w:r>
      <w:r>
        <w:rPr>
          <w:rFonts w:ascii="Wingdings" w:hAnsi="Wingdings" w:eastAsia="Wingdings" w:cs="Wingdings"/>
          <w:color w:val="000000"/>
          <w:sz w:val="21"/>
        </w:rPr>
        <w:t xml:space="preserve">¨</w:t>
      </w:r>
      <w:r>
        <w:rPr>
          <w:rFonts w:ascii="SimSun" w:hAnsi="SimSun" w:eastAsia="SimSun" w:cs="SimSun"/>
          <w:color w:val="000000"/>
          <w:sz w:val="21"/>
        </w:rPr>
        <w:t xml:space="preserve">委托第三方组织</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验收主体：</w:t>
      </w:r>
      <w:r>
        <w:rPr>
          <w:rFonts w:ascii="SimSun" w:hAnsi="SimSun" w:eastAsia="SimSun" w:cs="SimSun"/>
          <w:color w:val="000000"/>
          <w:sz w:val="21"/>
          <w:u w:val="single"/>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是否邀请本项目的其他供应商参加验收：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是否邀请专家参加验收：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是否邀请服务对象参加验收：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是否邀请第三方检测机构参加验收：</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是否进行抽查检测：</w:t>
      </w:r>
      <w:r>
        <w:rPr>
          <w:rFonts w:ascii="Wingdings" w:hAnsi="Wingdings" w:eastAsia="Wingdings" w:cs="Wingdings"/>
          <w:color w:val="000000"/>
          <w:sz w:val="21"/>
        </w:rPr>
        <w:t xml:space="preserve">¨</w:t>
      </w:r>
      <w:r>
        <w:rPr>
          <w:rFonts w:ascii="SimSun" w:hAnsi="SimSun" w:eastAsia="SimSun" w:cs="SimSun"/>
          <w:color w:val="000000"/>
          <w:sz w:val="21"/>
        </w:rPr>
        <w:t xml:space="preserve">是，抽查比例：</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是否存在破坏性检测：</w:t>
      </w:r>
      <w:r>
        <w:rPr>
          <w:rFonts w:ascii="Wingdings" w:hAnsi="Wingdings" w:eastAsia="Wingdings" w:cs="Wingdings"/>
          <w:color w:val="000000"/>
          <w:sz w:val="21"/>
        </w:rPr>
        <w:t xml:space="preserve">¨</w:t>
      </w:r>
      <w:r>
        <w:rPr>
          <w:rFonts w:ascii="SimSun" w:hAnsi="SimSun" w:eastAsia="SimSun" w:cs="SimSun"/>
          <w:color w:val="000000"/>
          <w:sz w:val="21"/>
        </w:rPr>
        <w:t xml:space="preserve">是，</w:t>
      </w:r>
      <w:r>
        <w:rPr>
          <w:rFonts w:ascii="SimSun" w:hAnsi="SimSun" w:eastAsia="SimSun" w:cs="SimSun"/>
          <w:color w:val="000000"/>
          <w:sz w:val="21"/>
          <w:u w:val="single"/>
        </w:rPr>
        <w:t xml:space="preserve">（应明确对被破坏的检测产品的处理方式）</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84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验收组织的其他事项：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（2）履约验收时间：</w:t>
      </w:r>
      <w:r>
        <w:rPr>
          <w:rFonts w:ascii="SimSun" w:hAnsi="SimSun" w:eastAsia="SimSun" w:cs="SimSun"/>
          <w:color w:val="000000"/>
          <w:sz w:val="21"/>
          <w:u w:val="single"/>
        </w:rPr>
        <w:t xml:space="preserve">（计划于何时验收/供应商提出验收申请之日起   日内组织验收）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（3）履约验收方式：</w:t>
      </w:r>
      <w:r>
        <w:rPr>
          <w:rFonts w:ascii="Wingdings" w:hAnsi="Wingdings" w:eastAsia="Wingdings" w:cs="Wingdings"/>
          <w:color w:val="000000"/>
          <w:sz w:val="21"/>
        </w:rPr>
        <w:t xml:space="preserve">¨</w:t>
      </w:r>
      <w:r>
        <w:rPr>
          <w:rFonts w:ascii="SimSun" w:hAnsi="SimSun" w:eastAsia="SimSun" w:cs="SimSun"/>
          <w:color w:val="000000"/>
          <w:sz w:val="21"/>
        </w:rPr>
        <w:t xml:space="preserve">一次性验收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Wingdings" w:hAnsi="Wingdings" w:eastAsia="Wingdings" w:cs="Wingdings"/>
          <w:color w:val="000000"/>
          <w:sz w:val="21"/>
        </w:rPr>
        <w:t xml:space="preserve">¨</w:t>
      </w:r>
      <w:r>
        <w:rPr>
          <w:rFonts w:ascii="SimSun" w:hAnsi="SimSun" w:eastAsia="SimSun" w:cs="SimSun"/>
          <w:color w:val="000000"/>
          <w:sz w:val="21"/>
        </w:rPr>
        <w:t xml:space="preserve">分期/分项验收：</w:t>
      </w:r>
      <w:r>
        <w:rPr>
          <w:rFonts w:ascii="SimSun" w:hAnsi="SimSun" w:eastAsia="SimSun" w:cs="SimSun"/>
          <w:color w:val="000000"/>
          <w:sz w:val="21"/>
          <w:u w:val="single"/>
        </w:rPr>
        <w:t xml:space="preserve"> （应明确分期/分项验收的工作安排）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（4）履约验收程序：</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（5）履约验收的内容：</w:t>
      </w:r>
      <w:r>
        <w:rPr>
          <w:rFonts w:ascii="SimSun" w:hAnsi="SimSun" w:eastAsia="SimSun" w:cs="SimSun"/>
          <w:color w:val="000000"/>
          <w:sz w:val="21"/>
          <w:u w:val="single"/>
        </w:rPr>
        <w:t xml:space="preserve"> （应当包括每一项技术和商务要求的履约情况，特别是落实政府采购扶持中小企业，支持绿色发展和乡村振兴等政策情况）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（6）履约验收标准：</w:t>
      </w:r>
      <w:r>
        <w:rPr>
          <w:rFonts w:ascii="SimSun" w:hAnsi="SimSun" w:eastAsia="SimSun" w:cs="SimSun"/>
          <w:color w:val="000000"/>
          <w:sz w:val="21"/>
          <w:u w:val="single"/>
        </w:rPr>
        <w:t xml:space="preserve">                                         </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（7）是否以采购活动中供应商提供的样品作为参考：</w:t>
      </w:r>
      <w:r>
        <w:rPr>
          <w:rFonts w:ascii="Wingdings" w:hAnsi="Wingdings" w:eastAsia="Wingdings" w:cs="Wingdings"/>
          <w:color w:val="000000"/>
          <w:sz w:val="21"/>
        </w:rPr>
        <w:t xml:space="preserve">¨</w:t>
      </w:r>
      <w:r>
        <w:rPr>
          <w:rFonts w:ascii="SimSun" w:hAnsi="SimSun" w:eastAsia="SimSun" w:cs="SimSun"/>
          <w:color w:val="000000"/>
          <w:sz w:val="21"/>
        </w:rPr>
        <w:t xml:space="preserve">是  </w:t>
      </w:r>
      <w:r>
        <w:rPr>
          <w:rFonts w:ascii="Wingdings" w:hAnsi="Wingdings" w:eastAsia="Wingdings" w:cs="Wingdings"/>
          <w:color w:val="000000"/>
          <w:sz w:val="21"/>
        </w:rPr>
        <w:t xml:space="preserve">¨</w:t>
      </w:r>
      <w:r>
        <w:rPr>
          <w:rFonts w:ascii="SimSun" w:hAnsi="SimSun" w:eastAsia="SimSun" w:cs="SimSun"/>
          <w:color w:val="000000"/>
          <w:sz w:val="21"/>
        </w:rPr>
        <w:t xml:space="preserve">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（8）履约验收其他事项：</w:t>
      </w:r>
      <w:r>
        <w:rPr>
          <w:rFonts w:ascii="SimSun" w:hAnsi="SimSun" w:eastAsia="SimSun" w:cs="SimSun"/>
          <w:color w:val="000000"/>
          <w:sz w:val="21"/>
          <w:u w:val="single"/>
        </w:rPr>
        <w:t xml:space="preserve">      （产权过户登记等）          </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组成合同的文件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本协议书与下列文件一起构成合同文件，如下述文件之间有任何抵触、矛盾或歧义，应按以下顺序解释：</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（1）政府采购合同协议书及其变更、补充协议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（2）政府采购合同专用条款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（3）政府采购合同通用条款</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（4）中标（成交）通知书</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（5）投标（响应）文件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（6）采购文件</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（7）有关技术文件，图纸</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（8）国家法律、行政法规和规章制度规定或合同约定的作为合同组成部分的其他文件</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合同生效</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                             </w:t>
      </w:r>
      <w:r>
        <w:rPr>
          <w:rFonts w:ascii="SimSun" w:hAnsi="SimSun" w:eastAsia="SimSun" w:cs="SimSun"/>
          <w:color w:val="000000"/>
          <w:sz w:val="21"/>
        </w:rPr>
        <w:t xml:space="preserve">生效。</w:t>
      </w:r>
      <w:r/>
    </w:p>
    <w:p>
      <w:pPr>
        <w:numPr>
          <w:ilvl w:val="0"/>
          <w:numId w:val="37"/>
        </w:numPr>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合同份数</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    </w:t>
      </w:r>
      <w:r>
        <w:rPr>
          <w:rFonts w:ascii="SimSun" w:hAnsi="SimSun" w:eastAsia="SimSun" w:cs="SimSun"/>
          <w:color w:val="000000"/>
          <w:sz w:val="21"/>
        </w:rPr>
        <w:t xml:space="preserve">份，甲方执</w:t>
      </w:r>
      <w:r>
        <w:rPr>
          <w:rFonts w:ascii="SimSun" w:hAnsi="SimSun" w:eastAsia="SimSun" w:cs="SimSun"/>
          <w:color w:val="000000"/>
          <w:sz w:val="21"/>
          <w:u w:val="single"/>
        </w:rPr>
        <w:t xml:space="preserve">    </w:t>
      </w:r>
      <w:r>
        <w:rPr>
          <w:rFonts w:ascii="SimSun" w:hAnsi="SimSun" w:eastAsia="SimSun" w:cs="SimSun"/>
          <w:color w:val="000000"/>
          <w:sz w:val="21"/>
        </w:rPr>
        <w:t xml:space="preserve">份，乙方执</w:t>
      </w:r>
      <w:r>
        <w:rPr>
          <w:rFonts w:ascii="SimSun" w:hAnsi="SimSun" w:eastAsia="SimSun" w:cs="SimSun"/>
          <w:color w:val="000000"/>
          <w:sz w:val="21"/>
          <w:u w:val="single"/>
        </w:rPr>
        <w:t xml:space="preserve">    </w:t>
      </w:r>
      <w:r>
        <w:rPr>
          <w:rFonts w:ascii="SimSun" w:hAnsi="SimSun" w:eastAsia="SimSun" w:cs="SimSun"/>
          <w:color w:val="000000"/>
          <w:sz w:val="21"/>
        </w:rPr>
        <w:t xml:space="preserve">份，均具有同等法律效力。</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合同订立时间：</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合同订立地点：</w:t>
      </w:r>
      <w:r>
        <w:rPr>
          <w:rFonts w:ascii="SimSun" w:hAnsi="SimSun" w:eastAsia="SimSun" w:cs="SimSun"/>
          <w:color w:val="000000"/>
          <w:sz w:val="21"/>
          <w:u w:val="single"/>
        </w:rPr>
        <w:t xml:space="preserve">                           </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附件：具体标的及其技术要求和商务要求、联合协议、分包意向协议等。</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24"/>
        <w:ind w:left="0" w:right="0" w:firstLine="0"/>
        <w:jc w:val="center"/>
        <w:spacing w:before="260" w:after="260" w:line="400"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4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480"/>
        <w:gridCol w:w="2480"/>
        <w:gridCol w:w="2480"/>
        <w:gridCol w:w="2480"/>
      </w:tblGrid>
      <w:tr>
        <w:trPr>
          <w:trHeight w:val="49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甲方（采购人、受采购人委托签订合同的单位或采购文件约定的合同甲方）</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6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w:t>
            </w:r>
            <w:r/>
          </w:p>
        </w:tc>
      </w:tr>
      <w:tr>
        <w:trPr>
          <w:trHeight w:val="9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单位名称（公章或合同章）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11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101"/>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vMerge w:val="restart"/>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或其委托代理人（签章）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83"/>
        </w:trPr>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拥有者性别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邮政编码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电子邮箱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80" w:type="dxa"/>
            <w:vAlign w:val="center"/>
            <w:textDirection w:val="lrTb"/>
            <w:noWrap w:val="false"/>
          </w:tcPr>
          <w:p>
            <w:pPr>
              <w:ind w:left="0" w:right="0" w:firstLine="0"/>
              <w:jc w:val="center"/>
              <w:spacing w:before="0" w:after="0" w:line="3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0"/>
                <w:sz w:val="21"/>
              </w:rPr>
              <w:t xml:space="preserve"> </w:t>
            </w:r>
            <w:r/>
          </w:p>
        </w:tc>
      </w:tr>
      <w:tr>
        <w:trPr>
          <w:trHeight w:val="58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21" w:type="dxa"/>
            <w:vAlign w:val="center"/>
            <w:textDirection w:val="lrTb"/>
            <w:noWrap w:val="false"/>
          </w:tcPr>
          <w:p>
            <w:pPr>
              <w:ind w:left="0" w:right="0" w:firstLine="645"/>
              <w:spacing w:before="156" w:after="0" w:line="85"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注：涉及联合体或其他合同主体的信息应按上表格式加列。</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 </w:t>
      </w:r>
      <w:r/>
    </w:p>
    <w:p>
      <w:pPr>
        <w:pStyle w:val="824"/>
        <w:ind w:left="0" w:right="0" w:firstLine="0"/>
        <w:jc w:val="center"/>
        <w:spacing w:before="156"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u w:val="none"/>
        </w:rPr>
        <w:t xml:space="preserve">第二节 政府采购合同通用条款</w:t>
      </w:r>
      <w:r/>
    </w:p>
    <w:p>
      <w:pPr>
        <w:ind w:left="0" w:right="0" w:firstLine="0"/>
        <w:spacing w:before="0" w:after="0" w:line="400" w:lineRule="atLeast"/>
        <w:tabs>
          <w:tab w:val="left" w:pos="8820" w:leader="none"/>
          <w:tab w:val="left" w:pos="9345" w:leader="none"/>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1.定义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1.1合同当事人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（1）采购人（以下称甲方）是指使用财政性资金，通过政府采购方式向供应商购买货物及其相关服务的国家机关、事业单位、团体组织。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（2）供应商（以下称乙方）是指参加政府采购活动并且中标（成交），向采购人提供合同约定的货物及其相关服务的法人、非法人组织或者自然人。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（3）其他合同主体是指除采购人和供应商以外，依法参与合同缔结或履行，享有权利、承担义务的合同当事人。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1.2本合同下列术语应解释为：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（2）“合同价款”系指根据本合同规定乙方在全面履行合同义务后甲方应支付给乙方的价款。</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（3）“货物”系指乙方根据本合同规定须向甲方提供的各种形态和种类的物品，包括原材料、设备、产品（包括软件）及相关的其备品备件、工具、手册及其他技术资料和材料等。</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（5）“分包”系指中标（成交）供应商按采购文件、投标（响应）文件的规定，根据分包意向协议，将中标（成交）项目中的部分履约内容，分给具有相应资质条件的供应商履行合同的行为。</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420"/>
        <w:spacing w:before="0" w:after="0" w:line="400" w:lineRule="atLeast"/>
        <w:tabs>
          <w:tab w:val="left" w:pos="570" w:leader="none"/>
          <w:tab w:val="left" w:pos="9240" w:leader="none"/>
          <w:tab w:val="left" w:pos="95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（7）其他术语解释，见【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numPr>
          <w:ilvl w:val="0"/>
          <w:numId w:val="40"/>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合同标的及金额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合同标的及金额应与中标（成交）结果一致。乙方为履行本合同而发生的所有费用均应包含在合同价款中，甲方不再另行支付其他任何费用。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履行合同的时间、地点和方式</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乙方应当在约定的时间、地点，按照约定方式履行合同。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 甲方的权利和义务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甲方有权要求乙方按时提交各阶段有关安排计划，并有权定期核对乙方提供货物数量、规格、质量等内容。甲方有权督促乙方工作并要求乙方更换不符合要求的货物。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甲方有权要求乙方对缺陷部分予以修复，并按合同约定享有货物保修及其他合同约定的权利。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4.4 甲方应当按照合同约定及时对交付的货物进行验收，未在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约定的期限内对乙方履约提出任何异议或者向乙方作出任何说明的，视为验收通过。</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4.5 甲方应当根据合同约定及时向乙方支付合同价款，不得以内部人员变更、履行内部付款流程等为由，拒绝或迟延支付。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4.6 国家法律法规规定及</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约定应由甲方承担的其他义务和责任。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乙方的权利和义务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签署合同后，乙方应确定项目负责人（或项目联系人），负责与本合同有关的事务。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left="0" w:right="0" w:firstLine="493"/>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5.3</w:t>
      </w:r>
      <w:r>
        <w:rPr>
          <w:rFonts w:ascii="KaiTi" w:hAnsi="KaiTi" w:eastAsia="KaiTi" w:cs="KaiTi"/>
          <w:color w:val="000000"/>
          <w:sz w:val="28"/>
        </w:rPr>
        <w:t xml:space="preserve">乙方有权根据合同约定向甲方收取合同价款。</w:t>
      </w:r>
      <w:r/>
    </w:p>
    <w:p>
      <w:pPr>
        <w:ind w:left="0" w:right="0" w:firstLine="493"/>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5.4</w:t>
      </w:r>
      <w:r>
        <w:rPr>
          <w:rFonts w:ascii="KaiTi" w:hAnsi="KaiTi" w:eastAsia="KaiTi" w:cs="KaiTi"/>
          <w:color w:val="000000"/>
          <w:sz w:val="28"/>
        </w:rPr>
        <w:t xml:space="preserve">国家法律法规规定及</w:t>
      </w:r>
      <w:r>
        <w:rPr>
          <w:rFonts w:ascii="KaiTi" w:hAnsi="KaiTi" w:eastAsia="KaiTi" w:cs="KaiTi"/>
          <w:b/>
          <w:color w:val="000000"/>
          <w:sz w:val="28"/>
        </w:rPr>
        <w:t xml:space="preserve">【政府采购合同专用条款】</w:t>
      </w:r>
      <w:r>
        <w:rPr>
          <w:rFonts w:ascii="KaiTi" w:hAnsi="KaiTi" w:eastAsia="KaiTi" w:cs="KaiTi"/>
          <w:color w:val="000000"/>
          <w:sz w:val="28"/>
        </w:rPr>
        <w:t xml:space="preserve">约定应由乙方承担的其他义务和责任。</w:t>
      </w:r>
      <w:r/>
    </w:p>
    <w:p>
      <w:pPr>
        <w:numPr>
          <w:ilvl w:val="0"/>
          <w:numId w:val="41"/>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 甲乙双方应当按照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约定顺序履行合同义务；如果没有先后顺序的，应当同时履行。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货物包装、运输、保险和交付要求</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本合同涉及商品包装、快递包装的，除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另有约定外，包装应适应远距离运输、防潮、防震、防锈和防野蛮装卸等要求，确保货物安全无损地运抵</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约定的指定现场。</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 除</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另有约定外，乙方负责办理将货物运抵本合同规定的交货地点，并装卸、交付至甲方的一切运输事项，相关费用应包含在合同价款中。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货物保险要求按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 乙方在运输到达之前应提前通知甲方，并提示货物运输装卸的注意事项，甲方配合乙方做好货物的接收工作。</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7.6 如因包装、运输问题导致货物损毁、丢失或者品质下降，甲方有权要求降价、换货、拒收部分或整批货物，由此产生的费用和损失，均由乙方承担。</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质量标准和保证</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8.1 质量标准</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left="0" w:right="0" w:firstLine="40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（2）采用中华人民共和国法定计量单位。</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（3）乙方所提供的货物应符合国家有关安全、环保、卫生的规定。</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（4）乙方应向甲方提交所提供货物的技术文件，包括相应的中文技术文件，如：产品目录、图纸、操作手册、使用说明、维护手册或服务指南等。上述文件应包装好随货物一同发运。</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保证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规定或乙方书面承诺（两者以较长的为准）的质量保证期内，本保证保持有效。</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（2）在质量保证期内所发现的缺陷，甲方应尽快以书面形式通知乙方。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（3）乙方收到通知后，应在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规定的响应时间内以合理的速度免费维修或更换有缺陷的货物或部件。</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（5）乙方在约定的时间内未能弥补缺陷，甲方可采取必要的补救措施，但其风险和费用将由乙方承担，甲方根据合同约定对乙方行使的其他权利不受影响。</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权利瑕疵担保</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 乙方保证对其出售的货物享有合法的权利。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乙方保证在交付的货物上不存在抵押权等担保物权。</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9.3 如甲方使用上述货物构成对第三人侵权的，则由乙方承担全部责任。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知识产权保护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11.保密义务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中约定。</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12.合同价款支付</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合同价款支付按照国库集中支付制度及财政管理相关规定执行。</w:t>
      </w:r>
      <w:r/>
    </w:p>
    <w:p>
      <w:pPr>
        <w:pStyle w:val="824"/>
        <w:ind w:left="0" w:right="0" w:firstLine="420"/>
        <w:jc w:val="center"/>
        <w:spacing w:before="260" w:after="26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w:t>
      </w:r>
      <w:r>
        <w:rPr>
          <w:rFonts w:ascii="YouYuan" w:hAnsi="YouYuan" w:eastAsia="YouYuan" w:cs="YouYuan"/>
          <w:color w:val="000000"/>
          <w:sz w:val="21"/>
        </w:rPr>
        <w:t xml:space="preserve">对于满足合同约定支付条件的，甲方原则上应当自收到发票后</w:t>
      </w:r>
      <w:r>
        <w:rPr>
          <w:rFonts w:ascii="SimSun" w:hAnsi="SimSun" w:eastAsia="SimSun" w:cs="SimSun"/>
          <w:color w:val="000000"/>
          <w:sz w:val="21"/>
        </w:rPr>
        <w:t xml:space="preserve">10</w:t>
      </w:r>
      <w:r>
        <w:rPr>
          <w:rFonts w:ascii="YouYuan" w:hAnsi="YouYuan" w:eastAsia="YouYuan" w:cs="YouYuan"/>
          <w:color w:val="000000"/>
          <w:sz w:val="21"/>
        </w:rPr>
        <w:t xml:space="preserve">个工作日内将资金支付到合同约定的乙方账户，不得以机构变动、人员更替、政策调整等为由迟延付款，不得将采购文件和合同中未规定的义务作为向乙方付款的条件。具体合同价款支付时间在【</w:t>
      </w:r>
      <w:r>
        <w:rPr>
          <w:rFonts w:ascii="YouYuan" w:hAnsi="YouYuan" w:eastAsia="YouYuan" w:cs="YouYuan"/>
          <w:b/>
          <w:color w:val="000000"/>
          <w:sz w:val="21"/>
        </w:rPr>
        <w:t xml:space="preserve">政府采购合同专用条款</w:t>
      </w:r>
      <w:r>
        <w:rPr>
          <w:rFonts w:ascii="YouYuan" w:hAnsi="YouYuan" w:eastAsia="YouYuan" w:cs="YouYuan"/>
          <w:color w:val="000000"/>
          <w:sz w:val="21"/>
        </w:rPr>
        <w:t xml:space="preserve">】中约定。</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w:t>
      </w:r>
      <w:r>
        <w:rPr>
          <w:rFonts w:ascii="KaiTi" w:hAnsi="KaiTi" w:eastAsia="KaiTi" w:cs="KaiTi"/>
          <w:b/>
          <w:color w:val="000000"/>
          <w:sz w:val="24"/>
        </w:rPr>
        <w:t xml:space="preserve">履约保证金</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乙方应当以支票、汇票、本票或者金融机构、担保机构出具的保函等非现金形式提交。</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如果乙方出现</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甲方在项目通过验收后按照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规定的时间内将履约保证金退还乙方；逾期退还的，乙方可要求甲方支付违约金，违约金按照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14.售后服务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除项目不涉及或采购活动中明确约定无须承担外，乙方还应提供下列服务：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（1）货物的现场移动、安装、调试、启动监督及技术支持；</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（2）提供货物组装和维修所需的专用工具和辅助材料；</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约定的期限内对所有的货物实施运行监督、维修，但前提条件是该服务并不能免除乙方在质量保证期内所承担的义务；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（4）在制造商所在地或指定现场就货物的安装、启动、运营、维护、废弃处置等对甲方操作人员进行培训；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（5）依照法律、行政法规的规定或者按照</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约定，货物在有效使用年限届满后应予回收的，乙方负有自行或者委托第三人对货物予以回收的义务；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规定由乙方提供的其他服务。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乙方提供的售后服务的费用已包含在合同价款中，甲方不再另行支付。</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15.1质量瑕疵的违约责任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乙方提供的产品不符合合同约定的质量标准或存在产品质量缺陷，甲方有权要求乙方根据</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要求及时修理、重作、更换，并承担由此给甲方造成的损失。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15.2迟延交货的违约责任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（2）如果乙方没有按照合同规定的时间交货和提供相关服务，甲方有权从货款中扣除误期赔偿费而不影响合同项下的其他补救方法，赔偿费按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规定执行。如果涉及公共利益，且赔偿金额无法弥补公共利益损失，甲方可要求继续履行或者采取其他补救措施。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迟延支付的违约责任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甲方存在迟延支付乙方合同款项的，应当承担</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规定的逾期付款利息。</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15.4其他违约责任根据项目实际需要按</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规定执行。</w:t>
      </w:r>
      <w:r/>
    </w:p>
    <w:p>
      <w:pPr>
        <w:numPr>
          <w:ilvl w:val="0"/>
          <w:numId w:val="4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合同变更、中止与终止</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16.1合同的变更</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政府采购合同履行中，在不改变合同其他条款的前提下，甲方可以在合同价款10%的范围内追加与合同标的相同的货物，并就此与乙方协商一致后签订补充协议。</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16.2合同的中止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（1）合同履行过程中因供应商就采购文件、采购过程或结果提起投诉的，甲方认为有必要的，可以中止合同的履行。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（4）甲方不得以行政区划调整、政府换届、机构或者职能调整以及相关责任人更替为由中止合同。</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16.3合同的终止</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（1）合同因有效期限届满而终止；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（2）乙方未按合同约定履行，构成根本性违约的，甲方有权终止合同，并追究乙方的违约责任。</w:t>
      </w:r>
      <w:r/>
    </w:p>
    <w:p>
      <w:pPr>
        <w:ind w:left="0" w:right="0" w:firstLine="44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16.4 </w:t>
      </w:r>
      <w:r>
        <w:rPr>
          <w:rFonts w:ascii="SimSun" w:hAnsi="SimSun" w:eastAsia="SimSun" w:cs="SimSun"/>
          <w:color w:val="000000"/>
          <w:sz w:val="21"/>
        </w:rPr>
        <w:t xml:space="preserve">涉及国家利益、社会公共利益的情形</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乙方不得将合同转包给其他供应商。涉及合同分包的，乙方应根据采购文件和投标（响应）文件规定进行合同分包。</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乙方执行政府采购政策向中小企业依法分包的，乙方应当按采购文件和投标（响应）文件签订分包意向协议，分包意向协议属于本合同组成部分。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18.不可抗力</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不可抗力是指合同双方不能预见、不能避免且不能克服的客观情况。</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任何一方对由于不可抗力造成的部分或全部不能履行合同不承担违约责任。但迟延履行后发生不可抗力的，不能免除责任。</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19.解决争议的方法</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19.1因本合同及合同有关事项发生的争议，由甲乙双方友好协商解决。协商不成时，可以向有关组织申请调解。合同一方或双方不愿调解或调解不成的，可以通过仲裁或诉讼的方式解决争议。</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19.2选择仲裁的，应在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中明确仲裁机构及仲裁地；通过诉讼方式解决的，可以在</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中进一步约定选择与争议有实际联系的地点的人民法院管辖，但管辖法院的约定不得违反级别管辖和专属管辖的规定。</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19.3如甲乙双方有争议的事项不影响合同其他部分的履行，在争议解决期间，合同其他部分应当继续履行。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 本合同应当按照规定执行政府采购政策。</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left="0" w:right="0" w:firstLine="56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20.3</w:t>
      </w:r>
      <w:r>
        <w:rPr>
          <w:rFonts w:ascii="KaiTi" w:hAnsi="KaiTi" w:eastAsia="KaiTi" w:cs="KaiTi"/>
          <w:color w:val="000000"/>
          <w:sz w:val="28"/>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 法律适用</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21.1本合同的订立、生效、解释、履行及与本合同有关的争议解决，均适用法律、行政法规。</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21.2本合同条款与法律、行政法规的强制性规定不一致的，双方当事人应按照法律、行政法规的强制性规定修改本合同的相关条款。</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通知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22.1本合同任何一方向对方发出的通知、信件、数据电文等，应当发送至本合同第一部分《政府采购合同协议书》所约定的通讯地址、联系人、联系电话或电子邮箱。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22.2 一方当事人变更名称、住所、联系人、联系电话或电子邮箱等信息的，应当在变更后3日内及时书面通知对方，对方实际收到变更通知前的送达仍为有效送达。</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22.3本合同一方给另一方的通知均应采用书面形式，传真或快递送到本合同中规定的对方的地址和办理签收手续。</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22.4通知以送达之日或通知书中规定的生效之日起生效，两者中以较迟之日为准。</w:t>
      </w:r>
      <w:r/>
    </w:p>
    <w:p>
      <w:pPr>
        <w:numPr>
          <w:ilvl w:val="0"/>
          <w:numId w:val="42"/>
        </w:numP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合同未尽事项</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23.1合同未尽事项见</w:t>
      </w:r>
      <w:r>
        <w:rPr>
          <w:rFonts w:ascii="SimSun" w:hAnsi="SimSun" w:eastAsia="SimSun" w:cs="SimSun"/>
          <w:b/>
          <w:color w:val="000000"/>
          <w:sz w:val="21"/>
        </w:rPr>
        <w:t xml:space="preserve">【政府采购合同专用条款】</w:t>
      </w:r>
      <w:r>
        <w:rPr>
          <w:rFonts w:ascii="SimSun" w:hAnsi="SimSun" w:eastAsia="SimSun" w:cs="SimSun"/>
          <w:color w:val="000000"/>
          <w:sz w:val="21"/>
        </w:rPr>
        <w:t xml:space="preserve">。</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23.2 合同附件与合同正文具有同等的法律效力。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pStyle w:val="824"/>
        <w:ind w:left="0" w:right="0" w:firstLine="0"/>
        <w:jc w:val="center"/>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第三节 政府采购合同专用条款</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7"/>
        <w:gridCol w:w="1742"/>
        <w:gridCol w:w="5170"/>
      </w:tblGrid>
      <w:tr>
        <w:trPr>
          <w:trHeight w:val="7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第1.2（6）项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联合体具体要求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第1.2（7）项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其他术语解释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履约验收中甲方提出异议或作出说明的期限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第4.6款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约定甲方承担的其他义务和责任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约定乙方承担的其他义务和责任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第6.1款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履行合同义务的顺序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包装特殊要求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指定现场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运输特殊要求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6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第7.3款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第8.2（1）项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42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第8.2（3）项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货物质量缺陷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第11.1款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其他应当保密的信息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第12.2款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合同价款支付时间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第13.3款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履约保证金退还时间及逾期退还的违约金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第14.1（3）项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运行监督、维修期限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第14.1（5）项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货物回收的约定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第14.1（6）项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乙方提供的其他服务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修理、重作、更换相关具体规定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第15.2（2）项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迟延交货赔偿费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7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第15.3款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逾期付款利息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8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第15.4款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其他违约责任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第19.2款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解决争议的方法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因本合同及合同有关事项发生的争议，按下列第</w:t>
            </w:r>
            <w:r>
              <w:rPr>
                <w:rFonts w:ascii="SimSun" w:hAnsi="SimSun" w:eastAsia="SimSun" w:cs="SimSun"/>
                <w:color w:val="000000"/>
                <w:sz w:val="21"/>
                <w:u w:val="single"/>
              </w:rPr>
              <w:t xml:space="preserve">   </w:t>
            </w:r>
            <w:r>
              <w:rPr>
                <w:rFonts w:ascii="SimSun" w:hAnsi="SimSun" w:eastAsia="SimSun" w:cs="SimSun"/>
                <w:color w:val="000000"/>
                <w:sz w:val="21"/>
              </w:rPr>
              <w:t xml:space="preserve">种方式解决：</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w:t>
            </w:r>
            <w:r>
              <w:rPr>
                <w:rFonts w:ascii="SimSun" w:hAnsi="SimSun" w:eastAsia="SimSun" w:cs="SimSun"/>
                <w:color w:val="000000"/>
                <w:sz w:val="21"/>
                <w:u w:val="single"/>
              </w:rPr>
              <w:t xml:space="preserve">                    </w:t>
            </w:r>
            <w:r>
              <w:rPr>
                <w:rFonts w:ascii="SimSun" w:hAnsi="SimSun" w:eastAsia="SimSun" w:cs="SimSun"/>
                <w:color w:val="000000"/>
                <w:sz w:val="21"/>
              </w:rPr>
              <w:t xml:space="preserve">仲裁委员会申请仲裁，仲裁地点为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                    </w:t>
            </w:r>
            <w:r>
              <w:rPr>
                <w:rFonts w:ascii="SimSun" w:hAnsi="SimSun" w:eastAsia="SimSun" w:cs="SimSun"/>
                <w:color w:val="000000"/>
                <w:sz w:val="21"/>
              </w:rPr>
              <w:t xml:space="preserve">人民法院起诉。</w:t>
            </w:r>
            <w:r/>
          </w:p>
        </w:tc>
      </w:tr>
      <w:tr>
        <w:trPr>
          <w:trHeight w:val="7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第23.1款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其他专用条款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1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p>
      <w:pPr>
        <w:ind w:left="0" w:right="0" w:firstLine="44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第四章 采购需求</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本项目属性：货物类项目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投标人所投内容必须满足以下要求，不得有负偏离。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本项目标的物所属行业： 工业</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第一部分  项目技术要求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核心产品名称：桌面级</w:t>
      </w:r>
      <w:r>
        <w:rPr>
          <w:rFonts w:ascii="Times New Roman" w:hAnsi="Times New Roman" w:eastAsia="Times New Roman" w:cs="Times New Roman"/>
          <w:color w:val="000000"/>
          <w:sz w:val="21"/>
        </w:rPr>
        <w:t xml:space="preserve">VR</w:t>
      </w:r>
      <w:r>
        <w:rPr>
          <w:rFonts w:ascii="SimSun" w:hAnsi="SimSun" w:eastAsia="SimSun" w:cs="SimSun"/>
          <w:color w:val="000000"/>
          <w:sz w:val="21"/>
        </w:rPr>
        <w:t xml:space="preserve">教学一体机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核心产品数量：</w:t>
      </w:r>
      <w:r>
        <w:rPr>
          <w:rFonts w:ascii="Times New Roman" w:hAnsi="Times New Roman" w:eastAsia="Times New Roman" w:cs="Times New Roman"/>
          <w:color w:val="000000"/>
          <w:sz w:val="21"/>
        </w:rPr>
        <w:t xml:space="preserve">7</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9"/>
        <w:gridCol w:w="626"/>
        <w:gridCol w:w="1603"/>
        <w:gridCol w:w="4721"/>
        <w:gridCol w:w="751"/>
        <w:gridCol w:w="13"/>
        <w:gridCol w:w="138"/>
        <w:gridCol w:w="814"/>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序号</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技术参数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数量</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单位</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1、教学类设备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86寸智能一体式黑板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一、整体设计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1.整机屏幕采用86英寸液晶显示器，整机采用超高清LED液晶显示屏，显示比例16:9，分辨率3840×2160。钢化玻璃表面硬度≥9H。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2.侧置输入接口具备2路HDMI、1路RS232、1路USB接口；侧置输出接口具备1路音频输出、1路触控USB输出；前置输入接口具备3路USB接口（包含1路Type-C、2路USB）。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3.内存≥2GB，存储空间≥8GB。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4.采用红外触控方式，支持系统中进行20点或以上触控。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整机内置2.2声道扬声器，位于设备上边框，顶置朝前发声，前朝向10W高音扬声器2个，上朝向20W中低音扬声器2个，额定总功率60W；采用缝隙发声技术，喇叭采用槽式开口设计，不大于5.8mm；整机扬声器在100%音量下，可做到1米处声压级≥88db，10米处声压级≥79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6.整机内置非独立外扩展的8阵列麦克风，拾音角度≥180°，可用于对教室环境音频进行采集，拾音距离≥12m。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支持色彩空间可选，包含标准模式和sRGB模式，在sRGB模式下可做到高色准△E≤1，支持发出频率为18kHz-22kHz超声波信号，智能手机通过麦克风接收后，智能手机与整机无需在同一局域网内，可实现配对，一键投屏，用户无需手动输入投屏码或扫码获取投屏码。</w:t>
            </w:r>
            <w:r>
              <w:rPr>
                <w:rFonts w:ascii="SimSun" w:hAnsi="SimSun" w:eastAsia="SimSun" w:cs="SimSun"/>
                <w:b/>
                <w:color w:val="000000"/>
                <w:sz w:val="20"/>
              </w:rPr>
              <w:t xml:space="preserve">（提供CNAS或CMA认证的检测机构出具的检测报告复印件并加盖公章，否则投标无效）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8.整机系统支持手势上滑调出人工智能画质调节模式（AI-PQ），可根据屏幕内容自动调节画质参数，当屏幕出现人物、建筑、夜景等元素时，自动调整对比度、饱和度、锐利度、色调色相值、高光/阴影。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9.整机全通道支持纸质护眼模式，可实现画面纹理的实时调整；支持纸质纹理：牛皮纸、素描纸、宣纸、水彩纸、水纹纸；支持透明度调节；支持色温调节。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10.整机具备至少14 个前置按键。可实现开关机、调出中控菜单、音量+/-、护眼、录屏、保存、红白笔切换、启动板书操作。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二、板书记忆功能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1.整机支持左右单侧副屏分别不少于 4 个物理按键。整机左右单侧副屏物理按键包括：启动板书、窗口展开收起、2 个自定义按键。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2.整机支持通过点击侧边黑板物理按键，启动板书软件。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3.整机支持通过黑板物理按钮一键切换为红色笔，一键切换为白色笔，切换后主屏板书软件的笔迹颜色随之改变；教师停留在黑板前就可以在白笔和红色笔之间切换颜色，勾画教学内容。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4.整机支持记忆板书悬浮窗口，支持此窗口在桌面上任意位置的拖动，在副屏板书书写的同时，浮窗内同步显示书写轨迹。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5.整机板书软件支持开启、退出副屏电子化板书记录功能，支持记录倒计时提示、停止记录功能。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6.整机板书软件支持在设备一侧，同时进行粉笔书写和板擦擦除并在主屏同步显示。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7.整机板书电子化保存方式：支持手动存储，支持自动存储。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8.整机支持黑屏记录模式，可以实现左右副屏板书与主屏板书内容均以电子化同时保存，在两侧黑板和主屏均可以使用粉笔书写，主屏粉笔书写时，不因主屏显示效果影响学生查看粉笔板书。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9.黑板板书图片可通过二维码进行分享，用户只需用手机扫码二维码即可在手机端获取图片。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1.模块可抽拉式插入整机，可实现无单独接线的插拔，采用按压式卡扣，无需工具就可快速拆卸电脑模块。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2.模块和整机的连接采用万兆级接口，传输速率≥10Gbps。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3.主频≥2.0GHz，8核心十二线程；配置要求：不低于 DDR4 8GB内存，256GB SSD硬盘；接口要求：≥1路HDMI，≥3路USB。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86寸双拼智慧黑板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正面为两块不低于86英寸液晶屏拼接而成的平面黑板，整体外观尺寸：宽≤3950mm，高≤1250mm。下沿具有一体化弧形铝型材笔槽可用于放置触摸笔、粉笔教学用品，边沿无突出尖角，有效保护师生安全。两块液晶屏中间有效显示区域之间距离不超过25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2、采用电容触控方式，不低于20点触摸。要求单液晶屏分辨率3840*2160，显示比例为16:9，可通过手势菜单设置融合拼接显示，达到32:9的显示比例效果，分辨率为3840x1080。</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显示为两块UHD超高清液晶屏拼接，处于同一竖直平面，无任何凸起，无推拉式结构，液晶屏表面采用不低于4mm防眩光纳米钢化玻璃，强光条件下仍然保持清晰显示。支持普通粉笔、无尘粉笔、水笔、白板笔等书写，挂粉率高，书写清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4、每块屏前置非转接接口：USB3.0≥3，USB TOUCH≥1，HDMI≥1，TYPEC≥1，所有接口位于黑板屏幕下侧，不占显示面积，提供完整的显示及书写板面。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为方便老师操作，整机具有不少于8个前置实体按键实现高频应用功能，包括但不仅限于电源开关、进入主页、屏幕锁定、屏幕录制、触摸锁定、音量+-等，均具有清晰简体中文标识，有效避免教学误操作，为简化操作，以上功能均一键直达，非多个按键组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6、采用标准80针OPS-C模块化电脑方案，非企业自定义接口。向下抽拉式设计，方便维护。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2、内存不低于8GB DDR4，固态硬盘不低于256GB SSD。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3、具有不少于5个独立非外扩展的电脑USB接口。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4、具有视频输出接口：至少1路HDMI接口。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86寸交互平板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一、整机设计：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1、整机尺寸不低于86英寸，屏幕采用超高清LED液晶显示屏，显示比例16:9，分辨率3840×2160；屏幕表面采用全物理钢化玻璃，支持防眩光功能，玻璃表面硬度≥9H。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2、内存≥2GB，存储空间≥8GB。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3、采用红外触控技术，支持系统中进行40点或以上触控。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整机支持5个自定义前置按键，“设置”“音量－”，“音量+”，“录屏”，“护眼”按键，可通过自定义设置实现前置面板功能按键一键启用任一全局小工具（批注、截屏、计时、降半屏、放大镜、倒数日、日历）、快捷开关（节能模式、纸质护眼模式、经典护眼模式、自动亮度模式）、课堂智能反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6、整机支持蓝牙Bluetooth 5.4标准，固件版本号HCI13.0/LMP13.0；Wi-Fi制式支持IEEE 802.11 a/b/g/n/ac/ax；内置双WiFi6无线网卡，Wi-Fi及AP热点支持频段2.4GHz/5GHz。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7、整机上边框内置非独立式3个智能拼接摄像头，视场角≥141度且水平视场角≥139度，可拍摄≥1600万像素的照片，支持输出8192×2048分辨率的照片和视频，支持画面畸变矫正功能。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8、整机摄像头支持人脸识别、清点人数、随机抽人；识别所有学生，显示标记，随机抽选，同时显示标记不少于60人，支持距离摄像头位置≥10米距离的AI识别人脸。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9、整机支持提笔书写，在系统下可实现无需点击任意功能入口，当检测到红外笔笔尖接触屏幕时，自动进入书写模式。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整机触摸支持动态压力感应，支持无任何电子功能的普通书写笔在整机上书写或点压时，整机能感应压力变化，书写或点压过程笔迹呈现不同粗细，支持同一支笔，笔头、笔尾书写不同的颜色，且颜色可自定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11、整机支持上边框内置非独立摄像头模组，同时输出至少 3 路视频流，同时支持课堂远程巡课、课堂教学数据采集、本地画面预览（拍照或视频录制）。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12、设备自带地震预警软件，支持在地震预警页面中获取位置，可以手动进行位置校准；支持在地震预警页面中选择提醒阈值；支持在地震预警界面中开启和关闭地震预警服务。</w:t>
            </w:r>
            <w:r>
              <w:rPr>
                <w:rFonts w:ascii="SimSun" w:hAnsi="SimSun" w:eastAsia="SimSun" w:cs="SimSun"/>
                <w:b/>
                <w:color w:val="000000"/>
                <w:sz w:val="20"/>
              </w:rPr>
              <w:t xml:space="preserve">（提供CNAS或CMA认证的检测机构出具的检测报告复印件并加盖公章，否则投标无效）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13、整机设备教学桌面的教师登录账号后，可自动获取并在桌面显示最近使用的教学课件，点击课件可直接进入授课模式；并支持查看所有个人教学课件资源。</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1、模块可抽拉式插入整机，可实现无单独接线的插拔，采用按压式卡扣，无需工具就可快速拆卸电脑模块。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2、模块和整机的连接采用万兆级接口，传输速率≥10Gbps。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3.主频≥2.0GHz，8核心十二线程；配置要求：不低于 DDR4 8GB内存，256GB SSD硬盘；接口要求：≥1路HDMI，≥3路USB。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（一）备授课功能：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1.为教师提供可扩展的云存储空间。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2.支持分组管理云课件，用户可自定义分组名称，并根据需要将课件分类管理。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3.支持点对点分享云课件，用户可在软件中直接将课件发送给其它用户，同时也可以在软件中直接接收并打开其它用户分享的课件。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4.支持多人在选择书写工具的状态下同时书写和擦除，互不影响，方便不同学生在屏幕上同时书写。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5.支持创建互动分类游戏，系统需提供不少于10种游戏模板，直接选择并输入相应内容即可轻松生成互动分类游戏，提升课堂趣味性。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提供思维导图、鱼骨图及组织结构图编辑功能，可轻松增删或拖拽编辑内容节点，并支持在节点上插入图片、音频、视频、网页链接、课件页面链接。支持思维导图逐级、逐个节点展开，并可任意缩放，满足不同演示需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7.支持任意对象自定义路径动画设置，可绘制任意的移动轨迹并让对象沿着轨迹路径进行移动，可单独设置该动画通过翻页或单击对象本身进行触发。</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提供备课场景中搜索课件库课件资源，支持整份课件或按照课件页插入课件中；支持按照教学环节筛选对应课件页一键插入课件中，例如导入新课、作者简介等等；支持按照元素类型如思维导图、课堂活动等等，用户可按需所取，在查看部分课件的同时支持查看对应整份课件，了解作者整体教学思路，便于教师积木式补充课件缺失部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（二）直播课堂功能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1.支持一键开课，教师可通过一键开课生成海报，学生可通过扫描海报微信二维码加入直播课堂。</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2.支持远程课件互动，教师可指定授权学生远程互动，并且互动学生可在课件画面进行书写、移动、擦除、参与远程互动，操作内容实时同步给班级其他学生，且可支持最少五位学生同时参与远程互动。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3.课堂奖励工具：直播过程中可向学生发放奖杯，学生在线学习获得的奖杯数量累积统计。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4.远程考勤管理：直播课程结束后，后台自动统计报名学生名单和学生学习清单。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5.课程回放：课程结束后自动生成直播回放，报名课程的学生可反复学习；回放课程自动保存在云端，支持人工删除。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（三）微课功能：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在微课录制、编辑中，插入图片、视频、答题板、课堂活动，增加微课互动性和趣味性。图片支持插入png,webp,jpg等格式，视频支持插入mp4格式，课堂活动支持插入知识配对、选词填空、记忆卡片、知识排序、拼词、分类等不少于7种模式，习题支持插入选择题答题板、主观题答题板、 限制答题时长。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2.支持选择云端课件录制、本地文件录制、模板录制三种模式，录制的微课内容存储于云端，本地文件录制模式支持不少3种文件格式，模板录制模式提供至少5种模板类型。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3.支持回收微课的观看结果，辅助教师分析学情。支持查看微课整体数据，包括：观看次数、观看人数、点赞次数、完课率、平均观看时长等信息。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4.支持查看每个观看者的详细观看结果，包括：学生姓名、观看时长、观看次数、互动参与度、答题正确率等信息。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（四）集体备课：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发起集备：支持选择教案、课件、胶囊资源上传发起集备研讨，支持设置多重访问权限，通过手机号搜索即可邀请外校老师，可用于跨校教研场景。稿件编辑：完成本次研讨后，主备人可直接进入编辑页面编辑课件/教案，发布新稿件后，备课组进入下一轮打磨更新稿件后会给参备老师实时同步教研动态。支持生成集备报告，报告生成后，参备人可查看具体报告内容和下载集备报告。报告内包含集备信息、数据统计、研讨记录的具体内容。</w:t>
            </w:r>
            <w:r>
              <w:rPr>
                <w:rFonts w:ascii="SimSun" w:hAnsi="SimSun" w:eastAsia="SimSun" w:cs="SimSun"/>
                <w:b/>
                <w:color w:val="000000"/>
                <w:sz w:val="20"/>
              </w:rPr>
              <w:t xml:space="preserve">（提供CNAS或CMA认证的检测机构出具的检测报告复印件并加盖公章，否则投标无效）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光能板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可与液晶一体机、电子白板等电子设备进行组合应用。</w:t>
              <w:br/>
              <w:t xml:space="preserve">既可一键擦除又可局部擦除，可使用板擦对书写错误字迹进行局部擦除。</w:t>
              <w:br/>
              <w:t xml:space="preserve">无需手动更换电池或定期充电；内部备有应急供电系统，在停电情况下仍可进行一键擦除。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交互平板配套支架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AI智慧黑板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一、整机设计：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整机采用全金属外壳，三拼接平面一体化设计，外观尺寸：宽≥4200mm，高≥1200mm，厚≤106mm；屏幕边缘采用金属圆角包边防护，整机背板采用金属材质，有效屏蔽内部电路器件辐射；防潮耐盐雾蚀锈，适应多种教学环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2、整机屏幕尺寸不低于86英寸，屏幕采用超高清LED液晶显示屏，显示比例16:9，分辨率3840×2160；屏幕表面采用全物理钢化玻璃，支持防眩光功能，玻璃表面硬度≥9H。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3、整机侧置输入接口要求：具备不少于2路HDMI、1路RS232、1路USB接口，1路3.5mm audio in 音频输入接口；整机侧置输出接口要求：具备不少于1路3.5mm audio out音频输出、1路触控USB输出，不少于1路HDMI out接口，支持3840×2160p/60Hz视频输出；前置输入接口具备3路USB接口（包含1路Type-C、2路USB），前置 USB 接口具备防撞挡板设计，防撞挡板采用内嵌翻转式转轴。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4、内存≥4GB，存储空间≥32GB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5、屏幕采用全贴合技术，电容触控方式，支持系统中进行50点或以上触控。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6、整机内置独立千兆网络交换机模块，满足整机内PC模块、算力模块单元之间实现数据通信。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整机内置2.2声道扬声器，位于设备上边框，顶置朝前发声，前朝向10W高音扬声器2个，上朝向20W中低音扬声器2个，额定总功率60W；采用缝隙发声技术，喇叭采用槽式开口设计，不大于5.8mm，扬声器在100%音量下，可做到1米处声压级≥88db，10米处声压级≥79d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8、整机内置专属的4核音频CPU处理器，最多支持8路麦克风数据处理，采样率支持192K，支持麦克风3A算法（自动增益控制（AGC）、自动抑制噪声（ANC）、自动回声消除（AEC），提升麦克风拾音效果。）</w:t>
            </w:r>
            <w:r>
              <w:rPr>
                <w:rFonts w:ascii="SimSun" w:hAnsi="SimSun" w:eastAsia="SimSun" w:cs="SimSun"/>
                <w:b/>
                <w:color w:val="000000"/>
                <w:sz w:val="20"/>
              </w:rPr>
              <w:t xml:space="preserve">（提供CNAS或CMA认证的检测机构出具的检测报告复印件并加盖公章，否则投标无效）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9、整机支持蓝牙Bluetooth 5.4标准，固件版本号HCI13.0/LMP13.0；Wi-Fi制式支持IEEE 802.11 a/b/g/n/ac/ax；内置双WiFi6无线网卡，Wi-Fi及AP热点支持频段2.4GHz/5GHz。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10、整机设备支持通过前置面板物理按键一键启动AI课堂数据分析及反馈功能，可将屏幕中显示的课件、音频内容与人声同时录制。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11、整机内置NFC读卡模块，可配合应用实现刷卡解锁，刷卡登录账号功能。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整机上边框内置非独立式摄像头，采用一体化集成设计，摄像头数量≥4个，视场角≥151度且水平视场角≥135度，支持输出4:3、16:9比例的图片和视频；在清晰度为3840x2160分辨率下，支持30帧的视频输出；且摄像头均支持 3D 降噪算法和数字宽动态范围成像WDR技术，支持输出 MJPG、H.264 视频格式。</w:t>
            </w:r>
            <w:r>
              <w:rPr>
                <w:rFonts w:ascii="SimSun" w:hAnsi="SimSun" w:eastAsia="SimSun" w:cs="SimSun"/>
                <w:b/>
                <w:color w:val="000000"/>
                <w:sz w:val="20"/>
              </w:rPr>
              <w:t xml:space="preserve">（提供CNAS或CMA认证的检测机构出具的检测报告复印件并加盖公章，否则投标无效）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整机支持手笔分离，通过提笔即写唤醒批注功能后，可进行手笔分离功能，使用笔正常书写，使用手指可以操作应用，进行点击操作；支持智能板擦功能，系统可根据触控物体的形状自动识别出实物板擦，可擦除电子白板中的内容，无需依赖外部电子设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整机内置全通道侧边栏快捷菜单，小工具、应用软件、快捷设置、亮度/音量调节、教室物联入口；快捷菜单支持简洁模式和常规模式切换，支持自定义快捷菜单，支持应用固定，可将应用固定后，在侧边栏进行快捷打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1、模块可抽拉式插入整机，可实现无单独接线的插拔，采用按压式卡扣，无需工具就可快速拆卸电脑模块。</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2、模块和整机的连接采用万兆级接口，传输速率≥10Gbps。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3.主频≥2.0GHz，8核心十二线程；配置要求：不低于 DDR4 8GB内存，256GB SSD硬盘；接口要求：≥1路HDMI，≥3路USB。</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AI算力模块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与AI智慧黑板配套</w:t>
              <w:br/>
              <w:t xml:space="preserve"> 1、AI算力模块最大外形尺寸≤230*220*30（mm）；采用双矩形把手设计，两个把手位置分别支持按压式卡锁装置，按压解锁，释放自动卡锁；支持双翼锁紧装置。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2、AI算力模块前置面板支持2路PoE out接口；支持插入MicroSD卡接口，用于系统升级；支持独立复位按键；具有3.5mm圆孔接口，支持调试功能；具有2路LED状态指示灯。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3、AI算力模块采用8核A53内核芯片，主频≥2.3GHz；后置面板支持40针接口。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4、内存≥16GB，256GB存储，支持额外扩展512GB/1TB SSD存储。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4K教师观察摄像机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1、产品采用一体化设计，内置4k摄像头和麦克风。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2、摄像头水平视场角≥40°，对角线视场角≥45°，传感器有效像素≥800万，支持4K超高清影像输出。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3、产品可同时提供3路编码输出，1路支持1920x1080分辨率的课堂实录画面，帧率可设置25fps、30fps；1路支持3840x2160分辨率；1路1920x1080分辨率板书画面，菜单设置帧率可选10/5/3/1 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4、内置视频处理器采用四核处理器，≥512MB系统内存、≥128MB存储空间。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5、在无需连接外网情况下，产品支持老师在教学过程书写的板书内容和老师遮挡分层处理，输出视频中老师身体遮挡板书内容实现透视可见，实现教学过程板书可视化。</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6、在无需连接外网情况下，产品支持老师在副屏位置书写板书的图像识别，可对画面内板书内容和人物进行分层； 支持人物的隐藏和透明度调整设置。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7、产品支持H.264视频编码格式；视频码率设置范围：819Kbps ~ 12288Kbps。</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8、产品接口含2路RJ45级联接口，PoE in支持RJ45音频输入，PoE out 支持网络级联和信息输出；1路DC接口；1个红绿双色指示灯，支持显示产品工作状态；1路针孔按键，支持复位重启设备功能。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9、内置1个红绿双色指示灯，支持显示工作状态；工作状态包括：正常上电后状态、OTA升级状态、复位状态；正常工作状态为绿色；OTA升级，指示灯为绿色闪烁。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10、支持2种供电方式，PoE和DC12V供电；其中一路为POE IN，另一路为POE OUT，支持给外部POE设备供电；只需要1路网线，即可实现供电及网络信号传输，支持同时输出全景输出和板书记忆多路画面。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13、产品软件支持web端进行远程OTA在线升级。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课堂智慧反馈系统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1、系统支持通过物理按钮控制启动、停止，当系统运行时，有指示灯提示。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2、系统支持在整机设备的侧边栏中查看运行状态，当设备异常时，会进行异常提示。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系统支持对教室环境的3D还原重建，形成桌椅、讲台、一体机的真实环境建模，采集到的师生互动行为自动对应到具体课桌位置；支持正前方、左前方、右前方、左后方、右后方5种视角转换，在3D课堂孪生界面中，支持点击课堂活跃热力图中的学生头像，查看该学生的师生互动视频片段，统计该学生在本节课的上台互动、举手次数、问答次数。</w:t>
            </w:r>
            <w:r>
              <w:rPr>
                <w:rFonts w:ascii="SimSun" w:hAnsi="SimSun" w:eastAsia="SimSun" w:cs="SimSun"/>
                <w:b/>
                <w:color w:val="000000"/>
                <w:sz w:val="20"/>
              </w:rPr>
              <w:t xml:space="preserve">（提供CNAS、CMA认证的检测机构出具的检测报告复印件并加盖公章，否则投标无效）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4、在3D课堂孪生界面中，通过课桌的颜色深浅表示学生参与互动的活跃程度，基于学生上台次数、举手次数、问答次数计算学生活跃程度，颜色越深则代表越活跃。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5、在3D课堂孪生界面中，支持在地面上显示教师的巡堂轨迹，颜色越深代表停留时间越长。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6、系统支持统计课程时长、课堂中教师讲授时长、教师讲授字数、教师授课平均语速。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7、系统自动统计教师授课、师生互动、小组讨论、课堂练习的时间分布情况，支持按照饼状图样式展示，展示不同课堂行为的整体时间占比。</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8、系统自动统计教师授课、师生互动、小组讨论、课堂练习的时间分布情况，支持按照时序图样式展示，展示不同课堂行为发生的顺序、时长。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9、系统将课堂中老师和学生的声音转写为文字，按照前后文自动切割为不同的片段；片段支持展开查看详细文字，支持跳转到文字段落对应的视频片段。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10、系统支持对语音转写中的师生问答进行自动识别，所有的提问自动高亮显示，支持将识别出的问答实录一键导出为云文档。</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11、系统支持对识别出的文字进行手动校准，支持对识别出的问答片段标注是否有效，被标注有效的问答片段，在播放器时间轴对应的时间点上会高亮显示。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12、系统支持自动识别问题分类，按简单型、追问型、思考再答型、自问自答、无响应进行分类统计，通过柱状图表呈现。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13、系统支持点击问答模式柱状图对该类型的提问进行筛选，问答实录中显示对应文字明细，文字明细会按师生角色区分，并自动进行分段分句，支持跳转到文字段落对应的视频片段。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系统支持通过弗兰德斯编码规则对课堂数据进行每秒1次的打点，自动计算出启发/指导比（I/D）、学生稳态比（PSSR）、教学内容比（CCR）、学生发言比（PIR）、教师提问比（TQR）的指标数值，通过雷达图呈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15、系统支持将本堂课的弗兰德斯编码数值和标准数据进行对比，通过上下箭头呈现高于或低于标准数值；可查看弗兰德斯矩阵编码打点信息，每1秒为一个点，将课堂的全部过程进行打点标记。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16、系统将课堂实录自动切割为关键片段，根据模式的选择播放指定类型的片段内容；片段中包含提问、回答、举手、上台、齐读、讨论的教学事件，播放进度条支持显示事件类型、定位播放功能。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17、系统支持教学环节、课堂互动、完整回放三种播放模式，可任意切换。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18、系统支持将报告下载至本地，报告中包含基础数据、教学时间分配、讲学环节时间轴、弗兰德斯编码图、S-T/Rt-Ch教学分析图、高频词语分析、提问数据统计、提问详情列表。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19、系统支持计算本节课的教师行为占有率Rt、师生行为转换率Ch，基于本节课的Rt值、Ch值得出本节课的教学模式，教学模式包含：混合型、练习型、讲授型、对话型。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20、系统支持以海报、二维码的方式分享给他人；支持在移动端查看报告。</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壁挂式展台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1.采用≥800万像素摄像头；采用 USB五伏电源直接供电，无需额外配置电源适配器，环保无辐射；箱内USB连线采用隐藏式设计，箱内无可见连线且USB口下出，有效防止积尘，且方便布线和返修。</w:t>
              <w:br/>
              <w:t xml:space="preserve"> 2.A4大小拍摄幅面，1080P动态视频预览达到30帧/秒；托板及挂墙部分采用金属加强，托板可承重3kg，整机壁挂式安装。</w:t>
              <w:br/>
              <w:t xml:space="preserve"> 3.支持展台成像画面实时批注，预设多种笔划粗细及颜色供选择，且支持对展台成像画面联同批注内容进行同步缩放、移动。</w:t>
              <w:br/>
              <w:t xml:space="preserve"> 4.整机采用圆弧式设计，无锐角；同时托板采用磁吸吸附式机构，防止托板打落，方便</w:t>
            </w:r>
            <w:r>
              <w:rPr>
                <w:rFonts w:ascii="SimSun" w:hAnsi="SimSun" w:eastAsia="SimSun" w:cs="SimSun"/>
                <w:color w:val="000000"/>
                <w:sz w:val="20"/>
              </w:rPr>
              <w:t xml:space="preserve">打开及固定，避免机械式锁具故障率高的问题。</w:t>
              <w:br/>
              <w:t xml:space="preserve"> 5.展示托板正上方具备LED补光灯，保证展示区域的亮度及展示效果，补光灯开关采用触摸按键设计，同时可通过交互智能平板中的软件直接控制开关；</w:t>
              <w:br/>
              <w:t xml:space="preserve"> 6.带自动对焦摄像头；外壳在摄像头部分带保护镜片密封，防止灰尘沾染摄像头，防护等级达到IP4X级别。</w:t>
              <w:br/>
              <w:t xml:space="preserve"> 7.具有故障自动检测功能：在调用展台却无法出现镜头采集画面信号时，可自动出现检测链接，并给出导致性原因（如硬件连接、摄像头占用、配套软件版本等问题）。）</w:t>
              <w:br/>
              <w:t xml:space="preserve"> 8.软件：（1）支持对展台画面进行放大、缩小、旋转、自适应、冻结</w:t>
            </w:r>
            <w:r>
              <w:rPr>
                <w:rFonts w:ascii="SimSun" w:hAnsi="SimSun" w:eastAsia="SimSun" w:cs="SimSun"/>
                <w:color w:val="000000"/>
                <w:sz w:val="20"/>
              </w:rPr>
              <w:t xml:space="preserve">画面等操作。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智能电子笔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1.外观：笔身造型采用圆润一体化笔型设计，表面采用手感漆工艺便于握持；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2.笔头：采用锥形笔尖设计，直径≤3mm；同时支持电容，红外触控设备书写，书写最小精度2mm，连续书写距离不小于7km；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3.翻页按键：短按上下翻页按键，可实现白板软件/ppt/pdf等文档上下翻页；长按上下翻页按键3s，可实现ppt播放/退出；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4.语音：内置麦克风，支持按键唤醒语音识别功能，避免杂音造成误唤醒；</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语音：支持唤醒语音识别时，可直接通过语音打开已安装的应用，可直接通过语音调用网络搜索引擎搜索查询相应资料，可进行语音转写输入，支持语音控制屏幕黑屏、亮屏，音量大小调整，返回桌面，截屏，关机等操作。6.无线：为保障用户在不同场景使用智能笔，支持无线dongle及蓝牙两种连接方式，支持蓝牙5.1协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7.使用距离：无线dongle&amp;蓝牙连接距离≥12m，上下翻页/语音控制/远程批注实现距离≥12m，覆盖标准教室；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8.充电：内置锂电池，支持type-c充电，待机时间≥60h，连续书写时间≥8h，从无电到满电的充电时长≤1小时；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9.自动休眠：支持智能休眠节电，当设备&gt;5min无人操作时，设备自动进入休眠节电模式；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黑板无尘机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规格：外径900mm×280mm×125mm，确保与黑板有效贴合；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结构：上下两个板擦清洗盒，右侧一套5寸电容式触摸屏，底部一套水循环过滤系统，对污水进行过滤可循环使用。板擦清洗盒外设有一体注塑成型的推拉式装饰门，关闭时，可起到保持黑板擦湿润的效果，打开时，方便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外观：面壳为白色，背壳为黑色；采用一体注塑成型外壳，材质为ABS+PC工程塑料，抗腐蚀，耐冲击，抗紫外线等；上下均为大圆弧过渡，无毛刺，不划手；面壳与底壳无缝连接，表面无裸露的螺钉，外表美观无瑕疵；</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电源适配器：工作电压12V电流3A ；5.5*2.5 Dc头；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电容触摸屏：5.0 寸，电容触摸屏，800*480 分辨率，16.7M 色，TN 屏，普通视角，基于 T5L1 芯片，运行 DGUS II 系统，商业级产品。内置高速显存，2.4GB/S 带宽；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系统调节：触摸屏界面可调节水量大小，小水用于错别字擦除，中水用于局部擦除，大水用于大面积擦除；进入到设置界面，可进行水量调节，挤压次数调节，冲洗次数的调节，可根据学校情况进行调节，操作简单快捷；</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智能检测：一键开启后进行检测清洗；当水量不足时，通过液位检测进行检测，显示屏上设有提示；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使用完板擦后，将板擦放置清洗盒内，通过远距离红外检测，板擦盒进行90度旋转，并开启整个清洗工作，显示屏上设有提示；清洗完成后，黑板擦自动归位，打开门便可使用；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两套独立系统：上下两套板擦清洗采用两套单独控制系统，当一个出现故障时，不影响另外一套的使用，不影响老师正常授课；</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过滤系统：采用反循环水处理系统，经过两次污水过滤，水可多次循环使用，只需清洗过滤装置即可，简单方便；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箱采用一体注塑成型，分内外壳，外壳可抽拉打开并起到固定水箱内胆的作用，外壳带有外拉手，方便使用者开启水盒，内胆带有提手，方便清理水箱和加入清水。水箱内胆采用吹塑模具一次成型，容积≥3.5L清水，无毒无害无成本，方便易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智能板擦：规格≥125×70×50mm，产品选用高密度、存水效果好的乳胶海绵，挤压后湿度适中，即擦即写，无尘环保，有效保护师生健康；板擦壳材质为PC+TPE 软胶材质，PVA模具一次成型，抗冲击，不易破碎；</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无尘环保，即擦即写： 清水擦拭，无尘无害无污染，保证师生健康；避免粉尘跟面板摩擦，保护面漆不被磨损，不被磨光磨亮，延长面板使用寿命三年以上；</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安全保障：内部结构采用水电隔离，水路和电路形成单独模块空间；并设计过载保护以及短路保护；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时钟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机芯：石英；14英寸，玻璃面罩、PVC表盘、外框ABS环保塑料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设备运维管理平台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1.系统基于SaaS布局，应用界面采用B/S架构设计，支持学校管理员在多种不同的操作系统上通过网页浏览器登录进行所有管理指令操作。</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2.登录方式多样性：支持账号/密码、手机扫码登录。扫码登录：用户首次登录时绑定微信用户ID与账号的对应关系，之后即可通过微信扫一扫安全登录。</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3.权限管理：支持学校高级管理员添加多位管理员协同管理，并支持为普通管理员分配不同权限，权限支持按系统功能菜单分配、按管理设备分配方式。并支持转让高级管理员给其他管理员。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移动端管理：支持通过微信小程序，实时查看设备运行状态、异常情况；支持向在线设备下发指令，并可查看每个指令的执行情况；支持查看设备的基础使用数据，包含设备日均开机时长分布、设备活跃趋势分析、软件活跃度分析、软件使用时长排行、设备健康度排行。</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批量磁盘清理：支持批量清理单个或多个磁盘文件夹，释放设备磁盘空间；支持格式化非系统盘磁盘，保障设备有足够空间来使用，设备系统盘管理：支持清理系统盘备份、缓存、日志等垃圾文件；支持大文件迁移，如将系统盘视频、图片、音乐及文档等空间占用较大的文件迁移至其他盘符。保障设备系统盘可用空间最大化，从而提升设备运行流畅性、桌面整洁性，设备在长时间无人使用时，自动进入屏保、锁屏、息屏、关机状态，从而达到保护显示器作用，延长设备的使用寿命。</w:t>
            </w:r>
            <w:r>
              <w:rPr>
                <w:rFonts w:ascii="SimSun" w:hAnsi="SimSun" w:eastAsia="SimSun" w:cs="SimSun"/>
                <w:b/>
                <w:color w:val="000000"/>
                <w:sz w:val="20"/>
              </w:rPr>
              <w:t xml:space="preserve">（提供CNAS或CMA认证的检测机构出具的检测报告复印件并加盖公章，否则投标无效）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三角钢琴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云杉实木音板及肋木，更好的共振表现使钢琴音色饱满纯美；</w:t>
              <w:br/>
              <w:t xml:space="preserve">突破创新的共鸣设计，使音色过渡均匀，演奏渐入佳境；</w:t>
              <w:br/>
              <w:t xml:space="preserve">毛毡，音色丰满圆润，富于表现力；</w:t>
              <w:br/>
              <w:t xml:space="preserve">国际通用88键，键面平整，键缝匀称，先进切割及除湿工艺，有效延长弹奏寿命，采用实木键盘，安全、美观、耐用                                           深度：1527mm 宽度：1484mm 高度：1013mm；规格：153；重量：约310kg；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立式钢琴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背架、肋木、音板采用年轮细密均匀顺直的云杉材料制作，结合椭球形音板预应力设计及采用专一恒温恒湿管控技术条件下共鸣系统的制作，使得音色饱满纯美，稳定性更佳； </w:t>
              <w:br/>
              <w:t xml:space="preserve">采用天然羊毛制作而成的弦槌，具有外柔内刚的特质，不断创造着柔和或是更有穿透力的声音，音色的丰富变化，细腻呈现更多变的音乐表现；</w:t>
              <w:br/>
              <w:t xml:space="preserve">尺寸：高度：1230mm 宽度：1503mm 深度：591mm</w:t>
              <w:br/>
              <w:t xml:space="preserve">重量：233kg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2、办公类设备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A3网络打印机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1.幅面：A3</w:t>
              <w:br/>
              <w:t xml:space="preserve"> 2.涵盖功能：打印</w:t>
              <w:br/>
              <w:t xml:space="preserve"> 3.类型：黑白激光打印机</w:t>
              <w:br/>
              <w:t xml:space="preserve"> 4.打印机速度：A4 高达 31 页/分钟，letter 高达 30 页/分钟，A3 高达 15 页/分钟</w:t>
              <w:br/>
              <w:t xml:space="preserve"> 5.打印分辨率：白（最佳）：高达 1200 x 1200 dpi；黑白（正常模式）：高达 1200 x 1200 dp，分辨率技术：REt 600、HP FastRes 1200、HP ProRes 1200</w:t>
              <w:br/>
              <w:t xml:space="preserve"> 6.外形尺寸：</w:t>
              <w:br/>
              <w:t xml:space="preserve"> 7.打印语言：PCL 6、PCL 5e、PostScript 3 仿真、PCLm</w:t>
              <w:br/>
              <w:t xml:space="preserve"> 8.纸盒：标配高达 </w:t>
            </w:r>
            <w:r>
              <w:rPr>
                <w:rFonts w:ascii="SimSun" w:hAnsi="SimSun" w:eastAsia="SimSun" w:cs="SimSun"/>
                <w:color w:val="000000"/>
                <w:sz w:val="20"/>
              </w:rPr>
              <w:t xml:space="preserve">350 页：纸盒 1：100 页多用途纸盒；纸盒 2：250 页进纸盒</w:t>
              <w:br/>
              <w:t xml:space="preserve"> 9.电源要求：220 伏输入电压：220 至 240 伏交流电 (+/- 10%)、50/60 赫兹（+/- 3 赫兹）；</w:t>
              <w:br/>
              <w:t xml:space="preserve"> 10.功耗：680 瓦（打印时）、11 瓦（就绪）、2.5 瓦（睡眠）、0.2 瓦（关闭）</w:t>
              <w:br/>
              <w:t xml:space="preserve"> 11.硒鼓容量：12000页</w:t>
              <w:br/>
              <w:t xml:space="preserve"> 12.内存：256MB</w:t>
              <w:br/>
              <w:t xml:space="preserve"> 13.月负荷：65000页</w:t>
              <w:br/>
              <w:t xml:space="preserve"> 14.尺寸：500 x 425 x 295 毫米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A4普通激光打印机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1.幅面：A4</w:t>
              <w:br/>
              <w:t xml:space="preserve"> 2.涵盖功能：打印</w:t>
              <w:br/>
              <w:t xml:space="preserve"> 3.类型：黑白激光打印机</w:t>
              <w:br/>
              <w:t xml:space="preserve"> 4.打印速度：黑色（A4，普通）： 高达 20 页/分钟</w:t>
              <w:br/>
              <w:t xml:space="preserve"> 5.首页输出时间：黑色（A4，就绪模式）： 仅需 8.3 秒</w:t>
              <w:br/>
              <w:t xml:space="preserve"> 6.打印分辨率：黑色（最佳模式）： 高达 1,200 x 1,200 dpi ; 技术： ReCP</w:t>
              <w:br/>
              <w:t xml:space="preserve"> 7.月负荷：10,000 页 A4</w:t>
              <w:br/>
              <w:t xml:space="preserve"> 8.打印语言：SPL</w:t>
              <w:br/>
              <w:t xml:space="preserve"> 9.网络链接：Wi-Fi 802.11b/g/n；高速 USB 2.0（端口）</w:t>
              <w:br/>
              <w:t xml:space="preserve"> 10.内存：64MB</w:t>
              <w:br/>
              <w:t xml:space="preserve"> 11.外形尺寸：331 x 215 x 178 毫</w:t>
            </w:r>
            <w:r>
              <w:rPr>
                <w:rFonts w:ascii="SimSun" w:hAnsi="SimSun" w:eastAsia="SimSun" w:cs="SimSun"/>
                <w:color w:val="000000"/>
                <w:sz w:val="20"/>
              </w:rPr>
              <w:t xml:space="preserve">米</w:t>
              <w:br/>
              <w:t xml:space="preserve"> 12.节能功能：自动关机技术；节能</w:t>
              <w:br/>
              <w:t xml:space="preserve"> 13.电源要求： 220伏输入电压：220～240伏交流电，50/60赫兹；</w:t>
              <w:br/>
              <w:t xml:space="preserve">功耗： 打印：300 瓦，就绪：38 瓦，睡眠：1.9 瓦，手动关闭：0.2 瓦，自动关闭/手动开启：0.2 瓦；</w:t>
              <w:br/>
              <w:t xml:space="preserve">典型耗电量 (TEC) : 0.876 千瓦时/周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A4激光多功能打印机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1.幅面：A4</w:t>
              <w:br/>
              <w:t xml:space="preserve"> 2.涵盖功能：打印/复印/扫描</w:t>
              <w:br/>
              <w:t xml:space="preserve"> 3.类型：黑白激光打印机</w:t>
              <w:br/>
              <w:t xml:space="preserve"> 4.打印速度：黑色（A4，普通）： 高达 20 页/分钟</w:t>
              <w:br/>
              <w:t xml:space="preserve"> 5.首页输出时间：黑色（A4，就绪模式）： 仅需 8.3 秒</w:t>
              <w:br/>
              <w:t xml:space="preserve"> 6.打印分辨率：黑色（最佳模式）： 高达 1,200 x 1,200 dpi ; 技术： ReCP</w:t>
              <w:br/>
              <w:t xml:space="preserve"> 7.月负荷：10,000 页 A4</w:t>
              <w:br/>
              <w:t xml:space="preserve"> 8.打印语言：SPL</w:t>
              <w:br/>
              <w:t xml:space="preserve"> 9.网络链接：高速 USB 2.0（端口）</w:t>
              <w:br/>
              <w:t xml:space="preserve"> 10.内存：64MB</w:t>
              <w:br/>
              <w:t xml:space="preserve"> 11.外形尺寸：406 x 359.6 x 253 毫米</w:t>
              <w:br/>
              <w:t xml:space="preserve"> 12.节能功能</w:t>
            </w:r>
            <w:r>
              <w:rPr>
                <w:rFonts w:ascii="SimSun" w:hAnsi="SimSun" w:eastAsia="SimSun" w:cs="SimSun"/>
                <w:color w:val="000000"/>
                <w:sz w:val="20"/>
              </w:rPr>
              <w:t xml:space="preserve">：自动关机技术；节能</w:t>
              <w:br/>
              <w:t xml:space="preserve"> 13.电源要求： 220伏输入电压：220～240伏交流电，50/60赫兹；</w:t>
              <w:br/>
              <w:t xml:space="preserve">功耗： 打印：300 瓦，就绪：38 瓦，睡眠：1.9 瓦，手动关闭：0.2 瓦，自动关闭/手动开启：0.2 瓦；</w:t>
              <w:br/>
              <w:t xml:space="preserve">典型耗电量 (TEC) : 0.876 千瓦时/周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彩色打印机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1.幅面：A4</w:t>
              <w:br/>
              <w:t xml:space="preserve"> 2.类型：彩色激光打印机</w:t>
              <w:br/>
              <w:t xml:space="preserve"> 3.打印速度：黑白（A4，正常模式）：高达16页/分钟</w:t>
              <w:br/>
              <w:t xml:space="preserve">彩色（A4，正常模式）：高达16页/分钟</w:t>
              <w:br/>
              <w:t xml:space="preserve"> 4.首页输出时间：黑白（A4，就绪模式）：仅需11.5秒；黑白（A4，休眠模式）：仅需13.8秒</w:t>
              <w:br/>
              <w:t xml:space="preserve">彩色（A4，就绪模式）：仅需13.4秒；彩色（A4，休眠模式）：仅需15秒</w:t>
              <w:br/>
              <w:t xml:space="preserve"> 5.分辨率：600 x 600 dpi</w:t>
              <w:br/>
              <w:t xml:space="preserve"> 6.打印语言：PCL 6, PCL 5c, postscript level 3 emulation, PCLm, PDF, UR</w:t>
              <w:br/>
              <w:t xml:space="preserve"> 7.内存：12</w:t>
            </w:r>
            <w:r>
              <w:rPr>
                <w:rFonts w:ascii="SimSun" w:hAnsi="SimSun" w:eastAsia="SimSun" w:cs="SimSun"/>
                <w:color w:val="000000"/>
                <w:sz w:val="20"/>
              </w:rPr>
              <w:t xml:space="preserve">8MB</w:t>
              <w:br/>
              <w:t xml:space="preserve"> 8.月负荷：30000页</w:t>
              <w:br/>
              <w:t xml:space="preserve"> 9.噪音功率：6.2 B(A)（彩色）；6.2 B(A)（黑白）；噪声功率（就绪）：2.6 B(A)；待机声压（打印）：48 dB(A)（彩色）；48 dB(A)（黑白）；待机声压（就绪）：14 dB(A)</w:t>
              <w:br/>
              <w:t xml:space="preserve"> 10.尺寸：392 x 379.6 x 244.2毫米</w:t>
              <w:br/>
              <w:t xml:space="preserve"> 11.链接：高速USB接口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票据打印机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1.类型：平推针式打印机</w:t>
              <w:br/>
              <w:t xml:space="preserve"> 2.打印厚度：0.065-0.14MM</w:t>
              <w:br/>
              <w:t xml:space="preserve"> 3.进纸方式：前进纸</w:t>
              <w:br/>
              <w:t xml:space="preserve"> 4.端口：IEEE - 1284 双向并行接口</w:t>
              <w:br/>
              <w:t xml:space="preserve">打印方式 点阵击打式 </w:t>
              <w:br/>
              <w:t xml:space="preserve">打印头寿命 4亿次／针 </w:t>
              <w:br/>
              <w:t xml:space="preserve">字符集 GB18030 </w:t>
              <w:br/>
              <w:t xml:space="preserve">打印速度 390字/秒 </w:t>
              <w:br/>
              <w:t xml:space="preserve">平均无故障时间 15000小时 </w:t>
              <w:br/>
              <w:t xml:space="preserve">色带寿命 1000万字符 </w:t>
              <w:br/>
              <w:t xml:space="preserve">送纸方式 摩擦送纸、链式送纸 </w:t>
              <w:br/>
              <w:t xml:space="preserve">最大进纸宽度 279mm </w:t>
              <w:br/>
              <w:t xml:space="preserve">最大打印厚度 0.85mm </w:t>
              <w:br/>
              <w:t xml:space="preserve">接口 USB接口 </w:t>
              <w:br/>
              <w:t xml:space="preserve">缓冲容量 8M </w:t>
              <w:br/>
              <w:t xml:space="preserve">尺寸 314（宽）×366长）×176（高）mm </w:t>
              <w:br/>
              <w:t xml:space="preserve">重量 3.1Kg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票据装订机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全自动财务凭证铆管装订机</w:t>
              <w:br/>
              <w:t xml:space="preserve">装订方式：支持钉装（saddle stitching）和胶装（perfect binding）两种方式。装订能力：可以一次装订较大数量的票据，通常在几百张到数千张之间。</w:t>
              <w:br/>
              <w:t xml:space="preserve">纸张尺寸：适用于不同尺寸的纸张，例如A4、A5、信纸等。</w:t>
              <w:br/>
              <w:t xml:space="preserve">钻孔功能：可以根据需要进行自动钻孔，用于装订孔的制作</w:t>
              <w:br/>
              <w:t xml:space="preserve">自动化功能：具有自动进纸、装订、裁切、折叠等功能，可以大大提高装订效率，减少人工操作。</w:t>
              <w:br/>
              <w:t xml:space="preserve">规格调整：支持快速调整装订规格，适应不同尺寸和厚度的票据。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高速复印机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读稿方式：原稿固定式/使用选配ADF时原稿移动式 </w:t>
              <w:br/>
              <w:t xml:space="preserve">分 辨 率：300dpi×600dpi </w:t>
              <w:br/>
              <w:t xml:space="preserve">印刷幅面：250mm×355mm </w:t>
              <w:br/>
              <w:t xml:space="preserve">给/排纸容量：1500张（64g/m²） </w:t>
              <w:br/>
              <w:t xml:space="preserve">印刷速度：45～135张/分（5档可调）+155张/分 </w:t>
              <w:br/>
              <w:t xml:space="preserve">制版时间： 20秒（A4纵 100%） </w:t>
              <w:br/>
              <w:t xml:space="preserve">外形尺寸：1405mm×690mm×1140mm </w:t>
              <w:br/>
              <w:t xml:space="preserve">其它功能： 原稿编辑、彩色液晶、分色功能、操作设定记忆功能、一版多制、书影消除、省墨模式、节能模式、自动断电功能、保密功能、保密卸版盒、磁卡计数器、密码管理功能、U盘管理器、时钟设定</w:t>
              <w:br/>
              <w:t xml:space="preserve">制</w:t>
            </w:r>
            <w:r>
              <w:rPr>
                <w:rFonts w:ascii="SimSun" w:hAnsi="SimSun" w:eastAsia="SimSun" w:cs="SimSun"/>
                <w:color w:val="000000"/>
                <w:sz w:val="20"/>
              </w:rPr>
              <w:t xml:space="preserve">版方式 热敏数码制版</w:t>
              <w:br/>
              <w:t xml:space="preserve">印刷方式 蜡版穿孔印刷</w:t>
              <w:br/>
              <w:t xml:space="preserve">原稿类型 单页稿、书本稿（10KG以下）/使用选配ADF时单页稿（64～128g/m2）</w:t>
              <w:br/>
              <w:t xml:space="preserve">原稿规格 最大 297mm×432mm；最小 100 mm×148mm</w:t>
              <w:br/>
              <w:t xml:space="preserve">选配ADF载稿量 100张（纸64g/m2）</w:t>
              <w:br/>
              <w:t xml:space="preserve">印刷用纸规格 最大 320mm×450mm； </w:t>
              <w:br/>
              <w:t xml:space="preserve">注：有条件地可最小100×148mm</w:t>
              <w:br/>
              <w:t xml:space="preserve">印刷面积 最大 250mm×355mm</w:t>
              <w:br/>
              <w:t xml:space="preserve">给纸载纸量 1500张（64g/m2）</w:t>
              <w:br/>
              <w:t xml:space="preserve">接纸载纸量 1500张（64g/m2）</w:t>
              <w:br/>
              <w:t xml:space="preserve">印刷用纸种类 45—210g/㎡纸</w:t>
              <w:br/>
              <w:t xml:space="preserve">供墨方式 全自动</w:t>
            </w:r>
            <w:r>
              <w:rPr>
                <w:rFonts w:ascii="SimSun" w:hAnsi="SimSun" w:eastAsia="SimSun" w:cs="SimSun"/>
                <w:color w:val="000000"/>
                <w:sz w:val="20"/>
              </w:rPr>
              <w:t xml:space="preserve">供墨（1000ml）</w:t>
              <w:br/>
              <w:t xml:space="preserve">上版方式 全自动上版（200版）</w:t>
              <w:br/>
              <w:t xml:space="preserve">卸版方式 全自动卸版（卸版容量约55版）</w:t>
              <w:br/>
              <w:t xml:space="preserve">套色印刷 通过更换滚筒实现</w:t>
              <w:br/>
              <w:t xml:space="preserve">电 源 AC100-240V 50/60Hz 2.5—1.1A</w:t>
              <w:br/>
              <w:t xml:space="preserve">功率 最大240W（待机时6.9W，节能时5W）</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普通复印机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1.幅面：A3</w:t>
              <w:br/>
              <w:t xml:space="preserve"> 2.类型：黑白激光打印机</w:t>
              <w:br/>
              <w:t xml:space="preserve"> 3.复印速度：黑白A4单面 20页/分</w:t>
              <w:br/>
              <w:t xml:space="preserve"> 4.首页复印时间：小于10秒</w:t>
              <w:br/>
              <w:t xml:space="preserve"> 5.分辨率：600dpi</w:t>
              <w:br/>
              <w:t xml:space="preserve"> 6.内存容量：256MB</w:t>
              <w:br/>
              <w:t xml:space="preserve"> 7.预热时间：小于33秒</w:t>
              <w:br/>
              <w:t xml:space="preserve"> 8.纸张容量：标准350页 最大1350页</w:t>
              <w:br/>
              <w:t xml:space="preserve"> 9.纸张尺寸：A5-A3</w:t>
              <w:br/>
              <w:t xml:space="preserve"> 10.纸张重量：标配纸盘：52—105g/㎡，手送纸盘52—216g/㎡</w:t>
              <w:br/>
              <w:t xml:space="preserve"> 11.体积（宽*深*高）：587*581*461mm</w:t>
              <w:br/>
              <w:t xml:space="preserve"> 12.连续复印张数：4-99页</w:t>
              <w:br/>
              <w:t xml:space="preserve"> 13.缩放比例：预设3种放大/4种缩小：50、71、82、93、10</w:t>
            </w:r>
            <w:r>
              <w:rPr>
                <w:rFonts w:ascii="SimSun" w:hAnsi="SimSun" w:eastAsia="SimSun" w:cs="SimSun"/>
                <w:color w:val="000000"/>
                <w:sz w:val="20"/>
              </w:rPr>
              <w:t xml:space="preserve">0、122、141、200%</w:t>
              <w:br/>
              <w:t xml:space="preserve"> 14.变焦比率：50%—200%</w:t>
              <w:br/>
              <w:t xml:space="preserve"> 15.重量：28.5kg</w:t>
              <w:br/>
              <w:t xml:space="preserve"> 16.电源：220—240V 50/60Hz</w:t>
              <w:br/>
              <w:t xml:space="preserve"> 17.最大功耗：＜950W</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彩色复印机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1.幅面：A3</w:t>
              <w:br/>
              <w:t xml:space="preserve"> 2.类型：彩色激光打印机</w:t>
              <w:br/>
              <w:t xml:space="preserve"> 3.复印速度：25页每分钟</w:t>
              <w:br/>
              <w:t xml:space="preserve"> 4.首份复印时间：黑色5.1秒，彩色7.4秒</w:t>
              <w:br/>
              <w:t xml:space="preserve"> 5.预热时间：21秒</w:t>
              <w:br/>
              <w:t xml:space="preserve"> 6.连续复印：1-999页</w:t>
              <w:br/>
              <w:t xml:space="preserve"> 7.内存容量：标配2gb+2gb+sop内存</w:t>
              <w:br/>
              <w:t xml:space="preserve"> 8.硬盘容量：320GB</w:t>
              <w:br/>
              <w:t xml:space="preserve"> 9.缩放范围：25%—400%</w:t>
              <w:br/>
              <w:t xml:space="preserve"> 10.放大比率：115、122、141、200、400%</w:t>
              <w:br/>
              <w:t xml:space="preserve"> 11.缩小比率：93、82、75、71、65、50、25%</w:t>
              <w:br/>
              <w:t xml:space="preserve"> 12.供纸容量：标配1200张 最大2300张</w:t>
              <w:br/>
              <w:t xml:space="preserve"> 13.体积（宽*深*高）：587*685*788</w:t>
              <w:br/>
              <w:t xml:space="preserve"> </w:t>
            </w:r>
            <w:r>
              <w:rPr>
                <w:rFonts w:ascii="SimSun" w:hAnsi="SimSun" w:eastAsia="SimSun" w:cs="SimSun"/>
                <w:color w:val="000000"/>
                <w:sz w:val="20"/>
              </w:rPr>
              <w:t xml:space="preserve">14.重量：少于82.5kg</w:t>
              <w:br/>
              <w:t xml:space="preserve"> 15.电源：220—240V 50/60HZ</w:t>
              <w:br/>
              <w:t xml:space="preserve"> 16.电耗：1.70kw</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碎纸机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1.碎纸方式：段状</w:t>
              <w:br/>
              <w:t xml:space="preserve"> 2.碎纸效果：2×12mm</w:t>
              <w:br/>
              <w:t xml:space="preserve"> 3.碎纸能力：16张/次</w:t>
              <w:br/>
              <w:t xml:space="preserve"> 4.碎纸速度：＞1.8米/分</w:t>
              <w:br/>
              <w:t xml:space="preserve"> 5.碎纸宽度：A4mm</w:t>
              <w:br/>
              <w:t xml:space="preserve"> 6.碎纸箱容积：≥30L</w:t>
              <w:br/>
              <w:t xml:space="preserve"> 7.保密等级：5级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高速扫描仪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1.最大幅面：A3</w:t>
              <w:br/>
              <w:t xml:space="preserve"> 2.光学分辨率：600x600dpi</w:t>
              <w:br/>
              <w:t xml:space="preserve"> 3.最大分辨率：1200dpi</w:t>
              <w:br/>
              <w:t xml:space="preserve"> 4.接口类型：USB3.0</w:t>
              <w:br/>
              <w:t xml:space="preserve"> 5.扫描速度：黑白/灰度：200/300dpi彩色：90ppm/180ipm</w:t>
              <w:br/>
              <w:t xml:space="preserve"> 600dpi：26ppm/52ipm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3D扫描仪</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扫描模式：手持精细扫描，手持快速扫描</w:t>
              <w:br/>
              <w:t xml:space="preserve">扫描精度：手持精细扫描：0.045mm，手持快速扫描：0.1mm</w:t>
              <w:br/>
              <w:t xml:space="preserve">扫描速度：手持精细扫描：10帧/秒（3,000,000点/秒）；手持快速扫描：30帧/秒（1,500,000点/秒）</w:t>
              <w:br/>
              <w:t xml:space="preserve">单幅扫描范围：150*120mm~250*200mm</w:t>
              <w:br/>
              <w:t xml:space="preserve">工作中心距离：400mm</w:t>
              <w:br/>
              <w:t xml:space="preserve">景深：±100mm</w:t>
              <w:br/>
              <w:t xml:space="preserve">光源：三色LED（非激光，不污染环境及危害人身健康）</w:t>
              <w:br/>
              <w:t xml:space="preserve">拼接模式：手持精细扫描：特征拼接（需丰富表面特征），标志点拼接，混合拼接；手持快速扫描：特征拼接（需丰富表面特征），标志点拼接，混合拼接</w:t>
            </w:r>
            <w:r>
              <w:rPr>
                <w:rFonts w:ascii="SimSun" w:hAnsi="SimSun" w:eastAsia="SimSun" w:cs="SimSun"/>
                <w:color w:val="000000"/>
                <w:sz w:val="20"/>
              </w:rPr>
              <w:t xml:space="preserve">，纹理拼接（需搭配纹理模块）</w:t>
              <w:br/>
              <w:t xml:space="preserve">输出数据是否可直接打印： 无须借助第三方软件，软件自带修补孔，标志点修补，平滑，锐化，缩放，简化，数据编辑等功能，直接输出融合后的完整STL模型，直接进行3D打印</w:t>
              <w:br/>
              <w:t xml:space="preserve">移动终端实时显示功能：在扫描过程中，借助移动终端设备，可实现扫描状态在计算机与移动终端的同步分屏显示，实时监测扫描进程，更便利地观察扫描实况。</w:t>
              <w:br/>
              <w:t xml:space="preserve">数据输出格式：OBJ，STL，ASC ，PLY，P3，3MF</w:t>
              <w:br/>
              <w:t xml:space="preserve">配套彩色纹理模块</w:t>
              <w:br/>
              <w:t xml:space="preserve">扫描头含数据线重量：1.25kg （含传输线） </w:t>
              <w:br/>
              <w:t xml:space="preserve">配备3D素材库，提供不低于1000个账号免费</w:t>
            </w:r>
            <w:r>
              <w:rPr>
                <w:rFonts w:ascii="SimSun" w:hAnsi="SimSun" w:eastAsia="SimSun" w:cs="SimSun"/>
                <w:color w:val="000000"/>
                <w:sz w:val="20"/>
              </w:rPr>
              <w:t xml:space="preserve">下载名额，方便下载模型。3D素材数量不低于1.5万个，涵盖不少于10种类别，拥有20个以上特色专题，每个专题包含至少5个以上同类别素材。</w:t>
              <w:br/>
              <w:t xml:space="preserve">对3D数据在云端进行轻量化（轻量最高可达91%）、云渲染及三维分享，开放标准的SDK，不需要安装任何客户端，支持多种材质系统和多属性材质，以及各种类型光源与开合动画系统，引擎适配VRPN协议，驱动VR/AR硬件；支持HTML5 WebGL平台，实现对产品的快速三维渲染和展示。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3倍速快速打印，采用ACF离型膜，离型效果更好，更易脱模野兽模式打印条件： 使用ELEGOO快速树脂，层厚设置0.15mm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3D打印机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多色高速打印，全自动调平，FDM桌面级多色3D打印机，产品尺寸长386mm，宽389mm，高458mm，耗材使用PLA,ABS,PA12 CF</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3D图形编辑器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I7-13700F 64G内存，RTX 2060，2T固态+4T机械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清洁机器人扫地机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尺寸：590*680*1050 mm</w:t>
              <w:br/>
              <w:t xml:space="preserve">一机多用 洗地/扫地/推尘一机多用；适用于大理石、瓷砖、水磨石、塑胶地面、环氧树脂、人造石、木纹砖等硬质地面</w:t>
              <w:br/>
              <w:t xml:space="preserve">深度洗地 支持深度洗地，添加清洁剂，洗地更洁净，不伤地板</w:t>
              <w:br/>
              <w:t xml:space="preserve">高效清洁 清洁效率 1200m²/h，中大场景轻松覆盖</w:t>
              <w:br/>
              <w:t xml:space="preserve">多重安全保障 多项产品认证；产品责任险护航；软硬件安全设计，精准避障，运动安全</w:t>
              <w:br/>
              <w:t xml:space="preserve">全程自动化 AI 智能巡检，自主乘梯，调度闸机、门禁；搭配全能基站，实现自动回充、自动加排水</w:t>
              <w:br/>
              <w:t xml:space="preserve">手自一体 手动、自动模式一键切换；配备助力把手，轻松作业不费劲</w:t>
              <w:br/>
              <w:t xml:space="preserve">智能化管理 </w:t>
            </w:r>
            <w:r>
              <w:rPr>
                <w:rFonts w:ascii="SimSun" w:hAnsi="SimSun" w:eastAsia="SimSun" w:cs="SimSun"/>
                <w:color w:val="000000"/>
                <w:sz w:val="20"/>
              </w:rPr>
              <w:t xml:space="preserve">APP 端&amp;云平台双端管控，支持任务排班、临时任务、远程运维等，运作高效</w:t>
              <w:br/>
              <w:t xml:space="preserve">数字化运营 自动生成可视化清洁报告，支持多维数据分析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雾化消毒机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房间内雾化消毒，带滚轮。</w:t>
              <w:br/>
              <w:t xml:space="preserve">额定电压：220V—240V额定频率：50Hz</w:t>
              <w:br/>
              <w:t xml:space="preserve">额定输入功率：135W额定雾化量：2300ML/H水箱容量：15L</w:t>
              <w:br/>
              <w:t xml:space="preserve">噪声：≤60dB（A）净重/毛重：4.36KG/5.66KG</w:t>
              <w:br/>
              <w:t xml:space="preserve">外形尺寸：工业300x230x980mm</w:t>
              <w:br/>
              <w:t xml:space="preserve">包装尺寸：345*275*710mm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照相机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1.像素：约3250万有效像素</w:t>
              <w:br/>
              <w:t xml:space="preserve"> 2.镜头：另配</w:t>
              <w:br/>
              <w:t xml:space="preserve"> 3.对焦：全45点十字形自动对焦</w:t>
              <w:br/>
              <w:t xml:space="preserve"> 4.视频拍摄能力：4K 30P</w:t>
              <w:br/>
              <w:t xml:space="preserve"> 5.画幅：APS-C画幅</w:t>
              <w:br/>
              <w:t xml:space="preserve"> 6.取景器类型：光学取景器</w:t>
              <w:br/>
              <w:t xml:space="preserve"> 7.电池类型：锂离子电池</w:t>
              <w:br/>
              <w:t xml:space="preserve"> 8.电池续航时间：2—3小时</w:t>
              <w:br/>
              <w:t xml:space="preserve"> 9.存储介质：SD卡</w:t>
              <w:br/>
              <w:t xml:space="preserve"> 10.液晶屏类型：旋转触摸屏</w:t>
              <w:br/>
              <w:t xml:space="preserve"> 11.液晶屏尺寸：3.0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摄影配件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1、100-400M </w:t>
              <w:br/>
              <w:t xml:space="preserve"> 2、F4.5–5.6 GM OSS</w:t>
              <w:br/>
              <w:t xml:space="preserve"> 3、全画幅</w:t>
              <w:br/>
              <w:t xml:space="preserve"> 4、自动对焦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摄影配件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1、全画幅</w:t>
              <w:br/>
              <w:t xml:space="preserve"> 2、E口变焦镜头 FE镜头 </w:t>
              <w:br/>
              <w:t xml:space="preserve"> 3、 FE 20—70mm F4</w:t>
              <w:br/>
              <w:t xml:space="preserve"> 4、自动对焦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1.1/2.8英寸500万像素CMOS传感器；输出207万有效像素(1920X 1080)；</w:t>
              <w:br/>
              <w:t xml:space="preserve"> 2.视频格式：1080P60/50/30/25，1080I 60/50、720P 60/50/30；清晰度≥1000TVL电视线；</w:t>
              <w:br/>
              <w:t xml:space="preserve"> 3.镜头：20倍光学变焦，f=5.5～110mm，10倍数字变倍；总共240X缩放比例；</w:t>
              <w:br/>
              <w:t xml:space="preserve"> 4.视角：3.3°（窄角）-54.7°（广角），光圈F1.6–F3.5</w:t>
              <w:br/>
              <w:t xml:space="preserve"> 5.支持SM-2D和SM-3D数字降噪，信噪比&gt;55dB，低照度0.5Lux(F1.8, AGC ON)；</w:t>
              <w:br/>
              <w:t xml:space="preserve"> 6.视</w:t>
            </w:r>
            <w:r>
              <w:rPr>
                <w:rFonts w:ascii="SimSun" w:hAnsi="SimSun" w:eastAsia="SimSun" w:cs="SimSun"/>
                <w:color w:val="000000"/>
                <w:sz w:val="20"/>
              </w:rPr>
              <w:t xml:space="preserve">频调节支持：亮度、色度、饱和度、对比度、锐度、黑白模式、伽马曲线等功能</w:t>
              <w:br/>
              <w:t xml:space="preserve"> 7.视频输出接口：SDI、HDMI、USB2.0、LAN（POE）网口四路视频输出；</w:t>
              <w:br/>
              <w:t xml:space="preserve"> 8.支持1路A-IN音频输入口，1路RS232控制口（环通），1路485控制口；IP网络支持POE供电、显示、音频、控制多线合一，只连接一根网线实现供电、图像显示、摄像机控制；</w:t>
              <w:br/>
              <w:t xml:space="preserve"> 9.支持AAC、MP3、G.711A 音频压缩，音频输入口为双声道3.5mm线性输入；</w:t>
              <w:br/>
              <w:t xml:space="preserve"> 10.网络口支持Onvif，GB/T28181，RTSP，RTMP协议，同时支持</w:t>
            </w:r>
            <w:r>
              <w:rPr>
                <w:rFonts w:ascii="SimSun" w:hAnsi="SimSun" w:eastAsia="SimSun" w:cs="SimSun"/>
                <w:color w:val="000000"/>
                <w:sz w:val="20"/>
              </w:rPr>
              <w:t xml:space="preserve">RTMP推送模式；</w:t>
              <w:br/>
              <w:t xml:space="preserve"> 11.支持H.265/H.264视频压缩；支持VISCA、PELCO-P/D协议，支持自动识别协议</w:t>
              <w:br/>
              <w:t xml:space="preserve"> 12.云台支持255个预置位，水平速度：60°/秒，俯仰速度：30°/秒；</w:t>
              <w:br/>
              <w:t xml:space="preserve"> 13.转动速度：水平0.1 ～60°/秒，垂直0.1～30°/秒；水平转动角度±170度，垂直-30度～+90度；</w:t>
              <w:br/>
              <w:t xml:space="preserve"> 14.支持RTP组播模式，支持网络全命令VISCA控制协议；</w:t>
              <w:br/>
              <w:t xml:space="preserve"> 15.支持登录浏览器IP网页本地存储；网络口支持远程升级，远程重启，远程复位；</w:t>
              <w:br/>
              <w:t xml:space="preserve"> 16.支持调用预置位过程图像实现视频冻结功能；</w:t>
            </w:r>
            <w:r>
              <w:rPr>
                <w:rFonts w:ascii="SimSun" w:hAnsi="SimSun" w:eastAsia="SimSun" w:cs="SimSun"/>
                <w:color w:val="000000"/>
                <w:sz w:val="20"/>
              </w:rPr>
              <w:t xml:space="preserve">支持低功耗休眠/唤醒休眠功耗低于400mW。</w:t>
              <w:br/>
              <w:t xml:space="preserve"> 17.支持重力感应功能，设备吊装时图像自动翻转，无须手动设置。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航拍机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工作频段：北斗B11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自带三颗镜头：166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长焦相机：1/2英寸CMOS，7倍光学变焦、28倍混合变焦、f3.4光圈、1200万像素；70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中长焦相机：1/1.3英寸CMOS、3倍光学变焦、f2.8光圈、4800万像素；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 mm哈苏相机：4/3 CMOS、f/2.8至f/11可变光圈HASSE、LBLAD、2000万像素；感知系统：实时图传质量：1080p 飞行器：电池容量：77Wh；数据传输：其他传输方式；认证型号：L2S；图片格式：JPEG；DNG</w:t>
              <w:br/>
              <w:t xml:space="preserve">最大抗风速：12m/s；最大飞行时间：43分钟；机身重量：963g；遥控器：操控方式：遥控器控制；支持接口类型：Lightning；Micro USB；USB-C；含飞行眼镜一体版+穿越摇杆 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无人机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工作频段：北斗B11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展开尺寸：48x40x9cm;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折叠尺寸：22x 12x9cm;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拍照像素：8K;</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防抖原理：三轴机械自稳云台；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电池容量：3500mAh;</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飞行时间：约45分钟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飞行距离：约10公里；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手持口袋云台相机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标准ISO感光度：ISO 50-12800；传感器类型：CMOS；产品尺寸（mm）0.424；主摄像头像素1000万、电池续航时间166分钟、高速内存128G\电子防抖、收音纯净，vlog 更进一步、在原基础上，额外包含发射器、增广镜、续航手柄、迷你三脚架、收纳包等配件。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相机专业稳定器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手持云台稳定器具备3千克负载能力，增稳性能提升20%；</w:t>
              <w:br/>
              <w:t xml:space="preserve">可实现多数云台设置功能，且屏幕UI与界面逻辑清晰易懂，操控直观且精准。12小时强劲续航，满足全天需要电池手柄采用快拆设计，可带来12小时强劲续航，且支持快充，2.5小时即可充满，更可边充边用。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录音笔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智能降噪，高清录音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3、会议系统</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高清视频会议终端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基本架构 分体式硬件终端</w:t>
              <w:br/>
              <w:t xml:space="preserve">通过遥控器或触控屏幕进行会议控制包括控制声音、图像、会议管理等，非键盘鼠标操作，采用国产芯片。</w:t>
              <w:br/>
              <w:t xml:space="preserve"> 2.  音视频接口要求 配置具备4路高清视频输入和2个高清视频输出，支持POE供电IP Cammera高清接口，简化布线的同时方便与会议室其他视频系统集成。</w:t>
              <w:br/>
              <w:t xml:space="preserve"> 3.   配置具备2个XLR平衡输入接口，2个大三芯平衡输入接口，1对RCA输入接口和一个RJ45的POE供电数字麦克风接口；1对RCA输出接口，2个HDMI输出接口，方便与会议室音频系统集成。</w:t>
              <w:br/>
              <w:t xml:space="preserve"> 4.   支持双屏显示</w:t>
            </w:r>
            <w:r>
              <w:rPr>
                <w:rFonts w:ascii="SimSun" w:hAnsi="SimSun" w:eastAsia="SimSun" w:cs="SimSun"/>
                <w:color w:val="000000"/>
                <w:sz w:val="20"/>
              </w:rPr>
              <w:t xml:space="preserve">输出，如远端会场图像、内容各占一屏；或远端发言会场、其他多分屏会场各占一屏。</w:t>
              <w:br/>
              <w:t xml:space="preserve"> 5.   可以通过USB接口自动导入配置，进行设备安装部署，可以通过U盘定制开机LOGO。</w:t>
              <w:br/>
              <w:t xml:space="preserve"> 6.  协议标准 视频编码：支持SVC分层编码技术。</w:t>
              <w:br/>
              <w:t xml:space="preserve"> 7.   支持宽频高保真语音技术，支持OPUS、G.711、G.722音频编解码协议。</w:t>
              <w:br/>
              <w:t xml:space="preserve"> 8.  处理能力 支持4K30fps、1080P60fps、1080P30fps分辨率并向下兼容。</w:t>
              <w:br/>
              <w:t xml:space="preserve"> 9.   支持双流内容分享，支持1080P 30fps 高清双流，并可向下兼容共享PC的主</w:t>
            </w:r>
            <w:r>
              <w:rPr>
                <w:rFonts w:ascii="SimSun" w:hAnsi="SimSun" w:eastAsia="SimSun" w:cs="SimSun"/>
                <w:color w:val="000000"/>
                <w:sz w:val="20"/>
              </w:rPr>
              <w:t xml:space="preserve">要分辨率，如1440*900、1280*800、1024*768等。</w:t>
              <w:br/>
              <w:t xml:space="preserve">支持会议中对共享内容进行批注。</w:t>
              <w:br/>
              <w:t xml:space="preserve"> 10.   支持语音优化：回声消除、自动降噪、自动增益控制、自动增强、突出人声，支持唇音同步技术。</w:t>
              <w:br/>
              <w:t xml:space="preserve"> 11.  网络适应性 支持网络抗丢包算法，在丢包率50%的情况下能保证视频流畅传输，帧率不低于25帧/秒。</w:t>
              <w:br/>
              <w:t xml:space="preserve"> 12.  在丢包率高达50%的情况下，依然拥有非常好的音频质量，声音清楚连贯；丢包率高达80%时，语义依然可理解。</w:t>
              <w:br/>
              <w:t xml:space="preserve"> 13.  麦克风 支持360°全向拾音，高保真智能降噪，8米有效拾音距离。</w:t>
              <w:br/>
              <w:t xml:space="preserve"> </w:t>
            </w:r>
            <w:r>
              <w:rPr>
                <w:rFonts w:ascii="SimSun" w:hAnsi="SimSun" w:eastAsia="SimSun" w:cs="SimSun"/>
                <w:color w:val="000000"/>
                <w:sz w:val="20"/>
              </w:rPr>
              <w:t xml:space="preserve">14.  操控要求 可以与一体化智能终端配对，在会议进行中实现触控操作，一体化桌面终端可以进行会议主持与管理，包括一键全体静音、对参会终端单独静音、邀请其他终端参会、开始/停止会议录制、结束会议等操作</w:t>
              <w:br/>
              <w:t xml:space="preserve"> 15.   支持会议日程功能，自动同步预约会议请求并显示在日程上，实现自动入会或手动一键入会。</w:t>
              <w:br/>
              <w:t xml:space="preserve"> 16.   支持通过有线、无线和网络方式发送双流，实现内容共享。</w:t>
              <w:br/>
              <w:t xml:space="preserve"> 17.  备份机制 支持会场终端与一体化终端配对，实现双机热备。当终端出现异常而不能正常工作时，系统将会议自动切换到智能触控终端上，保持原有的</w:t>
            </w:r>
            <w:r>
              <w:rPr>
                <w:rFonts w:ascii="SimSun" w:hAnsi="SimSun" w:eastAsia="SimSun" w:cs="SimSun"/>
                <w:color w:val="000000"/>
                <w:sz w:val="20"/>
              </w:rPr>
              <w:t xml:space="preserve">会议效果，保证重要会场的高可靠性要求，提高会议的可靠性。</w:t>
              <w:br/>
              <w:t xml:space="preserve"> 18.  应用功能 会议速率在64Kbps-8Mbps范围内动态自适应。</w:t>
              <w:br/>
              <w:t xml:space="preserve"> 19.   配置支持企业通讯录，支持分组，能够由平台统一推送至所有终端，自动更新。</w:t>
              <w:br/>
              <w:t xml:space="preserve"> 20.   支持扫码签到功能，会议中管理员发起会议签到，会场人员可通过扫描终端二维码进行会议签到。</w:t>
              <w:br/>
              <w:t xml:space="preserve"> 21.   支持在会议中发起答题，参会人员可以通过手机客户端扫描终端二维码答题，会议管理平台可以统计公布答题结果，可以导出答题数据</w:t>
              <w:br/>
              <w:t xml:space="preserve"> 22.   支持会议投票功能，软件终端可以接收投票信息</w:t>
            </w:r>
            <w:r>
              <w:rPr>
                <w:rFonts w:ascii="SimSun" w:hAnsi="SimSun" w:eastAsia="SimSun" w:cs="SimSun"/>
                <w:color w:val="000000"/>
                <w:sz w:val="20"/>
              </w:rPr>
              <w:t xml:space="preserve">并投票。硬件终端可以显示投票二维码，通过手机APP扫码参与投票，管理平台可以自动完成投票统计和结果导出。</w:t>
              <w:br/>
              <w:t xml:space="preserve"> 23.   终端开机自检，终端开机后可以自动对本机的网络状态、摄像头采集状态、扬声器输出状态、麦克风输入状态进行自检，并输出检测结果。</w:t>
              <w:br/>
              <w:t xml:space="preserve"> 24.   支持通过无线传屏器与终端配对，实现PC桌面、文件等内容的共享，同时抓取并分享内容播放的声音。</w:t>
              <w:br/>
              <w:t xml:space="preserve">采用HDCMOS传感器，</w:t>
              <w:br/>
              <w:t xml:space="preserve"> 1/2.5英寸， CMOS, 有效像素：800W；</w:t>
              <w:br/>
              <w:t xml:space="preserve">支持4K30fps、1080p/60, 1080p/30, 720p/60, 7</w:t>
            </w:r>
            <w:r>
              <w:rPr>
                <w:rFonts w:ascii="SimSun" w:hAnsi="SimSun" w:eastAsia="SimSun" w:cs="SimSun"/>
                <w:color w:val="000000"/>
                <w:sz w:val="20"/>
              </w:rPr>
              <w:t xml:space="preserve">20p/30活动图像采集和输出；</w:t>
              <w:br/>
              <w:t xml:space="preserve"> 26.   支持至少12倍光学变焦，水平视角不小于70°；</w:t>
              <w:br/>
              <w:t xml:space="preserve">水平转动范围±170°，垂直转动范围±30°；</w:t>
              <w:br/>
              <w:t xml:space="preserve">支持倒装；支持自动对焦，支持自动/手动白平衡；</w:t>
              <w:br/>
              <w:t xml:space="preserve">支持 RJ45或HDMI视频输出接口； </w:t>
              <w:br/>
              <w:t xml:space="preserve"> 27.   支持4K30fps、1080p60fps等视频格式并向下兼容。</w:t>
              <w:br/>
              <w:t xml:space="preserve"> 1、终端主机1台，支持单路显示</w:t>
              <w:br/>
              <w:t xml:space="preserve"> 2、标配12倍光学变焦摄像头2台，无线传屏1支</w:t>
              <w:br/>
              <w:t xml:space="preserve"> 3、2路视频输入（POE*2），1路视频输出（HDMI*1）</w:t>
              <w:br/>
              <w:t xml:space="preserve"> 4、支持1080P/60 、H.264SVC/H.</w:t>
            </w:r>
            <w:r>
              <w:rPr>
                <w:rFonts w:ascii="SimSun" w:hAnsi="SimSun" w:eastAsia="SimSun" w:cs="SimSun"/>
                <w:color w:val="000000"/>
                <w:sz w:val="20"/>
              </w:rPr>
              <w:t xml:space="preserve">265SVC协议、5.8G Wifi</w:t>
              <w:br/>
              <w:t xml:space="preserve"> 5、公有云使用，含5年端口服务费</w:t>
              <w:br/>
              <w:t xml:space="preserve"> 6、三脚架，各类线材辅料。</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会议本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重量：约415g （不含皮套）</w:t>
              <w:br/>
              <w:t xml:space="preserve">存储：4GB+128GB</w:t>
              <w:br/>
              <w:t xml:space="preserve">处理器：八核</w:t>
              <w:br/>
              <w:t xml:space="preserve">显示屏：10.65英寸EInk墨水屏1920 x 2560分辨率（ 300ppi）</w:t>
              <w:br/>
              <w:t xml:space="preserve">触控笔：定制磁吸无源电磁笔</w:t>
              <w:br/>
              <w:t xml:space="preserve">后置摄像头：5MP文档扫描摄像头</w:t>
              <w:br/>
              <w:t xml:space="preserve">声麦系统：八麦克风阵列+双扬声器</w:t>
              <w:br/>
              <w:t xml:space="preserve">无线连接方式：双频WiFi+蓝牙5.0</w:t>
              <w:br/>
              <w:t xml:space="preserve">电池：4200mAh锂聚合物电池最高支持20WW快充</w:t>
              <w:br/>
              <w:t xml:space="preserve">连接端口：USB Type-C</w:t>
              <w:br/>
              <w:t xml:space="preserve">文件格式支持：PDF、EPUB、TXT、MOBI、JPEG、PNG、doc(x)、 ppt(x)、 xs(x)</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4、机房教学终端</w:t>
            </w:r>
            <w:r/>
          </w:p>
        </w:tc>
      </w:tr>
      <w:tr>
        <w:trPr>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机房教师终端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CPU主频：≥3.0GHz</w:t>
              <w:br/>
              <w:t xml:space="preserve"> CPU核心数：≥8</w:t>
              <w:br/>
              <w:t xml:space="preserve">内存：≥16GB DDR4</w:t>
              <w:br/>
              <w:t xml:space="preserve">固态硬盘：≥256GB M.2接口NVME协议SSD，最高可支持≥2块M.2 SSD，支持机械硬盘扩展；</w:t>
              <w:br/>
              <w:t xml:space="preserve">配置≥23.8寸LED显示器，与主机同品牌，分辨率≥1920*1080，刷新频率≥75Hz，对比度≥3000:1，视频接口VGA+HDMI；</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所投产品CPU、操作系统应当符合安全可靠测评要求；</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移动办公终端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CPU主频：≥3.0GHz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核心数：≥4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内存容量：≥16GB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固态硬盘容量：≥512GB</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显卡类型：集成显卡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屏幕尺寸：≥14寸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所投产品CPU、操作系统应当符合安全可靠测评要求；</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交换机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48个10/100/1000M自适应电口，4个1G/2.5G SFP光口，固化单交流电源和风扇，静音设计</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机柜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19英寸玻璃门机柜；600*600*1000mm</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5、创客教室设备（人工智能+展示）</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5.1、人工智能课程设备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定制课程小学设备包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1.电子模块双层PCB板需经过沉金工艺制作，且具有良好的镍金镀层，使得不易氧化；</w:t>
              <w:br/>
              <w:t xml:space="preserve"> 2.传感器之间连接采用开源硬件标准通用的Ph2.03Pin接口以防反插；</w:t>
              <w:br/>
              <w:t xml:space="preserve"> 3.主控板：32位ARM芯片，板载5x5可编程LED点阵、按键、加速度计、电子罗盘、温度计、蓝牙等功能；</w:t>
              <w:br/>
              <w:t xml:space="preserve"> 4.扩展板：可外接3节5号干电池（3.5V～5V）或3.7V锂电池；USB接口外接供电（3.5V～5V）；2个I2C接口；蜂鸣器；电机驱动；金手指孔径：4.8mm可兼容金手指孔距：8mm</w:t>
              <w:br/>
              <w:t xml:space="preserve"> 5.≧14个电子模块，需包含人工智能摄像头、语音识别传</w:t>
            </w:r>
            <w:r>
              <w:rPr>
                <w:rFonts w:ascii="SimSun" w:hAnsi="SimSun" w:eastAsia="SimSun" w:cs="SimSun"/>
                <w:color w:val="000000"/>
                <w:sz w:val="20"/>
              </w:rPr>
              <w:t xml:space="preserve">感器、中英文语音合成传感器、按钮传感器、模拟角度传感器、超声波测距传感器（有效测量距离3～250cm）、运动传感器、温湿度传感器（温度范围：0-50℃，湿度范围：20%—90%RH）、土壤湿度传感器、红色LED传感器、金属舵机模块、风扇模块、RGB全彩灯带模块、减速电机模块、显示屏模块等；</w:t>
              <w:br/>
              <w:t xml:space="preserve"> 6.电子模块需自带固定螺孔，可用螺丝、魔术贴等方式固定；</w:t>
              <w:br/>
              <w:t xml:space="preserve"> 7.可支持编程软件：Mixly、图形化编程软件、JavaScript、Python等代码式编程软件；</w:t>
              <w:br/>
              <w:t xml:space="preserve"> 8.人工智能摄像头：</w:t>
              <w:br/>
              <w:t xml:space="preserve">①支持物体追踪（可学习追踪物体并</w:t>
            </w:r>
            <w:r>
              <w:rPr>
                <w:rFonts w:ascii="SimSun" w:hAnsi="SimSun" w:eastAsia="SimSun" w:cs="SimSun"/>
                <w:color w:val="000000"/>
                <w:sz w:val="20"/>
              </w:rPr>
              <w:t xml:space="preserve">返回坐标值），人脸识别（可分辨不同人脸），物体识别（不学习可直接识别20种物体），巡线追踪，颜色识别，标签识别等功能；</w:t>
              <w:br/>
              <w:t xml:space="preserve">②支持深度神经网络分类器，可实现标志识别、手写数字识别、口罩识别、物体分类等功能；</w:t>
              <w:br/>
              <w:t xml:space="preserve">③支持USB串口通信、拍照存储、屏幕自定义显示字符等功能；</w:t>
              <w:br/>
              <w:t xml:space="preserve">④支持单板编程，可通过USB连接电脑，脱离主控器进行编程；</w:t>
              <w:br/>
              <w:t xml:space="preserve">⑤支持背光功能；</w:t>
              <w:br/>
              <w:t xml:space="preserve">⑥支持单板使用，板载学习和功能切换按键，可通过USB进行固件更新；</w:t>
              <w:br/>
              <w:t xml:space="preserve">⑦支持画面显示功能，配备不小于2寸、分辨率不低于320*240的显示屏；</w:t>
              <w:br/>
              <w:t xml:space="preserve">⑧支持存储功能，需配备TF卡</w:t>
            </w:r>
            <w:r>
              <w:rPr>
                <w:rFonts w:ascii="SimSun" w:hAnsi="SimSun" w:eastAsia="SimSun" w:cs="SimSun"/>
                <w:color w:val="000000"/>
                <w:sz w:val="20"/>
              </w:rPr>
              <w:t xml:space="preserve">座；</w:t>
              <w:br/>
              <w:t xml:space="preserve">⑨摄像头像素不低于500万；</w:t>
              <w:br/>
              <w:t xml:space="preserve"> 9.语音识别模块：</w:t>
              <w:br/>
              <w:t xml:space="preserve">①需支持离线语音识别功能；</w:t>
              <w:br/>
              <w:t xml:space="preserve">②需支持内置常用命令词条，至少包含150条常用命令词条；</w:t>
              <w:br/>
              <w:t xml:space="preserve">③需支持新增命令词学习功能，至少支持15条命令词条学习；</w:t>
              <w:br/>
              <w:t xml:space="preserve">④需配备麦克风、喇叭及喇叭接口，并且麦克风数量不少于2个；</w:t>
              <w:br/>
              <w:t xml:space="preserve">⑤需支持I2C和UART两种通讯方式，适配主流开源硬件主控器；</w:t>
              <w:br/>
              <w:t xml:space="preserve"> 10.语音合成模块：</w:t>
              <w:br/>
              <w:t xml:space="preserve">①需支持中文、英文和中英文混合合成功能；</w:t>
              <w:br/>
              <w:t xml:space="preserve">②需板载喇叭；</w:t>
              <w:br/>
              <w:t xml:space="preserve">③需支持 I2C、UART两种通讯方式；</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人工智能、开源硬件应用设计挑战比赛组合套件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1.机器人类型竞赛套装，适用于教学、创客空间、比赛等场景，包含不少于20种电子模块；</w:t>
              <w:br/>
              <w:t xml:space="preserve"> 2.需至少包含2种常用开源硬件主控器；</w:t>
              <w:br/>
              <w:t xml:space="preserve"> 3.需至少包含9种输入模块，包含但不限于人工智能视觉传感器、触摸传感器、红外避障模块、超声波传感器、磁感应传感器等模块；</w:t>
              <w:br/>
              <w:t xml:space="preserve"> 4.需至少包含7种执行器，包含但不限于灯带、显示屏、舵机、音频录放模块等；</w:t>
              <w:br/>
              <w:t xml:space="preserve"> 5.需至少包含2种结构配件，包含但不限于支架配件与移动机器人平台；</w:t>
              <w:br/>
              <w:t xml:space="preserve"> 6.移动机器人平台需满足：至少板载2路带减速功能的电机、1个蜂鸣器、2个RGB LED、6路巡线传感器、1个红</w:t>
            </w:r>
            <w:r>
              <w:rPr>
                <w:rFonts w:ascii="SimSun" w:hAnsi="SimSun" w:eastAsia="SimSun" w:cs="SimSun"/>
                <w:color w:val="000000"/>
                <w:sz w:val="20"/>
              </w:rPr>
              <w:t xml:space="preserve">外接收等，需可呈现声、光、动的互动效果；</w:t>
              <w:br/>
              <w:t xml:space="preserve"> 7.需包含但限于如下配件：可充电锂电池、巡线练习地图、视觉识别标签、螺丝配件、传感器连接线等；</w:t>
              <w:br/>
              <w:t xml:space="preserve"> 8.需支持图形化编程；</w:t>
              <w:br/>
              <w:t xml:space="preserve"> 9.人工智能视觉传感器：</w:t>
              <w:br/>
              <w:t xml:space="preserve">①支持物体追踪（可学习追踪物体并返回坐标值），人脸识别（可分辨不同人脸），物体识别（不学习可直接识别20种物体），巡线追踪，颜色识别，标签识别等功能；</w:t>
              <w:br/>
              <w:t xml:space="preserve">②支持深度神经网络分类器，可实现标志识别、手写数字识别、物体分类等功能；</w:t>
              <w:br/>
              <w:t xml:space="preserve">③支持USB串口通信、拍照存储、屏幕自定义显示字符等功能；</w:t>
              <w:br/>
              <w:t xml:space="preserve">④支持单板编程，可通过USB连接</w:t>
            </w:r>
            <w:r>
              <w:rPr>
                <w:rFonts w:ascii="SimSun" w:hAnsi="SimSun" w:eastAsia="SimSun" w:cs="SimSun"/>
                <w:color w:val="000000"/>
                <w:sz w:val="20"/>
              </w:rPr>
              <w:t xml:space="preserve">电脑，脱离主控器进行编程；</w:t>
              <w:br/>
              <w:t xml:space="preserve">⑤支持背光功能；</w:t>
              <w:br/>
              <w:t xml:space="preserve">⑥支持单板使用，板载学习和功能切换按键，可通过USB进行固件更新；</w:t>
              <w:br/>
              <w:t xml:space="preserve">⑦支持画面显示功能，配备不小于2寸、分辨率不低于320*240的显示屏；</w:t>
              <w:br/>
              <w:t xml:space="preserve">⑧支持存储功能，需配备TF卡座；</w:t>
              <w:br/>
              <w:t xml:space="preserve">⑨摄像头像素不低于500万；</w:t>
              <w:br/>
              <w:t xml:space="preserve"> 10、需配备项目制作所需的材料包，学生可以结合电子模块与材料包制作完成项目设计，能够让学生更加生动地理解和进行互动，发挥想象力任意改造，制作不同的外观。材料包包含但不限于KT板、雪糕棒、扭扭棒、粘土等耗材，以及提供魔术贴、扎带等固定工具。</w:t>
              <w:br/>
              <w:t xml:space="preserve"> 11、需配备赛事</w:t>
            </w:r>
            <w:r>
              <w:rPr>
                <w:rFonts w:ascii="SimSun" w:hAnsi="SimSun" w:eastAsia="SimSun" w:cs="SimSun"/>
                <w:color w:val="000000"/>
                <w:sz w:val="20"/>
              </w:rPr>
              <w:t xml:space="preserve">场景地图，规格参数：≥2000*1500mm，采用高精度喷绘工艺，PVC防雨材质。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5.2 、作品展示区</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编程编队无人机教学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一：硬件参数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工作频段：北斗B11</w:t>
              <w:br/>
              <w:t xml:space="preserve">重量（包含电池和保护罩）：190g 最大下降速度：2.5m/s（表演飞行为 1m/s） 最大上升速度：2.5m/s（表演飞行为 1m/s） 最大水平速度：5m/s（表演飞行为 2m/s） 最大飞行定位高度：10m 续航时间：12min 工作温度 ：-10℃～+40℃ 定位模式 ：UWB 基站定位 最大旋转角速度：俯仰轴：180°/秒 航向轴：30°/秒 悬浮精度：垂直：±0.3m（室内） 水平：±0.3m（室内） 抗风等级：3 级风（3.4～5.4 m/s） 轴距：165 mm 尺寸：</w:t>
            </w:r>
            <w:r>
              <w:rPr>
                <w:rFonts w:ascii="SimSun" w:hAnsi="SimSun" w:eastAsia="SimSun" w:cs="SimSun"/>
                <w:color w:val="000000"/>
                <w:sz w:val="20"/>
              </w:rPr>
              <w:t xml:space="preserve">208.67mm*208.67mm*93.92mm 螺旋桨规格：75mm 灯光 5W 炫彩高亮 LED 灯，颜色可设变 基于 UWB 制式基站进行定位，实现各种环境下精确室内外定具有中继器与 Wifi 链接两种通信形式，可适用于各种网络环境支持手机 APP 编队飞行及 PC 端编程编队、实时控制功能。 支持 scratch/python 双语言模式自主编程，软件平台高度集备完善的编程界面及实时动态仿真系统，预览编程实际效果。 全包桨护设计、堵转保护、低电量保护、失控保护、物理防护软件仿真系统设计、反向电子围</w:t>
            </w:r>
            <w:r>
              <w:rPr>
                <w:rFonts w:ascii="SimSun" w:hAnsi="SimSun" w:eastAsia="SimSun" w:cs="SimSun"/>
                <w:color w:val="000000"/>
                <w:sz w:val="20"/>
              </w:rPr>
              <w:t xml:space="preserve">栏设计、软件自动边界预警干预飞行器状态实时监测，最大化保障飞行及编程设计安全。 整机重量仅为 190g，可在任意空间进行飞行，符合国家法250g 之下，不受航空器飞行管制限制。搭载多种传感器，保证飞行姿态准确、动作多样。</w:t>
              <w:br/>
              <w:t xml:space="preserve">二：课程参数</w:t>
              <w:br/>
              <w:t xml:space="preserve"> 1.教学课程大纲</w:t>
              <w:br/>
              <w:t xml:space="preserve"> 1）无人机基础知识，2课时；</w:t>
              <w:br/>
              <w:t xml:space="preserve"> 2）无人机控制飞行，8课时；</w:t>
              <w:br/>
              <w:t xml:space="preserve"> 3）无人机编队表演，11课时；</w:t>
              <w:br/>
              <w:t xml:space="preserve"> 4）无人机拓展，3课时.</w:t>
              <w:br/>
              <w:t xml:space="preserve"> 2.图形化编程+python</w:t>
              <w:br/>
              <w:t xml:space="preserve"> 1）python基础，4课时；</w:t>
              <w:br/>
              <w:t xml:space="preserve"> 2）无人机初体验，7课时；</w:t>
              <w:br/>
              <w:t xml:space="preserve"> 3）三维空间飞行，5课时；</w:t>
              <w:br/>
              <w:t xml:space="preserve"> 4</w:t>
            </w:r>
            <w:r>
              <w:rPr>
                <w:rFonts w:ascii="SimSun" w:hAnsi="SimSun" w:eastAsia="SimSun" w:cs="SimSun"/>
                <w:color w:val="000000"/>
                <w:sz w:val="20"/>
              </w:rPr>
              <w:t xml:space="preserve">）创意舞步，3课时；</w:t>
              <w:br/>
              <w:t xml:space="preserve"> 5）项目挑战，5课时。</w:t>
              <w:br/>
              <w:t xml:space="preserve"> 3.无人机课程大纲</w:t>
              <w:br/>
              <w:t xml:space="preserve"> 1）一级课程，12课时，二级课程，12课时，三级课程，12小时。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低年段创客器材含课程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一、基本参数</w:t>
              <w:br/>
              <w:t xml:space="preserve">• 积木收纳盒尺寸：438mmx323mmx174mm（内含根据颜色分类的分类托盘，简化拼搭流程，便于课堂管理）</w:t>
              <w:br/>
              <w:t xml:space="preserve">• 积木颗粒数：共包含528块积木颗粒（除常见机械积木颗粒及补充包外，还包括带3个十字轴孔的2*4积木连接器，11*15蓝色中等机械框架，7*11品红色小型机械框架，新款车轮，滚珠和转向轮，可以多方向搭建的“饼干式”积木颗粒，用于管理多条线缆的线夹，11*19黄色机械底座，能够实现全新角度传动的双锥齿轮等特殊件颗粒）</w:t>
              <w:br/>
              <w:t xml:space="preserve">• 智能硬件：</w:t>
              <w:br/>
              <w:t xml:space="preserve"> 1）含六个I/O端口的智能集线器*1（内置 5</w:t>
            </w:r>
            <w:r>
              <w:rPr>
                <w:rFonts w:ascii="SimSun" w:hAnsi="SimSun" w:eastAsia="SimSun" w:cs="SimSun"/>
                <w:color w:val="000000"/>
                <w:sz w:val="20"/>
              </w:rPr>
              <w:t xml:space="preserve">x5 LED矩阵灯，可编程定制图案显示，12bit、16KHz单声道扬声器，六轴陀螺仪传感器包括三轴加速器（无漂移和最小延迟）、三轴陀螺仪， 可感应陀螺仪模式、加速器/倾斜模式、手势如轻击、自由下落、晃动。６个LPF2连接端口，端口速率115kb，EF两个端口默认为高速端口。三可交互按钮导航。32M内存，可存储程序、声音。两种连接方式：USB连接、低能耗蓝牙模块无线连接，支持串联模式和下载模式。嵌入式操作系统：Micro Python。100MHz，320KB RAM，1M flash处理。 兼容计算机和平</w:t>
            </w:r>
            <w:r>
              <w:rPr>
                <w:rFonts w:ascii="SimSun" w:hAnsi="SimSun" w:eastAsia="SimSun" w:cs="SimSun"/>
                <w:color w:val="000000"/>
                <w:sz w:val="20"/>
              </w:rPr>
              <w:t xml:space="preserve">板电脑）</w:t>
              <w:br/>
              <w:t xml:space="preserve"> 2）锂离子可充电电池*1（电池容量：2000 mAh，≥500次。可通过微型 USB 线缆在智能集线器内充电，LED指示灯提示充电状态，3小时充满。无需工具，拆卸简易）</w:t>
              <w:br/>
              <w:t xml:space="preserve"> 3）中型电机*2（有绝对零度位置/初始点位置；内置集成式转速传感器，具备失速检测功能，分辨率360cpr，传感器输入精度±1度，电机可控精度±3度，更新速率100Hz，实现±180度高精度绝对定位功能。扭矩3.5~28Ncm， 转速：135~185RPM，输出电压：5～9V。线缆长度：25cm）</w:t>
              <w:br/>
              <w:t xml:space="preserve"> 4）大型电机*1（专为大功率</w:t>
            </w:r>
            <w:r>
              <w:rPr>
                <w:rFonts w:ascii="SimSun" w:hAnsi="SimSun" w:eastAsia="SimSun" w:cs="SimSun"/>
                <w:color w:val="000000"/>
                <w:sz w:val="20"/>
              </w:rPr>
              <w:t xml:space="preserve">、高扭矩设计。有绝对零度位置/初始点位置；内置集成式转速传感器，具备失速检测功能，分辨率360cpr，传感器输入精度±1度，电机可控精度±3度，更新速率100Hz，可实现真正的直线控制。扭矩8~25Ncm， 转速：135~175RPM，输出电压：5～9V。线缆长度：25cm）</w:t>
              <w:br/>
              <w:t xml:space="preserve"> 5）颜色传感器*1（可感应RGB,HSV以及积木8种颜色，Python编程下可读取具体RGB值。采样率：100HZ。最佳读取距离：16mm。还可测量从黑暗至强太阳光范围内的反射光和环境光强度，数值以0-100%计。 传感器3个LED</w:t>
            </w:r>
            <w:r>
              <w:rPr>
                <w:rFonts w:ascii="SimSun" w:hAnsi="SimSun" w:eastAsia="SimSun" w:cs="SimSun"/>
                <w:color w:val="000000"/>
                <w:sz w:val="20"/>
              </w:rPr>
              <w:t xml:space="preserve">灯可独立控制，输出4000K色温白光，输出功率控制范围为0-100%，增量为1%。线缆长度：25cm）</w:t>
              <w:br/>
              <w:t xml:space="preserve"> 6）距离传感器*1（感应距离：5cm～200cm。感应角度：±35度。传感器采样率：100Hz，带超声波功能。有４个可通过编程独立控制的LED4000K色温白光灯，输出功率0~100%。背部内置８针转接口，可外接第三方传感器、电路板和 DIY 硬件。线缆长度：25cm）</w:t>
              <w:br/>
              <w:t xml:space="preserve"> 7）力传感器*1（ 能检测到触碰、轻拍、按压的力并转化为数字信号，能测量力的大小，结果准确可重复。线缆长度：25cm。</w:t>
              <w:br/>
              <w:t xml:space="preserve">❊ 触摸：激</w:t>
            </w:r>
            <w:r>
              <w:rPr>
                <w:rFonts w:ascii="SimSun" w:hAnsi="SimSun" w:eastAsia="SimSun" w:cs="SimSun"/>
                <w:color w:val="000000"/>
                <w:sz w:val="20"/>
              </w:rPr>
              <w:t xml:space="preserve">活力0.5～1牛顿±10%，激活区0-2mm，固件临界点1mm±0.5mm，传感器输入采用二进制 (1=激活或0=未激活)</w:t>
              <w:br/>
              <w:t xml:space="preserve">❊ 轻拍：单击、快速拍打、长按，激活力0.5～1牛顿±10%，激活区0-2mm，固件临界点1mm±0.5mm，传感器输入采用二进制 (1=激活或0=未激活)</w:t>
              <w:br/>
              <w:t xml:space="preserve">❊ 按压：激活力2.5～10牛顿，激活区2-8mm，传感器输出分辨率0.1牛顿，传感器输出限制为固定最大输出值10牛顿，传感器输出精度±-0.65牛顿</w:t>
              <w:br/>
              <w:t xml:space="preserve"> 8）微型USB连接器线缆*1（可将兼容的计算机和平板电脑与智能集线器连接起来</w:t>
            </w:r>
            <w:r>
              <w:rPr>
                <w:rFonts w:ascii="SimSun" w:hAnsi="SimSun" w:eastAsia="SimSun" w:cs="SimSun"/>
                <w:color w:val="000000"/>
                <w:sz w:val="20"/>
              </w:rPr>
              <w:t xml:space="preserve">，执行数据传输、固件更新等任务，还可作为智能集线器的充电线缆）</w:t>
              <w:br/>
              <w:t xml:space="preserve">• 应用程序：可在同一个应用程序内实现图形化编程以及Python文本编程自如切换，无需额外的SD卡。 除度数、圈数和时间之外，移动编程模块可以使用厘米作为输入单位，精准控制机器人在场地上的移动。</w:t>
              <w:br/>
              <w:t xml:space="preserve">• 编程语言：图标模块图形化编程、文字模块图形化编程、Python编程</w:t>
              <w:br/>
              <w:t xml:space="preserve">二、配套服务</w:t>
              <w:br/>
              <w:t xml:space="preserve">• 课程：150+课时教学内容，涉及计算思维、工程设计技能、数据收集和处理、物理科学、沟通与协作、复杂问题解决等多领域多项技能，提供入门材料、课程计划、学生学习单、评</w:t>
            </w:r>
            <w:r>
              <w:rPr>
                <w:rFonts w:ascii="SimSun" w:hAnsi="SimSun" w:eastAsia="SimSun" w:cs="SimSun"/>
                <w:color w:val="000000"/>
                <w:sz w:val="20"/>
              </w:rPr>
              <w:t xml:space="preserve">估工具、融合式学习资料</w:t>
              <w:br/>
              <w:t xml:space="preserve">• 教师培训：提供产品入门、课程教学、教学理念和方法等多模块系统培训资料，助力老师顺利开展STEAM教学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中年段创客器材含课程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一、基本参数</w:t>
              <w:br/>
              <w:t xml:space="preserve">• 积木收纳盒尺寸：438mmx323mmx174mm（内含根据颜色分类的分类托盘，简化拼搭流程，便于课堂管理）</w:t>
              <w:br/>
              <w:t xml:space="preserve">• 积木颗粒数：562块 （含补充包以及特殊积木元件，如机械齿轮、配重积木块、弹簧、气动组件、含有数字编号的元件、带刻度的圆形、三角形透明蓝色元件等）</w:t>
              <w:br/>
              <w:t xml:space="preserve">二、配套服务</w:t>
              <w:br/>
              <w:t xml:space="preserve">• 课程：8课时教学内容，涉及工程设计技能、物理科学、沟通与协作、复杂问题解决等多领域多项技能，提供搭建手册、入门材料、课程计划、学生学习单、评估工具、融合式学习资料</w:t>
              <w:br/>
              <w:t xml:space="preserve">• 教师培训：提供产品入门、课程教学、教学理念和方</w:t>
            </w:r>
            <w:r>
              <w:rPr>
                <w:rFonts w:ascii="SimSun" w:hAnsi="SimSun" w:eastAsia="SimSun" w:cs="SimSun"/>
                <w:color w:val="000000"/>
                <w:sz w:val="20"/>
              </w:rPr>
              <w:t xml:space="preserve">法等多模块系统培训资料，助力老师顺利开展STEAM教学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高年段创客器材含课程</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一、基本参数</w:t>
              <w:br/>
              <w:t xml:space="preserve">• 包装尺寸 54 × 28.2 × 9.1 cm       </w:t>
              <w:br/>
              <w:t xml:space="preserve">• 场地尺寸：940mmx472mm</w:t>
              <w:br/>
              <w:t xml:space="preserve">• 积木颗粒数：994块，另包含场地图纸、搭建手册                                                                                                                                     </w:t>
              <w:br/>
              <w:t xml:space="preserve">• 配套赛事套装：科创基础套装</w:t>
              <w:br/>
              <w:t xml:space="preserve">二、配套服务</w:t>
              <w:br/>
              <w:t xml:space="preserve">• 课程：12 节 1 小时课</w:t>
            </w:r>
            <w:r>
              <w:rPr>
                <w:rFonts w:ascii="SimSun" w:hAnsi="SimSun" w:eastAsia="SimSun" w:cs="SimSun"/>
                <w:color w:val="000000"/>
                <w:sz w:val="20"/>
              </w:rPr>
              <w:t xml:space="preserve">程练习。在成人教练核心价值的引导下，各团队基于挑战设计并搭建团队模型，并进行编程，让它们动起来。他们使用展示海报展现他们的研究和合作历程，并分享所学知识。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创客教育个人学习包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一、基本参数</w:t>
              <w:br/>
              <w:t xml:space="preserve">• 包装盒尺寸：262mmx141mmx61mm</w:t>
              <w:br/>
              <w:t xml:space="preserve">• 积木颗粒数：78块 </w:t>
              <w:br/>
              <w:t xml:space="preserve">二、配套服务</w:t>
              <w:br/>
              <w:t xml:space="preserve">• 课程：2课时教学内容，涉及工程设计技能、物理科学、沟通与协作、复杂问题解决等多领域多项技能，提供搭建手册、入门材料、课程计划、学生学习单、评估工具、融合式学习资料</w:t>
              <w:br/>
              <w:t xml:space="preserve">• 教师培训：提供产品入门、课程教学、教学理念和方法等多模块系统培训资料，助力老师顺利开展STEAM教学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创客教育主题扩展包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numPr>
                <w:ilvl w:val="0"/>
                <w:numId w:val="4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基本参数</w:t>
              <w:br/>
              <w:t xml:space="preserve">• 包装盒尺寸：382mmx262mx94mm（内含根据颜色分类的分类托盘，简化拼搭流程，便于课堂管理）</w:t>
              <w:br/>
              <w:t xml:space="preserve">• 积木颗粒数：共包含603 块（除常见机械积木颗粒外，还包含专为赛事活动设计的零件，如大型车轮、齿条、独特的创客底板等，以便于搭建更大型的赛事模型）</w:t>
              <w:br/>
              <w:t xml:space="preserve">• 智能硬件（与科创套装硬件搭配使用）：</w:t>
              <w:br/>
              <w:t xml:space="preserve"> 1）大型电机*1（专为大功率、高扭矩设计。有绝对零度位置/初始点位置；内置集成式转速传感器，具备失速检测功能，分辨率360cpr，传感器输入精度±1度，电机可控精度±3度，更新速率100Hz，可实现真</w:t>
            </w:r>
            <w:r>
              <w:rPr>
                <w:rFonts w:ascii="SimSun" w:hAnsi="SimSun" w:eastAsia="SimSun" w:cs="SimSun"/>
                <w:color w:val="000000"/>
                <w:sz w:val="20"/>
              </w:rPr>
              <w:t xml:space="preserve">正的直线控制。扭矩8~25Ncm， 转速：135~175RPM，输出电压：5～9V。线缆长度：25cm）</w:t>
              <w:br/>
              <w:t xml:space="preserve"> 2）颜色传感器*1（可感应RGB,HSV以及积木8种颜色，Python编程下可读取具体RGB值。采样率：100HZ。最佳读取距离：16mm。还可测量从黑暗至强太阳光范围内的反射光和环境光强度，数值以0-100%计。 传感器3个LED灯可独立控制，输出4000K色温白光，输出功率控制范围为0-100%，增量为1%。线缆长度：25cm）             </w:t>
              <w:br/>
              <w:t xml:space="preserve">• 应用程序：应用程序（面向学生的 App</w:t>
            </w:r>
            <w:r>
              <w:rPr>
                <w:rFonts w:ascii="SimSun" w:hAnsi="SimSun" w:eastAsia="SimSun" w:cs="SimSun"/>
                <w:color w:val="000000"/>
                <w:sz w:val="20"/>
              </w:rPr>
              <w:t xml:space="preserve"> 应用程序，包含所有学习活动及搭建手册），可在同一个应用程序内实现图形化编程以及Python文本编程自如切换，无需额外的SD卡。 除度数、圈数和时间之外，移动编程模块可以使用厘米作为输入单位，精准控制机器人在场地上的移动。兼容不同的平台</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二、配套服务</w:t>
              <w:br/>
              <w:t xml:space="preserve">• 课程：12课时竞赛训练学习内容，启发学生搭建更高阶的模型，并为今后参加趣味性和挑战性的机器人竞赛做好准备</w:t>
              <w:br/>
              <w:t xml:space="preserve">• 教师培训：提供产品入门、课程教学、教学理念和方法等多模块系统培训资料，助力老师能够顺利指导学生参加赛事活动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创客教育挑战拓展包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一、基本参数</w:t>
              <w:br/>
              <w:t xml:space="preserve"> • 积木颗粒数：2175块另包含场地图纸、魔术贴                                                                  </w:t>
              <w:br/>
              <w:t xml:space="preserve">• 配套赛事套装：科创套装</w:t>
              <w:br/>
              <w:t xml:space="preserve">二、配套服务</w:t>
              <w:br/>
              <w:t xml:space="preserve">• 课程：12 节 2 小时课程练习。在成人教练核心价值的引导下，各团队基于挑战设计并搭建团队模型，解决方案，并使用科创套装进行搭建，并基于年度主题执行一系列任务。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四足机器狗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配置包含一台群控编辑器，内置群控软件，深度定制机器人狗逻辑算法。包含一套仿生机器人狗。</w:t>
              <w:br/>
              <w:t xml:space="preserve">（一）硬件平台                                                </w:t>
              <w:br/>
              <w:t xml:space="preserve">重量（带电池） 12kg；长*宽*高：0.645*0.28*0.4m；负载5kg                                                                                   </w:t>
              <w:br/>
              <w:t xml:space="preserve">各关节都有足够大的运动范围：髋侧摆关节：-40~+40°；髋前摆</w:t>
            </w:r>
            <w:r>
              <w:rPr>
                <w:rFonts w:ascii="SimSun" w:hAnsi="SimSun" w:eastAsia="SimSun" w:cs="SimSun"/>
                <w:color w:val="000000"/>
                <w:sz w:val="20"/>
              </w:rPr>
              <w:t xml:space="preserve">关节：-218~+45°；膝关节：+24~+132°                                                                                                                                                                                                                                      </w:t>
            </w:r>
            <w:r>
              <w:rPr>
                <w:rFonts w:ascii="SimSun" w:hAnsi="SimSun" w:eastAsia="SimSun" w:cs="SimSun"/>
                <w:color w:val="000000"/>
                <w:sz w:val="20"/>
              </w:rPr>
              <w:t xml:space="preserve">                                                            </w:t>
              <w:br/>
              <w:t xml:space="preserve">最快奔跑速度3.5m/s </w:t>
              <w:br/>
              <w:t xml:space="preserve">内置超级AI算力 </w:t>
              <w:br/>
              <w:t xml:space="preserve">腿和机身连接处具备全向柔性缓冲结构，可吸收全方冲击                                                             </w:t>
              <w:br/>
              <w:t xml:space="preserve">（二）运动控制软硬件                                              </w:t>
              <w:br/>
              <w:t xml:space="preserve">内置ARM控制器            </w:t>
              <w:br/>
              <w:t xml:space="preserve">具备跳跃空中</w:t>
            </w:r>
            <w:r>
              <w:rPr>
                <w:rFonts w:ascii="SimSun" w:hAnsi="SimSun" w:eastAsia="SimSun" w:cs="SimSun"/>
                <w:color w:val="000000"/>
                <w:sz w:val="20"/>
              </w:rPr>
              <w:t xml:space="preserve">转体/跳舞/双腿站立等功能                                                                </w:t>
              <w:br/>
              <w:t xml:space="preserve">具备机器狗具备良好的缓冲功能，具备从高度1米处跌落不会损坏并能在2秒内继续行走的能力                                                         </w:t>
              <w:br/>
              <w:t xml:space="preserve">（三）感知模块                                                                       </w:t>
            </w:r>
            <w:r>
              <w:rPr>
                <w:rFonts w:ascii="SimSun" w:hAnsi="SimSun" w:eastAsia="SimSun" w:cs="SimSun"/>
                <w:color w:val="000000"/>
                <w:sz w:val="20"/>
              </w:rPr>
              <w:t xml:space="preserve">   </w:t>
              <w:br/>
              <w:t xml:space="preserve">超级动态伴随自主避障系统                                          </w:t>
              <w:br/>
              <w:t xml:space="preserve">内置无线矢量定位系统                                               </w:t>
              <w:br/>
              <w:t xml:space="preserve">内置3台Nano控制器                                                   </w:t>
              <w:br/>
              <w:t xml:space="preserve">内置3组超声波探头                                                      </w:t>
              <w:br/>
              <w:t xml:space="preserve">内置5组鱼眼双目深度智能</w:t>
            </w:r>
            <w:r>
              <w:rPr>
                <w:rFonts w:ascii="SimSun" w:hAnsi="SimSun" w:eastAsia="SimSun" w:cs="SimSun"/>
                <w:color w:val="000000"/>
                <w:sz w:val="20"/>
              </w:rPr>
              <w:t xml:space="preserve">摄像头                                               </w:t>
              <w:br/>
              <w:t xml:space="preserve">内置1个3W扬声器                                                                                                                          </w:t>
              <w:br/>
              <w:t xml:space="preserve">具备APP上帝视角，APP沉浸式机器狗模拟器功能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智能魔镜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AI智能运动镜</w:t>
              <w:br/>
              <w:t xml:space="preserve">机身尺寸：1729mm*610mm*42.8mm</w:t>
              <w:br/>
              <w:t xml:space="preserve">材质工艺：真空溅镀工艺镜面哑光铝合金框体显示屏：43英寸4k超高清透亮屏</w:t>
              <w:br/>
              <w:t xml:space="preserve">哈曼联名高保真音响，沉浸的听音体验</w:t>
              <w:br/>
              <w:t xml:space="preserve"> 2.1声道前置音响，环绕立体音效、额定输出功率4ow、内置挂墙/摆放EQ曲线，不同安装环境，都有高声音</w:t>
              <w:br/>
              <w:t xml:space="preserve"> WiFi：2.4GHz&amp;5GHz双频段，蓝牙：BT5.0</w:t>
              <w:br/>
              <w:t xml:space="preserve">存储：32GB</w:t>
              <w:br/>
              <w:t xml:space="preserve"> NPU神经网络识别技术、支持人体16个骨骼点、动作指导与纠正、L4级智能交互、体能测评、离线数据分析、连心率设备显示卡路里&amp;心率、运动评估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32寸电子云屏含管理系统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1.显示参数</w:t>
              <w:br/>
              <w:t xml:space="preserve"> 32寸，点分辨率：1920x1080，显示颜色：16.7M（8bit），宽高比：16：9点距：0.36375 x 0.36375，亮度：350cd/m2，对比度：1000：1，可视角度：178°/178°，响应时间：6.5ms，显示区域：698.4（H）*392.85（V）MM，背光模组：LED</w:t>
              <w:br/>
              <w:t xml:space="preserve"> 2.处理器参数</w:t>
              <w:br/>
              <w:t xml:space="preserve">双核CortexA73@800MHz；</w:t>
              <w:br/>
              <w:t xml:space="preserve"> 3.存储参数</w:t>
              <w:br/>
              <w:t xml:space="preserve">内存1G，存储8G；</w:t>
              <w:br/>
              <w:t xml:space="preserve"> 4.网络参数</w:t>
              <w:br/>
              <w:t xml:space="preserve">有线网络支持10M/100M自适应，无线网络支持802.11b/g/n协议；</w:t>
              <w:br/>
              <w:t xml:space="preserve"> 5.能</w:t>
            </w:r>
            <w:r>
              <w:rPr>
                <w:rFonts w:ascii="SimSun" w:hAnsi="SimSun" w:eastAsia="SimSun" w:cs="SimSun"/>
                <w:color w:val="000000"/>
                <w:sz w:val="20"/>
              </w:rPr>
              <w:t xml:space="preserve">耗参数</w:t>
              <w:br/>
              <w:t xml:space="preserve">功耗＜65W，待机功耗＜0.5W。 </w:t>
              <w:br/>
              <w:t xml:space="preserve">一、系统后台管理</w:t>
              <w:br/>
              <w:t xml:space="preserve"> 1.基础管理</w:t>
              <w:br/>
              <w:t xml:space="preserve">校园云屏系统基于基础信息服务平台的数据接口获取教师、学生、班级等基础信息。</w:t>
              <w:br/>
              <w:t xml:space="preserve">校园云屏系统提供基础管理功能，包括：任教管理、作息时间管理等。通过基础管理，为校园云屏系统的使用提供基础运行环境。</w:t>
              <w:br/>
              <w:t xml:space="preserve"> 2.场景管理</w:t>
              <w:br/>
              <w:t xml:space="preserve">系统支持各类空间对应的场景管理，具体如下：</w:t>
              <w:br/>
              <w:t xml:space="preserve"> 1）普通教室场景管理：支持对普通教室的场景进行编辑。普通教室有考勤场景、课堂场景、课间场景以及其他场景。系统支持设置每个场景的展示模块。</w:t>
              <w:br/>
              <w:t xml:space="preserve"> 2）专用教室场景管理：支持对专用教室的</w:t>
            </w:r>
            <w:r>
              <w:rPr>
                <w:rFonts w:ascii="SimSun" w:hAnsi="SimSun" w:eastAsia="SimSun" w:cs="SimSun"/>
                <w:color w:val="000000"/>
                <w:sz w:val="20"/>
              </w:rPr>
              <w:t xml:space="preserve">场景进行编辑。专用教室有常规场景、课后服务场景、会议场景、考场场景。系统支持设置每个场景的展示模块。</w:t>
              <w:br/>
              <w:t xml:space="preserve"> 3）公共教学区域场景管理：支持对公共教学区域的场景进行编辑。公共教学区域有常规场景及自主新建场景。系统支持设置每个场景的展示模块。系统支持创建新场景。</w:t>
              <w:br/>
              <w:t xml:space="preserve"> 4）办公区域场景管理：支持对办公区域的场景进行编辑。办公区域有常规场景及自主新建场景。系统支持设置每个场景的展示模块。系统支持创建新场景。</w:t>
              <w:br/>
              <w:t xml:space="preserve"> 5）校门口场景管理：支持对校门口的场景进行编辑。校门口有放学场景、非放学场景。系统支持设置每个场景的展示模块。系</w:t>
            </w:r>
            <w:r>
              <w:rPr>
                <w:rFonts w:ascii="SimSun" w:hAnsi="SimSun" w:eastAsia="SimSun" w:cs="SimSun"/>
                <w:color w:val="000000"/>
                <w:sz w:val="20"/>
              </w:rPr>
              <w:t xml:space="preserve">统支持创建新场景。</w:t>
              <w:br/>
              <w:t xml:space="preserve"> 6）紧急场景管理：紧急场景用于特定情况下发布全校通知，一旦启用将覆盖云屏当前展示内容，可以根据需要选择右侧任意模块在云屏上进行全屏展示。</w:t>
              <w:br/>
              <w:t xml:space="preserve"> 7）场景时间设置：可以设定每个场景的启动和结束时间，以实现按照时间段自动切换数字屏的场景。</w:t>
              <w:br/>
              <w:t xml:space="preserve"> 3.模块管理</w:t>
              <w:br/>
              <w:t xml:space="preserve"> 1）模块分类：系统支持信息发布、功能应用、主题海报三类模块。信息发布模块有：班级名片、相册、值日表、通知公告、倒计时、标语、学校简介、办学理念、办学特色等。功能应用模块有：考勤、会议、评比等，具体可根据智慧校园应用模块而定。主题海报：科普、</w:t>
            </w:r>
            <w:r>
              <w:rPr>
                <w:rFonts w:ascii="SimSun" w:hAnsi="SimSun" w:eastAsia="SimSun" w:cs="SimSun"/>
                <w:color w:val="000000"/>
                <w:sz w:val="20"/>
              </w:rPr>
              <w:t xml:space="preserve">博物馆、红色中国、劳动教育、生活百科、学校定制海报等。</w:t>
              <w:br/>
              <w:t xml:space="preserve"> 2）模块选择：校级管理员可从系统中已有模块库中选择学校常用的模块。也支持删除已选模块。</w:t>
              <w:br/>
              <w:t xml:space="preserve"> 3）添加自定义模块，支持根据学校实际添加自定义模块，以满足学校的个性化需求。自定义模块支持名称自定义，模块类型有文本、图片、网址链接三种形式。</w:t>
              <w:br/>
              <w:t xml:space="preserve"> 4.内容管理</w:t>
              <w:br/>
              <w:t xml:space="preserve">支持对通知公告、新闻资讯、图库、视频库、倒计时、标语、人文社科、学校介绍等内容的编辑、发布。</w:t>
              <w:br/>
              <w:t xml:space="preserve"> 1）通知公告：支持通知公告的编辑、发布，数字屏在全屏模式下展示相关的通知公告。</w:t>
              <w:br/>
              <w:t xml:space="preserve"> 2）倒计时管理：支持倒计时</w:t>
            </w:r>
            <w:r>
              <w:rPr>
                <w:rFonts w:ascii="SimSun" w:hAnsi="SimSun" w:eastAsia="SimSun" w:cs="SimSun"/>
                <w:color w:val="000000"/>
                <w:sz w:val="20"/>
              </w:rPr>
              <w:t xml:space="preserve">的设置，比如：距离学校的校庆日还有XX天。</w:t>
              <w:br/>
              <w:t xml:space="preserve"> 3）标语管理：支持标语的编辑、发布，通过数字屏展示班级独立的标语，形成班级的个性化元素。</w:t>
              <w:br/>
              <w:t xml:space="preserve"> 4）班级名片：系统支持班主任编辑本班的相关信息，包括：班级介绍、班级成员、班级荣誉等内容。</w:t>
              <w:br/>
              <w:t xml:space="preserve"> 5）图片库：系统支持图片库分级、分类的编辑和管理，支持同时上传20张以内的本地图片，支持bmp、jpg、jpeg、PNG等图片格式。系统支持图片轮播。</w:t>
              <w:br/>
              <w:t xml:space="preserve"> 5.设备管理</w:t>
              <w:br/>
              <w:t xml:space="preserve">系统后台可查看每个设备的运行状态，包括：正常、异常。</w:t>
              <w:br/>
              <w:t xml:space="preserve">系统支持为设备绑定地点，也支持解除已绑定地点，支持查看设备</w:t>
            </w:r>
            <w:r>
              <w:rPr>
                <w:rFonts w:ascii="SimSun" w:hAnsi="SimSun" w:eastAsia="SimSun" w:cs="SimSun"/>
                <w:color w:val="000000"/>
                <w:sz w:val="20"/>
              </w:rPr>
              <w:t xml:space="preserve">的播放列表，支持查看设备当前的页面展示内容。系统支持批量开关机，选择某些设备后，可以选择批量开机、关机。</w:t>
              <w:br/>
              <w:t xml:space="preserve">设备管理支持按照区域类型分别管理。</w:t>
              <w:br/>
              <w:t xml:space="preserve"> 6.基础管理</w:t>
              <w:br/>
              <w:t xml:space="preserve"> 1）卡管理</w:t>
              <w:br/>
              <w:t xml:space="preserve">系统支持对学生卡、教师卡进行管理。</w:t>
              <w:br/>
              <w:t xml:space="preserve">学生卡管理：支持批量导入学生卡，批量解绑学生卡，支持编辑相关信息。提供批量导入学生卡的模板。</w:t>
              <w:br/>
              <w:t xml:space="preserve">教师卡管理：支持批量导入教师卡，批量解绑教师卡，支持编辑相关信息。提供批量导入教师卡的模板。</w:t>
              <w:br/>
              <w:t xml:space="preserve"> 2）作息时间设置</w:t>
              <w:br/>
              <w:t xml:space="preserve">系统支持根据学校的具体作息时间实际情况进行灵活设置。可设置每周上课的天数、每天的课节数、课间活动</w:t>
            </w:r>
            <w:r>
              <w:rPr>
                <w:rFonts w:ascii="SimSun" w:hAnsi="SimSun" w:eastAsia="SimSun" w:cs="SimSun"/>
                <w:color w:val="000000"/>
                <w:sz w:val="20"/>
              </w:rPr>
              <w:t xml:space="preserve">、节次时间设置，支持学校每天作息时间不一致的场景。</w:t>
              <w:br/>
              <w:t xml:space="preserve">系统支持按照作息时间“一周致”和“一周不一致”两种情况进行分别设置。</w:t>
              <w:br/>
              <w:t xml:space="preserve">根据具体需要可对作息时间设置进行启用、禁用操作。</w:t>
              <w:br/>
              <w:t xml:space="preserve"> 3）空间管理</w:t>
              <w:br/>
              <w:t xml:space="preserve">添加空间：编辑空间信息：空间名称、校区、网络有无、多媒体有无、可容纳人数，其他备注。</w:t>
              <w:br/>
              <w:t xml:space="preserve">管理空间：支持编辑空间信息。支持删除空间。</w:t>
              <w:br/>
              <w:t xml:space="preserve">空间二维码：系统可生成每个空间对应的二维码。</w:t>
              <w:br/>
              <w:t xml:space="preserve"> 4）学校校历管理</w:t>
              <w:br/>
              <w:t xml:space="preserve">支持按照学校的校历设置“上课日”和“上课日”，具体为在每个月的日历上，统一选择周一到周日中的某些天为上课日，剩下的为非上课日。学</w:t>
            </w:r>
            <w:r>
              <w:rPr>
                <w:rFonts w:ascii="SimSun" w:hAnsi="SimSun" w:eastAsia="SimSun" w:cs="SimSun"/>
                <w:color w:val="000000"/>
                <w:sz w:val="20"/>
              </w:rPr>
              <w:t xml:space="preserve">校管理员可根据实际校历情况设置、修改，并且支持将周六（或周日）设置为周几的上课日。</w:t>
              <w:br/>
              <w:t xml:space="preserve">二、系统前台功能</w:t>
              <w:br/>
              <w:t xml:space="preserve"> 1.文化展示</w:t>
              <w:br/>
              <w:t xml:space="preserve"> 1）校本文化展示</w:t>
              <w:br/>
              <w:t xml:space="preserve">根据场景和时间，在数字屏上展示跟该空间匹配的校本文化内容。文化内容根据学校需求进行定制设计。</w:t>
              <w:br/>
              <w:t xml:space="preserve"> 2）社会化教育资源展示</w:t>
              <w:br/>
              <w:t xml:space="preserve">系统提供五大类的优秀社会化教育资源。包括：全国优秀校本课程案例、科普类、博物馆类、红色中国类、劳动教育类、生活百科类等资源。根据数字屏所在空间的主题属性，展示相应的资源。</w:t>
              <w:br/>
              <w:t xml:space="preserve"> 2.信息发布</w:t>
              <w:br/>
              <w:t xml:space="preserve"> 1）通知公告</w:t>
              <w:br/>
              <w:t xml:space="preserve">支持在数字屏的通知公告模块，展示学校管理账号所推送</w:t>
            </w:r>
            <w:r>
              <w:rPr>
                <w:rFonts w:ascii="SimSun" w:hAnsi="SimSun" w:eastAsia="SimSun" w:cs="SimSun"/>
                <w:color w:val="000000"/>
                <w:sz w:val="20"/>
              </w:rPr>
              <w:t xml:space="preserve">的通知公告信息。</w:t>
              <w:br/>
              <w:t xml:space="preserve"> 2）校园新闻</w:t>
              <w:br/>
              <w:t xml:space="preserve">支持在数字屏的校园新闻模块，展示学校新闻。新闻内容支持富文本框编辑。</w:t>
              <w:br/>
              <w:t xml:space="preserve"> 3）校园风采</w:t>
              <w:br/>
              <w:t xml:space="preserve">支持在数字屏的校园风采模块展示学校的人物、活动、景观等校园风采内容。</w:t>
              <w:br/>
              <w:t xml:space="preserve"> 4）班级名片</w:t>
              <w:br/>
              <w:t xml:space="preserve">支持在数字屏的班级名片模块展示班级基本信息。</w:t>
              <w:br/>
              <w:t xml:space="preserve"> 5）标语</w:t>
              <w:br/>
              <w:t xml:space="preserve">支持展示班级独立的标语，营造丰富多彩的班级文化，相关设置可在系统后台完成操作。</w:t>
              <w:br/>
              <w:t xml:space="preserve"> 6）倒计时</w:t>
              <w:br/>
              <w:t xml:space="preserve">支持通过数字屏展示事件倒计时，相关设置可在系统后台完成。</w:t>
              <w:br/>
              <w:t xml:space="preserve"> 3.功能应用</w:t>
              <w:br/>
              <w:t xml:space="preserve"> 1）考勤签到</w:t>
              <w:br/>
              <w:t xml:space="preserve">教室（或功能室）门口的数字屏支持刷卡考勤，数字屏上可展示学生考勤</w:t>
            </w:r>
            <w:r>
              <w:rPr>
                <w:rFonts w:ascii="SimSun" w:hAnsi="SimSun" w:eastAsia="SimSun" w:cs="SimSun"/>
                <w:color w:val="000000"/>
                <w:sz w:val="20"/>
              </w:rPr>
              <w:t xml:space="preserve">的统计数据，便于校领导与分管教师即时掌握班级考勤信息。</w:t>
              <w:br/>
              <w:t xml:space="preserve"> 2）会议签到</w:t>
              <w:br/>
              <w:t xml:space="preserve">支持在各类功能室门口的数字屏上进行二维码签到。</w:t>
              <w:br/>
              <w:t xml:space="preserve"> 3）班级课表</w:t>
              <w:br/>
              <w:t xml:space="preserve">支持在教室门口的数字屏上显示班级课表信息。</w:t>
              <w:br/>
              <w:t xml:space="preserve"> 4.场景自动切换</w:t>
              <w:br/>
              <w:t xml:space="preserve">数字屏可根据预先设定的时间和场景对应关系进行屏上显示模式的自动切换。</w:t>
              <w:br/>
              <w:t xml:space="preserve">三、基础内容</w:t>
              <w:br/>
              <w:t xml:space="preserve">需提供优秀的社会文化教育资源，海报总数不少于1000张，每张分辨率不低于1080*1920。至少包含以下五大类型。</w:t>
              <w:br/>
              <w:t xml:space="preserve"> 1.科普类：提供科普类系列数字海报，内容需至少包含航空航天、动物图鉴、植物图鉴、蓝色星球；</w:t>
              <w:br/>
              <w:t xml:space="preserve"> 2.博物馆类：提</w:t>
            </w:r>
            <w:r>
              <w:rPr>
                <w:rFonts w:ascii="SimSun" w:hAnsi="SimSun" w:eastAsia="SimSun" w:cs="SimSun"/>
                <w:color w:val="000000"/>
                <w:sz w:val="20"/>
              </w:rPr>
              <w:t xml:space="preserve">供专业博物馆授权使用的数字海报，内容需至少包含传统玉器、青铜器、乐器、戏曲、脸谱。海报有配套的导览文字和导览语音，支持扫描二维码获取。</w:t>
              <w:br/>
              <w:t xml:space="preserve"> 3.红色中国类：包含“四史”、习语、普法教育、廉政、中国精神、红色家书等红色文化普及海报。</w:t>
              <w:br/>
              <w:t xml:space="preserve"> 4.劳动教育类：包含劳动模范、劳动价值、劳动知识普及等在内的宣传海报。</w:t>
              <w:br/>
              <w:t xml:space="preserve">学习百科类：包含节庆宣传、网络安全、文明校园、校园安全、名人名言等内容的宣传海报。</w:t>
              <w:br/>
              <w:t xml:space="preserve">管理系统支持统一管理本次项目建设的各类数字屏，支持将各类文化内容按照主题空间类型、时间段等规则进行智能推送，实现校园文化统一</w:t>
            </w:r>
            <w:r>
              <w:rPr>
                <w:rFonts w:ascii="SimSun" w:hAnsi="SimSun" w:eastAsia="SimSun" w:cs="SimSun"/>
                <w:color w:val="000000"/>
                <w:sz w:val="20"/>
              </w:rPr>
              <w:t xml:space="preserve">。含5年服务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3D全息影像展示系统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全视角工业级液晶屏 屏幕比例：16：9，可视角度：89,89，最佳观看距离＞0.5m显示尺寸：305 228.5mm</w:t>
              <w:br/>
              <w:t xml:space="preserve">分辨率：1920×1080</w:t>
              <w:br/>
              <w:t xml:space="preserve">点距：0.098×0.294 mm (H×V) </w:t>
              <w:br/>
              <w:t xml:space="preserve">水平频率： 30 － 80KHZ </w:t>
              <w:br/>
              <w:t xml:space="preserve">垂直频率： 50—70HZ </w:t>
              <w:br/>
              <w:t xml:space="preserve">颜色数： 262K (6-bit)</w:t>
              <w:br/>
              <w:t xml:space="preserve">灯管寿命： 50000 小时 </w:t>
              <w:br/>
              <w:t xml:space="preserve">平均亮度：350cd/m 2 </w:t>
              <w:br/>
              <w:t xml:space="preserve">对比度：1000： 1 </w:t>
              <w:br/>
              <w:t xml:space="preserve">色饱和度： 72% Display Colors:16.7M</w:t>
              <w:br/>
              <w:t xml:space="preserve">框架机柜，冷轧钢板金属喷塑，颜色全白，机柜采取分体设计，中间一</w:t>
            </w:r>
            <w:r>
              <w:rPr>
                <w:rFonts w:ascii="SimSun" w:hAnsi="SimSun" w:eastAsia="SimSun" w:cs="SimSun"/>
                <w:color w:val="000000"/>
                <w:sz w:val="20"/>
              </w:rPr>
              <w:t xml:space="preserve">圈白色灯带</w:t>
              <w:br/>
              <w:t xml:space="preserve">全息幻想玻璃，1000mm*1000mm</w:t>
              <w:br/>
              <w:t xml:space="preserve">分屏器、高清线、电源线、适配器、网线等</w:t>
              <w:br/>
              <w:t xml:space="preserve">展示内容根据学校需求定制，定制内容不少于五组。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6、VR平台设备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VR体验台F款套装台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VR体验台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55寸智能液晶电视</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投影机支架（挂件）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大朋/E4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电脑（VR标准版）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键盘鼠标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HDMI/DVI/DP线（HDMI转DVI）</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生命健康 5.0系列-VR 青少年心理健康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生命健康 5.0系列-VR 心理宣泄室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消防 5.0系列-VR 家庭火灾逃生体验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环保 5.0系列-VR 食品安全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校园 5.0系列-VR 学校火灾逃生体验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校园 5.0系列-VR 禁毒安全体验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校园 5.0系列-VR 学校地震逃生体验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校园 5.0系列-VR 溺水自救与救援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校园 5.0系列-VR 校园霸凌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防诈骗 5.0系列-VR 网上交友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体感互动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2.0感应器 开发高清体感摄像头Kinect体感 Kinect+电源适配器（体感开发套装）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vMerge w:val="continue"/>
            <w:textDirection w:val="lrTb"/>
            <w:noWrap w:val="false"/>
          </w:tcPr>
          <w:p>
            <w:r/>
            <w:r/>
          </w:p>
        </w:tc>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快速架构：快速唤醒、硬件加速的DirectX光线追踪、最高可达120 FPS的游戏体验、跨世代兼容，畅玩跨世代的众多游戏、杜比视界以及杜比True HD编码的全景声、HDMI 2.1输出、NVMe定制版SSD1T、图形处理能力、最高分辨率12 teraflops、可游玩实体游戏光盘、可播放4K UHD蓝光娱乐内容。</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7、现代媒体艺术教室设备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艺术创作综合实践套件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便捷自由的角色关节组合编辑；元件库超过16类，426个可自由组合角色；24种常用元件关节点快速布局模板；自由添加删除子关节点；可添加多形态；元件列表自由增删；根关节子关节节点位置预览编辑；快捷关联父子关节节点；检查节点关联错误；支持导入ske素材。</w:t>
              <w:br/>
              <w:t xml:space="preserve"> 2、所见即所得直接拖动部件方式编辑角色关节动作；可切换反向动力学方式或正向动力学方式编辑；支持关节元件旋转角度范围限定、表情/口型/手型切换、关节元件缩放、关节节点位置微调、骨骼关节分离编辑、画面触控位移缩放角色、快速复原、翻转、添加角色轮廓线、添加背景、</w:t>
            </w:r>
            <w:r>
              <w:rPr>
                <w:rFonts w:ascii="SimSun" w:hAnsi="SimSun" w:eastAsia="SimSun" w:cs="SimSun"/>
                <w:color w:val="000000"/>
                <w:sz w:val="20"/>
              </w:rPr>
              <w:t xml:space="preserve">画幅比例/输出尺寸/背景透明度等设置等编辑功能；支持录制动画，保存各种尺寸图片与gif动画</w:t>
              <w:br/>
              <w:t xml:space="preserve"> 3、88种常用漫画分框构图版式，13种风格对话泡泡，8种风格对话泡尖尖，6种风格速度线，多种符号；支持图片导入素材列表栏；元素自由拖拉缩放、旋转、裁切，自由设置画幅尺寸，文字添加编辑，字体字号设置，上下层设置等功能</w:t>
              <w:br/>
              <w:t xml:space="preserve"> 4、基于镜头的动画便捷流程，列表时间轴流程编辑模式，自由拖动镜头编辑时序；实时编辑实时随时预览；直接拖拉编辑开始框结束框构图方式编辑动画，直观快捷；开始构图、结束构图、动画时长、声音开始对齐延迟时值设</w:t>
            </w:r>
            <w:r>
              <w:rPr>
                <w:rFonts w:ascii="SimSun" w:hAnsi="SimSun" w:eastAsia="SimSun" w:cs="SimSun"/>
                <w:color w:val="000000"/>
                <w:sz w:val="20"/>
              </w:rPr>
              <w:t xml:space="preserve">置；屏幕小键盘输入；6种常用转场模式；录音、导入、替换、删除声音文件；添加、删除、编辑标题、字幕文字；开始结束框构图一键交换；镜头自由替换、删除、复制操作；html5动画生成，云端发布。</w:t>
              <w:br/>
              <w:t xml:space="preserve"> 5、适合触屏，鼠标，快捷键盘等多种操作方式，可全键盘快捷键操作拍摄编辑；动画项目具有新建、复制、删除、导入等功能，可设置画幅尺寸、帧率、预览尺寸、动画名称、导演；摄像头可设置选择摄像头曝光、白平衡等参数；动画拍摄时可设置洋葱皮、网格参考；时间轴可多帧选择、复制、删除、剪切、粘贴、倒序编辑，可切换前帧、后帧、首帧、尾帧、拍</w:t>
            </w:r>
            <w:r>
              <w:rPr>
                <w:rFonts w:ascii="SimSun" w:hAnsi="SimSun" w:eastAsia="SimSun" w:cs="SimSun"/>
                <w:color w:val="000000"/>
                <w:sz w:val="20"/>
              </w:rPr>
              <w:t xml:space="preserve">摄帧，设置单次循环播放模式；具有延时拍摄、录音、导入音频、选色抠像、合成底图等功能；一键合成导出视频文件。</w:t>
              <w:br/>
              <w:t xml:space="preserve"> 6、能实现逐格拍摄动画，连续播放预览，能够设置拍摄播放帧率</w:t>
              <w:br/>
              <w:t xml:space="preserve"> 7、运用反向动力学所见即所得的角色动作操作，案例角色关节人偶的动作设置操作，与动画记录</w:t>
              <w:br/>
              <w:t xml:space="preserve"> 8、遥控键盘控制软件进行动画拍摄，全部操作运用遥控键盘进行拍摄，提供“洋葱皮”参考，时间轴编辑，播放控制辑，播放控制等全部通过遥控键盘完成，主机电脑与拍摄操作台分离也可以便捷拍摄操作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套装工具箱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携带收纳保护工具设备</w:t>
              <w:br/>
              <w:t xml:space="preserve">高箱-带定制海绵内衬，外尺寸473*348*174mm 内尺寸440*290*165mm</w:t>
              <w:br/>
              <w:t xml:space="preserve">矮箱-带定制海绵内衬，外尺寸473*348*128mm 内尺寸440*290*120mm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套装工具箱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携带收纳保护工具设备</w:t>
              <w:br/>
              <w:t xml:space="preserve">长度：800—1300mm</w:t>
              <w:br/>
              <w:t xml:space="preserve">直径：130mm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拍摄辅助支架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多角度自由支撑固定人偶、道具</w:t>
              <w:br/>
              <w:t xml:space="preserve">底板：64*64*32mm</w:t>
              <w:br/>
              <w:t xml:space="preserve">支架长度：215mm+180mm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专业摄影摄像头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接口：USB2.0 </w:t>
              <w:br/>
              <w:t xml:space="preserve">有效像素：2592H*1944V</w:t>
              <w:br/>
              <w:t xml:space="preserve">分辨率：1920*1080</w:t>
              <w:br/>
              <w:t xml:space="preserve">外壳：高强度全铝合金外壳</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CS接口摄像头望远变焦镜头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接口：cs</w:t>
              <w:br/>
              <w:t xml:space="preserve">焦距：5—50mm</w:t>
              <w:br/>
              <w:t xml:space="preserve">像面尺寸：1/2.5”</w:t>
              <w:br/>
              <w:t xml:space="preserve">镜头结构：金属</w:t>
              <w:br/>
              <w:t xml:space="preserve">操作方法：手动变焦</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CS接口摄像头定焦镜头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接口：cs</w:t>
              <w:br/>
              <w:t xml:space="preserve">焦距：8mm</w:t>
              <w:br/>
              <w:t xml:space="preserve">操作方法：变焦固定、聚焦手动、光圈固定</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拍摄系统蓝牙控制键盘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规格尺寸：130*85*14mm</w:t>
              <w:br/>
              <w:t xml:space="preserve">连接：蓝牙连接/无线连接</w:t>
              <w:br/>
              <w:t xml:space="preserve">遥控键盘控制软件进行动画拍摄，全部操作运用遥控键盘进行拍摄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万向云台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高度：6cm</w:t>
              <w:br/>
              <w:t xml:space="preserve">重量：105g</w:t>
              <w:br/>
              <w:t xml:space="preserve">最大承重：3kg</w:t>
              <w:br/>
              <w:t xml:space="preserve"> 1/4 螺口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双管双节怪手曲臂支架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每节30cm</w:t>
              <w:br/>
              <w:t xml:space="preserve">打开约54cm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多功能支架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产品重量：1KG</w:t>
              <w:br/>
              <w:t xml:space="preserve">产品规格：收合长度28.5cm 最大长度53cm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支架台夹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夹管子范围：</w:t>
              <w:br/>
              <w:t xml:space="preserve">外径：13—55mm</w:t>
              <w:br/>
              <w:t xml:space="preserve">六角形插孔5/8英寸和M5加螺孔1/4英寸</w:t>
              <w:br/>
              <w:t xml:space="preserve">螺纹：5/8英寸和M5+1/4英寸丝</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补光灯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产品尺寸：172*108.6*42.5mm</w:t>
              <w:br/>
              <w:t xml:space="preserve">灯珠数量：170</w:t>
              <w:br/>
              <w:t xml:space="preserve">供电方式：锂电池（2200毫安）+充电器/适配器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轨道摄影云台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数控轨道连接摄像头用</w:t>
              <w:br/>
              <w:t xml:space="preserve">高度：85mm</w:t>
              <w:br/>
              <w:t xml:space="preserve">球径：26mm</w:t>
              <w:br/>
              <w:t xml:space="preserve">最大承重：4kg</w:t>
              <w:br/>
              <w:t xml:space="preserve">底盘螺孔：3/8＂英寸</w:t>
              <w:br/>
              <w:t xml:space="preserve">快装板螺丝：1/4＂英寸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数控步进电机轨道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导程：2mm</w:t>
              <w:br/>
              <w:t xml:space="preserve">有效行程：300mm</w:t>
              <w:br/>
              <w:t xml:space="preserve">定位精度：0.1mm</w:t>
              <w:br/>
              <w:t xml:space="preserve">使用电机：42步进电机</w:t>
              <w:br/>
              <w:t xml:space="preserve">可被定格拍摄软件控制移动</w:t>
              <w:br/>
              <w:t xml:space="preserve">驱动器细分设置为 16，即 3200 脉冲/转；</w:t>
              <w:br/>
              <w:t xml:space="preserve">模组滑台的导程是 05，即电机旋转一圈滑块行进 5mm；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85725" cy="31432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888007"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3288377"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30862"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076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49429"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544550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490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111460"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39983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406478"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156976"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452945"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170621"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75714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45700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546596"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58926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453256"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619468"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0925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952689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4346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103129"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04248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638139"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440935"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796775"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9535580"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6485091"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167359"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69806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399832"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719222"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03691"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774265"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458283"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58857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778115"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396778"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3082170"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05204"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302209"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366168"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85725" cy="314325"/>
                      <wp:effectExtent l="0" t="0" r="0" b="0"/>
                      <wp:docPr id="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373347" name=""/>
                              <pic:cNvPicPr>
                                <a:picLocks noChangeAspect="1"/>
                              </pic:cNvPicPr>
                              <pic:nvPr/>
                            </pic:nvPicPr>
                            <pic:blipFill>
                              <a:blip/>
                              <a:stretch/>
                            </pic:blipFill>
                            <pic:spPr bwMode="auto">
                              <a:xfrm>
                                <a:off x="0" y="0"/>
                                <a:ext cx="85725" cy="3143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6.8pt;height:24.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44504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90891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819361"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87884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87825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25773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51731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24802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166781"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283210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56761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78157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32940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09452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8347400"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791790"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191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691208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317269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34360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169036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60607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434309"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733153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6254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434196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034621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68052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6044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03982"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3391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27427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475725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78313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430564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56290"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53112"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205114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06608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6483812"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035302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78237"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2713178"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708599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20173"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65233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384846"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145279"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744845"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83744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324301"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100344"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5379410"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99571"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6.0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504825"/>
                      <wp:effectExtent l="0" t="0" r="0" b="0"/>
                      <wp:docPr id="9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36692" name=""/>
                              <pic:cNvPicPr>
                                <a:picLocks noChangeAspect="1"/>
                              </pic:cNvPicPr>
                              <pic:nvPr/>
                            </pic:nvPicPr>
                            <pic:blipFill>
                              <a:blip/>
                              <a:stretch/>
                            </pic:blipFill>
                            <pic:spPr bwMode="auto">
                              <a:xfrm>
                                <a:off x="0" y="0"/>
                                <a:ext cx="76199"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6.0pt;height:39.8pt;mso-wrap-distance-left:0.0pt;mso-wrap-distance-top:0.0pt;mso-wrap-distance-right:0.0pt;mso-wrap-distance-bottom:0.0pt;" stroked="false">
                      <v:path textboxrect="0,0,0,0"/>
                    </v:shape>
                  </w:pict>
                </mc:Fallback>
              </mc:AlternateContent>
            </w:r>
            <w:r>
              <w:rPr>
                <w:rFonts w:ascii="SimSun" w:hAnsi="SimSun" w:eastAsia="SimSun" w:cs="SimSun"/>
                <w:color w:val="000000"/>
                <w:sz w:val="20"/>
              </w:rPr>
              <w:t xml:space="preserve">系统轨道控制盒（含电源）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功率120W，电压220V</w:t>
              <w:br/>
              <w:t xml:space="preserve">支持20/28/35/42步进电机</w:t>
              <w:br/>
              <w:t xml:space="preserve">航空接头，可手动控制，可编程，可连上位机</w:t>
              <w:br/>
              <w:t xml:space="preserve">控制轴数：单轴</w:t>
              <w:br/>
              <w:t xml:space="preserve">最高输出频率：50kHz</w:t>
              <w:br/>
              <w:t xml:space="preserve">频率分辨率：1Hz</w:t>
              <w:br/>
              <w:t xml:space="preserve">可储存程序个数：60个</w:t>
              <w:br/>
              <w:t xml:space="preserve">一次位移范围：-9999999~+9999999</w:t>
              <w:br/>
              <w:t xml:space="preserve">电源：DC：12V—24V或（AC220V）</w:t>
              <w:br/>
              <w:t xml:space="preserve">·输出电流峰值可达 2A</w:t>
              <w:br/>
              <w:t xml:space="preserve">·三态电流控制技术电机发热低</w:t>
              <w:br/>
              <w:t xml:space="preserve">·静止电流自动减半 0.4S 减小为 60%</w:t>
              <w:br/>
              <w:t xml:space="preserve">·可驱动 4，6，8 线两相步进电机</w:t>
              <w:br/>
              <w:t xml:space="preserve">·光隔离信号输入，脉冲最高响应频率最高可达 100KHz</w:t>
              <w:br/>
              <w:t xml:space="preserve">·光隔离信号输入，输入端口</w:t>
            </w:r>
            <w:r>
              <w:rPr>
                <w:rFonts w:ascii="SimSun" w:hAnsi="SimSun" w:eastAsia="SimSun" w:cs="SimSun"/>
                <w:color w:val="000000"/>
                <w:sz w:val="20"/>
              </w:rPr>
              <w:t xml:space="preserve">5—24V都可以接入</w:t>
              <w:br/>
              <w:t xml:space="preserve">·细分精度 2--64 可选</w:t>
              <w:br/>
              <w:t xml:space="preserve">·外形尺寸小巧（60×24.5×96mm）</w:t>
              <w:br/>
              <w:t xml:space="preserve">·电流设定方便，八档可选</w:t>
              <w:br/>
              <w:t xml:space="preserve">·具有过压、短路等保护功能</w:t>
              <w:br/>
              <w:t xml:space="preserve">·可驱动任何 2.0A 相电流以下两相、四相混合式步进电机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桌面拍摄T型背景支架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67*65cm</w:t>
              <w:br/>
              <w:t xml:space="preserve">接口螺纹：1/4英寸</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背景板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颜色：黑白绿</w:t>
              <w:br/>
              <w:t xml:space="preserve">尺寸：60*125cm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定制内衬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颜色：黑色</w:t>
              <w:br/>
              <w:t xml:space="preserve">尺寸：拍摄套装一层尺寸435*275mm  拍摄套装二层尺寸430*275mm 拍摄套装三层尺寸420*270mm 数控轨道套装尺寸435*283mm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6200" cy="323850"/>
                      <wp:effectExtent l="0" t="0" r="0" b="0"/>
                      <wp:docPr id="10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4856"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948957"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62888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66696"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95414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78752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74542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713199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2587306"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0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337470"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575485"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840176"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112625"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65795"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185793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621619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4276638"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524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53292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1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47021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189532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156474"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380163"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261386"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999696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836503"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711377"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01336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47357"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2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8235433"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083025"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65118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396410"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73945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086340"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8634"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7797929"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65170"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062232"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3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0788"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4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078011"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4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9809438"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4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2233764"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76200" cy="323850"/>
                      <wp:effectExtent l="0" t="0" r="0" b="0"/>
                      <wp:docPr id="14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897454" name=""/>
                              <pic:cNvPicPr>
                                <a:picLocks noChangeAspect="1"/>
                              </pic:cNvPicPr>
                              <pic:nvPr/>
                            </pic:nvPicPr>
                            <pic:blipFill>
                              <a:blip/>
                              <a:stretch/>
                            </pic:blipFill>
                            <pic:spPr bwMode="auto">
                              <a:xfrm>
                                <a:off x="0" y="0"/>
                                <a:ext cx="76199" cy="3238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6.0pt;height:25.5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11706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3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836778"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1513426"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528089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4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711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00348"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0090346"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964559"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2850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99636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65154"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76079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40260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9958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5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482504"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71932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19560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014690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6601291"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9167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5199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5981"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0858801"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834780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6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69833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16886"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871255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8727759"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865459"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2928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8417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794852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10384"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325909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7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74263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39324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36443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0419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9784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958114"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821157"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134663"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580388"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465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89"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854352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0"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74029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7155291"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206273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18019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4"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5142944"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5"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441620"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6"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5624025"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5.2pt;height:39.8pt;mso-wrap-distance-left:0.0pt;mso-wrap-distance-top:0.0pt;mso-wrap-distance-right:0.0pt;mso-wrap-distance-bottom:0.0pt;" stroked="false">
                      <v:path textboxrect="0,0,0,0"/>
                    </v:shape>
                  </w:pict>
                </mc:Fallback>
              </mc:AlternateContent>
              <mc:AlternateContent>
                <mc:Choice Requires="wpg">
                  <w:drawing>
                    <wp:inline xmlns:wp="http://schemas.openxmlformats.org/drawingml/2006/wordprocessingDrawing" distT="0" distB="0" distL="0" distR="0">
                      <wp:extent cx="66675" cy="504825"/>
                      <wp:effectExtent l="0" t="0" r="0" b="0"/>
                      <wp:docPr id="197"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3797542" name=""/>
                              <pic:cNvPicPr>
                                <a:picLocks noChangeAspect="1"/>
                              </pic:cNvPicPr>
                              <pic:nvPr/>
                            </pic:nvPicPr>
                            <pic:blipFill>
                              <a:blip/>
                              <a:stretch/>
                            </pic:blipFill>
                            <pic:spPr bwMode="auto">
                              <a:xfrm>
                                <a:off x="0" y="0"/>
                                <a:ext cx="66674" cy="5048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2pt;height:39.8pt;mso-wrap-distance-left:0.0pt;mso-wrap-distance-top:0.0pt;mso-wrap-distance-right:0.0pt;mso-wrap-distance-bottom:0.0pt;" stroked="false">
                      <v:path textboxrect="0,0,0,0"/>
                    </v:shape>
                  </w:pict>
                </mc:Fallback>
              </mc:AlternateContent>
            </w:r>
            <w:r>
              <w:rPr>
                <w:rFonts w:ascii="SimSun" w:hAnsi="SimSun" w:eastAsia="SimSun" w:cs="SimSun"/>
                <w:color w:val="000000"/>
                <w:sz w:val="20"/>
              </w:rPr>
              <w:t xml:space="preserve">数字美术教学套件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仿真画笔功能：具备铅笔、钢笔、喷笔、水彩笔、油画笔、蜡笔、麦克笔、毛笔、特制笔等不少于50种仿真画笔，具备橡皮擦和一键清除图层功能；</w:t>
              <w:br/>
              <w:t xml:space="preserve">图像处理功能：不少于20项图像编辑功能，可对图像进行后期处理。</w:t>
              <w:br/>
              <w:t xml:space="preserve">选区抠图功能：不少于8种选框模板，支持矩形连线选取和自由套索选取，具备魔棒工具。</w:t>
              <w:br/>
              <w:t xml:space="preserve">插入素材功能：包含不少于800个图片、动画、相框等素材的美术图库。</w:t>
              <w:br/>
              <w:t xml:space="preserve">图片保存功能：支持不少于7种常用格式图片保存，支持将作品一键保存到云端作品集。</w:t>
              <w:br/>
              <w:t xml:space="preserve">动画制作功能：支持通过拖调节动画播放速度，可将动画保存为GIF动态图片或AVI视频，</w:t>
            </w:r>
            <w:r>
              <w:rPr>
                <w:rFonts w:ascii="SimSun" w:hAnsi="SimSun" w:eastAsia="SimSun" w:cs="SimSun"/>
                <w:color w:val="000000"/>
                <w:sz w:val="20"/>
              </w:rPr>
              <w:t xml:space="preserve">素材库包含花朵会盛开，鱼儿会游，昆虫会飞，小草会长教学动画及作品上传等功能。</w:t>
              <w:br/>
              <w:t xml:space="preserve">微课制作功能：可同步录屏、录音，支持将录制内容保存为MP4格式微课</w:t>
              <w:br/>
              <w:t xml:space="preserve">多种3D模型，可将绘画作品实时为3D模型贴图，并可一键输出多角度图形文件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智能书写本</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•产品尺寸（长*宽*厚）：250.99 （不带夹子长度）x 177.92 x 10 mm (连底垫 11mm)</w:t>
              <w:br/>
              <w:t xml:space="preserve">夹子部位最高厚度 = 23.76mm"</w:t>
              <w:br/>
              <w:t xml:space="preserve">•电磁笔类型：无源无线电磁压感笔</w:t>
              <w:br/>
              <w:t xml:space="preserve">（具备电子绘画笔及智能书写笔（出水笔））</w:t>
              <w:br/>
              <w:t xml:space="preserve">•压感级别：2048级压感</w:t>
              <w:br/>
              <w:t xml:space="preserve">•读取速率/报点率：200点/秒</w:t>
              <w:br/>
              <w:t xml:space="preserve">•EMR分辨率：0.01毫米 （2540 ppi）</w:t>
              <w:br/>
              <w:t xml:space="preserve">•书写感应高度：1.0厘米</w:t>
              <w:br/>
              <w:t xml:space="preserve">•储存：可存储多达20页的书写内容</w:t>
              <w:br/>
              <w:t xml:space="preserve">•电源输入：5V，500mA</w:t>
              <w:br/>
              <w:t xml:space="preserve">•电池容量：可充电锂聚合物电池500mAh</w:t>
              <w:br/>
              <w:t xml:space="preserve">•充电时间：2个小时•电池使用时</w:t>
            </w:r>
            <w:r>
              <w:rPr>
                <w:rFonts w:ascii="SimSun" w:hAnsi="SimSun" w:eastAsia="SimSun" w:cs="SimSun"/>
                <w:color w:val="000000"/>
                <w:sz w:val="20"/>
              </w:rPr>
              <w:t xml:space="preserve">间：存储/实时模式连续不间断书写时间约16小时</w:t>
              <w:br/>
              <w:t xml:space="preserve">•待机时间：1个月以上</w:t>
              <w:br/>
              <w:t xml:space="preserve">•支持的纸张大小/书写区域 最大210×148毫米 （A5尺寸）</w:t>
              <w:br/>
              <w:t xml:space="preserve">出水笔圆珠笔芯寿命 约1400米 +/- 20%</w:t>
              <w:br/>
              <w:t xml:space="preserve">•LED状态灯：有，2个（蓝牙及电源）</w:t>
              <w:br/>
              <w:t xml:space="preserve">•笔是否需要充电：否</w:t>
              <w:br/>
              <w:t xml:space="preserve">•翻页键：有，1个</w:t>
              <w:br/>
              <w:t xml:space="preserve">电脑USB接口支持2.0以上</w:t>
              <w:br/>
              <w:t xml:space="preserve">连接 Bluetooth 4.0，USB数据连接</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CPU主频：≥3.0GHz</w:t>
              <w:br/>
              <w:t xml:space="preserve"> CPU核心数：≥8</w:t>
              <w:br/>
              <w:t xml:space="preserve">内存：≥16GB DDR4</w:t>
              <w:br/>
              <w:t xml:space="preserve">固态硬盘：≥256GB M.2接口NVME协议SSD，最高可支持≥2块M.2 SSD，支持机械硬盘扩展；</w:t>
              <w:br/>
              <w:t xml:space="preserve">配置≥23.8寸LED显示器，与主机同品牌，分辨率≥1920*1080，刷新频率≥75Hz，对比度≥3000:1，视频接口VGA+HDMI；</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8、移动录播</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5G便携互动录播主机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1.采用高性能低功耗嵌入式处理器，集无线传输、音视频采集、显示触控、录播、互动于一体的高度集成系统设备；</w:t>
              <w:br/>
              <w:t xml:space="preserve"> 2.支持与5GHz高清云台摄像机连接，工作频率5.15-5.85GHz，最大数据速率100Mbps，最大传输距离100米；</w:t>
              <w:br/>
              <w:t xml:space="preserve"> 3.支持无线自动配对自动组网，实现与摄像机的全自动连接；</w:t>
              <w:br/>
              <w:t xml:space="preserve"> 4.内置大容量电池，可续航不小于5个小时；具有充放电管理、支持过充过放保护；</w:t>
              <w:br/>
              <w:t xml:space="preserve"> 5.不少于1路HDMI高清输入、1路HDMI高清输出；</w:t>
              <w:br/>
              <w:t xml:space="preserve"> 6.不少于1路Line in 接口；</w:t>
              <w:br/>
              <w:t xml:space="preserve"> 7.不少于1路MIC in；</w:t>
              <w:br/>
              <w:t xml:space="preserve"> 8.至少</w:t>
            </w:r>
            <w:r>
              <w:rPr>
                <w:rFonts w:ascii="SimSun" w:hAnsi="SimSun" w:eastAsia="SimSun" w:cs="SimSun"/>
                <w:color w:val="000000"/>
                <w:sz w:val="20"/>
              </w:rPr>
              <w:t xml:space="preserve">2路 Line out 接口；</w:t>
              <w:br/>
              <w:t xml:space="preserve"> 9.不少于1路2.0 USB接口，2路3.0 USB接口；</w:t>
              <w:br/>
              <w:t xml:space="preserve"> 10.外置65W电源适配器，支持DC14-24V输入，标配19V标准电压适配器。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无线录播套件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基于B/S架构，采用远程导播管理方式，功能包括导播管理、直播管理、文件管理、设备管理。</w:t>
              <w:br/>
              <w:t xml:space="preserve">具体要求如下：</w:t>
              <w:br/>
              <w:t xml:space="preserve"> 1.支持对录播主机进行重启、关机等操作；</w:t>
              <w:br/>
              <w:t xml:space="preserve"> 2.支持对录播主机设置固定地址和自动获取IP地址；</w:t>
              <w:br/>
              <w:t xml:space="preserve"> 3.支持在便携录播上直接进行视频回放，视频文件可批量导出、删除；</w:t>
              <w:br/>
              <w:t xml:space="preserve"> 4.支持通过课程号加入互动课堂；</w:t>
              <w:br/>
              <w:t xml:space="preserve"> 5.支持电脑、教师特写、教师全景、学生特写、学生全景及合成画面共6路信号的预览；</w:t>
              <w:br/>
              <w:t xml:space="preserve"> 6.支持自动、半自动、手动三种导播模式；</w:t>
              <w:br/>
              <w:t xml:space="preserve"> 7.录制模式采用电影模式录制；</w:t>
              <w:br/>
              <w:t xml:space="preserve"> 8. 支持对摄像机进行上、下、左、右、变焦</w:t>
            </w:r>
            <w:r>
              <w:rPr>
                <w:rFonts w:ascii="SimSun" w:hAnsi="SimSun" w:eastAsia="SimSun" w:cs="SimSun"/>
                <w:color w:val="000000"/>
                <w:sz w:val="20"/>
              </w:rPr>
              <w:t xml:space="preserve">等操作，云台速度设置和预置位设置和调用。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5G云台摄像机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1.采用业内最小体积无线云台摄像机结构，Mini机身适合移动运输。</w:t>
              <w:br/>
              <w:t xml:space="preserve"> 2.内置大容量电池，可续航不小于5个小时；</w:t>
              <w:br/>
              <w:t xml:space="preserve"> 3.采用全新一代1/2.8英寸、200万有效像素的HD CMOS传感器，可实现最1920x1080高分辨率的图像。</w:t>
              <w:br/>
              <w:t xml:space="preserve"> 4.采用镜头，光学变焦达到10倍。</w:t>
              <w:br/>
              <w:t xml:space="preserve"> 5.支持H.265编码，可实现全高清1080p超低带宽传输。支持RTSP、RTMP、ONVIF；</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5G视频传输处理器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用于教师电脑信号无线传输至便携录播主机，功能要求如下：</w:t>
              <w:br/>
              <w:t xml:space="preserve"> 1.采用5G无线射频技术，频率范围：5.15~5.35GHz，5.425~5.725GHz及5.745~5.850GHz；</w:t>
              <w:br/>
              <w:t xml:space="preserve"> 2.支持2*2 MIMO Beamforming；</w:t>
              <w:br/>
              <w:t xml:space="preserve"> 3.300Mbps无线传输速率；</w:t>
              <w:br/>
              <w:t xml:space="preserve"> 4.100米传输距离（空旷无遮挡环境下）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1.为方便教师不同场景使用，无线麦克风支持多种使用方式，包括但不限于颈挂、手持、领夹等方式，领夹模式下可对佩戴角度进行0-180°旋转调节</w:t>
              <w:br/>
              <w:t xml:space="preserve"> 2.无线麦克风接收器应采用与交互设备内嵌连接，保证使用稳定性和安全性。</w:t>
              <w:br/>
              <w:t xml:space="preserve"> 3.无线麦克配备不少于3个物理按键，且组合按键可实现一键静音、开关机功能。</w:t>
              <w:br/>
              <w:t xml:space="preserve"> 4.无线麦克与交互设备断开连接后，无须任何操作，一分钟后自动关机，达到节约电量效果</w:t>
              <w:br/>
              <w:t xml:space="preserve"> 5.一比一声音还原，整体延时在35MS以内，空中数据速率1-2Mbps，确保整体功放效果无回音。</w:t>
              <w:br/>
              <w:t xml:space="preserve"> 6.高扩展性能，无线麦克风接收器</w:t>
            </w:r>
            <w:r>
              <w:rPr>
                <w:rFonts w:ascii="SimSun" w:hAnsi="SimSun" w:eastAsia="SimSun" w:cs="SimSun"/>
                <w:color w:val="000000"/>
                <w:sz w:val="20"/>
              </w:rPr>
              <w:t xml:space="preserve">连接外接电脑后，可用作独立声卡使用</w:t>
              <w:br/>
              <w:t xml:space="preserve"> 7.具有过压过流、高温、低温电池保护功能；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无线领夹式收音麦克风一拖四</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无线领夹式收音麦克风一拖四</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便携拉杆箱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1.定制便携拉杆箱，重量不超过4KG；</w:t>
              <w:br/>
              <w:t xml:space="preserve"> 2.可放置1台移动录播主机、3台5G云台摄像机、1台5G视频传输模块、1套无线麦克风。</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三脚架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材质：阳极氧化耐高温铝合金材质</w:t>
              <w:br/>
              <w:t xml:space="preserve">颜色：黑色铝合金管，金色管锁</w:t>
              <w:br/>
              <w:t xml:space="preserve">用途：可用于小型云台摄像机、微单、卡片机、数码单反相机</w:t>
              <w:br/>
              <w:t xml:space="preserve">规格</w:t>
              <w:br/>
              <w:t xml:space="preserve">脚管节数：4节</w:t>
              <w:br/>
              <w:t xml:space="preserve">脚管锁类型：旋钮式</w:t>
              <w:br/>
              <w:t xml:space="preserve">脚架组成：独角杆、3脚底架、三维云台</w:t>
              <w:br/>
              <w:t xml:space="preserve">云台类型：三维云台</w:t>
              <w:br/>
              <w:t xml:space="preserve">脚架最高高度：1740mm</w:t>
              <w:br/>
              <w:t xml:space="preserve">脚架收缩高度：620mm</w:t>
              <w:br/>
              <w:t xml:space="preserve">承重：5KG—8KG</w:t>
              <w:br/>
              <w:t xml:space="preserve">自重：0.97KG</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副</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9、科学虚拟现实教学</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★桌面级VR教学一体机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桌面一体机式VR设备，系统为一体化设计，可自由调整使用角度，设备配置不小于27英寸高清立体显示终端，实现软件资源的偏振形式展示，搭配位置追踪元件的被动式偏振跟踪眼镜实现虚拟现实出屏和临场感效果；</w:t>
              <w:br/>
              <w:t xml:space="preserve"> 2、桌面式虚拟现实操作平台设备1套，包括：27英寸高清立体显示器、3D光学跟踪眼镜1副，非跟踪眼镜2副、智能位置追踪操控笔1支、电源适配器1个、AC连接线1根。</w:t>
              <w:br/>
              <w:t xml:space="preserve"> 3、系统硬件配置：</w:t>
              <w:br/>
              <w:t xml:space="preserve">（1）处理器：性能不低于六核心六线程，主频不低于2.9GHz；</w:t>
              <w:br/>
              <w:t xml:space="preserve">（2）硬盘：≥512G SSD；</w:t>
              <w:br/>
              <w:t xml:space="preserve">（3）内存：≥16G，DDR</w:t>
            </w:r>
            <w:r>
              <w:rPr>
                <w:rFonts w:ascii="SimSun" w:hAnsi="SimSun" w:eastAsia="SimSun" w:cs="SimSun"/>
                <w:color w:val="000000"/>
                <w:sz w:val="20"/>
              </w:rPr>
              <w:t xml:space="preserve">4；</w:t>
              <w:br/>
              <w:t xml:space="preserve">（4）显卡：显存不低于4GB DDR6；</w:t>
              <w:br/>
              <w:t xml:space="preserve">（5）端口： USB 3.0* 2个、USB 2.0* 5个、MiniDP*2；</w:t>
              <w:br/>
              <w:t xml:space="preserve">（6）网络：支持以太网连接，支持802.11a/b/g/n高速无线传输，支持蓝牙4.0。</w:t>
              <w:br/>
              <w:t xml:space="preserve">（7）内置两个扬声器，阻抗不低于8欧姆，功耗不超过3W。</w:t>
              <w:br/>
              <w:t xml:space="preserve"> 4、显示参数</w:t>
              <w:br/>
              <w:t xml:space="preserve">（1）显示技术：全高清偏光式3D显示技术，3D显示刷新率≥120hz，3D显示物理分辨率：不低于1920*1080；</w:t>
              <w:br/>
              <w:t xml:space="preserve">（2）亮度：≥400cd/㎡；</w:t>
              <w:br/>
              <w:t xml:space="preserve">（3）对比度≥1000:1；</w:t>
              <w:br/>
              <w:t xml:space="preserve"> 5、硬件设备功能要求：</w:t>
              <w:br/>
              <w:t xml:space="preserve">（1）具有虚</w:t>
            </w:r>
            <w:r>
              <w:rPr>
                <w:rFonts w:ascii="SimSun" w:hAnsi="SimSun" w:eastAsia="SimSun" w:cs="SimSun"/>
                <w:color w:val="000000"/>
                <w:sz w:val="20"/>
              </w:rPr>
              <w:t xml:space="preserve">拟现实显示方式与普通显示方式自动切换功能，当跟踪眼镜出现在屏幕传感器捕捉范围内，显示方式由普通显示屏方式自动切换成3D显示方式，当跟踪眼镜在屏幕传感器之外，显示方式自动切换至普通显示方式。</w:t>
              <w:br/>
              <w:t xml:space="preserve">（2）设备支持实时将虚拟现实交互场景立体展示至其它显示设备，让旁观者也置身于虚拟现实交互场景。</w:t>
              <w:br/>
              <w:t xml:space="preserve">（3）支持播放上下、左右格式的3D视频资源；</w:t>
              <w:br/>
              <w:t xml:space="preserve">（4）支持按键式2D/3D切换；</w:t>
              <w:br/>
              <w:t xml:space="preserve">（5）系统内置智慧物联控制系统，不依赖任何外部蓝牙、WIFI设备，支持同一空间内大于60台以上的设备进行自组网络，配合教师端及学生端智能控制软件，</w:t>
            </w:r>
            <w:r>
              <w:rPr>
                <w:rFonts w:ascii="SimSun" w:hAnsi="SimSun" w:eastAsia="SimSun" w:cs="SimSun"/>
                <w:color w:val="000000"/>
                <w:sz w:val="20"/>
              </w:rPr>
              <w:t xml:space="preserve">可实现教师机对学生机的运行状态进行：开机、关机、静默模式控制，同时，教师机也可对学生机进行：全局控制、分组控制、单台设备控制。</w:t>
              <w:br/>
              <w:t xml:space="preserve"> 6.提供SDK端口，提供unity开发接口</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小学科学教学套件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1.软件要求提供的全部内容资源不少于300个，所含内容资源需响应最新课标包含物质科学、生命科学、地球与宇宙科学、技术与工程四个领域。</w:t>
              <w:br/>
              <w:t xml:space="preserve"> 2.要求提供的内容需支持学生进行探究式学习，不能是单一的视频、图片或PPT资源，应支持学生通过红外线触控笔或鼠标深度交互的操作，涵盖科学实验、观察对象、抽象模型等内容，要求能够逼真准确地呈现模型结构、实验现象及对象位移状态。</w:t>
              <w:br/>
              <w:t xml:space="preserve"> 3.软件要求提供的内容满足老师授课使用，支持深度交互操作，不能是简单的下一步，应至少包含：影长的四季变化、制作简易海水淡化装置、让纸蛇转动、什么是生</w:t>
            </w:r>
            <w:r>
              <w:rPr>
                <w:rFonts w:ascii="SimSun" w:hAnsi="SimSun" w:eastAsia="SimSun" w:cs="SimSun"/>
                <w:color w:val="000000"/>
                <w:sz w:val="20"/>
              </w:rPr>
              <w:t xml:space="preserve">命的基本单位？研究如何减少液体的阻力、手电筒有什么结构和功能、水龙头里的水是怎么流出来的？什么是荷叶效应、喷气发动机是怎样工作的？等重点学习内容。要求所有实验支持在任意视角下对实验进行观察和交互式操作。</w:t>
              <w:br/>
              <w:t xml:space="preserve"> 4.要求所有实验中的模型为3D高精度模型，实验模型高保真。支持用户从任意视角、任意距离观察实验台；学生能够通过动手交互式操作验证实验步骤、原理，无需受到特定的实验室环境和器材限制。</w:t>
              <w:br/>
              <w:t xml:space="preserve"> 5.软件要求在保持既有实验场景和实验内容的前提下，支持实现实验内容在硬件屏幕上2D/3D出屏效果的切换，且切换后仍可继续进</w:t>
            </w:r>
            <w:r>
              <w:rPr>
                <w:rFonts w:ascii="SimSun" w:hAnsi="SimSun" w:eastAsia="SimSun" w:cs="SimSun"/>
                <w:color w:val="000000"/>
                <w:sz w:val="20"/>
              </w:rPr>
              <w:t xml:space="preserve">行原有实验步骤的交互操作。软件要求支持在3D视角下通过触控笔对实验进行观察和交互式操作，具备良好的交互性，支持用户平移、旋转视角，实现实验空间中上下、左右、前后的空间平移操作。在实验操作中，根据实验的观察需求，支持通过触控笔按钮多角度旋转实验台进行观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3D旁观眼镜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呈现3D视觉效果，立体展现教学内容。3D旁观眼镜上没有反光点，可供旁观者使用，3D旁观眼镜上无需任何电池及连接线，在佩戴眼镜的情况下不影响师生之间的正常课堂交流。</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显示器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显示器尺寸：27英寸 屏幕比例：16:9、能效等级：二级能效、面板：IPS技术、对比度：1000:1、类型：直面屏、屏幕刷新率：60Hz、分辨率：1920*1080、接口：HDMI</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HDMI转接线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MiniDP转HDMI转接线</w:t>
              <w:br/>
              <w:t xml:space="preserve">产品内置转换芯片，能将 Mini DP信号转换成HDMI信号；</w:t>
              <w:br/>
              <w:t xml:space="preserve"> EDID白动识别支持1920X1080; 2560X 1600: 3840X2160:</w:t>
              <w:br/>
              <w:t xml:space="preserve">支持ACTIVE Eyefinity 1/2/3/4/5/6屏…...18等显示；</w:t>
              <w:br/>
              <w:t xml:space="preserve">支持AMD/ATI Eyefinity宽域技术， 支持多屏拼接显示；</w:t>
              <w:br/>
              <w:t xml:space="preserve">具有断电记忆功能，支持带电热構技， 断电/重启显示顺序不乱， 设置好的模式不丢失；</w:t>
              <w:br/>
              <w:t xml:space="preserve">支持各种显示器，投影仪， 电视等显示设备；</w:t>
              <w:br/>
              <w:t xml:space="preserve">转接线短线，连接方便，不影响周围接口的连线；</w:t>
              <w:br/>
            </w:r>
            <w:r>
              <w:rPr>
                <w:rFonts w:ascii="SimSun" w:hAnsi="SimSun" w:eastAsia="SimSun" w:cs="SimSun"/>
                <w:color w:val="000000"/>
                <w:sz w:val="20"/>
              </w:rPr>
              <w:t xml:space="preserve">无需外接电源，即插即用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升级 HDM I 2 .0技术，支持4 K /60 Hz 高清分辨率、18 Gbps 带宽和 HDR 显示，画质细腻真实，清晰展现每一个细节</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消毒柜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1.插电式紫外线消毒技术，主要是利用紫外线光波杀灭细菌；</w:t>
              <w:br/>
              <w:t xml:space="preserve"> 2.便携双把手，推拉上锁抽屉，横隔式透明存放格，360°旋转车轮，金属推拉把手；</w:t>
              <w:br/>
              <w:t xml:space="preserve"> 3.3D眼镜消毒柜及组件说明：插电式消毒紫外灯、上锁抽屉、透明存放格、车轮、金属把手，金属锁一把、充电接口一个、把手每层两个；</w:t>
              <w:br/>
              <w:t xml:space="preserve"> 4.充电接口可连接≥220V电源，电源线2米长，中规3脚电源线；</w:t>
              <w:br/>
              <w:t xml:space="preserve"> 5.转轮360°转角，透明存放格采用亚克力材料，上下松紧卡扣，竖向隔板4格；</w:t>
              <w:br/>
              <w:t xml:space="preserve"> 6.紫外线消毒灯采用75克单铜纸、8W灯管，配两把钥匙，铝制防滑把手，滚动滑轮；</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10、智慧课堂</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教师平板电脑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1.屏幕尺寸：≥11.5寸； </w:t>
              <w:br/>
              <w:t xml:space="preserve"> 2.分辨率：≥2200 x 1440；</w:t>
              <w:br/>
              <w:t xml:space="preserve"> 3.配置要求：8核及以上CPU，≥6G内存，≥128G硬盘；</w:t>
              <w:br/>
              <w:t xml:space="preserve"> 4.无线网络：802.11AC，支持2.4G&amp;5.8G；</w:t>
              <w:br/>
              <w:t xml:space="preserve"> 5.摄像头：</w:t>
            </w:r>
            <w:r>
              <w:rPr>
                <w:rFonts w:ascii="SimSun" w:hAnsi="SimSun" w:eastAsia="SimSun" w:cs="SimSun"/>
                <w:color w:val="0070c0"/>
                <w:sz w:val="22"/>
              </w:rPr>
              <w:t xml:space="preserve">前置800W，后置1300W</w:t>
            </w:r>
            <w:r>
              <w:rPr>
                <w:rFonts w:ascii="SimSun" w:hAnsi="SimSun" w:eastAsia="SimSun" w:cs="SimSun"/>
                <w:color w:val="000000"/>
                <w:sz w:val="20"/>
              </w:rPr>
              <w:t xml:space="preserve">，自动对焦；</w:t>
              <w:br/>
              <w:t xml:space="preserve"> 6.充电电池 7700mAH；</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学生平板电脑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1.屏幕尺寸：≥11.5寸； </w:t>
              <w:br/>
              <w:t xml:space="preserve"> 2.分辨率：≥2200 x 1440；</w:t>
              <w:br/>
              <w:t xml:space="preserve"> 3.配置要求：8核及以上CPU，≥6G内存，≥128G硬盘；</w:t>
              <w:br/>
              <w:t xml:space="preserve"> 4.无线网络：802.11AC，支持2.4G&amp;5.8G；</w:t>
              <w:br/>
              <w:t xml:space="preserve"> 5.摄像头：</w:t>
            </w:r>
            <w:r>
              <w:rPr>
                <w:rFonts w:ascii="SimSun" w:hAnsi="SimSun" w:eastAsia="SimSun" w:cs="SimSun"/>
                <w:color w:val="0070c0"/>
                <w:sz w:val="22"/>
              </w:rPr>
              <w:t xml:space="preserve">前置800W，后置1300W</w:t>
            </w:r>
            <w:r>
              <w:rPr>
                <w:rFonts w:ascii="SimSun" w:hAnsi="SimSun" w:eastAsia="SimSun" w:cs="SimSun"/>
                <w:color w:val="000000"/>
                <w:sz w:val="20"/>
              </w:rPr>
              <w:t xml:space="preserve">，自动对焦；</w:t>
              <w:br/>
              <w:t xml:space="preserve"> 6.充电电池 7700mAH；</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充电车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1、主体材质：1.0-1.8mmSPCC冷轧碳素钢板与环保ABS工程塑料相结合。</w:t>
              <w:br/>
              <w:t xml:space="preserve"> 2、支持平板设备数量60台，</w:t>
              <w:br/>
              <w:t xml:space="preserve"> 2、前后使用不同防盗锁，技术人员持专用钥匙才能打开后门，使用，维护前后分区，学生无法接触强电部分。</w:t>
              <w:br/>
              <w:t xml:space="preserve"> 3、静音脚轮，四轮万向，两轮刹车。</w:t>
              <w:br/>
              <w:t xml:space="preserve"> 4、内部分舱：前舱为平板放置充电区域，学生接触区域，无强电；后舱为电源管理控制区域，由专业管理人员控制。</w:t>
              <w:br/>
              <w:t xml:space="preserve"> 5、环保ABS工程塑料单机隔断，其中内置隔板上带有卡线槽且不划伤屏幕，同时又预留凹槽方便拿取电脑。</w:t>
              <w:br/>
              <w:t xml:space="preserve"> 6、一体化电源管理系统：</w:t>
              <w:br/>
              <w:t xml:space="preserve"> A.具备定时开关机</w:t>
            </w:r>
            <w:r>
              <w:rPr>
                <w:rFonts w:ascii="SimSun" w:hAnsi="SimSun" w:eastAsia="SimSun" w:cs="SimSun"/>
                <w:color w:val="000000"/>
                <w:sz w:val="20"/>
              </w:rPr>
              <w:t xml:space="preserve">功能，可随心设置充电时间。</w:t>
              <w:br/>
              <w:t xml:space="preserve"> B.过载保护：当功率异常过大后电流不稳时自动断电，防止损坏设备。</w:t>
              <w:br/>
              <w:t xml:space="preserve"> C.标配防漏电、防短路多重保护系统，确保使用者人身安全。</w:t>
              <w:br/>
              <w:t xml:space="preserve"> 7、互循环散热结构，自动控制风扇在一定温度区域内启动风扇强制散热，充电过程中产生热量由风扇强制排出，保证设备在安全温度运行，整体安全可靠，节能环保。</w:t>
              <w:br/>
              <w:t xml:space="preserve"> 8、外置带有开关控制的外接电源，方便连接其他用电设备。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四频无线接入点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支持标准的802.11ac协议，采用四路Radio设计，其中至少两路Radio可同时工作在802.11ac和802.11a/b/g/n模式 ；</w:t>
              <w:br/>
              <w:t xml:space="preserve"> 2、 支持至少8条空间流，单路Radio最大接入速率不低于867Mbps，整机最大接入速率不低于2334Mbps；</w:t>
              <w:br/>
              <w:t xml:space="preserve"> 3、 每路Radio射频发射功率≤20dBm；</w:t>
              <w:br/>
              <w:t xml:space="preserve"> 4、 支持至少2个10/100/1000Base-T以太网口，其中至少1个支持PoE+供电；</w:t>
              <w:br/>
              <w:t xml:space="preserve"> 5、 同时支持802.3at和本地电源DC12V供电；</w:t>
              <w:br/>
              <w:t xml:space="preserve"> 6、 两种供电模式，整机功耗小于25W</w:t>
            </w:r>
            <w:r>
              <w:rPr>
                <w:rFonts w:ascii="SimSun" w:hAnsi="SimSun" w:eastAsia="SimSun" w:cs="SimSun"/>
                <w:color w:val="000000"/>
                <w:sz w:val="20"/>
              </w:rPr>
              <w:t xml:space="preserve">；</w:t>
              <w:br/>
              <w:t xml:space="preserve"> 7、 同时可接入用户数不小于256个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移动终端管控单元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一、平板云管控系统：</w:t>
              <w:br/>
              <w:t xml:space="preserve"> 1.采用虚拟 Launcher定制界面，学生无法跳出此界面，学生只能操作界面内的App，无法安装其他应用。 </w:t>
              <w:br/>
              <w:t xml:space="preserve"> 2.学生平板归属信息主界面直观实时显示，可从云端平台可灵活配置显示归属信息。 </w:t>
              <w:br/>
              <w:t xml:space="preserve"> 3.学生平板系统内置独立管控浏览器，可从云端管理平台进行黑白名单、开放网络、禁用网络、分时段策略上网、默认访问主页等设定操作。 </w:t>
              <w:br/>
              <w:t xml:space="preserve"> 4.学生平板App使用行为记录上传云端平台，可实时统计单台、班级、全校的平板各App时长统计及对比分析。 </w:t>
              <w:br/>
              <w:t xml:space="preserve"> 5.云端管理平台可进行远程控制学生平板能否退出。</w:t>
              <w:br/>
              <w:t xml:space="preserve">二</w:t>
            </w:r>
            <w:r>
              <w:rPr>
                <w:rFonts w:ascii="SimSun" w:hAnsi="SimSun" w:eastAsia="SimSun" w:cs="SimSun"/>
                <w:color w:val="000000"/>
                <w:sz w:val="20"/>
              </w:rPr>
              <w:t xml:space="preserve">、云端学校管理平台：</w:t>
              <w:br/>
              <w:t xml:space="preserve"> 1.每所学校均有独立的操作云端平台，里面模块包含有设备管理、应用管理、浏览器管理、班级管理、系统设置等功能模块。 </w:t>
              <w:br/>
              <w:t xml:space="preserve"> 2.登录学校管理平台后，具有清晰明确的学校管理架构：学校、学段、年级、班级等，主页面可自动统计本校平板数量及各平板的登录状态，及时了解学校各平板的使用频率。 </w:t>
              <w:br/>
              <w:t xml:space="preserve"> 3.学校管理平板主页面可统计学校或班级的整体App使用情况，统计出各App使用排名，同时可列举出一定时间段内的学校或班级平板违规使用日志，让管理员随时掌握平板违规行为。 </w:t>
              <w:br/>
              <w:t xml:space="preserve"> 4.设备管理可以列举出全校或全班级</w:t>
            </w:r>
            <w:r>
              <w:rPr>
                <w:rFonts w:ascii="SimSun" w:hAnsi="SimSun" w:eastAsia="SimSun" w:cs="SimSun"/>
                <w:color w:val="000000"/>
                <w:sz w:val="20"/>
              </w:rPr>
              <w:t xml:space="preserve">学生的详细设备情况，包括每台设备的年班级、设备名称、性别、学号、登录状态、注册时间等等，可随时单台或批量修改设备信息，同时还抓取到每台设备的 MAC 地址、CPU 型号、存储空间等等信息。</w:t>
              <w:br/>
              <w:t xml:space="preserve"> 5.在学校云端管理平台可单台或批量控制班级设备的 USB、蓝牙、TF 卡、摄像头、通话、短信、GPS、终端定位、远程监看等功能，还可以终端锁定、禁止安装应用、恢复出厂设置等操作。 </w:t>
              <w:br/>
              <w:t xml:space="preserve"> 6.学校管理平台可随时上传校本所需的 App，可根据需求选择学生平板终端的安装形式，静默安装或自行在应用中心下载安装，且上传同时可把 A</w:t>
            </w:r>
            <w:r>
              <w:rPr>
                <w:rFonts w:ascii="SimSun" w:hAnsi="SimSun" w:eastAsia="SimSun" w:cs="SimSun"/>
                <w:color w:val="000000"/>
                <w:sz w:val="20"/>
              </w:rPr>
              <w:t xml:space="preserve">pp 推送至一个或多个班级。 </w:t>
              <w:br/>
              <w:t xml:space="preserve"> 7.在应用管理中可以班级为单位对推荐应用进行升级、禁用网络、设置应用访问白名单、隐藏图标等操作。 </w:t>
              <w:br/>
              <w:t xml:space="preserve"> 8.在应用管理中，可随时设置平板自带系统应用的禁止使用、网络禁用、显示到平板端界面等操作。 </w:t>
              <w:br/>
              <w:t xml:space="preserve"> 9.学生平板端内置的管控浏览器，可从云端学校管理平板独立进行黑白名单的设置，班级的黑白名单默认继承学校的黑白名单，且可以分时段进行网络访问的设置。 </w:t>
              <w:br/>
              <w:t xml:space="preserve"> 10.云端学校管理平台可随时创建或删除班级，每个班级都有自己的专属二维码，学生平板扫描此二维码后可自动注册进入此班级，在每年9月</w:t>
            </w:r>
            <w:r>
              <w:rPr>
                <w:rFonts w:ascii="SimSun" w:hAnsi="SimSun" w:eastAsia="SimSun" w:cs="SimSun"/>
                <w:color w:val="000000"/>
                <w:sz w:val="20"/>
              </w:rPr>
              <w:t xml:space="preserve">1日开学后，系统平台的所有班级都需要有自动升级功能。 </w:t>
              <w:br/>
              <w:t xml:space="preserve"> 11.班级管理可根据学校实际需求可根据班级来设置退出密码。 </w:t>
              <w:br/>
              <w:t xml:space="preserve"> 12.云端学校管理平台可上传全校学生平板的桌面显示背景图片，也可以定制学生平板电脑的桌面显示图标，学生平板归属的学校、年班级、姓名、学号等信息。 </w:t>
              <w:br/>
              <w:t xml:space="preserve">云端学校管理平板具备管理员操作的所有日志记录、登录密码修改等功能。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教师端-互动课堂终端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教学大屏端需提供全媒体授课板，对已经备课的资源，包括PPT、pdf阅读器、媒体播放器、图片查看器、IP网络摄像机、USB摄像头等课件可同时呈现到同一画板。每个影像可以实现双指缩放、旋转、拖动、甩屏等手势操作；可以在每个影像内实现批注，且批注内容随着单个影像的缩放而同步等比例缩放；</w:t>
              <w:br/>
              <w:t xml:space="preserve"> 2.需支持电子抢答功能，抢答到的学生照片、姓名需用醒目的形式显示在大屏上。教师对抢答到的学生回答结果在软件上应可以给予评价或者表扬，并记录于系统，其他学生也可以对该学生给予评价，以达到全员互动；</w:t>
              <w:br/>
              <w:t xml:space="preserve"> 3.需支持教学反馈功能，教</w:t>
            </w:r>
            <w:r>
              <w:rPr>
                <w:rFonts w:ascii="SimSun" w:hAnsi="SimSun" w:eastAsia="SimSun" w:cs="SimSun"/>
                <w:color w:val="000000"/>
                <w:sz w:val="20"/>
              </w:rPr>
              <w:t xml:space="preserve">师在讲PPT、电子书等任何课件时，可随时一键将屏幕内容推送到学生平板，让全体学生手写方式回答问题，对于学生的回答内容教师可以通过指定方式、随机方式选取部分学生展示在大屏上，进行点评讲解。对于学生的回答内容需支持回放功能，以便了解学生的回答思路。对回答的学生，教师可以给予评价、评分，并记录于系统。其他同学也可以通过人气投票的方式来选取谁答得最棒，以达到全员互评互动的课堂氛围；</w:t>
              <w:br/>
              <w:t xml:space="preserve"> 4.需支持随堂测验功能，教师可以快速通过几道测验题来掌握全班同学课堂知识接受情况。需支持单选题、多选题、判断题、主观题、实拍题等多种</w:t>
            </w:r>
            <w:r>
              <w:rPr>
                <w:rFonts w:ascii="SimSun" w:hAnsi="SimSun" w:eastAsia="SimSun" w:cs="SimSun"/>
                <w:color w:val="000000"/>
                <w:sz w:val="20"/>
              </w:rPr>
              <w:t xml:space="preserve">题型测试；需支持倒计时自动收卷功能，并在收卷前对未提交的学生给予实名制显示提醒；需支持结果分析功能，能逐题统计答对人姓名、答对百分比，以便教师了解该知识点学生是否掌握，决定是否需要详细讲解；</w:t>
              <w:br/>
              <w:t xml:space="preserve"> 5.需支持屏幕推送功能，教师可将大屏幕内容实时动态地推送到学生平板显示，学生端收到的广播画面需同步、流畅、清晰，且不可掉线；</w:t>
              <w:br/>
              <w:t xml:space="preserve"> 6.每个学生可以在自己接收到的画面上做笔记记录，并保存到自己的笔记中，方便课后复习使用；</w:t>
              <w:br/>
              <w:t xml:space="preserve"> 7.需支持学生演示功能，教师可授权某个学生通过自己手中的PAD直接控制大屏，完成课堂问答、示范讲解</w:t>
            </w:r>
            <w:r>
              <w:rPr>
                <w:rFonts w:ascii="SimSun" w:hAnsi="SimSun" w:eastAsia="SimSun" w:cs="SimSun"/>
                <w:color w:val="000000"/>
                <w:sz w:val="20"/>
              </w:rPr>
              <w:t xml:space="preserve">、课堂小老师等课堂演示功能，被授权的学生需具有PPT标注、PPT翻页、放大镜、聚光灯、画板演示、拍照上传、播放视频等功能；</w:t>
              <w:br/>
              <w:t xml:space="preserve"> 8.需支持学生飞屏功能，教师可指定某个学生的屏幕内容显示到大屏幕上，让学生展示自己的作业、户外活动照片等；</w:t>
              <w:br/>
              <w:t xml:space="preserve"> 9.需支持随机抽答功能，教师在课堂上，可通过随机抽答功能随机抽取一个学生回答问题，以达到教学过程的公平性；对被抽答的学生回答结果，要支持互评互动功能；</w:t>
              <w:br/>
              <w:t xml:space="preserve"> 10.需支持表扬功能，教师在教学过程中任何时候可以对任何学生给予表扬或者批评，如给学生回答问题加分、对学生遵守课堂纪律给予</w:t>
            </w:r>
            <w:r>
              <w:rPr>
                <w:rFonts w:ascii="SimSun" w:hAnsi="SimSun" w:eastAsia="SimSun" w:cs="SimSun"/>
                <w:color w:val="000000"/>
                <w:sz w:val="20"/>
              </w:rPr>
              <w:t xml:space="preserve">“专心听讲”奖章等奖励，并且这些奖励折换成分数记录到学生的测评报告中；</w:t>
              <w:br/>
              <w:t xml:space="preserve"> 11.需支持分组教学功能，教师可以根据课堂座位情况自由分组，并对小组实现不同教学内容；</w:t>
              <w:br/>
              <w:t xml:space="preserve"> 12.需支持全班锁屏或个别锁屏功能，方便教师管理课堂纪律；</w:t>
              <w:br/>
              <w:t xml:space="preserve"> 13.需支持统一关机功能，方便教师对设备进行维护管理；</w:t>
              <w:br/>
              <w:t xml:space="preserve"> 14.需支持移动教学功能，教师通过手机或平板实现移动教学，实现教室大屏幕内容投射到手持设备上，通过手持设备操控教室大屏幕，亦可实现手持设备上的内容如课件、素材等投射到教室大屏幕上，并可动态分享到学生端设备，真正达到教室大屏幕、教</w:t>
            </w:r>
            <w:r>
              <w:rPr>
                <w:rFonts w:ascii="SimSun" w:hAnsi="SimSun" w:eastAsia="SimSun" w:cs="SimSun"/>
                <w:color w:val="000000"/>
                <w:sz w:val="20"/>
              </w:rPr>
              <w:t xml:space="preserve">师移动端、学生端的多屏互动的目的，实现移动教学；</w:t>
              <w:br/>
              <w:t xml:space="preserve"> 15.需支持笔记功能，教师通过教师端软件，可以将课堂板书内容、课堂作业等内容直接推送到学生端笔记，学生可通过笔记功能查看教师推送的笔记内容，学生也可将自己的课堂笔记、答题结果等保存到个人笔记中，方便后期复习；</w:t>
              <w:br/>
              <w:t xml:space="preserve">需支持悬浮窗口设计，教师打开任何一个PPT、电子书、全屏视频等课件时，通过悬浮窗口可以快速方便操作、讲解课件。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学生端-互动课堂终端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一、课前预习</w:t>
              <w:br/>
              <w:t xml:space="preserve"> 1.提供学生查看教师推送的课前预习资源进行在线学习和记录学习笔记功能，其中预习资源应包含微课视频、练习试题等；</w:t>
              <w:br/>
              <w:t xml:space="preserve"> 2.提供学生对教师推送的作业进行作答功能；</w:t>
              <w:br/>
              <w:t xml:space="preserve"> 3.提供学生预习结果分析报告，反馈学生预习掌握情况。</w:t>
              <w:br/>
              <w:t xml:space="preserve">二、课中互动</w:t>
              <w:br/>
              <w:t xml:space="preserve"> 1.即时回馈：学生可以通过画板手写、拍照、输入三种方式回答主观题，答案自动上传到教 师机，实现数学、物理、化学等科目的主观题互动反馈；</w:t>
              <w:br/>
              <w:t xml:space="preserve"> 2.互评互动：学生作答提交后，支持随机分配学生相互评分，评分结果提交到大屏光荣榜，记录下学生课堂评分情况；</w:t>
              <w:br/>
              <w:t xml:space="preserve"> 3.发送文件：教师</w:t>
            </w:r>
            <w:r>
              <w:rPr>
                <w:rFonts w:ascii="SimSun" w:hAnsi="SimSun" w:eastAsia="SimSun" w:cs="SimSun"/>
                <w:color w:val="000000"/>
                <w:sz w:val="20"/>
              </w:rPr>
              <w:t xml:space="preserve">端可向全体学生发送备课文件；</w:t>
              <w:br/>
              <w:t xml:space="preserve"> 4.屏幕广播：广播老师端屏幕到平板，学生通过平板学生端软件可观看老师端的屏幕，使用流媒体传输，并经过压缩，仅占用超低网络流量，平均每台平板大约50k/s，学生端收到广播屏幕画质流畅、清晰；</w:t>
              <w:br/>
              <w:t xml:space="preserve"> 5.学生示范：通过播放平板学生端屏幕让学生示范做题过程或者其他平板操作；</w:t>
              <w:br/>
              <w:t xml:space="preserve"> 6.电子抢答：老师可控制抢答开始或者停止，抢答开始后，平板学生端会出现抢答按钮，第一个按下抢答按钮的视为成功，并将学生信息显示到大屏幕上；</w:t>
              <w:br/>
              <w:t xml:space="preserve"> 7.表扬：老师可选择表扬学生，对应的学生平板会收到表扬信息，大屏幕也会</w:t>
            </w:r>
            <w:r>
              <w:rPr>
                <w:rFonts w:ascii="SimSun" w:hAnsi="SimSun" w:eastAsia="SimSun" w:cs="SimSun"/>
                <w:color w:val="000000"/>
                <w:sz w:val="20"/>
              </w:rPr>
              <w:t xml:space="preserve">提示该学生受到了表扬；</w:t>
              <w:br/>
              <w:t xml:space="preserve"> 8.自主学习：使用专用的平板学生端软件，课堂上平板操作受教师控制，支持锁屏禁止（单个或全体）学生任意操作，只有教师允许自主学习后，学生才能操作自己的平板功能。</w:t>
              <w:br/>
              <w:t xml:space="preserve">三、课后作业</w:t>
              <w:br/>
              <w:t xml:space="preserve"> 1.提供在线答题功能。学生可在个人空间内查看教师下发的课后作业，并支持勾选、拍照、输入文本的方式提交答案；在任意终端答题后，支持保留答题记录，方便继续答题；</w:t>
              <w:br/>
              <w:t xml:space="preserve"> 2.查看作业报告功能。学生可查看作业完成的整体情况以及答案和正确答案对比、题目解析，并支持查看教师对学生答案的批注；</w:t>
              <w:br/>
              <w:t xml:space="preserve"> 3.知识点分析功能，查看作业中</w:t>
            </w:r>
            <w:r>
              <w:rPr>
                <w:rFonts w:ascii="SimSun" w:hAnsi="SimSun" w:eastAsia="SimSun" w:cs="SimSun"/>
                <w:color w:val="000000"/>
                <w:sz w:val="20"/>
              </w:rPr>
              <w:t xml:space="preserve">涉及到的知识点掌握情况，并可举一反三，巩固练习。</w:t>
              <w:br/>
              <w:t xml:space="preserve">四、错题本</w:t>
              <w:br/>
              <w:t xml:space="preserve"> 1.提供错题本功能。对于答错的所有题目，自动分学科归纳至错题本，推送到个人空间；</w:t>
              <w:br/>
              <w:t xml:space="preserve"> 2.支持查看错题题面、我的答案和正确答案对比、知识、难度和题目解析等；</w:t>
              <w:br/>
              <w:t xml:space="preserve">支持智能推送错题对应知识和难度的试题，对应学习资源，以及其它同学的优秀答题结果。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1.软件使用环境要求必须在局域网环境下，可完全脱离因特网，并可用一般路由器、WiFi热点即可实现；</w:t>
              <w:br/>
              <w:t xml:space="preserve"> 2.软件需多语言支持，方便外教教师使用，支持的语言至少为：中文、英文、繁体中文等；</w:t>
              <w:br/>
              <w:t xml:space="preserve"> 3.可通过移动设备远程控制电子白板、一体机、电脑等，实现鼠标移动、单击、双击、左右键等功能；也可打开文件并远端直接编辑文件；</w:t>
              <w:br/>
              <w:t xml:space="preserve"> 4.无需连线，无需网络的情况下，教师即可在自己的平板上直接录制微课，做到“随时、随地”录微课。课内容需包括课件内容、原笔迹板书、教师讲解视频、教师讲解语音。课件需支持视频、图片、pdf等数字媒体文</w:t>
            </w:r>
            <w:r>
              <w:rPr>
                <w:rFonts w:ascii="SimSun" w:hAnsi="SimSun" w:eastAsia="SimSun" w:cs="SimSun"/>
                <w:color w:val="000000"/>
                <w:sz w:val="20"/>
              </w:rPr>
              <w:t xml:space="preserve">件。微课格式需要为标准的流媒体格式，如mp4等，方便网络传输、观看。微课录制完毕，可以一键回看，以便确认微课录制效果；</w:t>
              <w:br/>
              <w:t xml:space="preserve"> 5.教师可以一键将课堂教学内容录制成标准的视频文件，包括黑板板书、大屏图像、课堂实况、教师语音等；方便学生课后复习及未能即时听课的学生听课使用；</w:t>
              <w:br/>
              <w:t xml:space="preserve"> 6.教师可以在移动设备上直接批注大屏内容，需支持视频动态批注；</w:t>
              <w:br/>
              <w:t xml:space="preserve"> 7.教师可将移动设备上PPT的文件直接在大屏上打开，无需拷贝文件至大屏电脑，并全屏播放，也可在移动设备端关闭全屏播放及关闭PPT文件。 教师可以通过手势左右滑动控制PPT上下翻</w:t>
            </w:r>
            <w:r>
              <w:rPr>
                <w:rFonts w:ascii="SimSun" w:hAnsi="SimSun" w:eastAsia="SimSun" w:cs="SimSun"/>
                <w:color w:val="000000"/>
                <w:sz w:val="20"/>
              </w:rPr>
              <w:t xml:space="preserve">页，也可以通过按键控制PPT上下翻页；移动设备端需有当前PPT全部页面的缩略图显示，大屏上不显示，教师可以通过选择缩略图页面快速将大屏PPT翻页至指定页面。PPT页面可以配合画笔功能，做到随时标注讲解；播放PPT时，无需退出PPT即穿插可播放音视频文件，方便教师讲课。PPT页面可以通过截图方式截取重点至画板中讲解，并可保存为课堂笔记。PPT页面如遇文字较小，可以配合放大镜功能，做到多级别放大，方便后排学生观看；</w:t>
              <w:br/>
              <w:t xml:space="preserve"> 8.需具有移动展台功能，教师可方便将课本、试卷等实物通过移动设备拍照上传至大屏讲解，并需支持在</w:t>
            </w:r>
            <w:r>
              <w:rPr>
                <w:rFonts w:ascii="SimSun" w:hAnsi="SimSun" w:eastAsia="SimSun" w:cs="SimSun"/>
                <w:color w:val="000000"/>
                <w:sz w:val="20"/>
              </w:rPr>
              <w:t xml:space="preserve">移动端通过手势控制缩放、旋转、移动、剪切、标注、擦除等操作；</w:t>
              <w:br/>
              <w:t xml:space="preserve"> 9.可以通过移动设备摄像头随时分享直播学生做题过程及实验情景，分享过程中，可选择是否录制；</w:t>
              <w:br/>
              <w:t xml:space="preserve"> 10.可轻松播放移动设备上的所有教学文件，包括ppt、word、pdf、图片、音频、视频等，并可通过移动设备端控制播放，包括全屏、快进、快退、停止等；</w:t>
              <w:br/>
              <w:t xml:space="preserve"> 11.需支持电子白板功能，具备铅笔、荧光笔、激光笔、魔法笔、排刷、图案刷等多种书写笔模式。需提供三角形、正方形、圆形、椭圆、多边形、平行线、箭头线、虚线等图形绘图工具。需可插入图片、PPT、word等</w:t>
            </w:r>
            <w:r>
              <w:rPr>
                <w:rFonts w:ascii="SimSun" w:hAnsi="SimSun" w:eastAsia="SimSun" w:cs="SimSun"/>
                <w:color w:val="000000"/>
                <w:sz w:val="20"/>
              </w:rPr>
              <w:t xml:space="preserve">文件进行讲解，并可直接保存为图片、pdf等文件。支持手势漫游、手势擦除、手势缩放等功能；</w:t>
              <w:br/>
              <w:t xml:space="preserve"> 12.可以将移动设备的界面无线投屏至大屏，移动设备所有操作都可在大屏上显示；</w:t>
              <w:br/>
              <w:t xml:space="preserve"> 13.可将移动设备端的文件无线上传电脑端指定文件夹内，也可将电脑端文件下载至移动设备端指定文件夹；</w:t>
              <w:br/>
              <w:t xml:space="preserve"> 14.需支持鼠标指针大小、形状可选择设置，并可自定义鼠标形状，解决后排学生经常看不清鼠标指针的问题；</w:t>
              <w:br/>
              <w:t xml:space="preserve"> 15.具备基本辅助工具，包括荧光笔、聚光灯、放大镜等，荧光笔颜色、聚光灯大小及放大镜倍数通过移动设备端轻松可调；</w:t>
              <w:br/>
              <w:t xml:space="preserve"> 16.移动设备端软</w:t>
            </w:r>
            <w:r>
              <w:rPr>
                <w:rFonts w:ascii="SimSun" w:hAnsi="SimSun" w:eastAsia="SimSun" w:cs="SimSun"/>
                <w:color w:val="000000"/>
                <w:sz w:val="20"/>
              </w:rPr>
              <w:t xml:space="preserve">件可扫描二维码自动下载，并自动提示新版本升级或自动检查升级至最新版；</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智能数据采集终端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一、数据采集模板</w:t>
              <w:br/>
              <w:t xml:space="preserve"> 1.支持自动批量生成客观题答题模板、直接拖拽批分框的方式生成主观题答题模板，要求支持word、pdf、jpg等多种文件格式的答题模板文件的二次编辑，不需要通过office插件制作答题模板；</w:t>
              <w:br/>
              <w:t xml:space="preserve"> 2.支持从精品题库或校本题库中按需选择题目或按薄弱知识点、高频错题等条件自动组卷，自动生成答题模板；</w:t>
              <w:br/>
              <w:t xml:space="preserve"> 3.支持选择题程序自动阅分，支持主观题多种形式阅分，如一题多步骤阅分或多小题合并阅总分，由学校自主设置；</w:t>
              <w:br/>
              <w:t xml:space="preserve"> 4.支持高级模板制作模式，系统默认各个学段，中高考规范试卷模板，教师可自主选择模板，教师</w:t>
            </w:r>
            <w:r>
              <w:rPr>
                <w:rFonts w:ascii="SimSun" w:hAnsi="SimSun" w:eastAsia="SimSun" w:cs="SimSun"/>
                <w:color w:val="000000"/>
                <w:sz w:val="20"/>
              </w:rPr>
              <w:t xml:space="preserve">可自定义模板，系统记住教师自定义模板，可重复利用；</w:t>
              <w:br/>
              <w:t xml:space="preserve"> 5.支持学生单学科双张答题模板的制作、扫描及识别；</w:t>
              <w:br/>
              <w:t xml:space="preserve"> 6.答题模板排版支持单选题、多选题、填空题、解答题、判断题、选做题等题型设置，支持单选题、多选题按题号横排、竖排等混排；</w:t>
              <w:br/>
              <w:t xml:space="preserve"> 7.支持选择题设置不同选项个数，如ABC、ABCDEFG等；</w:t>
              <w:br/>
              <w:t xml:space="preserve"> 8.支持答题模板版式按照1栏、2栏和3栏自由排版布局；</w:t>
              <w:br/>
              <w:t xml:space="preserve"> 9.支持使用60克以上纸张印制的市场通用规格的答题模板，印刷答题模板版面支持A3、A4、8K、16K等；</w:t>
              <w:br/>
              <w:t xml:space="preserve"> 10.支持学生班级学号填涂、二维码粘贴、准考证号填</w:t>
            </w:r>
            <w:r>
              <w:rPr>
                <w:rFonts w:ascii="SimSun" w:hAnsi="SimSun" w:eastAsia="SimSun" w:cs="SimSun"/>
                <w:color w:val="000000"/>
                <w:sz w:val="20"/>
              </w:rPr>
              <w:t xml:space="preserve">涂三种方式制作模板；</w:t>
              <w:br/>
              <w:t xml:space="preserve"> 11.支持分批扫描，先扫后阅，先阅后扫，答卷补扫；</w:t>
              <w:br/>
              <w:t xml:space="preserve"> 12.支持区域联考，不同学校的试卷混合扫描识别；</w:t>
              <w:br/>
              <w:t xml:space="preserve"> 13.支持异常情形扫描识别，支持正反颠倒、上下颠倒、序号混乱等情形的扫描识别及结果与图像的自动纠正；</w:t>
              <w:br/>
              <w:t xml:space="preserve"> 14.支持班级学号、二维码、准考证号等不同学生信息的答题卡自动识别。</w:t>
              <w:br/>
              <w:t xml:space="preserve">二、纸阅数据采集：</w:t>
              <w:br/>
              <w:t xml:space="preserve"> 1.支持平时作业、周练、单元测试、单科考试及多科联考，以及多校联考等手写批阅数据采集，学生在纸上答，教师在纸上批改，保留教师手写批阅痕迹； </w:t>
              <w:br/>
              <w:t xml:space="preserve"> 2.客观题自动判卷，主观题自动识别教师在纸</w:t>
            </w:r>
            <w:r>
              <w:rPr>
                <w:rFonts w:ascii="SimSun" w:hAnsi="SimSun" w:eastAsia="SimSun" w:cs="SimSun"/>
                <w:color w:val="000000"/>
                <w:sz w:val="20"/>
              </w:rPr>
              <w:t xml:space="preserve">上的手工批阅痕迹，包括阿拉伯数字打分、勾叉笔记等，且识别正确率要保证99.99%以上；</w:t>
              <w:br/>
              <w:t xml:space="preserve"> 3.自动将每份试卷按每小题切分，包括题干和答题区域对应，自动将已识别的数据和图片上传至云服务器；</w:t>
              <w:br/>
              <w:t xml:space="preserve"> 4.支持任意第三方答题卡印刷品的自主定义识别采集；</w:t>
              <w:br/>
              <w:t xml:space="preserve"> 5.支持手动标记识别区域，支持手动标记学生信息区域、客观题区域，主观题教师批阅区域，自动采集区域内手写批阅数据；</w:t>
              <w:br/>
              <w:t xml:space="preserve"> 6.支持加分制和减分制两种统分方式，灵活切换；</w:t>
              <w:br/>
              <w:t xml:space="preserve"> 7.支持同一场考试，部分题目设置为手阅，部分题目设置为网阅模式；</w:t>
              <w:br/>
              <w:t xml:space="preserve"> 8.支持在同一场考试场景下，部分学</w:t>
            </w:r>
            <w:r>
              <w:rPr>
                <w:rFonts w:ascii="SimSun" w:hAnsi="SimSun" w:eastAsia="SimSun" w:cs="SimSun"/>
                <w:color w:val="000000"/>
                <w:sz w:val="20"/>
              </w:rPr>
              <w:t xml:space="preserve">科使用先扫描后阅卷（网阅）方式和其他学科使用先阅卷后扫描（手阅）方式的自由组合，并能够生成考试的总体评价分析报告。</w:t>
              <w:br/>
              <w:t xml:space="preserve">三、网阅数据采集：</w:t>
              <w:br/>
              <w:t xml:space="preserve"> 1.期中、期末、多校联考、区域联考等大型考试支持教师网络阅卷，网络阅卷分数及阅卷痕迹同步采集；</w:t>
              <w:br/>
              <w:t xml:space="preserve"> 2.自动识别试卷上的客观题、定位点、二维码、学生填涂考号，无需人为干预；</w:t>
              <w:br/>
              <w:t xml:space="preserve"> 3.自动将每份试卷按小题切分，确认作答区域上传；</w:t>
              <w:br/>
              <w:t xml:space="preserve"> 4.主观题支持教师网络打分或打标记，实现网络批阅的学生答卷保留教师批改痕迹，可直接下载或打印；</w:t>
              <w:br/>
              <w:t xml:space="preserve"> 5.支持智能排考场，可根据大小考自定义准考证号位数</w:t>
            </w:r>
            <w:r>
              <w:rPr>
                <w:rFonts w:ascii="SimSun" w:hAnsi="SimSun" w:eastAsia="SimSun" w:cs="SimSun"/>
                <w:color w:val="000000"/>
                <w:sz w:val="20"/>
              </w:rPr>
              <w:t xml:space="preserve">，可一键导出学生准考证信息，导出班贴、门贴、桌贴；</w:t>
              <w:br/>
              <w:t xml:space="preserve"> 6.支持按照角色、科目、部分老师选择屏蔽或发布成绩；支持单科成绩结束阅卷立即发布或定时发布，支持永久保密成绩；</w:t>
              <w:br/>
              <w:t xml:space="preserve"> 7.支持单批、双批两种模式，双批支持二评、三评仲裁模式；</w:t>
              <w:br/>
              <w:t xml:space="preserve"> 8.支持回评设置、回评记录修改、查看回评准确率；</w:t>
              <w:br/>
              <w:t xml:space="preserve"> 9.支持大屏批阅监控，阅卷组长可监控批阅质量，批阅进度，回评预警，批阅速度，批阅平均值，支持导出阅卷监控数据；可对阅卷老师评阅试卷进行抽查和修改；</w:t>
              <w:br/>
              <w:t xml:space="preserve"> 10.支持按平均分配，按效率优先分配批阅任务；</w:t>
              <w:br/>
              <w:t xml:space="preserve"> 11.开始批阅前，分配任务都可以</w:t>
            </w:r>
            <w:r>
              <w:rPr>
                <w:rFonts w:ascii="SimSun" w:hAnsi="SimSun" w:eastAsia="SimSun" w:cs="SimSun"/>
                <w:color w:val="000000"/>
                <w:sz w:val="20"/>
              </w:rPr>
              <w:t xml:space="preserve">修改调整，开始批阅好后，支持部分修改，修改内容包括：平均分配/效率优先、是否回评、单批/双批切换、二评/三评切换、复阅差值、增减老师，增减老师无需暂停批阅；</w:t>
              <w:br/>
              <w:t xml:space="preserve"> 12.支持集中、分散或集中与分散相结合的方式进行网上阅卷；</w:t>
              <w:br/>
              <w:t xml:space="preserve"> 13.支持云端阅卷，标记优解卷、问题卷、批注、支持键盘给分、鼠标点击打分板给分，鼠标打标记给分，并保留阅卷痕迹，可以让学生查看；</w:t>
              <w:br/>
              <w:t xml:space="preserve"> 14.支持反向打印网阅批阅痕迹至学生作答原卷上；</w:t>
              <w:br/>
              <w:t xml:space="preserve"> 15.支持设置复阅差值内计分方式：按平均分、按高分、按低分；</w:t>
              <w:br/>
              <w:t xml:space="preserve"> 16.支持按步得分设置，设置评分步骤和分值</w:t>
            </w:r>
            <w:r>
              <w:rPr>
                <w:rFonts w:ascii="SimSun" w:hAnsi="SimSun" w:eastAsia="SimSun" w:cs="SimSun"/>
                <w:color w:val="000000"/>
                <w:sz w:val="20"/>
              </w:rPr>
              <w:t xml:space="preserve">，可对同一题分多个步骤进行打分，作文可从表达、书写等多角度打分；</w:t>
              <w:br/>
              <w:t xml:space="preserve"> 17.支持移动阅卷，保留阅卷痕迹，阅卷时可自定义开启/关闭自动提交功能，可设置分值正序/倒序排序，可自定义常用分值；</w:t>
              <w:br/>
              <w:t xml:space="preserve">开始批阅后，支持拉大、缩小调整切题区域，无需暂停批阅。</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学业数据分析诊断终端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1.支持根据管理权限，分级别查看校级报告、班级报告、学科报告、学生报告，可直接打印、导出报告；</w:t>
              <w:br/>
              <w:t xml:space="preserve"> 2.支持多科自由组合成绩分析，支持多条件选择或自定义条件，自动快速生成报表；</w:t>
              <w:br/>
              <w:t xml:space="preserve"> 3.支持学科分析包括但不限于：基本统计（总人数、最高分、最低分、平均分、优秀率、及格率、学困率、学弱率、大幅进步、大幅退步）、分段统计（优秀、良好、合格、学困、不合格、各分段的人数、占比及学生名单）、临界生统计、知识点情况统计（知识点名称、掌握程度、班级和年级得分率、对应题目）、答题情况（班级平均分、年级平均分、各题统计、优秀卷、解</w:t>
            </w:r>
            <w:r>
              <w:rPr>
                <w:rFonts w:ascii="SimSun" w:hAnsi="SimSun" w:eastAsia="SimSun" w:cs="SimSun"/>
                <w:color w:val="000000"/>
                <w:sz w:val="20"/>
              </w:rPr>
              <w:t xml:space="preserve">析）、历次考试变化分析；</w:t>
              <w:br/>
              <w:t xml:space="preserve"> 4.支持邀请别的学校一起考试，不限区域，各校具体数据相互保密，可查看本校与其他学校平均数据的对比情况；</w:t>
              <w:br/>
              <w:t xml:space="preserve"> 5.支持标记缺考学生，可配置为是缺考学生否，参与分析；</w:t>
              <w:br/>
              <w:t xml:space="preserve"> 6.支持第三方试卷小题分导入，支持与第三方网络阅卷系统直接对接同步小题分，自动生成详细学业报告；</w:t>
              <w:br/>
              <w:t xml:space="preserve"> 7.支持自动生成学生个人报告、班级报告、年级报告等多维度基础报表；</w:t>
              <w:br/>
              <w:t xml:space="preserve"> 8.支持自定义报告，设置部分学生是否参与报表统计；</w:t>
              <w:br/>
              <w:t xml:space="preserve"> 9.支持免考生设置，免考生分数支持按照班级最高分或试卷满分两种方式设置；</w:t>
              <w:br/>
              <w:t xml:space="preserve"> 10.支持自由组合多</w:t>
            </w:r>
            <w:r>
              <w:rPr>
                <w:rFonts w:ascii="SimSun" w:hAnsi="SimSun" w:eastAsia="SimSun" w:cs="SimSun"/>
                <w:color w:val="000000"/>
                <w:sz w:val="20"/>
              </w:rPr>
              <w:t xml:space="preserve">科报告，自动生成综合学科分析；</w:t>
              <w:br/>
              <w:t xml:space="preserve"> 11.系统支持7种常见老师角色管理（管理员、教研主任、教研组长、年级组长、备课组长、班主任、任课教师），也可自定义增加角色，不同角色可维护不同查看、操作权限；</w:t>
              <w:br/>
              <w:t xml:space="preserve"> 12.支持教学走班，设置不同年级是否参与分层教学，可切换查看学生行政班、教学班不同维度的分析报告；</w:t>
              <w:br/>
              <w:t xml:space="preserve"> 13.教师、学生等基础数据支持批量导入/更新，支持单个新增/修改；</w:t>
              <w:br/>
              <w:t xml:space="preserve"> 14.支持未上传的学生，手动录入该生成绩，生成各项分析报告；</w:t>
              <w:br/>
              <w:t xml:space="preserve"> 15.支持联考成绩补录，支持小题分补录；</w:t>
              <w:br/>
              <w:t xml:space="preserve"> 16.支持修改学生成绩，可记录修改记</w:t>
            </w:r>
            <w:r>
              <w:rPr>
                <w:rFonts w:ascii="SimSun" w:hAnsi="SimSun" w:eastAsia="SimSun" w:cs="SimSun"/>
                <w:color w:val="000000"/>
                <w:sz w:val="20"/>
              </w:rPr>
              <w:t xml:space="preserve">录；</w:t>
              <w:br/>
              <w:t xml:space="preserve">支持查看异常名单，查看学生填涂问题情况、老师批阅不规范情况，便于针对性完善调整。</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教学推送单元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一、精准讲评</w:t>
              <w:br/>
              <w:t xml:space="preserve"> 1.试题可以按照单题和全卷讲解方式，讲解顺序支持按照题号、知识点、得分率进行排序；单题讲解时，可以直接将讲解过程录制成视频，并保存到平台对应试题，供学生复习使用，这样即节省老师录制视频时间，也可快速建立校本资源库；</w:t>
              <w:br/>
              <w:t xml:space="preserve"> 2.试题答题统计支持以柱状图展现各个分段得分情况以及人数占比，展现答错学生名单。错题讲解支持随时调取学生原卷、查看优秀解答以及典型错误解答；</w:t>
              <w:br/>
              <w:t xml:space="preserve"> 3.查看学生试题时候可以从精品题库和校本题库中举一反三，支持按知识点和难易度筛选；</w:t>
              <w:br/>
              <w:t xml:space="preserve"> 4.精准讲评支持课堂投影模式，可放大缩小讲评页面</w:t>
            </w:r>
            <w:r>
              <w:rPr>
                <w:rFonts w:ascii="SimSun" w:hAnsi="SimSun" w:eastAsia="SimSun" w:cs="SimSun"/>
                <w:color w:val="000000"/>
                <w:sz w:val="20"/>
              </w:rPr>
              <w:t xml:space="preserve">，确保图片不发生畸变，贴合实际课堂讲评需求；</w:t>
              <w:br/>
              <w:t xml:space="preserve"> 5.支持手动标记典型题、优解题，教师可提前备课，课堂精准讲解；</w:t>
              <w:br/>
              <w:t xml:space="preserve"> 6.支持查看小题详细分析，支持汇总大题得分率、难易度分析。</w:t>
              <w:br/>
              <w:t xml:space="preserve">二、精准辅导</w:t>
              <w:br/>
              <w:t xml:space="preserve"> 1.自动汇总学生、班级各次考试、作业数据，形成学生学业档案、班级学科档案、年级学科档案；</w:t>
              <w:br/>
              <w:t xml:space="preserve"> 2.学科老师、班主任精准发现班级和学生薄弱或优势学科及知识点，有针对性地辅导学生、提升班级成绩；</w:t>
              <w:br/>
              <w:t xml:space="preserve"> 3.自动收录学生所有错题，为教师提供每个学生的个人错题本，供教师精准辅导；</w:t>
              <w:br/>
              <w:t xml:space="preserve"> 4.汇总学生、班级、年级历史分析数据，可横向对比，也</w:t>
            </w:r>
            <w:r>
              <w:rPr>
                <w:rFonts w:ascii="SimSun" w:hAnsi="SimSun" w:eastAsia="SimSun" w:cs="SimSun"/>
                <w:color w:val="000000"/>
                <w:sz w:val="20"/>
              </w:rPr>
              <w:t xml:space="preserve">可纵向追踪。</w:t>
              <w:br/>
              <w:t xml:space="preserve">三、资源推送</w:t>
              <w:br/>
              <w:t xml:space="preserve"> 1.提供600万道中小学各学科试题，日更新2000道以上，老师可自行挑题组卷；题库资源与教材版本一致，涵盖所有年级、所有学科、所有教材版本的知识点；</w:t>
              <w:br/>
              <w:t xml:space="preserve"> 2.自动收录使用数据采集的本校考试试卷，教师可自主上传试题资源，在线编辑维护；</w:t>
              <w:br/>
              <w:t xml:space="preserve"> 3.试卷属性包含地区、年份、省份、考试类型、考试年级等信息，支持下载打印；</w:t>
              <w:br/>
              <w:t xml:space="preserve"> 4.试题属性包含题型、解析、知识点、难度、所属地区、所属试卷、组卷次数、年级等信息；</w:t>
              <w:br/>
              <w:t xml:space="preserve"> 5.根据考试、练习、作业题目自动匹配同类题目，供教师再次讲评、学生拓展学习；</w:t>
              <w:br/>
              <w:t xml:space="preserve"> 6</w:t>
            </w:r>
            <w:r>
              <w:rPr>
                <w:rFonts w:ascii="SimSun" w:hAnsi="SimSun" w:eastAsia="SimSun" w:cs="SimSun"/>
                <w:color w:val="000000"/>
                <w:sz w:val="20"/>
              </w:rPr>
              <w:t xml:space="preserve">.根据知识点或章节、高频错题、薄弱知识点智能匹配，自动生成个性化试卷或练习；</w:t>
              <w:br/>
              <w:t xml:space="preserve"> 7.支持学生在线完成个性化试卷或练习，记录学生答题情况，知识点统计。</w:t>
              <w:br/>
              <w:t xml:space="preserve">（四）精准备课</w:t>
              <w:br/>
              <w:t xml:space="preserve"> 1.支持学科教师查看自己班级薄弱知识点、薄弱题目、临界生情况；</w:t>
              <w:br/>
              <w:t xml:space="preserve"> 2.支持按照班级平均分、得分率等查看时间段内的班级成绩变化情况；</w:t>
              <w:br/>
              <w:t xml:space="preserve"> 3.自动归集班级高频错题，可按时间、得分率筛选，支持根据错题检索相似题目资源，自动组卷完成备课所需训练；</w:t>
              <w:br/>
              <w:t xml:space="preserve"> 4.自动归集班级薄弱知识点，可按时间、得分率筛选，支持用户自定义知识点或知识模块，支持根据知识点检索相</w:t>
            </w:r>
            <w:r>
              <w:rPr>
                <w:rFonts w:ascii="SimSun" w:hAnsi="SimSun" w:eastAsia="SimSun" w:cs="SimSun"/>
                <w:color w:val="000000"/>
                <w:sz w:val="20"/>
              </w:rPr>
              <w:t xml:space="preserve">似资源，自动组卷完成备课所需训练；</w:t>
              <w:br/>
              <w:t xml:space="preserve"> 5.支持标记优先讲评，已快速定位锁定备课试题；</w:t>
              <w:br/>
              <w:t xml:space="preserve">支持筛选年级、学科，查看讲义教案，包含word、pdf、ppt等多种文件格式，可在线预览或下载。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家长端学业报告单元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1.学校可针对考试、练习、作业等学业测评项目设置详细的开放权限，有选择地向家长推送学生的分数、等第、学业成长曲线等综合学业报告；</w:t>
              <w:br/>
              <w:t xml:space="preserve"> 2.向家长推送学生原卷、知识点、题型的掌握情况，告知学生优势及薄弱学科和具体环节；</w:t>
              <w:br/>
              <w:t xml:space="preserve"> 3.支持家长查看试题分析（错题突出显示），可查看每题题目、知识点、学生作答、学霸作答（多个）、班级平均得分；</w:t>
              <w:br/>
              <w:t xml:space="preserve"> 4.支持家长下载和二次编辑学生错题集，可自由选择排版后导出word和PDF文件，支持班级和年级错题集批量导出；</w:t>
              <w:br/>
              <w:t xml:space="preserve"> 5.支持家长根据学生薄弱环节举一反三推相似题目在线练习或下载，自动推</w:t>
            </w:r>
            <w:r>
              <w:rPr>
                <w:rFonts w:ascii="SimSun" w:hAnsi="SimSun" w:eastAsia="SimSun" w:cs="SimSun"/>
                <w:color w:val="000000"/>
                <w:sz w:val="20"/>
              </w:rPr>
              <w:t xml:space="preserve">送周复习、月复习、期中复习、期末复习；</w:t>
              <w:br/>
              <w:t xml:space="preserve"> 6.支持家长综合查看学生学年综合学业档案（优劣势学科、错题、薄弱知识点分布、错题重练、薄弱知识点精准练习等），整体全面了解学生学业情况，并根据学业情况，对薄弱知识点，推送微课视频；</w:t>
              <w:br/>
              <w:t xml:space="preserve"> 7.支持定期推送个性化练习，家长可自行打印，让孩子优化提升；</w:t>
              <w:br/>
              <w:t xml:space="preserve"> 8.英语考试有听力文件，家长可在线播放听力音频；</w:t>
              <w:br/>
              <w:t xml:space="preserve"> 9.汇总学生综合学年数据，分析优劣势学科，汇总各科错题本、需提升的知识点，可进行错题重练、知识点生成训练；</w:t>
              <w:br/>
              <w:t xml:space="preserve"> 10.提供个性化课堂，家长可自主查看知识点的微课视频、趣微课</w:t>
            </w:r>
            <w:r>
              <w:rPr>
                <w:rFonts w:ascii="SimSun" w:hAnsi="SimSun" w:eastAsia="SimSun" w:cs="SimSun"/>
                <w:color w:val="000000"/>
                <w:sz w:val="20"/>
              </w:rPr>
              <w:t xml:space="preserve">、直播课、名校试卷、优秀古诗文、作文赏析、能力测评等；</w:t>
              <w:br/>
              <w:t xml:space="preserve"> 11.支持定期推送知识点微课，可在线学习及时巩固；</w:t>
              <w:br/>
              <w:t xml:space="preserve">支持下载记录汇总，可重新下载。</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端</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11、直饮水设备</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4出水直饮水设备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1、产品尺寸：产品尺寸（mm）：宽 1200*深 430*高 1290 立式；</w:t>
              <w:br/>
              <w:t xml:space="preserve"> 2、额定电压：220V；</w:t>
              <w:br/>
              <w:t xml:space="preserve">出水口数量：≥4 个（4 温开），外形尺寸采用高低龙头搭配，满足不同身高的学生取水，边角光滑、圆</w:t>
              <w:br/>
              <w:t xml:space="preserve">弧过渡，避免对人体的意外伤害；</w:t>
              <w:br/>
              <w:t xml:space="preserve"> 3、加热功率：2500W～3200W；</w:t>
              <w:br/>
              <w:t xml:space="preserve"> 4、采用反渗透过滤系统；</w:t>
              <w:br/>
              <w:t xml:space="preserve"> 5、水产水率：≥65%；</w:t>
              <w:br/>
              <w:t xml:space="preserve"> 6、净水制水量：≥2L/min；</w:t>
              <w:br/>
              <w:t xml:space="preserve"> 7、额定总净水量≥10000 升，并采用 800G 反渗透膜滤芯。</w:t>
              <w:br/>
              <w:t xml:space="preserve"> 8、8分钟最大连续出水量≥22L。</w:t>
              <w:br/>
              <w:t xml:space="preserve"> 9、热胆（热水箱）容量：≥32</w:t>
            </w:r>
            <w:r>
              <w:rPr>
                <w:rFonts w:ascii="SimSun" w:hAnsi="SimSun" w:eastAsia="SimSun" w:cs="SimSun"/>
                <w:color w:val="000000"/>
                <w:sz w:val="20"/>
              </w:rPr>
              <w:t xml:space="preserve">L、材质：304 不锈钢，</w:t>
              <w:br/>
              <w:t xml:space="preserve"> 10、采用热交换技术，内管开水，外管常温水，冷热水不掺混，饮用水沸腾后冷却，温度 40°C—65°C</w:t>
              <w:br/>
              <w:t xml:space="preserve">可调，饮用水安全可靠。</w:t>
              <w:br/>
              <w:t xml:space="preserve"> 11、具备高温热水杀菌和高温蒸汽杀菌系统，覆盖水箱及温水出水管路；</w:t>
              <w:br/>
              <w:t xml:space="preserve"> 12、具有滤芯寿命报警功能、具有温开水水温实时数值、采用不锈钢材质积水盘加网设计并具有自动排水</w:t>
              <w:br/>
              <w:t xml:space="preserve">功能、整机采用不锈钢材质（背板除外）。</w:t>
              <w:br/>
              <w:t xml:space="preserve"> 13、机器面板具有水质 TDS 实时显示功能，</w:t>
              <w:br/>
              <w:t xml:space="preserve"> 14、具有物联网功能，可实现远程查看设备运行状态，可远程设置定时开关机，设置出水温度等功能；</w:t>
              <w:br/>
              <w:t xml:space="preserve"> </w:t>
            </w:r>
            <w:r>
              <w:rPr>
                <w:rFonts w:ascii="SimSun" w:hAnsi="SimSun" w:eastAsia="SimSun" w:cs="SimSun"/>
                <w:color w:val="000000"/>
                <w:sz w:val="20"/>
              </w:rPr>
              <w:t xml:space="preserve">15、高温杀菌具备红外感应功能，如检测到人员经过，自动停止，防止烫伤。</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4出水滤芯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ro反渗透膜 </w:t>
            </w:r>
            <w:r>
              <w:rPr>
                <w:rFonts w:ascii="SimSun" w:hAnsi="SimSun" w:eastAsia="SimSun" w:cs="SimSun"/>
                <w:b/>
                <w:color w:val="000000"/>
                <w:sz w:val="20"/>
              </w:rPr>
              <w:t xml:space="preserve">4出水产品配套耗材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2出水直饮水设备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numPr>
                <w:ilvl w:val="0"/>
                <w:numId w:val="4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设备尺寸（宽*深*高）：420mm*450mm*1450mm</w:t>
              <w:br/>
              <w:t xml:space="preserve"> 2、取水龙头底部至接水盘距离≥290mm，接水盘材质为 304 不锈钢且具备自动排空功能。外壳采用不</w:t>
              <w:br/>
              <w:t xml:space="preserve">锈钢或类似耐腐蚀材质</w:t>
              <w:br/>
              <w:t xml:space="preserve"> 3、出水龙头≥2 个，可双温双热出水，且具备童锁功能。</w:t>
              <w:br/>
              <w:t xml:space="preserve"> 4、额定总净水量≥5000L</w:t>
              <w:br/>
              <w:t xml:space="preserve"> 5、累积净水量不应小于标称值，实际累积净水量≥10000L</w:t>
            </w:r>
            <w:r/>
          </w:p>
          <w:p>
            <w:pPr>
              <w:numPr>
                <w:ilvl w:val="0"/>
                <w:numId w:val="42"/>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6、净水流量≥0.25L/min</w:t>
              <w:br/>
              <w:t xml:space="preserve"> 7、所用产品其热水箱材质应为 316L 不锈钢材质</w:t>
              <w:br/>
              <w:t xml:space="preserve"> 8、额定功率≤2000W，产品工作噪音≤55dB</w:t>
              <w:br/>
              <w:t xml:space="preserve"> 9、热水箱容量≥10L，温水箱容量≥10L</w:t>
              <w:br/>
              <w:t xml:space="preserve"> 10、除 RO 膜外，具备三种或三种以上的纯物理杀菌功能，减少整机内部细菌滋生。杀菌措施须覆盖温</w:t>
              <w:br/>
              <w:t xml:space="preserve">水管路、热水管路、储水箱、出水口。分项阐述各杀菌措施覆盖区域并提供证明材料</w:t>
              <w:br/>
              <w:t xml:space="preserve"> 11、具备应对短时大量取水能力，可实现单次出水量不小于 20L</w:t>
              <w:br/>
              <w:t xml:space="preserve"> 12、具备舒适化功能，包含一键待机、一键排空、中高温切换功能</w:t>
              <w:br/>
              <w:t xml:space="preserve"> 13、具备微电脑控</w:t>
            </w:r>
            <w:r>
              <w:rPr>
                <w:rFonts w:ascii="SimSun" w:hAnsi="SimSun" w:eastAsia="SimSun" w:cs="SimSun"/>
                <w:color w:val="000000"/>
                <w:sz w:val="20"/>
              </w:rPr>
              <w:t xml:space="preserve">制系统，可实时显示工作状态（补水状态、水温、杀菌状态、TDS、滤芯寿命）</w:t>
              <w:br/>
              <w:t xml:space="preserve"> 14、产品采用 IOT 物联网智能系统可实现远程激活、远程管理、设备运行提示、主动服务提示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2出水滤芯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ro反渗透膜 2出水产品配套耗材</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12、电子显示屏</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12.1、体育馆LED</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P3户外LED显示屏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支持横向、纵向的显示画面任意拼接，无缝显示；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模块化单元结构设计后维护场景。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支持亮/暗线快速消除技术，无需专业设备和专业操作；支持分段校正，低灰显示效果表现更佳，对比度更高；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支持通过调试网口进行远程配置；支持通过发送卡的面板按钮调整亮度、切换信号源，配合发送卡可支持HDMI、DVI或DP信源的切换输入， 网口输出。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产品类别：LED室外全彩显示屏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像素结构：1R1G1B三合一</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箱体模组组成：2×6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箱体尺寸：640 (W) mm ×960 (H) mm ×137 (D) mm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箱体面积：0.6144㎡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箱体重量：35 kg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像素密度：105625 点/㎡</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箱体材质：钣金铁箱</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防护等级：前IP65/后IP54</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封装方式：正装SMD封装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箱体特质：防水箱体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模组尺寸：320 (W) mm ×160 (H) mm ×17.5(D) 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模组分辨率：104×52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维护方式：后维护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封装品牌：国产铜线</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灯珠规格：1415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白平衡亮度：4500 cd/㎡</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色温：3500-9300 K可调</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可视角：140°(H)/120°(V)</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亮度均匀性：≥ 97％</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色度均匀性：± 0.003Cx，Cy之内</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对比度：5000：1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驱动方式：1/13恒流驱动</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换帧频率：60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刷新率：3840 Hz</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灰度等级：最大支持14 bit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峰值功耗：≤800 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平均功耗：＜300 W/㎡</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供电要求：AC110~220 V ± 15％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工作温度：-20 ℃ ~ 50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工作湿度：10%～80% RH（无冷凝水）</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存储温度：-20 ℃ ~ 60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存储湿度：10%～80% RH（无冷凝水）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平方米</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控制单元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1.集成HUB75，无需再配转接板，更方便，成本更低；</w:t>
              <w:br/>
              <w:t xml:space="preserve"> 2.减少接插连接件，减少故障点，故障率更低；</w:t>
              <w:br/>
              <w:t xml:space="preserve"> 3.支持常规芯片实现高刷新、高灰度、高亮度；</w:t>
              <w:br/>
              <w:t xml:space="preserve"> 4.新灰度引擎，低灰度表现更佳；</w:t>
              <w:br/>
              <w:t xml:space="preserve"> 5.细节处理更完美，可消除单元板设计引起的某行偏暗、低灰偏红、鬼影等细节问题；</w:t>
              <w:br/>
              <w:t xml:space="preserve"> 6.支持14bit精度逐点校正；</w:t>
              <w:br/>
              <w:t xml:space="preserve"> 7.支持所有常规芯片、PWM芯片和灯饰芯片；</w:t>
              <w:br/>
              <w:t xml:space="preserve"> 8.支持静态屏、1/2~1/32扫之间的任意扫描类型；</w:t>
              <w:br/>
              <w:t xml:space="preserve"> 9.支持任意抽点，支持数据偏移，可轻松实现各种异型屏、球形屏、创意显示屏；</w:t>
              <w:br/>
              <w:t xml:space="preserve"> 10.单卡支持32组</w:t>
            </w:r>
            <w:r>
              <w:rPr>
                <w:rFonts w:ascii="SimSun" w:hAnsi="SimSun" w:eastAsia="SimSun" w:cs="SimSun"/>
                <w:color w:val="000000"/>
                <w:sz w:val="20"/>
              </w:rPr>
              <w:t xml:space="preserve">RGB信号输出；</w:t>
              <w:br/>
              <w:t xml:space="preserve"> 11.支持超大带载面积，单卡带载128*1024，256*512；</w:t>
              <w:br/>
              <w:t xml:space="preserve"> 12.先进设计，元器件，全自动高低温老化测试，零故障出厂；</w:t>
              <w:br/>
              <w:t xml:space="preserve"> 13.支持DC 3.3V～6V超宽工作电压，有效减弱电压波动带来的影响；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供电单元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1.输入电压范围 180一264VAC </w:t>
              <w:br/>
              <w:t xml:space="preserve"> 2.输入电流 230VAC/3.0A ，电压调节范围 士3.0% 纹波及噪声150mVp-P </w:t>
              <w:br/>
              <w:t xml:space="preserve"> 3.过压保护，过载保护 ，短路保护 </w:t>
              <w:br/>
              <w:t xml:space="preserve"> 4.环境要求 工作温度及湿度 -20～70C 20%～95%RH 不凝露 </w:t>
              <w:br/>
              <w:t xml:space="preserve"> 5.储存温湿度 -40C～85C;10%～95%RH不凝露 </w:t>
              <w:br/>
              <w:t xml:space="preserve"> 6.冷却方式 可自冷 石风冷</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视频处理器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1.新一代云联网播放器，支持 4G、WIFI、有线网 络等多种联网方式，快速部署实现智能云管理功能，多屏幕、多业务、跨区域统 一管理。</w:t>
              <w:br/>
              <w:t xml:space="preserve"> 2.支持最大 输出1080P带载能力，最宽 1920 像素，最高 1080 像素</w:t>
              <w:br/>
              <w:t xml:space="preserve"> 3.支持云分级管理和多角色节目发布</w:t>
              <w:br/>
              <w:t xml:space="preserve"> 4.支持云监测报警并自动联动</w:t>
              <w:br/>
              <w:t xml:space="preserve"> 5.处理性能强大，支持 H.265 4K 高清视频硬解码播放</w:t>
              <w:br/>
              <w:t xml:space="preserve"> 6.8GB 容量</w:t>
              <w:br/>
              <w:t xml:space="preserve"> 7.多种播放方式 支持U盘即插即播，U盘更新播放节目列表 支持多屏同步播放 支持定时指令</w:t>
              <w:br/>
              <w:t xml:space="preserve"> 8.窗口和素材 支持多节目页播放，最多32个</w:t>
            </w:r>
            <w:r>
              <w:rPr>
                <w:rFonts w:ascii="SimSun" w:hAnsi="SimSun" w:eastAsia="SimSun" w:cs="SimSun"/>
                <w:color w:val="000000"/>
                <w:sz w:val="20"/>
              </w:rPr>
              <w:t xml:space="preserve">节目页面数量；支持丰富的媒体素材，如图片、视频、文本、时钟等等，支持视频、图片缩放 ；支持多窗口播放和叠加，可自由设定窗口大小和位置 ；最多同时播放2个高清窗口或者1个4K视频播放窗口 ；</w:t>
              <w:br/>
              <w:t xml:space="preserve"> 9.全方位控制方案支持多种控制平台的控制，LED精灵，手机、平板电脑APP控制 支持多种不同应用软件进行管理，方便不同应用场合</w:t>
              <w:br/>
              <w:t xml:space="preserve"> 10.网络通信 WiFi双频双模，支持WiFi 2.4G和5G频段、WiFi热点模式或WiFi客户端模式1 LAN，支持DHCP模式和静态模式 4G通讯，支持各个国家的4G网络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散热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风扇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外框结构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框架结构，主体采用镀锌方管，不锈钢包边，四周百叶窗设计</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电源线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RVV3*6mm²</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米</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电动幕布</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喷绘电动幕布，支持定制背景画面</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12.2、门卫室监控大屏</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46寸拼接屏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直下式LED背光源，亮度均匀，无边界暗影现象。</w:t>
              <w:br/>
              <w:t xml:space="preserve">物理分辨率高达1920 × 1080。</w:t>
              <w:br/>
              <w:t xml:space="preserve">全高清显示，画面细腻，色彩丰富。</w:t>
              <w:br/>
              <w:t xml:space="preserve">高清晰度、高亮度、高色域。</w:t>
              <w:br/>
              <w:t xml:space="preserve">视角可达178°，趋近于水平。</w:t>
              <w:br/>
              <w:t xml:space="preserve">显示面积大、体积小、重量轻。</w:t>
              <w:br/>
              <w:t xml:space="preserve">超窄边设计。</w:t>
              <w:br/>
              <w:t xml:space="preserve">运行稳定，可24小时持续工作。</w:t>
              <w:br/>
              <w:t xml:space="preserve">支持壁挂、落地、吊装等多种安装方式。</w:t>
              <w:br/>
              <w:t xml:space="preserve">多种拼接方式，能适应各种使用场所。</w:t>
              <w:br/>
              <w:t xml:space="preserve">实时检测设备温度，过温自保护，防止面板灼烧。</w:t>
              <w:br/>
              <w:t xml:space="preserve">显示尺寸：46 inch</w:t>
              <w:br/>
              <w:t xml:space="preserve">背光源类型：D-LED</w:t>
              <w:br/>
              <w:t xml:space="preserve">物理拼缝：3.5 mm</w:t>
              <w:br/>
              <w:t xml:space="preserve">物理拼缝公差：±0.8 mm</w:t>
              <w:br/>
              <w:t xml:space="preserve">物理分辨率：1920 × 10</w:t>
            </w:r>
            <w:r>
              <w:rPr>
                <w:rFonts w:ascii="SimSun" w:hAnsi="SimSun" w:eastAsia="SimSun" w:cs="SimSun"/>
                <w:color w:val="000000"/>
                <w:sz w:val="20"/>
              </w:rPr>
              <w:t xml:space="preserve">80@60 Hz（向下兼容）</w:t>
              <w:br/>
              <w:t xml:space="preserve">亮度：500 cd/m²</w:t>
              <w:br/>
              <w:t xml:space="preserve">可视角：178°（水平）/178°（垂直）  </w:t>
              <w:br/>
              <w:t xml:space="preserve">对比度：1000：1 </w:t>
              <w:br/>
              <w:t xml:space="preserve">音视频输入接口：HDMI × 1, DVI × 1, VGA × 1, USB × 1</w:t>
              <w:br/>
              <w:t xml:space="preserve">音视频输出接口：无</w:t>
              <w:br/>
              <w:t xml:space="preserve">控制接口：RS-232 IN × 1, RS-232 OUT × 1 </w:t>
              <w:br/>
              <w:t xml:space="preserve">电源：100～240 VAC, 50/60 Hz</w:t>
              <w:br/>
              <w:t xml:space="preserve">功耗：≤ 170 W</w:t>
              <w:br/>
              <w:t xml:space="preserve">待机功耗：≤ 0.5 W </w:t>
              <w:br/>
              <w:t xml:space="preserve">安装孔距：600 (H) mm × 400 (V) mm</w:t>
              <w:br/>
              <w:t xml:space="preserve">产品尺寸：1022.18 (W) mm × 5</w:t>
            </w:r>
            <w:r>
              <w:rPr>
                <w:rFonts w:ascii="SimSun" w:hAnsi="SimSun" w:eastAsia="SimSun" w:cs="SimSun"/>
                <w:color w:val="000000"/>
                <w:sz w:val="20"/>
              </w:rPr>
              <w:t xml:space="preserve">76.77 (H) mm × 55.35 (D) mm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气动前维护壁挂支架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color w:val="000000"/>
                <w:sz w:val="20"/>
              </w:rPr>
              <w:t xml:space="preserve">材质：冷轧钢板（SPCC），材料厚度从T1.0-T5不等</w:t>
              <w:br/>
              <w:t xml:space="preserve"> 备注说明：需要承重墙，且墙面平整；</w:t>
              <w:br/>
              <w:t xml:space="preserve"> 颜色：黑色</w:t>
              <w:br/>
              <w:t xml:space="preserve"> 净重：14kg/个 </w:t>
              <w:br/>
              <w:t xml:space="preserve"> 表面处理：静电喷塑，涂层厚度&gt;60微米</w:t>
              <w:br/>
              <w:t xml:space="preserve"> 弧度：0° </w:t>
              <w:br/>
              <w:t xml:space="preserve">可定制范围：厚度，颜色，四周封板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9路超高清解码器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高清视音频解码器，运行稳定可靠 输入接口：支持一路VGA和一路DVI接入 输出接口：支持10路HDMI和5路BNC输出，HDMI（可以转DVI-D）（奇数口）输出分辨率最高支持4K（3840*2160@30HZ）</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信号线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HDMI 2.0 4K60Hz铜缆（5米）</w:t>
              <w:br/>
              <w:t xml:space="preserve">端子镀金，耐氧化，阻抗小，信号传输更稳定。</w:t>
              <w:br/>
              <w:t xml:space="preserve">端子内部特殊设计，增强端子和线缆连接强度。</w:t>
              <w:br/>
              <w:t xml:space="preserve">环保加厚外被，耐磨不易破裂，经久耐用。</w:t>
              <w:br/>
              <w:t xml:space="preserve">支持HDMI 4K60Hz型号稳定传输。</w:t>
              <w:br/>
              <w:t xml:space="preserve">即插即用，无需驱动程序。</w:t>
              <w:br/>
              <w:t xml:space="preserve">线缆类型（音视频线）：铜缆</w:t>
              <w:br/>
              <w:t xml:space="preserve"> 视频版本：HDMI 2.0</w:t>
              <w:br/>
              <w:t xml:space="preserve"> 支持最大分辨率：4K 60Hz</w:t>
              <w:br/>
              <w:t xml:space="preserve"> 接口类型：HDMI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3联操作台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宽1740mm深900mm高750mm柜体深640mm</w:t>
              <w:br/>
              <w:t xml:space="preserve">冷轧钢，表面脱脂酸洗磷化、静电喷塑，桌面25mm厚防火面板</w:t>
              <w:br/>
              <w:t xml:space="preserve">固定托盘1个，键盘抽屉3个</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工作站</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3.0GHz主频，18MB缓存，CPU核心数12核，32G DDR4 3200MHz 内存，提供双内存槽位，4G独立显卡，集成声卡，1T固态硬盘+1TB SATA3 7200rpm 硬盘；集成10/100/1000M以太网卡；1个PCI-E*16、2个PCI-E*1，原厂防水键盘、抗菌鼠标；10个USB（含2个USB3.2 Gen2）接口、VGA+HDMI接口、2个PS2接口，1个串口； ≥260W 电源； 标准立式机箱≥13L，</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13、食堂配套小件清单</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13.1、小件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学生快餐盘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四格带盖、采用SUS304不锈钢制作。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1350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教师不锈钢快餐盘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六格、采用SUS304不锈钢制作。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双层不锈钢汤碗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φ120、采用SUS304不锈钢制作。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不锈钢筷子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L=250、采用SUS304不锈钢制作。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双</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不锈钢留样盒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120*120*45、采用SUS304不锈钢制作。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切菜刀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斩骨刀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削皮刀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聚酯切菜板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500*400*20/绿色6块，红色4块，蓝色2块、无毒无味、轻便耐用、耐腐蚀、易清洁、韧性强等因素；厚度：2.5cm。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聚酯切肉、砍骨板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φ450*40、无毒无味、轻便耐用、耐腐蚀、易清洁、韧性强等因素；厚度：4.0cm。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铲刀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大号、采用不锈钢制作。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铲刀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中号、采用不锈钢制作。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菜勺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菜勺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菜勺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不锈钢笊篱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φ30、采用不锈钢制作。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塑料菜筐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640*440*350 中号（绿筐10个、红筐5个、篮筐3个）、采用人体无害的工程塑料一次性注塑成型。</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中号、外形美观，采用工程材料制作，经久耐用。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塑料垃圾桶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小号、外形美观，采用工程材料制作，经久耐用。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φ860、采用生铁材质。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铁锅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φ550、采用生铁材质。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不锈钢脸盆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φ800、采用不锈钢制作，厚度：0.6mm。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不锈钢脸盆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φ600、采用不锈钢制作，厚度：0.6mm。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不锈钢脸盆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φ400、采用不锈钢制作，厚度：0.6mm。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刀叉框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500*500*50、采用PP材料制作。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不锈钢方盘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600*400*40、采用不锈钢制作，厚度：0.8mm。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不锈钢汤桶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φ400、采用不锈钢制作，厚度：1.0mm。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不锈钢汤桶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φ300*300、采用不锈钢制作，厚度：1.0mm。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广式水勺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长柄水勺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160、采用不锈钢制作。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炒勺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打汤勺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8两、采用不锈钢制作。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漏勺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宽边油隔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10寸、采用不锈钢制作。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饭勺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洗米箩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20KG、采用不锈钢制作。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荷花夹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9寸、采用不锈钢制作。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铲刀头连木柄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刨刀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小号、刀片：采用不锈钢制作；                       </w:t>
              <w:br/>
              <w:t xml:space="preserve">手柄：采用工程塑料制作。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把</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鱼鳞刨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3寸、采用不锈钢制作。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肉锤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大号、采用不锈钢制作。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水果刀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10寸、采用不锈钢制作。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份数盒连盖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1/1GN*6"、采用不锈钢制作，厚度：1.0mm。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份数盒连盖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1/1GN*10"、采用不锈钢制作，厚度：1.0mm。</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打蛋器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12寸、采用不锈钢制作。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油石</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10寸、形状：长方形；材质：采用金刚砂制作。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洗涤剂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20L、洗碗机专用浓缩液体清洁剂。采用新颖独特的先进配方，高效、低泡、彻底分解、去除各种顽固食品油腻和污垢。过水容易，使用经济、方便，确保餐具一次洗净，不留斑渍。</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催干剂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20L、洗碗机专用浓缩液体催干剂，由多种表面活性剂复配而成。浓缩、高效，提高洗碗工作效率，用量少效果佳，餐具冲洗后表面无水渍，无需干布擦拭，清澈光亮避免细菌感染。</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耐高温手套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大号、材料：防火布、隔热棉。</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副</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除湿机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480*435*950、电压：220V</w:t>
              <w:br/>
              <w:t xml:space="preserve">额定功率：860W</w:t>
              <w:br/>
              <w:t xml:space="preserve">高温功率：1050W</w:t>
              <w:br/>
              <w:t xml:space="preserve">机身材质：高强钣金机身</w:t>
              <w:br/>
              <w:t xml:space="preserve">噪音：60DB</w:t>
              <w:br/>
              <w:t xml:space="preserve">出风方式：侧出风</w:t>
              <w:br/>
              <w:t xml:space="preserve">制冷剂：R22</w:t>
              <w:br/>
              <w:t xml:space="preserve">控制方式：微电脑控制</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次氯酸水发生器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numPr>
                <w:ilvl w:val="0"/>
                <w:numId w:val="42"/>
              </w:numPr>
              <w:spacing w:before="0" w:after="0"/>
              <w:tabs>
                <w:tab w:val="left" w:pos="31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采用无隔膜电解技术；电源：AC220V 50/60HZ、功率：120W；出液量2L/min～4.5L/min、最大出液量≥330L/h；电解槽使用寿命≥5000小时、质保≥1年；开机1～3秒快速制取次氯酸水、可24小时连续制取；</w:t>
              <w:br/>
              <w:t xml:space="preserve"> 2.该设备产生的消毒液有效氯含量：40～200mg/L(ppm)，可根据不同使用情况进行设置；</w:t>
              <w:br/>
              <w:t xml:space="preserve"> 3.该设备产生的消毒液pH值范围：4～7</w:t>
              <w:br/>
              <w:t xml:space="preserve"> 4.该设备产生的消毒液可有效灭杀（包括不限于）【①大肠杆菌、②金黄色葡萄球菌、③对物体表面消毒、④对果蔬消毒、⑤对织物消毒、⑥对食品加工工</w:t>
            </w:r>
            <w:r>
              <w:rPr>
                <w:rFonts w:ascii="SimSun" w:hAnsi="SimSun" w:eastAsia="SimSun" w:cs="SimSun"/>
                <w:color w:val="000000"/>
                <w:sz w:val="20"/>
              </w:rPr>
              <w:t xml:space="preserve">具消毒、⑦对手消毒、⑧对白念珠菌、⑨对食饮具消毒】等；</w:t>
              <w:br/>
              <w:t xml:space="preserve"> 5.产品尺寸：≤350×300×567mm</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6.通过物联网24小时实时监控运行状态及电解液剩余量，实现对设备远程维护及故障诊断；</w:t>
              <w:br/>
              <w:t xml:space="preserve"> 7.三种供水模式，高中低预设好的浓度直接出次氯酸水</w:t>
              <w:br/>
              <w:t xml:space="preserve"> 8.耗材消耗低，1升电解液可制次氯酸水（100ppm）1吨</w:t>
              <w:br/>
              <w:t xml:space="preserve"> 9.环保性好，没有废水排放。</w:t>
              <w:br/>
              <w:t xml:space="preserve"> 10.普通供电、进水无需净化处理，市政水即可。</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13.2、五常法</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烧菜用具架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1100*250*3齿、采用SUS304,1.0mm不锈钢制作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小件用具架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350*120、采用SUS304,1.0mm不锈钢制作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挂钩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2钩、采用SUS304,1.0mm不锈钢制作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挂钩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4钩、采用SUS304,1.0mm不锈钢制作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挂钩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6钩、采用SUS304,1.0mm不锈钢制作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手套盒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300*200*100、采用SUS304,1.0mm不锈钢制作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围单挂钩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12钩*1800、采用SUS304,1.0mm不锈钢制作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挡鼠板</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900*500、采用SUS304,1.0mm不锈钢制作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磨刀石架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580*100、采用SUS304,1.0mm不锈钢制作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菜筐垫架车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670*470*350、采用SUS304,1.0mm不锈钢制作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晾衣架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1500*350*300、采用SUS304,1.0mm不锈钢制作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三层鞋架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1550*300*975、采用SUS304,1.0mm不锈钢制作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克称盘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200*250、采用SUS304,1.0mm不锈钢制作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保鲜膜盒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水杯架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1000*120*470、采用SUS304,1.0mm不锈钢制作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包墙角</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1050*40*40、采用SUS304,1.0mm不锈钢制作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白色纯棉材质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绿色纯棉材质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蓝色纯棉材质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咖啡色纯棉材质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灰色纯棉材质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粉红色纯棉材质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毛巾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黄色纯棉材质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条</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温湿度计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温度范围：-30-50℃误差小于±2℃                             湿度范围20%—100%RH误差小于±7%RH                       产品材质：ABS+金属铝+玻璃镜面+机芯                   产品尺寸：φ130*20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二更专用围单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防水材质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冰箱温度计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温度范围：-30-50℃误差小于±2℃                             湿度范围20%—100%RH误差小于±7%RH                       产品材质：ABS+金属铝+玻璃镜面+机芯                   产品尺寸：φ130*20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茶杯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采用SUS304,1.0mm不锈钢制作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消毒酒精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酒精纯度：75%±5%（V/V）                               适用范围：适用于物体表面和人体完整皮肤的消毒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瓶</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台账文件夹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本</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克秤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称量范围 0-10KG </w:t>
              <w:br/>
              <w:t xml:space="preserve">计量方式 电子                                            供电方式 交直流两用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五标卡卡套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盒</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整理箱</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环保PP材质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不锈钢小夹子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不锈材质</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写真雪弗板牌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25x8cm*105、户外写真+5mm雪弗板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写真雪弗板牌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25x8cm*105、户外写真+5mm雪弗板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写真雪弗板牌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40x20cm*13、户外写真+5mm雪弗板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食品安全信息公示栏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组织架构图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餐厅责任区域平面图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食品安全管理宣传制度栏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2000x1000、户外写真+5mm雪弗板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现场管理（六项模式）宣传栏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2000x1000、户外写真+5mm雪弗板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粗加工设施常规范管理宣传栏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2000x1000、户外写真+5mm雪弗板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蔬菜区日常规范管理宣传栏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肉禽区日常规范管理宣传栏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水产区日常规范管理宣传栏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烹调区日常规范管理宣传栏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食堂各容器使用对照图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原料验收规范管理宣传栏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仓库日常规范管理宣传栏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冰箱日常规范管理宣传栏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二级保鲜库日常规范管理宣传栏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870*1000*2、户外写真+5mm雪弗板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1.74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大米仓库管理制度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600*400、户外写真+5mm雪弗板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分餐间日常规范管理宣传栏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1150*1000*2、户外写真+5mm雪弗板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清洗间日常规范管理宣传栏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1200*1000*2、户外写真+5mm雪弗板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员工更衣室日常规范管理宣传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1200*1000、户外写真+5mm雪弗板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蒸饭区日常规范管理宣传栏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850*1000、户外写真+5mm雪弗板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0.85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员工茶杯站常规范管理宣传栏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800*600、户外写真+5mm雪弗板</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0.48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亚克力盒</w:t>
            </w:r>
            <w:r>
              <w:rPr>
                <w:rFonts w:ascii="SimSun" w:hAnsi="SimSun" w:eastAsia="SimSun" w:cs="SimSun"/>
                <w:b/>
                <w:color w:val="000000"/>
                <w:sz w:val="20"/>
              </w:rPr>
              <w:t xml:space="preserve">68×98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亚克力盒</w:t>
            </w:r>
            <w:r>
              <w:rPr>
                <w:rFonts w:ascii="SimSun" w:hAnsi="SimSun" w:eastAsia="SimSun" w:cs="SimSun"/>
                <w:b/>
                <w:color w:val="000000"/>
                <w:sz w:val="20"/>
              </w:rPr>
              <w:t xml:space="preserve">220×310，430×310，143×200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亚克力盒</w:t>
            </w:r>
            <w:r>
              <w:rPr>
                <w:rFonts w:ascii="SimSun" w:hAnsi="SimSun" w:eastAsia="SimSun" w:cs="SimSun"/>
                <w:b/>
                <w:color w:val="000000"/>
                <w:sz w:val="20"/>
              </w:rPr>
              <w:t xml:space="preserve">600×40</w:t>
            </w:r>
            <w:r>
              <w:rPr>
                <w:rFonts w:ascii="SimSun" w:hAnsi="SimSun" w:eastAsia="SimSun" w:cs="SimSun"/>
                <w:b/>
                <w:color w:val="ff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亚克力制作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红蓝线条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写真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五标卡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硬板纸制作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0514补标签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0522人员照片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106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0529标签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m²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0529平面图</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0529雪弗板牌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张</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0605对比照片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户外写真</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玻璃胶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海绵胶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74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五标卡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塑料制作</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个</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14、智慧体育</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AI体育</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轻量化AI体育边端设备，主要组成：运动分析AI相机*1，AI体测体锻盒*1，65寸电视机*1，适用于安装在体育馆、教室和走廊等室内或半开放的环境中，以供学生和教师使用；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动分析AI相机采用4K分辨率CMOS传感器，采用网络接口与AI体测体锻盒连接，AI体测体锻盒以HDMI接口与外配显示屏连接，实现运动时的用户交互，并支持WIFI和千兆以太网连接到互联网，与数据平台通信实现上传运动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运动分析AI相机采用一体化智能芯片，提供5TOPS或以上AI算力，AI体测体锻盒采用一体化智能芯片，支持提供1TOPS或以上AI算力，边端已内置智能算法，可实现在本地支持多种体育测试和体育锻炼运动的分析识别，无需依赖回传原始素材到中心GPU服务器做统一识别；</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人脸识别速度≤0.2s，人脸验证准确率≥99%，支持照片、视频防假；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支持本地15万人脸库、15万张卡、15万条事件记录，充足的存储空间可以满足大型学校的使用需求；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支持多种体育锻炼类运动项目，包括：1～5人高抬腿、1～5人深蹲、1～5人开合跳、1～5人蹲跳和1～5人左右横跳；</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包括：1～5人跳绳、1—3人仰卧起坐、1—2人引体向上和1人立定跳远；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跳绳运动：支持对绳子的实时检测判定，并在无绳跳时提供实时屏幕弹框提示；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仰卧起坐运动：支持手未抱头和膝盖弯曲不足等动作违规或未达标等的检测判定，并提供实时屏幕弹框和语音提示；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立定跳远运动：支持起跳时踩线行为和单脚起跳的检测判定，并提供实时屏幕弹框和语音提示；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引体向上运动：支持下颚过线，手臂伸直、双手离杠、反手握杠、双腿摆动幅度过大等行为的检测判定，并提供实时屏幕弹框和语音提示；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基于AI动作识别与感知，用户生进入区域后，即可开始人脸识别，识别成功后在运动区域内自动开始倒计时并开始运动，用户运动时实时展示运动数据变化，运动全程无需外配辅助设备或者额外人工干预；</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校级数据平台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主要参数：1、云端校级智慧体育数据平台，内含3年使用授权，需要配套AI体育设备并连接互联网使用，给学校管理员和教师提供PC和手机网页客户端；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2、智慧体锻：实现对日常锻炼项目运动数据统一呈现，可按照学校、年级、班级维度的运动总人数、总时间、人均时长、各项运动比例与时长、排名等分层分析；</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智慧体测：实现对体育测试项目运动数据的统一呈现，可按照学校、年级、班级维度的测试总人数、成绩合格率、平均分等分层分析，支持按照学生维度生成体测数据概览、成绩和测试记录、每次测试的体测报告，并提供针对运动过程的分析、点评和建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4、教学测试：配合AI体育教学设备，支持编排测试计划、课堂热身和AI练习内容和教学视频等，提升体育课堂教学效率；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5、班级和学生管理：支持快速创建和管理年级和班级，支持对学生基础信息和人脸信息通过批量导入或者手机二维码录入的方式实现学生信息的完善；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6、账号管理：支持创建管理员和教师账号，针对不同角色和账号进行班级数据的权限管控。</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套</w:t>
            </w:r>
            <w:r/>
          </w:p>
        </w:tc>
      </w:tr>
      <w:tr>
        <w:trPr>
          <w:trHeight w:val="40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15、门禁系统</w:t>
            </w:r>
            <w:r/>
          </w:p>
        </w:tc>
      </w:tr>
      <w:tr>
        <w:trPr>
          <w:trHeight w:val="41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人脸指纹门禁一体机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屏幕参数：≥7英寸触摸显示屏，屏幕比例9:16，屏幕分辨率600*1024；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摄像头参数：采用宽动态200万双目摄像头；</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认证方式：支持人脸、刷卡（IC卡、手机NFC卡、CPU卡序列号/内容、身份证卡序列号）、密码认证方式，可外接身份证、指纹、蓝牙、二维码功能模块；</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人脸验证：采用深度学习算法，支持单人或多人识别（最多5人同时认证）功能；支持照片、视频防假；1:N人脸验证速度≤0.2s，人脸验证准确率≥99%；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存储容量：本地支持10000人脸库、50000张卡，15万条事件记录；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硬件接口：LAN*1、RS485*1、Wiegand * 1（支持双向）、typeC类型USB接口*1、电锁*1、门磁*1、报警输入*2、报警输出*1、开门按钮*1、SD卡槽*1（最大支持512GB）、3.5mm音频输出接口*1；</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通信方式及网络协议：有线网络；</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使用环境：IP65，室内外环境（室外使用必须搭配遮阳罩）；</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安装方式：壁挂安装（标配挂板，适配86底盒）；</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工作电压： DC12V~24V/2A（电源需另配）；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产品尺寸：209.2*110.5*24mm；</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设备重量：净重0.56kg，毛重0.88kg</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功能介绍：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可视对讲：支持和云平台、客户端、室内机、管理机进行可视对讲；支持配置一键呼叫室内机或管理机；支持副门口机或围墙机模式；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视频预览：支持管理中心远程视频预览，支持接入NVR设备，实现视频录像，编码格式H.264；</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口罩检测：支持口罩检测模式，可配置提醒戴口罩模式、强制戴口罩模式，关联门禁控制；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安全帽检测：支持工地安全帽检测功能，可配置提醒安全帽模式、强制戴安全帽模式，关联门禁控制；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识别界面可配：识别主界面的“呼叫”“二维码”“密码”的按键图标可分别配置是否显示；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认证结果显示可配：支持认证成功界面的“照片”“姓名”“工号”信息可配置是否显示；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认证结果语音自定义：集成文字转语音（TTS）和语音合成技术，认证成功和认证失败的语音可以分别配置4个时间段进行自定义播报，同时认证成功的语音可叠加播报姓名；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工作模式：支持广告模式、简洁模式主题模式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外接安全模块：支持通过RS485接入门控安全模块，防止主机被恶意破坏的情况下，门锁不被打开；</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外接读卡器：支持通过RS485或韦根（W26/W34）接口外接1个读卡器，同时可实现单门反潜回功能；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读卡器模式：支持通过RS485或韦根（W26/W34）接入门禁控制器，作为读卡器模式使用；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门禁计划模板：支持255组计划模板管理，128个周计划，1024个假日计划；支持常开、常闭时段管理；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组合认证：刷卡+密码、刷卡+人脸、人脸+密码等组合认证方式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多重认证：支持多个人员认证（人脸、刷卡等）通过后才开门；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报警功能：设备支持防拆报警、门被外力开启报警、胁迫卡和胁迫密码报警等；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事件上传：在线状态下将设备认证结果信息及联动抓拍照片实时上传给平台，支持断网续传功能，设备离线状态下产生事件在与平台连接后会重新上传；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单机使用：设备可进行本地管理，支持本地注册人脸、查询、设置、管理设备参数等；</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WEB管理：支持Web端管理，可进行人员管理、参数配置、事件查询、系统维护等操作。</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单门磁力锁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最大静态直线拉力：280kg ± 15%  * 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断电开锁，满足消防要求；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具有电锁状态指示灯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支持锁状态侦测信号（门磁）输出：NO/NC/COM接点；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20</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UPS</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技术参数：10KVA/9KW，功率因数0.9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蓄电池</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周控式密封铅酸蕾电池-12V100AH</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16</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节</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等候区综合屏              放学系统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屏幕尺寸：≥65英寸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屏幕比例：16:9</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响应时间：10ms</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屏幕分辨率：超高清4K色域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2</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rHeight w:val="3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6</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人脸识别系统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2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人脸识别终端（含安装立杆）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设备外观：采用LCD触摸显示屏；补光灯亮度自动调节；200万像素宽动态摄像头；面部识别距离0.3m—3m，支持照片视频防假；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设备容量：支持20000张人脸白名单，1：N人脸比对时间≤0.5S/人；支持50000笔记录存储；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认证方式：支持人脸、刷卡+人脸、人证、人脸和人证智能切换模式，（刷卡+人脸、人证，需通过外接身份证阅读器实现）；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通讯方式：采用标准网口设计，上下行通讯为TCP/IP；</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设备接口：LAN*1，彼此物理隔离；RS485*1、RS232*1；USB*2；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工作电压： DC 12V/3A，</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使用环境：室内外，IP55；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w:t>
            </w:r>
            <w:r/>
          </w:p>
        </w:tc>
        <w:tc>
          <w:tcPr>
            <w:gridSpan w:val="3"/>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台</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2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60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72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5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14" w:type="dxa"/>
            <w:vAlign w:val="center"/>
            <w:textDirection w:val="lrTb"/>
            <w:noWrap w:val="false"/>
          </w:tcPr>
          <w:p>
            <w:pPr>
              <w:spacing w:before="0" w:after="0" w:line="57" w:lineRule="atLeast"/>
            </w:pP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第二部分  有关说明</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投标总报价包括满足本项目要求的所有产品及其配件、包装、运杂、安装调试及售后服务等从项目中标起到项目正式交付以及质保期内所发生的一切费用。</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通过中国海关报关验放进入中国境内且产自关境外的产品不在本项目的报价范围。</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本项目中如有被列入《网络关键设备和网络安全专用产品目录》的网络安全专用产品的，应当按照《信息安全技术 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投标人必须在满足招标文件要求的基础上进行报价，如有技术偏离请于投标偏离表中说明。</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完工期：合同签订生效后90个工作日内完工。</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项目整体质保期：自验收合格之日起5年。</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付款方式：合同签订支付合同总价的30%，项目终验合格收到发票十日后付清尾款。</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本项目合同履行地点：无锡市五爱小学石门路校区。</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到采购数据中心相关设备、运维服务的，在履约验收中采购人应当对供应商提供的相关产品或服务进行抽查检测，必要时可委托取得相关资质的第三方机构对其进行检测、认证。因检测、认证涉及生产过程或检测时间</w:t>
      </w:r>
      <w:r>
        <w:rPr>
          <w:rFonts w:ascii="SimSun" w:hAnsi="SimSun" w:eastAsia="SimSun" w:cs="SimSun"/>
          <w:color w:val="000000"/>
          <w:sz w:val="24"/>
        </w:rPr>
        <w:t xml:space="preserve">长等原因，不能在验收过程中开展检测、认证的，可要求供应商在验收阶段提供相关检测报告、认证报告。</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供应商为残疾人福利性单位的，其《残疾人福利性单位声明函》将随中标公告同时发布，接受社会监督。投标人提供的《残疾人福利性单位声明函》与事实不符的，依照《政府采购法》第七十七条第一款的规定追究法律责任。</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依据《政府采购促进中小企业发展管理办法》规定享受扶持政策获得政府采购合同的，小微企业不得将合同分包给大中型企业，中型企业不得将合同分包给大型企业。</w:t>
      </w:r>
      <w:r/>
    </w:p>
    <w:p>
      <w:pPr>
        <w:numPr>
          <w:ilvl w:val="1"/>
          <w:numId w:val="42"/>
        </w:numPr>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后，投标人须自行准备设备（包括但不限于笔记本电脑、无线网络）登录“苏采云”系统，按招标文件规定时间解密后，在评标过程中保持在线，等待评标委员会的询标和评标结果，中途不得离开。如未按要求应答，由此所产生的损失及风险由投标人自行承担。</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tabs>
          <w:tab w:val="left" w:pos="525" w:leader="none"/>
          <w:tab w:val="left" w:pos="630" w:leader="none"/>
          <w:tab w:val="left" w:pos="73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第三部分  政府采购政策（包括但不限于下列具体政策要求）</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本项目中如有涉及到商品包装、快递包装要求的，应当按《关于印发〈商品包装政府采购需求标准（试行）〉、〈快递包装政府采购需求标准（试行）〉的通知》（财办库〔</w:t>
      </w:r>
      <w:r>
        <w:rPr>
          <w:rFonts w:ascii="SimSun" w:hAnsi="SimSun" w:eastAsia="SimSun" w:cs="SimSun"/>
          <w:color w:val="000000"/>
          <w:sz w:val="24"/>
        </w:rPr>
        <w:t xml:space="preserve">2020</w:t>
      </w:r>
      <w:r>
        <w:rPr>
          <w:rFonts w:ascii="SimSun" w:hAnsi="SimSun" w:eastAsia="SimSun" w:cs="SimSun"/>
          <w:color w:val="000000"/>
          <w:sz w:val="24"/>
          <w:u w:val="none"/>
        </w:rPr>
        <w:t xml:space="preserve">〕</w:t>
      </w:r>
      <w:r>
        <w:rPr>
          <w:rFonts w:ascii="SimSun" w:hAnsi="SimSun" w:eastAsia="SimSun" w:cs="SimSun"/>
          <w:color w:val="000000"/>
          <w:sz w:val="24"/>
        </w:rPr>
        <w:t xml:space="preserve">123</w:t>
      </w:r>
      <w:r>
        <w:rPr>
          <w:rFonts w:ascii="SimSun" w:hAnsi="SimSun" w:eastAsia="SimSun" w:cs="SimSun"/>
          <w:color w:val="000000"/>
          <w:sz w:val="24"/>
          <w:u w:val="none"/>
        </w:rPr>
        <w:t xml:space="preserve">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本项目中如有涉及到采购数据中心相关设备、运维服务的，应当按《关于印发〈绿色数据中心政府采购需求标准（试行）〉的通知》（财办库〔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根据国家扶持中小企业的有关政策，在我中心组织的采购项目中标的供应商，如需要政府采购合同融资，请按锡财购【2022】7号文件执行。</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合同融资，是指参与政府采购的供应商，凭借中标、成交通知书或政府采购合同向金融机构申请融资，金融机构以供应商信用审查和政府采购信誉为基础， 按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w:t>
      </w:r>
      <w:r>
        <w:rPr>
          <w:rFonts w:ascii="SimSun" w:hAnsi="SimSun" w:eastAsia="SimSun" w:cs="SimSun"/>
          <w:color w:val="000000"/>
          <w:sz w:val="24"/>
        </w:rPr>
        <w:t xml:space="preserve">及其融资产品，金融机构进行融资信息审查决定是否为其提供融资，做好预授信。双方达成融资意向后签订融资协议，确定融资成交信息并约定融资回款账户。</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中标、成交供应商可根据自身情况，自行决定是否选择采用合同融资形式， 在无锡政府采购网——政采贷专栏提供的银行名录内自主选择合作银行。</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中标、成交供应商可以根据自身情况，自行决定是否采用电子履约保函形式，具体操作可登录江苏政府采购网的保险保函模块进行办理。</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中如有涉及到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w:t>
      </w:r>
      <w:r>
        <w:rPr>
          <w:rFonts w:ascii="SimSun" w:hAnsi="SimSun" w:eastAsia="SimSun" w:cs="SimSun"/>
          <w:color w:val="000000"/>
          <w:sz w:val="24"/>
        </w:rPr>
        <w:t xml:space="preserve">、认证资质的机构进行检测、认证。</w:t>
      </w:r>
      <w:r/>
    </w:p>
    <w:p>
      <w:pPr>
        <w:numPr>
          <w:ilvl w:val="1"/>
          <w:numId w:val="42"/>
        </w:numPr>
        <w:jc w:val="both"/>
        <w:spacing w:before="0" w:after="0" w:line="85" w:lineRule="atLeast"/>
        <w:tabs>
          <w:tab w:val="left" w:pos="525" w:leader="none"/>
          <w:tab w:val="left" w:pos="94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left="0" w:right="0" w:firstLine="48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采购人原则上应当自收到发票后10个工作日内将资金支付到合同约定的供应商账户。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rPr>
          <w:rFonts w:ascii="SimSun" w:hAnsi="SimSun" w:eastAsia="SimSun" w:cs="SimSun"/>
          <w:b/>
          <w:color w:val="000000"/>
          <w:sz w:val="24"/>
        </w:rPr>
        <w:t xml:space="preserve">附件1</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商品包装政府采购需求标准（ 试行）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本标准规定了商品使用的塑料、纸质、木质等包装材料的环保要求。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二、商品包装环保要求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1.商品包装层数不得超过3 层，空隙率不大于 40%；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2.商品包装尽可能使用单一材质的包装材料，如因功能需求必须使用不同材质，不同材质间应便于分离；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3.商品包装中铅、汞、镐、六价铬的总含量应不大于100mg/kg；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4.商品包装印刷使用的油墨中挥发性有机化合物（VOCs）含量应不大于 5g（以重量计）；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5.塑料材质商品包装上呈现的印刷颜色不得超过 6色；</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6.纸质商品包装应使用 75%以上的可再生纤维原料生产；</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7.木质商品包装的原料应来源于可持续性森林。</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三、检测方法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1.商品包装中重金属（铅、汞、铜、六价铬）总量的检测按照 GB/T 10004-2008《包装用塑料复合膜、袋干法复合挤出复合》规定的方法进行。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2.商品包装印刷使用的油墨中挥发性有机化合物（VOCs）的检测按照GB/T 23986-2009《色漆和清漆 挥发性有机化合物（VOC）含量的测定 气相色谱法》规定的方法进行。</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DengXian" w:hAnsi="DengXian" w:eastAsia="DengXian" w:cs="DengXi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快递包装政府采购需求标准（ 试行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一、适用范围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本标准中的快递包装主要指快递封装材料，包括封套、胶带、面单、包装袋/箱、填充物、集装袋、周转箱等。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二、快递包装环保要求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 （铅、汞、锡、六价铬） 总量应不大于100mg/kg；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2.快递包装印刷使用的油墨中不应添加邻苯二甲酸醋，其挥发性有机化合物（VOCs）含量应不大于5g（以重量计）；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3.快递包装中使用纸基材的包装材料，纸基材中的有机氯的含量应不大于 150 mg/kg；</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5.快递中使用的塑料包装袋不得使用聚氯乙烯作为原料，且原料应为单一材质制成，生物分解率大于60%；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6.快递中使用的充气类填充物不得使用聚氯乙烯作为原料，且原料为单一材质制成，生物分解率大于 60%；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7.快递中使用的集装袋应为单一材质制成，其重复使用次数应不小于80 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8.快递中应使用幅宽不大于45mm 的生物降解胶带；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9.快递包装中不得使用溶剂型胶粘剂；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10.快递应使用电子面单；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11.直接使用商品包装作为快递包装的商品，其商品包装满足《商品包装政府采购需求标准（试行）》即可；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12.快递包装产品质量和封装方式应符合相关国家或行业标准技术指标要求。</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三、检测方法</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1.快递包装中重金属（铅、汞、镉、六价铬）总量的检测按照 GB/T 10004-2008《包装用塑料复合膜、袋干法复合、挤出复合》规定的方法进行。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2.快递包装印刷使用的油墨中挥发性有机化合物（VOCs）的检测按照 GB/T 23986-2009《色漆和清漆 挥发性有机化合物（VOC）含量的测定 气相色谱法》规定的方法进行。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3.快递包装所使用的塑料包装的生物降解率的检测按照 GB/T 20197-2006《降解塑料的定义、分类、标识和降解性能要求》规定的方法进行。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4.快递包装使用纸基材的包装材料中有机氯的检测按照 GB/T 22904-2008《纸浆、纸和纸板总氯和有机氯的检定》规定的方法进行。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5.快递包装中使用的生物降解胶带的生物降解率的检测按照 GB/T19277.1《受控堆肥条件下材料最终需氧生物分解能力的测定采用测定释放的二氧化碳的方法 第 1 部分：通用方法》规定的方法进行。</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85" w:lineRule="atLeast"/>
        <w:tabs>
          <w:tab w:val="left" w:pos="525" w:leader="none"/>
          <w:tab w:val="left" w:pos="630" w:leader="none"/>
          <w:tab w:val="left" w:pos="735" w:leader="none"/>
          <w:tab w:val="left" w:pos="945" w:leader="none"/>
          <w:tab w:val="left" w:pos="108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第五章  </w:t>
      </w:r>
      <w:r>
        <w:rPr>
          <w:rFonts w:ascii="SimHei" w:hAnsi="SimHei" w:eastAsia="SimHei" w:cs="SimHei"/>
          <w:b/>
          <w:color w:val="000000"/>
          <w:sz w:val="36"/>
        </w:rPr>
        <w:t xml:space="preserve">评标方法与评标标准</w:t>
      </w:r>
      <w:r/>
    </w:p>
    <w:p>
      <w:pPr>
        <w:ind w:left="0" w:right="0" w:firstLine="60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w:t>
      </w:r>
      <w:r>
        <w:rPr>
          <w:rFonts w:ascii="Arial" w:hAnsi="Arial" w:eastAsia="Arial" w:cs="Arial"/>
          <w:b/>
          <w:color w:val="000000"/>
          <w:sz w:val="30"/>
        </w:rPr>
        <w:t xml:space="preserve">  </w:t>
      </w:r>
      <w:r>
        <w:rPr>
          <w:rFonts w:ascii="SimSun" w:hAnsi="SimSun" w:eastAsia="SimSun" w:cs="SimSun"/>
          <w:b/>
          <w:color w:val="000000"/>
          <w:sz w:val="30"/>
        </w:rPr>
        <w:t xml:space="preserve">评标方法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投标人通过初审的，方可进入比较与评价程序。</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比较与评价采用综合评分法。</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none"/>
        </w:rPr>
        <w:t xml:space="preserve"> </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w:t>
      </w:r>
      <w:r>
        <w:rPr>
          <w:rFonts w:ascii="Arial" w:hAnsi="Arial" w:eastAsia="Arial" w:cs="Arial"/>
          <w:b/>
          <w:color w:val="000000"/>
          <w:sz w:val="30"/>
        </w:rPr>
        <w:t xml:space="preserve">  </w:t>
      </w:r>
      <w:r>
        <w:rPr>
          <w:rFonts w:ascii="SimSun" w:hAnsi="SimSun" w:eastAsia="SimSun" w:cs="SimSun"/>
          <w:b/>
          <w:color w:val="000000"/>
          <w:sz w:val="30"/>
        </w:rPr>
        <w:t xml:space="preserve">评标标准</w:t>
      </w:r>
      <w:r/>
    </w:p>
    <w:p>
      <w:pPr>
        <w:ind w:left="0" w:right="0" w:firstLine="56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一、落实政府采购政策的价格调整</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小微型企业价格扣除：专门面向中小/小微企业的项目不做价格扣除。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联合体各方均为小型、微型企业的，联合体视同为小型、微型企业按规定享受价格扣除。</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left="0" w:right="0" w:firstLine="3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2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二、评分标准</w:t>
      </w:r>
      <w:r/>
    </w:p>
    <w:p>
      <w:pPr>
        <w:ind w:left="0" w:right="0" w:firstLine="703"/>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1、商务标                                      63</w:t>
      </w:r>
      <w:r>
        <w:rPr>
          <w:rFonts w:ascii="SimSun" w:hAnsi="SimSun" w:eastAsia="SimSun" w:cs="SimSun"/>
          <w:color w:val="000000"/>
          <w:sz w:val="24"/>
        </w:rPr>
        <w:t xml:space="preserve">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2、技术标                                      37</w:t>
      </w:r>
      <w:r>
        <w:rPr>
          <w:rFonts w:ascii="SimSun" w:hAnsi="SimSun" w:eastAsia="SimSun" w:cs="SimSun"/>
          <w:color w:val="000000"/>
          <w:sz w:val="24"/>
        </w:rPr>
        <w:t xml:space="preserve">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Ⅰ商务标（63分）</w:t>
      </w:r>
      <w:r/>
    </w:p>
    <w:p>
      <w:pPr>
        <w:numPr>
          <w:ilvl w:val="4"/>
          <w:numId w:val="42"/>
        </w:numPr>
        <w:jc w:val="both"/>
        <w:spacing w:before="0" w:after="0" w:line="499" w:lineRule="atLeast"/>
        <w:tabs>
          <w:tab w:val="left" w:pos="525" w:leader="none"/>
          <w:tab w:val="left" w:pos="945" w:leader="none"/>
          <w:tab w:val="left" w:pos="1155" w:leader="none"/>
          <w:tab w:val="left" w:pos="2250" w:leader="none"/>
          <w:tab w:val="left" w:pos="382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价格（30分）：</w:t>
      </w:r>
      <w:r/>
    </w:p>
    <w:p>
      <w:pPr>
        <w:ind w:left="0" w:right="0" w:firstLine="480"/>
        <w:jc w:val="both"/>
        <w:spacing w:before="0" w:after="0" w:line="499"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采用低价优先法计算，即满足招标文件要求且投标价格最低的投标报价为评标基准价，其价格分为满分。其他投标人的价格分统一按照下列公式计算：</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投标报价得分=(评标基准价／投标报价)×价格权值×100。</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关于价格扣除详见本章第二部分“一、落实政府采购政策的价格调整”。</w:t>
      </w:r>
      <w:r/>
    </w:p>
    <w:p>
      <w:pPr>
        <w:ind w:left="0" w:right="0" w:firstLine="480"/>
        <w:jc w:val="both"/>
        <w:spacing w:before="0" w:after="0" w:line="499"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2.证书（6分）：</w:t>
      </w:r>
      <w:r>
        <w:rPr>
          <w:rFonts w:ascii="SimSun" w:hAnsi="SimSun" w:eastAsia="SimSun" w:cs="SimSun"/>
          <w:color w:val="000000"/>
          <w:sz w:val="24"/>
        </w:rPr>
        <w:t xml:space="preserve">投标人具有有效的ISO9001质量管理体系认证证书、ISO38505 数据治理安全管理体系认证证书，每有上述一种认证证书的得1分，最高2分；投标人具有信息技术服务运行维护体系符合性证书，一级的得2分，二级的得1分，其他等级不得分；投标人具有数据安全能力成熟度模型等级三级及以上证书的得1分，投标人具有商品售后服务评价认证证书的得1分。须提供上述相应证书原件的扫描件，不提供本项不得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3.人员配置情况（9分）：</w:t>
      </w:r>
      <w:r>
        <w:rPr>
          <w:rFonts w:ascii="SimSun" w:hAnsi="SimSun" w:eastAsia="SimSun" w:cs="SimSun"/>
          <w:color w:val="000000"/>
          <w:sz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SimSun" w:hAnsi="SimSun" w:eastAsia="SimSun" w:cs="SimSun"/>
          <w:color w:val="000000"/>
          <w:sz w:val="21"/>
        </w:rPr>
        <w:t xml:space="preserve">（注：一人多证不得重复计分）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项目经理（4分）：投标人为本项目配备一名项目负责人，该项目负责人具有一级建造师证书、人力资源与社会保障厅颁发的高级工程师证书、系统集成项目管理工程师证书、信息系统项目管理师证书，每提供一类证书得1分，本项最高得4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3.2技术负责人（2分）：投标人为本项目配备一名技术负责人，技术负责人具有ITSS-IT服务工程师、ITSS-信息技术应用创新服务工程师，每提供一类证书得1分，本项最高得2分。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3.3项目成员（3分）：项目组成员具备高级智能化系统集成项目经理证书得1分。项目组成员具备高级弱电系统集成项目经理证书得1分。项目组成员具备高级音响调音师认证证书得1分。</w:t>
      </w:r>
      <w:r/>
    </w:p>
    <w:p>
      <w:pPr>
        <w:ind w:left="0" w:right="0" w:firstLine="482"/>
        <w:jc w:val="both"/>
        <w:spacing w:before="0" w:after="0" w:line="85" w:lineRule="atLeast"/>
        <w:tabs>
          <w:tab w:val="left" w:pos="945" w:leader="none"/>
          <w:tab w:val="left" w:pos="1155" w:leader="none"/>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4.产品技术部分（16分）：相关证书及证明材料上传至投标系统中</w:t>
      </w:r>
      <w:r>
        <w:rPr>
          <w:rFonts w:ascii="SimSun" w:hAnsi="SimSun" w:eastAsia="SimSun" w:cs="SimSun"/>
          <w:color w:val="000000"/>
          <w:sz w:val="24"/>
        </w:rPr>
        <w:tab/>
      </w:r>
      <w:r/>
    </w:p>
    <w:p>
      <w:pPr>
        <w:ind w:left="0" w:right="0" w:firstLine="480"/>
        <w:jc w:val="both"/>
        <w:spacing w:before="0" w:after="0" w:line="85" w:lineRule="atLeast"/>
        <w:tabs>
          <w:tab w:val="left" w:pos="945" w:leader="none"/>
          <w:tab w:val="left" w:pos="1155" w:leader="none"/>
          <w:tab w:val="left" w:pos="63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w:t>
      </w:r>
      <w:r>
        <w:rPr>
          <w:rFonts w:ascii="SimSun" w:hAnsi="SimSun" w:eastAsia="SimSun" w:cs="SimSun"/>
          <w:b/>
          <w:color w:val="000000"/>
          <w:sz w:val="24"/>
        </w:rPr>
        <w:t xml:space="preserve">86寸智能一体式黑板（4分）：</w:t>
      </w:r>
      <w:r>
        <w:rPr>
          <w:rFonts w:ascii="SimSun" w:hAnsi="SimSun" w:eastAsia="SimSun" w:cs="SimSun"/>
          <w:color w:val="000000"/>
          <w:sz w:val="24"/>
        </w:rPr>
        <w:t xml:space="preserve">整机支持蓝牙Bluetooth 5.4标准，固件版本号HCI13.0/LMP13.0；PC端支持主动发现蓝牙外设从而连接（无需整机进入发现模式），支持连接外部蓝牙音箱播放音频；</w:t>
      </w:r>
      <w:r>
        <w:rPr>
          <w:rFonts w:ascii="SimSun" w:hAnsi="SimSun" w:eastAsia="SimSun" w:cs="SimSun"/>
          <w:b/>
          <w:color w:val="000000"/>
          <w:sz w:val="24"/>
        </w:rPr>
        <w:t xml:space="preserve">（提供CNAS或CMA认证的检测机构出具的检测报告复印件并加盖原厂公章得2分，未提供不得分）</w:t>
      </w:r>
      <w:r>
        <w:rPr>
          <w:rFonts w:ascii="SimSun" w:hAnsi="SimSun" w:eastAsia="SimSun" w:cs="SimSun"/>
          <w:color w:val="000000"/>
          <w:sz w:val="24"/>
        </w:rPr>
        <w:t xml:space="preserve">。整机上边框内置非独立摄像头，采用一体化集成设计，摄像头数量≥4个，视场角≥141度且水平视场角≥139度，可拍摄≥1600万像素的照片，支持输出8192×2048分辨率的照片和视频，支持画面畸变矫正功能；整机支持将副屏书写轨迹进行部分选中，选中的内容可以插入到授课课件中，老师结合课件和板书笔迹一起进行讲解。</w:t>
      </w:r>
      <w:r>
        <w:rPr>
          <w:rFonts w:ascii="SimSun" w:hAnsi="SimSun" w:eastAsia="SimSun" w:cs="SimSun"/>
          <w:b/>
          <w:color w:val="000000"/>
          <w:sz w:val="24"/>
        </w:rPr>
        <w:t xml:space="preserve">（提供CNAS或CMA认证的检测机构出具的检测报告复印件并加盖原厂公章得2分，未提供不得分）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rPr>
          <w:rFonts w:ascii="SimSun" w:hAnsi="SimSun" w:eastAsia="SimSun" w:cs="SimSun"/>
          <w:b/>
          <w:color w:val="000000"/>
          <w:sz w:val="24"/>
        </w:rPr>
        <w:t xml:space="preserve"> AI智慧黑板（4分）：</w:t>
      </w:r>
      <w:r>
        <w:rPr>
          <w:rFonts w:ascii="SimSun" w:hAnsi="SimSun" w:eastAsia="SimSun" w:cs="SimSun"/>
          <w:color w:val="000000"/>
          <w:sz w:val="24"/>
        </w:rPr>
        <w:t xml:space="preserve">整机内置非独立外扩展的8阵列麦克风，拾音角度≥180°，可用于对教室环境音频进行采集，拾音距离≥12m；支持发出频率为18kHz-22kHz超声波信号，智能手机通过麦克风接收后，智能手机与整机无需在同一局域网内，可实现配对，一键投屏功能，用户无需再手动输入投屏码或扫码获取投屏码。</w:t>
      </w:r>
      <w:r>
        <w:rPr>
          <w:rFonts w:ascii="SimSun" w:hAnsi="SimSun" w:eastAsia="SimSun" w:cs="SimSun"/>
          <w:b/>
          <w:color w:val="000000"/>
          <w:sz w:val="24"/>
        </w:rPr>
        <w:t xml:space="preserve">（提供CNAS或CMA认证的检测机构出具的检测报告复印件并加盖原厂公章得2分，未提供不得分）。</w:t>
      </w:r>
      <w:r>
        <w:rPr>
          <w:rFonts w:ascii="SimSun" w:hAnsi="SimSun" w:eastAsia="SimSun" w:cs="SimSun"/>
          <w:color w:val="000000"/>
          <w:sz w:val="24"/>
        </w:rPr>
        <w:t xml:space="preserve">整机内置传屏接收模块，整机不需要连接任何附加设备，可实现外部电脑、手机设备的音视频信号实时传输到整机上；当使用外部电脑传屏时，支持触摸回传，在屏幕上部显示传屏工具栏，可以进行触摸回传控制、勿扰模式、暂停投屏功能；开启勿扰模式时，不允许其他人再进行传屏；投屏时可以选择过滤特定应用窗口，如邮件应用等窗口。</w:t>
      </w:r>
      <w:r>
        <w:rPr>
          <w:rFonts w:ascii="SimSun" w:hAnsi="SimSun" w:eastAsia="SimSun" w:cs="SimSun"/>
          <w:b/>
          <w:color w:val="000000"/>
          <w:sz w:val="24"/>
        </w:rPr>
        <w:t xml:space="preserve">（提供CNAS或CMA认证的检测机构出具的检测报告复印件并加盖原厂公章得2分，未提供不得分）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 </w:t>
      </w:r>
      <w:r>
        <w:rPr>
          <w:rFonts w:ascii="SimSun" w:hAnsi="SimSun" w:eastAsia="SimSun" w:cs="SimSun"/>
          <w:b/>
          <w:color w:val="000000"/>
          <w:sz w:val="24"/>
        </w:rPr>
        <w:t xml:space="preserve"> 4K教师观察摄像机（2分）</w:t>
      </w:r>
      <w:r>
        <w:rPr>
          <w:rFonts w:ascii="SimSun" w:hAnsi="SimSun" w:eastAsia="SimSun" w:cs="SimSun"/>
          <w:color w:val="000000"/>
          <w:sz w:val="24"/>
        </w:rPr>
        <w:t xml:space="preserve">：</w:t>
      </w:r>
      <w:r>
        <w:rPr>
          <w:rFonts w:ascii="SimSun" w:hAnsi="SimSun" w:eastAsia="SimSun" w:cs="SimSun"/>
          <w:color w:val="000000"/>
          <w:sz w:val="21"/>
        </w:rPr>
        <w:t xml:space="preserve">内置8阵列麦克风，拾音角度≥180°，麦克风拾音距离≥12m，音频处理采用4核国产音频处理芯片，配置64MB系统内存，256MB存储空间；提供3840×2160图像编码输出，同时向下兼容 1920×1080、1280×720 分辨率。</w:t>
      </w:r>
      <w:r>
        <w:rPr>
          <w:rFonts w:ascii="SimSun" w:hAnsi="SimSun" w:eastAsia="SimSun" w:cs="SimSun"/>
          <w:b/>
          <w:color w:val="000000"/>
          <w:sz w:val="21"/>
        </w:rPr>
        <w:t xml:space="preserve">（提供CNAS或CMA认证的检测机构出具的检测报告复印件并加盖原厂公章得2分，未提供不得分）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 </w:t>
      </w:r>
      <w:r>
        <w:rPr>
          <w:rFonts w:ascii="SimSun" w:hAnsi="SimSun" w:eastAsia="SimSun" w:cs="SimSun"/>
          <w:b/>
          <w:color w:val="000000"/>
          <w:sz w:val="24"/>
        </w:rPr>
        <w:t xml:space="preserve">课堂智慧反馈系统（2分）：</w:t>
      </w:r>
      <w:r>
        <w:rPr>
          <w:rFonts w:ascii="SimSun" w:hAnsi="SimSun" w:eastAsia="SimSun" w:cs="SimSun"/>
          <w:color w:val="000000"/>
          <w:sz w:val="21"/>
        </w:rPr>
        <w:t xml:space="preserve">系统支持通过整机设备的侧边栏控制启动、停止，启动后实时显示平均语速、讲授时长、讲授字数；系统支持在整机设备的侧边栏中查看报告二维码，当录制分析结束后，会出现报告二维码，使用教学白板软件扫码可查看详细报告；系统根据教学内容自动生成师生问答、课堂互动、新课标落实三个维度的课堂反馈建议，可查看全部提问、符合知识性目标的提问、不合适的提问、提问优化建议、课堂互动建议、基于新课标的亮点和改进建议；系统支持教师画面、学生画面双窗口显示，小窗口可自由拖动位置和自由切换；视频画面与互动课件一一对应，点击互动课件缩略图，可跳</w:t>
      </w:r>
      <w:r>
        <w:rPr>
          <w:rFonts w:ascii="SimSun" w:hAnsi="SimSun" w:eastAsia="SimSun" w:cs="SimSun"/>
          <w:color w:val="000000"/>
          <w:sz w:val="21"/>
        </w:rPr>
        <w:t xml:space="preserve">转至对应视频片段</w:t>
      </w:r>
      <w:r>
        <w:rPr>
          <w:rFonts w:ascii="SimSun" w:hAnsi="SimSun" w:eastAsia="SimSun" w:cs="SimSun"/>
          <w:b/>
          <w:color w:val="000000"/>
          <w:sz w:val="21"/>
        </w:rPr>
        <w:t xml:space="preserve">（提供CNAS或CMA认证的检测机构出具的检测报告复印件并加盖原厂公章得2分，未提供不得分）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w:t>
      </w:r>
      <w:r>
        <w:rPr>
          <w:rFonts w:ascii="SimSun" w:hAnsi="SimSun" w:eastAsia="SimSun" w:cs="SimSun"/>
          <w:b/>
          <w:color w:val="000000"/>
          <w:sz w:val="24"/>
        </w:rPr>
        <w:t xml:space="preserve">设备运维管理平台（2分）：</w:t>
      </w:r>
      <w:r>
        <w:rPr>
          <w:rFonts w:ascii="SimSun" w:hAnsi="SimSun" w:eastAsia="SimSun" w:cs="SimSun"/>
          <w:color w:val="000000"/>
          <w:sz w:val="21"/>
        </w:rPr>
        <w:t xml:space="preserve">冰点穿透/还原：支持远程向已冰冻的设备发送指令、安装软件、传输大文件，设备接收到后会立即执行，并在设备正常关机时触发穿透动作，穿透完成后，设备即可永久性使用已安装软件、已传输文件、执行已接收指令，且穿透过程中无需人为解冻；支持远程批量设置设备的冰冻状态；支持实时监测设备冰点存在的风险，并提供对应解决方案；支持软件静默安装，使用者可自主上传官方正版软件，经过人工封装软件后，批量将软件发送至设备安装，整个安装过程完全无感，不影响正常教学；支持一键开启全校触摸一体机设备的不良弹窗AI拦截过滤功能，实时监测弹出窗口</w:t>
      </w:r>
      <w:r>
        <w:rPr>
          <w:rFonts w:ascii="SimSun" w:hAnsi="SimSun" w:eastAsia="SimSun" w:cs="SimSun"/>
          <w:color w:val="000000"/>
          <w:sz w:val="21"/>
        </w:rPr>
        <w:t xml:space="preserve">，当有窗口弹出被判断为不良弹窗时，自动拦截该窗口，以保证课堂教学稳定进行；</w:t>
      </w:r>
      <w:r>
        <w:rPr>
          <w:rFonts w:ascii="SimSun" w:hAnsi="SimSun" w:eastAsia="SimSun" w:cs="SimSun"/>
          <w:b/>
          <w:color w:val="000000"/>
          <w:sz w:val="21"/>
        </w:rPr>
        <w:t xml:space="preserve">（提供CNAS或CMA认证的检测机构出具的检测报告复印件并加盖原厂公章得2分，未提供不得分）</w:t>
      </w:r>
      <w:r/>
    </w:p>
    <w:p>
      <w:pPr>
        <w:ind w:left="0" w:right="0" w:firstLine="48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w:t>
      </w:r>
      <w:r>
        <w:rPr>
          <w:rFonts w:ascii="SimSun" w:hAnsi="SimSun" w:eastAsia="SimSun" w:cs="SimSun"/>
          <w:b/>
          <w:color w:val="000000"/>
          <w:sz w:val="24"/>
        </w:rPr>
        <w:t xml:space="preserve">桌面级VR教学一体机（2分）</w:t>
      </w:r>
      <w:r>
        <w:rPr>
          <w:rFonts w:ascii="SimSun" w:hAnsi="SimSun" w:eastAsia="SimSun" w:cs="SimSun"/>
          <w:color w:val="000000"/>
          <w:sz w:val="24"/>
        </w:rPr>
        <w:t xml:space="preserve">：</w:t>
      </w:r>
      <w:r>
        <w:rPr>
          <w:rFonts w:ascii="SimSun" w:hAnsi="SimSun" w:eastAsia="SimSun" w:cs="SimSun"/>
          <w:color w:val="000000"/>
          <w:sz w:val="21"/>
        </w:rPr>
        <w:t xml:space="preserve">内置Control panel工具软件，通过可视化界面操作，使用者可快速、便捷地对桌面一体机进行硬件及环境检测、功能验证、故障自动修复、故障排查等工作。含五个模块，分别为：本机接线图（可查看机器侧面和背面硬件接口示意图）、系统信息查看（可实时检测系统信息、设备信息、服务状态、屏幕信息、电源等信息）、立体效果测试（可佩戴 3D 眼镜查看模型显示的立体效果是否正常）、空间定位笔查看（可实时查看定位笔的连接状态、姿态数据是否正常，按键功能是否正常，可调节测试振动强度等）、追踪系统测试（可实时确认追踪系统功能调用是</w:t>
      </w:r>
      <w:r>
        <w:rPr>
          <w:rFonts w:ascii="SimSun" w:hAnsi="SimSun" w:eastAsia="SimSun" w:cs="SimSun"/>
          <w:color w:val="000000"/>
          <w:sz w:val="21"/>
        </w:rPr>
        <w:t xml:space="preserve">否正常；将追踪眼镜置入追踪范围内可检测追踪状态及眼镜空间坐标值的变化是否正常；连接上定位笔，将定位笔置入追踪范围内可检测追踪状态及定位笔空间坐标值、旋转值的变化是否正常）。</w:t>
      </w:r>
      <w:r>
        <w:rPr>
          <w:rFonts w:ascii="SimSun" w:hAnsi="SimSun" w:eastAsia="SimSun" w:cs="SimSun"/>
          <w:b/>
          <w:color w:val="000000"/>
          <w:sz w:val="21"/>
        </w:rPr>
        <w:t xml:space="preserve">（提供CNAS或CMA认证的检测机构出具的检测报告复印件并加盖原厂公章得2分，未提供不得分）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5.加分因素（2分）：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注：同一产品同时具备节能产品认证证书、环境标志产品认证证书的，不重复计分。投</w:t>
      </w:r>
      <w:r>
        <w:rPr>
          <w:rFonts w:ascii="SimSun" w:hAnsi="SimSun" w:eastAsia="SimSun" w:cs="SimSun"/>
          <w:color w:val="000000"/>
          <w:sz w:val="24"/>
        </w:rPr>
        <w:t xml:space="preserve">标时提供认证证书复印件。</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tabs>
          <w:tab w:val="left" w:pos="945" w:leader="none"/>
          <w:tab w:val="left" w:pos="115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Ⅱ 技术标（37分）：不得有体现投标人身份的内容，否则将被视为无效投标文件，无方案不得分。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6.项目方案（37分）：在响应采购文件需求的基础上针对下列各部分进行评价，要求体现科学合理性、条理性、可行性、完善性、针对性，无方案不得分。投标人编制服务方案时请按以下顺序编制，以便评审。</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系统整体设计方案（10分）：主要考察投标方案是否有详尽的系统实施方案和详细切实可行的实施计划。需求明确，条理清晰，可读性强，对流程、系统功能、关键技术描述清晰得10分，需求较明确，条理一般，可读性良好，得6分；方案需求不明确，条理不清晰，可读性一般，无针对性，得2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实施方案（9分）：考察投标人保障采购项目能够达到招标文件设定的使用和运行状态而提供的安装、调试、技术支持、硬件升级以及保障措施等。实施方案详尽，针对性强，阐述清楚的得9分；实施方案一般，阐述模糊得6分；实施方案阐述差，无针对性得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6.3培训方案（9分）：投标人是否有针对管理层、操作员、系统维护员的完整的、系统的免费培训方案。服务方案详尽，针对性强，阐述清楚的得9分；服务方案一般，阐述模糊得6分；服务方案一般，针对性差得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运维服务方案（9分）：考察投标人针对本项目提供的运维服务方案是否完善，包括但不限于技术运维人员配置，售后服务流程，服务响应速度，售后服务承诺。运维服务方案完善、合理、详尽得9分；运维服务方案一般得6分，运维服务方案较差的3分。</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 </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第六章 投标文件内容与格式</w:t>
      </w:r>
      <w:r/>
    </w:p>
    <w:p>
      <w:pPr>
        <w:ind w:left="0" w:right="0" w:firstLine="602"/>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第一部分</w:t>
      </w:r>
      <w:r>
        <w:rPr>
          <w:rFonts w:ascii="Arial" w:hAnsi="Arial" w:eastAsia="Arial" w:cs="Arial"/>
          <w:b/>
          <w:color w:val="000000"/>
          <w:sz w:val="30"/>
        </w:rPr>
        <w:t xml:space="preserve">  </w:t>
      </w:r>
      <w:r>
        <w:rPr>
          <w:rFonts w:ascii="SimSun" w:hAnsi="SimSun" w:eastAsia="SimSun" w:cs="SimSun"/>
          <w:b/>
          <w:color w:val="000000"/>
          <w:sz w:val="30"/>
        </w:rPr>
        <w:t xml:space="preserve">投标文件内容</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一、资格证明文件</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6104"/>
        <w:gridCol w:w="2449"/>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48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评审项及评审要求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1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w:t>
            </w:r>
            <w:r/>
          </w:p>
        </w:tc>
      </w:tr>
      <w:tr>
        <w:trPr>
          <w:trHeight w:val="8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《授权委托书》（给定格式；投标人如是自然人情形的，可不提供）。</w:t>
            </w:r>
            <w:r/>
          </w:p>
        </w:tc>
        <w:tc>
          <w:tcPr>
            <w:vMerge w:val="continue"/>
            <w:textDirection w:val="lrTb"/>
            <w:noWrap w:val="false"/>
          </w:tcPr>
          <w:p>
            <w:r/>
            <w:r/>
          </w:p>
        </w:tc>
      </w:tr>
      <w:tr>
        <w:trPr>
          <w:trHeight w:val="1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Fonts w:ascii="SimSun" w:hAnsi="SimSun" w:eastAsia="SimSun" w:cs="SimSun"/>
                <w:color w:val="000000"/>
                <w:sz w:val="21"/>
              </w:rPr>
              <w:t xml:space="preserve">。</w:t>
            </w:r>
            <w:r/>
          </w:p>
        </w:tc>
        <w:tc>
          <w:tcPr>
            <w:vMerge w:val="continue"/>
            <w:textDirection w:val="lrTb"/>
            <w:noWrap w:val="false"/>
          </w:tcPr>
          <w:p>
            <w:r/>
            <w:r/>
          </w:p>
        </w:tc>
      </w:tr>
      <w:tr>
        <w:trPr>
          <w:trHeight w:val="9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投标人近一年中任意一个月份（不含投标当月）的依法缴纳税收的相关材料（提供相关主管部门证明或银行代扣证明）。</w:t>
            </w:r>
            <w:r/>
          </w:p>
        </w:tc>
        <w:tc>
          <w:tcPr>
            <w:vMerge w:val="continue"/>
            <w:textDirection w:val="lrTb"/>
            <w:noWrap w:val="false"/>
          </w:tcPr>
          <w:p>
            <w:r/>
            <w:r/>
          </w:p>
        </w:tc>
      </w:tr>
      <w:tr>
        <w:trPr>
          <w:trHeight w:val="10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投标人近一年中任意一个月份（不含投标当月）的依法缴纳社会保障资金的相关材料（提供相关主管部门证明或银行代扣证明）。</w:t>
            </w:r>
            <w:r/>
          </w:p>
        </w:tc>
        <w:tc>
          <w:tcPr>
            <w:vMerge w:val="continue"/>
            <w:textDirection w:val="lrTb"/>
            <w:noWrap w:val="false"/>
          </w:tcPr>
          <w:p>
            <w:r/>
            <w:r/>
          </w:p>
        </w:tc>
      </w:tr>
      <w:tr>
        <w:trPr>
          <w:trHeight w:val="7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《资格声明函》（给定格式）。</w:t>
            </w:r>
            <w:r/>
          </w:p>
        </w:tc>
        <w:tc>
          <w:tcPr>
            <w:vMerge w:val="continue"/>
            <w:textDirection w:val="lrTb"/>
            <w:noWrap w:val="false"/>
          </w:tcPr>
          <w:p>
            <w:r/>
            <w:r/>
          </w:p>
        </w:tc>
      </w:tr>
      <w:tr>
        <w:trPr>
          <w:trHeight w:val="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满足中小企业政策的证明文件（如有中小企业政策要求的）。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落实政府采购政策需满足的资格要求，详见第一章《投标邀请》</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0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本项目要求的特定资格证明文件（如有特定资格要求的）。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特定资格要求，详见第一章《投标邀请》</w:t>
            </w:r>
            <w:r/>
          </w:p>
        </w:tc>
      </w:tr>
      <w:tr>
        <w:trPr>
          <w:trHeight w:val="6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5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《联合体协议》（如接受联合体投标且投标人为联合体时须提供，格式自拟）。</w:t>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1～6项必须全部按要求提供（有给定格式的，必须按给定格式的要求正确填报并提供，相应格式见本章第二部分），否则投标文件无效。如遇年检、换证，则必须提供法定年检、换证单位出具的有效证明扫描件。其中第3、4、5项如遇有国家相关政策规定可不具备的（如依法享受缓缴、免缴税收、社会保障资金等），必须提供相关政策规定或相关单位出具的有效证明扫描件；如因新成立确无法提供的，可以不提供。</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上述资格证明文件第7项，如本项目有落实政府采购政策需满足的资格要求的（详见第一章《投标邀请》），必须提供相应证明文件，否则投标文件无效。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门面向中小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上述资格证明文件第8项，如本项目有特定资格要求的（详见第一章《投标邀请》），须提供相应的特定资格证明文件。</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资格证明文件第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如项目接受联合体投标且投标人为联合体时，上述资格证明文件中：第2、6项可由联合体主体单位（即联合体牵头人）代表联合体提供；第1、3、4、5、7（如有）、8（如有）项，联合体各方均须提供。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二、符合性证明文件及其他证明文件</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3"/>
        <w:gridCol w:w="6095"/>
        <w:gridCol w:w="1979"/>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评审项及评审要求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投标函（给定格式）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符合性证明文件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承诺书（给定格式）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开标一览表（给定格式）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分项报价表（给定格式）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投标偏离表（给定格式）</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《采购需求》中如有要求须提供的证明文件</w:t>
            </w:r>
            <w:r/>
          </w:p>
        </w:tc>
        <w:tc>
          <w:tcPr>
            <w:vMerge w:val="continue"/>
            <w:textDirection w:val="lrTb"/>
            <w:noWrap w:val="false"/>
          </w:tcPr>
          <w:p>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《评标方法与评标标准》中涉及的证明文件</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79"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其他证明文件</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09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其他投标人认为应附的文件（如有，自拟并自行添加）</w:t>
            </w:r>
            <w:r/>
          </w:p>
        </w:tc>
        <w:tc>
          <w:tcPr>
            <w:vMerge w:val="continue"/>
            <w:textDirection w:val="lrTb"/>
            <w:noWrap w:val="false"/>
          </w:tcPr>
          <w:p>
            <w:r/>
            <w:r/>
          </w:p>
        </w:tc>
      </w:tr>
    </w:tbl>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上述符合性证明文件及其他证明文件1～6项必须按要求全部提供（有给定格式的，必须按给定格式的要求正确填报并提供，相应格式见本章第二部分），否则投标文件无效。</w:t>
      </w:r>
      <w:r/>
    </w:p>
    <w:p>
      <w:pPr>
        <w:numPr>
          <w:ilvl w:val="0"/>
          <w:numId w:val="42"/>
        </w:numPr>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如项目接受联合体投标，且投标人为联合体时，上述符合性证明文件及其他证明文件第1～5项可由联合体主体单位（即联合体牵头人）代表联合体提供。</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第二部分</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投标文件格式</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一、封面格式（参考格式）：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pacing w:val="20"/>
          <w:sz w:val="84"/>
        </w:rPr>
        <w:t xml:space="preserve">投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highlight w:val="none"/>
        </w:rPr>
        <w:t xml:space="preserve"> </w:t>
      </w:r>
      <w:r/>
    </w:p>
    <w:p>
      <w:pPr>
        <w:ind w:left="0" w:right="0" w:firstLine="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项目编号：JSZC-320213-JZCG-G2024-0030</w:t>
      </w:r>
      <w:r/>
    </w:p>
    <w:p>
      <w:pPr>
        <w:ind w:left="3289" w:right="0" w:hanging="15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项目名称：五爱小学石门路分校－智慧教育装备</w:t>
      </w:r>
      <w:r/>
    </w:p>
    <w:p>
      <w:pPr>
        <w:ind w:left="0" w:right="0" w:firstLine="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投 标 人：</w:t>
      </w:r>
      <w:r/>
    </w:p>
    <w:p>
      <w:pPr>
        <w:ind w:left="0" w:right="0" w:firstLine="18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二、授权委托书（给定格式）：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授权委托书</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我公司（单位）针对JSZC-320213-JZCG-G2024-0030项目，兹授权：</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被授权人的姓名：</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；性别：</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；年龄：</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；职务：</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被授权人的身份证号码：</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；联系方式：</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为我方合法代理人，以本单位名义全权处理针对本次项目的投标、参与开标、评标、签约等具体工作，并签署全部有关的文件、协议及合同以及其他一切与该项目采购有关的事务。</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本授权委托书自授权之日起生效，在撤销授权的书面通知送达你处以前，本授权书一直有效，被授权人签署的所有文件（在授权委托书有效期内签署的）不因授权的撤销而失效。</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特此授权委托。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授权日期：</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w:t>
      </w:r>
      <w:r>
        <w:rPr>
          <w:rFonts w:ascii="Times New Roman" w:hAnsi="Times New Roman" w:eastAsia="Times New Roman" w:cs="Times New Roman"/>
          <w:color w:val="000000"/>
          <w:sz w:val="24"/>
          <w:u w:val="single"/>
        </w:rPr>
        <w:t xml:space="preserve">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被授权人签字：</w:t>
      </w:r>
      <w:r>
        <w:rPr>
          <w:rFonts w:ascii="Times New Roman" w:hAnsi="Times New Roman" w:eastAsia="Times New Roman" w:cs="Times New Roma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（被授权人身份证原件扫描件附后）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若投标人为事业单位或其他组织或分支机构（仅限招标文件注明允许分支机构投标情形的），则法定代表人处的签字人可为单位负责人。</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当被授权人为法定代表人（或上述情况的单位负责人）时，只需在法定代表人处签字即可。</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供应商为自然人情形的，可不提供本《授权委托书》。</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被授权人为外籍、港、澳、台地区人士的，其身份证明须提供有效的护照或港澳同胞来往内地通行证、台湾同胞来往大陆通行证，或其它可在中国大陆有效居留的许可证明。</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三、资格声明函（给定格式）：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资格声明函</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无锡市公共资源交易中心梁溪分中心：</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我公司（单位）针对本次项目JSZC-320213-JZCG-G2024-0030进行投标，并作如下声明</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2.本公司（单位）具备本次项目履行合同所必需的设备和专业技术能力。</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我公司（单位）针对本次项目的上述声明以及投标文件中所有关于投标资格的文件、证明、陈述均是真实的、准确的。若有违背，我公司（单位）愿意承担由此而产生的一切后果。</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四、中小企业声明函（给定格式）：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中小企业声明函（货物）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 （联合体）参加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采购活动，提供的货物全部由符合政策要求的中小企业制造。相关企业 （含联合体中的中小企业、签订分包意向协议的中小企业）的具体情况如下：</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 型企业、微型企业）</w:t>
      </w: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 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 型企业、微型企业）</w:t>
      </w: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0" w:firstLine="48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目技术要求中如对本项目标的及其所属行业进行逐一列明的，投标人须根据项目技术要求中所列明的标的及其所属行业逐一进行填报。根据本《中小企业声明函》类型，项目属性为货物类的，只需按项目技术要求中的货物部分标的及其所属行业逐一进行填报，“企业名称”应填报为该项货物的制造商。专门面向中小企业的项目投标人未按上述要求逐一进行填报的将被视为无效投标文件；非专门面向中小企业的项目投标人未按上述要求逐一进行填报的将不进行中、小、微型企业认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）从业人员、营业收入、资产总额填报上一年度数据，无上一年度数据的新成立企业可不填报。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）在货物采购项目中，供应商提供的货物既有中小企业制造货物，也有大型企业制造货物的，不享受本办法规定的中小企业扶持政策。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五、残疾人福利性单位声明函（给定格式）：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六、投标函（给定格式）：</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投标函</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致无锡市公共资源交易中心梁溪分中心：</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我方收到贵方JSZC-320213-JZCG-G2024-0030招标文件，经仔细阅读和研究，我方决定参加此项目的投标。</w:t>
      </w:r>
      <w:r/>
    </w:p>
    <w:p>
      <w:pPr>
        <w:numPr>
          <w:ilvl w:val="0"/>
          <w:numId w:val="43"/>
        </w:numPr>
        <w:jc w:val="both"/>
        <w:spacing w:before="0" w:after="0" w:line="400" w:lineRule="atLeast"/>
        <w:tabs>
          <w:tab w:val="left" w:pos="315" w:leader="none"/>
          <w:tab w:val="left" w:pos="552" w:leader="none"/>
          <w:tab w:val="left" w:pos="840" w:leader="none"/>
          <w:tab w:val="left" w:pos="945" w:leader="none"/>
          <w:tab w:val="left" w:pos="1050" w:leader="none"/>
          <w:tab w:val="left" w:pos="12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我方愿意按照招标文件的一切要求，提供本项目的投标，投标总价见《开标一览表》。</w:t>
      </w:r>
      <w:r/>
    </w:p>
    <w:p>
      <w:pPr>
        <w:numPr>
          <w:ilvl w:val="0"/>
          <w:numId w:val="43"/>
        </w:numPr>
        <w:jc w:val="both"/>
        <w:spacing w:before="0" w:after="0" w:line="400" w:lineRule="atLeast"/>
        <w:tabs>
          <w:tab w:val="left" w:pos="315" w:leader="none"/>
          <w:tab w:val="left" w:pos="525" w:leader="none"/>
          <w:tab w:val="left" w:pos="552" w:leader="none"/>
          <w:tab w:val="left" w:pos="840"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我方愿意提供无锡市公共资源交易中心梁溪分中心在招标文件中要求的文件、资料。</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我方同意按招标文件中的规定，从规定的开标日期起遵循本投标文件，并在规定的投标有效期期满之前均具有约束力。</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如果我方的投标文件被接受，我方将履行招标文件中规定的每一项要求，按期、按质、按量，完成交货任务。</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我方完全同意招标文件规定的决定中标者的方式。</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我方愿意遵守《中华人民共和国政府采购法》，并按《中华人民共和国民法典》、财政部《政府采购货物和服务招标投标管理办法》等相关法律法规和合同条款履行自己的全部责任。</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我们已详细审核全部招标文件及其有效补充文件，我们知道必须放弃提出含糊不清或误解问题的权利。</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如我方在投标截止期后撤回投标及中标后拒绝遵守投标承诺或拒绝在规定的时间内与采购人签订合同，则接受政府采购监督管理部门的处理。</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我方被确定为中标供应商，我方愿意向采购人缴纳履约保证金。且我方如无不可抗力，又未履行招标文件、投标文件和合同条款的，一经查实，我方愿意赔偿由此而造成的一切损失，并同意接受按招标文件的相关要求对我方进行的处理。</w:t>
      </w:r>
      <w:r/>
    </w:p>
    <w:p>
      <w:pPr>
        <w:numPr>
          <w:ilvl w:val="0"/>
          <w:numId w:val="43"/>
        </w:numPr>
        <w:jc w:val="both"/>
        <w:spacing w:before="0" w:after="0" w:line="400" w:lineRule="atLeast"/>
        <w:tabs>
          <w:tab w:val="left" w:pos="315" w:leader="none"/>
          <w:tab w:val="left" w:pos="525" w:leader="none"/>
          <w:tab w:val="left" w:pos="552" w:leader="none"/>
          <w:tab w:val="left" w:pos="945" w:leader="none"/>
          <w:tab w:val="left" w:pos="105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决不提供虚假材料谋取中标、决不采取不正当手段诋毁、排挤其他供应商、决不与采购人、其它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SimSun" w:hAnsi="SimSun" w:eastAsia="SimSun" w:cs="SimSun"/>
          <w:color w:val="000000"/>
          <w:sz w:val="24"/>
          <w:u w:val="single"/>
        </w:rPr>
        <w:t xml:space="preserve">             </w:t>
      </w:r>
      <w:r>
        <w:rPr>
          <w:rFonts w:ascii="SimSun" w:hAnsi="SimSun" w:eastAsia="SimSun" w:cs="SimSun"/>
          <w:color w:val="000000"/>
          <w:sz w:val="24"/>
        </w:rPr>
        <w:t xml:space="preserve"> ；传真：</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rPr>
          <w:rFonts w:ascii="SimSun" w:hAnsi="SimSun" w:eastAsia="SimSun" w:cs="SimSun"/>
          <w:color w:val="000000"/>
          <w:sz w:val="24"/>
          <w:u w:val="single"/>
        </w:rPr>
        <w:t xml:space="preserve">                                                        </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七、承诺书（给定格式）：</w:t>
      </w:r>
      <w:r/>
    </w:p>
    <w:p>
      <w:pPr>
        <w:ind w:left="0" w:right="0" w:firstLine="60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承诺书</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（投标人名称）针对本项目JSZC-320213-JZCG-G2024-0030在此对服务保障做如下承诺：</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1.本公司（单位）对本项目所提供的货物均为原厂全新合格品，提供的服务符合招标文件要求。</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中如有涉及到商品包装、快递包装要求的，本公司（单位）对于中标产品的包装将严格按《关于印发〈商品包装政府采购需求标准（试行）〉、〈快递包装政府采购需求标准（试行）〉的通知》（财办库〔2020〕123号）文件执行。</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根据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w:t>
      </w:r>
      <w:r>
        <w:rPr>
          <w:rFonts w:ascii="SimSun" w:hAnsi="SimSun" w:eastAsia="SimSun" w:cs="SimSun"/>
          <w:color w:val="000000"/>
          <w:sz w:val="24"/>
        </w:rPr>
        <w:t xml:space="preserve">以配合。</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（投标人如有其他承诺的可在此处添加）</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如违背上述承诺，本公司（单位）将承担一切法律责任。</w:t>
      </w:r>
      <w:r/>
    </w:p>
    <w:p>
      <w:pPr>
        <w:ind w:left="0" w:right="0" w:firstLine="540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7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投标人名称（盖章）：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八、开标一览表（给定格式）：</w:t>
      </w:r>
      <w:r/>
    </w:p>
    <w:p>
      <w:pPr>
        <w:ind w:left="0" w:right="0" w:firstLine="482"/>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项目编号：JSZC-320213-JZCG-G2024-0030</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97"/>
        <w:gridCol w:w="3188"/>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6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投标总报价（小写）</w:t>
            </w:r>
            <w:r/>
          </w:p>
        </w:tc>
      </w:tr>
      <w:tr>
        <w:trPr>
          <w:trHeight w:val="16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69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五爱小学石门路分校－智慧教育装备</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8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78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投标总报价（大写）</w:t>
            </w: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九、分项报价表（给定格式）：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分项报价表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项目编号：JSZC-320213-JZCG-G2024-0030</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
        <w:gridCol w:w="380"/>
        <w:gridCol w:w="113"/>
        <w:gridCol w:w="872"/>
        <w:gridCol w:w="886"/>
        <w:gridCol w:w="541"/>
        <w:gridCol w:w="1529"/>
        <w:gridCol w:w="862"/>
        <w:gridCol w:w="68"/>
        <w:gridCol w:w="1197"/>
        <w:gridCol w:w="1348"/>
        <w:gridCol w:w="665"/>
        <w:gridCol w:w="846"/>
        <w:gridCol w:w="35"/>
      </w:tblGrid>
      <w:tr>
        <w:trPr>
          <w:trHeight w:val="465"/>
        </w:trPr>
        <w:tc>
          <w:tcPr>
            <w:gridSpan w:val="14"/>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货物部分</w:t>
            </w:r>
            <w:r/>
          </w:p>
        </w:tc>
      </w:tr>
      <w:tr>
        <w:trPr>
          <w:trHeight w:val="495"/>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5"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名称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6"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品牌型号</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70"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性能指标</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0"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产地</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质保期</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单报价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分项总报价</w:t>
            </w:r>
            <w:r/>
          </w:p>
        </w:tc>
      </w:tr>
      <w:tr>
        <w:trPr>
          <w:trHeight w:val="71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5"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5" w:type="dxa"/>
            <w:vAlign w:val="center"/>
            <w:textDirection w:val="lrTb"/>
            <w:noWrap/>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6"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70"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89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6"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0" w:type="dxa"/>
            <w:vAlign w:val="center"/>
            <w:textDirection w:val="lrTb"/>
            <w:noWrap w:val="false"/>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834"/>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8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886" w:type="dxa"/>
            <w:vAlign w:val="center"/>
            <w:textDirection w:val="lrTb"/>
            <w:noWrap w:val="false"/>
          </w:tcPr>
          <w:p>
            <w:pPr>
              <w:ind w:left="0" w:right="0" w:firstLine="0"/>
              <w:jc w:val="center"/>
              <w:spacing w:before="0"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20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2"/>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9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200"/>
        </w:trPr>
        <w:tc>
          <w:tcPr>
            <w:gridSpan w:val="14"/>
            <w:shd w:val="clear" w:color="bebebe" w:fill="bebebe"/>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tc>
      </w:tr>
      <w:tr>
        <w:trPr>
          <w:trHeight w:val="495"/>
        </w:trPr>
        <w:tc>
          <w:tcPr>
            <w:gridSpan w:val="1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354" w:type="dxa"/>
            <w:vAlign w:val="center"/>
            <w:textDirection w:val="lrTb"/>
            <w:noWrap/>
          </w:tcPr>
          <w:p>
            <w:pPr>
              <w:ind w:left="0" w:right="0" w:firstLine="0"/>
              <w:jc w:val="both"/>
              <w:spacing w:before="5"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服务部分</w:t>
            </w:r>
            <w:r/>
          </w:p>
        </w:tc>
      </w:tr>
      <w:tr>
        <w:trPr>
          <w:trHeight w:val="495"/>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序号</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71"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服务内容</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数量</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单位</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单报价</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5"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分项总报价</w:t>
            </w:r>
            <w:r/>
          </w:p>
        </w:tc>
      </w:tr>
      <w:tr>
        <w:trPr>
          <w:trHeight w:val="71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5" w:after="0"/>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71"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898"/>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71"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spacing w:before="0" w:after="0" w:line="57" w:lineRule="atLeast"/>
            </w:pP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trHeight w:val="775"/>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9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4871"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1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134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c>
          <w:tcPr>
            <w:gridSpan w:val="2"/>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gridAfter w:val="1"/>
          <w:trHeight w:val="61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92" w:type="dxa"/>
            <w:vAlign w:val="center"/>
            <w:textDirection w:val="lrTb"/>
            <w:noWrap/>
          </w:tcPr>
          <w:p>
            <w:pPr>
              <w:ind w:left="0" w:right="0" w:firstLine="0"/>
              <w:jc w:val="center"/>
              <w:spacing w:before="0" w:after="0"/>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4"/>
              </w:rPr>
              <w:t xml:space="preserve">完工期</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gridAfter w:val="1"/>
          <w:trHeight w:val="61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5"/>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92" w:type="dxa"/>
            <w:vAlign w:val="center"/>
            <w:textDirection w:val="lrTb"/>
            <w:noWrap/>
          </w:tcPr>
          <w:p>
            <w:pPr>
              <w:ind w:left="0" w:right="0" w:firstLine="0"/>
              <w:jc w:val="center"/>
              <w:spacing w:before="0" w:after="0"/>
              <w:pBdr>
                <w:top w:val="none" w:color="000000" w:sz="4" w:space="0"/>
                <w:left w:val="none" w:color="000000" w:sz="4" w:space="0"/>
                <w:bottom w:val="single" w:color="000000" w:sz="6" w:space="0"/>
                <w:right w:val="none" w:color="000000" w:sz="4" w:space="0"/>
              </w:pBdr>
            </w:pPr>
            <w:r>
              <w:rPr>
                <w:rFonts w:ascii="SimSun" w:hAnsi="SimSun" w:eastAsia="SimSun" w:cs="SimSun"/>
                <w:b/>
                <w:color w:val="000000"/>
                <w:sz w:val="24"/>
              </w:rPr>
              <w:t xml:space="preserve">项目整体质保期</w:t>
            </w:r>
            <w:r/>
          </w:p>
        </w:tc>
        <w:tc>
          <w:tcPr>
            <w:gridSpan w:val="7"/>
            <w:tcBorders>
              <w:top w:val="none" w:color="000000" w:sz="4" w:space="0"/>
              <w:left w:val="none" w:color="000000" w:sz="4" w:space="0"/>
              <w:bottom w:val="single" w:color="000000" w:sz="8" w:space="0"/>
              <w:right w:val="single" w:color="000000" w:sz="8" w:space="0"/>
            </w:tcBorders>
            <w:tcMar>
              <w:left w:w="15" w:type="dxa"/>
              <w:top w:w="15" w:type="dxa"/>
              <w:right w:w="15" w:type="dxa"/>
              <w:bottom w:w="0" w:type="dxa"/>
            </w:tcMar>
            <w:tcW w:w="65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4"/>
              </w:rPr>
              <w:t xml:space="preserve"> </w:t>
            </w:r>
            <w:r/>
          </w:p>
        </w:tc>
      </w:tr>
      <w:tr>
        <w:trPr>
          <w:gridAfter w:val="1"/>
          <w:trHeight w:val="5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其中属于小、微型企业产品的价格合计（小写）</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1"/>
          <w:trHeight w:val="5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其中属监狱企业的价格合计（小写）</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1"/>
          <w:trHeight w:val="592"/>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7"/>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18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其中属残疾人福利性单位的价格合计（小写）</w:t>
            </w:r>
            <w:r/>
          </w:p>
        </w:tc>
        <w:tc>
          <w:tcPr>
            <w:gridSpan w:val="5"/>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1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gridAfter w:val="1"/>
          <w:trHeight w:val="924"/>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92" w:type="dxa"/>
            <w:vAlign w:val="center"/>
            <w:vMerge w:val="restart"/>
            <w:textDirection w:val="lrTb"/>
            <w:noWrap w:val="false"/>
          </w:tcPr>
          <w:p>
            <w:pPr>
              <w:ind w:left="0" w:right="0" w:firstLine="12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服</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2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务</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2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承</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20"/>
              <w:jc w:val="center"/>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b/>
                <w:color w:val="000000"/>
                <w:sz w:val="24"/>
              </w:rPr>
              <w:t xml:space="preserve">诺</w:t>
            </w:r>
            <w:r/>
          </w:p>
        </w:tc>
        <w:tc>
          <w:tcPr>
            <w:gridSpan w:val="10"/>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1.质量 2.安装 3.“三包”（包修、包退、包换）4.其他承诺</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（以上是主要承诺，供投标人参考，投标人应在满足招标文件要求的基础上，根据自己单位的情况作出具体承诺）</w:t>
            </w:r>
            <w:r/>
          </w:p>
        </w:tc>
      </w:tr>
      <w:tr>
        <w:trPr>
          <w:gridAfter w:val="1"/>
          <w:trHeight w:val="2573"/>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vMerge w:val="continue"/>
            <w:textDirection w:val="lrTb"/>
            <w:noWrap w:val="false"/>
          </w:tcPr>
          <w:p>
            <w:r/>
            <w:r/>
          </w:p>
        </w:tc>
        <w:tc>
          <w:tcPr>
            <w:gridSpan w:val="10"/>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81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4"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80"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3"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8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541"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529"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62"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197"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48"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665"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46" w:type="dxa"/>
            <w:vAlign w:val="center"/>
            <w:textDirection w:val="lrTb"/>
            <w:noWrap w:val="false"/>
          </w:tcPr>
          <w:p>
            <w:pPr>
              <w:spacing w:before="0" w:after="0" w:line="57" w:lineRule="atLeast"/>
            </w:pP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 w:type="dxa"/>
            <w:vAlign w:val="center"/>
            <w:textDirection w:val="lrTb"/>
            <w:noWrap w:val="false"/>
          </w:tcPr>
          <w:p>
            <w:pPr>
              <w:spacing w:before="0" w:after="0" w:line="57" w:lineRule="atLeast"/>
            </w:pPr>
            <w:r/>
          </w:p>
        </w:tc>
      </w:tr>
    </w:tbl>
    <w:p>
      <w:pPr>
        <w:ind w:left="0" w:right="0" w:firstLine="0"/>
        <w:jc w:val="both"/>
        <w:spacing w:before="5"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jc w:val="both"/>
        <w:spacing w:before="5"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投标人名称（盖章）：</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w:t>
      </w:r>
      <w:r>
        <w:rPr>
          <w:rFonts w:ascii="SimSun" w:hAnsi="SimSun" w:eastAsia="SimSun" w:cs="SimSun"/>
          <w:color w:val="000000"/>
          <w:sz w:val="21"/>
        </w:rPr>
        <w:t xml:space="preserve">（1）投标人本项目提供的货物全部由符合政策要求的中小企业制造的，须提供按格式填写的《中小企业声明函》（货物）（《中小企业声明函》（货物）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梁溪分中心有权将相关内容进行公示；</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（2）投标人应当根据“采购需求”的内容在上表中详细填写；</w:t>
      </w:r>
      <w:r/>
    </w:p>
    <w:p>
      <w:pPr>
        <w:ind w:left="0" w:right="0" w:firstLine="315"/>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（3）表格不够可自行延长。</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十、投标偏离表（给定格式）：</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投标偏离表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项目编号：JSZC-320213-JZCG-G2024-0030</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注：（1）本表不得删除；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（2）如无任何技术偏离，请于本表 “偏离说明”中注明“无偏离”；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（3）如有技术偏离项，请于本表中列明偏离内容，如需要可自行延长，其余无偏离内容不须赘述。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十一</w:t>
      </w:r>
      <w:r>
        <w:rPr>
          <w:rFonts w:ascii="Times New Roman" w:hAnsi="Times New Roman" w:eastAsia="Times New Roman" w:cs="Times New Roman"/>
          <w:b/>
          <w:color w:val="000000"/>
          <w:sz w:val="30"/>
        </w:rPr>
        <w:t xml:space="preserve">  </w:t>
      </w:r>
      <w:r>
        <w:rPr>
          <w:rFonts w:ascii="SimSun" w:hAnsi="SimSun" w:eastAsia="SimSun" w:cs="SimSun"/>
          <w:b/>
          <w:color w:val="000000"/>
          <w:sz w:val="30"/>
        </w:rPr>
        <w:t xml:space="preserve">项目人员配置考察表（格式）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9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项目人员配置考察表</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项目编号：JSZC-320213-JZCG-G2024-0030</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077"/>
        <w:gridCol w:w="730"/>
        <w:gridCol w:w="695"/>
        <w:gridCol w:w="818"/>
        <w:gridCol w:w="1252"/>
        <w:gridCol w:w="1260"/>
        <w:gridCol w:w="1798"/>
        <w:gridCol w:w="973"/>
      </w:tblGrid>
      <w:tr>
        <w:trPr>
          <w:trHeight w:val="8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岗位职责</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人员证书名称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人员经验描述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（如有要求）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7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投标人名称（盖章）：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 本表对应评分标准中的项目人员配置情况，表格不够可自行延长。</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上表内容须提供投标人近一年中任意一个月份（不含投标当月）经社保部门确认的社保缴纳名单扫描件；若上表中所填报人员有属于“按国家规定可不缴纳社保的人员”的，则该类人员须提供相关证明材料扫描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3.上表内容须按评分标准中的相关要求提供相应证明材料。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4.证明材料均请附在本表之后。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480"/>
        <w:jc w:val="both"/>
        <w:spacing w:before="0" w:after="0" w:line="57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附件三：技术标投标文件（格式）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sz w:val="24"/>
        </w:rPr>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2"/>
        </w:rPr>
        <w:t xml:space="preserve"> </w:t>
      </w:r>
      <w:r/>
    </w:p>
    <w:p>
      <w:pPr>
        <w:ind w:left="0" w:right="0" w:firstLine="48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 术 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71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采购项目编号：JSZC-320213-JZCG-G2024-0030   </w:t>
      </w:r>
      <w:r/>
    </w:p>
    <w:p>
      <w:pPr>
        <w:ind w:left="4410" w:right="0" w:hanging="16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采购项目名称：五爱小学石门路分校－智慧教育装备</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2024年8月8日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目     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一．技术偏离表----------------------------------------（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二．技术实施方案--------------------------------------（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both"/>
        <w:spacing w:before="0" w:after="0" w:line="45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一、技术偏离表：</w:t>
      </w:r>
      <w:r/>
    </w:p>
    <w:p>
      <w:pPr>
        <w:ind w:left="0" w:right="0" w:firstLine="42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技术偏离表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采购项目编号：JSZC-320213-JZCG-G2024-0030</w:t>
      </w:r>
      <w:r/>
    </w:p>
    <w:tbl>
      <w:tblPr>
        <w:tblStyle w:val="8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803"/>
        <w:gridCol w:w="2683"/>
        <w:gridCol w:w="2683"/>
        <w:gridCol w:w="2186"/>
      </w:tblGrid>
      <w:tr>
        <w:trPr>
          <w:trHeight w:val="55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采购要求</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实报内容</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8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68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18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本表不得删除；</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如无任何技术偏离，请于本表 “偏离说明”中注明“无偏离”；</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如有技术偏离项，请于本表中列明偏离内容，如需要可自行延长，其余无偏离内容不须赘述；</w:t>
      </w:r>
      <w:r/>
    </w:p>
    <w:p>
      <w:pPr>
        <w:numPr>
          <w:ilvl w:val="0"/>
          <w:numId w:val="43"/>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以联合体形式参加投标的，“单位名称”指代表联合体投标的公司（单位），法定代表人指代表联合体投标公司（单位）的法定代表人。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7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二、技术实施方案</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headerReference w:type="default" r:id="rId9"/>
      <w:footerReference w:type="default" r:id="rId10"/>
      <w:footerReference w:type="even" r:id="rId11"/>
      <w:footnotePr/>
      <w:endnotePr/>
      <w:type w:val="nextPage"/>
      <w:pgSz w:w="11906" w:h="16838" w:orient="portrait"/>
      <w:pgMar w:top="567" w:right="851" w:bottom="567" w:left="1134" w:header="624"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YouYuan">
    <w:panose1 w:val="02010509060101010101"/>
  </w:font>
  <w:font w:name="STKaiti">
    <w:panose1 w:val="02010600040101010101"/>
  </w:font>
  <w:font w:name="FangSong">
    <w:panose1 w:val="02010609060101010101"/>
  </w:font>
  <w:font w:name="SimHei">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DengXian">
    <w:panose1 w:val="02010600030101010101"/>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19182696"/>
      <w:docPartObj>
        <w:docPartGallery w:val="Page Numbers (Bottom of Page)"/>
        <w:docPartUnique w:val="true"/>
      </w:docPartObj>
      <w:rPr/>
    </w:sdtPr>
    <w:sdtContent>
      <w:p>
        <w:pPr>
          <w:pStyle w:val="856"/>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5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6"/>
      <w:rPr>
        <w:rStyle w:val="1051"/>
      </w:rPr>
      <w:framePr w:wrap="around" w:vAnchor="text" w:hAnchor="margin" w:xAlign="center" w:y="1"/>
    </w:pPr>
    <w:r>
      <w:fldChar w:fldCharType="begin"/>
    </w:r>
    <w:r>
      <w:rPr>
        <w:rStyle w:val="1051"/>
      </w:rPr>
      <w:instrText xml:space="preserve">PAGE  </w:instrText>
    </w:r>
    <w:r>
      <w:fldChar w:fldCharType="separate"/>
    </w:r>
    <w:r>
      <w:rPr>
        <w:rStyle w:val="1051"/>
      </w:rPr>
      <w:t xml:space="preserve">1</w:t>
    </w:r>
    <w:r>
      <w:fldChar w:fldCharType="end"/>
    </w:r>
    <w:r/>
  </w:p>
  <w:p>
    <w:pPr>
      <w:pStyle w:val="8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420" w:hanging="420"/>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isLgl w:val="false"/>
      <w:suff w:val="tab"/>
      <w:lvlText w:val="（%1）"/>
      <w:lvlJc w:val="left"/>
      <w:pPr>
        <w:ind w:left="1377" w:hanging="810"/>
      </w:pPr>
      <w:rPr>
        <w:rFonts w:hint="default"/>
        <w:lang w:val="en-US"/>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14">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upperLetter"/>
      <w:pStyle w:val="1057"/>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780" w:hanging="360"/>
        <w:tabs>
          <w:tab w:val="num" w:pos="780"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2">
    <w:multiLevelType w:val="hybridMultilevel"/>
    <w:lvl w:ilvl="0">
      <w:start w:val="1"/>
      <w:numFmt w:val="japaneseCounting"/>
      <w:isLgl w:val="false"/>
      <w:suff w:val="tab"/>
      <w:lvlText w:val="第%1章"/>
      <w:lvlJc w:val="left"/>
      <w:pPr>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japaneseCounting"/>
      <w:isLgl w:val="false"/>
      <w:suff w:val="tab"/>
      <w:lvlText w:val="（%1）"/>
      <w:lvlJc w:val="left"/>
      <w:pPr>
        <w:ind w:left="1080" w:hanging="1080"/>
        <w:tabs>
          <w:tab w:val="num" w:pos="1080" w:leader="none"/>
        </w:tabs>
      </w:pPr>
      <w:rPr>
        <w:rFonts w:hint="eastAsia" w:cs="Times New Roman"/>
      </w:rPr>
    </w:lvl>
    <w:lvl w:ilvl="1">
      <w:start w:val="1"/>
      <w:numFmt w:val="decimal"/>
      <w:isLgl w:val="false"/>
      <w:suff w:val="tab"/>
      <w:lvlText w:val="%2."/>
      <w:lvlJc w:val="left"/>
      <w:pPr>
        <w:ind w:left="1353" w:hanging="360"/>
        <w:tabs>
          <w:tab w:val="num" w:pos="1353" w:leader="none"/>
        </w:tabs>
      </w:pPr>
      <w:rPr>
        <w:rFonts w:hint="eastAsia" w:cs="Times New Roman"/>
        <w:color w:val="000000"/>
      </w:rPr>
    </w:lvl>
    <w:lvl w:ilvl="2">
      <w:start w:val="1"/>
      <w:numFmt w:val="lowerRoman"/>
      <w:isLgl w:val="false"/>
      <w:suff w:val="tab"/>
      <w:lvlText w:val="%3."/>
      <w:lvlJc w:val="right"/>
      <w:pPr>
        <w:ind w:left="1260" w:hanging="420"/>
        <w:tabs>
          <w:tab w:val="num" w:pos="126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24">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28"/>
      <w:isLgl w:val="false"/>
      <w:suff w:val="nothing"/>
      <w:lvlText w:val=""/>
      <w:lvlJc w:val="left"/>
      <w:pPr>
        <w:ind w:left="0" w:firstLine="0"/>
      </w:pPr>
      <w:rPr>
        <w:rFonts w:hint="eastAsia"/>
      </w:rPr>
    </w:lvl>
    <w:lvl w:ilvl="6">
      <w:start w:val="1"/>
      <w:numFmt w:val="decimal"/>
      <w:pStyle w:val="829"/>
      <w:isLgl w:val="false"/>
      <w:suff w:val="nothing"/>
      <w:lvlText w:val=""/>
      <w:lvlJc w:val="left"/>
      <w:pPr>
        <w:ind w:left="0" w:firstLine="0"/>
      </w:pPr>
      <w:rPr>
        <w:rFonts w:hint="eastAsia"/>
      </w:rPr>
    </w:lvl>
    <w:lvl w:ilvl="7">
      <w:start w:val="1"/>
      <w:numFmt w:val="decimal"/>
      <w:pStyle w:val="830"/>
      <w:isLgl w:val="false"/>
      <w:suff w:val="nothing"/>
      <w:lvlText w:val=""/>
      <w:lvlJc w:val="left"/>
      <w:pPr>
        <w:ind w:left="0" w:firstLine="0"/>
      </w:pPr>
      <w:rPr>
        <w:rFonts w:hint="eastAsia"/>
      </w:rPr>
    </w:lvl>
    <w:lvl w:ilvl="8">
      <w:start w:val="1"/>
      <w:numFmt w:val="decimal"/>
      <w:pStyle w:val="831"/>
      <w:isLgl w:val="false"/>
      <w:suff w:val="nothing"/>
      <w:lvlText w:val=""/>
      <w:lvlJc w:val="left"/>
      <w:pPr>
        <w:ind w:left="0" w:firstLine="0"/>
      </w:pPr>
      <w:rPr>
        <w:rFonts w:hint="eastAsia"/>
      </w:rPr>
    </w:lvl>
  </w:abstractNum>
  <w:abstractNum w:abstractNumId="26">
    <w:multiLevelType w:val="hybridMultilevel"/>
    <w:lvl w:ilvl="0">
      <w:start w:val="1"/>
      <w:numFmt w:val="decimal"/>
      <w:isLgl w:val="false"/>
      <w:suff w:val="tab"/>
      <w:lvlText w:val="%1."/>
      <w:lvlJc w:val="left"/>
      <w:pPr>
        <w:ind w:left="510" w:hanging="360"/>
        <w:tabs>
          <w:tab w:val="num" w:pos="510" w:leader="none"/>
        </w:tabs>
      </w:pPr>
      <w:rPr>
        <w:rFonts w:hint="eastAsia" w:cs="Times New Roman"/>
      </w:rPr>
    </w:lvl>
    <w:lvl w:ilvl="1">
      <w:start w:val="1"/>
      <w:numFmt w:val="decimal"/>
      <w:isLgl w:val="false"/>
      <w:suff w:val="tab"/>
      <w:lvlText w:val="%2．"/>
      <w:lvlJc w:val="left"/>
      <w:pPr>
        <w:ind w:left="1290" w:hanging="720"/>
        <w:tabs>
          <w:tab w:val="num" w:pos="1290" w:leader="none"/>
        </w:tabs>
      </w:pPr>
      <w:rPr>
        <w:rFonts w:hint="eastAsia" w:cs="Times New Roman"/>
      </w:rPr>
    </w:lvl>
    <w:lvl w:ilvl="2">
      <w:start w:val="3"/>
      <w:numFmt w:val="decimal"/>
      <w:isLgl w:val="false"/>
      <w:suff w:val="tab"/>
      <w:lvlText w:val="（%3）"/>
      <w:lvlJc w:val="left"/>
      <w:pPr>
        <w:ind w:left="1140" w:hanging="720"/>
        <w:tabs>
          <w:tab w:val="num" w:pos="1140" w:leader="none"/>
        </w:tabs>
      </w:pPr>
      <w:rPr>
        <w:rFonts w:hint="eastAsia" w:cs="Times New Roman"/>
      </w:rPr>
    </w:lvl>
    <w:lvl w:ilvl="3">
      <w:start w:val="1"/>
      <w:numFmt w:val="decimal"/>
      <w:isLgl w:val="false"/>
      <w:suff w:val="tab"/>
      <w:lvlText w:val="（%4）"/>
      <w:lvlJc w:val="left"/>
      <w:pPr>
        <w:ind w:left="1830" w:hanging="420"/>
        <w:tabs>
          <w:tab w:val="num" w:pos="1830" w:leader="none"/>
        </w:tabs>
      </w:pPr>
      <w:rPr>
        <w:rFonts w:ascii="宋体" w:hAnsi="宋体" w:eastAsia="宋体" w:cs="Times New Roman"/>
      </w:rPr>
    </w:lvl>
    <w:lvl w:ilvl="4">
      <w:start w:val="1"/>
      <w:numFmt w:val="decimal"/>
      <w:isLgl w:val="false"/>
      <w:suff w:val="tab"/>
      <w:lvlText w:val="%5."/>
      <w:lvlJc w:val="left"/>
      <w:pPr>
        <w:ind w:left="2250" w:hanging="420"/>
        <w:tabs>
          <w:tab w:val="num" w:pos="2250" w:leader="none"/>
        </w:tabs>
      </w:pPr>
      <w:rPr>
        <w:rFonts w:hint="eastAsia"/>
        <w:b/>
        <w:lang w:val="en-US"/>
      </w:rPr>
    </w:lvl>
    <w:lvl w:ilvl="5">
      <w:start w:val="10"/>
      <w:numFmt w:val="japaneseCounting"/>
      <w:isLgl w:val="false"/>
      <w:suff w:val="tab"/>
      <w:lvlText w:val="（%6）"/>
      <w:lvlJc w:val="left"/>
      <w:pPr>
        <w:ind w:left="2970" w:hanging="720"/>
      </w:pPr>
      <w:rPr>
        <w:rFonts w:cs="Times New Roman"/>
      </w:rPr>
    </w:lvl>
    <w:lvl w:ilvl="6">
      <w:start w:val="1"/>
      <w:numFmt w:val="decimal"/>
      <w:isLgl w:val="false"/>
      <w:suff w:val="tab"/>
      <w:lvlText w:val="（%7）"/>
      <w:lvlJc w:val="left"/>
      <w:pPr>
        <w:ind w:left="3090" w:hanging="420"/>
        <w:tabs>
          <w:tab w:val="num" w:pos="3090" w:leader="none"/>
        </w:tabs>
      </w:pPr>
      <w:rPr>
        <w:rFonts w:ascii="Times New Roman" w:hAnsi="Times New Roman" w:eastAsia="Times New Roman" w:cs="Times New Roman"/>
        <w:color w:val="000000"/>
      </w:rPr>
    </w:lvl>
    <w:lvl w:ilvl="7">
      <w:start w:val="1"/>
      <w:numFmt w:val="lowerLetter"/>
      <w:isLgl w:val="false"/>
      <w:suff w:val="tab"/>
      <w:lvlText w:val="%8)"/>
      <w:lvlJc w:val="left"/>
      <w:pPr>
        <w:ind w:left="3510" w:hanging="420"/>
        <w:tabs>
          <w:tab w:val="num" w:pos="3510" w:leader="none"/>
        </w:tabs>
      </w:pPr>
      <w:rPr>
        <w:rFonts w:cs="Times New Roman"/>
      </w:rPr>
    </w:lvl>
    <w:lvl w:ilvl="8">
      <w:start w:val="1"/>
      <w:numFmt w:val="lowerRoman"/>
      <w:isLgl w:val="false"/>
      <w:suff w:val="tab"/>
      <w:lvlText w:val="%9."/>
      <w:lvlJc w:val="right"/>
      <w:pPr>
        <w:ind w:left="3930" w:hanging="420"/>
        <w:tabs>
          <w:tab w:val="num" w:pos="3930" w:leader="none"/>
        </w:tabs>
      </w:pPr>
      <w:rPr>
        <w:rFonts w:cs="Times New Roman"/>
      </w:rPr>
    </w:lvl>
  </w:abstractNum>
  <w:abstractNum w:abstractNumId="27">
    <w:multiLevelType w:val="hybridMultilevel"/>
    <w:lvl w:ilvl="0">
      <w:start w:val="1"/>
      <w:numFmt w:val="decimal"/>
      <w:pStyle w:val="107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tab"/>
      <w:lvlText w:val="%1."/>
      <w:lvlJc w:val="left"/>
      <w:pPr>
        <w:ind w:left="510" w:hanging="360"/>
        <w:tabs>
          <w:tab w:val="left" w:pos="510" w:leader="none"/>
        </w:tabs>
      </w:pPr>
      <w:rPr>
        <w:rFonts w:hint="eastAsia"/>
      </w:rPr>
    </w:lvl>
    <w:lvl w:ilvl="1">
      <w:start w:val="1"/>
      <w:numFmt w:val="decimal"/>
      <w:isLgl w:val="false"/>
      <w:suff w:val="tab"/>
      <w:lvlText w:val="%2．"/>
      <w:lvlJc w:val="left"/>
      <w:pPr>
        <w:ind w:left="1290" w:hanging="720"/>
        <w:tabs>
          <w:tab w:val="left" w:pos="1290" w:leader="none"/>
        </w:tabs>
      </w:pPr>
      <w:rPr>
        <w:rFonts w:hint="eastAsia"/>
      </w:rPr>
    </w:lvl>
    <w:lvl w:ilvl="2">
      <w:start w:val="3"/>
      <w:numFmt w:val="decimal"/>
      <w:isLgl w:val="false"/>
      <w:suff w:val="tab"/>
      <w:lvlText w:val="（%3）"/>
      <w:lvlJc w:val="left"/>
      <w:pPr>
        <w:ind w:left="1140" w:hanging="720"/>
        <w:tabs>
          <w:tab w:val="left" w:pos="1140" w:leader="none"/>
        </w:tabs>
      </w:pPr>
      <w:rPr>
        <w:rFonts w:hint="eastAsia"/>
        <w:lang w:val="en-US"/>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1271" w:hanging="420"/>
        <w:tabs>
          <w:tab w:val="left" w:pos="1271" w:leader="none"/>
        </w:tabs>
      </w:pPr>
      <w:rPr>
        <w:rFonts w:hint="eastAsia"/>
        <w:b/>
        <w:lang w:val="en-US"/>
      </w:rPr>
    </w:lvl>
    <w:lvl w:ilvl="5">
      <w:start w:val="1"/>
      <w:numFmt w:val="lowerRoman"/>
      <w:isLgl w:val="false"/>
      <w:suff w:val="tab"/>
      <w:lvlText w:val="%6."/>
      <w:lvlJc w:val="right"/>
      <w:pPr>
        <w:ind w:left="2670" w:hanging="420"/>
        <w:tabs>
          <w:tab w:val="left" w:pos="2670" w:leader="none"/>
        </w:tabs>
      </w:pPr>
    </w:lvl>
    <w:lvl w:ilvl="6">
      <w:start w:val="1"/>
      <w:numFmt w:val="decimal"/>
      <w:isLgl w:val="false"/>
      <w:suff w:val="tab"/>
      <w:lvlText w:val="%7."/>
      <w:lvlJc w:val="left"/>
      <w:pPr>
        <w:ind w:left="3090" w:hanging="420"/>
        <w:tabs>
          <w:tab w:val="left" w:pos="3090" w:leader="none"/>
        </w:tabs>
      </w:pPr>
    </w:lvl>
    <w:lvl w:ilvl="7">
      <w:start w:val="1"/>
      <w:numFmt w:val="lowerLetter"/>
      <w:isLgl w:val="false"/>
      <w:suff w:val="tab"/>
      <w:lvlText w:val="%8)"/>
      <w:lvlJc w:val="left"/>
      <w:pPr>
        <w:ind w:left="3510" w:hanging="420"/>
        <w:tabs>
          <w:tab w:val="left" w:pos="3510" w:leader="none"/>
        </w:tabs>
      </w:pPr>
    </w:lvl>
    <w:lvl w:ilvl="8">
      <w:start w:val="1"/>
      <w:numFmt w:val="lowerRoman"/>
      <w:isLgl w:val="false"/>
      <w:suff w:val="tab"/>
      <w:lvlText w:val="%9."/>
      <w:lvlJc w:val="right"/>
      <w:pPr>
        <w:ind w:left="3930" w:hanging="420"/>
        <w:tabs>
          <w:tab w:val="left" w:pos="3930" w:leader="none"/>
        </w:tabs>
      </w:pPr>
    </w:lvl>
  </w:abstractNum>
  <w:abstractNum w:abstractNumId="3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japaneseCounting"/>
      <w:isLgl w:val="false"/>
      <w:suff w:val="tab"/>
      <w:lvlText w:val="%1、"/>
      <w:lvlJc w:val="left"/>
      <w:pPr>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num" w:pos="840" w:leader="none"/>
        </w:tabs>
      </w:pPr>
      <w:rPr>
        <w:rFonts w:cs="Times New Roman"/>
      </w:rPr>
    </w:lvl>
    <w:lvl w:ilvl="2">
      <w:start w:val="10"/>
      <w:numFmt w:val="decimal"/>
      <w:isLgl w:val="false"/>
      <w:suff w:val="tab"/>
      <w:lvlText w:val="%3."/>
      <w:lvlJc w:val="left"/>
      <w:pPr>
        <w:ind w:left="1200" w:hanging="360"/>
        <w:tabs>
          <w:tab w:val="num" w:pos="1200" w:leader="none"/>
        </w:tabs>
      </w:pPr>
      <w:rPr>
        <w:rFonts w:cs="Times New Roman"/>
      </w:rPr>
    </w:lvl>
    <w:lvl w:ilvl="3">
      <w:start w:val="1"/>
      <w:numFmt w:val="decimal"/>
      <w:isLgl w:val="false"/>
      <w:suff w:val="tab"/>
      <w:lvlText w:val="%4."/>
      <w:lvlJc w:val="left"/>
      <w:pPr>
        <w:ind w:left="1680" w:hanging="420"/>
        <w:tabs>
          <w:tab w:val="num" w:pos="1680" w:leader="none"/>
        </w:tabs>
      </w:pPr>
      <w:rPr>
        <w:rFonts w:cs="Times New Roman"/>
      </w:rPr>
    </w:lvl>
    <w:lvl w:ilvl="4">
      <w:start w:val="1"/>
      <w:numFmt w:val="lowerLetter"/>
      <w:isLgl w:val="false"/>
      <w:suff w:val="tab"/>
      <w:lvlText w:val="%5)"/>
      <w:lvlJc w:val="left"/>
      <w:pPr>
        <w:ind w:left="2100" w:hanging="420"/>
        <w:tabs>
          <w:tab w:val="num" w:pos="2100" w:leader="none"/>
        </w:tabs>
      </w:pPr>
      <w:rPr>
        <w:rFonts w:cs="Times New Roman"/>
      </w:rPr>
    </w:lvl>
    <w:lvl w:ilvl="5">
      <w:start w:val="1"/>
      <w:numFmt w:val="lowerRoman"/>
      <w:isLgl w:val="false"/>
      <w:suff w:val="tab"/>
      <w:lvlText w:val="%6."/>
      <w:lvlJc w:val="right"/>
      <w:pPr>
        <w:ind w:left="2520" w:hanging="420"/>
        <w:tabs>
          <w:tab w:val="num" w:pos="2520" w:leader="none"/>
        </w:tabs>
      </w:pPr>
      <w:rPr>
        <w:rFonts w:cs="Times New Roman"/>
      </w:rPr>
    </w:lvl>
    <w:lvl w:ilvl="6">
      <w:start w:val="1"/>
      <w:numFmt w:val="decimal"/>
      <w:isLgl w:val="false"/>
      <w:suff w:val="tab"/>
      <w:lvlText w:val="%7."/>
      <w:lvlJc w:val="left"/>
      <w:pPr>
        <w:ind w:left="2940" w:hanging="420"/>
        <w:tabs>
          <w:tab w:val="num" w:pos="2940" w:leader="none"/>
        </w:tabs>
      </w:pPr>
      <w:rPr>
        <w:rFonts w:cs="Times New Roman"/>
      </w:rPr>
    </w:lvl>
    <w:lvl w:ilvl="7">
      <w:start w:val="1"/>
      <w:numFmt w:val="lowerLetter"/>
      <w:isLgl w:val="false"/>
      <w:suff w:val="tab"/>
      <w:lvlText w:val="%8)"/>
      <w:lvlJc w:val="left"/>
      <w:pPr>
        <w:ind w:left="3360" w:hanging="420"/>
        <w:tabs>
          <w:tab w:val="num" w:pos="3360" w:leader="none"/>
        </w:tabs>
      </w:pPr>
      <w:rPr>
        <w:rFonts w:cs="Times New Roman"/>
      </w:rPr>
    </w:lvl>
    <w:lvl w:ilvl="8">
      <w:start w:val="1"/>
      <w:numFmt w:val="lowerRoman"/>
      <w:isLgl w:val="false"/>
      <w:suff w:val="tab"/>
      <w:lvlText w:val="%9."/>
      <w:lvlJc w:val="right"/>
      <w:pPr>
        <w:ind w:left="3780" w:hanging="420"/>
        <w:tabs>
          <w:tab w:val="num" w:pos="3780" w:leader="none"/>
        </w:tabs>
      </w:pPr>
      <w:rPr>
        <w:rFonts w:cs="Times New Roman"/>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japaneseCounting"/>
      <w:isLgl w:val="false"/>
      <w:suff w:val="tab"/>
      <w:lvlText w:val="（%1）"/>
      <w:lvlJc w:val="left"/>
      <w:pPr>
        <w:ind w:left="1080" w:hanging="1080"/>
        <w:tabs>
          <w:tab w:val="left" w:pos="1080" w:leader="none"/>
        </w:tabs>
      </w:pPr>
      <w:rPr>
        <w:rFonts w:hint="eastAsia" w:cs="Times New Roman"/>
      </w:rPr>
    </w:lvl>
    <w:lvl w:ilvl="1">
      <w:start w:val="1"/>
      <w:numFmt w:val="decimal"/>
      <w:isLgl w:val="false"/>
      <w:suff w:val="tab"/>
      <w:lvlText w:val="%2."/>
      <w:lvlJc w:val="left"/>
      <w:pPr>
        <w:ind w:left="780" w:hanging="360"/>
        <w:tabs>
          <w:tab w:val="left" w:pos="780" w:leader="none"/>
        </w:tabs>
      </w:pPr>
      <w:rPr>
        <w:rFonts w:hint="eastAsia" w:cs="Times New Roman"/>
        <w:color w:val="auto"/>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35">
    <w:multiLevelType w:val="hybridMultilevel"/>
    <w:lvl w:ilvl="0">
      <w:start w:val="1"/>
      <w:numFmt w:val="decimal"/>
      <w:isLgl w:val="false"/>
      <w:suff w:val="tab"/>
      <w:lvlText w:val="第%1章"/>
      <w:lvlJc w:val="left"/>
      <w:pPr>
        <w:ind w:left="1440" w:hanging="1440"/>
      </w:pPr>
      <w:rPr>
        <w:rFonts w:ascii="SimSun" w:hAnsi="SimSun" w:eastAsia="SimSun" w:cs="SimSu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6"/>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5"/>
  </w:num>
  <w:num w:numId="2">
    <w:abstractNumId w:val="20"/>
  </w:num>
  <w:num w:numId="3">
    <w:abstractNumId w:val="27"/>
  </w:num>
  <w:num w:numId="4">
    <w:abstractNumId w:val="22"/>
  </w:num>
  <w:num w:numId="5">
    <w:abstractNumId w:val="23"/>
  </w:num>
  <w:num w:numId="6">
    <w:abstractNumId w:val="21"/>
  </w:num>
  <w:num w:numId="7">
    <w:abstractNumId w:val="26"/>
  </w:num>
  <w:num w:numId="8">
    <w:abstractNumId w:val="33"/>
  </w:num>
  <w:num w:numId="9">
    <w:abstractNumId w:val="28"/>
  </w:num>
  <w:num w:numId="10">
    <w:abstractNumId w:val="17"/>
  </w:num>
  <w:num w:numId="11">
    <w:abstractNumId w:val="32"/>
  </w:num>
  <w:num w:numId="12">
    <w:abstractNumId w:val="14"/>
  </w:num>
  <w:num w:numId="13">
    <w:abstractNumId w:val="0"/>
  </w:num>
  <w:num w:numId="14">
    <w:abstractNumId w:val="1"/>
  </w:num>
  <w:num w:numId="15">
    <w:abstractNumId w:val="30"/>
  </w:num>
  <w:num w:numId="16">
    <w:abstractNumId w:val="13"/>
  </w:num>
  <w:num w:numId="17">
    <w:abstractNumId w:val="29"/>
  </w:num>
  <w:num w:numId="18">
    <w:abstractNumId w:val="31"/>
  </w:num>
  <w:num w:numId="19">
    <w:abstractNumId w:val="6"/>
  </w:num>
  <w:num w:numId="20">
    <w:abstractNumId w:val="12"/>
  </w:num>
  <w:num w:numId="21">
    <w:abstractNumId w:val="8"/>
  </w:num>
  <w:num w:numId="22">
    <w:abstractNumId w:val="7"/>
  </w:num>
  <w:num w:numId="23">
    <w:abstractNumId w:val="5"/>
  </w:num>
  <w:num w:numId="24">
    <w:abstractNumId w:val="9"/>
  </w:num>
  <w:num w:numId="25">
    <w:abstractNumId w:val="11"/>
  </w:num>
  <w:num w:numId="26">
    <w:abstractNumId w:val="24"/>
  </w:num>
  <w:num w:numId="27">
    <w:abstractNumId w:val="10"/>
  </w:num>
  <w:num w:numId="28">
    <w:abstractNumId w:val="4"/>
  </w:num>
  <w:num w:numId="29">
    <w:abstractNumId w:val="15"/>
  </w:num>
  <w:num w:numId="30">
    <w:abstractNumId w:val="19"/>
  </w:num>
  <w:num w:numId="31">
    <w:abstractNumId w:val="2"/>
  </w:num>
  <w:num w:numId="32">
    <w:abstractNumId w:val="3"/>
  </w:num>
  <w:num w:numId="33">
    <w:abstractNumId w:val="34"/>
  </w:num>
  <w:num w:numId="34">
    <w:abstractNumId w:val="16"/>
  </w:num>
  <w:num w:numId="35">
    <w:abstractNumId w:val="18"/>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16">
    <w:name w:val="Title Char"/>
    <w:basedOn w:val="832"/>
    <w:link w:val="846"/>
    <w:uiPriority w:val="10"/>
    <w:rPr>
      <w:sz w:val="48"/>
      <w:szCs w:val="48"/>
    </w:rPr>
  </w:style>
  <w:style w:type="character" w:styleId="817">
    <w:name w:val="Subtitle Char"/>
    <w:basedOn w:val="832"/>
    <w:link w:val="848"/>
    <w:uiPriority w:val="11"/>
    <w:rPr>
      <w:sz w:val="24"/>
      <w:szCs w:val="24"/>
    </w:rPr>
  </w:style>
  <w:style w:type="character" w:styleId="818">
    <w:name w:val="Quote Char"/>
    <w:link w:val="850"/>
    <w:uiPriority w:val="29"/>
    <w:rPr>
      <w:i/>
    </w:rPr>
  </w:style>
  <w:style w:type="character" w:styleId="819">
    <w:name w:val="Intense Quote Char"/>
    <w:link w:val="852"/>
    <w:uiPriority w:val="30"/>
    <w:rPr>
      <w:i/>
    </w:rPr>
  </w:style>
  <w:style w:type="character" w:styleId="820">
    <w:name w:val="Footnote Text Char"/>
    <w:link w:val="987"/>
    <w:uiPriority w:val="99"/>
    <w:rPr>
      <w:sz w:val="18"/>
    </w:rPr>
  </w:style>
  <w:style w:type="character" w:styleId="821">
    <w:name w:val="Endnote Text Char"/>
    <w:link w:val="990"/>
    <w:uiPriority w:val="99"/>
    <w:rPr>
      <w:sz w:val="20"/>
    </w:rPr>
  </w:style>
  <w:style w:type="paragraph" w:styleId="822" w:default="1">
    <w:name w:val="Normal"/>
    <w:qFormat/>
    <w:pPr>
      <w:jc w:val="both"/>
      <w:widowControl w:val="off"/>
    </w:pPr>
    <w:rPr>
      <w:sz w:val="21"/>
      <w:szCs w:val="21"/>
    </w:rPr>
  </w:style>
  <w:style w:type="paragraph" w:styleId="823">
    <w:name w:val="Heading 1"/>
    <w:basedOn w:val="822"/>
    <w:next w:val="822"/>
    <w:link w:val="1004"/>
    <w:qFormat/>
    <w:pPr>
      <w:jc w:val="center"/>
      <w:keepNext/>
      <w:outlineLvl w:val="0"/>
    </w:pPr>
    <w:rPr>
      <w:rFonts w:ascii="楷体_GB2312" w:eastAsia="楷体_GB2312"/>
      <w:sz w:val="28"/>
      <w:szCs w:val="28"/>
    </w:rPr>
  </w:style>
  <w:style w:type="paragraph" w:styleId="824">
    <w:name w:val="Heading 2"/>
    <w:basedOn w:val="822"/>
    <w:next w:val="1006"/>
    <w:link w:val="1005"/>
    <w:qFormat/>
    <w:pPr>
      <w:jc w:val="center"/>
      <w:keepLines/>
      <w:keepNext/>
      <w:spacing w:before="260" w:after="260" w:line="416" w:lineRule="auto"/>
      <w:outlineLvl w:val="1"/>
    </w:pPr>
    <w:rPr>
      <w:rFonts w:ascii="Arial" w:hAnsi="Arial" w:eastAsia="幼圆"/>
      <w:b/>
      <w:bCs/>
      <w:sz w:val="44"/>
      <w:szCs w:val="44"/>
    </w:rPr>
  </w:style>
  <w:style w:type="paragraph" w:styleId="825">
    <w:name w:val="Heading 3"/>
    <w:basedOn w:val="822"/>
    <w:next w:val="1006"/>
    <w:link w:val="1008"/>
    <w:qFormat/>
    <w:pPr>
      <w:keepLines/>
      <w:keepNext/>
      <w:spacing w:before="260" w:after="260" w:line="416" w:lineRule="auto"/>
      <w:outlineLvl w:val="2"/>
    </w:pPr>
    <w:rPr>
      <w:b/>
      <w:bCs/>
      <w:sz w:val="32"/>
      <w:szCs w:val="32"/>
    </w:rPr>
  </w:style>
  <w:style w:type="paragraph" w:styleId="826">
    <w:name w:val="Heading 4"/>
    <w:basedOn w:val="822"/>
    <w:next w:val="1006"/>
    <w:link w:val="1009"/>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1006"/>
    <w:link w:val="1010"/>
    <w:uiPriority w:val="99"/>
    <w:qFormat/>
    <w:pPr>
      <w:keepNext/>
      <w:outlineLvl w:val="4"/>
    </w:pPr>
    <w:rPr>
      <w:rFonts w:ascii="宋体"/>
      <w:color w:val="000000"/>
      <w:sz w:val="28"/>
      <w:szCs w:val="28"/>
    </w:rPr>
  </w:style>
  <w:style w:type="paragraph" w:styleId="828">
    <w:name w:val="Heading 6"/>
    <w:basedOn w:val="822"/>
    <w:next w:val="822"/>
    <w:link w:val="1011"/>
    <w:qFormat/>
    <w:pPr>
      <w:numPr>
        <w:ilvl w:val="5"/>
        <w:numId w:val="1"/>
      </w:numPr>
      <w:keepLines/>
      <w:keepNext/>
      <w:spacing w:before="240" w:after="64" w:line="320" w:lineRule="auto"/>
      <w:outlineLvl w:val="5"/>
    </w:pPr>
    <w:rPr>
      <w:rFonts w:ascii="Arial" w:hAnsi="Arial" w:eastAsia="黑体"/>
      <w:b/>
      <w:bCs/>
      <w:sz w:val="24"/>
      <w:szCs w:val="24"/>
    </w:rPr>
  </w:style>
  <w:style w:type="paragraph" w:styleId="829">
    <w:name w:val="Heading 7"/>
    <w:basedOn w:val="822"/>
    <w:next w:val="822"/>
    <w:link w:val="1012"/>
    <w:qFormat/>
    <w:pPr>
      <w:numPr>
        <w:ilvl w:val="6"/>
        <w:numId w:val="1"/>
      </w:numPr>
      <w:keepLines/>
      <w:keepNext/>
      <w:spacing w:before="240" w:after="64" w:line="320" w:lineRule="auto"/>
      <w:outlineLvl w:val="6"/>
    </w:pPr>
    <w:rPr>
      <w:b/>
      <w:bCs/>
      <w:sz w:val="24"/>
      <w:szCs w:val="24"/>
    </w:rPr>
  </w:style>
  <w:style w:type="paragraph" w:styleId="830">
    <w:name w:val="Heading 8"/>
    <w:basedOn w:val="822"/>
    <w:next w:val="822"/>
    <w:link w:val="1013"/>
    <w:qFormat/>
    <w:pPr>
      <w:numPr>
        <w:ilvl w:val="7"/>
        <w:numId w:val="1"/>
      </w:numPr>
      <w:keepLines/>
      <w:keepNext/>
      <w:spacing w:before="240" w:after="64" w:line="320" w:lineRule="auto"/>
      <w:outlineLvl w:val="7"/>
    </w:pPr>
    <w:rPr>
      <w:rFonts w:ascii="Arial" w:hAnsi="Arial" w:eastAsia="黑体"/>
      <w:sz w:val="24"/>
      <w:szCs w:val="24"/>
    </w:rPr>
  </w:style>
  <w:style w:type="paragraph" w:styleId="831">
    <w:name w:val="Heading 9"/>
    <w:basedOn w:val="822"/>
    <w:next w:val="822"/>
    <w:link w:val="1014"/>
    <w:qFormat/>
    <w:pPr>
      <w:numPr>
        <w:ilvl w:val="8"/>
        <w:numId w:val="1"/>
      </w:numPr>
      <w:keepLines/>
      <w:keepNext/>
      <w:spacing w:before="240" w:after="64" w:line="320" w:lineRule="auto"/>
      <w:outlineLvl w:val="8"/>
    </w:pPr>
    <w:rPr>
      <w:rFonts w:ascii="Arial" w:hAnsi="Arial" w:eastAsia="黑体"/>
      <w:sz w:val="20"/>
    </w:rPr>
  </w:style>
  <w:style w:type="character" w:styleId="832" w:default="1">
    <w:name w:val="Default Paragraph Font"/>
    <w:uiPriority w:val="1"/>
    <w:semiHidden/>
    <w:unhideWhenUsed/>
  </w:style>
  <w:style w:type="table" w:styleId="833" w:default="1">
    <w:name w:val="Normal Table"/>
    <w:uiPriority w:val="99"/>
    <w:semiHidden/>
    <w:unhideWhenUsed/>
    <w:tblPr>
      <w:tblInd w:w="0" w:type="dxa"/>
      <w:tblCellMar>
        <w:left w:w="108" w:type="dxa"/>
        <w:top w:w="0" w:type="dxa"/>
        <w:right w:w="108" w:type="dxa"/>
        <w:bottom w:w="0" w:type="dxa"/>
      </w:tblCellMar>
    </w:tblPr>
  </w:style>
  <w:style w:type="numbering" w:styleId="834" w:default="1">
    <w:name w:val="No List"/>
    <w:uiPriority w:val="99"/>
    <w:semiHidden/>
    <w:unhideWhenUsed/>
  </w:style>
  <w:style w:type="character" w:styleId="835" w:customStyle="1">
    <w:name w:val="Heading 1 Char"/>
    <w:uiPriority w:val="9"/>
    <w:qFormat/>
    <w:rPr>
      <w:rFonts w:ascii="Arial" w:hAnsi="Arial" w:eastAsia="Arial" w:cs="Arial"/>
      <w:sz w:val="40"/>
      <w:szCs w:val="40"/>
    </w:rPr>
  </w:style>
  <w:style w:type="character" w:styleId="836" w:customStyle="1">
    <w:name w:val="Heading 2 Char"/>
    <w:uiPriority w:val="9"/>
    <w:qFormat/>
    <w:rPr>
      <w:rFonts w:ascii="Arial" w:hAnsi="Arial" w:eastAsia="Arial" w:cs="Arial"/>
      <w:sz w:val="34"/>
    </w:rPr>
  </w:style>
  <w:style w:type="character" w:styleId="837" w:customStyle="1">
    <w:name w:val="Heading 3 Char"/>
    <w:uiPriority w:val="9"/>
    <w:qFormat/>
    <w:rPr>
      <w:rFonts w:ascii="Arial" w:hAnsi="Arial" w:eastAsia="Arial" w:cs="Arial"/>
      <w:sz w:val="30"/>
      <w:szCs w:val="30"/>
    </w:rPr>
  </w:style>
  <w:style w:type="character" w:styleId="838" w:customStyle="1">
    <w:name w:val="Heading 4 Char"/>
    <w:uiPriority w:val="9"/>
    <w:qFormat/>
    <w:rPr>
      <w:rFonts w:ascii="Arial" w:hAnsi="Arial" w:eastAsia="Arial" w:cs="Arial"/>
      <w:b/>
      <w:bCs/>
      <w:sz w:val="26"/>
      <w:szCs w:val="26"/>
    </w:rPr>
  </w:style>
  <w:style w:type="character" w:styleId="839" w:customStyle="1">
    <w:name w:val="Heading 5 Char"/>
    <w:uiPriority w:val="9"/>
    <w:qFormat/>
    <w:rPr>
      <w:rFonts w:ascii="Arial" w:hAnsi="Arial" w:eastAsia="Arial" w:cs="Arial"/>
      <w:b/>
      <w:bCs/>
      <w:sz w:val="24"/>
      <w:szCs w:val="24"/>
    </w:rPr>
  </w:style>
  <w:style w:type="character" w:styleId="840" w:customStyle="1">
    <w:name w:val="Heading 6 Char"/>
    <w:uiPriority w:val="9"/>
    <w:qFormat/>
    <w:rPr>
      <w:rFonts w:ascii="Arial" w:hAnsi="Arial" w:eastAsia="Arial" w:cs="Arial"/>
      <w:b/>
      <w:bCs/>
      <w:sz w:val="22"/>
      <w:szCs w:val="22"/>
    </w:rPr>
  </w:style>
  <w:style w:type="character" w:styleId="841" w:customStyle="1">
    <w:name w:val="Heading 7 Char"/>
    <w:uiPriority w:val="9"/>
    <w:qFormat/>
    <w:rPr>
      <w:rFonts w:ascii="Arial" w:hAnsi="Arial" w:eastAsia="Arial" w:cs="Arial"/>
      <w:b/>
      <w:bCs/>
      <w:i/>
      <w:iCs/>
      <w:sz w:val="22"/>
      <w:szCs w:val="22"/>
    </w:rPr>
  </w:style>
  <w:style w:type="character" w:styleId="842" w:customStyle="1">
    <w:name w:val="Heading 8 Char"/>
    <w:uiPriority w:val="9"/>
    <w:qFormat/>
    <w:rPr>
      <w:rFonts w:ascii="Arial" w:hAnsi="Arial" w:eastAsia="Arial" w:cs="Arial"/>
      <w:i/>
      <w:iCs/>
      <w:sz w:val="22"/>
      <w:szCs w:val="22"/>
    </w:rPr>
  </w:style>
  <w:style w:type="character" w:styleId="843" w:customStyle="1">
    <w:name w:val="Heading 9 Char"/>
    <w:uiPriority w:val="9"/>
    <w:qFormat/>
    <w:rPr>
      <w:rFonts w:ascii="Arial" w:hAnsi="Arial" w:eastAsia="Arial" w:cs="Arial"/>
      <w:i/>
      <w:iCs/>
      <w:sz w:val="21"/>
      <w:szCs w:val="21"/>
    </w:rPr>
  </w:style>
  <w:style w:type="paragraph" w:styleId="844">
    <w:name w:val="List Paragraph"/>
    <w:basedOn w:val="822"/>
    <w:uiPriority w:val="34"/>
    <w:qFormat/>
    <w:pPr>
      <w:contextualSpacing/>
      <w:ind w:left="720"/>
      <w:jc w:val="left"/>
      <w:widowControl/>
    </w:pPr>
    <w:rPr>
      <w:rFonts w:ascii="Calibri" w:hAnsi="Calibri"/>
      <w:sz w:val="24"/>
      <w:szCs w:val="24"/>
      <w:lang w:eastAsia="en-US" w:bidi="en-US"/>
    </w:rPr>
  </w:style>
  <w:style w:type="paragraph" w:styleId="845">
    <w:name w:val="No Spacing"/>
    <w:link w:val="1158"/>
    <w:uiPriority w:val="1"/>
    <w:qFormat/>
    <w:pPr>
      <w:jc w:val="both"/>
      <w:widowControl w:val="off"/>
    </w:pPr>
    <w:rPr>
      <w:sz w:val="21"/>
      <w:szCs w:val="21"/>
    </w:rPr>
  </w:style>
  <w:style w:type="paragraph" w:styleId="846">
    <w:name w:val="Title"/>
    <w:basedOn w:val="822"/>
    <w:next w:val="822"/>
    <w:link w:val="847"/>
    <w:qFormat/>
    <w:pPr>
      <w:contextualSpacing/>
      <w:spacing w:before="300" w:after="200"/>
    </w:pPr>
    <w:rPr>
      <w:sz w:val="48"/>
      <w:szCs w:val="48"/>
    </w:rPr>
  </w:style>
  <w:style w:type="character" w:styleId="847" w:customStyle="1">
    <w:name w:val="标题 Char"/>
    <w:link w:val="846"/>
    <w:uiPriority w:val="10"/>
    <w:qFormat/>
    <w:rPr>
      <w:sz w:val="48"/>
      <w:szCs w:val="48"/>
    </w:rPr>
  </w:style>
  <w:style w:type="paragraph" w:styleId="848">
    <w:name w:val="Subtitle"/>
    <w:basedOn w:val="822"/>
    <w:next w:val="822"/>
    <w:link w:val="849"/>
    <w:qFormat/>
    <w:pPr>
      <w:spacing w:before="200" w:after="200"/>
    </w:pPr>
    <w:rPr>
      <w:sz w:val="24"/>
      <w:szCs w:val="24"/>
    </w:rPr>
  </w:style>
  <w:style w:type="character" w:styleId="849" w:customStyle="1">
    <w:name w:val="副标题 Char"/>
    <w:link w:val="848"/>
    <w:uiPriority w:val="11"/>
    <w:qFormat/>
    <w:rPr>
      <w:sz w:val="24"/>
      <w:szCs w:val="24"/>
    </w:rPr>
  </w:style>
  <w:style w:type="paragraph" w:styleId="850">
    <w:name w:val="Quote"/>
    <w:basedOn w:val="822"/>
    <w:next w:val="822"/>
    <w:link w:val="851"/>
    <w:uiPriority w:val="29"/>
    <w:qFormat/>
    <w:pPr>
      <w:ind w:left="720" w:right="720"/>
    </w:pPr>
    <w:rPr>
      <w:i/>
    </w:rPr>
  </w:style>
  <w:style w:type="character" w:styleId="851" w:customStyle="1">
    <w:name w:val="引用 Char"/>
    <w:link w:val="850"/>
    <w:uiPriority w:val="29"/>
    <w:qFormat/>
    <w:rPr>
      <w:i/>
    </w:rPr>
  </w:style>
  <w:style w:type="paragraph" w:styleId="852">
    <w:name w:val="Intense Quote"/>
    <w:basedOn w:val="822"/>
    <w:next w:val="822"/>
    <w:link w:val="85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3" w:customStyle="1">
    <w:name w:val="明显引用 Char"/>
    <w:link w:val="852"/>
    <w:uiPriority w:val="30"/>
    <w:qFormat/>
    <w:rPr>
      <w:i/>
    </w:rPr>
  </w:style>
  <w:style w:type="paragraph" w:styleId="854">
    <w:name w:val="Header"/>
    <w:basedOn w:val="822"/>
    <w:link w:val="1036"/>
    <w:uiPriority w:val="99"/>
    <w:qFormat/>
    <w:pPr>
      <w:jc w:val="center"/>
      <w:tabs>
        <w:tab w:val="center" w:pos="4153" w:leader="none"/>
        <w:tab w:val="right" w:pos="8306" w:leader="none"/>
      </w:tabs>
      <w:pBdr>
        <w:bottom w:val="single" w:color="000000" w:sz="6" w:space="1"/>
      </w:pBdr>
    </w:pPr>
    <w:rPr>
      <w:sz w:val="18"/>
      <w:szCs w:val="18"/>
    </w:rPr>
  </w:style>
  <w:style w:type="character" w:styleId="855" w:customStyle="1">
    <w:name w:val="Header Char"/>
    <w:uiPriority w:val="99"/>
    <w:qFormat/>
  </w:style>
  <w:style w:type="paragraph" w:styleId="856">
    <w:name w:val="Footer"/>
    <w:basedOn w:val="822"/>
    <w:link w:val="1035"/>
    <w:qFormat/>
    <w:pPr>
      <w:jc w:val="left"/>
      <w:tabs>
        <w:tab w:val="center" w:pos="4153" w:leader="none"/>
        <w:tab w:val="right" w:pos="8306" w:leader="none"/>
      </w:tabs>
    </w:pPr>
    <w:rPr>
      <w:sz w:val="18"/>
      <w:szCs w:val="18"/>
    </w:rPr>
  </w:style>
  <w:style w:type="character" w:styleId="857" w:customStyle="1">
    <w:name w:val="Footer Char"/>
    <w:uiPriority w:val="99"/>
    <w:qFormat/>
  </w:style>
  <w:style w:type="paragraph" w:styleId="858">
    <w:name w:val="Caption"/>
    <w:basedOn w:val="822"/>
    <w:next w:val="822"/>
    <w:uiPriority w:val="35"/>
    <w:semiHidden/>
    <w:unhideWhenUsed/>
    <w:qFormat/>
    <w:pPr>
      <w:spacing w:line="276" w:lineRule="auto"/>
    </w:pPr>
    <w:rPr>
      <w:b/>
      <w:bCs/>
      <w:color w:val="4f81bd" w:themeColor="accent1"/>
      <w:sz w:val="18"/>
      <w:szCs w:val="18"/>
    </w:rPr>
  </w:style>
  <w:style w:type="character" w:styleId="859" w:customStyle="1">
    <w:name w:val="Caption Char"/>
    <w:uiPriority w:val="99"/>
    <w:qFormat/>
  </w:style>
  <w:style w:type="table" w:styleId="860">
    <w:name w:val="Table Grid"/>
    <w:basedOn w:val="833"/>
    <w:qFormat/>
    <w:pPr>
      <w:jc w:val="both"/>
      <w:widowControl w:val="off"/>
    </w:pPr>
    <w:tblPr>
      <w:tblInd w:w="0" w:type="dxa"/>
      <w:tblCellMar>
        <w:left w:w="108" w:type="dxa"/>
        <w:top w:w="0" w:type="dxa"/>
        <w:right w:w="108" w:type="dxa"/>
        <w:bottom w:w="0" w:type="dxa"/>
      </w:tblCellMar>
    </w:tblPr>
  </w:style>
  <w:style w:type="table" w:styleId="861" w:customStyle="1">
    <w:name w:val="Table Grid Light"/>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2" w:customStyle="1">
    <w:name w:val="Plain Table 1"/>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Plain Table 2"/>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4" w:customStyle="1">
    <w:name w:val="Plain Table 3"/>
    <w:uiPriority w:val="99"/>
    <w:qFormat/>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5" w:customStyle="1">
    <w:name w:val="Plain Table 4"/>
    <w:uiPriority w:val="99"/>
    <w:qFormat/>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6" w:customStyle="1">
    <w:name w:val="Plain Table 5"/>
    <w:uiPriority w:val="99"/>
    <w:qFormat/>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7" w:customStyle="1">
    <w:name w:val="Grid Table 1 Light"/>
    <w:uiPriority w:val="99"/>
    <w:qFormat/>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1"/>
    <w:uiPriority w:val="99"/>
    <w:qFormat/>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2"/>
    <w:uiPriority w:val="99"/>
    <w:qFormat/>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3"/>
    <w:uiPriority w:val="99"/>
    <w:qFormat/>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4"/>
    <w:uiPriority w:val="99"/>
    <w:qFormat/>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5"/>
    <w:uiPriority w:val="99"/>
    <w:qFormat/>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6"/>
    <w:uiPriority w:val="99"/>
    <w:qFormat/>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4" w:customStyle="1">
    <w:name w:val="Grid Table 2"/>
    <w:uiPriority w:val="99"/>
    <w:qFormat/>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5" w:customStyle="1">
    <w:name w:val="Grid Table 2 - Accent 1"/>
    <w:uiPriority w:val="99"/>
    <w:qFormat/>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6" w:customStyle="1">
    <w:name w:val="Grid Table 2 - Accent 2"/>
    <w:uiPriority w:val="99"/>
    <w:qFormat/>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7" w:customStyle="1">
    <w:name w:val="Grid Table 2 - Accent 3"/>
    <w:uiPriority w:val="99"/>
    <w:qFormat/>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8" w:customStyle="1">
    <w:name w:val="Grid Table 2 - Accent 4"/>
    <w:uiPriority w:val="99"/>
    <w:qFormat/>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9" w:customStyle="1">
    <w:name w:val="Grid Table 2 - Accent 5"/>
    <w:uiPriority w:val="99"/>
    <w:qFormat/>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Grid Table 2 - Accent 6"/>
    <w:uiPriority w:val="99"/>
    <w:qFormat/>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Grid Table 3"/>
    <w:uiPriority w:val="99"/>
    <w:qFormat/>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1"/>
    <w:uiPriority w:val="99"/>
    <w:qFormat/>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2"/>
    <w:uiPriority w:val="99"/>
    <w:qFormat/>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3"/>
    <w:uiPriority w:val="99"/>
    <w:qFormat/>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4"/>
    <w:uiPriority w:val="99"/>
    <w:qFormat/>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5"/>
    <w:uiPriority w:val="99"/>
    <w:qFormat/>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6"/>
    <w:uiPriority w:val="99"/>
    <w:qFormat/>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4"/>
    <w:uiPriority w:val="59"/>
    <w:qFormat/>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Grid Table 4 - Accent 1"/>
    <w:uiPriority w:val="59"/>
    <w:qFormat/>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0" w:customStyle="1">
    <w:name w:val="Grid Table 4 - Accent 2"/>
    <w:uiPriority w:val="59"/>
    <w:qFormat/>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1" w:customStyle="1">
    <w:name w:val="Grid Table 4 - Accent 3"/>
    <w:uiPriority w:val="59"/>
    <w:qFormat/>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2" w:customStyle="1">
    <w:name w:val="Grid Table 4 - Accent 4"/>
    <w:uiPriority w:val="59"/>
    <w:qFormat/>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3" w:customStyle="1">
    <w:name w:val="Grid Table 4 - Accent 5"/>
    <w:uiPriority w:val="59"/>
    <w:qFormat/>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4" w:customStyle="1">
    <w:name w:val="Grid Table 4 - Accent 6"/>
    <w:uiPriority w:val="59"/>
    <w:qFormat/>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5" w:customStyle="1">
    <w:name w:val="Grid Table 5 Dark"/>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6" w:customStyle="1">
    <w:name w:val="Grid Table 5 Dark- Accent 1"/>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7" w:customStyle="1">
    <w:name w:val="Grid Table 5 Dark - Accent 2"/>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8" w:customStyle="1">
    <w:name w:val="Grid Table 5 Dark - Accent 3"/>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9" w:customStyle="1">
    <w:name w:val="Grid Table 5 Dark- Accent 4"/>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0" w:customStyle="1">
    <w:name w:val="Grid Table 5 Dark - Accent 5"/>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1" w:customStyle="1">
    <w:name w:val="Grid Table 5 Dark - Accent 6"/>
    <w:uiPriority w:val="99"/>
    <w:qFormat/>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2" w:customStyle="1">
    <w:name w:val="Grid Table 6 Colorful"/>
    <w:uiPriority w:val="99"/>
    <w:qFormat/>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3" w:customStyle="1">
    <w:name w:val="Grid Table 6 Colorful - Accent 1"/>
    <w:uiPriority w:val="99"/>
    <w:qFormat/>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4" w:customStyle="1">
    <w:name w:val="Grid Table 6 Colorful - Accent 2"/>
    <w:uiPriority w:val="99"/>
    <w:qFormat/>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5" w:customStyle="1">
    <w:name w:val="Grid Table 6 Colorful - Accent 3"/>
    <w:uiPriority w:val="99"/>
    <w:qFormat/>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6" w:customStyle="1">
    <w:name w:val="Grid Table 6 Colorful - Accent 4"/>
    <w:uiPriority w:val="99"/>
    <w:qFormat/>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7" w:customStyle="1">
    <w:name w:val="Grid Table 6 Colorful - Accent 5"/>
    <w:uiPriority w:val="99"/>
    <w:qFormat/>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8" w:customStyle="1">
    <w:name w:val="Grid Table 6 Colorful - Accent 6"/>
    <w:uiPriority w:val="99"/>
    <w:qFormat/>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9" w:customStyle="1">
    <w:name w:val="Grid Table 7 Colorful"/>
    <w:uiPriority w:val="99"/>
    <w:qFormat/>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10" w:customStyle="1">
    <w:name w:val="Grid Table 7 Colorful - Accent 1"/>
    <w:uiPriority w:val="99"/>
    <w:qFormat/>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1" w:customStyle="1">
    <w:name w:val="Grid Table 7 Colorful - Accent 2"/>
    <w:uiPriority w:val="99"/>
    <w:qFormat/>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2" w:customStyle="1">
    <w:name w:val="Grid Table 7 Colorful - Accent 3"/>
    <w:uiPriority w:val="99"/>
    <w:qFormat/>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3" w:customStyle="1">
    <w:name w:val="Grid Table 7 Colorful - Accent 4"/>
    <w:uiPriority w:val="99"/>
    <w:qFormat/>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4" w:customStyle="1">
    <w:name w:val="Grid Table 7 Colorful - Accent 5"/>
    <w:uiPriority w:val="99"/>
    <w:qFormat/>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5" w:customStyle="1">
    <w:name w:val="Grid Table 7 Colorful - Accent 6"/>
    <w:uiPriority w:val="99"/>
    <w:qFormat/>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6" w:customStyle="1">
    <w:name w:val="List Table 1 Light"/>
    <w:uiPriority w:val="99"/>
    <w:qFormat/>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7" w:customStyle="1">
    <w:name w:val="List Table 1 Light - Accent 1"/>
    <w:uiPriority w:val="99"/>
    <w:qFormat/>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1 Light - Accent 2"/>
    <w:uiPriority w:val="99"/>
    <w:qFormat/>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9" w:customStyle="1">
    <w:name w:val="List Table 1 Light - Accent 3"/>
    <w:uiPriority w:val="99"/>
    <w:qFormat/>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0" w:customStyle="1">
    <w:name w:val="List Table 1 Light - Accent 4"/>
    <w:uiPriority w:val="99"/>
    <w:qFormat/>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uiPriority w:val="99"/>
    <w:qFormat/>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2" w:customStyle="1">
    <w:name w:val="List Table 1 Light - Accent 6"/>
    <w:uiPriority w:val="99"/>
    <w:qFormat/>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3" w:customStyle="1">
    <w:name w:val="List Table 2"/>
    <w:uiPriority w:val="99"/>
    <w:qFormat/>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4" w:customStyle="1">
    <w:name w:val="List Table 2 - Accent 1"/>
    <w:uiPriority w:val="99"/>
    <w:qFormat/>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5" w:customStyle="1">
    <w:name w:val="List Table 2 - Accent 2"/>
    <w:uiPriority w:val="99"/>
    <w:qFormat/>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6" w:customStyle="1">
    <w:name w:val="List Table 2 - Accent 3"/>
    <w:uiPriority w:val="99"/>
    <w:qFormat/>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7" w:customStyle="1">
    <w:name w:val="List Table 2 - Accent 4"/>
    <w:uiPriority w:val="99"/>
    <w:qFormat/>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8" w:customStyle="1">
    <w:name w:val="List Table 2 - Accent 5"/>
    <w:uiPriority w:val="99"/>
    <w:qFormat/>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9" w:customStyle="1">
    <w:name w:val="List Table 2 - Accent 6"/>
    <w:uiPriority w:val="99"/>
    <w:qFormat/>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0" w:customStyle="1">
    <w:name w:val="List Table 3"/>
    <w:uiPriority w:val="99"/>
    <w:qFormat/>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3 - Accent 1"/>
    <w:uiPriority w:val="99"/>
    <w:qFormat/>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3 - Accent 2"/>
    <w:uiPriority w:val="99"/>
    <w:qFormat/>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3" w:customStyle="1">
    <w:name w:val="List Table 3 - Accent 3"/>
    <w:uiPriority w:val="99"/>
    <w:qFormat/>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4" w:customStyle="1">
    <w:name w:val="List Table 3 - Accent 4"/>
    <w:uiPriority w:val="99"/>
    <w:qFormat/>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5" w:customStyle="1">
    <w:name w:val="List Table 3 - Accent 5"/>
    <w:uiPriority w:val="99"/>
    <w:qFormat/>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6" w:customStyle="1">
    <w:name w:val="List Table 3 - Accent 6"/>
    <w:uiPriority w:val="99"/>
    <w:qFormat/>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7" w:customStyle="1">
    <w:name w:val="List Table 4"/>
    <w:uiPriority w:val="99"/>
    <w:qFormat/>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8" w:customStyle="1">
    <w:name w:val="List Table 4 - Accent 1"/>
    <w:uiPriority w:val="99"/>
    <w:qFormat/>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9" w:customStyle="1">
    <w:name w:val="List Table 4 - Accent 2"/>
    <w:uiPriority w:val="99"/>
    <w:qFormat/>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0" w:customStyle="1">
    <w:name w:val="List Table 4 - Accent 3"/>
    <w:uiPriority w:val="99"/>
    <w:qFormat/>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1" w:customStyle="1">
    <w:name w:val="List Table 4 - Accent 4"/>
    <w:uiPriority w:val="99"/>
    <w:qFormat/>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2" w:customStyle="1">
    <w:name w:val="List Table 4 - Accent 5"/>
    <w:uiPriority w:val="99"/>
    <w:qFormat/>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3" w:customStyle="1">
    <w:name w:val="List Table 4 - Accent 6"/>
    <w:uiPriority w:val="99"/>
    <w:qFormat/>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4" w:customStyle="1">
    <w:name w:val="List Table 5 Dark"/>
    <w:uiPriority w:val="99"/>
    <w:qFormat/>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5" w:customStyle="1">
    <w:name w:val="List Table 5 Dark - Accent 1"/>
    <w:uiPriority w:val="99"/>
    <w:qFormat/>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6" w:customStyle="1">
    <w:name w:val="List Table 5 Dark - Accent 2"/>
    <w:uiPriority w:val="99"/>
    <w:qFormat/>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7" w:customStyle="1">
    <w:name w:val="List Table 5 Dark - Accent 3"/>
    <w:uiPriority w:val="99"/>
    <w:qFormat/>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8" w:customStyle="1">
    <w:name w:val="List Table 5 Dark - Accent 4"/>
    <w:uiPriority w:val="99"/>
    <w:qFormat/>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9" w:customStyle="1">
    <w:name w:val="List Table 5 Dark - Accent 5"/>
    <w:uiPriority w:val="99"/>
    <w:qFormat/>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0" w:customStyle="1">
    <w:name w:val="List Table 5 Dark - Accent 6"/>
    <w:uiPriority w:val="99"/>
    <w:qFormat/>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1" w:customStyle="1">
    <w:name w:val="List Table 6 Colorful"/>
    <w:uiPriority w:val="99"/>
    <w:qFormat/>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2" w:customStyle="1">
    <w:name w:val="List Table 6 Colorful - Accent 1"/>
    <w:uiPriority w:val="99"/>
    <w:qFormat/>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3" w:customStyle="1">
    <w:name w:val="List Table 6 Colorful - Accent 2"/>
    <w:uiPriority w:val="99"/>
    <w:qFormat/>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4" w:customStyle="1">
    <w:name w:val="List Table 6 Colorful - Accent 3"/>
    <w:uiPriority w:val="99"/>
    <w:qFormat/>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5" w:customStyle="1">
    <w:name w:val="List Table 6 Colorful - Accent 4"/>
    <w:uiPriority w:val="99"/>
    <w:qFormat/>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6" w:customStyle="1">
    <w:name w:val="List Table 6 Colorful - Accent 5"/>
    <w:uiPriority w:val="99"/>
    <w:qFormat/>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7" w:customStyle="1">
    <w:name w:val="List Table 6 Colorful - Accent 6"/>
    <w:uiPriority w:val="99"/>
    <w:qFormat/>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8" w:customStyle="1">
    <w:name w:val="List Table 7 Colorful"/>
    <w:uiPriority w:val="99"/>
    <w:qFormat/>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List Table 7 Colorful - Accent 1"/>
    <w:uiPriority w:val="99"/>
    <w:qFormat/>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0" w:customStyle="1">
    <w:name w:val="List Table 7 Colorful - Accent 2"/>
    <w:uiPriority w:val="99"/>
    <w:qFormat/>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1" w:customStyle="1">
    <w:name w:val="List Table 7 Colorful - Accent 3"/>
    <w:uiPriority w:val="99"/>
    <w:qFormat/>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2" w:customStyle="1">
    <w:name w:val="List Table 7 Colorful - Accent 4"/>
    <w:uiPriority w:val="99"/>
    <w:qFormat/>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3" w:customStyle="1">
    <w:name w:val="List Table 7 Colorful - Accent 5"/>
    <w:uiPriority w:val="99"/>
    <w:qFormat/>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4" w:customStyle="1">
    <w:name w:val="List Table 7 Colorful - Accent 6"/>
    <w:uiPriority w:val="99"/>
    <w:qFormat/>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5" w:customStyle="1">
    <w:name w:val="Lined - Accent"/>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Lined - Accent 1"/>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Lined - Accent 2"/>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Lined - Accent 3"/>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Lined - Accent 4"/>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Lined - Accent 5"/>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Lined - Accent 6"/>
    <w:uiPriority w:val="99"/>
    <w:qFormat/>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amp; Lined - Accent"/>
    <w:uiPriority w:val="99"/>
    <w:qFormat/>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3" w:customStyle="1">
    <w:name w:val="Bordered &amp; Lined - Accent 1"/>
    <w:uiPriority w:val="99"/>
    <w:qFormat/>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4" w:customStyle="1">
    <w:name w:val="Bordered &amp; Lined - Accent 2"/>
    <w:uiPriority w:val="99"/>
    <w:qFormat/>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5" w:customStyle="1">
    <w:name w:val="Bordered &amp; Lined - Accent 3"/>
    <w:uiPriority w:val="99"/>
    <w:qFormat/>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6" w:customStyle="1">
    <w:name w:val="Bordered &amp; Lined - Accent 4"/>
    <w:uiPriority w:val="99"/>
    <w:qFormat/>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7" w:customStyle="1">
    <w:name w:val="Bordered &amp; Lined - Accent 5"/>
    <w:uiPriority w:val="99"/>
    <w:qFormat/>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8" w:customStyle="1">
    <w:name w:val="Bordered &amp; Lined - Accent 6"/>
    <w:uiPriority w:val="99"/>
    <w:qFormat/>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9" w:customStyle="1">
    <w:name w:val="Bordered"/>
    <w:uiPriority w:val="99"/>
    <w:qFormat/>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0" w:customStyle="1">
    <w:name w:val="Bordered - Accent 1"/>
    <w:uiPriority w:val="99"/>
    <w:qFormat/>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1" w:customStyle="1">
    <w:name w:val="Bordered - Accent 2"/>
    <w:uiPriority w:val="99"/>
    <w:qFormat/>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2" w:customStyle="1">
    <w:name w:val="Bordered - Accent 3"/>
    <w:uiPriority w:val="99"/>
    <w:qFormat/>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3" w:customStyle="1">
    <w:name w:val="Bordered - Accent 4"/>
    <w:uiPriority w:val="99"/>
    <w:qFormat/>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4" w:customStyle="1">
    <w:name w:val="Bordered - Accent 5"/>
    <w:uiPriority w:val="99"/>
    <w:qFormat/>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5" w:customStyle="1">
    <w:name w:val="Bordered - Accent 6"/>
    <w:uiPriority w:val="99"/>
    <w:qFormat/>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6">
    <w:name w:val="Hyperlink"/>
    <w:uiPriority w:val="99"/>
    <w:qFormat/>
    <w:rPr>
      <w:color w:val="0000ff"/>
      <w:u w:val="single"/>
    </w:rPr>
  </w:style>
  <w:style w:type="paragraph" w:styleId="987">
    <w:name w:val="footnote text"/>
    <w:basedOn w:val="822"/>
    <w:link w:val="988"/>
    <w:uiPriority w:val="99"/>
    <w:semiHidden/>
    <w:unhideWhenUsed/>
    <w:qFormat/>
    <w:pPr>
      <w:spacing w:after="40"/>
    </w:pPr>
    <w:rPr>
      <w:sz w:val="18"/>
    </w:rPr>
  </w:style>
  <w:style w:type="character" w:styleId="988" w:customStyle="1">
    <w:name w:val="脚注文本 Char"/>
    <w:link w:val="987"/>
    <w:uiPriority w:val="99"/>
    <w:qFormat/>
    <w:rPr>
      <w:sz w:val="18"/>
    </w:rPr>
  </w:style>
  <w:style w:type="character" w:styleId="989">
    <w:name w:val="footnote reference"/>
    <w:uiPriority w:val="99"/>
    <w:unhideWhenUsed/>
    <w:qFormat/>
    <w:rPr>
      <w:vertAlign w:val="superscript"/>
    </w:rPr>
  </w:style>
  <w:style w:type="paragraph" w:styleId="990">
    <w:name w:val="endnote text"/>
    <w:basedOn w:val="822"/>
    <w:link w:val="991"/>
    <w:uiPriority w:val="99"/>
    <w:semiHidden/>
    <w:unhideWhenUsed/>
    <w:qFormat/>
    <w:rPr>
      <w:sz w:val="20"/>
    </w:rPr>
  </w:style>
  <w:style w:type="character" w:styleId="991" w:customStyle="1">
    <w:name w:val="尾注文本 Char"/>
    <w:link w:val="990"/>
    <w:uiPriority w:val="99"/>
    <w:qFormat/>
    <w:rPr>
      <w:sz w:val="20"/>
    </w:rPr>
  </w:style>
  <w:style w:type="character" w:styleId="992">
    <w:name w:val="endnote reference"/>
    <w:uiPriority w:val="99"/>
    <w:semiHidden/>
    <w:unhideWhenUsed/>
    <w:qFormat/>
    <w:rPr>
      <w:vertAlign w:val="superscript"/>
    </w:rPr>
  </w:style>
  <w:style w:type="paragraph" w:styleId="993">
    <w:name w:val="toc 1"/>
    <w:basedOn w:val="822"/>
    <w:next w:val="822"/>
    <w:semiHidden/>
    <w:qFormat/>
    <w:pPr>
      <w:jc w:val="left"/>
      <w:spacing w:before="120" w:after="120" w:line="400" w:lineRule="exact"/>
      <w:tabs>
        <w:tab w:val="right" w:pos="8720" w:leader="dot"/>
      </w:tabs>
    </w:pPr>
    <w:rPr>
      <w:rFonts w:ascii="宋体" w:hAnsi="宋体"/>
      <w:caps/>
      <w:sz w:val="24"/>
      <w:szCs w:val="24"/>
    </w:rPr>
  </w:style>
  <w:style w:type="paragraph" w:styleId="994">
    <w:name w:val="toc 2"/>
    <w:basedOn w:val="822"/>
    <w:next w:val="822"/>
    <w:semiHidden/>
    <w:qFormat/>
    <w:pPr>
      <w:ind w:left="210"/>
      <w:jc w:val="left"/>
    </w:pPr>
    <w:rPr>
      <w:smallCaps/>
      <w:szCs w:val="24"/>
    </w:rPr>
  </w:style>
  <w:style w:type="paragraph" w:styleId="995">
    <w:name w:val="toc 3"/>
    <w:basedOn w:val="822"/>
    <w:next w:val="822"/>
    <w:semiHidden/>
    <w:qFormat/>
    <w:pPr>
      <w:ind w:left="420"/>
      <w:jc w:val="left"/>
    </w:pPr>
    <w:rPr>
      <w:i/>
      <w:iCs/>
      <w:szCs w:val="24"/>
    </w:rPr>
  </w:style>
  <w:style w:type="paragraph" w:styleId="996">
    <w:name w:val="toc 4"/>
    <w:basedOn w:val="822"/>
    <w:next w:val="822"/>
    <w:semiHidden/>
    <w:qFormat/>
    <w:pPr>
      <w:ind w:left="630"/>
      <w:jc w:val="left"/>
    </w:pPr>
  </w:style>
  <w:style w:type="paragraph" w:styleId="997">
    <w:name w:val="toc 5"/>
    <w:basedOn w:val="822"/>
    <w:next w:val="822"/>
    <w:semiHidden/>
    <w:qFormat/>
    <w:pPr>
      <w:ind w:left="840"/>
      <w:jc w:val="left"/>
    </w:pPr>
  </w:style>
  <w:style w:type="paragraph" w:styleId="998">
    <w:name w:val="toc 6"/>
    <w:basedOn w:val="822"/>
    <w:next w:val="822"/>
    <w:semiHidden/>
    <w:qFormat/>
    <w:pPr>
      <w:ind w:left="1050"/>
      <w:jc w:val="left"/>
    </w:pPr>
  </w:style>
  <w:style w:type="paragraph" w:styleId="999">
    <w:name w:val="toc 7"/>
    <w:basedOn w:val="822"/>
    <w:next w:val="822"/>
    <w:semiHidden/>
    <w:qFormat/>
    <w:pPr>
      <w:ind w:left="1260"/>
      <w:jc w:val="left"/>
    </w:pPr>
  </w:style>
  <w:style w:type="paragraph" w:styleId="1000">
    <w:name w:val="toc 8"/>
    <w:basedOn w:val="822"/>
    <w:next w:val="822"/>
    <w:semiHidden/>
    <w:qFormat/>
    <w:pPr>
      <w:ind w:left="1470"/>
      <w:jc w:val="left"/>
    </w:pPr>
  </w:style>
  <w:style w:type="paragraph" w:styleId="1001">
    <w:name w:val="toc 9"/>
    <w:basedOn w:val="822"/>
    <w:next w:val="822"/>
    <w:semiHidden/>
    <w:qFormat/>
    <w:pPr>
      <w:ind w:left="1680"/>
      <w:jc w:val="left"/>
    </w:pPr>
  </w:style>
  <w:style w:type="paragraph" w:styleId="1002">
    <w:name w:val="TOC Heading"/>
    <w:uiPriority w:val="39"/>
    <w:unhideWhenUsed/>
  </w:style>
  <w:style w:type="paragraph" w:styleId="1003">
    <w:name w:val="table of figures"/>
    <w:basedOn w:val="822"/>
    <w:next w:val="822"/>
    <w:semiHidden/>
    <w:qFormat/>
    <w:pPr>
      <w:ind w:left="840" w:hanging="420"/>
    </w:pPr>
  </w:style>
  <w:style w:type="character" w:styleId="1004" w:customStyle="1">
    <w:name w:val="标题 1 Char"/>
    <w:link w:val="823"/>
    <w:uiPriority w:val="99"/>
    <w:qFormat/>
    <w:rPr>
      <w:rFonts w:ascii="楷体_GB2312" w:hAnsi="Times New Roman" w:eastAsia="楷体_GB2312" w:cs="Times New Roman"/>
      <w:sz w:val="28"/>
      <w:szCs w:val="28"/>
    </w:rPr>
  </w:style>
  <w:style w:type="character" w:styleId="1005" w:customStyle="1">
    <w:name w:val="标题 2 Char"/>
    <w:link w:val="824"/>
    <w:uiPriority w:val="99"/>
    <w:qFormat/>
    <w:rPr>
      <w:rFonts w:ascii="Arial" w:hAnsi="Arial" w:eastAsia="幼圆" w:cs="Arial"/>
      <w:b/>
      <w:bCs/>
      <w:sz w:val="44"/>
      <w:szCs w:val="44"/>
    </w:rPr>
  </w:style>
  <w:style w:type="paragraph" w:styleId="1006">
    <w:name w:val="Normal Indent"/>
    <w:basedOn w:val="822"/>
    <w:link w:val="1007"/>
    <w:uiPriority w:val="99"/>
    <w:qFormat/>
    <w:pPr>
      <w:ind w:firstLine="420"/>
    </w:pPr>
    <w:rPr>
      <w:sz w:val="20"/>
    </w:rPr>
  </w:style>
  <w:style w:type="character" w:styleId="1007" w:customStyle="1">
    <w:name w:val="正文缩进 Char"/>
    <w:link w:val="1006"/>
    <w:qFormat/>
    <w:rPr>
      <w:rFonts w:ascii="Times New Roman" w:hAnsi="Times New Roman" w:eastAsia="宋体" w:cs="Times New Roman"/>
      <w:szCs w:val="21"/>
    </w:rPr>
  </w:style>
  <w:style w:type="character" w:styleId="1008" w:customStyle="1">
    <w:name w:val="标题 3 Char"/>
    <w:link w:val="825"/>
    <w:uiPriority w:val="99"/>
    <w:qFormat/>
    <w:rPr>
      <w:rFonts w:ascii="Times New Roman" w:hAnsi="Times New Roman" w:eastAsia="宋体" w:cs="Times New Roman"/>
      <w:b/>
      <w:bCs/>
      <w:sz w:val="32"/>
      <w:szCs w:val="32"/>
    </w:rPr>
  </w:style>
  <w:style w:type="character" w:styleId="1009" w:customStyle="1">
    <w:name w:val="标题 4 Char"/>
    <w:link w:val="826"/>
    <w:uiPriority w:val="99"/>
    <w:qFormat/>
    <w:rPr>
      <w:rFonts w:ascii="Arial" w:hAnsi="Arial" w:eastAsia="黑体" w:cs="Arial"/>
      <w:b/>
      <w:bCs/>
      <w:sz w:val="28"/>
      <w:szCs w:val="28"/>
    </w:rPr>
  </w:style>
  <w:style w:type="character" w:styleId="1010" w:customStyle="1">
    <w:name w:val="标题 5 Char"/>
    <w:link w:val="827"/>
    <w:uiPriority w:val="99"/>
    <w:qFormat/>
    <w:rPr>
      <w:rFonts w:ascii="宋体" w:hAnsi="Times New Roman" w:eastAsia="宋体" w:cs="Times New Roman"/>
      <w:color w:val="000000"/>
      <w:sz w:val="28"/>
      <w:szCs w:val="28"/>
    </w:rPr>
  </w:style>
  <w:style w:type="character" w:styleId="1011" w:customStyle="1">
    <w:name w:val="标题 6 Char"/>
    <w:link w:val="828"/>
    <w:qFormat/>
    <w:rPr>
      <w:rFonts w:ascii="Arial" w:hAnsi="Arial" w:eastAsia="黑体"/>
      <w:b/>
      <w:bCs/>
      <w:sz w:val="24"/>
      <w:szCs w:val="24"/>
    </w:rPr>
  </w:style>
  <w:style w:type="character" w:styleId="1012" w:customStyle="1">
    <w:name w:val="标题 7 Char"/>
    <w:link w:val="829"/>
    <w:qFormat/>
    <w:rPr>
      <w:b/>
      <w:bCs/>
      <w:sz w:val="24"/>
      <w:szCs w:val="24"/>
    </w:rPr>
  </w:style>
  <w:style w:type="character" w:styleId="1013" w:customStyle="1">
    <w:name w:val="标题 8 Char"/>
    <w:link w:val="830"/>
    <w:qFormat/>
    <w:rPr>
      <w:rFonts w:ascii="Arial" w:hAnsi="Arial" w:eastAsia="黑体"/>
      <w:sz w:val="24"/>
      <w:szCs w:val="24"/>
    </w:rPr>
  </w:style>
  <w:style w:type="character" w:styleId="1014" w:customStyle="1">
    <w:name w:val="标题 9 Char"/>
    <w:link w:val="831"/>
    <w:qFormat/>
    <w:rPr>
      <w:rFonts w:ascii="Arial" w:hAnsi="Arial" w:eastAsia="黑体"/>
      <w:szCs w:val="21"/>
    </w:rPr>
  </w:style>
  <w:style w:type="paragraph" w:styleId="1015">
    <w:name w:val="List 3"/>
    <w:basedOn w:val="822"/>
    <w:qFormat/>
    <w:pPr>
      <w:ind w:left="100" w:hanging="200"/>
    </w:pPr>
  </w:style>
  <w:style w:type="paragraph" w:styleId="1016">
    <w:name w:val="Document Map"/>
    <w:basedOn w:val="822"/>
    <w:link w:val="1017"/>
    <w:uiPriority w:val="99"/>
    <w:semiHidden/>
    <w:qFormat/>
    <w:pPr>
      <w:shd w:val="clear" w:color="auto" w:fill="000080"/>
    </w:pPr>
    <w:rPr>
      <w:sz w:val="20"/>
    </w:rPr>
  </w:style>
  <w:style w:type="character" w:styleId="1017" w:customStyle="1">
    <w:name w:val="文档结构图 Char"/>
    <w:link w:val="1016"/>
    <w:uiPriority w:val="99"/>
    <w:semiHidden/>
    <w:qFormat/>
    <w:rPr>
      <w:rFonts w:ascii="Times New Roman" w:hAnsi="Times New Roman" w:eastAsia="宋体" w:cs="Times New Roman"/>
      <w:szCs w:val="21"/>
      <w:shd w:val="clear" w:color="auto" w:fill="000080"/>
    </w:rPr>
  </w:style>
  <w:style w:type="paragraph" w:styleId="1018">
    <w:name w:val="annotation text"/>
    <w:basedOn w:val="822"/>
    <w:link w:val="1019"/>
    <w:qFormat/>
    <w:pPr>
      <w:jc w:val="left"/>
    </w:pPr>
    <w:rPr>
      <w:sz w:val="20"/>
    </w:rPr>
  </w:style>
  <w:style w:type="character" w:styleId="1019" w:customStyle="1">
    <w:name w:val="批注文字 Char"/>
    <w:link w:val="1018"/>
    <w:uiPriority w:val="99"/>
    <w:qFormat/>
    <w:rPr>
      <w:rFonts w:ascii="Times New Roman" w:hAnsi="Times New Roman" w:eastAsia="宋体" w:cs="Times New Roman"/>
      <w:szCs w:val="21"/>
    </w:rPr>
  </w:style>
  <w:style w:type="paragraph" w:styleId="1020">
    <w:name w:val="Body Text 3"/>
    <w:basedOn w:val="822"/>
    <w:link w:val="1021"/>
    <w:qFormat/>
    <w:rPr>
      <w:rFonts w:ascii="仿宋_GB2312" w:hAnsi="Arial" w:eastAsia="仿宋_GB2312"/>
      <w:sz w:val="32"/>
      <w:szCs w:val="32"/>
    </w:rPr>
  </w:style>
  <w:style w:type="character" w:styleId="1021" w:customStyle="1">
    <w:name w:val="正文文本 3 Char"/>
    <w:link w:val="1020"/>
    <w:qFormat/>
    <w:rPr>
      <w:rFonts w:ascii="仿宋_GB2312" w:hAnsi="Arial" w:eastAsia="仿宋_GB2312" w:cs="Times New Roman"/>
      <w:sz w:val="32"/>
      <w:szCs w:val="32"/>
    </w:rPr>
  </w:style>
  <w:style w:type="paragraph" w:styleId="1022">
    <w:name w:val="Body Text"/>
    <w:basedOn w:val="822"/>
    <w:link w:val="1023"/>
    <w:qFormat/>
    <w:rPr>
      <w:rFonts w:ascii="楷体_GB2312" w:hAnsi="Arial" w:eastAsia="楷体_GB2312"/>
      <w:sz w:val="28"/>
      <w:szCs w:val="28"/>
    </w:rPr>
  </w:style>
  <w:style w:type="character" w:styleId="1023" w:customStyle="1">
    <w:name w:val="正文文本 Char"/>
    <w:link w:val="1022"/>
    <w:uiPriority w:val="99"/>
    <w:qFormat/>
    <w:rPr>
      <w:rFonts w:ascii="楷体_GB2312" w:hAnsi="Arial" w:eastAsia="楷体_GB2312" w:cs="Times New Roman"/>
      <w:sz w:val="28"/>
      <w:szCs w:val="28"/>
    </w:rPr>
  </w:style>
  <w:style w:type="paragraph" w:styleId="1024">
    <w:name w:val="Body Text Indent"/>
    <w:basedOn w:val="822"/>
    <w:link w:val="1025"/>
    <w:qFormat/>
    <w:pPr>
      <w:ind w:firstLine="645"/>
    </w:pPr>
    <w:rPr>
      <w:rFonts w:ascii="楷体_GB2312" w:eastAsia="楷体_GB2312"/>
      <w:sz w:val="32"/>
      <w:szCs w:val="32"/>
    </w:rPr>
  </w:style>
  <w:style w:type="character" w:styleId="1025" w:customStyle="1">
    <w:name w:val="正文文本缩进 Char"/>
    <w:link w:val="1024"/>
    <w:qFormat/>
    <w:rPr>
      <w:rFonts w:ascii="楷体_GB2312" w:hAnsi="Times New Roman" w:eastAsia="楷体_GB2312" w:cs="Times New Roman"/>
      <w:sz w:val="32"/>
      <w:szCs w:val="32"/>
    </w:rPr>
  </w:style>
  <w:style w:type="paragraph" w:styleId="1026">
    <w:name w:val="List 2"/>
    <w:basedOn w:val="822"/>
    <w:qFormat/>
    <w:pPr>
      <w:ind w:left="100" w:hanging="200"/>
    </w:pPr>
  </w:style>
  <w:style w:type="paragraph" w:styleId="1027">
    <w:name w:val="Plain Text"/>
    <w:basedOn w:val="822"/>
    <w:link w:val="1028"/>
    <w:qFormat/>
    <w:rPr>
      <w:rFonts w:ascii="宋体" w:hAnsi="Courier New"/>
      <w:sz w:val="20"/>
    </w:rPr>
  </w:style>
  <w:style w:type="character" w:styleId="1028" w:customStyle="1">
    <w:name w:val="纯文本 Char"/>
    <w:link w:val="1027"/>
    <w:qFormat/>
    <w:rPr>
      <w:rFonts w:ascii="宋体" w:hAnsi="Courier New" w:eastAsia="宋体" w:cs="Courier New"/>
      <w:szCs w:val="21"/>
    </w:rPr>
  </w:style>
  <w:style w:type="paragraph" w:styleId="1029">
    <w:name w:val="Date"/>
    <w:basedOn w:val="822"/>
    <w:next w:val="822"/>
    <w:link w:val="1030"/>
    <w:uiPriority w:val="99"/>
    <w:qFormat/>
    <w:rPr>
      <w:sz w:val="24"/>
      <w:szCs w:val="24"/>
    </w:rPr>
  </w:style>
  <w:style w:type="character" w:styleId="1030" w:customStyle="1">
    <w:name w:val="日期 Char"/>
    <w:link w:val="1029"/>
    <w:uiPriority w:val="99"/>
    <w:qFormat/>
    <w:rPr>
      <w:rFonts w:ascii="Times New Roman" w:hAnsi="Times New Roman" w:eastAsia="宋体" w:cs="Times New Roman"/>
      <w:sz w:val="24"/>
      <w:szCs w:val="24"/>
    </w:rPr>
  </w:style>
  <w:style w:type="paragraph" w:styleId="1031">
    <w:name w:val="Body Text Indent 2"/>
    <w:basedOn w:val="822"/>
    <w:link w:val="1032"/>
    <w:uiPriority w:val="99"/>
    <w:qFormat/>
    <w:pPr>
      <w:ind w:left="630" w:firstLine="645"/>
    </w:pPr>
    <w:rPr>
      <w:rFonts w:ascii="Arial" w:hAnsi="Arial" w:eastAsia="仿宋_GB2312"/>
      <w:sz w:val="32"/>
      <w:szCs w:val="32"/>
    </w:rPr>
  </w:style>
  <w:style w:type="character" w:styleId="1032" w:customStyle="1">
    <w:name w:val="正文文本缩进 2 Char"/>
    <w:link w:val="1031"/>
    <w:uiPriority w:val="99"/>
    <w:qFormat/>
    <w:rPr>
      <w:rFonts w:ascii="Arial" w:hAnsi="Arial" w:eastAsia="仿宋_GB2312" w:cs="Arial"/>
      <w:sz w:val="32"/>
      <w:szCs w:val="32"/>
    </w:rPr>
  </w:style>
  <w:style w:type="paragraph" w:styleId="1033">
    <w:name w:val="Balloon Text"/>
    <w:basedOn w:val="822"/>
    <w:link w:val="1034"/>
    <w:uiPriority w:val="99"/>
    <w:qFormat/>
    <w:rPr>
      <w:sz w:val="18"/>
      <w:szCs w:val="18"/>
    </w:rPr>
  </w:style>
  <w:style w:type="character" w:styleId="1034" w:customStyle="1">
    <w:name w:val="批注框文本 Char"/>
    <w:link w:val="1033"/>
    <w:uiPriority w:val="99"/>
    <w:semiHidden/>
    <w:qFormat/>
    <w:rPr>
      <w:rFonts w:ascii="Times New Roman" w:hAnsi="Times New Roman" w:eastAsia="宋体" w:cs="Times New Roman"/>
      <w:sz w:val="18"/>
      <w:szCs w:val="18"/>
    </w:rPr>
  </w:style>
  <w:style w:type="character" w:styleId="1035" w:customStyle="1">
    <w:name w:val="页脚 Char"/>
    <w:link w:val="856"/>
    <w:qFormat/>
    <w:rPr>
      <w:rFonts w:ascii="Times New Roman" w:hAnsi="Times New Roman" w:eastAsia="宋体" w:cs="Times New Roman"/>
      <w:sz w:val="18"/>
      <w:szCs w:val="18"/>
    </w:rPr>
  </w:style>
  <w:style w:type="character" w:styleId="1036" w:customStyle="1">
    <w:name w:val="页眉 Char"/>
    <w:link w:val="854"/>
    <w:qFormat/>
    <w:rPr>
      <w:rFonts w:ascii="Times New Roman" w:hAnsi="Times New Roman" w:eastAsia="宋体" w:cs="Times New Roman"/>
      <w:sz w:val="18"/>
      <w:szCs w:val="18"/>
    </w:rPr>
  </w:style>
  <w:style w:type="paragraph" w:styleId="1037">
    <w:name w:val="List"/>
    <w:basedOn w:val="822"/>
    <w:uiPriority w:val="99"/>
    <w:qFormat/>
    <w:pPr>
      <w:ind w:left="200" w:hanging="200"/>
    </w:pPr>
  </w:style>
  <w:style w:type="paragraph" w:styleId="1038">
    <w:name w:val="Body Text Indent 3"/>
    <w:basedOn w:val="822"/>
    <w:link w:val="1039"/>
    <w:uiPriority w:val="99"/>
    <w:qFormat/>
    <w:pPr>
      <w:ind w:left="645" w:firstLine="645"/>
    </w:pPr>
    <w:rPr>
      <w:rFonts w:ascii="Arial" w:hAnsi="Arial" w:eastAsia="仿宋_GB2312"/>
      <w:color w:val="ffff00"/>
      <w:sz w:val="32"/>
      <w:szCs w:val="32"/>
    </w:rPr>
  </w:style>
  <w:style w:type="character" w:styleId="1039" w:customStyle="1">
    <w:name w:val="正文文本缩进 3 Char"/>
    <w:link w:val="1038"/>
    <w:uiPriority w:val="99"/>
    <w:qFormat/>
    <w:rPr>
      <w:rFonts w:ascii="Arial" w:hAnsi="Arial" w:eastAsia="仿宋_GB2312" w:cs="Arial"/>
      <w:color w:val="ffff00"/>
      <w:sz w:val="32"/>
      <w:szCs w:val="32"/>
    </w:rPr>
  </w:style>
  <w:style w:type="paragraph" w:styleId="1040">
    <w:name w:val="Body Text 2"/>
    <w:basedOn w:val="822"/>
    <w:link w:val="1041"/>
    <w:uiPriority w:val="99"/>
    <w:qFormat/>
    <w:pPr>
      <w:jc w:val="center"/>
      <w:widowControl/>
    </w:pPr>
    <w:rPr>
      <w:rFonts w:ascii="楷体_GB2312" w:eastAsia="楷体_GB2312"/>
      <w:sz w:val="28"/>
      <w:szCs w:val="28"/>
    </w:rPr>
  </w:style>
  <w:style w:type="character" w:styleId="1041" w:customStyle="1">
    <w:name w:val="正文文本 2 Char"/>
    <w:link w:val="1040"/>
    <w:uiPriority w:val="99"/>
    <w:qFormat/>
    <w:rPr>
      <w:rFonts w:ascii="楷体_GB2312" w:hAnsi="Times New Roman" w:eastAsia="楷体_GB2312" w:cs="Times New Roman"/>
      <w:sz w:val="28"/>
      <w:szCs w:val="28"/>
    </w:rPr>
  </w:style>
  <w:style w:type="paragraph" w:styleId="1042">
    <w:name w:val="Normal (Web)"/>
    <w:basedOn w:val="822"/>
    <w:qFormat/>
    <w:pPr>
      <w:jc w:val="left"/>
      <w:spacing w:before="100" w:beforeAutospacing="1" w:after="100" w:afterAutospacing="1"/>
      <w:widowControl/>
    </w:pPr>
    <w:rPr>
      <w:rFonts w:ascii="宋体" w:hAnsi="宋体" w:cs="宋体"/>
      <w:sz w:val="24"/>
      <w:szCs w:val="24"/>
    </w:rPr>
  </w:style>
  <w:style w:type="paragraph" w:styleId="1043">
    <w:name w:val="index 1"/>
    <w:basedOn w:val="822"/>
    <w:next w:val="822"/>
    <w:semiHidden/>
    <w:qFormat/>
    <w:pPr>
      <w:spacing w:line="240" w:lineRule="atLeast"/>
    </w:pPr>
    <w:rPr>
      <w:b/>
      <w:bCs/>
    </w:rPr>
  </w:style>
  <w:style w:type="paragraph" w:styleId="1044">
    <w:name w:val="annotation subject"/>
    <w:basedOn w:val="1018"/>
    <w:next w:val="1018"/>
    <w:link w:val="1045"/>
    <w:qFormat/>
    <w:rPr>
      <w:b/>
      <w:bCs/>
    </w:rPr>
  </w:style>
  <w:style w:type="character" w:styleId="1045" w:customStyle="1">
    <w:name w:val="批注主题 Char"/>
    <w:link w:val="1044"/>
    <w:qFormat/>
    <w:rPr>
      <w:rFonts w:ascii="Times New Roman" w:hAnsi="Times New Roman" w:eastAsia="宋体" w:cs="Times New Roman"/>
      <w:b/>
      <w:bCs/>
      <w:szCs w:val="21"/>
    </w:rPr>
  </w:style>
  <w:style w:type="paragraph" w:styleId="1046">
    <w:name w:val="Body Text First Indent"/>
    <w:basedOn w:val="822"/>
    <w:link w:val="1047"/>
    <w:qFormat/>
    <w:pPr>
      <w:ind w:firstLine="200"/>
      <w:spacing w:line="360" w:lineRule="auto"/>
    </w:pPr>
    <w:rPr>
      <w:rFonts w:ascii="仿宋_GB2312" w:eastAsia="仿宋_GB2312"/>
      <w:sz w:val="30"/>
      <w:szCs w:val="30"/>
    </w:rPr>
  </w:style>
  <w:style w:type="character" w:styleId="1047" w:customStyle="1">
    <w:name w:val="正文首行缩进 Char"/>
    <w:link w:val="1046"/>
    <w:qFormat/>
    <w:rPr>
      <w:rFonts w:ascii="仿宋_GB2312" w:hAnsi="Times New Roman" w:eastAsia="仿宋_GB2312" w:cs="Times New Roman"/>
      <w:sz w:val="30"/>
      <w:szCs w:val="30"/>
    </w:rPr>
  </w:style>
  <w:style w:type="paragraph" w:styleId="1048">
    <w:name w:val="Body Text First Indent 2"/>
    <w:basedOn w:val="1024"/>
    <w:link w:val="1049"/>
    <w:uiPriority w:val="99"/>
    <w:qFormat/>
    <w:pPr>
      <w:ind w:firstLine="420"/>
      <w:spacing w:line="360" w:lineRule="auto"/>
    </w:pPr>
    <w:rPr>
      <w:rFonts w:ascii="宋体" w:hAnsi="宋体" w:eastAsia="宋体"/>
      <w:szCs w:val="20"/>
    </w:rPr>
  </w:style>
  <w:style w:type="character" w:styleId="1049" w:customStyle="1">
    <w:name w:val="正文首行缩进 2 Char"/>
    <w:link w:val="1048"/>
    <w:uiPriority w:val="99"/>
    <w:qFormat/>
    <w:rPr>
      <w:rFonts w:ascii="宋体" w:hAnsi="宋体" w:eastAsia="宋体" w:cs="Times New Roman"/>
      <w:sz w:val="32"/>
      <w:szCs w:val="20"/>
    </w:rPr>
  </w:style>
  <w:style w:type="character" w:styleId="1050">
    <w:name w:val="Strong"/>
    <w:uiPriority w:val="99"/>
    <w:qFormat/>
    <w:rPr>
      <w:b/>
      <w:bCs/>
    </w:rPr>
  </w:style>
  <w:style w:type="character" w:styleId="1051">
    <w:name w:val="page number"/>
    <w:uiPriority w:val="99"/>
    <w:qFormat/>
  </w:style>
  <w:style w:type="character" w:styleId="1052" w:customStyle="1">
    <w:name w:val="已访问的超链接"/>
    <w:rPr>
      <w:color w:val="800080"/>
      <w:u w:val="single"/>
    </w:rPr>
  </w:style>
  <w:style w:type="character" w:styleId="1053">
    <w:name w:val="HTML Typewriter"/>
    <w:uiPriority w:val="99"/>
    <w:qFormat/>
    <w:rPr>
      <w:rFonts w:ascii="宋体" w:hAnsi="宋体" w:eastAsia="宋体" w:cs="宋体"/>
      <w:sz w:val="24"/>
      <w:szCs w:val="24"/>
    </w:rPr>
  </w:style>
  <w:style w:type="character" w:styleId="1054">
    <w:name w:val="annotation reference"/>
    <w:qFormat/>
    <w:rPr>
      <w:sz w:val="21"/>
      <w:szCs w:val="21"/>
    </w:rPr>
  </w:style>
  <w:style w:type="character" w:styleId="1055" w:customStyle="1">
    <w:name w:val="font5 Char"/>
    <w:qFormat/>
    <w:rPr>
      <w:rFonts w:ascii="宋体" w:hAnsi="宋体" w:eastAsia="宋体"/>
      <w:sz w:val="28"/>
      <w:szCs w:val="28"/>
      <w:lang w:val="en-US" w:eastAsia="zh-CN" w:bidi="ar-SA"/>
    </w:rPr>
  </w:style>
  <w:style w:type="character" w:styleId="1056" w:customStyle="1">
    <w:name w:val="二级目录 Char"/>
    <w:link w:val="1057"/>
    <w:qFormat/>
    <w:rPr>
      <w:b/>
      <w:sz w:val="30"/>
      <w:szCs w:val="28"/>
    </w:rPr>
  </w:style>
  <w:style w:type="paragraph" w:styleId="1057" w:customStyle="1">
    <w:name w:val="二级目录"/>
    <w:next w:val="822"/>
    <w:link w:val="1056"/>
    <w:qFormat/>
    <w:pPr>
      <w:numPr>
        <w:numId w:val="2"/>
      </w:numPr>
      <w:tabs>
        <w:tab w:val="left" w:pos="907" w:leader="none"/>
        <w:tab w:val="left" w:pos="1145" w:leader="none"/>
      </w:tabs>
      <w:outlineLvl w:val="1"/>
    </w:pPr>
    <w:rPr>
      <w:b/>
      <w:sz w:val="30"/>
      <w:szCs w:val="28"/>
    </w:rPr>
  </w:style>
  <w:style w:type="character" w:styleId="1058" w:customStyle="1">
    <w:name w:val="列出段落 Char"/>
    <w:link w:val="1059"/>
    <w:qFormat/>
    <w:rPr>
      <w:rFonts w:ascii="Calibri" w:hAnsi="Calibri"/>
      <w:sz w:val="24"/>
      <w:szCs w:val="24"/>
      <w:lang w:eastAsia="en-US" w:bidi="en-US"/>
    </w:rPr>
  </w:style>
  <w:style w:type="paragraph" w:styleId="1059" w:customStyle="1">
    <w:name w:val="列出段落1"/>
    <w:basedOn w:val="822"/>
    <w:link w:val="1058"/>
    <w:qFormat/>
    <w:pPr>
      <w:contextualSpacing/>
      <w:ind w:left="720"/>
      <w:jc w:val="left"/>
      <w:widowControl/>
    </w:pPr>
    <w:rPr>
      <w:rFonts w:ascii="Calibri" w:hAnsi="Calibri"/>
      <w:sz w:val="24"/>
      <w:szCs w:val="24"/>
      <w:lang w:eastAsia="en-US" w:bidi="en-US"/>
    </w:rPr>
  </w:style>
  <w:style w:type="paragraph" w:styleId="1060" w:customStyle="1">
    <w:name w:val="Body Text(ch)"/>
    <w:basedOn w:val="822"/>
    <w:next w:val="1022"/>
    <w:qFormat/>
    <w:pPr>
      <w:spacing w:after="120"/>
    </w:pPr>
    <w:rPr>
      <w:rFonts w:ascii="宋体" w:hAnsi="Arial"/>
      <w:bCs/>
      <w:iCs/>
      <w:szCs w:val="24"/>
    </w:rPr>
  </w:style>
  <w:style w:type="paragraph" w:styleId="1061" w:customStyle="1">
    <w:name w:val="xl27"/>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2" w:customStyle="1">
    <w:name w:val="xl26"/>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63" w:customStyle="1">
    <w:name w:val="Char"/>
    <w:basedOn w:val="822"/>
    <w:pPr>
      <w:ind w:firstLine="200"/>
      <w:tabs>
        <w:tab w:val="left" w:pos="360" w:leader="none"/>
      </w:tabs>
    </w:pPr>
    <w:rPr>
      <w:sz w:val="28"/>
      <w:szCs w:val="30"/>
    </w:rPr>
  </w:style>
  <w:style w:type="paragraph" w:styleId="1064" w:customStyle="1">
    <w:name w:val="Char"/>
    <w:basedOn w:val="1016"/>
    <w:qFormat/>
    <w:rPr>
      <w:rFonts w:ascii="Tahoma" w:hAnsi="Tahoma"/>
      <w:sz w:val="24"/>
      <w:szCs w:val="24"/>
    </w:rPr>
  </w:style>
  <w:style w:type="paragraph" w:styleId="1065" w:customStyle="1">
    <w:name w:val="普通正文"/>
    <w:basedOn w:val="822"/>
    <w:qFormat/>
    <w:pPr>
      <w:ind w:firstLine="480"/>
      <w:jc w:val="left"/>
      <w:spacing w:before="120" w:after="120" w:line="360" w:lineRule="auto"/>
    </w:pPr>
    <w:rPr>
      <w:rFonts w:ascii="Arial" w:hAnsi="Arial"/>
      <w:sz w:val="24"/>
      <w:szCs w:val="24"/>
    </w:rPr>
  </w:style>
  <w:style w:type="paragraph" w:styleId="1066" w:customStyle="1">
    <w:name w:val="table_lines"/>
    <w:basedOn w:val="822"/>
    <w:qFormat/>
    <w:pPr>
      <w:jc w:val="left"/>
      <w:widowControl/>
    </w:pPr>
    <w:rPr>
      <w:sz w:val="20"/>
      <w:szCs w:val="20"/>
      <w:lang w:val="de-DE" w:eastAsia="de-DE"/>
    </w:rPr>
  </w:style>
  <w:style w:type="paragraph" w:styleId="1067" w:customStyle="1">
    <w:name w:val="附录1"/>
    <w:qFormat/>
    <w:pPr>
      <w:ind w:left="907" w:hanging="907"/>
      <w:spacing w:before="240" w:line="600" w:lineRule="atLeast"/>
      <w:tabs>
        <w:tab w:val="left" w:pos="907" w:leader="none"/>
      </w:tabs>
    </w:pPr>
    <w:rPr>
      <w:b/>
      <w:i/>
      <w:sz w:val="28"/>
    </w:rPr>
  </w:style>
  <w:style w:type="paragraph" w:styleId="1068" w:customStyle="1">
    <w:name w:val="font7"/>
    <w:basedOn w:val="822"/>
    <w:uiPriority w:val="99"/>
    <w:qFormat/>
    <w:pPr>
      <w:jc w:val="left"/>
      <w:spacing w:before="100" w:beforeAutospacing="1" w:after="100" w:afterAutospacing="1"/>
      <w:widowControl/>
    </w:pPr>
    <w:rPr>
      <w:rFonts w:hint="eastAsia" w:ascii="宋体" w:hAnsi="宋体"/>
      <w:sz w:val="18"/>
      <w:szCs w:val="18"/>
    </w:rPr>
  </w:style>
  <w:style w:type="paragraph" w:styleId="1069" w:customStyle="1">
    <w:name w:val="Char Char Char Char"/>
    <w:basedOn w:val="1016"/>
    <w:pPr>
      <w:spacing w:line="360" w:lineRule="auto"/>
    </w:pPr>
    <w:rPr>
      <w:rFonts w:ascii="Tahoma" w:hAnsi="Tahoma"/>
      <w:sz w:val="24"/>
      <w:szCs w:val="24"/>
    </w:rPr>
  </w:style>
  <w:style w:type="paragraph" w:styleId="1070" w:customStyle="1">
    <w:name w:val="4"/>
    <w:basedOn w:val="822"/>
    <w:next w:val="1038"/>
    <w:qFormat/>
    <w:pPr>
      <w:ind w:firstLine="420"/>
      <w:spacing w:line="360" w:lineRule="auto"/>
    </w:pPr>
    <w:rPr>
      <w:color w:val="ff0000"/>
      <w:sz w:val="24"/>
      <w:szCs w:val="24"/>
    </w:rPr>
  </w:style>
  <w:style w:type="paragraph" w:styleId="1071" w:customStyle="1">
    <w:name w:val="普通 (Web)"/>
    <w:basedOn w:val="822"/>
    <w:qFormat/>
    <w:pPr>
      <w:jc w:val="left"/>
      <w:spacing w:before="100" w:beforeAutospacing="1" w:after="100" w:afterAutospacing="1"/>
      <w:widowControl/>
    </w:pPr>
    <w:rPr>
      <w:rFonts w:ascii="宋体" w:hAnsi="宋体"/>
      <w:sz w:val="24"/>
      <w:szCs w:val="24"/>
    </w:rPr>
  </w:style>
  <w:style w:type="paragraph" w:styleId="1072" w:customStyle="1">
    <w:name w:val="Char Char Char Char Char Char Char Char Char Char"/>
    <w:basedOn w:val="822"/>
    <w:qFormat/>
    <w:pPr>
      <w:spacing w:line="360" w:lineRule="auto"/>
    </w:pPr>
    <w:rPr>
      <w:sz w:val="24"/>
      <w:szCs w:val="20"/>
    </w:rPr>
  </w:style>
  <w:style w:type="paragraph" w:styleId="1073" w:customStyle="1">
    <w:name w:val="样式1"/>
    <w:basedOn w:val="822"/>
    <w:qFormat/>
    <w:pPr>
      <w:numPr>
        <w:numId w:val="3"/>
      </w:numPr>
      <w:tabs>
        <w:tab w:val="left" w:pos="709" w:leader="none"/>
      </w:tabs>
    </w:pPr>
    <w:rPr>
      <w:rFonts w:ascii="宋体" w:hAnsi="宋体"/>
    </w:rPr>
  </w:style>
  <w:style w:type="paragraph" w:styleId="1074" w:customStyle="1">
    <w:name w:val="font6"/>
    <w:basedOn w:val="822"/>
    <w:uiPriority w:val="99"/>
    <w:qFormat/>
    <w:pPr>
      <w:jc w:val="left"/>
      <w:spacing w:before="100" w:beforeAutospacing="1" w:after="100" w:afterAutospacing="1"/>
      <w:widowControl/>
    </w:pPr>
    <w:rPr>
      <w:rFonts w:hint="eastAsia" w:ascii="宋体" w:hAnsi="宋体"/>
      <w:sz w:val="28"/>
      <w:szCs w:val="28"/>
      <w:u w:val="single"/>
    </w:rPr>
  </w:style>
  <w:style w:type="paragraph" w:styleId="1075" w:customStyle="1">
    <w:name w:val="xl25"/>
    <w:basedOn w:val="822"/>
    <w:uiPriority w:val="99"/>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6" w:customStyle="1">
    <w:name w:val="图标"/>
    <w:basedOn w:val="822"/>
    <w:next w:val="822"/>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7" w:customStyle="1">
    <w:name w:val="标题3"/>
    <w:basedOn w:val="822"/>
    <w:next w:val="822"/>
    <w:qFormat/>
    <w:pPr>
      <w:ind w:firstLine="624"/>
      <w:spacing w:line="590" w:lineRule="atLeast"/>
    </w:pPr>
    <w:rPr>
      <w:rFonts w:ascii="方正黑体_GBK" w:eastAsia="方正黑体_GBK"/>
      <w:sz w:val="32"/>
      <w:szCs w:val="32"/>
    </w:rPr>
  </w:style>
  <w:style w:type="paragraph" w:styleId="1078" w:customStyle="1">
    <w:name w:val="xl24"/>
    <w:basedOn w:val="822"/>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9" w:customStyle="1">
    <w:name w:val="xl29"/>
    <w:basedOn w:val="822"/>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80" w:customStyle="1">
    <w:name w:val="Char Char Char Char Char Char Char Char"/>
    <w:basedOn w:val="822"/>
    <w:pPr>
      <w:jc w:val="left"/>
      <w:spacing w:after="160" w:line="240" w:lineRule="exact"/>
      <w:widowControl/>
    </w:pPr>
    <w:rPr>
      <w:rFonts w:ascii="Verdana" w:hAnsi="Verdana"/>
      <w:sz w:val="20"/>
      <w:szCs w:val="20"/>
      <w:lang w:eastAsia="en-US"/>
    </w:rPr>
  </w:style>
  <w:style w:type="paragraph" w:styleId="1081" w:customStyle="1">
    <w:name w:val="xl28"/>
    <w:basedOn w:val="822"/>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2" w:customStyle="1">
    <w:name w:val="Char Char Char Char Char Char Char Char"/>
    <w:basedOn w:val="822"/>
    <w:qFormat/>
    <w:pPr>
      <w:jc w:val="left"/>
      <w:spacing w:after="160" w:line="240" w:lineRule="exact"/>
      <w:widowControl/>
    </w:pPr>
    <w:rPr>
      <w:rFonts w:ascii="Verdana" w:hAnsi="Verdana"/>
      <w:sz w:val="20"/>
      <w:szCs w:val="20"/>
      <w:lang w:eastAsia="en-US"/>
    </w:rPr>
  </w:style>
  <w:style w:type="paragraph" w:styleId="1083" w:customStyle="1">
    <w:name w:val="xl30"/>
    <w:basedOn w:val="822"/>
    <w:uiPriority w:val="99"/>
    <w:qFormat/>
    <w:pPr>
      <w:jc w:val="center"/>
      <w:spacing w:before="100" w:beforeAutospacing="1" w:after="100" w:afterAutospacing="1"/>
      <w:widowControl/>
    </w:pPr>
    <w:rPr>
      <w:rFonts w:ascii="宋体" w:hAnsi="宋体"/>
      <w:b/>
      <w:bCs/>
      <w:sz w:val="36"/>
      <w:szCs w:val="36"/>
    </w:rPr>
  </w:style>
  <w:style w:type="paragraph" w:styleId="1084" w:customStyle="1">
    <w:name w:val="Char Char Char Char"/>
    <w:basedOn w:val="1016"/>
    <w:qFormat/>
    <w:pPr>
      <w:spacing w:line="360" w:lineRule="auto"/>
    </w:pPr>
    <w:rPr>
      <w:rFonts w:ascii="Tahoma" w:hAnsi="Tahoma"/>
      <w:sz w:val="24"/>
      <w:szCs w:val="24"/>
    </w:rPr>
  </w:style>
  <w:style w:type="paragraph" w:styleId="1085" w:customStyle="1">
    <w:name w:val="table_1stline"/>
    <w:basedOn w:val="822"/>
    <w:qFormat/>
    <w:pPr>
      <w:jc w:val="left"/>
      <w:spacing w:before="120"/>
      <w:widowControl/>
    </w:pPr>
    <w:rPr>
      <w:bCs/>
      <w:sz w:val="20"/>
      <w:szCs w:val="20"/>
      <w:lang w:val="de-DE" w:eastAsia="de-DE"/>
    </w:rPr>
  </w:style>
  <w:style w:type="paragraph" w:styleId="1086" w:customStyle="1">
    <w:name w:val="font5"/>
    <w:basedOn w:val="822"/>
    <w:uiPriority w:val="99"/>
    <w:qFormat/>
    <w:pPr>
      <w:jc w:val="left"/>
      <w:spacing w:before="100" w:beforeAutospacing="1" w:after="100" w:afterAutospacing="1"/>
      <w:widowControl/>
    </w:pPr>
    <w:rPr>
      <w:rFonts w:hint="eastAsia" w:ascii="宋体" w:hAnsi="宋体"/>
      <w:sz w:val="28"/>
      <w:szCs w:val="28"/>
    </w:rPr>
  </w:style>
  <w:style w:type="paragraph" w:styleId="1087" w:customStyle="1">
    <w:name w:val="标题1"/>
    <w:basedOn w:val="822"/>
    <w:next w:val="82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8">
    <w:name w:val="Revision"/>
    <w:uiPriority w:val="99"/>
    <w:rPr>
      <w:sz w:val="21"/>
      <w:szCs w:val="21"/>
    </w:rPr>
  </w:style>
  <w:style w:type="paragraph" w:styleId="1089" w:customStyle="1">
    <w:name w:val="普通文字"/>
    <w:basedOn w:val="822"/>
    <w:next w:val="822"/>
    <w:uiPriority w:val="99"/>
    <w:qFormat/>
    <w:rPr>
      <w:rFonts w:ascii="宋体"/>
      <w:sz w:val="24"/>
      <w:szCs w:val="20"/>
    </w:rPr>
  </w:style>
  <w:style w:type="paragraph" w:styleId="1090" w:customStyle="1">
    <w:name w:val="目录 111"/>
    <w:basedOn w:val="822"/>
    <w:next w:val="822"/>
    <w:uiPriority w:val="39"/>
    <w:unhideWhenUsed/>
    <w:qFormat/>
    <w:pPr>
      <w:jc w:val="left"/>
      <w:spacing w:after="100" w:line="259" w:lineRule="auto"/>
      <w:widowControl/>
    </w:pPr>
    <w:rPr>
      <w:rFonts w:ascii="Calibri" w:hAnsi="Calibri"/>
      <w:sz w:val="22"/>
      <w:szCs w:val="22"/>
    </w:rPr>
  </w:style>
  <w:style w:type="paragraph" w:styleId="1091">
    <w:name w:val="envelope return"/>
    <w:basedOn w:val="822"/>
    <w:uiPriority w:val="99"/>
    <w:unhideWhenUsed/>
    <w:qFormat/>
    <w:rPr>
      <w:rFonts w:ascii="Arial" w:hAnsi="Arial"/>
      <w:szCs w:val="20"/>
    </w:rPr>
  </w:style>
  <w:style w:type="character" w:styleId="1092">
    <w:name w:val="FollowedHyperlink"/>
    <w:uiPriority w:val="99"/>
    <w:qFormat/>
    <w:rPr>
      <w:rFonts w:cs="Times New Roman"/>
      <w:color w:val="auto"/>
      <w:u w:val="none"/>
    </w:rPr>
  </w:style>
  <w:style w:type="paragraph" w:styleId="1093" w:customStyle="1">
    <w:name w:val="font8"/>
    <w:basedOn w:val="822"/>
    <w:uiPriority w:val="99"/>
    <w:qFormat/>
    <w:pPr>
      <w:jc w:val="left"/>
      <w:spacing w:before="100" w:beforeAutospacing="1" w:after="100" w:afterAutospacing="1"/>
      <w:widowControl/>
    </w:pPr>
    <w:rPr>
      <w:rFonts w:ascii="宋体" w:hAnsi="宋体"/>
      <w:b/>
      <w:bCs/>
      <w:i/>
      <w:iCs/>
      <w:sz w:val="20"/>
      <w:szCs w:val="20"/>
    </w:rPr>
  </w:style>
  <w:style w:type="paragraph" w:styleId="1094" w:customStyle="1">
    <w:name w:val="font9"/>
    <w:basedOn w:val="822"/>
    <w:uiPriority w:val="99"/>
    <w:qFormat/>
    <w:pPr>
      <w:jc w:val="left"/>
      <w:spacing w:before="100" w:beforeAutospacing="1" w:after="100" w:afterAutospacing="1"/>
      <w:widowControl/>
    </w:pPr>
    <w:rPr>
      <w:b/>
      <w:bCs/>
      <w:sz w:val="20"/>
      <w:szCs w:val="20"/>
    </w:rPr>
  </w:style>
  <w:style w:type="paragraph" w:styleId="1095" w:customStyle="1">
    <w:name w:val="xl31"/>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096" w:customStyle="1">
    <w:name w:val="xl32"/>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7" w:customStyle="1">
    <w:name w:val="xl33"/>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098" w:customStyle="1">
    <w:name w:val="xl34"/>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099" w:customStyle="1">
    <w:name w:val="xl35"/>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00" w:customStyle="1">
    <w:name w:val="xl36"/>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01" w:customStyle="1">
    <w:name w:val="xl37"/>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102" w:customStyle="1">
    <w:name w:val="xl38"/>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03" w:customStyle="1">
    <w:name w:val="xl39"/>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04" w:customStyle="1">
    <w:name w:val="xl40"/>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105" w:customStyle="1">
    <w:name w:val="xl41"/>
    <w:basedOn w:val="822"/>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06" w:customStyle="1">
    <w:name w:val="xl42"/>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107" w:customStyle="1">
    <w:name w:val="xl43"/>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1108" w:customStyle="1">
    <w:name w:val="xl44"/>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1109" w:customStyle="1">
    <w:name w:val="xl45"/>
    <w:basedOn w:val="822"/>
    <w:uiPriority w:val="99"/>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1110" w:customStyle="1">
    <w:name w:val="xl46"/>
    <w:basedOn w:val="822"/>
    <w:uiPriority w:val="99"/>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111" w:customStyle="1">
    <w:name w:val="xl47"/>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12" w:customStyle="1">
    <w:name w:val="xl48"/>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113" w:customStyle="1">
    <w:name w:val="xl49"/>
    <w:basedOn w:val="822"/>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114" w:customStyle="1">
    <w:name w:val="xl50"/>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115" w:customStyle="1">
    <w:name w:val="xl51"/>
    <w:basedOn w:val="8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16" w:customStyle="1">
    <w:name w:val="xl52"/>
    <w:basedOn w:val="8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17" w:customStyle="1">
    <w:name w:val="xl53"/>
    <w:basedOn w:val="8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18" w:customStyle="1">
    <w:name w:val="xl54"/>
    <w:basedOn w:val="8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1119" w:customStyle="1">
    <w:name w:val="xl55"/>
    <w:basedOn w:val="8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120" w:customStyle="1">
    <w:name w:val="xl56"/>
    <w:basedOn w:val="8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121" w:customStyle="1">
    <w:name w:val="xl57"/>
    <w:basedOn w:val="822"/>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122" w:customStyle="1">
    <w:name w:val="xl58"/>
    <w:basedOn w:val="822"/>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123" w:customStyle="1">
    <w:name w:val="xl59"/>
    <w:basedOn w:val="822"/>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124" w:customStyle="1">
    <w:name w:val="xl60"/>
    <w:basedOn w:val="822"/>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125" w:customStyle="1">
    <w:name w:val="xl61"/>
    <w:basedOn w:val="822"/>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126" w:customStyle="1">
    <w:name w:val="xl62"/>
    <w:basedOn w:val="822"/>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127" w:customStyle="1">
    <w:name w:val="xl63"/>
    <w:basedOn w:val="822"/>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128" w:customStyle="1">
    <w:name w:val="font10"/>
    <w:basedOn w:val="822"/>
    <w:uiPriority w:val="99"/>
    <w:qFormat/>
    <w:pPr>
      <w:jc w:val="left"/>
      <w:spacing w:before="100" w:beforeAutospacing="1" w:after="100" w:afterAutospacing="1"/>
      <w:widowControl/>
    </w:pPr>
    <w:rPr>
      <w:rFonts w:ascii="楷体_GB2312" w:hAnsi="宋体" w:eastAsia="楷体_GB2312"/>
      <w:b/>
      <w:bCs/>
      <w:sz w:val="18"/>
      <w:szCs w:val="18"/>
    </w:rPr>
  </w:style>
  <w:style w:type="paragraph" w:styleId="1129" w:customStyle="1">
    <w:name w:val="font11"/>
    <w:basedOn w:val="822"/>
    <w:uiPriority w:val="99"/>
    <w:qFormat/>
    <w:pPr>
      <w:jc w:val="left"/>
      <w:spacing w:before="100" w:beforeAutospacing="1" w:after="100" w:afterAutospacing="1"/>
      <w:widowControl/>
    </w:pPr>
    <w:rPr>
      <w:b/>
      <w:bCs/>
      <w:sz w:val="18"/>
      <w:szCs w:val="18"/>
    </w:rPr>
  </w:style>
  <w:style w:type="paragraph" w:styleId="1130" w:customStyle="1">
    <w:name w:val="font12"/>
    <w:basedOn w:val="822"/>
    <w:uiPriority w:val="99"/>
    <w:qFormat/>
    <w:pPr>
      <w:jc w:val="left"/>
      <w:spacing w:before="100" w:beforeAutospacing="1" w:after="100" w:afterAutospacing="1"/>
      <w:widowControl/>
    </w:pPr>
    <w:rPr>
      <w:rFonts w:ascii="宋体" w:hAnsi="宋体"/>
      <w:sz w:val="36"/>
      <w:szCs w:val="36"/>
    </w:rPr>
  </w:style>
  <w:style w:type="paragraph" w:styleId="1131" w:customStyle="1">
    <w:name w:val="font13"/>
    <w:basedOn w:val="822"/>
    <w:uiPriority w:val="99"/>
    <w:qFormat/>
    <w:pPr>
      <w:jc w:val="left"/>
      <w:spacing w:before="100" w:beforeAutospacing="1" w:after="100" w:afterAutospacing="1"/>
      <w:widowControl/>
    </w:pPr>
    <w:rPr>
      <w:i/>
      <w:iCs/>
      <w:sz w:val="36"/>
      <w:szCs w:val="36"/>
    </w:rPr>
  </w:style>
  <w:style w:type="paragraph" w:styleId="1132" w:customStyle="1">
    <w:name w:val="font14"/>
    <w:basedOn w:val="822"/>
    <w:uiPriority w:val="99"/>
    <w:qFormat/>
    <w:pPr>
      <w:jc w:val="left"/>
      <w:spacing w:before="100" w:beforeAutospacing="1" w:after="100" w:afterAutospacing="1"/>
      <w:widowControl/>
    </w:pPr>
    <w:rPr>
      <w:sz w:val="36"/>
      <w:szCs w:val="36"/>
    </w:rPr>
  </w:style>
  <w:style w:type="character" w:styleId="1133" w:customStyle="1">
    <w:name w:val="case31"/>
    <w:uiPriority w:val="99"/>
    <w:qFormat/>
    <w:rPr>
      <w:rFonts w:cs="Times New Roman"/>
      <w:spacing w:val="390"/>
      <w:sz w:val="21"/>
      <w:szCs w:val="21"/>
    </w:rPr>
  </w:style>
  <w:style w:type="paragraph" w:styleId="1134" w:customStyle="1">
    <w:name w:val="默认段落字体 Para Char"/>
    <w:basedOn w:val="822"/>
    <w:uiPriority w:val="99"/>
    <w:qFormat/>
    <w:pPr>
      <w:ind w:left="552" w:hanging="420"/>
      <w:tabs>
        <w:tab w:val="left" w:pos="552" w:leader="none"/>
      </w:tabs>
    </w:pPr>
    <w:rPr>
      <w:sz w:val="24"/>
      <w:szCs w:val="24"/>
    </w:rPr>
  </w:style>
  <w:style w:type="paragraph" w:styleId="1135" w:customStyle="1">
    <w:name w:val="Char Char1 Char Char Char Char"/>
    <w:basedOn w:val="1016"/>
    <w:uiPriority w:val="99"/>
    <w:qFormat/>
    <w:pPr>
      <w:ind w:left="357"/>
      <w:jc w:val="left"/>
      <w:spacing w:line="436" w:lineRule="exact"/>
      <w:outlineLvl w:val="3"/>
    </w:pPr>
    <w:rPr>
      <w:rFonts w:ascii="Tahoma" w:hAnsi="Tahoma"/>
      <w:b/>
      <w:sz w:val="24"/>
      <w:szCs w:val="24"/>
    </w:rPr>
  </w:style>
  <w:style w:type="character" w:styleId="1136" w:customStyle="1">
    <w:name w:val="apple-converted-space"/>
    <w:qFormat/>
  </w:style>
  <w:style w:type="character" w:styleId="1137" w:customStyle="1">
    <w:name w:val="grame"/>
    <w:qFormat/>
  </w:style>
  <w:style w:type="character" w:styleId="1138">
    <w:name w:val="Placeholder Text"/>
    <w:uiPriority w:val="99"/>
    <w:unhideWhenUsed/>
    <w:qFormat/>
    <w:rPr>
      <w:color w:val="808080"/>
    </w:rPr>
  </w:style>
  <w:style w:type="paragraph" w:styleId="1139" w:customStyle="1">
    <w:name w:val="Char Char2 Char"/>
    <w:basedOn w:val="822"/>
    <w:qFormat/>
    <w:pPr>
      <w:ind w:left="390" w:hanging="390"/>
      <w:keepLines/>
      <w:keepNext/>
      <w:pageBreakBefore/>
      <w:tabs>
        <w:tab w:val="left" w:pos="390" w:leader="none"/>
      </w:tabs>
    </w:pPr>
    <w:rPr>
      <w:rFonts w:ascii="Tahoma" w:hAnsi="Tahoma"/>
      <w:sz w:val="24"/>
      <w:szCs w:val="20"/>
    </w:rPr>
  </w:style>
  <w:style w:type="table" w:styleId="1140" w:customStyle="1">
    <w:name w:val="Table Normal"/>
    <w:unhideWhenUsed/>
    <w:qFormat/>
    <w:tblPr>
      <w:tblCellMar>
        <w:left w:w="0" w:type="dxa"/>
        <w:top w:w="0" w:type="dxa"/>
        <w:right w:w="0" w:type="dxa"/>
        <w:bottom w:w="0" w:type="dxa"/>
      </w:tblCellMar>
    </w:tblPr>
  </w:style>
  <w:style w:type="character" w:styleId="1141" w:customStyle="1">
    <w:name w:val="font61"/>
    <w:qFormat/>
    <w:rPr>
      <w:rFonts w:ascii="宋体" w:hAnsi="宋体" w:eastAsia="宋体"/>
      <w:color w:val="000000"/>
      <w:sz w:val="21"/>
      <w:u w:val="none"/>
    </w:rPr>
  </w:style>
  <w:style w:type="paragraph" w:styleId="1142" w:customStyle="1">
    <w:name w:val="Default"/>
    <w:qFormat/>
    <w:pPr>
      <w:widowControl w:val="off"/>
    </w:pPr>
    <w:rPr>
      <w:rFonts w:ascii="宋体" w:hAnsi="宋体" w:eastAsia="华文细黑" w:cs="宋体"/>
      <w:color w:val="000000"/>
      <w:sz w:val="24"/>
      <w:szCs w:val="24"/>
    </w:rPr>
  </w:style>
  <w:style w:type="paragraph" w:styleId="1143" w:customStyle="1">
    <w:name w:val="TOC Heading1"/>
    <w:next w:val="822"/>
    <w:qFormat/>
    <w:rPr>
      <w:sz w:val="32"/>
    </w:rPr>
  </w:style>
  <w:style w:type="character" w:styleId="1144" w:customStyle="1">
    <w:name w:val="font31"/>
    <w:qFormat/>
    <w:rPr>
      <w:rFonts w:hint="eastAsia" w:ascii="宋体" w:hAnsi="宋体" w:eastAsia="宋体" w:cs="宋体"/>
      <w:color w:val="ff0000"/>
      <w:sz w:val="20"/>
      <w:szCs w:val="20"/>
      <w:u w:val="none"/>
    </w:rPr>
  </w:style>
  <w:style w:type="character" w:styleId="1145" w:customStyle="1">
    <w:name w:val="font21"/>
    <w:qFormat/>
    <w:rPr>
      <w:rFonts w:hint="eastAsia" w:ascii="宋体" w:hAnsi="宋体" w:eastAsia="宋体" w:cs="宋体"/>
      <w:color w:val="000000"/>
      <w:sz w:val="20"/>
      <w:szCs w:val="20"/>
      <w:u w:val="none"/>
    </w:rPr>
  </w:style>
  <w:style w:type="paragraph" w:styleId="1146" w:customStyle="1">
    <w:name w:val="lp1"/>
    <w:basedOn w:val="822"/>
    <w:next w:val="844"/>
    <w:uiPriority w:val="99"/>
    <w:qFormat/>
    <w:pPr>
      <w:ind w:firstLine="420"/>
    </w:pPr>
    <w:rPr>
      <w:szCs w:val="20"/>
      <w:lang w:val="zh-CN"/>
    </w:rPr>
  </w:style>
  <w:style w:type="paragraph" w:styleId="1147" w:customStyle="1">
    <w:name w:val="样式 小四 段前: 5 磅 段后: 5 磅 首行缩进:  2 字符"/>
    <w:basedOn w:val="822"/>
    <w:qFormat/>
    <w:pPr>
      <w:jc w:val="center"/>
      <w:spacing w:line="360" w:lineRule="auto"/>
    </w:pPr>
    <w:rPr>
      <w:rFonts w:ascii="宋体" w:hAnsi="宋体"/>
      <w:bCs/>
      <w:color w:val="ff0000"/>
      <w:sz w:val="24"/>
      <w:szCs w:val="24"/>
    </w:rPr>
  </w:style>
  <w:style w:type="character" w:styleId="1148" w:customStyle="1">
    <w:name w:val="font01"/>
    <w:qFormat/>
    <w:rPr>
      <w:rFonts w:hint="eastAsia" w:ascii="宋体" w:hAnsi="宋体" w:eastAsia="宋体" w:cs="宋体"/>
      <w:i w:val="0"/>
      <w:iCs w:val="0"/>
      <w:color w:val="000000"/>
      <w:sz w:val="18"/>
      <w:szCs w:val="18"/>
      <w:u w:val="none"/>
    </w:rPr>
  </w:style>
  <w:style w:type="character" w:styleId="1149" w:customStyle="1">
    <w:name w:val="font51"/>
    <w:qFormat/>
    <w:rPr>
      <w:rFonts w:hint="eastAsia" w:ascii="宋体" w:hAnsi="宋体" w:eastAsia="宋体" w:cs="宋体"/>
      <w:i w:val="0"/>
      <w:iCs w:val="0"/>
      <w:color w:val="ff0000"/>
      <w:sz w:val="18"/>
      <w:szCs w:val="18"/>
      <w:u w:val="none"/>
    </w:rPr>
  </w:style>
  <w:style w:type="paragraph" w:styleId="1150" w:customStyle="1">
    <w:name w:val="修订1"/>
    <w:uiPriority w:val="99"/>
    <w:qFormat/>
    <w:rPr>
      <w:sz w:val="21"/>
    </w:rPr>
  </w:style>
  <w:style w:type="character" w:styleId="1151" w:customStyle="1">
    <w:name w:val="font71"/>
    <w:qFormat/>
    <w:rPr>
      <w:rFonts w:hint="eastAsia" w:ascii="宋体" w:hAnsi="宋体" w:eastAsia="宋体" w:cs="宋体"/>
      <w:b/>
      <w:bCs/>
      <w:color w:val="000000"/>
      <w:sz w:val="20"/>
      <w:szCs w:val="20"/>
      <w:u w:val="none"/>
    </w:rPr>
  </w:style>
  <w:style w:type="paragraph" w:styleId="1152" w:customStyle="1">
    <w:name w:val="正文2"/>
    <w:basedOn w:val="822"/>
    <w:qFormat/>
    <w:pPr>
      <w:ind w:firstLine="510"/>
      <w:spacing w:before="156" w:line="360" w:lineRule="auto"/>
    </w:pPr>
    <w:rPr>
      <w:sz w:val="24"/>
    </w:rPr>
  </w:style>
  <w:style w:type="character" w:styleId="1153" w:customStyle="1">
    <w:name w:val="标题 3 字符1"/>
    <w:link w:val="1154"/>
    <w:qFormat/>
    <w:rPr>
      <w:b/>
      <w:sz w:val="32"/>
    </w:rPr>
  </w:style>
  <w:style w:type="paragraph" w:styleId="1154" w:customStyle="1">
    <w:name w:val="标题 31"/>
    <w:basedOn w:val="822"/>
    <w:next w:val="822"/>
    <w:link w:val="1153"/>
    <w:qFormat/>
    <w:pPr>
      <w:ind w:left="720" w:hanging="720"/>
      <w:jc w:val="center"/>
      <w:keepLines/>
      <w:keepNext/>
      <w:spacing w:before="120" w:after="120" w:line="360" w:lineRule="auto"/>
      <w:widowControl/>
      <w:tabs>
        <w:tab w:val="left" w:pos="720" w:leader="none"/>
      </w:tabs>
      <w:outlineLvl w:val="2"/>
    </w:pPr>
    <w:rPr>
      <w:b/>
      <w:sz w:val="32"/>
      <w:szCs w:val="20"/>
    </w:rPr>
  </w:style>
  <w:style w:type="paragraph" w:styleId="1155" w:customStyle="1">
    <w:name w:val="列表段落1"/>
    <w:basedOn w:val="822"/>
    <w:qFormat/>
    <w:pPr>
      <w:ind w:firstLine="420"/>
      <w:jc w:val="left"/>
      <w:spacing w:line="360" w:lineRule="auto"/>
      <w:widowControl/>
    </w:pPr>
    <w:rPr>
      <w:rFonts w:asciiTheme="minorEastAsia" w:hAnsiTheme="minorEastAsia" w:eastAsiaTheme="minorEastAsia"/>
      <w:sz w:val="24"/>
      <w:szCs w:val="22"/>
    </w:rPr>
  </w:style>
  <w:style w:type="character" w:styleId="1156" w:customStyle="1">
    <w:name w:val="font81"/>
    <w:qFormat/>
    <w:rPr>
      <w:rFonts w:hint="eastAsia" w:ascii="宋体" w:hAnsi="宋体" w:eastAsia="宋体" w:cs="宋体"/>
      <w:color w:val="000000"/>
      <w:sz w:val="20"/>
      <w:szCs w:val="20"/>
      <w:u w:val="none"/>
    </w:rPr>
  </w:style>
  <w:style w:type="character" w:styleId="1157" w:customStyle="1">
    <w:name w:val="font171"/>
    <w:qFormat/>
    <w:rPr>
      <w:rFonts w:hint="eastAsia" w:ascii="宋体" w:hAnsi="宋体" w:eastAsia="宋体" w:cs="宋体"/>
      <w:b/>
      <w:bCs/>
      <w:color w:val="ff0000"/>
      <w:sz w:val="20"/>
      <w:szCs w:val="20"/>
      <w:u w:val="none"/>
    </w:rPr>
  </w:style>
  <w:style w:type="character" w:styleId="1158" w:customStyle="1">
    <w:name w:val="无间隔 Char"/>
    <w:basedOn w:val="832"/>
    <w:link w:val="845"/>
    <w:uiPriority w:val="1"/>
    <w:qFormat/>
    <w:rPr>
      <w:sz w:val="21"/>
      <w:szCs w:val="21"/>
    </w:rPr>
  </w:style>
  <w:style w:type="table" w:styleId="115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6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6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6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6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6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165"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166"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67"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6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6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170"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71"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2"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17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75"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76"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77"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1178" w:customStyle="1">
    <w:name w:val="TOC 标题1"/>
    <w:uiPriority w:val="39"/>
    <w:unhideWhenUsed/>
    <w:qFormat/>
  </w:style>
  <w:style w:type="character" w:styleId="1179" w:customStyle="1">
    <w:name w:val="已访问的超链接1"/>
    <w:qFormat/>
    <w:rPr>
      <w:color w:val="800080"/>
      <w:u w:val="single"/>
    </w:rPr>
  </w:style>
  <w:style w:type="paragraph" w:styleId="1180" w:customStyle="1">
    <w:name w:val="Char1"/>
    <w:basedOn w:val="1016"/>
    <w:qFormat/>
    <w:rPr>
      <w:rFonts w:ascii="Tahoma" w:hAnsi="Tahoma"/>
      <w:sz w:val="24"/>
      <w:szCs w:val="24"/>
    </w:rPr>
  </w:style>
  <w:style w:type="paragraph" w:styleId="1181" w:customStyle="1">
    <w:name w:val="Char Char Char Char Char Char Char Char1"/>
    <w:basedOn w:val="822"/>
    <w:qFormat/>
    <w:pPr>
      <w:jc w:val="left"/>
      <w:spacing w:after="160" w:line="240" w:lineRule="exact"/>
      <w:widowControl/>
    </w:pPr>
    <w:rPr>
      <w:rFonts w:ascii="Verdana" w:hAnsi="Verdana"/>
      <w:sz w:val="20"/>
      <w:szCs w:val="20"/>
      <w:lang w:eastAsia="en-US"/>
    </w:rPr>
  </w:style>
  <w:style w:type="paragraph" w:styleId="1182" w:customStyle="1">
    <w:name w:val="Char Char Char Char1"/>
    <w:basedOn w:val="1016"/>
    <w:uiPriority w:val="99"/>
    <w:qFormat/>
    <w:pPr>
      <w:spacing w:line="360" w:lineRule="auto"/>
    </w:pPr>
    <w:rPr>
      <w:rFonts w:ascii="Tahoma" w:hAnsi="Tahoma"/>
      <w:sz w:val="24"/>
      <w:szCs w:val="24"/>
    </w:rPr>
  </w:style>
  <w:style w:type="paragraph" w:styleId="1183" w:customStyle="1">
    <w:name w:val="AONormal"/>
    <w:qFormat/>
    <w:pPr>
      <w:ind w:firstLine="440"/>
      <w:spacing w:line="400" w:lineRule="exact"/>
    </w:pPr>
    <w:rPr>
      <w:rFonts w:ascii="华文楷体" w:hAnsi="华文楷体" w:eastAsia="华文楷体" w:cs="华文楷体"/>
      <w:sz w:val="22"/>
      <w:szCs w:val="21"/>
    </w:rPr>
  </w:style>
  <w:style w:type="paragraph" w:styleId="1184" w:customStyle="1">
    <w:name w:val="修订11"/>
    <w:uiPriority w:val="99"/>
    <w:semiHidden/>
    <w:qFormat/>
    <w:rPr>
      <w:sz w:val="21"/>
    </w:rPr>
  </w:style>
  <w:style w:type="character" w:styleId="1185" w:customStyle="1">
    <w:name w:val="font112"/>
    <w:basedOn w:val="832"/>
    <w:qFormat/>
    <w:rPr>
      <w:rFonts w:ascii="Calibri" w:hAnsi="Calibri" w:cs="Calibri"/>
      <w:color w:val="000000"/>
      <w:sz w:val="22"/>
      <w:szCs w:val="22"/>
      <w:u w:val="none"/>
    </w:rPr>
  </w:style>
  <w:style w:type="character" w:styleId="1186" w:customStyle="1">
    <w:name w:val="font121"/>
    <w:basedOn w:val="832"/>
    <w:qFormat/>
    <w:rPr>
      <w:rFonts w:hint="default" w:ascii="Calibri" w:hAnsi="Calibri" w:cs="Calibri"/>
      <w:color w:val="ff0000"/>
      <w:sz w:val="22"/>
      <w:szCs w:val="22"/>
      <w:u w:val="none"/>
    </w:rPr>
  </w:style>
  <w:style w:type="character" w:styleId="1187" w:customStyle="1">
    <w:name w:val="font131"/>
    <w:basedOn w:val="832"/>
    <w:qFormat/>
    <w:rPr>
      <w:rFonts w:hint="eastAsia" w:ascii="宋体" w:hAnsi="宋体" w:eastAsia="宋体" w:cs="宋体"/>
      <w:color w:val="0070c0"/>
      <w:sz w:val="22"/>
      <w:szCs w:val="22"/>
      <w:u w:val="none"/>
    </w:rPr>
  </w:style>
  <w:style w:type="character" w:styleId="1188" w:customStyle="1">
    <w:name w:val="font141"/>
    <w:basedOn w:val="832"/>
    <w:qFormat/>
    <w:rPr>
      <w:rFonts w:hint="eastAsia" w:ascii="宋体" w:hAnsi="宋体" w:eastAsia="宋体" w:cs="宋体"/>
      <w:b/>
      <w:bCs/>
      <w:color w:val="ff0000"/>
      <w:sz w:val="22"/>
      <w:szCs w:val="22"/>
      <w:u w:val="none"/>
    </w:rPr>
  </w:style>
  <w:style w:type="character" w:styleId="1189" w:customStyle="1">
    <w:name w:val="font151"/>
    <w:basedOn w:val="832"/>
    <w:qFormat/>
    <w:rPr>
      <w:rFonts w:hint="default" w:ascii="Calibri" w:hAnsi="Calibri" w:cs="Calibri"/>
      <w:color w:val="000000"/>
      <w:sz w:val="22"/>
      <w:szCs w:val="22"/>
      <w:u w:val="none"/>
    </w:rPr>
  </w:style>
  <w:style w:type="character" w:styleId="1190" w:customStyle="1">
    <w:name w:val="font161"/>
    <w:basedOn w:val="832"/>
    <w:qFormat/>
    <w:rPr>
      <w:rFonts w:hint="default" w:ascii="Calibri" w:hAnsi="Calibri" w:cs="Calibri"/>
      <w:color w:val="000000"/>
      <w:sz w:val="22"/>
      <w:szCs w:val="22"/>
      <w:u w:val="none"/>
    </w:rPr>
  </w:style>
  <w:style w:type="character" w:styleId="1191" w:customStyle="1">
    <w:name w:val="font181"/>
    <w:basedOn w:val="832"/>
    <w:qFormat/>
    <w:rPr>
      <w:rFonts w:hint="default" w:ascii="Times New Roman" w:hAnsi="Times New Roman" w:cs="Times New Roman"/>
      <w:color w:val="ff0000"/>
      <w:sz w:val="22"/>
      <w:szCs w:val="22"/>
      <w:u w:val="none"/>
    </w:rPr>
  </w:style>
  <w:style w:type="character" w:styleId="1192" w:customStyle="1">
    <w:name w:val="font41"/>
    <w:basedOn w:val="832"/>
    <w:qFormat/>
    <w:rPr>
      <w:rFonts w:hint="eastAsia" w:ascii="宋体" w:hAnsi="宋体" w:eastAsia="宋体" w:cs="宋体"/>
      <w:b/>
      <w:bCs/>
      <w:color w:val="000000"/>
      <w:sz w:val="24"/>
      <w:szCs w:val="24"/>
      <w:u w:val="none"/>
    </w:rPr>
  </w:style>
  <w:style w:type="character" w:styleId="1193" w:customStyle="1">
    <w:name w:val="font122"/>
    <w:basedOn w:val="832"/>
    <w:qFormat/>
    <w:rPr>
      <w:rFonts w:ascii="Arial" w:hAnsi="Arial" w:cs="Arial"/>
      <w:color w:val="000000"/>
      <w:sz w:val="20"/>
      <w:szCs w:val="20"/>
      <w:u w:val="none"/>
    </w:rPr>
  </w:style>
  <w:style w:type="character" w:styleId="1194" w:customStyle="1">
    <w:name w:val="已访问的超链接11"/>
    <w:qFormat/>
    <w:rPr>
      <w:color w:val="800080"/>
      <w:u w:val="single"/>
    </w:rPr>
  </w:style>
  <w:style w:type="paragraph" w:styleId="1195" w:customStyle="1">
    <w:name w:val="Char11"/>
    <w:basedOn w:val="1016"/>
    <w:qFormat/>
    <w:rPr>
      <w:rFonts w:ascii="Tahoma" w:hAnsi="Tahoma"/>
      <w:sz w:val="24"/>
      <w:szCs w:val="24"/>
    </w:rPr>
  </w:style>
  <w:style w:type="paragraph" w:styleId="1196" w:customStyle="1">
    <w:name w:val="Char Char Char Char Char Char Char Char11"/>
    <w:basedOn w:val="822"/>
    <w:qFormat/>
    <w:pPr>
      <w:jc w:val="left"/>
      <w:spacing w:after="160" w:line="240" w:lineRule="exact"/>
      <w:widowControl/>
    </w:pPr>
    <w:rPr>
      <w:rFonts w:ascii="Verdana" w:hAnsi="Verdana"/>
      <w:sz w:val="20"/>
      <w:szCs w:val="20"/>
      <w:lang w:eastAsia="en-US"/>
    </w:rPr>
  </w:style>
  <w:style w:type="paragraph" w:styleId="1197" w:customStyle="1">
    <w:name w:val="Char Char Char Char11"/>
    <w:basedOn w:val="1016"/>
    <w:qFormat/>
    <w:pPr>
      <w:spacing w:line="360" w:lineRule="auto"/>
    </w:pPr>
    <w:rPr>
      <w:rFonts w:ascii="Tahoma" w:hAnsi="Tahoma"/>
      <w:sz w:val="24"/>
      <w:szCs w:val="24"/>
    </w:rPr>
  </w:style>
  <w:style w:type="character" w:styleId="1198" w:customStyle="1">
    <w:name w:val="已访问的超链接111"/>
    <w:rPr>
      <w:color w:val="800080"/>
      <w:u w:val="single"/>
    </w:rPr>
  </w:style>
  <w:style w:type="paragraph" w:styleId="1199" w:customStyle="1">
    <w:name w:val="Char111"/>
    <w:basedOn w:val="1016"/>
    <w:qFormat/>
    <w:rPr>
      <w:rFonts w:ascii="Tahoma" w:hAnsi="Tahoma"/>
      <w:sz w:val="24"/>
      <w:szCs w:val="24"/>
    </w:rPr>
  </w:style>
  <w:style w:type="paragraph" w:styleId="1200" w:customStyle="1">
    <w:name w:val="Char Char Char Char Char Char Char Char111"/>
    <w:basedOn w:val="822"/>
    <w:qFormat/>
    <w:pPr>
      <w:jc w:val="left"/>
      <w:spacing w:after="160" w:line="240" w:lineRule="exact"/>
      <w:widowControl/>
    </w:pPr>
    <w:rPr>
      <w:rFonts w:ascii="Verdana" w:hAnsi="Verdana"/>
      <w:sz w:val="20"/>
      <w:szCs w:val="20"/>
      <w:lang w:eastAsia="en-US"/>
    </w:rPr>
  </w:style>
  <w:style w:type="paragraph" w:styleId="1201" w:customStyle="1">
    <w:name w:val="Char Char Char Char111"/>
    <w:basedOn w:val="1016"/>
    <w:qFormat/>
    <w:pPr>
      <w:spacing w:line="360" w:lineRule="auto"/>
    </w:pPr>
    <w:rPr>
      <w:rFonts w:ascii="Tahoma" w:hAnsi="Tahoma"/>
      <w:sz w:val="24"/>
      <w:szCs w:val="24"/>
    </w:rPr>
  </w:style>
  <w:style w:type="paragraph" w:styleId="1202" w:customStyle="1">
    <w:name w:val="p0"/>
    <w:basedOn w:val="822"/>
    <w:qFormat/>
    <w:pPr>
      <w:widowControl/>
    </w:pPr>
    <w:rPr>
      <w:rFonts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cz.wuxi.gov.cn/doc/2023/10/11/4080287.shtml" TargetMode="External"/><Relationship Id="rId14" Type="http://schemas.openxmlformats.org/officeDocument/2006/relationships/hyperlink" Target="http://www.creditchina.gov.cn/" TargetMode="External"/><Relationship Id="rId15"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4112DB-EC70-41E7-9C01-4021FC727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王湉湉</cp:lastModifiedBy>
  <cp:revision>76</cp:revision>
  <dcterms:created xsi:type="dcterms:W3CDTF">2024-04-08T05:34:00Z</dcterms:created>
  <dcterms:modified xsi:type="dcterms:W3CDTF">2024-07-10T02:35:11Z</dcterms:modified>
</cp:coreProperties>
</file>