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72"/>
          <w:szCs w:val="72"/>
        </w:rPr>
      </w:pPr>
      <w:r>
        <w:rPr>
          <w:rFonts w:hint="eastAsia" w:ascii="宋体" w:hAnsi="宋体" w:cs="宋体"/>
          <w:b/>
          <w:sz w:val="72"/>
          <w:szCs w:val="72"/>
        </w:rPr>
        <w:t>无锡市政府采购项目</w:t>
      </w:r>
    </w:p>
    <w:p>
      <w:pPr>
        <w:spacing w:line="360" w:lineRule="auto"/>
        <w:jc w:val="center"/>
        <w:rPr>
          <w:rFonts w:ascii="宋体" w:hAnsi="宋体" w:cs="宋体"/>
          <w:b/>
          <w:sz w:val="72"/>
          <w:szCs w:val="72"/>
        </w:rPr>
      </w:pPr>
    </w:p>
    <w:p>
      <w:pPr>
        <w:spacing w:line="360" w:lineRule="auto"/>
        <w:jc w:val="center"/>
        <w:rPr>
          <w:rFonts w:ascii="宋体" w:hAnsi="宋体" w:cs="宋体"/>
          <w:b/>
          <w:sz w:val="72"/>
          <w:szCs w:val="72"/>
        </w:rPr>
      </w:pPr>
      <w:r>
        <w:rPr>
          <w:rFonts w:hint="eastAsia" w:ascii="宋体" w:hAnsi="宋体" w:cs="宋体"/>
          <w:b/>
          <w:sz w:val="72"/>
          <w:szCs w:val="72"/>
        </w:rPr>
        <w:t>公开招标文件</w:t>
      </w:r>
    </w:p>
    <w:p>
      <w:pPr>
        <w:spacing w:line="360" w:lineRule="auto"/>
        <w:jc w:val="center"/>
        <w:rPr>
          <w:rFonts w:ascii="宋体" w:hAnsi="宋体" w:cs="宋体"/>
          <w:b/>
          <w:sz w:val="24"/>
        </w:rPr>
      </w:pPr>
    </w:p>
    <w:p>
      <w:pPr>
        <w:spacing w:line="360" w:lineRule="auto"/>
        <w:jc w:val="center"/>
        <w:rPr>
          <w:rFonts w:ascii="宋体" w:hAnsi="宋体" w:cs="宋体"/>
          <w:b/>
          <w:sz w:val="36"/>
          <w:szCs w:val="36"/>
        </w:rPr>
      </w:pPr>
      <w:r>
        <w:rPr>
          <w:rFonts w:hint="eastAsia" w:ascii="宋体" w:hAnsi="宋体" w:cs="宋体"/>
          <w:b/>
          <w:sz w:val="36"/>
          <w:szCs w:val="36"/>
        </w:rPr>
        <w:t xml:space="preserve"> </w:t>
      </w: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bCs/>
          <w:sz w:val="30"/>
          <w:szCs w:val="30"/>
        </w:rPr>
      </w:pPr>
    </w:p>
    <w:p>
      <w:pPr>
        <w:ind w:firstLine="1205"/>
        <w:rPr>
          <w:rFonts w:hint="eastAsia" w:ascii="宋体" w:hAnsi="宋体" w:eastAsia="宋体" w:cs="宋体"/>
          <w:b/>
          <w:bCs/>
          <w:sz w:val="30"/>
          <w:szCs w:val="30"/>
          <w:lang w:eastAsia="zh-CN"/>
        </w:rPr>
      </w:pPr>
      <w:r>
        <w:rPr>
          <w:rFonts w:hint="eastAsia" w:ascii="宋体" w:hAnsi="宋体" w:cs="宋体"/>
          <w:b/>
          <w:bCs/>
          <w:sz w:val="30"/>
          <w:szCs w:val="30"/>
        </w:rPr>
        <w:t>政府采购编号：</w:t>
      </w:r>
      <w:r>
        <w:rPr>
          <w:rFonts w:hint="eastAsia" w:ascii="宋体" w:hAnsi="宋体" w:cs="宋体"/>
          <w:b/>
          <w:bCs/>
          <w:sz w:val="30"/>
          <w:szCs w:val="30"/>
          <w:lang w:eastAsia="zh-CN"/>
        </w:rPr>
        <w:t>JSZC-320292-BZDL-G2024-0044</w:t>
      </w:r>
    </w:p>
    <w:p>
      <w:pPr>
        <w:ind w:left="2846" w:firstLine="1205"/>
        <w:rPr>
          <w:rFonts w:ascii="宋体" w:hAnsi="宋体" w:cs="宋体"/>
          <w:b/>
          <w:bCs/>
          <w:sz w:val="30"/>
          <w:szCs w:val="30"/>
        </w:rPr>
      </w:pPr>
    </w:p>
    <w:p>
      <w:pPr>
        <w:ind w:firstLine="1205"/>
        <w:rPr>
          <w:rFonts w:ascii="宋体" w:hAnsi="宋体" w:cs="宋体"/>
          <w:b/>
          <w:bCs/>
          <w:sz w:val="30"/>
          <w:szCs w:val="30"/>
        </w:rPr>
      </w:pPr>
      <w:r>
        <w:rPr>
          <w:rFonts w:hint="eastAsia" w:ascii="宋体" w:hAnsi="宋体" w:cs="宋体"/>
          <w:b/>
          <w:bCs/>
          <w:sz w:val="30"/>
          <w:szCs w:val="30"/>
        </w:rPr>
        <w:t>采购项目名称：</w:t>
      </w:r>
      <w:r>
        <w:rPr>
          <w:rFonts w:hint="eastAsia" w:ascii="宋体" w:hAnsi="宋体" w:cs="宋体"/>
          <w:b/>
          <w:bCs/>
          <w:sz w:val="30"/>
          <w:szCs w:val="30"/>
          <w:lang w:eastAsia="zh-CN"/>
        </w:rPr>
        <w:t>新综合楼数字化创新实验室设施设备采购项目</w:t>
      </w:r>
      <w:r>
        <w:rPr>
          <w:rFonts w:hint="eastAsia" w:ascii="宋体" w:hAnsi="宋体" w:cs="宋体"/>
          <w:b/>
          <w:bCs/>
          <w:sz w:val="30"/>
          <w:szCs w:val="30"/>
        </w:rPr>
        <w:t xml:space="preserve"> </w:t>
      </w:r>
    </w:p>
    <w:p>
      <w:pPr>
        <w:spacing w:line="360" w:lineRule="auto"/>
        <w:ind w:firstLine="1205"/>
        <w:rPr>
          <w:rFonts w:ascii="宋体" w:hAnsi="宋体" w:cs="宋体"/>
          <w:b/>
          <w:bCs/>
          <w:sz w:val="30"/>
          <w:szCs w:val="30"/>
        </w:rPr>
      </w:pPr>
    </w:p>
    <w:p>
      <w:pPr>
        <w:spacing w:line="360" w:lineRule="auto"/>
        <w:ind w:firstLine="1205"/>
        <w:rPr>
          <w:rFonts w:hint="eastAsia" w:ascii="宋体" w:hAnsi="宋体" w:eastAsia="宋体" w:cs="宋体"/>
          <w:b/>
          <w:bCs/>
          <w:sz w:val="30"/>
          <w:szCs w:val="30"/>
          <w:lang w:eastAsia="zh-CN"/>
        </w:rPr>
      </w:pPr>
      <w:r>
        <w:rPr>
          <w:rFonts w:hint="eastAsia" w:ascii="宋体" w:hAnsi="宋体" w:cs="宋体"/>
          <w:b/>
          <w:bCs/>
          <w:sz w:val="30"/>
          <w:szCs w:val="30"/>
        </w:rPr>
        <w:t>采购人：</w:t>
      </w:r>
      <w:r>
        <w:rPr>
          <w:rFonts w:hint="eastAsia" w:ascii="宋体" w:hAnsi="宋体" w:cs="宋体"/>
          <w:b/>
          <w:bCs/>
          <w:sz w:val="30"/>
          <w:szCs w:val="30"/>
          <w:lang w:eastAsia="zh-CN"/>
        </w:rPr>
        <w:t>无锡市华庄中学</w:t>
      </w:r>
    </w:p>
    <w:p>
      <w:pPr>
        <w:spacing w:line="360" w:lineRule="auto"/>
        <w:ind w:firstLine="1205"/>
        <w:rPr>
          <w:rFonts w:ascii="宋体" w:hAnsi="宋体" w:cs="宋体"/>
          <w:b/>
          <w:bCs/>
          <w:sz w:val="30"/>
          <w:szCs w:val="30"/>
        </w:rPr>
      </w:pPr>
    </w:p>
    <w:p>
      <w:pPr>
        <w:spacing w:line="360" w:lineRule="auto"/>
        <w:ind w:firstLine="1205"/>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采购代理机构：江苏博智工程咨询有限公司</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二Ｏ二四年</w:t>
      </w:r>
      <w:r>
        <w:rPr>
          <w:rFonts w:hint="eastAsia" w:ascii="宋体" w:hAnsi="宋体" w:cs="宋体"/>
          <w:b/>
          <w:color w:val="000000" w:themeColor="text1"/>
          <w:sz w:val="32"/>
          <w:szCs w:val="32"/>
          <w:lang w:val="en-US" w:eastAsia="zh-CN"/>
          <w14:textFill>
            <w14:solidFill>
              <w14:schemeClr w14:val="tx1"/>
            </w14:solidFill>
          </w14:textFill>
        </w:rPr>
        <w:t>七</w:t>
      </w:r>
      <w:r>
        <w:rPr>
          <w:rFonts w:hint="eastAsia" w:ascii="宋体" w:hAnsi="宋体" w:cs="宋体"/>
          <w:b/>
          <w:color w:val="000000" w:themeColor="text1"/>
          <w:sz w:val="32"/>
          <w:szCs w:val="32"/>
          <w14:textFill>
            <w14:solidFill>
              <w14:schemeClr w14:val="tx1"/>
            </w14:solidFill>
          </w14:textFill>
        </w:rPr>
        <w:t>月</w:t>
      </w:r>
    </w:p>
    <w:p>
      <w:pPr>
        <w:pStyle w:val="187"/>
        <w:rPr>
          <w:rFonts w:ascii="宋体" w:hAnsi="宋体" w:cs="宋体"/>
          <w:color w:val="000000" w:themeColor="text1"/>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  录</w:t>
      </w:r>
    </w:p>
    <w:p>
      <w:pPr>
        <w:tabs>
          <w:tab w:val="left" w:pos="8000"/>
        </w:tabs>
        <w:spacing w:line="1000" w:lineRule="exac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第一部分    投标邀请</w:t>
      </w:r>
    </w:p>
    <w:p>
      <w:pPr>
        <w:spacing w:line="1000" w:lineRule="exac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第二部分    投标供应商须知</w:t>
      </w:r>
    </w:p>
    <w:p>
      <w:pPr>
        <w:spacing w:line="1000" w:lineRule="exac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第三部分    采购需求 </w:t>
      </w:r>
    </w:p>
    <w:p>
      <w:pPr>
        <w:spacing w:line="1000" w:lineRule="exac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第四部分    合同书</w:t>
      </w:r>
    </w:p>
    <w:p>
      <w:pPr>
        <w:spacing w:line="1000" w:lineRule="exac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第五部分    附件</w:t>
      </w:r>
    </w:p>
    <w:p>
      <w:pPr>
        <w:widowControl/>
        <w:spacing w:line="360" w:lineRule="auto"/>
        <w:rPr>
          <w:rFonts w:ascii="宋体" w:hAnsi="宋体" w:cs="宋体"/>
          <w:b/>
          <w:color w:val="000000" w:themeColor="text1"/>
          <w:sz w:val="24"/>
          <w14:textFill>
            <w14:solidFill>
              <w14:schemeClr w14:val="tx1"/>
            </w14:solidFill>
          </w14:textFill>
        </w:rPr>
      </w:pPr>
    </w:p>
    <w:p>
      <w:pPr>
        <w:widowControl/>
        <w:spacing w:line="360" w:lineRule="auto"/>
        <w:rPr>
          <w:rFonts w:ascii="宋体" w:hAnsi="宋体" w:cs="宋体"/>
          <w:b/>
          <w:color w:val="000000" w:themeColor="text1"/>
          <w:sz w:val="24"/>
          <w14:textFill>
            <w14:solidFill>
              <w14:schemeClr w14:val="tx1"/>
            </w14:solidFill>
          </w14:textFill>
        </w:rPr>
      </w:pPr>
    </w:p>
    <w:p>
      <w:pPr>
        <w:widowControl/>
        <w:spacing w:line="360" w:lineRule="auto"/>
        <w:rPr>
          <w:rFonts w:ascii="宋体" w:hAnsi="宋体" w:cs="宋体"/>
          <w:b/>
          <w:color w:val="000000" w:themeColor="text1"/>
          <w:sz w:val="24"/>
          <w14:textFill>
            <w14:solidFill>
              <w14:schemeClr w14:val="tx1"/>
            </w14:solidFill>
          </w14:textFill>
        </w:rPr>
      </w:pPr>
    </w:p>
    <w:p>
      <w:pPr>
        <w:widowControl/>
        <w:spacing w:line="360" w:lineRule="auto"/>
        <w:rPr>
          <w:rFonts w:ascii="宋体" w:hAnsi="宋体" w:cs="宋体"/>
          <w:b/>
          <w:color w:val="000000" w:themeColor="text1"/>
          <w:sz w:val="24"/>
          <w14:textFill>
            <w14:solidFill>
              <w14:schemeClr w14:val="tx1"/>
            </w14:solidFill>
          </w14:textFill>
        </w:rPr>
      </w:pPr>
    </w:p>
    <w:p>
      <w:pPr>
        <w:widowControl/>
        <w:spacing w:line="360" w:lineRule="auto"/>
        <w:rPr>
          <w:rFonts w:ascii="宋体" w:hAnsi="宋体" w:cs="宋体"/>
          <w:b/>
          <w:color w:val="000000" w:themeColor="text1"/>
          <w:sz w:val="24"/>
          <w14:textFill>
            <w14:solidFill>
              <w14:schemeClr w14:val="tx1"/>
            </w14:solidFill>
          </w14:textFill>
        </w:rPr>
      </w:pPr>
    </w:p>
    <w:p>
      <w:pPr>
        <w:widowControl/>
        <w:spacing w:before="470"/>
        <w:rPr>
          <w:rFonts w:ascii="宋体" w:hAnsi="宋体" w:cs="宋体"/>
          <w:b/>
          <w:color w:val="000000" w:themeColor="text1"/>
          <w:sz w:val="24"/>
          <w14:textFill>
            <w14:solidFill>
              <w14:schemeClr w14:val="tx1"/>
            </w14:solidFill>
          </w14:textFill>
        </w:rPr>
      </w:pPr>
    </w:p>
    <w:p>
      <w:pPr>
        <w:widowControl/>
        <w:spacing w:before="470"/>
        <w:rPr>
          <w:rFonts w:ascii="宋体" w:hAnsi="宋体" w:cs="宋体"/>
          <w:b/>
          <w:color w:val="000000" w:themeColor="text1"/>
          <w:sz w:val="24"/>
          <w14:textFill>
            <w14:solidFill>
              <w14:schemeClr w14:val="tx1"/>
            </w14:solidFill>
          </w14:textFill>
        </w:rPr>
      </w:pPr>
    </w:p>
    <w:p>
      <w:pPr>
        <w:widowControl/>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clear="all"/>
      </w:r>
      <w:r>
        <w:rPr>
          <w:rFonts w:hint="eastAsia" w:ascii="宋体" w:hAnsi="宋体" w:cs="宋体"/>
          <w:b/>
          <w:color w:val="000000" w:themeColor="text1"/>
          <w:sz w:val="44"/>
          <w:szCs w:val="44"/>
          <w14:textFill>
            <w14:solidFill>
              <w14:schemeClr w14:val="tx1"/>
            </w14:solidFill>
          </w14:textFill>
        </w:rPr>
        <w:t>第一部分. 投标邀请</w:t>
      </w:r>
    </w:p>
    <w:tbl>
      <w:tblPr>
        <w:tblStyle w:val="21"/>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0"/>
        <w:gridCol w:w="8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400" w:type="dxa"/>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8158" w:type="dxa"/>
            <w:vAlign w:val="center"/>
          </w:tcPr>
          <w:p>
            <w:pPr>
              <w:widowControl/>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spacing w:line="360" w:lineRule="auto"/>
              <w:ind w:left="1200" w:hanging="1200"/>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w:t>
            </w:r>
          </w:p>
        </w:tc>
        <w:tc>
          <w:tcPr>
            <w:tcW w:w="8158" w:type="dxa"/>
            <w:vAlign w:val="center"/>
          </w:tcPr>
          <w:p>
            <w:pPr>
              <w:spacing w:line="360" w:lineRule="auto"/>
              <w:ind w:left="1200" w:hanging="120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项目名称：</w:t>
            </w:r>
            <w:r>
              <w:rPr>
                <w:rFonts w:hint="eastAsia" w:ascii="宋体" w:hAnsi="宋体" w:cs="宋体"/>
                <w:color w:val="000000" w:themeColor="text1"/>
                <w:sz w:val="24"/>
                <w:highlight w:val="white"/>
                <w:lang w:eastAsia="zh-CN"/>
                <w14:textFill>
                  <w14:solidFill>
                    <w14:schemeClr w14:val="tx1"/>
                  </w14:solidFill>
                </w14:textFill>
              </w:rPr>
              <w:t>新综合楼数字化创新实验室设施设备采购项目</w:t>
            </w:r>
            <w:r>
              <w:rPr>
                <w:rFonts w:hint="eastAsia" w:ascii="宋体" w:hAnsi="宋体" w:cs="宋体"/>
                <w:color w:val="000000" w:themeColor="text1"/>
                <w:sz w:val="24"/>
                <w:highlight w:val="white"/>
                <w14:textFill>
                  <w14:solidFill>
                    <w14:schemeClr w14:val="tx1"/>
                  </w14:solidFill>
                </w14:textFill>
              </w:rPr>
              <w:t xml:space="preserve">  </w:t>
            </w:r>
          </w:p>
          <w:p>
            <w:pPr>
              <w:spacing w:line="360" w:lineRule="auto"/>
              <w:ind w:left="1200" w:hanging="1200"/>
              <w:rPr>
                <w:rFonts w:hint="eastAsia" w:ascii="宋体" w:hAnsi="宋体" w:eastAsia="宋体" w:cs="宋体"/>
                <w:color w:val="000000" w:themeColor="text1"/>
                <w:sz w:val="24"/>
                <w:highlight w:val="white"/>
                <w:lang w:eastAsia="zh-CN"/>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采购编号：</w:t>
            </w:r>
            <w:r>
              <w:rPr>
                <w:rFonts w:hint="eastAsia" w:ascii="宋体" w:hAnsi="宋体" w:cs="宋体"/>
                <w:color w:val="000000" w:themeColor="text1"/>
                <w:sz w:val="24"/>
                <w:highlight w:val="white"/>
                <w:lang w:eastAsia="zh-CN"/>
                <w14:textFill>
                  <w14:solidFill>
                    <w14:schemeClr w14:val="tx1"/>
                  </w14:solidFill>
                </w14:textFill>
              </w:rPr>
              <w:t>JSZC-320292-BZDL-G2024-0044</w:t>
            </w:r>
          </w:p>
          <w:p>
            <w:pPr>
              <w:spacing w:line="360" w:lineRule="auto"/>
              <w:ind w:left="1200" w:hanging="120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采购方式：公开招标</w:t>
            </w:r>
          </w:p>
          <w:p>
            <w:pPr>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采购内容：</w:t>
            </w:r>
            <w:r>
              <w:rPr>
                <w:rFonts w:hint="eastAsia" w:ascii="宋体" w:hAnsi="宋体" w:cs="宋体"/>
                <w:color w:val="000000" w:themeColor="text1"/>
                <w:sz w:val="24"/>
                <w:highlight w:val="white"/>
                <w:lang w:eastAsia="zh-CN"/>
                <w14:textFill>
                  <w14:solidFill>
                    <w14:schemeClr w14:val="tx1"/>
                  </w14:solidFill>
                </w14:textFill>
              </w:rPr>
              <w:t>新综合楼数字化创新实验室设施设备采购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w:t>
            </w:r>
          </w:p>
        </w:tc>
        <w:tc>
          <w:tcPr>
            <w:tcW w:w="8158" w:type="dxa"/>
            <w:vAlign w:val="center"/>
          </w:tcPr>
          <w:p>
            <w:pPr>
              <w:widowControl/>
              <w:spacing w:line="360" w:lineRule="auto"/>
              <w:rPr>
                <w:rFonts w:hint="eastAsia" w:ascii="宋体" w:hAnsi="宋体" w:eastAsia="宋体" w:cs="宋体"/>
                <w:b/>
                <w:color w:val="000000" w:themeColor="text1"/>
                <w:sz w:val="24"/>
                <w:highlight w:val="white"/>
                <w:lang w:eastAsia="zh-CN"/>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采购人：</w:t>
            </w:r>
            <w:r>
              <w:rPr>
                <w:rFonts w:hint="eastAsia" w:ascii="宋体" w:hAnsi="宋体" w:cs="宋体"/>
                <w:color w:val="000000" w:themeColor="text1"/>
                <w:sz w:val="24"/>
                <w:highlight w:val="white"/>
                <w:lang w:eastAsia="zh-CN"/>
                <w14:textFill>
                  <w14:solidFill>
                    <w14:schemeClr w14:val="tx1"/>
                  </w14:solidFill>
                </w14:textFill>
              </w:rPr>
              <w:t>无锡市华庄中学</w:t>
            </w:r>
          </w:p>
          <w:p>
            <w:pPr>
              <w:widowControl/>
              <w:spacing w:line="360" w:lineRule="auto"/>
              <w:rPr>
                <w:rFonts w:hint="eastAsia" w:ascii="宋体" w:hAnsi="宋体" w:eastAsia="宋体" w:cs="宋体"/>
                <w:color w:val="000000" w:themeColor="text1"/>
                <w:sz w:val="24"/>
                <w:highlight w:val="white"/>
                <w:lang w:eastAsia="zh-CN"/>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采购人地址：</w:t>
            </w:r>
            <w:r>
              <w:rPr>
                <w:rFonts w:hint="eastAsia" w:ascii="宋体" w:hAnsi="宋体" w:cs="宋体"/>
                <w:color w:val="000000" w:themeColor="text1"/>
                <w:sz w:val="24"/>
                <w:highlight w:val="white"/>
                <w:lang w:eastAsia="zh-CN"/>
                <w14:textFill>
                  <w14:solidFill>
                    <w14:schemeClr w14:val="tx1"/>
                  </w14:solidFill>
                </w14:textFill>
              </w:rPr>
              <w:t>无锡市清源路52号</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采购代理机构：江苏博智工程咨询有限公司</w:t>
            </w:r>
          </w:p>
          <w:p>
            <w:pPr>
              <w:spacing w:line="440" w:lineRule="exac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采购机构地址：无锡市滨湖区高浪东路508号华发大厦A座22楼2203室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w:t>
            </w:r>
          </w:p>
        </w:tc>
        <w:tc>
          <w:tcPr>
            <w:tcW w:w="8158" w:type="dxa"/>
            <w:vAlign w:val="center"/>
          </w:tcPr>
          <w:p>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采购项目概况、要求：</w:t>
            </w:r>
          </w:p>
          <w:p>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本项目为</w:t>
            </w:r>
            <w:r>
              <w:rPr>
                <w:rFonts w:hint="eastAsia" w:ascii="宋体" w:hAnsi="宋体" w:cs="宋体"/>
                <w:color w:val="000000" w:themeColor="text1"/>
                <w:sz w:val="24"/>
                <w:highlight w:val="none"/>
                <w:lang w:eastAsia="zh-CN"/>
                <w14:textFill>
                  <w14:solidFill>
                    <w14:schemeClr w14:val="tx1"/>
                  </w14:solidFill>
                </w14:textFill>
              </w:rPr>
              <w:t>新综合楼数字化创新实验室设施设备采购</w:t>
            </w:r>
            <w:r>
              <w:rPr>
                <w:rFonts w:hint="eastAsia" w:ascii="宋体" w:hAnsi="宋体" w:cs="宋体"/>
                <w:color w:val="000000" w:themeColor="text1"/>
                <w:sz w:val="24"/>
                <w:highlight w:val="none"/>
                <w14:textFill>
                  <w14:solidFill>
                    <w14:schemeClr w14:val="tx1"/>
                  </w14:solidFill>
                </w14:textFill>
              </w:rPr>
              <w:t>,具体内容详见本项目招标文件“第三部分、采购需求”。</w:t>
            </w:r>
          </w:p>
          <w:p>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项目预算：</w:t>
            </w:r>
            <w:r>
              <w:rPr>
                <w:rFonts w:hint="eastAsia" w:ascii="宋体" w:hAnsi="宋体" w:cs="宋体"/>
                <w:color w:val="000000" w:themeColor="text1"/>
                <w:sz w:val="24"/>
                <w:highlight w:val="none"/>
                <w:lang w:eastAsia="zh-CN"/>
                <w14:textFill>
                  <w14:solidFill>
                    <w14:schemeClr w14:val="tx1"/>
                  </w14:solidFill>
                </w14:textFill>
              </w:rPr>
              <w:t xml:space="preserve">59.992 </w:t>
            </w:r>
            <w:r>
              <w:rPr>
                <w:rFonts w:hint="eastAsia" w:ascii="宋体" w:hAnsi="宋体" w:cs="宋体"/>
                <w:color w:val="000000" w:themeColor="text1"/>
                <w:sz w:val="24"/>
                <w:highlight w:val="none"/>
                <w14:textFill>
                  <w14:solidFill>
                    <w14:schemeClr w14:val="tx1"/>
                  </w14:solidFill>
                </w14:textFill>
              </w:rPr>
              <w:t>万元</w:t>
            </w:r>
          </w:p>
          <w:p>
            <w:pPr>
              <w:widowControl/>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最高限价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 xml:space="preserve">59.992 </w:t>
            </w:r>
            <w:r>
              <w:rPr>
                <w:rFonts w:hint="eastAsia" w:ascii="宋体" w:hAnsi="宋体" w:cs="宋体"/>
                <w:color w:val="000000" w:themeColor="text1"/>
                <w:sz w:val="24"/>
                <w:highlight w:val="none"/>
                <w14:textFill>
                  <w14:solidFill>
                    <w14:schemeClr w14:val="tx1"/>
                  </w14:solidFill>
                </w14:textFill>
              </w:rPr>
              <w:t>万元</w:t>
            </w:r>
          </w:p>
          <w:p>
            <w:pPr>
              <w:widowControl/>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r>
              <w:rPr>
                <w:rFonts w:hint="eastAsia" w:ascii="宋体" w:hAnsi="宋体" w:cs="宋体"/>
                <w:color w:val="000000" w:themeColor="text1"/>
                <w:sz w:val="24"/>
                <w:highlight w:val="none"/>
                <w:lang w:eastAsia="zh-CN"/>
                <w14:textFill>
                  <w14:solidFill>
                    <w14:schemeClr w14:val="tx1"/>
                  </w14:solidFill>
                </w14:textFill>
              </w:rPr>
              <w:t>合同签订生效后30个日历天内完成供货并安装调试完毕</w:t>
            </w:r>
          </w:p>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质保期：三年。</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质量要求：符合国家质量标</w:t>
            </w:r>
            <w:r>
              <w:rPr>
                <w:rFonts w:hint="eastAsia" w:ascii="宋体" w:hAnsi="宋体" w:cs="宋体"/>
                <w:color w:val="000000" w:themeColor="text1"/>
                <w:sz w:val="24"/>
                <w:highlight w:val="white"/>
                <w14:textFill>
                  <w14:solidFill>
                    <w14:schemeClr w14:val="tx1"/>
                  </w14:solidFill>
                </w14:textFill>
              </w:rPr>
              <w:t>准，一次性验收100%合格。</w:t>
            </w:r>
          </w:p>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售后服务要求：采购</w:t>
            </w:r>
            <w:r>
              <w:rPr>
                <w:rFonts w:hint="eastAsia" w:ascii="宋体" w:hAnsi="宋体" w:cs="宋体"/>
                <w:color w:val="000000" w:themeColor="text1"/>
                <w:sz w:val="24"/>
                <w:highlight w:val="none"/>
                <w14:textFill>
                  <w14:solidFill>
                    <w14:schemeClr w14:val="tx1"/>
                  </w14:solidFill>
                </w14:textFill>
              </w:rPr>
              <w:t>方报修后，需2小时内上门，当天解决问题。如遇硬件问题，当天不能解决，需在报修后第二个工作日内提供备用设备。</w:t>
            </w:r>
          </w:p>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及验收：采购人根据国家有关规定、采购文件、中标人的投标文件以及合同约定的内容和验收标准进行验收。验收情况作为支付货款的依据。如有质疑，以相关质量技术检验检测机构的检验结果为准，如产生检验费用，则该费用由过失方承担。</w:t>
            </w:r>
          </w:p>
          <w:p>
            <w:pPr>
              <w:widowControl/>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本项目是否专门面向中小微企业：</w:t>
            </w:r>
            <w:r>
              <w:rPr>
                <w:rFonts w:hint="eastAsia" w:ascii="宋体" w:hAnsi="宋体" w:cs="宋体"/>
                <w:color w:val="000000" w:themeColor="text1"/>
                <w:sz w:val="24"/>
                <w:highlight w:val="none"/>
                <w:lang w:val="en-US" w:eastAsia="zh-CN"/>
                <w14:textFill>
                  <w14:solidFill>
                    <w14:schemeClr w14:val="tx1"/>
                  </w14:solidFill>
                </w14:textFill>
              </w:rPr>
              <w:t>是</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本项目标的所属行业：工业。</w:t>
            </w:r>
            <w:r>
              <w:rPr>
                <w:rFonts w:hint="eastAsia" w:ascii="宋体" w:hAnsi="宋体" w:cs="宋体"/>
                <w:color w:val="000000" w:themeColor="text1"/>
                <w:sz w:val="24"/>
                <w:highlight w:val="none"/>
                <w:lang w:val="zh-CN"/>
                <w14:textFill>
                  <w14:solidFill>
                    <w14:schemeClr w14:val="tx1"/>
                  </w14:solidFill>
                </w14:textFill>
              </w:rPr>
              <w:t>根据《关于印发中小企业划型标准规定的通知》工信部联企业〔2011〕300号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themeColor="text1"/>
                <w:sz w:val="24"/>
                <w:highlight w:val="non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w:t>
            </w:r>
          </w:p>
        </w:tc>
        <w:tc>
          <w:tcPr>
            <w:tcW w:w="8158" w:type="dxa"/>
            <w:vAlign w:val="center"/>
          </w:tcPr>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投标供应商资格要求：</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1.具备《中华人民共和国政府采购法》第二十二条第一款规定的条件；</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2.落实政府采购政策需满足的资格要求：/；</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3.未被“信用中国”网站、“信用江苏”网站、中国政府采购网列入失信被执行人、重大税收违法失信主体、政府采购严重违法失信行为记录名单；</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4.具备采购人根据招标项目的特殊要求规定的以下特定资质：</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（1）投标供应商应在中华人民共和国境内合法注册；</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（2）被授权委托人、项目负责人为投标供应商在职员工；</w:t>
            </w:r>
          </w:p>
          <w:p>
            <w:pPr>
              <w:tabs>
                <w:tab w:val="left" w:pos="0"/>
              </w:tabs>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5</w:t>
            </w:r>
          </w:p>
        </w:tc>
        <w:tc>
          <w:tcPr>
            <w:tcW w:w="8158" w:type="dxa"/>
            <w:vAlign w:val="center"/>
          </w:tcPr>
          <w:p>
            <w:pPr>
              <w:widowControl/>
              <w:spacing w:line="360" w:lineRule="auto"/>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招标文件获取时间：自公告发布之日起五个工作日内（法定假日除外），每天上午9:00-11:30，下午13:30-16：00。</w:t>
            </w:r>
          </w:p>
          <w:p>
            <w:pPr>
              <w:widowControl/>
              <w:spacing w:line="360" w:lineRule="auto"/>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售价：贰佰元/份，现场支付，</w:t>
            </w:r>
            <w:r>
              <w:rPr>
                <w:rFonts w:hint="eastAsia" w:ascii="宋体" w:hAnsi="宋体" w:cs="宋体"/>
                <w:color w:val="000000" w:themeColor="text1"/>
                <w:sz w:val="24"/>
                <w:highlight w:val="white"/>
                <w14:textFill>
                  <w14:solidFill>
                    <w14:schemeClr w14:val="tx1"/>
                  </w14:solidFill>
                </w14:textFill>
              </w:rPr>
              <w:t>采购</w:t>
            </w:r>
            <w:r>
              <w:rPr>
                <w:rFonts w:hint="eastAsia" w:ascii="宋体" w:hAnsi="宋体" w:cs="宋体"/>
                <w:bCs/>
                <w:color w:val="000000" w:themeColor="text1"/>
                <w:sz w:val="24"/>
                <w:highlight w:val="white"/>
                <w14:textFill>
                  <w14:solidFill>
                    <w14:schemeClr w14:val="tx1"/>
                  </w14:solidFill>
                </w14:textFill>
              </w:rPr>
              <w:t>文件售后不退。</w:t>
            </w:r>
          </w:p>
          <w:p>
            <w:pPr>
              <w:widowControl/>
              <w:spacing w:line="360" w:lineRule="auto"/>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采购</w:t>
            </w:r>
            <w:r>
              <w:rPr>
                <w:rFonts w:hint="eastAsia" w:ascii="宋体" w:hAnsi="宋体" w:cs="宋体"/>
                <w:color w:val="000000" w:themeColor="text1"/>
                <w:sz w:val="24"/>
                <w:highlight w:val="white"/>
                <w14:textFill>
                  <w14:solidFill>
                    <w14:schemeClr w14:val="tx1"/>
                  </w14:solidFill>
                </w14:textFill>
              </w:rPr>
              <w:t>文件出售方式：电子文档介质</w:t>
            </w:r>
          </w:p>
          <w:p>
            <w:pPr>
              <w:widowControl/>
              <w:spacing w:line="360" w:lineRule="auto"/>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提供</w:t>
            </w:r>
            <w:r>
              <w:rPr>
                <w:rFonts w:hint="eastAsia" w:ascii="宋体" w:hAnsi="宋体" w:cs="宋体"/>
                <w:color w:val="000000" w:themeColor="text1"/>
                <w:sz w:val="24"/>
                <w:highlight w:val="white"/>
                <w14:textFill>
                  <w14:solidFill>
                    <w14:schemeClr w14:val="tx1"/>
                  </w14:solidFill>
                </w14:textFill>
              </w:rPr>
              <w:t>采购</w:t>
            </w:r>
            <w:r>
              <w:rPr>
                <w:rFonts w:hint="eastAsia" w:ascii="宋体" w:hAnsi="宋体" w:cs="宋体"/>
                <w:bCs/>
                <w:color w:val="000000" w:themeColor="text1"/>
                <w:sz w:val="24"/>
                <w:highlight w:val="white"/>
                <w14:textFill>
                  <w14:solidFill>
                    <w14:schemeClr w14:val="tx1"/>
                  </w14:solidFill>
                </w14:textFill>
              </w:rPr>
              <w:t>文件地点：</w:t>
            </w:r>
            <w:r>
              <w:rPr>
                <w:rFonts w:hint="eastAsia" w:ascii="宋体" w:hAnsi="宋体" w:cs="宋体"/>
                <w:b/>
                <w:color w:val="000000" w:themeColor="text1"/>
                <w:sz w:val="24"/>
                <w:highlight w:val="white"/>
                <w14:textFill>
                  <w14:solidFill>
                    <w14:schemeClr w14:val="tx1"/>
                  </w14:solidFill>
                </w14:textFill>
              </w:rPr>
              <w:t>江苏博智工程咨询有限公司（无锡市滨湖区高浪东路508号华发大厦A座22楼2203室）</w:t>
            </w:r>
          </w:p>
          <w:p>
            <w:pPr>
              <w:widowControl/>
              <w:spacing w:line="360" w:lineRule="auto"/>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投标人应承担其编制投标文件以及递交投标文件所涉及的一切费用。无论中标结果如何，采购人对上述费用不负任何责任。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6</w:t>
            </w:r>
          </w:p>
        </w:tc>
        <w:tc>
          <w:tcPr>
            <w:tcW w:w="8158" w:type="dxa"/>
            <w:vAlign w:val="center"/>
          </w:tcPr>
          <w:p>
            <w:pPr>
              <w:widowControl/>
              <w:spacing w:line="460" w:lineRule="exac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lang w:val="zh-CN"/>
                <w14:textFill>
                  <w14:solidFill>
                    <w14:schemeClr w14:val="tx1"/>
                  </w14:solidFill>
                </w14:textFill>
              </w:rPr>
              <w:t>提疑截止时间：202</w:t>
            </w:r>
            <w:r>
              <w:rPr>
                <w:rFonts w:hint="eastAsia" w:ascii="宋体" w:hAnsi="宋体" w:cs="宋体"/>
                <w:color w:val="000000" w:themeColor="text1"/>
                <w:sz w:val="24"/>
                <w:highlight w:val="white"/>
                <w14:textFill>
                  <w14:solidFill>
                    <w14:schemeClr w14:val="tx1"/>
                  </w14:solidFill>
                </w14:textFill>
              </w:rPr>
              <w:t>4</w:t>
            </w:r>
            <w:r>
              <w:rPr>
                <w:rFonts w:hint="eastAsia" w:ascii="宋体" w:hAnsi="宋体" w:cs="宋体"/>
                <w:color w:val="000000" w:themeColor="text1"/>
                <w:sz w:val="24"/>
                <w:highlight w:val="white"/>
                <w:lang w:val="zh-CN"/>
                <w14:textFill>
                  <w14:solidFill>
                    <w14:schemeClr w14:val="tx1"/>
                  </w14:solidFill>
                </w14:textFill>
              </w:rPr>
              <w:t>年</w:t>
            </w:r>
            <w:r>
              <w:rPr>
                <w:rFonts w:hint="eastAsia" w:ascii="宋体" w:hAnsi="宋体" w:cs="宋体"/>
                <w:color w:val="000000" w:themeColor="text1"/>
                <w:sz w:val="24"/>
                <w:highlight w:val="white"/>
                <w:lang w:val="en-US" w:eastAsia="zh-CN"/>
                <w14:textFill>
                  <w14:solidFill>
                    <w14:schemeClr w14:val="tx1"/>
                  </w14:solidFill>
                </w14:textFill>
              </w:rPr>
              <w:t>7</w:t>
            </w:r>
            <w:r>
              <w:rPr>
                <w:rFonts w:hint="eastAsia" w:ascii="宋体" w:hAnsi="宋体" w:cs="宋体"/>
                <w:color w:val="000000" w:themeColor="text1"/>
                <w:sz w:val="24"/>
                <w:highlight w:val="white"/>
                <w:lang w:val="zh-CN"/>
                <w14:textFill>
                  <w14:solidFill>
                    <w14:schemeClr w14:val="tx1"/>
                  </w14:solidFill>
                </w14:textFill>
              </w:rPr>
              <w:t>月</w:t>
            </w:r>
            <w:r>
              <w:rPr>
                <w:rFonts w:hint="eastAsia" w:ascii="宋体" w:hAnsi="宋体" w:cs="宋体"/>
                <w:color w:val="000000" w:themeColor="text1"/>
                <w:sz w:val="24"/>
                <w:highlight w:val="white"/>
                <w:lang w:val="en-US" w:eastAsia="zh-CN"/>
                <w14:textFill>
                  <w14:solidFill>
                    <w14:schemeClr w14:val="tx1"/>
                  </w14:solidFill>
                </w14:textFill>
              </w:rPr>
              <w:t>30</w:t>
            </w:r>
            <w:r>
              <w:rPr>
                <w:rFonts w:hint="eastAsia" w:ascii="宋体" w:hAnsi="宋体" w:cs="宋体"/>
                <w:color w:val="000000" w:themeColor="text1"/>
                <w:sz w:val="24"/>
                <w:highlight w:val="white"/>
                <w:lang w:val="zh-CN"/>
                <w14:textFill>
                  <w14:solidFill>
                    <w14:schemeClr w14:val="tx1"/>
                  </w14:solidFill>
                </w14:textFill>
              </w:rPr>
              <w:t>日10时前，以书面传真形式和电子邮件形式发送给采购代理机构。</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lang w:val="zh-CN"/>
                <w14:textFill>
                  <w14:solidFill>
                    <w14:schemeClr w14:val="tx1"/>
                  </w14:solidFill>
                </w14:textFill>
              </w:rPr>
              <w:t>答疑时间：投标截止时间前15天，以书面（或电子稿）形式发送给各报名投标供应商。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7</w:t>
            </w:r>
          </w:p>
        </w:tc>
        <w:tc>
          <w:tcPr>
            <w:tcW w:w="8158" w:type="dxa"/>
            <w:vAlign w:val="center"/>
          </w:tcPr>
          <w:p>
            <w:pPr>
              <w:widowControl/>
              <w:spacing w:line="360" w:lineRule="auto"/>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履约保证金：本项目无需缴纳履约保证金。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400" w:type="dxa"/>
            <w:vAlign w:val="center"/>
          </w:tcPr>
          <w:p>
            <w:pPr>
              <w:widowControl/>
              <w:spacing w:line="360" w:lineRule="auto"/>
              <w:jc w:val="center"/>
              <w:rPr>
                <w:rFonts w:hint="eastAsia" w:ascii="宋体" w:hAnsi="宋体" w:eastAsia="宋体" w:cs="宋体"/>
                <w:color w:val="000000" w:themeColor="text1"/>
                <w:sz w:val="24"/>
                <w:highlight w:val="white"/>
                <w:lang w:val="en-US" w:eastAsia="zh-CN"/>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8</w:t>
            </w:r>
          </w:p>
        </w:tc>
        <w:tc>
          <w:tcPr>
            <w:tcW w:w="8158" w:type="dxa"/>
            <w:vAlign w:val="center"/>
          </w:tcPr>
          <w:p>
            <w:pPr>
              <w:widowControl/>
              <w:spacing w:line="360" w:lineRule="auto"/>
              <w:jc w:val="left"/>
              <w:rPr>
                <w:rFonts w:hint="eastAsia" w:ascii="宋体" w:hAnsi="宋体" w:eastAsia="宋体" w:cs="宋体"/>
                <w:color w:val="000000" w:themeColor="text1"/>
                <w:sz w:val="24"/>
                <w:highlight w:val="white"/>
                <w:lang w:val="en-US" w:eastAsia="zh-CN"/>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投标保证金：</w:t>
            </w:r>
            <w:r>
              <w:rPr>
                <w:rFonts w:hint="eastAsia" w:ascii="宋体" w:hAnsi="宋体" w:cs="宋体"/>
                <w:color w:val="000000" w:themeColor="text1"/>
                <w:sz w:val="24"/>
                <w:highlight w:val="white"/>
                <w14:textFill>
                  <w14:solidFill>
                    <w14:schemeClr w14:val="tx1"/>
                  </w14:solidFill>
                </w14:textFill>
              </w:rPr>
              <w:t>本项目无需缴纳</w:t>
            </w:r>
            <w:r>
              <w:rPr>
                <w:rFonts w:hint="eastAsia" w:ascii="宋体" w:hAnsi="宋体" w:cs="宋体"/>
                <w:color w:val="000000" w:themeColor="text1"/>
                <w:sz w:val="24"/>
                <w:highlight w:val="white"/>
                <w:lang w:val="en-US" w:eastAsia="zh-CN"/>
                <w14:textFill>
                  <w14:solidFill>
                    <w14:schemeClr w14:val="tx1"/>
                  </w14:solidFill>
                </w14:textFill>
              </w:rPr>
              <w:t>投标保证金</w:t>
            </w:r>
            <w:r>
              <w:rPr>
                <w:rFonts w:hint="eastAsia" w:ascii="宋体" w:hAnsi="宋体" w:cs="宋体"/>
                <w:color w:val="000000" w:themeColor="text1"/>
                <w:sz w:val="24"/>
                <w:highlight w:val="whit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400" w:type="dxa"/>
            <w:vAlign w:val="center"/>
          </w:tcPr>
          <w:p>
            <w:pPr>
              <w:widowControl/>
              <w:spacing w:line="360" w:lineRule="auto"/>
              <w:jc w:val="center"/>
              <w:rPr>
                <w:rFonts w:hint="eastAsia" w:ascii="宋体" w:hAnsi="宋体" w:eastAsia="宋体" w:cs="宋体"/>
                <w:color w:val="000000" w:themeColor="text1"/>
                <w:sz w:val="24"/>
                <w:highlight w:val="white"/>
                <w:lang w:eastAsia="zh-CN"/>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9</w:t>
            </w:r>
          </w:p>
        </w:tc>
        <w:tc>
          <w:tcPr>
            <w:tcW w:w="8158" w:type="dxa"/>
            <w:vAlign w:val="center"/>
          </w:tcPr>
          <w:p>
            <w:pPr>
              <w:widowControl/>
              <w:spacing w:line="360" w:lineRule="auto"/>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投标有效期：开标之日起180天。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hint="default" w:ascii="宋体" w:hAnsi="宋体" w:eastAsia="宋体" w:cs="宋体"/>
                <w:color w:val="000000" w:themeColor="text1"/>
                <w:sz w:val="24"/>
                <w:highlight w:val="white"/>
                <w:lang w:val="en-US" w:eastAsia="zh-CN"/>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10</w:t>
            </w:r>
          </w:p>
        </w:tc>
        <w:tc>
          <w:tcPr>
            <w:tcW w:w="8158" w:type="dxa"/>
            <w:vAlign w:val="center"/>
          </w:tcPr>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投标文件开始接受时间：2024年</w:t>
            </w:r>
            <w:r>
              <w:rPr>
                <w:rFonts w:hint="eastAsia" w:ascii="宋体" w:hAnsi="宋体" w:cs="宋体"/>
                <w:color w:val="000000" w:themeColor="text1"/>
                <w:sz w:val="24"/>
                <w:highlight w:val="white"/>
                <w:lang w:val="en-US" w:eastAsia="zh-CN"/>
                <w14:textFill>
                  <w14:solidFill>
                    <w14:schemeClr w14:val="tx1"/>
                  </w14:solidFill>
                </w14:textFill>
              </w:rPr>
              <w:t>8</w:t>
            </w:r>
            <w:r>
              <w:rPr>
                <w:rFonts w:hint="eastAsia" w:ascii="宋体" w:hAnsi="宋体" w:cs="宋体"/>
                <w:color w:val="000000" w:themeColor="text1"/>
                <w:sz w:val="24"/>
                <w:highlight w:val="white"/>
                <w14:textFill>
                  <w14:solidFill>
                    <w14:schemeClr w14:val="tx1"/>
                  </w14:solidFill>
                </w14:textFill>
              </w:rPr>
              <w:t>月</w:t>
            </w:r>
            <w:r>
              <w:rPr>
                <w:rFonts w:hint="eastAsia" w:ascii="宋体" w:hAnsi="宋体" w:cs="宋体"/>
                <w:color w:val="000000" w:themeColor="text1"/>
                <w:sz w:val="24"/>
                <w:highlight w:val="white"/>
                <w:lang w:val="en-US" w:eastAsia="zh-CN"/>
                <w14:textFill>
                  <w14:solidFill>
                    <w14:schemeClr w14:val="tx1"/>
                  </w14:solidFill>
                </w14:textFill>
              </w:rPr>
              <w:t>20</w:t>
            </w:r>
            <w:r>
              <w:rPr>
                <w:rFonts w:hint="eastAsia" w:ascii="宋体" w:hAnsi="宋体" w:cs="宋体"/>
                <w:color w:val="000000" w:themeColor="text1"/>
                <w:sz w:val="24"/>
                <w:highlight w:val="white"/>
                <w14:textFill>
                  <w14:solidFill>
                    <w14:schemeClr w14:val="tx1"/>
                  </w14:solidFill>
                </w14:textFill>
              </w:rPr>
              <w:t>日09：00</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投标文件接受截止时间：2024年</w:t>
            </w:r>
            <w:r>
              <w:rPr>
                <w:rFonts w:hint="eastAsia" w:ascii="宋体" w:hAnsi="宋体" w:cs="宋体"/>
                <w:color w:val="000000" w:themeColor="text1"/>
                <w:sz w:val="24"/>
                <w:highlight w:val="white"/>
                <w:lang w:val="en-US" w:eastAsia="zh-CN"/>
                <w14:textFill>
                  <w14:solidFill>
                    <w14:schemeClr w14:val="tx1"/>
                  </w14:solidFill>
                </w14:textFill>
              </w:rPr>
              <w:t>8</w:t>
            </w:r>
            <w:r>
              <w:rPr>
                <w:rFonts w:hint="eastAsia" w:ascii="宋体" w:hAnsi="宋体" w:cs="宋体"/>
                <w:color w:val="000000" w:themeColor="text1"/>
                <w:sz w:val="24"/>
                <w:highlight w:val="white"/>
                <w14:textFill>
                  <w14:solidFill>
                    <w14:schemeClr w14:val="tx1"/>
                  </w14:solidFill>
                </w14:textFill>
              </w:rPr>
              <w:t>月</w:t>
            </w:r>
            <w:r>
              <w:rPr>
                <w:rFonts w:hint="eastAsia" w:ascii="宋体" w:hAnsi="宋体" w:cs="宋体"/>
                <w:color w:val="000000" w:themeColor="text1"/>
                <w:sz w:val="24"/>
                <w:highlight w:val="white"/>
                <w:lang w:val="en-US" w:eastAsia="zh-CN"/>
                <w14:textFill>
                  <w14:solidFill>
                    <w14:schemeClr w14:val="tx1"/>
                  </w14:solidFill>
                </w14:textFill>
              </w:rPr>
              <w:t>20</w:t>
            </w:r>
            <w:r>
              <w:rPr>
                <w:rFonts w:hint="eastAsia" w:ascii="宋体" w:hAnsi="宋体" w:cs="宋体"/>
                <w:color w:val="000000" w:themeColor="text1"/>
                <w:sz w:val="24"/>
                <w:highlight w:val="white"/>
                <w14:textFill>
                  <w14:solidFill>
                    <w14:schemeClr w14:val="tx1"/>
                  </w14:solidFill>
                </w14:textFill>
              </w:rPr>
              <w:t>日09：30</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截止期后的投标文件恕不接受。</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投标文件接受地点：江苏博智工程咨询有限公司（无锡市滨湖区高浪东路508号华发大厦A座22楼2203室开标室）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10</w:t>
            </w:r>
          </w:p>
        </w:tc>
        <w:tc>
          <w:tcPr>
            <w:tcW w:w="8158" w:type="dxa"/>
            <w:vAlign w:val="center"/>
          </w:tcPr>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开标时间：2024年</w:t>
            </w:r>
            <w:r>
              <w:rPr>
                <w:rFonts w:hint="eastAsia" w:ascii="宋体" w:hAnsi="宋体" w:cs="宋体"/>
                <w:color w:val="000000" w:themeColor="text1"/>
                <w:sz w:val="24"/>
                <w:highlight w:val="white"/>
                <w:lang w:val="en-US" w:eastAsia="zh-CN"/>
                <w14:textFill>
                  <w14:solidFill>
                    <w14:schemeClr w14:val="tx1"/>
                  </w14:solidFill>
                </w14:textFill>
              </w:rPr>
              <w:t>8</w:t>
            </w:r>
            <w:r>
              <w:rPr>
                <w:rFonts w:hint="eastAsia" w:ascii="宋体" w:hAnsi="宋体" w:cs="宋体"/>
                <w:color w:val="000000" w:themeColor="text1"/>
                <w:sz w:val="24"/>
                <w:highlight w:val="white"/>
                <w14:textFill>
                  <w14:solidFill>
                    <w14:schemeClr w14:val="tx1"/>
                  </w14:solidFill>
                </w14:textFill>
              </w:rPr>
              <w:t>月</w:t>
            </w:r>
            <w:r>
              <w:rPr>
                <w:rFonts w:hint="eastAsia" w:ascii="宋体" w:hAnsi="宋体" w:cs="宋体"/>
                <w:color w:val="000000" w:themeColor="text1"/>
                <w:sz w:val="24"/>
                <w:highlight w:val="white"/>
                <w:lang w:val="en-US" w:eastAsia="zh-CN"/>
                <w14:textFill>
                  <w14:solidFill>
                    <w14:schemeClr w14:val="tx1"/>
                  </w14:solidFill>
                </w14:textFill>
              </w:rPr>
              <w:t>20</w:t>
            </w:r>
            <w:r>
              <w:rPr>
                <w:rFonts w:hint="eastAsia" w:ascii="宋体" w:hAnsi="宋体" w:cs="宋体"/>
                <w:color w:val="000000" w:themeColor="text1"/>
                <w:sz w:val="24"/>
                <w:highlight w:val="white"/>
                <w14:textFill>
                  <w14:solidFill>
                    <w14:schemeClr w14:val="tx1"/>
                  </w14:solidFill>
                </w14:textFill>
              </w:rPr>
              <w:t>日09：30</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开标地点：江苏博智工程咨询有限公司（无锡市滨湖区高浪东路508号华发大厦A座22楼2203室开标室）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11</w:t>
            </w:r>
          </w:p>
        </w:tc>
        <w:tc>
          <w:tcPr>
            <w:tcW w:w="8158" w:type="dxa"/>
            <w:vAlign w:val="center"/>
          </w:tcPr>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确定中标单位时间：2024年</w:t>
            </w:r>
            <w:r>
              <w:rPr>
                <w:rFonts w:hint="eastAsia" w:ascii="宋体" w:hAnsi="宋体" w:cs="宋体"/>
                <w:color w:val="000000" w:themeColor="text1"/>
                <w:sz w:val="24"/>
                <w:highlight w:val="white"/>
                <w:lang w:val="en-US" w:eastAsia="zh-CN"/>
                <w14:textFill>
                  <w14:solidFill>
                    <w14:schemeClr w14:val="tx1"/>
                  </w14:solidFill>
                </w14:textFill>
              </w:rPr>
              <w:t>8</w:t>
            </w:r>
            <w:r>
              <w:rPr>
                <w:rFonts w:hint="eastAsia" w:ascii="宋体" w:hAnsi="宋体" w:cs="宋体"/>
                <w:color w:val="000000" w:themeColor="text1"/>
                <w:sz w:val="24"/>
                <w:highlight w:val="white"/>
                <w14:textFill>
                  <w14:solidFill>
                    <w14:schemeClr w14:val="tx1"/>
                  </w14:solidFill>
                </w14:textFill>
              </w:rPr>
              <w:t>月</w:t>
            </w:r>
            <w:r>
              <w:rPr>
                <w:rFonts w:hint="eastAsia" w:ascii="宋体" w:hAnsi="宋体" w:cs="宋体"/>
                <w:color w:val="000000" w:themeColor="text1"/>
                <w:sz w:val="24"/>
                <w:highlight w:val="white"/>
                <w:lang w:val="en-US" w:eastAsia="zh-CN"/>
                <w14:textFill>
                  <w14:solidFill>
                    <w14:schemeClr w14:val="tx1"/>
                  </w14:solidFill>
                </w14:textFill>
              </w:rPr>
              <w:t>20</w:t>
            </w:r>
            <w:r>
              <w:rPr>
                <w:rFonts w:hint="eastAsia" w:ascii="宋体" w:hAnsi="宋体" w:cs="宋体"/>
                <w:color w:val="000000" w:themeColor="text1"/>
                <w:sz w:val="24"/>
                <w:highlight w:val="white"/>
                <w14:textFill>
                  <w14:solidFill>
                    <w14:schemeClr w14:val="tx1"/>
                  </w14:solidFill>
                </w14:textFill>
              </w:rPr>
              <w:t>日评审结束</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确定中标单位地点：江苏博智工程咨询有限公司（无锡市滨湖区高浪东路508号华发大厦A座22楼2203室开标室）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00" w:type="dxa"/>
            <w:vAlign w:val="center"/>
          </w:tcPr>
          <w:p>
            <w:pPr>
              <w:widowControl/>
              <w:spacing w:line="360" w:lineRule="auto"/>
              <w:jc w:val="center"/>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12</w:t>
            </w:r>
          </w:p>
        </w:tc>
        <w:tc>
          <w:tcPr>
            <w:tcW w:w="8158" w:type="dxa"/>
            <w:vAlign w:val="center"/>
          </w:tcPr>
          <w:p>
            <w:pPr>
              <w:spacing w:line="440" w:lineRule="exact"/>
              <w:rPr>
                <w:rFonts w:ascii="宋体" w:hAnsi="宋体"/>
                <w:bCs/>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投标文件份数：</w:t>
            </w:r>
            <w:r>
              <w:rPr>
                <w:rFonts w:hint="eastAsia" w:ascii="宋体" w:hAnsi="宋体"/>
                <w:bCs/>
                <w:color w:val="000000" w:themeColor="text1"/>
                <w:sz w:val="24"/>
                <w:highlight w:val="white"/>
                <w14:textFill>
                  <w14:solidFill>
                    <w14:schemeClr w14:val="tx1"/>
                  </w14:solidFill>
                </w14:textFill>
              </w:rPr>
              <w:t>投标文件份数：</w:t>
            </w:r>
          </w:p>
          <w:p>
            <w:pPr>
              <w:spacing w:line="440" w:lineRule="exact"/>
              <w:rPr>
                <w:rFonts w:ascii="宋体" w:hAnsi="宋体"/>
                <w:bCs/>
                <w:color w:val="000000" w:themeColor="text1"/>
                <w:sz w:val="24"/>
                <w:highlight w:val="white"/>
                <w14:textFill>
                  <w14:solidFill>
                    <w14:schemeClr w14:val="tx1"/>
                  </w14:solidFill>
                </w14:textFill>
              </w:rPr>
            </w:pPr>
            <w:r>
              <w:rPr>
                <w:rFonts w:hint="eastAsia" w:ascii="宋体" w:hAnsi="宋体"/>
                <w:bCs/>
                <w:color w:val="000000" w:themeColor="text1"/>
                <w:sz w:val="24"/>
                <w:highlight w:val="white"/>
                <w14:textFill>
                  <w14:solidFill>
                    <w14:schemeClr w14:val="tx1"/>
                  </w14:solidFill>
                </w14:textFill>
              </w:rPr>
              <w:t>纸质版：正本1份；副本5份。</w:t>
            </w:r>
          </w:p>
          <w:p>
            <w:pPr>
              <w:spacing w:line="440" w:lineRule="exact"/>
              <w:rPr>
                <w:rFonts w:ascii="宋体" w:hAnsi="宋体"/>
                <w:bCs/>
                <w:color w:val="000000" w:themeColor="text1"/>
                <w:sz w:val="24"/>
                <w:highlight w:val="white"/>
                <w14:textFill>
                  <w14:solidFill>
                    <w14:schemeClr w14:val="tx1"/>
                  </w14:solidFill>
                </w14:textFill>
              </w:rPr>
            </w:pPr>
            <w:r>
              <w:rPr>
                <w:rFonts w:hint="eastAsia" w:ascii="宋体" w:hAnsi="宋体"/>
                <w:bCs/>
                <w:color w:val="000000" w:themeColor="text1"/>
                <w:sz w:val="24"/>
                <w:highlight w:val="white"/>
                <w14:textFill>
                  <w14:solidFill>
                    <w14:schemeClr w14:val="tx1"/>
                  </w14:solidFill>
                </w14:textFill>
              </w:rPr>
              <w:t>电子版：U盘1份。</w:t>
            </w:r>
          </w:p>
          <w:p>
            <w:pPr>
              <w:widowControl/>
              <w:spacing w:line="360" w:lineRule="auto"/>
              <w:rPr>
                <w:rFonts w:ascii="宋体" w:hAnsi="宋体" w:cs="宋体"/>
                <w:color w:val="000000" w:themeColor="text1"/>
                <w:sz w:val="24"/>
                <w:highlight w:val="white"/>
                <w14:textFill>
                  <w14:solidFill>
                    <w14:schemeClr w14:val="tx1"/>
                  </w14:solidFill>
                </w14:textFill>
              </w:rPr>
            </w:pPr>
            <w:r>
              <w:rPr>
                <w:rFonts w:hint="eastAsia" w:ascii="宋体" w:hAnsi="宋体"/>
                <w:bCs/>
                <w:color w:val="000000" w:themeColor="text1"/>
                <w:sz w:val="24"/>
                <w:highlight w:val="white"/>
                <w14:textFill>
                  <w14:solidFill>
                    <w14:schemeClr w14:val="tx1"/>
                  </w14:solidFill>
                </w14:textFill>
              </w:rPr>
              <w:t>注：上述各种形式响应文件均需在响应文件递交截止时间之前递交，缺少任何一项，采购人不予受理。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0" w:type="dxa"/>
            <w:vAlign w:val="center"/>
          </w:tcPr>
          <w:p>
            <w:pPr>
              <w:widowControl/>
              <w:spacing w:line="360" w:lineRule="auto"/>
              <w:jc w:val="center"/>
              <w:rPr>
                <w:rFonts w:hint="default" w:ascii="宋体" w:hAnsi="宋体" w:eastAsia="宋体" w:cs="宋体"/>
                <w:color w:val="000000" w:themeColor="text1"/>
                <w:sz w:val="24"/>
                <w:highlight w:val="white"/>
                <w:lang w:val="en-US" w:eastAsia="zh-CN"/>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13</w:t>
            </w:r>
          </w:p>
        </w:tc>
        <w:tc>
          <w:tcPr>
            <w:tcW w:w="8158"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有关本次采购活动程序方面的问题，可来人、来函（传真）或电话联系。</w:t>
            </w:r>
          </w:p>
          <w:p>
            <w:pPr>
              <w:widowControl/>
              <w:spacing w:line="44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w:t>
            </w:r>
            <w:r>
              <w:rPr>
                <w:rFonts w:hint="eastAsia" w:ascii="宋体" w:hAnsi="宋体" w:cs="宋体"/>
                <w:color w:val="000000" w:themeColor="text1"/>
                <w:sz w:val="24"/>
                <w:highlight w:val="none"/>
                <w:lang w:eastAsia="zh-CN"/>
                <w14:textFill>
                  <w14:solidFill>
                    <w14:schemeClr w14:val="tx1"/>
                  </w14:solidFill>
                </w14:textFill>
              </w:rPr>
              <w:t>无锡市华庄中学</w:t>
            </w:r>
          </w:p>
          <w:p>
            <w:pPr>
              <w:widowControl/>
              <w:spacing w:line="440" w:lineRule="exact"/>
              <w:ind w:right="-334"/>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无锡市清源路52号</w:t>
            </w:r>
          </w:p>
          <w:p>
            <w:pPr>
              <w:widowControl/>
              <w:spacing w:line="440" w:lineRule="exact"/>
              <w:ind w:right="-334"/>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陆老师</w:t>
            </w:r>
          </w:p>
          <w:p>
            <w:pPr>
              <w:widowControl/>
              <w:spacing w:line="440" w:lineRule="exact"/>
              <w:ind w:right="-334"/>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 xml:space="preserve"> 13812180301</w:t>
            </w:r>
          </w:p>
          <w:p>
            <w:pPr>
              <w:widowControl/>
              <w:spacing w:line="440" w:lineRule="exact"/>
              <w:ind w:right="-33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2）采购代理机构：江苏博智工程咨询有限公司</w:t>
            </w:r>
          </w:p>
          <w:p>
            <w:pPr>
              <w:widowControl/>
              <w:spacing w:line="440" w:lineRule="exact"/>
              <w:ind w:right="-33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联系地址：无锡市滨湖区高浪东路508号华发大厦A座22楼2203室</w:t>
            </w:r>
          </w:p>
          <w:p>
            <w:pPr>
              <w:widowControl/>
              <w:spacing w:line="440" w:lineRule="exact"/>
              <w:ind w:right="-33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联系人：臧允楠</w:t>
            </w:r>
          </w:p>
          <w:p>
            <w:pPr>
              <w:widowControl/>
              <w:spacing w:line="440" w:lineRule="exact"/>
              <w:ind w:right="-33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联系电话：0510-82820918</w:t>
            </w:r>
          </w:p>
          <w:p>
            <w:pPr>
              <w:widowControl/>
              <w:spacing w:line="440" w:lineRule="exact"/>
              <w:ind w:right="-33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邮箱：1058184069@qq.com</w:t>
            </w:r>
          </w:p>
        </w:tc>
      </w:tr>
    </w:tbl>
    <w:p>
      <w:pPr>
        <w:widowControl/>
        <w:jc w:val="center"/>
        <w:rPr>
          <w:rFonts w:ascii="宋体" w:hAnsi="宋体" w:cs="宋体"/>
          <w:b/>
          <w:color w:val="000000" w:themeColor="text1"/>
          <w:sz w:val="44"/>
          <w:szCs w:val="44"/>
          <w:highlight w:val="white"/>
          <w14:textFill>
            <w14:solidFill>
              <w14:schemeClr w14:val="tx1"/>
            </w14:solidFill>
          </w14:textFill>
        </w:rPr>
      </w:pPr>
    </w:p>
    <w:p>
      <w:pPr>
        <w:spacing w:line="360" w:lineRule="auto"/>
        <w:jc w:val="center"/>
        <w:rPr>
          <w:rFonts w:ascii="宋体" w:hAnsi="宋体" w:cs="宋体"/>
          <w:b/>
          <w:color w:val="000000" w:themeColor="text1"/>
          <w:sz w:val="44"/>
          <w:szCs w:val="44"/>
          <w:highlight w:val="white"/>
          <w14:textFill>
            <w14:solidFill>
              <w14:schemeClr w14:val="tx1"/>
            </w14:solidFill>
          </w14:textFill>
        </w:rPr>
      </w:pPr>
    </w:p>
    <w:p>
      <w:pPr>
        <w:pStyle w:val="187"/>
        <w:ind w:firstLine="0"/>
        <w:rPr>
          <w:rFonts w:ascii="宋体" w:hAnsi="宋体" w:cs="宋体"/>
          <w:b/>
          <w:color w:val="000000" w:themeColor="text1"/>
          <w:sz w:val="44"/>
          <w:szCs w:val="44"/>
          <w:highlight w:val="white"/>
          <w14:textFill>
            <w14:solidFill>
              <w14:schemeClr w14:val="tx1"/>
            </w14:solidFill>
          </w14:textFill>
        </w:rPr>
      </w:pPr>
    </w:p>
    <w:p>
      <w:pPr>
        <w:spacing w:line="360" w:lineRule="auto"/>
        <w:jc w:val="center"/>
        <w:rPr>
          <w:rFonts w:ascii="宋体" w:hAnsi="宋体" w:cs="宋体"/>
          <w:b/>
          <w:color w:val="000000" w:themeColor="text1"/>
          <w:sz w:val="44"/>
          <w:szCs w:val="44"/>
          <w:highlight w:val="white"/>
          <w14:textFill>
            <w14:solidFill>
              <w14:schemeClr w14:val="tx1"/>
            </w14:solidFill>
          </w14:textFill>
        </w:rPr>
      </w:pPr>
    </w:p>
    <w:p>
      <w:pPr>
        <w:spacing w:line="360" w:lineRule="auto"/>
        <w:jc w:val="center"/>
        <w:rPr>
          <w:rFonts w:ascii="宋体" w:hAnsi="宋体" w:cs="宋体"/>
          <w:b/>
          <w:color w:val="000000" w:themeColor="text1"/>
          <w:sz w:val="44"/>
          <w:szCs w:val="44"/>
          <w:highlight w:val="white"/>
          <w14:textFill>
            <w14:solidFill>
              <w14:schemeClr w14:val="tx1"/>
            </w14:solidFill>
          </w14:textFill>
        </w:rPr>
      </w:pPr>
      <w:r>
        <w:rPr>
          <w:rFonts w:hint="eastAsia" w:ascii="宋体" w:hAnsi="宋体" w:cs="宋体"/>
          <w:b/>
          <w:color w:val="000000" w:themeColor="text1"/>
          <w:sz w:val="44"/>
          <w:szCs w:val="44"/>
          <w:highlight w:val="white"/>
          <w14:textFill>
            <w14:solidFill>
              <w14:schemeClr w14:val="tx1"/>
            </w14:solidFill>
          </w14:textFill>
        </w:rPr>
        <w:br w:type="page" w:clear="all"/>
      </w:r>
      <w:r>
        <w:rPr>
          <w:rFonts w:hint="eastAsia" w:ascii="宋体" w:hAnsi="宋体" w:cs="宋体"/>
          <w:b/>
          <w:color w:val="000000" w:themeColor="text1"/>
          <w:sz w:val="44"/>
          <w:szCs w:val="44"/>
          <w:highlight w:val="white"/>
          <w14:textFill>
            <w14:solidFill>
              <w14:schemeClr w14:val="tx1"/>
            </w14:solidFill>
          </w14:textFill>
        </w:rPr>
        <w:t>第二部分. 投标供应商须知</w:t>
      </w:r>
    </w:p>
    <w:p>
      <w:pPr>
        <w:spacing w:line="360" w:lineRule="auto"/>
        <w:ind w:firstLine="24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（一）遵循原则：</w:t>
      </w:r>
    </w:p>
    <w:p>
      <w:pPr>
        <w:spacing w:line="360" w:lineRule="auto"/>
        <w:ind w:firstLine="24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公开透明原则、公平竞争原则、公正原则和诚实信用原则。</w:t>
      </w:r>
    </w:p>
    <w:p>
      <w:pPr>
        <w:spacing w:line="360" w:lineRule="auto"/>
        <w:ind w:firstLine="24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（二）招标文件：</w:t>
      </w:r>
    </w:p>
    <w:p>
      <w:pPr>
        <w:spacing w:line="360" w:lineRule="auto"/>
        <w:ind w:firstLine="36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1．招标文件包括文件目录所列全部内容，投标供应商应仔细阅读，并在投标文件中充分响应招标文件的所有要求。</w:t>
      </w:r>
    </w:p>
    <w:p>
      <w:pPr>
        <w:spacing w:line="360" w:lineRule="auto"/>
        <w:ind w:firstLine="36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2．投标供应商应下载采购文件及有关资料，按招标文件要求提交全部资料并对招标文件各项内容做出实质性响应，否则该投标供应商的投标无效。</w:t>
      </w:r>
    </w:p>
    <w:p>
      <w:pPr>
        <w:spacing w:line="360" w:lineRule="auto"/>
        <w:ind w:firstLine="36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3．投标供应商一旦参加本项目投标，即表明承诺接受了本招标文件中所有条件和规定。</w:t>
      </w:r>
    </w:p>
    <w:p>
      <w:pPr>
        <w:spacing w:line="360" w:lineRule="auto"/>
        <w:ind w:firstLine="36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4．招标文件一经售出、一律不退，且仅作为本次采购招标使用。</w:t>
      </w:r>
    </w:p>
    <w:p>
      <w:pPr>
        <w:spacing w:line="360" w:lineRule="auto"/>
        <w:ind w:firstLine="24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（三）招标文件的解释：</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1．投标供应商如有需要对招标文件要求澄清的问题，请以书面方式提出，并按“投标邀请”第6项规定的时间发送至指定地点，联系方式详见投标邀请第</w:t>
      </w:r>
      <w:r>
        <w:rPr>
          <w:rFonts w:hint="eastAsia" w:ascii="宋体" w:hAnsi="宋体" w:cs="宋体"/>
          <w:color w:val="000000" w:themeColor="text1"/>
          <w:sz w:val="24"/>
          <w:highlight w:val="white"/>
          <w:lang w:val="en-US" w:eastAsia="zh-CN"/>
          <w14:textFill>
            <w14:solidFill>
              <w14:schemeClr w14:val="tx1"/>
            </w14:solidFill>
          </w14:textFill>
        </w:rPr>
        <w:t>13</w:t>
      </w:r>
      <w:r>
        <w:rPr>
          <w:rFonts w:hint="eastAsia" w:ascii="宋体" w:hAnsi="宋体" w:cs="宋体"/>
          <w:color w:val="000000" w:themeColor="text1"/>
          <w:sz w:val="24"/>
          <w:highlight w:val="white"/>
          <w14:textFill>
            <w14:solidFill>
              <w14:schemeClr w14:val="tx1"/>
            </w14:solidFill>
          </w14:textFill>
        </w:rPr>
        <w:t>项。</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2．采购人、江苏博智工程咨询有限公司将按“投标邀请”第6项规定的时间对投标供应商针对招标文件书面提出的要求澄清的问题进行书面答疑。</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3．本文件的最终解释权归采购人。</w:t>
      </w:r>
    </w:p>
    <w:p>
      <w:pPr>
        <w:spacing w:line="360" w:lineRule="auto"/>
        <w:ind w:firstLine="24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（四）招标文件的补充或修正：</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1．采购人或者采购代理机构可以对已发出的招标文件进行必要的澄清或者修改。澄清或者修改将在</w:t>
      </w:r>
      <w:r>
        <w:rPr>
          <w:rFonts w:hint="eastAsia" w:ascii="宋体" w:hAnsi="宋体" w:cs="宋体"/>
          <w:b/>
          <w:bCs/>
          <w:color w:val="000000" w:themeColor="text1"/>
          <w:sz w:val="24"/>
          <w:highlight w:val="white"/>
          <w14:textFill>
            <w14:solidFill>
              <w14:schemeClr w14:val="tx1"/>
            </w14:solidFill>
          </w14:textFill>
        </w:rPr>
        <w:t>江苏政府采购网、无锡政府采购网</w:t>
      </w:r>
      <w:r>
        <w:rPr>
          <w:rFonts w:hint="eastAsia" w:ascii="宋体" w:hAnsi="宋体" w:cs="宋体"/>
          <w:color w:val="000000" w:themeColor="text1"/>
          <w:sz w:val="24"/>
          <w:highlight w:val="white"/>
          <w14:textFill>
            <w14:solidFill>
              <w14:schemeClr w14:val="tx1"/>
            </w14:solidFill>
          </w14:textFill>
        </w:rPr>
        <w:t>上发布澄清公告。澄清或者修改的内容为招标文件的组成部分。</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 澄清或者修改的内容可能影响投标文件编制的，采购人或者采购代理机构将在投标截止时间至少15日前，发布澄清公告；不足15日的，采购人或者采购代理机构将顺延提交投标文件的截止时间。</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投标供应商应在投标截止时间前关注原采购公告媒体上发布的相关更正公告。因投标供应商未尽注意义务，未及时全面地关注更正公告导致其提交的投标材料不符合招标要求，而造成的损失及风险（包括但不限于未成交）由投标供应商自行承担。</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投标供应商认为招标文件使自己的权益受到损害的，可以自获取招标文件之日或者招标公告期限届满之日（公告期限届满后获取招标文件的，以公告期限届满之日为准）起7个工作日内，以书面形式（含电子邮件）向采购人、采购代理机构提出质疑。针对同一采购程序环节的质疑，须在法定质疑期内一次性提出。质疑函的质疑事项应具体、明确，并有必要的事实依据和法律依据（格式详见中国政府采购网《政府采购供应商质疑函范本》）。江苏博智工程咨询有限公司将在收到符合上述要求的书面质疑后七个工作日内，对质疑内容做出答复。投标供应商在法定质疑期限外送达的质疑函或法定质疑期限内送达的质疑函不符合上述要求的均为无效质疑，江苏博智工程咨询有限公司对无效质疑不予受理。</w:t>
      </w:r>
    </w:p>
    <w:p>
      <w:pPr>
        <w:spacing w:line="360" w:lineRule="auto"/>
        <w:ind w:firstLine="24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（五）投标文件的组成：</w:t>
      </w:r>
    </w:p>
    <w:p>
      <w:pPr>
        <w:tabs>
          <w:tab w:val="left" w:pos="525"/>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投标文件由商务标、技术标两部分组成。</w:t>
      </w:r>
    </w:p>
    <w:p>
      <w:pPr>
        <w:tabs>
          <w:tab w:val="left" w:pos="525"/>
          <w:tab w:val="left" w:pos="1050"/>
        </w:tabs>
        <w:spacing w:line="360" w:lineRule="auto"/>
        <w:ind w:firstLine="482"/>
        <w:rPr>
          <w:rFonts w:ascii="宋体" w:hAnsi="宋体" w:cs="宋体"/>
          <w:b/>
          <w:color w:val="000000" w:themeColor="text1"/>
          <w:sz w:val="24"/>
          <w:highlight w:val="white"/>
          <w14:textFill>
            <w14:solidFill>
              <w14:schemeClr w14:val="tx1"/>
            </w14:solidFill>
          </w14:textFill>
        </w:rPr>
      </w:pPr>
      <w:r>
        <w:rPr>
          <w:rFonts w:hint="eastAsia" w:ascii="宋体" w:hAnsi="宋体" w:cs="宋体"/>
          <w:b/>
          <w:color w:val="000000" w:themeColor="text1"/>
          <w:sz w:val="24"/>
          <w:highlight w:val="white"/>
          <w14:textFill>
            <w14:solidFill>
              <w14:schemeClr w14:val="tx1"/>
            </w14:solidFill>
          </w14:textFill>
        </w:rPr>
        <w:t>商务标部分包括：</w:t>
      </w:r>
    </w:p>
    <w:p>
      <w:pPr>
        <w:tabs>
          <w:tab w:val="left" w:pos="525"/>
          <w:tab w:val="left" w:pos="1050"/>
        </w:tabs>
        <w:spacing w:line="360" w:lineRule="auto"/>
        <w:ind w:firstLine="60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1.投标函（格式见附件）</w:t>
      </w:r>
    </w:p>
    <w:p>
      <w:pPr>
        <w:tabs>
          <w:tab w:val="left" w:pos="1050"/>
        </w:tabs>
        <w:spacing w:line="360" w:lineRule="auto"/>
        <w:ind w:firstLine="60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2.资格、资信证明文件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（1）关于资格的声明函</w:t>
      </w:r>
      <w:r>
        <w:rPr>
          <w:rFonts w:hint="eastAsia" w:ascii="宋体" w:hAnsi="宋体" w:cs="宋体"/>
          <w:b/>
          <w:bCs/>
          <w:color w:val="000000" w:themeColor="text1"/>
          <w:sz w:val="24"/>
          <w:highlight w:val="white"/>
          <w14:textFill>
            <w14:solidFill>
              <w14:schemeClr w14:val="tx1"/>
            </w14:solidFill>
          </w14:textFill>
        </w:rPr>
        <w:t>（格式见附件）</w:t>
      </w:r>
      <w:r>
        <w:rPr>
          <w:rFonts w:hint="eastAsia" w:ascii="宋体" w:hAnsi="宋体" w:cs="宋体"/>
          <w:bCs/>
          <w:color w:val="000000" w:themeColor="text1"/>
          <w:sz w:val="24"/>
          <w:highlight w:val="white"/>
          <w14:textFill>
            <w14:solidFill>
              <w14:schemeClr w14:val="tx1"/>
            </w14:solidFill>
          </w14:textFill>
        </w:rPr>
        <w:t>；</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（2）投标供应商法定代表人授权委托书</w:t>
      </w:r>
      <w:r>
        <w:rPr>
          <w:rFonts w:hint="eastAsia" w:ascii="宋体" w:hAnsi="宋体" w:cs="宋体"/>
          <w:b/>
          <w:bCs/>
          <w:color w:val="000000" w:themeColor="text1"/>
          <w:sz w:val="24"/>
          <w:highlight w:val="white"/>
          <w14:textFill>
            <w14:solidFill>
              <w14:schemeClr w14:val="tx1"/>
            </w14:solidFill>
          </w14:textFill>
        </w:rPr>
        <w:t>（法定代表人亲自参与投标的除外，格式见附件）</w:t>
      </w:r>
      <w:r>
        <w:rPr>
          <w:rFonts w:hint="eastAsia" w:ascii="宋体" w:hAnsi="宋体" w:cs="宋体"/>
          <w:bCs/>
          <w:color w:val="000000" w:themeColor="text1"/>
          <w:sz w:val="24"/>
          <w:highlight w:val="white"/>
          <w14:textFill>
            <w14:solidFill>
              <w14:schemeClr w14:val="tx1"/>
            </w14:solidFill>
          </w14:textFill>
        </w:rPr>
        <w:t>；</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bookmarkStart w:id="0" w:name="OLE_LINK8"/>
      <w:r>
        <w:rPr>
          <w:rFonts w:hint="eastAsia" w:ascii="宋体" w:hAnsi="宋体" w:cs="宋体"/>
          <w:bCs/>
          <w:color w:val="000000" w:themeColor="text1"/>
          <w:sz w:val="24"/>
          <w:highlight w:val="white"/>
          <w14:textFill>
            <w14:solidFill>
              <w14:schemeClr w14:val="tx1"/>
            </w14:solidFill>
          </w14:textFill>
        </w:rPr>
        <w:t>（3）</w:t>
      </w:r>
      <w:bookmarkEnd w:id="0"/>
      <w:r>
        <w:rPr>
          <w:rFonts w:hint="eastAsia" w:ascii="宋体" w:hAnsi="宋体" w:cs="宋体"/>
          <w:bCs/>
          <w:color w:val="000000" w:themeColor="text1"/>
          <w:sz w:val="24"/>
          <w:highlight w:val="white"/>
          <w14:textFill>
            <w14:solidFill>
              <w14:schemeClr w14:val="tx1"/>
            </w14:solidFill>
          </w14:textFill>
        </w:rPr>
        <w:t>投标供应商法定代表人身份证及法定代表人授权代表</w:t>
      </w:r>
      <w:r>
        <w:rPr>
          <w:rFonts w:hint="eastAsia" w:ascii="宋体" w:hAnsi="宋体" w:cs="宋体"/>
          <w:color w:val="000000" w:themeColor="text1"/>
          <w:sz w:val="24"/>
          <w:highlight w:val="white"/>
          <w14:textFill>
            <w14:solidFill>
              <w14:schemeClr w14:val="tx1"/>
            </w14:solidFill>
          </w14:textFill>
        </w:rPr>
        <w:t>身份证复印件并加盖公章；</w:t>
      </w:r>
      <w:r>
        <w:rPr>
          <w:rFonts w:hint="eastAsia" w:ascii="宋体" w:hAnsi="宋体" w:cs="宋体"/>
          <w:b/>
          <w:color w:val="000000" w:themeColor="text1"/>
          <w:sz w:val="24"/>
          <w:highlight w:val="white"/>
          <w14:textFill>
            <w14:solidFill>
              <w14:schemeClr w14:val="tx1"/>
            </w14:solidFill>
          </w14:textFill>
        </w:rPr>
        <w:t>（投标时必须提交参加开标会议的法定代表人或法定代表人授权代表有效身份证明原件）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（4）投标供应商企业法人营业执照</w:t>
      </w:r>
      <w:r>
        <w:rPr>
          <w:rFonts w:hint="eastAsia" w:ascii="宋体" w:hAnsi="宋体" w:cs="宋体"/>
          <w:color w:val="000000" w:themeColor="text1"/>
          <w:sz w:val="24"/>
          <w:highlight w:val="white"/>
          <w14:textFill>
            <w14:solidFill>
              <w14:schemeClr w14:val="tx1"/>
            </w14:solidFill>
          </w14:textFill>
        </w:rPr>
        <w:t>复印件加盖公章；</w:t>
      </w:r>
      <w:r>
        <w:rPr>
          <w:rFonts w:hint="eastAsia" w:ascii="宋体" w:hAnsi="宋体" w:cs="宋体"/>
          <w:b/>
          <w:color w:val="000000" w:themeColor="text1"/>
          <w:sz w:val="24"/>
          <w:highlight w:val="white"/>
          <w14:textFill>
            <w14:solidFill>
              <w14:schemeClr w14:val="tx1"/>
            </w14:solidFill>
          </w14:textFill>
        </w:rPr>
        <w:t>（投标时必须提交原件或公证件或带二维码扫描件）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（5）被授权委托人、项目负责人应与企业签订的劳动合同和由社保机构出具的投标供应商为其缴纳的2024年4月～2024年6月的缴费证明</w:t>
      </w:r>
      <w:r>
        <w:rPr>
          <w:rFonts w:hint="eastAsia" w:ascii="宋体" w:hAnsi="宋体" w:cs="宋体"/>
          <w:color w:val="000000" w:themeColor="text1"/>
          <w:sz w:val="24"/>
          <w:highlight w:val="white"/>
          <w14:textFill>
            <w14:solidFill>
              <w14:schemeClr w14:val="tx1"/>
            </w14:solidFill>
          </w14:textFill>
        </w:rPr>
        <w:t>复印件加盖公章；</w:t>
      </w:r>
      <w:r>
        <w:rPr>
          <w:rFonts w:hint="eastAsia" w:ascii="宋体" w:hAnsi="宋体" w:cs="宋体"/>
          <w:b/>
          <w:bCs/>
          <w:color w:val="000000" w:themeColor="text1"/>
          <w:sz w:val="24"/>
          <w:highlight w:val="white"/>
          <w14:textFill>
            <w14:solidFill>
              <w14:schemeClr w14:val="tx1"/>
            </w14:solidFill>
          </w14:textFill>
        </w:rPr>
        <w:t>（投标时必须提交原件或网上查询带有二维码/验证码的打印件）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（6）投标供应商近三个月中任意一个月份(不含开标当月)的财务状况报告（资产负债表和利润表）或由会计师事务所出具的近两年中任意一年度的审计报告和所附已审财务报告复印件并加盖公章；</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（7）投标供应商近三个月中任意一个月份(不含开标当月)的依法缴纳税收的相关材料（提供相关主管部门证明或银行代扣证明）复印件并加盖公章；</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（8）投标供应商近三个月中任意一个月份(不含开标当月)的依法缴纳社会保障资金的相关材料（提供相关主管部门证明或银行代扣证明）复印件并加盖公章；</w:t>
      </w:r>
    </w:p>
    <w:p>
      <w:pPr>
        <w:spacing w:line="360" w:lineRule="auto"/>
        <w:ind w:firstLine="480"/>
        <w:rPr>
          <w:rFonts w:hint="eastAsia" w:ascii="宋体" w:hAnsi="宋体"/>
          <w:bCs/>
          <w:color w:val="000000" w:themeColor="text1"/>
          <w:sz w:val="24"/>
          <w:highlight w:val="white"/>
          <w:lang w:eastAsia="zh-CN"/>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（9）承诺书</w:t>
      </w:r>
      <w:r>
        <w:rPr>
          <w:rFonts w:hint="eastAsia" w:ascii="宋体" w:hAnsi="宋体" w:cs="宋体"/>
          <w:b/>
          <w:color w:val="000000" w:themeColor="text1"/>
          <w:sz w:val="24"/>
          <w:highlight w:val="white"/>
          <w14:textFill>
            <w14:solidFill>
              <w14:schemeClr w14:val="tx1"/>
            </w14:solidFill>
          </w14:textFill>
        </w:rPr>
        <w:t>（格式见附件）</w:t>
      </w:r>
      <w:r>
        <w:rPr>
          <w:rFonts w:hint="eastAsia" w:ascii="宋体" w:hAnsi="宋体"/>
          <w:bCs/>
          <w:color w:val="000000" w:themeColor="text1"/>
          <w:sz w:val="24"/>
          <w:highlight w:val="white"/>
          <w:lang w:eastAsia="zh-CN"/>
          <w14:textFill>
            <w14:solidFill>
              <w14:schemeClr w14:val="tx1"/>
            </w14:solidFill>
          </w14:textFill>
        </w:rPr>
        <w:t>；</w:t>
      </w:r>
    </w:p>
    <w:p>
      <w:pPr>
        <w:spacing w:line="360" w:lineRule="auto"/>
        <w:ind w:firstLine="480"/>
        <w:rPr>
          <w:rFonts w:ascii="宋体" w:hAnsi="宋体"/>
          <w:bCs/>
          <w:color w:val="000000"/>
          <w:sz w:val="24"/>
          <w:szCs w:val="24"/>
        </w:rPr>
      </w:pPr>
      <w:r>
        <w:rPr>
          <w:rFonts w:hint="eastAsia" w:ascii="宋体" w:hAnsi="宋体"/>
          <w:bCs/>
          <w:color w:val="000000"/>
          <w:sz w:val="24"/>
          <w:szCs w:val="24"/>
          <w:lang w:eastAsia="zh-CN"/>
        </w:rPr>
        <w:t>（</w:t>
      </w:r>
      <w:r>
        <w:rPr>
          <w:rFonts w:hint="eastAsia" w:ascii="宋体" w:hAnsi="宋体"/>
          <w:bCs/>
          <w:color w:val="000000"/>
          <w:sz w:val="24"/>
          <w:szCs w:val="24"/>
          <w:lang w:val="en-US" w:eastAsia="zh-CN"/>
        </w:rPr>
        <w:t>10</w:t>
      </w:r>
      <w:r>
        <w:rPr>
          <w:rFonts w:hint="eastAsia" w:ascii="宋体" w:hAnsi="宋体"/>
          <w:bCs/>
          <w:color w:val="000000"/>
          <w:sz w:val="24"/>
          <w:szCs w:val="24"/>
          <w:lang w:eastAsia="zh-CN"/>
        </w:rPr>
        <w:t>）</w:t>
      </w:r>
      <w:r>
        <w:rPr>
          <w:rFonts w:hint="eastAsia" w:ascii="宋体" w:hAnsi="宋体"/>
          <w:bCs/>
          <w:color w:val="000000"/>
          <w:sz w:val="24"/>
          <w:szCs w:val="24"/>
        </w:rPr>
        <w:t>投标人中小企业声明函</w:t>
      </w:r>
      <w:r>
        <w:rPr>
          <w:rFonts w:hint="eastAsia" w:ascii="宋体" w:hAnsi="宋体"/>
          <w:b/>
          <w:color w:val="000000"/>
          <w:sz w:val="24"/>
          <w:szCs w:val="24"/>
        </w:rPr>
        <w:t>（格式见附件）</w:t>
      </w:r>
      <w:r>
        <w:rPr>
          <w:rFonts w:hint="eastAsia" w:ascii="宋体" w:hAnsi="宋体"/>
          <w:bCs/>
          <w:color w:val="000000"/>
          <w:sz w:val="24"/>
          <w:szCs w:val="24"/>
        </w:rPr>
        <w:t>。</w:t>
      </w:r>
    </w:p>
    <w:p>
      <w:pPr>
        <w:spacing w:line="360" w:lineRule="auto"/>
        <w:ind w:firstLine="480"/>
        <w:rPr>
          <w:rFonts w:hint="eastAsia" w:ascii="宋体" w:hAnsi="宋体"/>
          <w:bCs/>
          <w:color w:val="000000" w:themeColor="text1"/>
          <w:sz w:val="24"/>
          <w:highlight w:val="white"/>
          <w:lang w:eastAsia="zh-CN"/>
          <w14:textFill>
            <w14:solidFill>
              <w14:schemeClr w14:val="tx1"/>
            </w14:solidFill>
          </w14:textFill>
        </w:rPr>
      </w:pPr>
      <w:r>
        <w:rPr>
          <w:rFonts w:hint="eastAsia" w:ascii="宋体" w:hAnsi="宋体"/>
          <w:bCs/>
          <w:color w:val="000000"/>
          <w:sz w:val="24"/>
          <w:szCs w:val="24"/>
        </w:rPr>
        <w:t>供应商如是中小企业，须按格式填写《中小企业声明函》（货物）；如是监狱和戒毒企业，须提供省级以上监狱管理局、戒毒管理局(含新疆生产建设兵团)出具的投标供应商属于监狱企业的证明文件复印件；如是残疾人福利性单位，须按格式填写《残疾人福利性单位声明函》。</w:t>
      </w:r>
    </w:p>
    <w:p>
      <w:pPr>
        <w:spacing w:line="360" w:lineRule="auto"/>
        <w:ind w:firstLine="482"/>
        <w:rPr>
          <w:rFonts w:ascii="宋体" w:cs="宋体"/>
          <w:b/>
          <w:bCs/>
          <w:color w:val="000000" w:themeColor="text1"/>
          <w:sz w:val="24"/>
          <w:highlight w:val="white"/>
          <w14:textFill>
            <w14:solidFill>
              <w14:schemeClr w14:val="tx1"/>
            </w14:solidFill>
          </w14:textFill>
        </w:rPr>
      </w:pPr>
      <w:r>
        <w:rPr>
          <w:rFonts w:hint="eastAsia" w:ascii="宋体" w:cs="宋体"/>
          <w:b/>
          <w:bCs/>
          <w:color w:val="000000" w:themeColor="text1"/>
          <w:sz w:val="24"/>
          <w:highlight w:val="white"/>
          <w:lang w:val="zh-CN"/>
          <w14:textFill>
            <w14:solidFill>
              <w14:schemeClr w14:val="tx1"/>
            </w14:solidFill>
          </w14:textFill>
        </w:rPr>
        <w:t>注：</w:t>
      </w:r>
      <w:r>
        <w:rPr>
          <w:rFonts w:hint="eastAsia" w:ascii="宋体" w:cs="宋体"/>
          <w:b/>
          <w:bCs/>
          <w:color w:val="000000" w:themeColor="text1"/>
          <w:sz w:val="24"/>
          <w:highlight w:val="white"/>
          <w14:textFill>
            <w14:solidFill>
              <w14:schemeClr w14:val="tx1"/>
            </w14:solidFill>
          </w14:textFill>
        </w:rPr>
        <w:t>1、</w:t>
      </w:r>
      <w:r>
        <w:rPr>
          <w:rFonts w:hint="eastAsia" w:ascii="宋体" w:cs="宋体"/>
          <w:b/>
          <w:bCs/>
          <w:color w:val="000000" w:themeColor="text1"/>
          <w:sz w:val="24"/>
          <w:highlight w:val="white"/>
          <w:lang w:val="zh-CN"/>
          <w14:textFill>
            <w14:solidFill>
              <w14:schemeClr w14:val="tx1"/>
            </w14:solidFill>
          </w14:textFill>
        </w:rPr>
        <w:t>若法定代表人亲自参加</w:t>
      </w:r>
      <w:r>
        <w:rPr>
          <w:rFonts w:hint="eastAsia" w:ascii="宋体" w:cs="宋体"/>
          <w:b/>
          <w:bCs/>
          <w:color w:val="000000" w:themeColor="text1"/>
          <w:sz w:val="24"/>
          <w:highlight w:val="white"/>
          <w14:textFill>
            <w14:solidFill>
              <w14:schemeClr w14:val="tx1"/>
            </w14:solidFill>
          </w14:textFill>
        </w:rPr>
        <w:t>投标的，则无</w:t>
      </w:r>
      <w:r>
        <w:rPr>
          <w:rFonts w:hint="eastAsia" w:ascii="宋体" w:cs="宋体"/>
          <w:b/>
          <w:bCs/>
          <w:color w:val="000000" w:themeColor="text1"/>
          <w:sz w:val="24"/>
          <w:highlight w:val="white"/>
          <w:lang w:val="zh-CN"/>
          <w14:textFill>
            <w14:solidFill>
              <w14:schemeClr w14:val="tx1"/>
            </w14:solidFill>
          </w14:textFill>
        </w:rPr>
        <w:t>需提供法定代表人授权委托书及有关</w:t>
      </w:r>
      <w:r>
        <w:rPr>
          <w:rFonts w:hint="eastAsia" w:ascii="宋体" w:cs="宋体"/>
          <w:b/>
          <w:bCs/>
          <w:color w:val="000000" w:themeColor="text1"/>
          <w:sz w:val="24"/>
          <w:highlight w:val="white"/>
          <w14:textFill>
            <w14:solidFill>
              <w14:schemeClr w14:val="tx1"/>
            </w14:solidFill>
          </w14:textFill>
        </w:rPr>
        <w:t>被</w:t>
      </w:r>
      <w:r>
        <w:rPr>
          <w:rFonts w:hint="eastAsia" w:ascii="宋体" w:cs="宋体"/>
          <w:b/>
          <w:bCs/>
          <w:color w:val="000000" w:themeColor="text1"/>
          <w:sz w:val="24"/>
          <w:highlight w:val="white"/>
          <w:lang w:val="zh-CN"/>
          <w14:textFill>
            <w14:solidFill>
              <w14:schemeClr w14:val="tx1"/>
            </w14:solidFill>
          </w14:textFill>
        </w:rPr>
        <w:t>授权委托人的</w:t>
      </w:r>
      <w:r>
        <w:rPr>
          <w:rFonts w:hint="eastAsia" w:ascii="宋体" w:cs="宋体"/>
          <w:b/>
          <w:bCs/>
          <w:color w:val="000000" w:themeColor="text1"/>
          <w:sz w:val="24"/>
          <w:highlight w:val="white"/>
          <w14:textFill>
            <w14:solidFill>
              <w14:schemeClr w14:val="tx1"/>
            </w14:solidFill>
          </w14:textFill>
        </w:rPr>
        <w:t>相关资料</w:t>
      </w:r>
      <w:r>
        <w:rPr>
          <w:rFonts w:hint="eastAsia" w:ascii="宋体" w:cs="宋体"/>
          <w:b/>
          <w:bCs/>
          <w:color w:val="000000" w:themeColor="text1"/>
          <w:sz w:val="24"/>
          <w:highlight w:val="white"/>
          <w:lang w:val="zh-CN"/>
          <w14:textFill>
            <w14:solidFill>
              <w14:schemeClr w14:val="tx1"/>
            </w14:solidFill>
          </w14:textFill>
        </w:rPr>
        <w:t>；</w:t>
      </w:r>
    </w:p>
    <w:p>
      <w:pPr>
        <w:spacing w:line="360" w:lineRule="auto"/>
        <w:ind w:firstLine="482"/>
        <w:rPr>
          <w:color w:val="000000" w:themeColor="text1"/>
          <w:highlight w:val="white"/>
          <w14:textFill>
            <w14:solidFill>
              <w14:schemeClr w14:val="tx1"/>
            </w14:solidFill>
          </w14:textFill>
        </w:rPr>
      </w:pPr>
      <w:r>
        <w:rPr>
          <w:rFonts w:hint="eastAsia" w:ascii="宋体" w:cs="宋体"/>
          <w:b/>
          <w:bCs/>
          <w:color w:val="000000" w:themeColor="text1"/>
          <w:sz w:val="24"/>
          <w:highlight w:val="white"/>
          <w14:textFill>
            <w14:solidFill>
              <w14:schemeClr w14:val="tx1"/>
            </w14:solidFill>
          </w14:textFill>
        </w:rPr>
        <w:t>2、</w:t>
      </w:r>
      <w:r>
        <w:rPr>
          <w:rFonts w:hint="eastAsia" w:ascii="宋体" w:cs="宋体"/>
          <w:b/>
          <w:bCs/>
          <w:color w:val="000000" w:themeColor="text1"/>
          <w:sz w:val="24"/>
          <w:highlight w:val="white"/>
          <w:lang w:val="zh-CN"/>
          <w14:textFill>
            <w14:solidFill>
              <w14:schemeClr w14:val="tx1"/>
            </w14:solidFill>
          </w14:textFill>
        </w:rPr>
        <w:t>提供的资料涉及时间的，如投标人成立时间迟于要求开始的时间，则时间要求为投标人成立时间至截止时间。</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3.开标一览表（格式见附件）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4.明细报价表（格式见附件）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5.技术参数偏离表（格式见附件）</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6.要求采购人提供的配合（如有自拟并自行添加）</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7.补充性文件（评分标准中对应的其它所需证明材料，如有请提供）</w:t>
      </w:r>
    </w:p>
    <w:p>
      <w:pPr>
        <w:tabs>
          <w:tab w:val="left" w:pos="105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8.其它（投标供应商认为有必要提供的声明和文件，如有自拟并自行添加至投标函中）</w:t>
      </w:r>
    </w:p>
    <w:p>
      <w:pPr>
        <w:widowControl/>
        <w:tabs>
          <w:tab w:val="left" w:pos="0"/>
        </w:tabs>
        <w:spacing w:line="360" w:lineRule="auto"/>
        <w:ind w:firstLine="482"/>
        <w:jc w:val="left"/>
        <w:rPr>
          <w:rFonts w:ascii="宋体" w:hAnsi="宋体" w:cs="宋体"/>
          <w:b/>
          <w:color w:val="000000" w:themeColor="text1"/>
          <w:sz w:val="24"/>
          <w:highlight w:val="white"/>
          <w14:textFill>
            <w14:solidFill>
              <w14:schemeClr w14:val="tx1"/>
            </w14:solidFill>
          </w14:textFill>
        </w:rPr>
      </w:pPr>
      <w:r>
        <w:rPr>
          <w:rFonts w:hint="eastAsia" w:ascii="宋体" w:hAnsi="宋体" w:cs="宋体"/>
          <w:b/>
          <w:color w:val="000000" w:themeColor="text1"/>
          <w:sz w:val="24"/>
          <w:highlight w:val="white"/>
          <w14:textFill>
            <w14:solidFill>
              <w14:schemeClr w14:val="tx1"/>
            </w14:solidFill>
          </w14:textFill>
        </w:rPr>
        <w:t>技术部分(详见评分标准）：</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*注：</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1、</w:t>
      </w:r>
      <w:r>
        <w:rPr>
          <w:rFonts w:hint="eastAsia" w:ascii="宋体" w:hAnsi="宋体" w:cs="宋体"/>
          <w:bCs/>
          <w:color w:val="000000" w:themeColor="text1"/>
          <w:sz w:val="24"/>
          <w:highlight w:val="white"/>
          <w14:textFill>
            <w14:solidFill>
              <w14:schemeClr w14:val="tx1"/>
            </w14:solidFill>
          </w14:textFill>
        </w:rPr>
        <w:t>上述</w:t>
      </w:r>
      <w:r>
        <w:rPr>
          <w:rFonts w:hint="eastAsia" w:ascii="宋体" w:hAnsi="宋体" w:cs="宋体"/>
          <w:color w:val="000000" w:themeColor="text1"/>
          <w:sz w:val="24"/>
          <w:highlight w:val="white"/>
          <w14:textFill>
            <w14:solidFill>
              <w14:schemeClr w14:val="tx1"/>
            </w14:solidFill>
          </w14:textFill>
        </w:rPr>
        <w:t>商务标部分</w:t>
      </w:r>
      <w:r>
        <w:rPr>
          <w:rFonts w:hint="eastAsia" w:ascii="宋体" w:hAnsi="宋体" w:cs="宋体"/>
          <w:bCs/>
          <w:color w:val="000000" w:themeColor="text1"/>
          <w:sz w:val="24"/>
          <w:highlight w:val="white"/>
          <w14:textFill>
            <w14:solidFill>
              <w14:schemeClr w14:val="tx1"/>
            </w14:solidFill>
          </w14:textFill>
        </w:rPr>
        <w:t>1-5项及技术部分投标人必须按要求全部提供，否则投标文件无效。</w:t>
      </w:r>
    </w:p>
    <w:p>
      <w:pPr>
        <w:tabs>
          <w:tab w:val="left" w:pos="525"/>
          <w:tab w:val="left" w:pos="945"/>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如上述资格证明文件遇年检、换证，则必须提供法定年检、换证单位出具的有效证明复印件。如上述资格证明文件遇有国家相关政策规定可不具备的，必须提供相关政策规定或相关单位出具的有效证明或情况说明复印件。投标人法定代表人或法定代表人授权代表为外籍、港、澳、台地区人士的，其身份证明须提供有效的护照或港澳同胞来往内地通行证、台湾同胞来往大陆通行证，或其它可在中国大陆有效居留的许可证明</w:t>
      </w:r>
      <w:r>
        <w:rPr>
          <w:rFonts w:hint="eastAsia" w:ascii="宋体" w:hAnsi="宋体" w:cs="宋体"/>
          <w:bCs/>
          <w:color w:val="000000" w:themeColor="text1"/>
          <w:sz w:val="24"/>
          <w:highlight w:val="white"/>
          <w14:textFill>
            <w14:solidFill>
              <w14:schemeClr w14:val="tx1"/>
            </w14:solidFill>
          </w14:textFill>
        </w:rPr>
        <w:t>。</w:t>
      </w:r>
      <w:r>
        <w:rPr>
          <w:rFonts w:hint="eastAsia" w:ascii="宋体" w:hAnsi="宋体" w:cs="宋体"/>
          <w:color w:val="000000" w:themeColor="text1"/>
          <w:sz w:val="24"/>
          <w:highlight w:val="white"/>
          <w14:textFill>
            <w14:solidFill>
              <w14:schemeClr w14:val="tx1"/>
            </w14:solidFill>
          </w14:textFill>
        </w:rPr>
        <w:t xml:space="preserve">                                           </w:t>
      </w:r>
    </w:p>
    <w:p>
      <w:pPr>
        <w:numPr>
          <w:ilvl w:val="0"/>
          <w:numId w:val="1"/>
        </w:numPr>
        <w:spacing w:line="360" w:lineRule="auto"/>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 xml:space="preserve">投标报价说明：  </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本项目采用总承包方式，固定单价，按实结算。投标报价应完全响应采购需求，包括但不限于产品制作、供应、运输、安装，调试及有关技术、服务等从项目中标起到项目正式交付以及免费质保期内所发生的一切费用，招标文件中另有规定的除外。</w:t>
      </w:r>
    </w:p>
    <w:p>
      <w:pPr>
        <w:spacing w:line="360" w:lineRule="auto"/>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（七）投标文件的要求：</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所有文件、往来函件均应使用简体中文（规格、型号辅助符号除外）。</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投标文件由投标供应商按给定格式如实填写（编写），须有法人（盖章）、法定代表人或法定代表人授权代表签字或盖章，方为有效，未尽事宜可自行补充。</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投标供应商报价一律以人民币为报价结算货币，结算单位为“元”。</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投标文件格式部分，应由投标供应商按给定格式提供，不得更改。</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投标文件应用不褪色的墨水书写或打印。</w:t>
      </w:r>
    </w:p>
    <w:p>
      <w:pPr>
        <w:numPr>
          <w:ilvl w:val="0"/>
          <w:numId w:val="2"/>
        </w:numPr>
        <w:tabs>
          <w:tab w:val="left" w:pos="0"/>
        </w:tabs>
        <w:spacing w:line="440" w:lineRule="exact"/>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投标文件统一采用A4纸，按照投标文件组成的顺序制作，并编制目录和页码。</w:t>
      </w:r>
    </w:p>
    <w:p>
      <w:pPr>
        <w:numPr>
          <w:ilvl w:val="0"/>
          <w:numId w:val="2"/>
        </w:numPr>
        <w:tabs>
          <w:tab w:val="left" w:pos="0"/>
        </w:tabs>
        <w:spacing w:line="440" w:lineRule="exact"/>
        <w:ind w:left="0" w:firstLine="480"/>
        <w:rPr>
          <w:rFonts w:ascii="宋体" w:hAnsi="宋体" w:cs="宋体"/>
          <w:bCs/>
          <w:color w:val="000000" w:themeColor="text1"/>
          <w:sz w:val="24"/>
          <w:highlight w:val="white"/>
          <w14:textFill>
            <w14:solidFill>
              <w14:schemeClr w14:val="tx1"/>
            </w14:solidFill>
          </w14:textFill>
        </w:rPr>
      </w:pPr>
      <w:r>
        <w:rPr>
          <w:rFonts w:hint="eastAsia"/>
          <w:b/>
          <w:color w:val="000000" w:themeColor="text1"/>
          <w:sz w:val="24"/>
          <w:highlight w:val="white"/>
          <w14:textFill>
            <w14:solidFill>
              <w14:schemeClr w14:val="tx1"/>
            </w14:solidFill>
          </w14:textFill>
        </w:rPr>
        <w:t>投标文件份数为正本一份，副本五份，投标供应商应将投标文件正本、投标文件U盘密封在一个封袋中并在封袋上清楚地表明“正本”、将投标文件所有副本密封在另一个封袋中并在密封袋上清楚地标明 “副本”； 招标文件中证明文件部分及评标办法中所需提供的原件资料（身份证可随身携带）需单独装袋，无需密封，并在装袋上清楚地标明“原件资料”，随投标文件一起递交；所有投标文件密封袋的封口处应加盖投标供应商印章。密封袋上还均应注明采购编号、项目名称、投标供应商名称。</w:t>
      </w:r>
    </w:p>
    <w:p>
      <w:pPr>
        <w:numPr>
          <w:ilvl w:val="0"/>
          <w:numId w:val="2"/>
        </w:numPr>
        <w:tabs>
          <w:tab w:val="left" w:pos="0"/>
        </w:tabs>
        <w:spacing w:line="440" w:lineRule="exact"/>
        <w:ind w:left="0"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投标文件不应有涂改、增删和潦草之处，如有必须修改时，修改处必须有法人、法定代表人或法定代表人授权代表的签章。</w:t>
      </w:r>
    </w:p>
    <w:p>
      <w:pPr>
        <w:numPr>
          <w:ilvl w:val="0"/>
          <w:numId w:val="2"/>
        </w:numPr>
        <w:tabs>
          <w:tab w:val="left" w:pos="0"/>
        </w:tabs>
        <w:spacing w:line="440" w:lineRule="exact"/>
        <w:ind w:left="0"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投标费用自理。</w:t>
      </w:r>
    </w:p>
    <w:p>
      <w:pPr>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（八） 无效投标文件的确认：</w:t>
      </w:r>
    </w:p>
    <w:p>
      <w:pPr>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投标人有下列情况之一者，投标文件无效：</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1.投标文件未按规定的期限、地点送达的；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2.投标文件未按招标文件要求签署、盖章的；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3.投标供应商的法定代表人或法定代表人授权代表，未准时参加投标会议的；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4.投标供应商的法定代表人授权代表无法定代表人授权委托书的；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5.不具备招标文件中规定的资格要求的；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6.报价超过招标文件中规定的预算金额或者最高限价的；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7.投标文件含有采购人不能接受的附加条件的；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8.投标文件未按招标文件规定的格式、内容和要求填写的；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9.投标文件书写潦草、字迹模糊不清、无法辨认的；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10.投标文件中有招标文件未允许提供的选择性内容的；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11.恶意串通其他投标供应商，故意哄抬价格或压价的；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12.提供虚假材料的（包括工商营业执照、财务报表、资格证明文件等）；</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13.投标文件未加盖投标供应商公章及法定代表人或授权代表签字或盖章的；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14.不同投标人的投标文件相互混装的；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15.不同投标人的投标文件载明的项目管理成员或者联系人员为同一人的；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16.不同投标供应商聘请同一人为其投标提供技术或经济咨询服务的；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17.不同投标人的单位负责人为同一人或者存在直接控股、管理关系或其他关联性的；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18.投标人为本项目提供整体设计、规范编制或者项目管理、咨询等服务的；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19.不同投标供应商的投标文件异常一致或者投标报价呈规律性差异的；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20.不同投标人委托同一单位或者个人办理投标事宜的；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21.未通过初步资格性审查、投标文件资格性检查、 投标文件符合性检查的；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22.技术文件编制粗糙、缺漏项较多，或经评审委员会评审得分达不到技术标分值60%的；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23.投标人的投标报价畸高或畸低，但投标总报价与各分项报价不能相互对应，在询标时没有合理的解释或者不能提供计算依据和报价依据的；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24.不同投标人的投标文件由同一单位或者个人编制的；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25.不同投标人投标文件内容存在非正常一致、项目组成员出现同一人、投标文件中错误（或异常）一致或雷同、电子文档信息一致或雷同的；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26.不同投标人的委托代理人、项目负责人以及其他相关人员有在同一个单位缴纳社会保险的；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27.同一投标文件中单位名称落款与公章不是同一单位的；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28.评标委员会认为投标人的报价明显低于其他通过符合性审查投标人的报价，有可能影响产品质量或者不能诚信履约的，评标委员会要求其提供相关证明材料或书面说明，但投标人提供不了的；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29.投标文件内容不全或不符合法律法规和招标文件中规定的其他实质性要求的；</w:t>
      </w:r>
    </w:p>
    <w:p>
      <w:pPr>
        <w:tabs>
          <w:tab w:val="left" w:pos="1050"/>
        </w:tabs>
        <w:spacing w:line="360" w:lineRule="auto"/>
        <w:ind w:firstLine="480"/>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30.递交的投标文件经评审委员会认定不具备竞争性的；</w:t>
      </w:r>
    </w:p>
    <w:p>
      <w:pPr>
        <w:spacing w:line="360" w:lineRule="auto"/>
        <w:ind w:firstLine="480"/>
        <w:rPr>
          <w:color w:val="000000" w:themeColor="text1"/>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31.法律法规和招标文件规定的其它无效情形。</w:t>
      </w:r>
    </w:p>
    <w:p>
      <w:pPr>
        <w:spacing w:line="360" w:lineRule="auto"/>
        <w:ind w:firstLine="480"/>
        <w:outlineLvl w:val="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（九） 开标、评标：</w:t>
      </w:r>
    </w:p>
    <w:p>
      <w:pPr>
        <w:numPr>
          <w:ilvl w:val="1"/>
          <w:numId w:val="3"/>
        </w:numPr>
        <w:tabs>
          <w:tab w:val="left" w:pos="525"/>
          <w:tab w:val="left" w:pos="1050"/>
          <w:tab w:val="left" w:pos="1770"/>
        </w:tabs>
        <w:spacing w:line="360" w:lineRule="auto"/>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由专家及采购人代表组成评标委员会，并实行回避制度。</w:t>
      </w:r>
    </w:p>
    <w:p>
      <w:pPr>
        <w:numPr>
          <w:ilvl w:val="1"/>
          <w:numId w:val="3"/>
        </w:numPr>
        <w:tabs>
          <w:tab w:val="left" w:pos="525"/>
          <w:tab w:val="left" w:pos="1050"/>
          <w:tab w:val="left" w:pos="1770"/>
        </w:tabs>
        <w:spacing w:line="360" w:lineRule="auto"/>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投标文件出现不一致情形的处理：</w:t>
      </w:r>
    </w:p>
    <w:p>
      <w:pPr>
        <w:tabs>
          <w:tab w:val="left" w:pos="0"/>
          <w:tab w:val="left" w:pos="525"/>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2.1正本与副本不符，以正本为准。</w:t>
      </w:r>
    </w:p>
    <w:p>
      <w:pPr>
        <w:tabs>
          <w:tab w:val="left" w:pos="1050"/>
          <w:tab w:val="left" w:pos="1146"/>
          <w:tab w:val="left" w:pos="177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2.2投标文件报价出现前后不一致的，按照下列规定修正：</w:t>
      </w:r>
    </w:p>
    <w:p>
      <w:pPr>
        <w:widowControl/>
        <w:shd w:val="clear" w:color="auto" w:fill="FFFFFF"/>
        <w:spacing w:line="360" w:lineRule="auto"/>
        <w:ind w:firstLine="480"/>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2.2.1投标文件中开标一览表（报价表）内容与投标文件中相应内容不一致的，以开标一览表（报价表）为准；</w:t>
      </w:r>
    </w:p>
    <w:p>
      <w:pPr>
        <w:widowControl/>
        <w:shd w:val="clear" w:color="auto" w:fill="FFFFFF"/>
        <w:spacing w:line="360" w:lineRule="auto"/>
        <w:ind w:firstLine="480"/>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2.2.2大写金额和小写金额不一致的，以大写金额为准；</w:t>
      </w:r>
    </w:p>
    <w:p>
      <w:pPr>
        <w:widowControl/>
        <w:shd w:val="clear" w:color="auto" w:fill="FFFFFF"/>
        <w:spacing w:line="360" w:lineRule="auto"/>
        <w:ind w:firstLine="480"/>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2.2.3单价金额小数点或者百分比有明显错位的，以开标一览表的总价为准，并修改单价；</w:t>
      </w:r>
    </w:p>
    <w:p>
      <w:pPr>
        <w:widowControl/>
        <w:shd w:val="clear" w:color="auto" w:fill="FFFFFF"/>
        <w:spacing w:line="360" w:lineRule="auto"/>
        <w:ind w:firstLine="480"/>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2.2.4总价金额与按单价汇总金额不一致的，以单价金额计算结果为准。</w:t>
      </w:r>
    </w:p>
    <w:p>
      <w:pPr>
        <w:widowControl/>
        <w:shd w:val="clear" w:color="auto" w:fill="FFFFFF"/>
        <w:spacing w:line="360" w:lineRule="auto"/>
        <w:ind w:firstLine="480"/>
        <w:jc w:val="left"/>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同时出现两种以上不一致的，按照前款规定的顺序修正。修正后的报价经投标人确认后产生约束力，投标人不确认的，其投标无效。</w:t>
      </w:r>
    </w:p>
    <w:p>
      <w:pPr>
        <w:numPr>
          <w:ilvl w:val="1"/>
          <w:numId w:val="3"/>
        </w:numPr>
        <w:tabs>
          <w:tab w:val="left" w:pos="525"/>
          <w:tab w:val="left" w:pos="840"/>
          <w:tab w:val="left" w:pos="1050"/>
          <w:tab w:val="left" w:pos="1770"/>
        </w:tabs>
        <w:spacing w:line="360" w:lineRule="auto"/>
        <w:ind w:left="0"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开标工作程序</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3.1 密封性审查：</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由投标供应商或其推选的代表检查投标文件的密封、签署、盖章情况；</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3.2初步资格性审查：</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由工作人员在公证或监督下，按照投标供应商签到时间顺序进行。审查内容有：</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3.2.1 投标人的投标文件是否按规定的期限、地点送达；</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3.2.2 投标人的法定代表人或被授权委托人是否准时参加开标会议；</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3.2.3投标人的法定代表人或被授权委托人是否提供有效的身份证明和法定代表人授权委托书。</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3.3  唱标</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3.3.1经初步资格性审查确认无误后的投标文件，由采购代理机构工作人员当众拆封，宣布投标人名称、投标价格和招标文件规定的需要宣布的其他内容。</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4.信用信息查询</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人或采购代理机构在投标截止时间前30分钟内通过“信用中国”、“信用江苏”、“中国政府采购网”等渠道查询相关供应商主体信用记录，对参加政府采购活动前三年（开标当日往前推算3年）列入失信被执行人、重大税收违法失信主体、政府采购严重违法失信行为记录名单及其他不符合《中华人民共和国政府采购法》第二十二条规定条件的供应商，拒绝其参与政府采购活动。</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采购人或采购代理机构通过相关渠道查询的供应商主体信用记录，与项目其他采购资料一并保存。</w:t>
      </w:r>
    </w:p>
    <w:p>
      <w:pPr>
        <w:tabs>
          <w:tab w:val="left" w:pos="1365"/>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 投标文件资格性检查。</w:t>
      </w:r>
    </w:p>
    <w:p>
      <w:pPr>
        <w:tabs>
          <w:tab w:val="left" w:pos="525"/>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5.1投标文件资格性检查由采购人负责。</w:t>
      </w:r>
    </w:p>
    <w:p>
      <w:pPr>
        <w:tabs>
          <w:tab w:val="left" w:pos="525"/>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5.2依据法律法规和招标文件的规定，对投标文件中的资格、资信证明等进行审查，以确定投标人提供资格、资信证明的合法性、真实性，是否具备投标资格。</w:t>
      </w:r>
    </w:p>
    <w:p>
      <w:pPr>
        <w:tabs>
          <w:tab w:val="left" w:pos="840"/>
          <w:tab w:val="left" w:pos="1050"/>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6.评标工作程序：</w:t>
      </w:r>
    </w:p>
    <w:p>
      <w:pPr>
        <w:tabs>
          <w:tab w:val="left" w:pos="0"/>
          <w:tab w:val="left" w:pos="1050"/>
        </w:tabs>
        <w:spacing w:line="360" w:lineRule="auto"/>
        <w:ind w:firstLine="424"/>
        <w:rPr>
          <w:rFonts w:ascii="宋体" w:hAnsi="宋体"/>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6.1信用审查</w:t>
      </w:r>
    </w:p>
    <w:p>
      <w:pPr>
        <w:tabs>
          <w:tab w:val="left" w:pos="0"/>
        </w:tabs>
        <w:spacing w:line="360" w:lineRule="auto"/>
        <w:ind w:firstLine="426"/>
        <w:rPr>
          <w:b/>
          <w:color w:val="000000" w:themeColor="text1"/>
          <w:sz w:val="24"/>
          <w:highlight w:val="white"/>
          <w14:textFill>
            <w14:solidFill>
              <w14:schemeClr w14:val="tx1"/>
            </w14:solidFill>
          </w14:textFill>
        </w:rPr>
      </w:pPr>
      <w:r>
        <w:rPr>
          <w:rFonts w:hint="eastAsia" w:ascii="宋体" w:hAnsi="宋体"/>
          <w:b/>
          <w:bCs/>
          <w:color w:val="000000" w:themeColor="text1"/>
          <w:sz w:val="24"/>
          <w:highlight w:val="white"/>
          <w14:textFill>
            <w14:solidFill>
              <w14:schemeClr w14:val="tx1"/>
            </w14:solidFill>
          </w14:textFill>
        </w:rPr>
        <w:t>采购人或采购代理机构在开标前通过</w:t>
      </w:r>
      <w:r>
        <w:rPr>
          <w:rFonts w:hint="eastAsia" w:ascii="宋体" w:hAnsi="宋体"/>
          <w:b/>
          <w:color w:val="000000" w:themeColor="text1"/>
          <w:sz w:val="24"/>
          <w:highlight w:val="white"/>
          <w14:textFill>
            <w14:solidFill>
              <w14:schemeClr w14:val="tx1"/>
            </w14:solidFill>
          </w14:textFill>
        </w:rPr>
        <w:t>“信用中国”网站（www.creditchina.gov.cn）、中国政府采购网（www.ccgp.gov.cn）、“信用中国（江苏）”（ http://www.jscredit.gov.cn/）</w:t>
      </w:r>
      <w:r>
        <w:rPr>
          <w:rFonts w:hint="eastAsia" w:ascii="宋体" w:hAnsi="宋体"/>
          <w:b/>
          <w:bCs/>
          <w:color w:val="000000" w:themeColor="text1"/>
          <w:sz w:val="24"/>
          <w:highlight w:val="white"/>
          <w14:textFill>
            <w14:solidFill>
              <w14:schemeClr w14:val="tx1"/>
            </w14:solidFill>
          </w14:textFill>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136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6.2投标文件资信、资格检查。</w:t>
      </w:r>
    </w:p>
    <w:p>
      <w:pPr>
        <w:tabs>
          <w:tab w:val="left" w:pos="52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6.2.1投标文件资格性检查由采购人或</w:t>
      </w:r>
      <w:r>
        <w:rPr>
          <w:rFonts w:hint="eastAsia" w:ascii="宋体" w:hAnsi="宋体"/>
          <w:bCs/>
          <w:color w:val="000000" w:themeColor="text1"/>
          <w:sz w:val="24"/>
          <w:highlight w:val="white"/>
          <w14:textFill>
            <w14:solidFill>
              <w14:schemeClr w14:val="tx1"/>
            </w14:solidFill>
          </w14:textFill>
        </w:rPr>
        <w:t>采购代理机构</w:t>
      </w:r>
      <w:r>
        <w:rPr>
          <w:rFonts w:hint="eastAsia" w:ascii="宋体" w:hAnsi="宋体"/>
          <w:color w:val="000000" w:themeColor="text1"/>
          <w:sz w:val="24"/>
          <w:highlight w:val="white"/>
          <w14:textFill>
            <w14:solidFill>
              <w14:schemeClr w14:val="tx1"/>
            </w14:solidFill>
          </w14:textFill>
        </w:rPr>
        <w:t>负责。</w:t>
      </w:r>
    </w:p>
    <w:p>
      <w:pPr>
        <w:tabs>
          <w:tab w:val="left" w:pos="52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6.2.2依据法律法规和招标文件的规定，对投标文件中的资信、资格证明等进行审查，以确定投标供应商提供资格证明的合法性、真实性，是否具备投标资格。</w:t>
      </w:r>
    </w:p>
    <w:p>
      <w:pPr>
        <w:tabs>
          <w:tab w:val="left" w:pos="136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6.3 投标文件符合性检查。</w:t>
      </w:r>
    </w:p>
    <w:p>
      <w:pPr>
        <w:tabs>
          <w:tab w:val="left" w:pos="52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6.3.1投标文件的符合性检查由评标委员会负责。</w:t>
      </w:r>
    </w:p>
    <w:p>
      <w:pPr>
        <w:tabs>
          <w:tab w:val="left" w:pos="52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6.3.2</w:t>
      </w:r>
      <w:r>
        <w:rPr>
          <w:rFonts w:hint="eastAsia"/>
          <w:color w:val="000000" w:themeColor="text1"/>
          <w:sz w:val="24"/>
          <w:highlight w:val="white"/>
          <w14:textFill>
            <w14:solidFill>
              <w14:schemeClr w14:val="tx1"/>
            </w14:solidFill>
          </w14:textFill>
        </w:rPr>
        <w:t>评标委员会</w:t>
      </w:r>
      <w:r>
        <w:rPr>
          <w:color w:val="000000" w:themeColor="text1"/>
          <w:sz w:val="24"/>
          <w:highlight w:val="white"/>
          <w14:textFill>
            <w14:solidFill>
              <w14:schemeClr w14:val="tx1"/>
            </w14:solidFill>
          </w14:textFill>
        </w:rPr>
        <w:t>对</w:t>
      </w:r>
      <w:r>
        <w:rPr>
          <w:rFonts w:hint="eastAsia"/>
          <w:color w:val="000000" w:themeColor="text1"/>
          <w:sz w:val="24"/>
          <w:highlight w:val="white"/>
          <w14:textFill>
            <w14:solidFill>
              <w14:schemeClr w14:val="tx1"/>
            </w14:solidFill>
          </w14:textFill>
        </w:rPr>
        <w:t>符合资格的投标供应商的</w:t>
      </w:r>
      <w:r>
        <w:rPr>
          <w:color w:val="000000" w:themeColor="text1"/>
          <w:sz w:val="24"/>
          <w:highlight w:val="white"/>
          <w14:textFill>
            <w14:solidFill>
              <w14:schemeClr w14:val="tx1"/>
            </w14:solidFill>
          </w14:textFill>
        </w:rPr>
        <w:t>投标文件进行符合性审查，以确定</w:t>
      </w:r>
      <w:r>
        <w:rPr>
          <w:rFonts w:hint="eastAsia"/>
          <w:color w:val="000000" w:themeColor="text1"/>
          <w:sz w:val="24"/>
          <w:highlight w:val="white"/>
          <w14:textFill>
            <w14:solidFill>
              <w14:schemeClr w14:val="tx1"/>
            </w14:solidFill>
          </w14:textFill>
        </w:rPr>
        <w:t>其</w:t>
      </w:r>
      <w:r>
        <w:rPr>
          <w:color w:val="000000" w:themeColor="text1"/>
          <w:sz w:val="24"/>
          <w:highlight w:val="white"/>
          <w14:textFill>
            <w14:solidFill>
              <w14:schemeClr w14:val="tx1"/>
            </w14:solidFill>
          </w14:textFill>
        </w:rPr>
        <w:t>是否</w:t>
      </w:r>
      <w:r>
        <w:rPr>
          <w:rFonts w:hint="eastAsia"/>
          <w:color w:val="000000" w:themeColor="text1"/>
          <w:sz w:val="24"/>
          <w:highlight w:val="white"/>
          <w14:textFill>
            <w14:solidFill>
              <w14:schemeClr w14:val="tx1"/>
            </w14:solidFill>
          </w14:textFill>
        </w:rPr>
        <w:t>满足</w:t>
      </w:r>
      <w:r>
        <w:rPr>
          <w:color w:val="000000" w:themeColor="text1"/>
          <w:sz w:val="24"/>
          <w:highlight w:val="white"/>
          <w14:textFill>
            <w14:solidFill>
              <w14:schemeClr w14:val="tx1"/>
            </w14:solidFill>
          </w14:textFill>
        </w:rPr>
        <w:t>采购文件</w:t>
      </w:r>
      <w:r>
        <w:rPr>
          <w:rFonts w:hint="eastAsia"/>
          <w:color w:val="000000" w:themeColor="text1"/>
          <w:sz w:val="24"/>
          <w:highlight w:val="white"/>
          <w14:textFill>
            <w14:solidFill>
              <w14:schemeClr w14:val="tx1"/>
            </w14:solidFill>
          </w14:textFill>
        </w:rPr>
        <w:t>的</w:t>
      </w:r>
      <w:r>
        <w:rPr>
          <w:color w:val="000000" w:themeColor="text1"/>
          <w:sz w:val="24"/>
          <w:highlight w:val="white"/>
          <w14:textFill>
            <w14:solidFill>
              <w14:schemeClr w14:val="tx1"/>
            </w14:solidFill>
          </w14:textFill>
        </w:rPr>
        <w:t>实质性要求</w:t>
      </w:r>
      <w:r>
        <w:rPr>
          <w:rFonts w:hint="eastAsia" w:ascii="宋体" w:hAnsi="宋体"/>
          <w:color w:val="000000" w:themeColor="text1"/>
          <w:sz w:val="24"/>
          <w:highlight w:val="white"/>
          <w14:textFill>
            <w14:solidFill>
              <w14:schemeClr w14:val="tx1"/>
            </w14:solidFill>
          </w14:textFill>
        </w:rPr>
        <w:t>。</w:t>
      </w:r>
    </w:p>
    <w:p>
      <w:pPr>
        <w:tabs>
          <w:tab w:val="left" w:pos="525"/>
        </w:tabs>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6.3.3</w:t>
      </w:r>
      <w:r>
        <w:rPr>
          <w:bCs/>
          <w:color w:val="000000" w:themeColor="text1"/>
          <w:sz w:val="24"/>
          <w:highlight w:val="white"/>
          <w14:textFill>
            <w14:solidFill>
              <w14:schemeClr w14:val="tx1"/>
            </w14:solidFill>
          </w14:textFill>
        </w:rPr>
        <w:t>评标委员会认为投标文件中含义不明确、同类问题表述不一致或者有明显文字和计算错误的内容时，应当以书面形式要求投标供应商作出必要的澄清、说明或者补正。投标供应商的澄清、说明或者补正应当采用书面形式，并加盖公章，或者由法定代表人或其授权的代表签字。</w:t>
      </w:r>
      <w:r>
        <w:rPr>
          <w:rFonts w:hint="eastAsia"/>
          <w:bCs/>
          <w:color w:val="000000" w:themeColor="text1"/>
          <w:sz w:val="24"/>
          <w:highlight w:val="white"/>
          <w14:textFill>
            <w14:solidFill>
              <w14:schemeClr w14:val="tx1"/>
            </w14:solidFill>
          </w14:textFill>
        </w:rPr>
        <w:t>投标供应商</w:t>
      </w:r>
      <w:r>
        <w:rPr>
          <w:bCs/>
          <w:color w:val="000000" w:themeColor="text1"/>
          <w:sz w:val="24"/>
          <w:highlight w:val="white"/>
          <w14:textFill>
            <w14:solidFill>
              <w14:schemeClr w14:val="tx1"/>
            </w14:solidFill>
          </w14:textFill>
        </w:rPr>
        <w:t>的澄清、说明或者补正不得超出投标文件的范围或者改变投标文件的实质性内容。</w:t>
      </w:r>
    </w:p>
    <w:p>
      <w:pPr>
        <w:tabs>
          <w:tab w:val="left" w:pos="1365"/>
        </w:tabs>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6.4比较与评价</w:t>
      </w:r>
    </w:p>
    <w:p>
      <w:pPr>
        <w:tabs>
          <w:tab w:val="left" w:pos="1365"/>
        </w:tabs>
        <w:spacing w:line="360" w:lineRule="auto"/>
        <w:ind w:firstLine="424"/>
        <w:rPr>
          <w:rFonts w:ascii="宋体" w:hAnsi="宋体"/>
          <w:b/>
          <w:color w:val="000000" w:themeColor="text1"/>
          <w:sz w:val="24"/>
          <w:highlight w:val="white"/>
          <w14:textFill>
            <w14:solidFill>
              <w14:schemeClr w14:val="tx1"/>
            </w14:solidFill>
          </w14:textFill>
        </w:rPr>
      </w:pPr>
      <w:r>
        <w:rPr>
          <w:rFonts w:hint="eastAsia" w:ascii="宋体" w:hAnsi="宋体"/>
          <w:b/>
          <w:color w:val="000000" w:themeColor="text1"/>
          <w:sz w:val="24"/>
          <w:highlight w:val="white"/>
          <w14:textFill>
            <w14:solidFill>
              <w14:schemeClr w14:val="tx1"/>
            </w14:solidFill>
          </w14:textFill>
        </w:rPr>
        <w:t>6.4.1投标文件资格性检查和符合性检查结束后，凡属于“（八）无效投标文件的确认”的投标文件不进入比较与评价程序。</w:t>
      </w:r>
    </w:p>
    <w:p>
      <w:pPr>
        <w:tabs>
          <w:tab w:val="left" w:pos="1365"/>
        </w:tabs>
        <w:spacing w:line="360" w:lineRule="auto"/>
        <w:ind w:firstLine="480"/>
        <w:rPr>
          <w:rFonts w:ascii="宋体" w:hAnsi="宋体"/>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6.4.2经评审有效的投标文件按招标文件中规定的评标方法和标准，由评标委员会进行比较与评价。</w:t>
      </w:r>
    </w:p>
    <w:p>
      <w:pPr>
        <w:tabs>
          <w:tab w:val="left" w:pos="1365"/>
        </w:tabs>
        <w:spacing w:line="360" w:lineRule="auto"/>
        <w:ind w:firstLine="480"/>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6.4.3评审全部结束后，由工作人员在公证或采购人监督下，在评标室当场核对、汇总各投标供应商得分，确定各投标供应商总分和最终排序。</w:t>
      </w:r>
    </w:p>
    <w:p>
      <w:pPr>
        <w:spacing w:line="360" w:lineRule="auto"/>
        <w:ind w:firstLine="424"/>
        <w:rPr>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6.4.4评标方法和主要因素：</w:t>
      </w:r>
    </w:p>
    <w:p>
      <w:pPr>
        <w:tabs>
          <w:tab w:val="left" w:pos="525"/>
          <w:tab w:val="left" w:pos="1050"/>
        </w:tabs>
        <w:spacing w:line="360" w:lineRule="auto"/>
        <w:ind w:firstLine="424"/>
        <w:rPr>
          <w:rFonts w:ascii="宋体" w:hAnsi="宋体"/>
          <w:color w:val="000000" w:themeColor="text1"/>
          <w:sz w:val="24"/>
          <w:highlight w:val="white"/>
          <w14:textFill>
            <w14:solidFill>
              <w14:schemeClr w14:val="tx1"/>
            </w14:solidFill>
          </w14:textFill>
        </w:rPr>
      </w:pPr>
      <w:r>
        <w:rPr>
          <w:rFonts w:hint="eastAsia" w:ascii="宋体" w:hAnsi="宋体"/>
          <w:color w:val="000000" w:themeColor="text1"/>
          <w:sz w:val="24"/>
          <w:highlight w:val="white"/>
          <w14:textFill>
            <w14:solidFill>
              <w14:schemeClr w14:val="tx1"/>
            </w14:solidFill>
          </w14:textFill>
        </w:rPr>
        <w:t>本次评标采用综合评分法（计分均保留2位小数）。</w:t>
      </w:r>
    </w:p>
    <w:p>
      <w:pPr>
        <w:spacing w:line="360" w:lineRule="auto"/>
        <w:ind w:firstLine="424"/>
        <w:rPr>
          <w:rFonts w:ascii="宋体" w:hAnsi="宋体"/>
          <w:bCs/>
          <w:color w:val="000000" w:themeColor="text1"/>
          <w:sz w:val="24"/>
          <w:highlight w:val="white"/>
          <w14:textFill>
            <w14:solidFill>
              <w14:schemeClr w14:val="tx1"/>
            </w14:solidFill>
          </w14:textFill>
        </w:rPr>
      </w:pPr>
      <w:r>
        <w:rPr>
          <w:rFonts w:hint="eastAsia" w:ascii="宋体" w:hAnsi="宋体"/>
          <w:bCs/>
          <w:color w:val="000000" w:themeColor="text1"/>
          <w:sz w:val="24"/>
          <w:highlight w:val="white"/>
          <w14:textFill>
            <w14:solidFill>
              <w14:schemeClr w14:val="tx1"/>
            </w14:solidFill>
          </w14:textFill>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pPr>
        <w:spacing w:line="420" w:lineRule="exact"/>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8.评分标准：</w:t>
      </w:r>
    </w:p>
    <w:p>
      <w:pPr>
        <w:spacing w:line="500" w:lineRule="exact"/>
        <w:rPr>
          <w:rFonts w:ascii="宋体" w:hAnsi="宋体" w:cs="宋体"/>
          <w:b/>
          <w:color w:val="000000" w:themeColor="text1"/>
          <w:sz w:val="24"/>
          <w:highlight w:val="white"/>
          <w14:textFill>
            <w14:solidFill>
              <w14:schemeClr w14:val="tx1"/>
            </w14:solidFill>
          </w14:textFill>
        </w:rPr>
      </w:pPr>
      <w:r>
        <w:rPr>
          <w:rFonts w:hint="eastAsia" w:ascii="宋体" w:hAnsi="宋体" w:cs="宋体"/>
          <w:b/>
          <w:color w:val="000000" w:themeColor="text1"/>
          <w:sz w:val="24"/>
          <w:highlight w:val="white"/>
          <w14:textFill>
            <w14:solidFill>
              <w14:schemeClr w14:val="tx1"/>
            </w14:solidFill>
          </w14:textFill>
        </w:rPr>
        <w:t>（一）评分项目及分值（总分100分）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1.评分项目及分值</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（1）投标报价                                 30分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 xml:space="preserve">（2）供应商综合实力                           </w:t>
      </w:r>
      <w:r>
        <w:rPr>
          <w:rFonts w:hint="eastAsia" w:ascii="宋体" w:hAnsi="宋体" w:cs="宋体"/>
          <w:bCs/>
          <w:color w:val="000000" w:themeColor="text1"/>
          <w:sz w:val="24"/>
          <w:highlight w:val="white"/>
          <w:lang w:val="en-US" w:eastAsia="zh-CN"/>
          <w14:textFill>
            <w14:solidFill>
              <w14:schemeClr w14:val="tx1"/>
            </w14:solidFill>
          </w14:textFill>
        </w:rPr>
        <w:t>29</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 xml:space="preserve">（3）技术文件                                 </w:t>
      </w:r>
      <w:r>
        <w:rPr>
          <w:rFonts w:hint="eastAsia" w:ascii="宋体" w:hAnsi="宋体" w:cs="宋体"/>
          <w:bCs/>
          <w:color w:val="000000" w:themeColor="text1"/>
          <w:sz w:val="24"/>
          <w:highlight w:val="white"/>
          <w:lang w:val="en-US" w:eastAsia="zh-CN"/>
          <w14:textFill>
            <w14:solidFill>
              <w14:schemeClr w14:val="tx1"/>
            </w14:solidFill>
          </w14:textFill>
        </w:rPr>
        <w:t>41</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2.各项目评分标准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 投标报价（30分）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投标报价得分=(评标基准价／投标报价)×价格权值×100</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价格扣除：对小型和微型企业产品的价格给予10%的扣除，用扣除后的价格参与评审，残疾人福利性单位、监狱企业视同小型、微型企业，应提供以下有效证明文件（如未按要求填写和提供有效证明或相关内容表述不清的，不得享受价格扣除）。</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①所投产品制造商如为中小企业，应当按照《政府采购促进中小企业发展管理办法》（财库〔2020〕46号）的规定提供《中小企业声明函》（格式见附件）。（中小企业划型标准详见《关于印发中小企业划型标准规定的通知》工信部联企业〔2011〕300号）。</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②所投产品制造商如为监狱和戒毒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③所投产品制造商如为残疾人福利性单位，应当按照《财政部、民政部、中国残疾人联合会关于促进残疾人就业政府采购政策的通知》（财库〔2017〕141号）的规定提供《残疾人福利性单位声明函》。</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注：同一产品制造商，上述三项价格扣除优惠不得重复享受。</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（2）供应商综合实力（</w:t>
      </w:r>
      <w:r>
        <w:rPr>
          <w:rFonts w:hint="eastAsia" w:ascii="宋体" w:hAnsi="宋体" w:cs="宋体"/>
          <w:bCs/>
          <w:color w:val="000000" w:themeColor="text1"/>
          <w:sz w:val="24"/>
          <w:highlight w:val="white"/>
          <w:lang w:val="en-US" w:eastAsia="zh-CN"/>
          <w14:textFill>
            <w14:solidFill>
              <w14:schemeClr w14:val="tx1"/>
            </w14:solidFill>
          </w14:textFill>
        </w:rPr>
        <w:t>30</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1）产品质量（</w:t>
      </w:r>
      <w:r>
        <w:rPr>
          <w:rFonts w:hint="eastAsia" w:ascii="宋体" w:hAnsi="宋体" w:cs="宋体"/>
          <w:bCs/>
          <w:color w:val="000000" w:themeColor="text1"/>
          <w:sz w:val="24"/>
          <w:highlight w:val="white"/>
          <w:lang w:val="en-US" w:eastAsia="zh-CN"/>
          <w14:textFill>
            <w14:solidFill>
              <w14:schemeClr w14:val="tx1"/>
            </w14:solidFill>
          </w14:textFill>
        </w:rPr>
        <w:t>11</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投标人所投的数字化创新实验室产品检测报告：</w:t>
      </w:r>
    </w:p>
    <w:p>
      <w:pPr>
        <w:numPr>
          <w:ilvl w:val="0"/>
          <w:numId w:val="4"/>
        </w:numPr>
        <w:spacing w:line="360" w:lineRule="auto"/>
        <w:ind w:left="239" w:firstLine="2"/>
        <w:jc w:val="left"/>
        <w:rPr>
          <w:rFonts w:hint="eastAsia" w:ascii="宋体" w:hAnsi="宋体" w:cs="宋体"/>
          <w:bCs/>
          <w:color w:val="000000" w:themeColor="text1"/>
          <w:sz w:val="24"/>
          <w:highlight w:val="white"/>
          <w:lang w:eastAsia="zh-CN"/>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采集器</w:t>
      </w:r>
    </w:p>
    <w:p>
      <w:pPr>
        <w:numPr>
          <w:ilvl w:val="0"/>
          <w:numId w:val="0"/>
        </w:numPr>
        <w:spacing w:line="360" w:lineRule="auto"/>
        <w:ind w:left="241" w:leftChars="0"/>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提供该产品外观与结构、功能的检测报告复印件，且满足采集器可支持级联，各路通道采样频率可达20K,满足不低于10通道声波/声级传感器数据并行采集。</w:t>
      </w:r>
    </w:p>
    <w:p>
      <w:pPr>
        <w:numPr>
          <w:ilvl w:val="0"/>
          <w:numId w:val="4"/>
        </w:numPr>
        <w:spacing w:line="360" w:lineRule="auto"/>
        <w:ind w:left="239" w:leftChars="0" w:firstLine="2" w:firstLineChars="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传感器数据显示模块</w:t>
      </w:r>
    </w:p>
    <w:p>
      <w:pPr>
        <w:numPr>
          <w:ilvl w:val="0"/>
          <w:numId w:val="0"/>
        </w:numPr>
        <w:spacing w:line="360" w:lineRule="auto"/>
        <w:ind w:left="241" w:leftChars="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提供该产品外观与结构、功能的检测报告复印件，且满足采不低于1.7寸彩屏，屏幕可显示二维码及对应的蓝牙ID，可通过无线与手机或平板无线数据传输。</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 光电门传感器——为了产品使用安全需提供第三方专业检测机构出具含有低温存储试验、高温存储试验、恒定湿热试验的检测报告原件扫描件（参照GB/T2423.1-2008、参照GB/T2423.2-2008、参照GB/T242</w:t>
      </w:r>
      <w:r>
        <w:rPr>
          <w:rFonts w:hint="eastAsia" w:ascii="宋体" w:hAnsi="宋体" w:cs="宋体"/>
          <w:bCs/>
          <w:color w:val="000000" w:themeColor="text1"/>
          <w:sz w:val="24"/>
          <w:highlight w:val="white"/>
          <w14:textFill>
            <w14:solidFill>
              <w14:schemeClr w14:val="tx1"/>
            </w14:solidFill>
          </w14:textFill>
        </w:rPr>
        <w:t>3.3-2016、检验项目符合标准要求，检验合格）；以及包含产品外观及铅、汞、砷、甲醛释放量五项的检测报告原件扫描件并加盖制造商公章（参照GB6675.2-2014,（1）外观平整光滑无毛刺；（2）铅、汞、砷、甲醛未检出。提供计算机软件产品登记证书复印件。</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 浮力定律实验器——为了产品使用安全需提供第三方专业检测机构出具含有低温存储试验、高温存储试验、恒定湿热试验的检测报告原件扫描件（参照GB/T2423.1-2008、参照GB/T2423.2-2008、参照GB/T2423.3-2016、检验项目符合标准要求，检验合格）；以及包含产品外观及铅、汞、砷、甲醛释放量五项的检测报告原件扫描件并加盖制造商公章（参照GB6675.2-2014,（1）外观平整光滑无毛刺；（2）铅、汞、砷、甲醛未检出。</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 方块电路——为了产品使用安全需提供第三方专业检测机构出具含有低温存储试验、高温存储试验、恒定湿热试验的检测报告原件扫描件（参照GB/T2423.1-2008、参照GB/T2423.2-2008、参照GB/T2423.3-2016、检验项目符合标准要求，检验合格）、提供包含外观与结构、功能、性能且有产品图片的检测报告复印件并加盖制造商公章；</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 真空铃实验器——为了产品使用安全需提供第三方专业检测机构出具含有低温存储试验、高温存储试验、恒定湿热试验的检测报告原件扫描件（参照GB/T2423.1-2008、参照GB/T2423.2-2008、参照GB/T2423.3-2016、检验项目符合标准要求，检验合格）；</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 xml:space="preserve">7. 流速温度仪——提供包含外观与结构、功能、组成、性能且有产品图片的检测报告复印件并加盖制造商公章，且内容包含：由传感器系统、收缩杆（杆长113cm）及数据显示控制器(面板尺寸64*39cm)组成；流速分度0.01m/s,温度测量范围0~50℃；屏幕可预览记录保存的流速和数值。（参照GB/T6587-2012&lt;&lt;电子测量仪器通用规范&gt;&gt;）； </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8. 温度传感器——为了产品使用安全需提供第三方专业检测机构出具含有低温存储试验、高温存储试验、恒定湿热试验的检测报告原件扫描件（参照GB/T2423.1-2008、参照GB/T2423.2-2008、参照GB/T2423.3-2016、检验项目符合标准要求，检验合格）；以及包含产品外观及铅、汞、砷、甲醛释放量五项的检测报告原件扫描件并加盖制造商公章（参照GB6675.2-2014,（1）外观平整光滑无毛刺；（2）铅、汞、砷、甲醛未检出。</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9. 压强传感器——为了产品使用安全需提供第三方专业检测机构出具含有低温存储试验、高温存储试验、恒定湿热试验的检测报告原件扫描件（参照GB/T2423.1-2008、参照GB/T2423.2-2008、参照GB/T2423.3-2016、检验项目符合标准要求，检验合格）；以及包含产品外观及铅、汞、砷、甲醛释放量五项的检测报告原件扫描件并加盖制造商公章（参照GB6675.2-2014,（1）外观平整光滑无毛刺；（2）铅、汞、砷、甲醛未检出。</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10.多用力学轨道——为了产品使用安全需提供第三方专业检测机构出具含有低温存储试验、高温存储试验、恒定湿热试验的检测报告原件扫描件（参照GB/T2423.1-2008、参照GB/T2423.2-2008、参照GB/T2423.3-2016、检验项目符合标准要求，检验合格）；以及包含产品外观及铅、汞、砷、甲醛释放量五项的检测报告原件扫描件并加盖制造商公章（参照GB6675.2-2014,（1）外观平整光滑无毛刺；（2）铅、汞、砷、甲醛未检出。</w:t>
      </w:r>
    </w:p>
    <w:p>
      <w:pPr>
        <w:spacing w:line="360" w:lineRule="auto"/>
        <w:ind w:left="239" w:firstLine="2"/>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11．数字化摩擦力实验器——为了产品使用安全需提供第三方专业检测机构出具含有低温存储试验、高温存储试验、恒定湿热试验的检测报告原件扫描件（参照GB/T2423.1-2008、参照GB/T2423.2-2008、参照GB/T2423.3-2016、检验项目符合标准要求，检验合格）；以及包含产品外观及铅、汞、砷、甲醛释放量五项的检测报告原件扫描件并加盖制造商公章（参照GB6675.2-2014</w:t>
      </w:r>
      <w:r>
        <w:rPr>
          <w:rFonts w:hint="eastAsia" w:ascii="宋体" w:hAnsi="宋体" w:cs="宋体"/>
          <w:bCs/>
          <w:color w:val="000000" w:themeColor="text1"/>
          <w:sz w:val="24"/>
          <w:highlight w:val="none"/>
          <w14:textFill>
            <w14:solidFill>
              <w14:schemeClr w14:val="tx1"/>
            </w14:solidFill>
          </w14:textFill>
        </w:rPr>
        <w:t>,（1）外观平整光滑无毛刺；（2）铅、汞、砷、甲醛未检出。</w:t>
      </w:r>
    </w:p>
    <w:p>
      <w:pPr>
        <w:spacing w:line="360" w:lineRule="auto"/>
        <w:ind w:left="239" w:firstLine="2"/>
        <w:jc w:val="left"/>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注：提供带CMA或CNAS认证的检测报告复印件加盖</w:t>
      </w:r>
      <w:r>
        <w:rPr>
          <w:rFonts w:hint="eastAsia" w:ascii="宋体" w:hAnsi="宋体" w:cs="宋体"/>
          <w:b/>
          <w:bCs w:val="0"/>
          <w:color w:val="000000" w:themeColor="text1"/>
          <w:sz w:val="24"/>
          <w:highlight w:val="none"/>
          <w:lang w:val="en-US" w:eastAsia="zh-CN"/>
          <w14:textFill>
            <w14:solidFill>
              <w14:schemeClr w14:val="tx1"/>
            </w14:solidFill>
          </w14:textFill>
        </w:rPr>
        <w:t>生产厂家</w:t>
      </w:r>
      <w:r>
        <w:rPr>
          <w:rFonts w:hint="eastAsia" w:ascii="宋体" w:hAnsi="宋体" w:cs="宋体"/>
          <w:b/>
          <w:bCs w:val="0"/>
          <w:color w:val="000000" w:themeColor="text1"/>
          <w:sz w:val="24"/>
          <w:highlight w:val="none"/>
          <w14:textFill>
            <w14:solidFill>
              <w14:schemeClr w14:val="tx1"/>
            </w14:solidFill>
          </w14:textFill>
        </w:rPr>
        <w:t>公章放入投标文件中，检测结果合格有一个得1分，最多得11分。（投标文件中提供复印件，开标时提供原件核查，不提供不得分</w:t>
      </w:r>
      <w:r>
        <w:rPr>
          <w:rFonts w:hint="eastAsia" w:ascii="宋体" w:hAnsi="宋体" w:cs="宋体"/>
          <w:b/>
          <w:bCs w:val="0"/>
          <w:color w:val="000000" w:themeColor="text1"/>
          <w:sz w:val="24"/>
          <w:highlight w:val="none"/>
          <w:lang w:eastAsia="zh-CN"/>
          <w14:textFill>
            <w14:solidFill>
              <w14:schemeClr w14:val="tx1"/>
            </w14:solidFill>
          </w14:textFill>
        </w:rPr>
        <w:t>）</w:t>
      </w:r>
      <w:r>
        <w:rPr>
          <w:rFonts w:hint="eastAsia" w:ascii="宋体" w:hAnsi="宋体" w:cs="宋体"/>
          <w:b/>
          <w:bCs w:val="0"/>
          <w:color w:val="000000" w:themeColor="text1"/>
          <w:sz w:val="24"/>
          <w:highlight w:val="none"/>
          <w14:textFill>
            <w14:solidFill>
              <w14:schemeClr w14:val="tx1"/>
            </w14:solidFill>
          </w14:textFill>
        </w:rPr>
        <w:t>。</w:t>
      </w:r>
    </w:p>
    <w:p>
      <w:pPr>
        <w:numPr>
          <w:ilvl w:val="0"/>
          <w:numId w:val="5"/>
        </w:num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lang w:val="en-US" w:eastAsia="zh-CN"/>
          <w14:textFill>
            <w14:solidFill>
              <w14:schemeClr w14:val="tx1"/>
            </w14:solidFill>
          </w14:textFill>
        </w:rPr>
        <w:t>演示</w:t>
      </w:r>
      <w:r>
        <w:rPr>
          <w:rFonts w:hint="eastAsia" w:ascii="宋体" w:hAnsi="宋体" w:cs="宋体"/>
          <w:bCs/>
          <w:color w:val="000000" w:themeColor="text1"/>
          <w:sz w:val="24"/>
          <w:highlight w:val="white"/>
          <w14:textFill>
            <w14:solidFill>
              <w14:schemeClr w14:val="tx1"/>
            </w14:solidFill>
          </w14:textFill>
        </w:rPr>
        <w:t>（</w:t>
      </w:r>
      <w:r>
        <w:rPr>
          <w:rFonts w:hint="eastAsia" w:ascii="宋体" w:hAnsi="宋体" w:cs="宋体"/>
          <w:bCs/>
          <w:color w:val="000000" w:themeColor="text1"/>
          <w:sz w:val="24"/>
          <w:highlight w:val="white"/>
          <w:lang w:val="en-US" w:eastAsia="zh-CN"/>
          <w14:textFill>
            <w14:solidFill>
              <w14:schemeClr w14:val="tx1"/>
            </w14:solidFill>
          </w14:textFill>
        </w:rPr>
        <w:t>6</w:t>
      </w:r>
      <w:r>
        <w:rPr>
          <w:rFonts w:hint="eastAsia" w:ascii="宋体" w:hAnsi="宋体" w:cs="宋体"/>
          <w:bCs/>
          <w:color w:val="000000" w:themeColor="text1"/>
          <w:sz w:val="24"/>
          <w:highlight w:val="white"/>
          <w14:textFill>
            <w14:solidFill>
              <w14:schemeClr w14:val="tx1"/>
            </w14:solidFill>
          </w14:textFill>
        </w:rPr>
        <w:t>分）：</w:t>
      </w:r>
    </w:p>
    <w:p>
      <w:pPr>
        <w:numPr>
          <w:ilvl w:val="0"/>
          <w:numId w:val="0"/>
        </w:numPr>
        <w:spacing w:line="360" w:lineRule="auto"/>
        <w:ind w:left="241" w:leftChars="0"/>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 xml:space="preserve">投标人所投的数字化创新实验室产品性能演示： </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实验用品：采集器、声波/声级传感器、音频发生器、马德堡实验器、液体内部压强实验器、流速温度仪、方块电路：</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实验要求：</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 声波传感器与采集器通过具有方向性和自锁功能的BT连接线连接，打开音频发生器调节音频，声波/声级传感器同步采集、显示4条高频（≥20K Hz）曲线图像。满足得1分；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 液体内部压强实验器：无需数据采集器，可自动生成电子二维码实验数据可无线传输到移动端或通过有线传输到计算机软件；自带控制器，可自动0°~180°内调节压强传感器探头，用于测量不同方向压强，研究液体内部压强与方向的关系；自带数据显示功能，可同时显示压强大小和旋转角度两个量；支持压强硬件调零和软件调零；满足得1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 流速温度仪：通过自带显示屏实时显示测量的水流速和水温数值变化，具备一键开关机、实时流速和平均流速一键切换，一键清除及大容量数据存储、保存的数据导出功能，可通过计算机软件查看存储数据的变化曲线；满足得1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 由马德堡实验装置（包含透明上下壳、微型压强传感器、吊环、阀门）、数据线、抽气装置构成，可通过显示屏实时显示压强数据，也可采用无线的方式于移动端同步显示，验证大气压强存在。满足得1分；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 方块电路由6类12种共22块电路模块组成，支持硬件调零、软件调零，支持电表小数点显示位数的手动调整；电流表模块支持三种测量范围自由切换±2A、±200mA、±20mA，满足不同实验的测量需求。电流表、电压表模块支持一键调取二维码，通过扫描电压模块、电流模块显示屏上的二维码完成无线数据传输到（安卓、苹果系统）移动端；模块采用磁吸方式拼装描绘小灯泡的伏安特性曲线实验装置；并通过移动终端中软件显示实验过程中电流、电压变化曲线，符合理论规律。满足得1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 方块电路电压模块、电流模块与计算机通过数据线直接连接，并通过软件显示电容充放电过程中电流、电压变化曲线，符合理论规律。满足得1分。</w:t>
      </w:r>
    </w:p>
    <w:p>
      <w:pPr>
        <w:spacing w:line="360" w:lineRule="auto"/>
        <w:ind w:left="239" w:firstLine="2"/>
        <w:jc w:val="left"/>
        <w:rPr>
          <w:rFonts w:hint="eastAsia" w:ascii="宋体" w:hAnsi="宋体" w:cs="宋体"/>
          <w:b/>
          <w:bCs w:val="0"/>
          <w:color w:val="000000" w:themeColor="text1"/>
          <w:sz w:val="24"/>
          <w:highlight w:val="white"/>
          <w14:textFill>
            <w14:solidFill>
              <w14:schemeClr w14:val="tx1"/>
            </w14:solidFill>
          </w14:textFill>
        </w:rPr>
      </w:pPr>
      <w:r>
        <w:rPr>
          <w:rFonts w:hint="eastAsia" w:ascii="宋体" w:hAnsi="宋体" w:cs="宋体"/>
          <w:b/>
          <w:bCs w:val="0"/>
          <w:color w:val="000000" w:themeColor="text1"/>
          <w:sz w:val="24"/>
          <w:highlight w:val="white"/>
          <w14:textFill>
            <w14:solidFill>
              <w14:schemeClr w14:val="tx1"/>
            </w14:solidFill>
          </w14:textFill>
        </w:rPr>
        <w:t>注：</w:t>
      </w:r>
      <w:r>
        <w:rPr>
          <w:rFonts w:hint="eastAsia" w:ascii="宋体" w:hAnsi="宋体" w:cs="宋体"/>
          <w:b/>
          <w:bCs w:val="0"/>
          <w:color w:val="000000" w:themeColor="text1"/>
          <w:sz w:val="24"/>
          <w:highlight w:val="white"/>
          <w:lang w:val="en-US" w:eastAsia="zh-CN"/>
          <w14:textFill>
            <w14:solidFill>
              <w14:schemeClr w14:val="tx1"/>
            </w14:solidFill>
          </w14:textFill>
        </w:rPr>
        <w:t>上述6项演示，</w:t>
      </w:r>
      <w:r>
        <w:rPr>
          <w:rFonts w:hint="eastAsia" w:ascii="宋体" w:hAnsi="宋体" w:cs="宋体"/>
          <w:b/>
          <w:bCs w:val="0"/>
          <w:color w:val="000000" w:themeColor="text1"/>
          <w:sz w:val="24"/>
          <w:highlight w:val="white"/>
          <w14:textFill>
            <w14:solidFill>
              <w14:schemeClr w14:val="tx1"/>
            </w14:solidFill>
          </w14:textFill>
        </w:rPr>
        <w:t>演示成功一项得1分，最高得6分，没有演示不得分。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w:t>
      </w:r>
      <w:r>
        <w:rPr>
          <w:rFonts w:hint="eastAsia" w:ascii="宋体" w:hAnsi="宋体" w:cs="宋体"/>
          <w:bCs/>
          <w:color w:val="000000" w:themeColor="text1"/>
          <w:sz w:val="24"/>
          <w:highlight w:val="white"/>
          <w:lang w:val="en-US" w:eastAsia="zh-CN"/>
          <w14:textFill>
            <w14:solidFill>
              <w14:schemeClr w14:val="tx1"/>
            </w14:solidFill>
          </w14:textFill>
        </w:rPr>
        <w:t>产品实力</w:t>
      </w:r>
      <w:r>
        <w:rPr>
          <w:rFonts w:hint="eastAsia" w:ascii="宋体" w:hAnsi="宋体" w:cs="宋体"/>
          <w:bCs/>
          <w:color w:val="000000" w:themeColor="text1"/>
          <w:sz w:val="24"/>
          <w:highlight w:val="white"/>
          <w14:textFill>
            <w14:solidFill>
              <w14:schemeClr w14:val="tx1"/>
            </w14:solidFill>
          </w14:textFill>
        </w:rPr>
        <w:t>（</w:t>
      </w:r>
      <w:r>
        <w:rPr>
          <w:rFonts w:hint="eastAsia" w:ascii="宋体" w:hAnsi="宋体" w:cs="宋体"/>
          <w:bCs/>
          <w:color w:val="000000" w:themeColor="text1"/>
          <w:sz w:val="24"/>
          <w:highlight w:val="white"/>
          <w:lang w:val="en-US" w:eastAsia="zh-CN"/>
          <w14:textFill>
            <w14:solidFill>
              <w14:schemeClr w14:val="tx1"/>
            </w14:solidFill>
          </w14:textFill>
        </w:rPr>
        <w:t>6</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1.投标人所投的数字化探究实验室产品与教材的匹配程度且符合学校实验考试实际要求的证明材料（根据投标单位提供的与教材有关佐证材料的符合度进行打分）。得</w:t>
      </w:r>
      <w:r>
        <w:rPr>
          <w:rFonts w:hint="eastAsia" w:ascii="宋体" w:hAnsi="宋体" w:cs="宋体"/>
          <w:bCs/>
          <w:color w:val="000000" w:themeColor="text1"/>
          <w:sz w:val="24"/>
          <w:highlight w:val="white"/>
          <w:lang w:val="en-US" w:eastAsia="zh-CN"/>
          <w14:textFill>
            <w14:solidFill>
              <w14:schemeClr w14:val="tx1"/>
            </w14:solidFill>
          </w14:textFill>
        </w:rPr>
        <w:t>2</w:t>
      </w:r>
      <w:r>
        <w:rPr>
          <w:rFonts w:hint="eastAsia" w:ascii="宋体" w:hAnsi="宋体" w:cs="宋体"/>
          <w:bCs/>
          <w:color w:val="000000" w:themeColor="text1"/>
          <w:sz w:val="24"/>
          <w:highlight w:val="white"/>
          <w14:textFill>
            <w14:solidFill>
              <w14:schemeClr w14:val="tx1"/>
            </w14:solidFill>
          </w14:textFill>
        </w:rPr>
        <w:t>-0分，最高</w:t>
      </w:r>
      <w:r>
        <w:rPr>
          <w:rFonts w:hint="eastAsia" w:ascii="宋体" w:hAnsi="宋体" w:cs="宋体"/>
          <w:bCs/>
          <w:color w:val="000000" w:themeColor="text1"/>
          <w:sz w:val="24"/>
          <w:highlight w:val="white"/>
          <w:lang w:val="en-US" w:eastAsia="zh-CN"/>
          <w14:textFill>
            <w14:solidFill>
              <w14:schemeClr w14:val="tx1"/>
            </w14:solidFill>
          </w14:textFill>
        </w:rPr>
        <w:t>2</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2.投标人所投数字化探究产品获得基础教育课程改革教学研究成果奖。提供材料得</w:t>
      </w:r>
      <w:r>
        <w:rPr>
          <w:rFonts w:hint="eastAsia" w:ascii="宋体" w:hAnsi="宋体" w:cs="宋体"/>
          <w:bCs/>
          <w:color w:val="000000" w:themeColor="text1"/>
          <w:sz w:val="24"/>
          <w:highlight w:val="white"/>
          <w:lang w:val="en-US" w:eastAsia="zh-CN"/>
          <w14:textFill>
            <w14:solidFill>
              <w14:schemeClr w14:val="tx1"/>
            </w14:solidFill>
          </w14:textFill>
        </w:rPr>
        <w:t>1</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3.投标人所投数字化实验室产品获得国家级教学成果奖。提供材料得</w:t>
      </w:r>
      <w:r>
        <w:rPr>
          <w:rFonts w:hint="eastAsia" w:ascii="宋体" w:hAnsi="宋体" w:cs="宋体"/>
          <w:bCs/>
          <w:color w:val="000000" w:themeColor="text1"/>
          <w:sz w:val="24"/>
          <w:highlight w:val="white"/>
          <w:lang w:val="en-US" w:eastAsia="zh-CN"/>
          <w14:textFill>
            <w14:solidFill>
              <w14:schemeClr w14:val="tx1"/>
            </w14:solidFill>
          </w14:textFill>
        </w:rPr>
        <w:t>1</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left"/>
        <w:rPr>
          <w:rFonts w:hint="eastAsia"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4.投标人所投数字化探究产品获得中小学课程鉴定。提供材料得1分；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5.投标人所投数字化探究产品获得世界教具联合会大奖。提供材料得1分；（投标文件中提供复印件，开标时提供原件核查，不提供不得分）</w:t>
      </w:r>
    </w:p>
    <w:p>
      <w:pPr>
        <w:spacing w:line="360" w:lineRule="auto"/>
        <w:ind w:left="239" w:firstLine="2"/>
        <w:jc w:val="left"/>
        <w:rPr>
          <w:rFonts w:hint="eastAsia" w:ascii="宋体" w:hAnsi="宋体" w:eastAsia="宋体" w:cs="宋体"/>
          <w:bCs/>
          <w:color w:val="000000" w:themeColor="text1"/>
          <w:sz w:val="24"/>
          <w:highlight w:val="white"/>
          <w:lang w:eastAsia="zh-CN"/>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4）投标人具有环境管理体系认证证书，职业健康安全管理体系认证</w:t>
      </w:r>
      <w:r>
        <w:rPr>
          <w:rFonts w:hint="eastAsia" w:ascii="宋体" w:hAnsi="宋体" w:cs="宋体"/>
          <w:bCs/>
          <w:color w:val="000000" w:themeColor="text1"/>
          <w:sz w:val="24"/>
          <w:highlight w:val="white"/>
          <w:lang w:eastAsia="zh-CN"/>
          <w14:textFill>
            <w14:solidFill>
              <w14:schemeClr w14:val="tx1"/>
            </w14:solidFill>
          </w14:textFill>
        </w:rPr>
        <w:t>、</w:t>
      </w:r>
      <w:r>
        <w:rPr>
          <w:rFonts w:hint="eastAsia" w:ascii="宋体" w:hAnsi="宋体" w:cs="宋体"/>
          <w:bCs/>
          <w:color w:val="000000" w:themeColor="text1"/>
          <w:sz w:val="24"/>
          <w:highlight w:val="white"/>
          <w14:textFill>
            <w14:solidFill>
              <w14:schemeClr w14:val="tx1"/>
            </w14:solidFill>
          </w14:textFill>
        </w:rPr>
        <w:t>质量管理体系认证证书，</w:t>
      </w:r>
      <w:r>
        <w:rPr>
          <w:rFonts w:hint="eastAsia" w:ascii="宋体" w:hAnsi="宋体" w:cs="宋体"/>
          <w:bCs/>
          <w:color w:val="000000" w:themeColor="text1"/>
          <w:sz w:val="24"/>
          <w:highlight w:val="white"/>
          <w:lang w:val="en-US" w:eastAsia="zh-CN"/>
          <w14:textFill>
            <w14:solidFill>
              <w14:schemeClr w14:val="tx1"/>
            </w14:solidFill>
          </w14:textFill>
        </w:rPr>
        <w:t>有一个的1分，满分</w:t>
      </w:r>
      <w:r>
        <w:rPr>
          <w:rFonts w:hint="eastAsia" w:ascii="宋体" w:hAnsi="宋体" w:cs="宋体"/>
          <w:bCs/>
          <w:color w:val="000000" w:themeColor="text1"/>
          <w:sz w:val="24"/>
          <w:highlight w:val="white"/>
          <w14:textFill>
            <w14:solidFill>
              <w14:schemeClr w14:val="tx1"/>
            </w14:solidFill>
          </w14:textFill>
        </w:rPr>
        <w:t>得3分。（投标文件中提供复印件，开标时提供原件核查，不提供不得分</w:t>
      </w:r>
      <w:r>
        <w:rPr>
          <w:rFonts w:hint="eastAsia" w:ascii="宋体" w:hAnsi="宋体" w:cs="宋体"/>
          <w:bCs/>
          <w:color w:val="000000" w:themeColor="text1"/>
          <w:sz w:val="24"/>
          <w:highlight w:val="white"/>
          <w:lang w:eastAsia="zh-CN"/>
          <w14:textFill>
            <w14:solidFill>
              <w14:schemeClr w14:val="tx1"/>
            </w14:solidFill>
          </w14:textFill>
        </w:rPr>
        <w:t>）</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w:t>
      </w:r>
      <w:r>
        <w:rPr>
          <w:rFonts w:hint="eastAsia" w:ascii="宋体" w:hAnsi="宋体" w:cs="宋体"/>
          <w:bCs/>
          <w:color w:val="000000" w:themeColor="text1"/>
          <w:sz w:val="24"/>
          <w:highlight w:val="white"/>
          <w:lang w:val="en-US" w:eastAsia="zh-CN"/>
          <w14:textFill>
            <w14:solidFill>
              <w14:schemeClr w14:val="tx1"/>
            </w14:solidFill>
          </w14:textFill>
        </w:rPr>
        <w:t>质保期</w:t>
      </w:r>
      <w:r>
        <w:rPr>
          <w:rFonts w:hint="eastAsia" w:ascii="宋体" w:hAnsi="宋体" w:cs="宋体"/>
          <w:bCs/>
          <w:color w:val="000000" w:themeColor="text1"/>
          <w:sz w:val="24"/>
          <w:highlight w:val="white"/>
          <w14:textFill>
            <w14:solidFill>
              <w14:schemeClr w14:val="tx1"/>
            </w14:solidFill>
          </w14:textFill>
        </w:rPr>
        <w:t>（</w:t>
      </w:r>
      <w:r>
        <w:rPr>
          <w:rFonts w:hint="eastAsia" w:ascii="宋体" w:hAnsi="宋体" w:cs="宋体"/>
          <w:bCs/>
          <w:color w:val="000000" w:themeColor="text1"/>
          <w:sz w:val="24"/>
          <w:highlight w:val="white"/>
          <w:lang w:val="en-US" w:eastAsia="zh-CN"/>
          <w14:textFill>
            <w14:solidFill>
              <w14:schemeClr w14:val="tx1"/>
            </w14:solidFill>
          </w14:textFill>
        </w:rPr>
        <w:t>1</w:t>
      </w:r>
      <w:r>
        <w:rPr>
          <w:rFonts w:hint="eastAsia" w:ascii="宋体" w:hAnsi="宋体" w:cs="宋体"/>
          <w:bCs/>
          <w:color w:val="000000" w:themeColor="text1"/>
          <w:sz w:val="24"/>
          <w:highlight w:val="white"/>
          <w14:textFill>
            <w14:solidFill>
              <w14:schemeClr w14:val="tx1"/>
            </w14:solidFill>
          </w14:textFill>
        </w:rPr>
        <w:t>分）：</w:t>
      </w:r>
    </w:p>
    <w:p>
      <w:pPr>
        <w:spacing w:line="360" w:lineRule="auto"/>
        <w:ind w:left="239" w:firstLine="2"/>
        <w:jc w:val="both"/>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投标人</w:t>
      </w:r>
      <w:r>
        <w:rPr>
          <w:rFonts w:hint="eastAsia" w:ascii="宋体" w:hAnsi="宋体" w:cs="宋体"/>
          <w:bCs/>
          <w:color w:val="000000" w:themeColor="text1"/>
          <w:sz w:val="24"/>
          <w:highlight w:val="white"/>
          <w:lang w:val="en-US" w:eastAsia="zh-CN"/>
          <w14:textFill>
            <w14:solidFill>
              <w14:schemeClr w14:val="tx1"/>
            </w14:solidFill>
          </w14:textFill>
        </w:rPr>
        <w:t>再满足基本原厂质保三年的基础上承诺每增加1年原厂质保加0.5分，最高得1分。</w:t>
      </w:r>
      <w:r>
        <w:rPr>
          <w:rFonts w:hint="eastAsia" w:ascii="宋体" w:hAnsi="宋体" w:cs="宋体"/>
          <w:bCs/>
          <w:color w:val="000000" w:themeColor="text1"/>
          <w:sz w:val="24"/>
          <w:highlight w:val="white"/>
          <w14:textFill>
            <w14:solidFill>
              <w14:schemeClr w14:val="tx1"/>
            </w14:solidFill>
          </w14:textFill>
        </w:rPr>
        <w:t>（投标文件中提供</w:t>
      </w:r>
      <w:r>
        <w:rPr>
          <w:rFonts w:hint="eastAsia" w:ascii="宋体" w:hAnsi="宋体" w:cs="宋体"/>
          <w:bCs/>
          <w:color w:val="000000" w:themeColor="text1"/>
          <w:sz w:val="24"/>
          <w:highlight w:val="white"/>
          <w:lang w:val="en-US" w:eastAsia="zh-CN"/>
          <w14:textFill>
            <w14:solidFill>
              <w14:schemeClr w14:val="tx1"/>
            </w14:solidFill>
          </w14:textFill>
        </w:rPr>
        <w:t>承诺函</w:t>
      </w:r>
      <w:r>
        <w:rPr>
          <w:rFonts w:hint="eastAsia" w:ascii="宋体" w:hAnsi="宋体" w:cs="宋体"/>
          <w:bCs/>
          <w:color w:val="000000" w:themeColor="text1"/>
          <w:sz w:val="24"/>
          <w:highlight w:val="white"/>
          <w14:textFill>
            <w14:solidFill>
              <w14:schemeClr w14:val="tx1"/>
            </w14:solidFill>
          </w14:textFill>
        </w:rPr>
        <w:t>复印件，开标时提供原件核查，不提供不得分</w:t>
      </w:r>
      <w:r>
        <w:rPr>
          <w:rFonts w:hint="eastAsia" w:ascii="宋体" w:hAnsi="宋体" w:cs="宋体"/>
          <w:bCs/>
          <w:color w:val="000000" w:themeColor="text1"/>
          <w:sz w:val="24"/>
          <w:highlight w:val="white"/>
          <w:lang w:eastAsia="zh-CN"/>
          <w14:textFill>
            <w14:solidFill>
              <w14:schemeClr w14:val="tx1"/>
            </w14:solidFill>
          </w14:textFill>
        </w:rPr>
        <w:t>）</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其他（2分）：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及环境标志产品认证证书扫描件，否则不得分）。</w:t>
      </w:r>
      <w:r>
        <w:rPr>
          <w:rFonts w:hint="eastAsia" w:ascii="宋体" w:hAnsi="宋体" w:cs="宋体"/>
          <w:b/>
          <w:bCs w:val="0"/>
          <w:color w:val="000000" w:themeColor="text1"/>
          <w:sz w:val="24"/>
          <w:highlight w:val="white"/>
          <w14:textFill>
            <w14:solidFill>
              <w14:schemeClr w14:val="tx1"/>
            </w14:solidFill>
          </w14:textFill>
        </w:rPr>
        <w:t xml:space="preserve">  </w:t>
      </w:r>
      <w:r>
        <w:rPr>
          <w:rFonts w:hint="eastAsia" w:ascii="宋体" w:hAnsi="宋体" w:cs="宋体"/>
          <w:bCs/>
          <w:color w:val="000000" w:themeColor="text1"/>
          <w:sz w:val="24"/>
          <w:highlight w:val="white"/>
          <w14:textFill>
            <w14:solidFill>
              <w14:schemeClr w14:val="tx1"/>
            </w14:solidFill>
          </w14:textFill>
        </w:rPr>
        <w:t xml:space="preserve">          </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w:t>
      </w:r>
      <w:r>
        <w:rPr>
          <w:rFonts w:hint="eastAsia" w:ascii="宋体" w:hAnsi="宋体" w:cs="宋体"/>
          <w:bCs/>
          <w:color w:val="000000" w:themeColor="text1"/>
          <w:sz w:val="24"/>
          <w:highlight w:val="white"/>
          <w:lang w:val="en-US" w:eastAsia="zh-CN"/>
          <w14:textFill>
            <w14:solidFill>
              <w14:schemeClr w14:val="tx1"/>
            </w14:solidFill>
          </w14:textFill>
        </w:rPr>
        <w:t>3</w:t>
      </w:r>
      <w:r>
        <w:rPr>
          <w:rFonts w:hint="eastAsia" w:ascii="宋体" w:hAnsi="宋体" w:cs="宋体"/>
          <w:bCs/>
          <w:color w:val="000000" w:themeColor="text1"/>
          <w:sz w:val="24"/>
          <w:highlight w:val="white"/>
          <w14:textFill>
            <w14:solidFill>
              <w14:schemeClr w14:val="tx1"/>
            </w14:solidFill>
          </w14:textFill>
        </w:rPr>
        <w:t>）技术文件（</w:t>
      </w:r>
      <w:r>
        <w:rPr>
          <w:rFonts w:hint="eastAsia" w:ascii="宋体" w:hAnsi="宋体" w:cs="宋体"/>
          <w:bCs/>
          <w:color w:val="000000" w:themeColor="text1"/>
          <w:sz w:val="24"/>
          <w:highlight w:val="white"/>
          <w:lang w:val="en-US" w:eastAsia="zh-CN"/>
          <w14:textFill>
            <w14:solidFill>
              <w14:schemeClr w14:val="tx1"/>
            </w14:solidFill>
          </w14:textFill>
        </w:rPr>
        <w:t>41</w:t>
      </w:r>
      <w:r>
        <w:rPr>
          <w:rFonts w:hint="eastAsia" w:ascii="宋体" w:hAnsi="宋体" w:cs="宋体"/>
          <w:bCs/>
          <w:color w:val="000000" w:themeColor="text1"/>
          <w:sz w:val="24"/>
          <w:highlight w:val="white"/>
          <w14:textFill>
            <w14:solidFill>
              <w14:schemeClr w14:val="tx1"/>
            </w14:solidFill>
          </w14:textFill>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lang w:val="en-US" w:eastAsia="zh-CN"/>
        </w:rPr>
        <w:t>1.</w:t>
      </w:r>
      <w:r>
        <w:rPr>
          <w:rFonts w:hint="eastAsia" w:ascii="宋体" w:hAnsi="宋体" w:eastAsia="宋体" w:cs="Times New Roman"/>
          <w:bCs/>
          <w:sz w:val="24"/>
        </w:rPr>
        <w:t>项目实施方案及进度计划安排（</w:t>
      </w:r>
      <w:r>
        <w:rPr>
          <w:rFonts w:hint="eastAsia" w:ascii="宋体" w:hAnsi="宋体" w:cs="Times New Roman"/>
          <w:bCs/>
          <w:sz w:val="24"/>
          <w:lang w:val="en-US" w:eastAsia="zh-CN"/>
        </w:rPr>
        <w:t>12</w:t>
      </w:r>
      <w:r>
        <w:rPr>
          <w:rFonts w:hint="eastAsia" w:ascii="宋体" w:hAnsi="宋体" w:eastAsia="宋体" w:cs="Times New Roman"/>
          <w:bCs/>
          <w:sz w:val="24"/>
        </w:rPr>
        <w:t xml:space="preserve">分）                         </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 xml:space="preserve"> 根据投标供应商提供的项目方案进行综合评分，方案包含：项目实施方案（</w:t>
      </w:r>
      <w:r>
        <w:rPr>
          <w:rFonts w:hint="eastAsia" w:ascii="宋体" w:hAnsi="宋体" w:cs="Times New Roman"/>
          <w:bCs/>
          <w:sz w:val="24"/>
          <w:lang w:val="en-US" w:eastAsia="zh-CN"/>
        </w:rPr>
        <w:t>3</w:t>
      </w:r>
      <w:r>
        <w:rPr>
          <w:rFonts w:hint="eastAsia" w:ascii="宋体" w:hAnsi="宋体" w:eastAsia="宋体" w:cs="Times New Roman"/>
          <w:bCs/>
          <w:sz w:val="24"/>
        </w:rPr>
        <w:t>分）、项目进度计划（</w:t>
      </w:r>
      <w:r>
        <w:rPr>
          <w:rFonts w:hint="eastAsia" w:ascii="宋体" w:hAnsi="宋体" w:cs="Times New Roman"/>
          <w:bCs/>
          <w:sz w:val="24"/>
          <w:lang w:val="en-US" w:eastAsia="zh-CN"/>
        </w:rPr>
        <w:t>3</w:t>
      </w:r>
      <w:r>
        <w:rPr>
          <w:rFonts w:hint="eastAsia" w:ascii="宋体" w:hAnsi="宋体" w:eastAsia="宋体" w:cs="Times New Roman"/>
          <w:bCs/>
          <w:sz w:val="24"/>
        </w:rPr>
        <w:t>分）、相关人员配备情况（</w:t>
      </w:r>
      <w:r>
        <w:rPr>
          <w:rFonts w:hint="eastAsia" w:ascii="宋体" w:hAnsi="宋体" w:cs="Times New Roman"/>
          <w:bCs/>
          <w:sz w:val="24"/>
          <w:lang w:val="en-US" w:eastAsia="zh-CN"/>
        </w:rPr>
        <w:t>3</w:t>
      </w:r>
      <w:r>
        <w:rPr>
          <w:rFonts w:hint="eastAsia" w:ascii="宋体" w:hAnsi="宋体" w:eastAsia="宋体" w:cs="Times New Roman"/>
          <w:bCs/>
          <w:sz w:val="24"/>
        </w:rPr>
        <w:t>分）、进度保证措施（</w:t>
      </w:r>
      <w:r>
        <w:rPr>
          <w:rFonts w:hint="eastAsia" w:ascii="宋体" w:hAnsi="宋体" w:cs="Times New Roman"/>
          <w:bCs/>
          <w:sz w:val="24"/>
          <w:lang w:val="en-US" w:eastAsia="zh-CN"/>
        </w:rPr>
        <w:t>3</w:t>
      </w:r>
      <w:r>
        <w:rPr>
          <w:rFonts w:hint="eastAsia" w:ascii="宋体" w:hAnsi="宋体" w:eastAsia="宋体" w:cs="Times New Roman"/>
          <w:bCs/>
          <w:sz w:val="24"/>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上述内容需方案合理、描述详细、切实可行有效，每有一项内容进行了阐述且满足采购需求的得</w:t>
      </w:r>
      <w:r>
        <w:rPr>
          <w:rFonts w:hint="eastAsia" w:ascii="宋体" w:hAnsi="宋体" w:cs="Times New Roman"/>
          <w:bCs/>
          <w:sz w:val="24"/>
          <w:lang w:val="en-US" w:eastAsia="zh-CN"/>
        </w:rPr>
        <w:t>3</w:t>
      </w:r>
      <w:r>
        <w:rPr>
          <w:rFonts w:hint="eastAsia" w:ascii="宋体" w:hAnsi="宋体" w:eastAsia="宋体" w:cs="Times New Roman"/>
          <w:bCs/>
          <w:sz w:val="24"/>
        </w:rPr>
        <w:t>分；有待完善的得</w:t>
      </w:r>
      <w:r>
        <w:rPr>
          <w:rFonts w:hint="eastAsia" w:ascii="宋体" w:hAnsi="宋体" w:eastAsia="宋体" w:cs="Times New Roman"/>
          <w:bCs/>
          <w:sz w:val="24"/>
          <w:lang w:val="en-US" w:eastAsia="zh-CN"/>
        </w:rPr>
        <w:t>1</w:t>
      </w:r>
      <w:r>
        <w:rPr>
          <w:rFonts w:hint="eastAsia" w:ascii="宋体" w:hAnsi="宋体" w:cs="Times New Roman"/>
          <w:bCs/>
          <w:sz w:val="24"/>
          <w:lang w:val="en-US" w:eastAsia="zh-CN"/>
        </w:rPr>
        <w:t>.5</w:t>
      </w:r>
      <w:r>
        <w:rPr>
          <w:rFonts w:hint="eastAsia" w:ascii="宋体" w:hAnsi="宋体" w:eastAsia="宋体" w:cs="Times New Roman"/>
          <w:bCs/>
          <w:sz w:val="24"/>
        </w:rPr>
        <w:t>分；未进行阐述或不满足采购需求的不得分，本项最高得</w:t>
      </w:r>
      <w:r>
        <w:rPr>
          <w:rFonts w:hint="eastAsia" w:ascii="宋体" w:hAnsi="宋体" w:cs="Times New Roman"/>
          <w:bCs/>
          <w:sz w:val="24"/>
          <w:lang w:val="en-US" w:eastAsia="zh-CN"/>
        </w:rPr>
        <w:t>12</w:t>
      </w:r>
      <w:r>
        <w:rPr>
          <w:rFonts w:hint="eastAsia" w:ascii="宋体" w:hAnsi="宋体" w:eastAsia="宋体" w:cs="Times New Roman"/>
          <w:bCs/>
          <w:sz w:val="24"/>
        </w:rPr>
        <w:t xml:space="preserve">分。                </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 xml:space="preserve">2）产品供货详细方案（9分）                                              </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 xml:space="preserve">   根据投标供应商提供的项目方案进行综合评分，方案包含：货物的交货时间和安装时间（3分）、设备响应性（3分）、技术支持部分（3分）。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 xml:space="preserve">上述内容需方案合理、描述详细、切实可行有效，每有一项内容进行了阐述且满足采购需求的得3分；有待完善的得1.5分；未进行阐述或不满足采购需求的不得分，本项最高得9分。                          </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3）产品培训方案（</w:t>
      </w:r>
      <w:r>
        <w:rPr>
          <w:rFonts w:hint="eastAsia" w:ascii="宋体" w:hAnsi="宋体" w:cs="Times New Roman"/>
          <w:bCs/>
          <w:sz w:val="24"/>
          <w:highlight w:val="none"/>
          <w:lang w:val="en-US" w:eastAsia="zh-CN"/>
        </w:rPr>
        <w:t>9</w:t>
      </w:r>
      <w:r>
        <w:rPr>
          <w:rFonts w:hint="eastAsia" w:ascii="宋体" w:hAnsi="宋体" w:eastAsia="宋体" w:cs="Times New Roman"/>
          <w:bCs/>
          <w:sz w:val="24"/>
          <w:highlight w:val="none"/>
        </w:rPr>
        <w:t xml:space="preserve">分）                                            </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根据投标供应商提供的项目方案进行综合评分，方案包含：针对项目日常使用人员的培训内容概述（3分）、使用人员的详细培训计划安排（</w:t>
      </w:r>
      <w:r>
        <w:rPr>
          <w:rFonts w:hint="eastAsia" w:ascii="宋体" w:hAnsi="宋体" w:cs="Times New Roman"/>
          <w:bCs/>
          <w:sz w:val="24"/>
          <w:highlight w:val="none"/>
          <w:lang w:val="en-US" w:eastAsia="zh-CN"/>
        </w:rPr>
        <w:t>3</w:t>
      </w:r>
      <w:r>
        <w:rPr>
          <w:rFonts w:hint="eastAsia" w:ascii="宋体" w:hAnsi="宋体" w:eastAsia="宋体" w:cs="Times New Roman"/>
          <w:bCs/>
          <w:sz w:val="24"/>
          <w:highlight w:val="none"/>
        </w:rPr>
        <w:t>分）、培训流程质量保障详述（3分）。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上述培训方案描述详细、切实可行有效，每有一项内容进行了阐述且满足采购需求的得3分；基本满足要求存在瑕疵的得1.5分；未进行阐述或不满足采购需求的不得分，本项最高得</w:t>
      </w:r>
      <w:r>
        <w:rPr>
          <w:rFonts w:hint="eastAsia" w:ascii="宋体" w:hAnsi="宋体" w:cs="Times New Roman"/>
          <w:bCs/>
          <w:sz w:val="24"/>
          <w:highlight w:val="none"/>
          <w:lang w:val="en-US" w:eastAsia="zh-CN"/>
        </w:rPr>
        <w:t>9</w:t>
      </w:r>
      <w:r>
        <w:rPr>
          <w:rFonts w:hint="eastAsia" w:ascii="宋体" w:hAnsi="宋体" w:eastAsia="宋体" w:cs="Times New Roman"/>
          <w:bCs/>
          <w:sz w:val="24"/>
          <w:highlight w:val="none"/>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4）产品售后方案（</w:t>
      </w:r>
      <w:r>
        <w:rPr>
          <w:rFonts w:hint="eastAsia" w:ascii="宋体" w:hAnsi="宋体" w:cs="Times New Roman"/>
          <w:bCs/>
          <w:sz w:val="24"/>
          <w:highlight w:val="none"/>
          <w:lang w:val="en-US" w:eastAsia="zh-CN"/>
        </w:rPr>
        <w:t>5</w:t>
      </w:r>
      <w:r>
        <w:rPr>
          <w:rFonts w:hint="eastAsia" w:ascii="宋体" w:hAnsi="宋体" w:eastAsia="宋体" w:cs="Times New Roman"/>
          <w:bCs/>
          <w:sz w:val="24"/>
          <w:highlight w:val="none"/>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根据投标供应商提供的项目方案进行综合评分，方案包含：服务内容（</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分）、人员安排（</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分）、故障解决方案（</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分）、售后服务响应时间（</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分）、实际承诺提供的免费服务期限（产品质保期）（</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Theme="minorEastAsia" w:hAnsiTheme="minorEastAsia" w:eastAsiaTheme="minorEastAsia" w:cstheme="minorEastAsia"/>
          <w:bCs/>
          <w:sz w:val="24"/>
          <w:szCs w:val="24"/>
          <w:highlight w:val="none"/>
        </w:rPr>
        <w:t>上述内容需方案</w:t>
      </w:r>
      <w:r>
        <w:rPr>
          <w:rFonts w:hint="eastAsia" w:ascii="宋体" w:hAnsi="宋体" w:eastAsia="宋体" w:cs="Times New Roman"/>
          <w:bCs/>
          <w:sz w:val="24"/>
          <w:highlight w:val="none"/>
        </w:rPr>
        <w:t>合理、描述详细、切实可行有效，每有一项内容进行了阐述且满足采购需求的得</w:t>
      </w:r>
      <w:r>
        <w:rPr>
          <w:rFonts w:hint="eastAsia" w:ascii="宋体" w:hAnsi="宋体" w:eastAsia="宋体" w:cs="Times New Roman"/>
          <w:bCs/>
          <w:sz w:val="24"/>
          <w:highlight w:val="none"/>
          <w:lang w:val="en-US" w:eastAsia="zh-CN"/>
        </w:rPr>
        <w:t>1</w:t>
      </w:r>
      <w:r>
        <w:rPr>
          <w:rFonts w:hint="eastAsia" w:ascii="宋体" w:hAnsi="宋体" w:eastAsia="宋体" w:cs="Times New Roman"/>
          <w:bCs/>
          <w:sz w:val="24"/>
          <w:highlight w:val="none"/>
        </w:rPr>
        <w:t>分；有待完善的得</w:t>
      </w:r>
      <w:r>
        <w:rPr>
          <w:rFonts w:hint="eastAsia" w:ascii="宋体" w:hAnsi="宋体" w:eastAsia="宋体" w:cs="Times New Roman"/>
          <w:bCs/>
          <w:sz w:val="24"/>
          <w:highlight w:val="none"/>
          <w:lang w:val="en-US" w:eastAsia="zh-CN"/>
        </w:rPr>
        <w:t>0</w:t>
      </w:r>
      <w:r>
        <w:rPr>
          <w:rFonts w:hint="eastAsia" w:ascii="宋体" w:hAnsi="宋体" w:eastAsia="宋体" w:cs="Times New Roman"/>
          <w:bCs/>
          <w:sz w:val="24"/>
          <w:highlight w:val="none"/>
        </w:rPr>
        <w:t>.5分；未进行阐述或不满足采购需求的不得分，本项最高得</w:t>
      </w:r>
      <w:r>
        <w:rPr>
          <w:rFonts w:hint="eastAsia" w:ascii="宋体" w:hAnsi="宋体" w:cs="Times New Roman"/>
          <w:bCs/>
          <w:sz w:val="24"/>
          <w:highlight w:val="none"/>
          <w:lang w:val="en-US" w:eastAsia="zh-CN"/>
        </w:rPr>
        <w:t>5</w:t>
      </w:r>
      <w:r>
        <w:rPr>
          <w:rFonts w:hint="eastAsia" w:ascii="宋体" w:hAnsi="宋体" w:eastAsia="宋体" w:cs="Times New Roman"/>
          <w:bCs/>
          <w:sz w:val="24"/>
          <w:highlight w:val="none"/>
        </w:rPr>
        <w:t>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highlight w:val="none"/>
        </w:rPr>
      </w:pPr>
      <w:r>
        <w:rPr>
          <w:rFonts w:hint="eastAsia" w:ascii="宋体" w:hAnsi="宋体" w:eastAsia="宋体" w:cs="Times New Roman"/>
          <w:bCs/>
          <w:sz w:val="24"/>
          <w:highlight w:val="none"/>
        </w:rPr>
        <w:t>5）质量保证措施（6分）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Times New Roman"/>
          <w:bCs/>
          <w:sz w:val="24"/>
        </w:rPr>
      </w:pPr>
      <w:r>
        <w:rPr>
          <w:rFonts w:hint="eastAsia" w:ascii="宋体" w:hAnsi="宋体" w:eastAsia="宋体" w:cs="Times New Roman"/>
          <w:bCs/>
          <w:sz w:val="24"/>
        </w:rPr>
        <w:t>根据投标供应商提供的项目方案进行综合评分，方案包含：质量管理目标（2分）；质量管理方案（2分）；质量保证措施（2分）。</w:t>
      </w:r>
    </w:p>
    <w:p>
      <w:pPr>
        <w:keepNext w:val="0"/>
        <w:keepLines w:val="0"/>
        <w:pageBreakBefore w:val="0"/>
        <w:widowControl w:val="0"/>
        <w:tabs>
          <w:tab w:val="left" w:pos="945"/>
        </w:tabs>
        <w:kinsoku/>
        <w:wordWrap/>
        <w:overflowPunct/>
        <w:topLinePunct w:val="0"/>
        <w:autoSpaceDE/>
        <w:autoSpaceDN/>
        <w:bidi w:val="0"/>
        <w:adjustRightInd/>
        <w:spacing w:line="440" w:lineRule="exact"/>
        <w:ind w:left="0" w:firstLine="480" w:firstLineChars="200"/>
        <w:textAlignment w:val="auto"/>
      </w:pPr>
      <w:r>
        <w:rPr>
          <w:rFonts w:hint="eastAsia" w:ascii="宋体" w:hAnsi="宋体" w:eastAsia="宋体" w:cs="Times New Roman"/>
          <w:bCs/>
          <w:sz w:val="24"/>
        </w:rPr>
        <w:t>上述内容完整、合理可行、针对性强，每有一项得2分；内容较为完整、可行、细节有待完善的得1分；未进行阐述或不满足采购需求的不得分；本项最高得6分。</w:t>
      </w:r>
    </w:p>
    <w:p>
      <w:pPr>
        <w:spacing w:line="360" w:lineRule="auto"/>
        <w:ind w:left="239" w:firstLine="2"/>
        <w:jc w:val="left"/>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(十）定标：</w:t>
      </w:r>
    </w:p>
    <w:p>
      <w:pPr>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 评标委员会根据招标文件规定的评标方法和评标标准进行评审，按本次招标的定标规则确定中标候选人，自评审结束之日起2个工作日内将评审报告送交采购人。采购人自收到评审报告之日起5个工作日内按招标文件的要求，在评审报告推荐的中标候选单位中，依法确定中标供应商。江苏博智工程咨询有限公司自中标供应商确定之日起2个工作日内，发出中标通知书，并在财政部门指定的政府采购信息发布媒体上发布中标结果公告。江苏博智工程咨询有限公司和评标委员会对未中标原因不做解释。如有质疑，应在法定质疑期限内，即中标结果公告期限届满之日起7个工作日内，以书面形式（原件）送达江苏博智工程咨询有限公司，并且针对同一采购程序环节的质疑，须在法定质疑期内一次性提出。质疑函的质疑事项应具体、明确，并有必要的事实依据和法律依据（格式详见中国政府采购网《政府采购供应商质疑函范本》）。江苏博智工程咨询有限公司将在收到符合上述要求的书面质疑后七个工作日内，对质疑内容做出答复。投标人在法定质疑期限外送达的质疑函或法定质疑期限内送达的质疑函不符合上述要求的均为无效质疑，江苏博智工程咨询有限公司对无效质疑不予受理。如质疑查无实据或报价供应商捏造事实，提供虚假材料进行恶意举报，不配合或采用不正当手段干扰政府采购质疑的，将记入供应商在江苏省和无锡市的政府采购“供应商诚信记录”，并按相关规定处理。</w:t>
      </w:r>
    </w:p>
    <w:p>
      <w:pPr>
        <w:tabs>
          <w:tab w:val="left" w:pos="525"/>
          <w:tab w:val="left" w:pos="1155"/>
          <w:tab w:val="left" w:pos="1260"/>
          <w:tab w:val="left" w:pos="168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2.投标、开标及定标的整个过程均由政府采购监管部门全程监督。</w:t>
      </w:r>
    </w:p>
    <w:p>
      <w:pPr>
        <w:tabs>
          <w:tab w:val="left" w:pos="525"/>
          <w:tab w:val="left" w:pos="1155"/>
          <w:tab w:val="left" w:pos="1260"/>
          <w:tab w:val="left" w:pos="168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3.在发布中标公告的同时，江苏博智工程咨询有限公司将向中标供应商发出中标通知书。</w:t>
      </w:r>
    </w:p>
    <w:p>
      <w:pPr>
        <w:tabs>
          <w:tab w:val="left" w:pos="525"/>
          <w:tab w:val="left" w:pos="1155"/>
          <w:tab w:val="left" w:pos="1260"/>
          <w:tab w:val="left" w:pos="168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4.未中标投标供应商的投标文件、中标投标供应商的投标文件均不退还。</w:t>
      </w:r>
    </w:p>
    <w:p>
      <w:pPr>
        <w:spacing w:line="360" w:lineRule="auto"/>
        <w:ind w:left="-2" w:firstLine="420"/>
        <w:outlineLvl w:val="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（十一） 废标的确认：</w:t>
      </w:r>
    </w:p>
    <w:p>
      <w:pPr>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在招标采购中，出现下列情况之一的，应予废标：</w:t>
      </w:r>
    </w:p>
    <w:p>
      <w:pPr>
        <w:tabs>
          <w:tab w:val="left" w:pos="525"/>
          <w:tab w:val="left" w:pos="1155"/>
          <w:tab w:val="left" w:pos="126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1.符合专业条件的投标供应商或者对招标文件做出实质性响应的投标供应商不足三家；</w:t>
      </w:r>
    </w:p>
    <w:p>
      <w:pPr>
        <w:tabs>
          <w:tab w:val="left" w:pos="525"/>
          <w:tab w:val="left" w:pos="1155"/>
          <w:tab w:val="left" w:pos="126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2.出现影响采购公正的违法、违规行为；</w:t>
      </w:r>
    </w:p>
    <w:p>
      <w:pPr>
        <w:tabs>
          <w:tab w:val="left" w:pos="525"/>
          <w:tab w:val="left" w:pos="1155"/>
          <w:tab w:val="left" w:pos="126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3.投标供应商的报价均超过采购预算，采购人不能支付的；</w:t>
      </w:r>
    </w:p>
    <w:p>
      <w:pPr>
        <w:tabs>
          <w:tab w:val="right" w:pos="180"/>
          <w:tab w:val="left" w:pos="525"/>
          <w:tab w:val="left" w:pos="1155"/>
          <w:tab w:val="left" w:pos="1260"/>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4.因重大变故，采购任务取消。</w:t>
      </w:r>
    </w:p>
    <w:p>
      <w:pPr>
        <w:tabs>
          <w:tab w:val="left" w:pos="735"/>
          <w:tab w:val="left" w:pos="1365"/>
        </w:tabs>
        <w:spacing w:line="360" w:lineRule="auto"/>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（十二）投标保证金：本项目无需缴纳投标保证金。</w:t>
      </w:r>
    </w:p>
    <w:p>
      <w:pPr>
        <w:spacing w:line="360" w:lineRule="auto"/>
        <w:ind w:left="-2" w:firstLine="420"/>
        <w:outlineLvl w:val="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（十三）中标无效的确认：</w:t>
      </w:r>
    </w:p>
    <w:p>
      <w:pPr>
        <w:numPr>
          <w:ilvl w:val="0"/>
          <w:numId w:val="6"/>
        </w:numPr>
        <w:tabs>
          <w:tab w:val="left" w:pos="420"/>
        </w:tabs>
        <w:spacing w:line="360" w:lineRule="auto"/>
        <w:ind w:left="0" w:firstLine="628"/>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提供虚假材料谋取中标的；</w:t>
      </w:r>
    </w:p>
    <w:p>
      <w:pPr>
        <w:numPr>
          <w:ilvl w:val="0"/>
          <w:numId w:val="6"/>
        </w:numPr>
        <w:tabs>
          <w:tab w:val="left" w:pos="420"/>
        </w:tabs>
        <w:spacing w:line="360" w:lineRule="auto"/>
        <w:ind w:left="0" w:firstLine="628"/>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采取不正当手段诋毁、排挤其他投标供应商的；</w:t>
      </w:r>
    </w:p>
    <w:p>
      <w:pPr>
        <w:numPr>
          <w:ilvl w:val="0"/>
          <w:numId w:val="6"/>
        </w:numPr>
        <w:tabs>
          <w:tab w:val="left" w:pos="420"/>
        </w:tabs>
        <w:spacing w:line="360" w:lineRule="auto"/>
        <w:ind w:left="0" w:firstLine="628"/>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与招标采购单位、其他投标供应商恶意串通的；</w:t>
      </w:r>
    </w:p>
    <w:p>
      <w:pPr>
        <w:tabs>
          <w:tab w:val="left" w:pos="1455"/>
        </w:tabs>
        <w:spacing w:line="360" w:lineRule="auto"/>
        <w:ind w:left="629"/>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（4）向采购人行贿或者提供其他不正当利益的；</w:t>
      </w:r>
    </w:p>
    <w:p>
      <w:pPr>
        <w:tabs>
          <w:tab w:val="left" w:pos="1455"/>
        </w:tabs>
        <w:spacing w:line="360" w:lineRule="auto"/>
        <w:ind w:firstLine="628"/>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（5）在招标过程中与采购人进行协商谈判、不按照招标文件和中标供应商的投标文件订立合同，或者与采购人另行订立背离合同实质性内容的协议的；</w:t>
      </w:r>
    </w:p>
    <w:p>
      <w:pPr>
        <w:tabs>
          <w:tab w:val="left" w:pos="1455"/>
        </w:tabs>
        <w:spacing w:line="360" w:lineRule="auto"/>
        <w:ind w:left="629"/>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（6）拒绝有关部门监督检查或者提供虚假情况的。</w:t>
      </w:r>
    </w:p>
    <w:p>
      <w:pPr>
        <w:spacing w:line="360" w:lineRule="auto"/>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 xml:space="preserve">    投标供应商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left="-2" w:firstLine="420"/>
        <w:outlineLvl w:val="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（十四）签订</w:t>
      </w:r>
      <w:r>
        <w:rPr>
          <w:rFonts w:hint="eastAsia" w:ascii="宋体" w:hAnsi="宋体" w:cs="宋体"/>
          <w:color w:val="000000" w:themeColor="text1"/>
          <w:sz w:val="24"/>
          <w:highlight w:val="white"/>
          <w14:textFill>
            <w14:solidFill>
              <w14:schemeClr w14:val="tx1"/>
            </w14:solidFill>
          </w14:textFill>
        </w:rPr>
        <w:t>、履行</w:t>
      </w:r>
      <w:r>
        <w:rPr>
          <w:rFonts w:hint="eastAsia" w:ascii="宋体" w:hAnsi="宋体" w:cs="宋体"/>
          <w:bCs/>
          <w:color w:val="000000" w:themeColor="text1"/>
          <w:sz w:val="24"/>
          <w:highlight w:val="white"/>
          <w14:textFill>
            <w14:solidFill>
              <w14:schemeClr w14:val="tx1"/>
            </w14:solidFill>
          </w14:textFill>
        </w:rPr>
        <w:t>合同：</w:t>
      </w:r>
    </w:p>
    <w:p>
      <w:pPr>
        <w:numPr>
          <w:ilvl w:val="0"/>
          <w:numId w:val="7"/>
        </w:numPr>
        <w:tabs>
          <w:tab w:val="left" w:pos="525"/>
          <w:tab w:val="left" w:pos="987"/>
          <w:tab w:val="left" w:pos="1050"/>
        </w:tabs>
        <w:spacing w:line="360" w:lineRule="auto"/>
        <w:ind w:left="0" w:firstLine="63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不得与中标人私下订立背离合同实质性内容的协议。合同经江苏博智工程咨询有限公司见证后生效。</w:t>
      </w:r>
    </w:p>
    <w:p>
      <w:pPr>
        <w:numPr>
          <w:ilvl w:val="0"/>
          <w:numId w:val="7"/>
        </w:numPr>
        <w:tabs>
          <w:tab w:val="left" w:pos="525"/>
          <w:tab w:val="left" w:pos="987"/>
          <w:tab w:val="left" w:pos="1050"/>
        </w:tabs>
        <w:spacing w:line="360" w:lineRule="auto"/>
        <w:ind w:left="0" w:firstLine="63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无需缴纳履约保证金。</w:t>
      </w:r>
    </w:p>
    <w:p>
      <w:pPr>
        <w:numPr>
          <w:ilvl w:val="0"/>
          <w:numId w:val="7"/>
        </w:numPr>
        <w:tabs>
          <w:tab w:val="left" w:pos="525"/>
          <w:tab w:val="left" w:pos="1050"/>
        </w:tabs>
        <w:spacing w:line="360" w:lineRule="auto"/>
        <w:ind w:left="0" w:firstLine="63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江苏博智工程咨询有限公司监督合同的履行。中标方非因不可抗力未履行招、投标文件和合同规定的义务，一经查实，采购代理机构将根据具体情况提请政府采购管理部门做出相应处理。</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（十五）政府采购信用担保</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政府采购信用担保，是由专业担保机构为供应商向采购人、代理机构、金融机构提供的保证，主要包括投标担保、履约担保、融资担保三种形式。供应商可以根据自身情况，自行决定是否选择采用该三种信用担保形式。</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 xml:space="preserve"> 1.投标担保。</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 xml:space="preserve"> 投标担保，是指由专业担保机构为供应商履行支付投标保证金的义务向采购人或者采购代理机构提供的保证担保。专业担保机构对供应商进行资信审查后出具投标担保函，供应商在投标有效期内发生撤回投标文件，或中标后因自身原因不签署政府采购合同等行为而应实际支付保证金的，由专业担保机构按照担保函的约定履行担保责任。供应商可以自愿选择是否采取投标担保函的形式缴纳投标保证金。政府采购投标担保函格式见附1。</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2.履约担保。</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履约担保，是指由专业担保机构为供应商支付履约保证金的义务向采购人提供的保证担保。专业担保机构根据中标供应商的中标、成交通知书为凭据，进行资信审查后出具履约担保函；供应商未按政府采购合同履行约定义务而应实际支付保证金的，由专业担保机构按照担保函约定履行担保责任。供应商可以自愿选择是否采取履约担保函的形式缴纳履约保证金。政府采购履约担保函格式见附2。</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3.融资担保。</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融资担保，是指专业担保机构为供应商向银行融资提供的保证担保。供应商可以自愿选择是否采取融资担保的形式为政府采购项目履约进行融资。政府采购信用担保融资，是指以政府采购作为平台帮助中小企业融资，政府采购中标、成交的中小企业供应商，以中标、成交通知书和政府采购合同作为抵押凭据直接向银行贷款，或通过担保公司担保后向银行贷款，解决政府采购中标、成交的中小企业在履行合同过程中的资金困难。</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4.政府采购信用担保合作担保机构和信用融资合作银行</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中标供应商可以根据自身情况，自行决定是否选择采用投标、履约和融资三种信用担保形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浙商银行无锡分行（为无锡市政府采购信用融资合作银行）可以在无锡市范围内依法开展政府采购信用担保融资业务。</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5.合作担保机构及银行出具的投标担保函、履约担保函及银行保函等，均具有《财政部关于开展政府采购信用担保试点工作的通知》中列明的担保效力。除不可抗力外，无论基于何种原因，供应商一旦出现违约情形，承担保证责任的专业担保机构应当先行按照政府采购担保函及时进行偿付，偿付完成后，再按与供应商签订的协议约定内容进行追偿。</w:t>
      </w:r>
    </w:p>
    <w:p>
      <w:pPr>
        <w:spacing w:line="360" w:lineRule="auto"/>
        <w:ind w:firstLine="360"/>
        <w:outlineLvl w:val="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（十六）代理服务费：</w:t>
      </w:r>
    </w:p>
    <w:p>
      <w:pPr>
        <w:spacing w:line="360" w:lineRule="auto"/>
        <w:ind w:firstLine="48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招标代理费由中标人支付。招标代理费按差额定率累进法计算：以中标金额为计费基础，中标金额100万元以内1.5%。</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（十七）其他：</w:t>
      </w:r>
    </w:p>
    <w:p>
      <w:pPr>
        <w:spacing w:line="360" w:lineRule="auto"/>
        <w:ind w:firstLine="480"/>
        <w:rPr>
          <w:rFonts w:ascii="宋体" w:hAnsi="宋体" w:cs="宋体"/>
          <w:color w:val="000000" w:themeColor="text1"/>
          <w:sz w:val="24"/>
          <w:highlight w:val="white"/>
          <w14:textFill>
            <w14:solidFill>
              <w14:schemeClr w14:val="tx1"/>
            </w14:solidFill>
          </w14:textFill>
        </w:rPr>
      </w:pPr>
      <w:r>
        <w:rPr>
          <w:rFonts w:hint="eastAsia" w:ascii="宋体" w:hAnsi="宋体" w:cs="宋体"/>
          <w:color w:val="000000" w:themeColor="text1"/>
          <w:sz w:val="24"/>
          <w:highlight w:val="white"/>
          <w14:textFill>
            <w14:solidFill>
              <w14:schemeClr w14:val="tx1"/>
            </w14:solidFill>
          </w14:textFill>
        </w:rPr>
        <w:t>招标文件的条款必须认真审阅，投标供应商应自行检查招标文件页数是否齐全。若有遗漏、重复或不清楚，需立刻通知采购人予以更正；凡属对条款的误解所造成的投标价格失误，由投标供应商负责。</w:t>
      </w:r>
    </w:p>
    <w:p>
      <w:pPr>
        <w:spacing w:line="360" w:lineRule="auto"/>
        <w:jc w:val="center"/>
        <w:rPr>
          <w:rFonts w:ascii="宋体" w:hAnsi="宋体" w:cs="宋体"/>
          <w:b/>
          <w:color w:val="000000" w:themeColor="text1"/>
          <w:sz w:val="44"/>
          <w:szCs w:val="4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br w:type="page" w:clear="all"/>
      </w:r>
      <w:r>
        <w:rPr>
          <w:rFonts w:hint="eastAsia" w:ascii="宋体" w:hAnsi="宋体" w:cs="宋体"/>
          <w:b/>
          <w:color w:val="000000" w:themeColor="text1"/>
          <w:sz w:val="44"/>
          <w:szCs w:val="44"/>
          <w:highlight w:val="white"/>
          <w14:textFill>
            <w14:solidFill>
              <w14:schemeClr w14:val="tx1"/>
            </w14:solidFill>
          </w14:textFill>
        </w:rPr>
        <w:t>第三部分.采购需求</w:t>
      </w:r>
    </w:p>
    <w:p>
      <w:pPr>
        <w:spacing w:line="400" w:lineRule="exact"/>
        <w:jc w:val="left"/>
        <w:rPr>
          <w:rFonts w:hint="eastAsia" w:ascii="宋体" w:hAnsi="宋体" w:cs="宋体"/>
          <w:b/>
          <w:bCs/>
          <w:color w:val="000000" w:themeColor="text1"/>
          <w:sz w:val="24"/>
          <w:highlight w:val="white"/>
          <w:lang w:val="en-US" w:eastAsia="zh-CN"/>
          <w14:textFill>
            <w14:solidFill>
              <w14:schemeClr w14:val="tx1"/>
            </w14:solidFill>
          </w14:textFill>
        </w:rPr>
      </w:pPr>
      <w:r>
        <w:rPr>
          <w:rFonts w:hint="eastAsia" w:ascii="宋体" w:hAnsi="宋体" w:cs="宋体"/>
          <w:b/>
          <w:bCs/>
          <w:color w:val="000000" w:themeColor="text1"/>
          <w:sz w:val="24"/>
          <w:highlight w:val="white"/>
          <w:lang w:val="en-US" w:eastAsia="zh-CN"/>
          <w14:textFill>
            <w14:solidFill>
              <w14:schemeClr w14:val="tx1"/>
            </w14:solidFill>
          </w14:textFill>
        </w:rPr>
        <w:t>一、本项目核心产品为：</w:t>
      </w:r>
      <w:r>
        <w:rPr>
          <w:rFonts w:hint="eastAsia" w:ascii="宋体" w:hAnsi="宋体" w:eastAsia="宋体" w:cs="宋体"/>
          <w:b/>
          <w:bCs/>
          <w:i w:val="0"/>
          <w:iCs w:val="0"/>
          <w:color w:val="000000"/>
          <w:kern w:val="0"/>
          <w:sz w:val="24"/>
          <w:szCs w:val="24"/>
          <w:u w:val="none"/>
          <w:lang w:val="en-US" w:eastAsia="zh-CN" w:bidi="ar"/>
        </w:rPr>
        <w:t>采集器，核心产品数量为：</w:t>
      </w:r>
      <w:r>
        <w:rPr>
          <w:rFonts w:hint="eastAsia" w:ascii="宋体" w:hAnsi="宋体" w:cs="宋体"/>
          <w:b/>
          <w:bCs/>
          <w:i w:val="0"/>
          <w:iCs w:val="0"/>
          <w:color w:val="000000"/>
          <w:kern w:val="0"/>
          <w:sz w:val="24"/>
          <w:szCs w:val="24"/>
          <w:u w:val="none"/>
          <w:lang w:val="en-US" w:eastAsia="zh-CN" w:bidi="ar"/>
        </w:rPr>
        <w:t>9</w:t>
      </w:r>
      <w:r>
        <w:rPr>
          <w:rFonts w:hint="eastAsia" w:ascii="宋体" w:hAnsi="宋体" w:eastAsia="宋体" w:cs="宋体"/>
          <w:b/>
          <w:bCs/>
          <w:i w:val="0"/>
          <w:iCs w:val="0"/>
          <w:color w:val="000000"/>
          <w:kern w:val="0"/>
          <w:sz w:val="24"/>
          <w:szCs w:val="24"/>
          <w:u w:val="none"/>
          <w:lang w:val="en-US" w:eastAsia="zh-CN" w:bidi="ar"/>
        </w:rPr>
        <w:t>台。</w:t>
      </w:r>
    </w:p>
    <w:p>
      <w:pPr>
        <w:spacing w:line="400" w:lineRule="exact"/>
        <w:jc w:val="left"/>
        <w:rPr>
          <w:rFonts w:hint="default" w:ascii="宋体" w:hAnsi="宋体" w:cs="宋体"/>
          <w:color w:val="000000" w:themeColor="text1"/>
          <w:sz w:val="24"/>
          <w:highlight w:val="white"/>
          <w:lang w:val="en-US"/>
          <w14:textFill>
            <w14:solidFill>
              <w14:schemeClr w14:val="tx1"/>
            </w14:solidFill>
          </w14:textFill>
        </w:rPr>
      </w:pPr>
      <w:r>
        <w:rPr>
          <w:rFonts w:hint="eastAsia" w:ascii="宋体" w:hAnsi="宋体" w:cs="宋体"/>
          <w:color w:val="000000" w:themeColor="text1"/>
          <w:sz w:val="24"/>
          <w:highlight w:val="white"/>
          <w:lang w:val="en-US" w:eastAsia="zh-CN"/>
          <w14:textFill>
            <w14:solidFill>
              <w14:schemeClr w14:val="tx1"/>
            </w14:solidFill>
          </w14:textFill>
        </w:rPr>
        <w:t>二</w:t>
      </w:r>
      <w:r>
        <w:rPr>
          <w:rFonts w:hint="eastAsia" w:ascii="宋体" w:hAnsi="宋体" w:cs="宋体"/>
          <w:color w:val="000000" w:themeColor="text1"/>
          <w:sz w:val="24"/>
          <w:highlight w:val="white"/>
          <w14:textFill>
            <w14:solidFill>
              <w14:schemeClr w14:val="tx1"/>
            </w14:solidFill>
          </w14:textFill>
        </w:rPr>
        <w:t>、</w:t>
      </w:r>
      <w:r>
        <w:rPr>
          <w:rFonts w:hint="eastAsia" w:ascii="宋体" w:hAnsi="宋体" w:cs="宋体"/>
          <w:color w:val="000000" w:themeColor="text1"/>
          <w:sz w:val="24"/>
          <w:highlight w:val="white"/>
          <w:lang w:val="en-US" w:eastAsia="zh-CN"/>
          <w14:textFill>
            <w14:solidFill>
              <w14:schemeClr w14:val="tx1"/>
            </w14:solidFill>
          </w14:textFill>
        </w:rPr>
        <w:t>货物清单及</w:t>
      </w:r>
      <w:r>
        <w:rPr>
          <w:rFonts w:hint="eastAsia" w:ascii="宋体" w:hAnsi="宋体" w:cs="宋体"/>
          <w:color w:val="000000" w:themeColor="text1"/>
          <w:sz w:val="24"/>
          <w:highlight w:val="white"/>
          <w14:textFill>
            <w14:solidFill>
              <w14:schemeClr w14:val="tx1"/>
            </w14:solidFill>
          </w14:textFill>
        </w:rPr>
        <w:t>技术要求：</w:t>
      </w:r>
    </w:p>
    <w:tbl>
      <w:tblPr>
        <w:tblStyle w:val="2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746"/>
        <w:gridCol w:w="5465"/>
        <w:gridCol w:w="890"/>
        <w:gridCol w:w="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8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696" w:type="pc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3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5"/>
            <w:tcBorders>
              <w:top w:val="nil"/>
              <w:left w:val="single" w:color="000000" w:sz="8" w:space="0"/>
              <w:bottom w:val="single" w:color="000000" w:sz="8"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教师用加强型传感器部分（可无线及有线采集数据）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采集器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1.半透明外壳设计，内含状态、电源指示灯。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2.科学实验专用采集器，四通道并行采集，全数字通道，采样频率80K。</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3.采集器支持USB即插即用，自动监测传感器接入或拔出，无须外接电源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4.可根据实验教学需要，选择接插有线接口或无线接收实现与传感器通讯。支持有线/无线状态下的四通道并行采集。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5.可进行多路声波传感器同步显示的高频采集实验。</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传感器数据显示模块</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1.通过与各种传感器组合，使之具备独立数据显示功能。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2.彩屏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3.BT自锁接头，支持热插拔连接，接入任一可识别传感器，屏幕会显示该传感器的实时数据和单位并且显示数据应有变化。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4.具备自锁功能防止传感器脱落，并且可与计算机直接通讯。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5.可充电锂电池供电，可充电电池（3.7V）供电。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6.模块具备保存7万组数据的功能，可对保存的实验数据进行导出到计算机内、查看和处理数据。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7.带二维码可以与安卓、苹果系统移动采集终端无线数据同步传输。</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微电流传感器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1.量程：-5</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A~+5</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A；分度：0.01</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A。</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2.传感器支持与采集器的有线通讯、无线通讯和独立数据显示三种工作方式。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3.传感器自带硬件调零按钮并支持硬件调零功能。</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三维磁感应强度传感器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1.量程：-50mT~+50 mT；分度：0.01 mT。</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2.可测量三个方向磁感应强度大小，可显示分值和合值。传感器自带硬件调零按钮并支持硬件调零功能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1.量程：-20N~+20N；分度：0.01N。</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2.传感器手柄式结构，可用于测拉力（显示正值）和压力（显示负值）。</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3.传感器支持与采集器的有线通讯、无线通讯和独立数据显示三种工作方式。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4.传感器自带硬件调零按钮并支持硬件调零功能。</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5.传感器自带M6螺纹孔，轻松实现与多种实验装置的组装固定。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位移传感器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1.量程：0cm ~200cm，分度：1mm。无测量盲区。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2.由发射器和接收器构成，接收器与采集器连接，发射器由电池供电。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3.传感器易与现有实验装置（运动小车、弹簧振子等）组合。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光电门传感器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2"/>
                <w:rFonts w:hint="eastAsia" w:ascii="宋体" w:hAnsi="宋体" w:eastAsia="宋体" w:cs="宋体"/>
                <w:sz w:val="24"/>
                <w:szCs w:val="24"/>
                <w:lang w:val="en-US" w:eastAsia="zh-CN" w:bidi="ar"/>
              </w:rPr>
            </w:pPr>
            <w:r>
              <w:rPr>
                <w:rStyle w:val="202"/>
                <w:rFonts w:hint="eastAsia" w:ascii="宋体" w:hAnsi="宋体" w:eastAsia="宋体" w:cs="宋体"/>
                <w:sz w:val="24"/>
                <w:szCs w:val="24"/>
                <w:lang w:val="en-US" w:eastAsia="zh-CN" w:bidi="ar"/>
              </w:rPr>
              <w:t>1.分度：2</w:t>
            </w:r>
            <w:r>
              <w:rPr>
                <w:rStyle w:val="203"/>
                <w:rFonts w:hint="eastAsia" w:ascii="宋体" w:hAnsi="宋体" w:eastAsia="宋体" w:cs="宋体"/>
                <w:sz w:val="24"/>
                <w:szCs w:val="24"/>
                <w:lang w:val="en-US" w:eastAsia="zh-CN" w:bidi="ar"/>
              </w:rPr>
              <w:t>μ</w:t>
            </w:r>
            <w:r>
              <w:rPr>
                <w:rStyle w:val="202"/>
                <w:rFonts w:hint="eastAsia" w:ascii="宋体" w:hAnsi="宋体" w:eastAsia="宋体" w:cs="宋体"/>
                <w:sz w:val="24"/>
                <w:szCs w:val="24"/>
                <w:lang w:val="en-US" w:eastAsia="zh-CN" w:bidi="ar"/>
              </w:rPr>
              <w:t>s，用于测量挡光片（U型、I型）的挡光时间。</w:t>
            </w:r>
          </w:p>
          <w:p>
            <w:pPr>
              <w:keepNext w:val="0"/>
              <w:keepLines w:val="0"/>
              <w:widowControl/>
              <w:suppressLineNumbers w:val="0"/>
              <w:jc w:val="left"/>
              <w:textAlignment w:val="center"/>
              <w:rPr>
                <w:rStyle w:val="202"/>
                <w:rFonts w:hint="eastAsia" w:ascii="宋体" w:hAnsi="宋体" w:eastAsia="宋体" w:cs="宋体"/>
                <w:sz w:val="24"/>
                <w:szCs w:val="24"/>
                <w:lang w:val="en-US" w:eastAsia="zh-CN" w:bidi="ar"/>
              </w:rPr>
            </w:pPr>
            <w:r>
              <w:rPr>
                <w:rStyle w:val="202"/>
                <w:rFonts w:hint="eastAsia" w:ascii="宋体" w:hAnsi="宋体" w:eastAsia="宋体" w:cs="宋体"/>
                <w:sz w:val="24"/>
                <w:szCs w:val="24"/>
                <w:lang w:val="en-US" w:eastAsia="zh-CN" w:bidi="ar"/>
              </w:rPr>
              <w:t>2.支持与采集器的有线通讯、无线通讯工作方式。</w:t>
            </w:r>
          </w:p>
          <w:p>
            <w:pPr>
              <w:keepNext w:val="0"/>
              <w:keepLines w:val="0"/>
              <w:widowControl/>
              <w:suppressLineNumbers w:val="0"/>
              <w:jc w:val="left"/>
              <w:textAlignment w:val="center"/>
              <w:rPr>
                <w:rStyle w:val="202"/>
                <w:rFonts w:hint="eastAsia" w:ascii="宋体" w:hAnsi="宋体" w:eastAsia="宋体" w:cs="宋体"/>
                <w:sz w:val="24"/>
                <w:szCs w:val="24"/>
                <w:lang w:val="en-US" w:eastAsia="zh-CN" w:bidi="ar"/>
              </w:rPr>
            </w:pPr>
            <w:r>
              <w:rPr>
                <w:rStyle w:val="202"/>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left"/>
              <w:textAlignment w:val="center"/>
              <w:rPr>
                <w:rStyle w:val="202"/>
                <w:rFonts w:hint="eastAsia" w:ascii="宋体" w:hAnsi="宋体" w:eastAsia="宋体" w:cs="宋体"/>
                <w:sz w:val="24"/>
                <w:szCs w:val="24"/>
                <w:lang w:val="en-US" w:eastAsia="zh-CN" w:bidi="ar"/>
              </w:rPr>
            </w:pPr>
            <w:r>
              <w:rPr>
                <w:rStyle w:val="202"/>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5.传感器支持Windows、苹果系统。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4"/>
                <w:rFonts w:hint="eastAsia" w:ascii="宋体" w:hAnsi="宋体" w:eastAsia="宋体" w:cs="宋体"/>
                <w:sz w:val="24"/>
                <w:szCs w:val="24"/>
                <w:lang w:val="en-US" w:eastAsia="zh-CN" w:bidi="ar"/>
              </w:rPr>
              <w:t>声波/声级传感器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1.声波频率量程：20Hz~20kHz。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2.声级量程：20 dB ~120dB，分度：0.1dB。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3.传感器通过自带硬件，按钮切换测量声音的波形和强度，研究声音的频率、周期、振幅等特征。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4.支持与采集器的有线通讯、无线通讯工作方式。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5.同时无线接入4只声波传感器，可观察到4路声音波形，同步采集无延迟。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8.传感器支持Windows、苹果系统。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多量程电流传感器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1.测量范围：-3A~+3A；分度：0.01A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测量范围：-300mA~+300mA；分度：1mA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测量范围：-30mA ~+30mA；分度：0.1 mA；要求：为避免软件虚拟处理，传感器自带硬件选择档位，按钮切换量程，传感器自带硬件调零按钮并支持硬件调零功能。</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多量程电压传感器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1.量程1：-20V~+20V、分度：0.01V；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量程2：-2V~+2V、分度：0.001V；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量程3：-0.2V~+0.2V、分度：0.0001V；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要求：为避免软件虚拟处理，传感器自带硬件选择档位，按钮切换量程；传感器自带硬件调零按钮并支持硬件调零功能。。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数字静电实验器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1.量程：±100nC，分辨率：1nC。</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2.产品尺寸：11cm*11.4cm*2.8cm,偏差不大于0.5cm。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3.传感器自带5吋液晶屏一体化设计，屏幕尺寸偏差不大于0.2吋。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4.自配锂电池供电，带电量1100mAh。</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5.配准用充电器、静电器底座、无线接收器、专用软件、导电小球（直径不小于0.5cm）。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6.可测量带电物体的电荷量和极性，具有硬件调零的功能。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7.输入端可连接金属小球或法拉第冰桶，以无线方式与计算机进行同步通讯显示，断电后数据无丢失。</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8.可完成静电感应、电荷守恒、等势体研究、静电屏蔽、光电效应等实验。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相对压强传感器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1.量程：-20kPa~+20kPa；分度：0.01kPa，传感器自带硬件调零按钮并支持硬件调零功能。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2.可用于测量气体的相对压强。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1.量程：-50℃~+200℃；分度：0.1℃。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2.不锈钢探针，可测各种物体或溶液的温度。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传感器无线发射模块</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通过与各种传感器组合使之具备与采集器的无线通讯功能。BT自锁接头，支持热插拔连接，可充电电池供电。</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无线接口</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采用无线方式接入四种传感器并支持四通道并行采集，全数字通道，与数据采集器接插使用。在此种工作状态下，传感器应配合无线发射模块使用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日照辐射传感器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1.测量范围：0W/m2~1500W/m2；分度：1W/m2。</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2.用于测量光谱在320nm~1100nm范围内的太阳辐射强度。</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3.支持与数据采集器的有线通讯/无线通讯方式。</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一体式位移传感器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测量范围：0.15m~6m，分度：1mm，支持与采集器的有线通讯、无线通讯和独立数据显示三种工作方式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压强传感器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 kPa ~700 kPa；分度：0.1 kPa。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2.可用于直接测量气体的绝对压强，配件：20mL注射器。</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1.量程：0~14；分度：0.01。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多量程电导率传感器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1.量程：0~20000</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S/cm；分度：10</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量程：0~2000</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S/cm；分度：1</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量程：0~200</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S/cm；分度：0.1</w:t>
            </w:r>
            <w:r>
              <w:rPr>
                <w:rStyle w:val="201"/>
                <w:rFonts w:hint="eastAsia" w:ascii="宋体" w:hAnsi="宋体" w:eastAsia="宋体" w:cs="宋体"/>
                <w:sz w:val="24"/>
                <w:szCs w:val="24"/>
                <w:lang w:val="en-US" w:eastAsia="zh-CN" w:bidi="ar"/>
              </w:rPr>
              <w:t>μ</w:t>
            </w:r>
            <w:r>
              <w:rPr>
                <w:rStyle w:val="200"/>
                <w:rFonts w:hint="eastAsia" w:ascii="宋体" w:hAnsi="宋体" w:eastAsia="宋体" w:cs="宋体"/>
                <w:sz w:val="24"/>
                <w:szCs w:val="24"/>
                <w:lang w:val="en-US" w:eastAsia="zh-CN" w:bidi="ar"/>
              </w:rPr>
              <w:t>S/cm</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通过按钮切换量程。</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2.传感器支持与采集器的有线通讯、无线通讯和独立数据显示三种工作方式。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溶解氧传感器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 mg/L～20mg/L，分度：0.01mg/L；带有温补功能。</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2.传感器支持与采集器的有线通讯、无线通讯和独立数据显示三种工作方式。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1.量程：0～100％，分度：0.1％。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3.传感器自带硬件校准按钮并支持硬件校准功能。</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 ppm～50000ppm，分度10 ppm。</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2.传感器支持与采集器的有线通讯、无线通讯和独立数据显示三种工作方式。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双量程光照度传感器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 lx～5000 lx～50000 lx，分度：1 lx、10 lx。</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2.传感器通过自带硬件，按钮切换量程。</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相对湿度传感器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1.量程：0～100%，分度0.1％。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1.量程：0次~200次，可通过专用软件实时显示心率大小以及心电心率波形。</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2.支持与采集器的有线通讯、无线通讯工作方式。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1、量程：-5mV ~+5mV；</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2、用于生成EKG曲线，能清晰的显示出人体P波、QRS波、T波与U波，可通过RR间期计算出心率；</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3、支持与采集器的有线通讯、无线通讯工作方式；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1.量程满足人体生理特征；</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2.支持与采集器的有线通讯、无线通讯工作方式；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量程：0% ~ 3%，精度：±0.50％，分度：0.01%。可用于测量待测溶液上方空气中乙醇的浓度。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三波长光源（R、G、B）测量有色溶液的色度数据；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性能：测量范围：透光率0～100％，分度：0.1％；准确度：R偏差：5%；G偏差：2%；B偏差：5%；最大采样率：1KHz；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理：由发光管发出的光（I0）通过装有溶液样品的比色皿,透射光（I）被光电管吸收,通过传感器电路处理后即可转换为溶液的透射比T。T=I/I0吸光度A=-lgT=kcL（比尔定律）三波长光源（R=635nm、G=524nm、B=467nm）测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结构：内置721比色皿43*15*1410mm光滑透明不易反光、留指纹等痕迹。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传感器由高强度塑料外壳封装，外壳设计M5螺丝孔位，可将传感器固定在多种操作平台和装置上；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传感器数据处理电路为双主板设计，采用技术成熟的SMT生产工艺，可保证传感器经久耐用，数据传输稳定、持续；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采用BT数据接口，输出数字信号，接口具有方向性和自锁功能，可以防止传感器在使用过程中脱落，保证数据传输稳定；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模块化、可热插拔设计，支持有线通讯、无线通讯和屏幕数据显示三种工作方式；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 NTU ~400NTU；分度：0.1 NTU;</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2.支持与采集器的有线通讯、无线通讯和独立数据显示三种工作方式；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 ppm～20ppm，分度0.01 ppm。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PM2.5/10传感器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1.测量范围：0 ~500 ug/m</w:t>
            </w:r>
            <w:r>
              <w:rPr>
                <w:rStyle w:val="206"/>
                <w:rFonts w:hint="eastAsia" w:ascii="宋体" w:hAnsi="宋体" w:eastAsia="宋体" w:cs="宋体"/>
                <w:sz w:val="24"/>
                <w:szCs w:val="24"/>
                <w:lang w:val="en-US" w:eastAsia="zh-CN" w:bidi="ar"/>
              </w:rPr>
              <w:t>3</w:t>
            </w:r>
            <w:r>
              <w:rPr>
                <w:rStyle w:val="200"/>
                <w:rFonts w:hint="eastAsia" w:ascii="宋体" w:hAnsi="宋体" w:eastAsia="宋体" w:cs="宋体"/>
                <w:sz w:val="24"/>
                <w:szCs w:val="24"/>
                <w:lang w:val="en-US" w:eastAsia="zh-CN" w:bidi="ar"/>
              </w:rPr>
              <w:t>；分度：1ug/m</w:t>
            </w:r>
            <w:r>
              <w:rPr>
                <w:rStyle w:val="206"/>
                <w:rFonts w:hint="eastAsia" w:ascii="宋体" w:hAnsi="宋体" w:eastAsia="宋体" w:cs="宋体"/>
                <w:sz w:val="24"/>
                <w:szCs w:val="24"/>
                <w:lang w:val="en-US" w:eastAsia="zh-CN" w:bidi="ar"/>
              </w:rPr>
              <w:t>3</w:t>
            </w:r>
            <w:r>
              <w:rPr>
                <w:rStyle w:val="200"/>
                <w:rFonts w:hint="eastAsia" w:ascii="宋体" w:hAnsi="宋体" w:eastAsia="宋体" w:cs="宋体"/>
                <w:sz w:val="24"/>
                <w:szCs w:val="24"/>
                <w:lang w:val="en-US" w:eastAsia="zh-CN" w:bidi="ar"/>
              </w:rPr>
              <w:t>。</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2.用于检测空气中PM2.5与PM10浓度；</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3.支持与数据采集器的有线通讯/无线通讯方式。</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氢气传感器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测量范围：0~4%；分度：0.01%；用于检测气体中氢气含量；支持与采集器的有线通讯、无线通讯和独立数据显示三种工作方式。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测量范围：0~2000ppm；分度：1ppm；用于检测气体中一氧化碳含量； 支持与采集器的有线通讯、无线通讯和独立数据显示三种工作方式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力传感器</w:t>
            </w:r>
            <w:r>
              <w:rPr>
                <w:rStyle w:val="207"/>
                <w:rFonts w:hint="eastAsia" w:ascii="宋体" w:hAnsi="宋体" w:eastAsia="宋体" w:cs="宋体"/>
                <w:sz w:val="24"/>
                <w:szCs w:val="24"/>
                <w:lang w:val="en-US" w:eastAsia="zh-CN" w:bidi="ar"/>
              </w:rPr>
              <w:t>C</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测量范围：</w:t>
            </w:r>
            <w:r>
              <w:rPr>
                <w:rStyle w:val="207"/>
                <w:rFonts w:hint="eastAsia" w:ascii="宋体" w:hAnsi="宋体" w:eastAsia="宋体" w:cs="宋体"/>
                <w:sz w:val="24"/>
                <w:szCs w:val="24"/>
                <w:lang w:val="en-US" w:eastAsia="zh-CN" w:bidi="ar"/>
              </w:rPr>
              <w:t xml:space="preserve">-50N~+50N </w:t>
            </w:r>
            <w:r>
              <w:rPr>
                <w:rStyle w:val="202"/>
                <w:rFonts w:hint="eastAsia" w:ascii="宋体" w:hAnsi="宋体" w:eastAsia="宋体" w:cs="宋体"/>
                <w:sz w:val="24"/>
                <w:szCs w:val="24"/>
                <w:lang w:val="en-US" w:eastAsia="zh-CN" w:bidi="ar"/>
              </w:rPr>
              <w:t>；分度：</w:t>
            </w:r>
            <w:r>
              <w:rPr>
                <w:rStyle w:val="207"/>
                <w:rFonts w:hint="eastAsia" w:ascii="宋体" w:hAnsi="宋体" w:eastAsia="宋体" w:cs="宋体"/>
                <w:sz w:val="24"/>
                <w:szCs w:val="24"/>
                <w:lang w:val="en-US" w:eastAsia="zh-CN" w:bidi="ar"/>
              </w:rPr>
              <w:t>0.01N</w:t>
            </w:r>
            <w:r>
              <w:rPr>
                <w:rStyle w:val="202"/>
                <w:rFonts w:hint="eastAsia" w:ascii="宋体" w:hAnsi="宋体" w:eastAsia="宋体" w:cs="宋体"/>
                <w:sz w:val="24"/>
                <w:szCs w:val="24"/>
                <w:lang w:val="en-US" w:eastAsia="zh-CN" w:bidi="ar"/>
              </w:rPr>
              <w:t>，直柄式结构，测量拉力时显示正值、压力时显示负值，支持与采集器的有线通讯、无线通讯和独立数据显示三种工作方式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专用充电线</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直接连接传感器无线发射模块或显示模块进行充电，一端为usb接口另一端为micro usb接口。</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系统专用附件</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1.含USB通讯线1条、转接器4只、传感器线4条。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2.传感器连接线具有方向性和自锁功能，插接方便、配合严密、不易脱落、方便教学。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铝合金箱</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尺寸：410*282*180（mm），由铝合金主架、铝塑板面构成，内设隔断海棉内衬</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系统分析数据</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1、数字化实验分析软件软件优盘存储，用于实验探究数据的收集和结果分析；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2、包含教材通用软件、物理教材专用软件、化学专用软件、生物专用软件、传感器校准软件与数据导入软件六个部分；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2.1、通用软件：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可实现传感器数据的自动识别及控制：传感器接入后自动识别测量种类、测量范围、分度、单位、通道序号等；可改变传感器的显示方式：数字表、模拟表、示波。可根据实验调整传感器的采样频率、开始与暂停、字体颜色、字号大小、调零、示波图线的移动及大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组合图线：拥有2个完全相同的组合图线显示窗口，可并行使用；通过该功能的应用可完成基于传感器的实时数据变化的描绘和计算表格数据描绘及分析、处理等操作；数据的分析及处理包括：拟合、求导、积分、统计、包格线等；可通过回访功能重复观察实验的变化规律；对图像可根据实验进行放大、缩小；可对引用的传感器进行同步的停止和开始，达到很好的同时性；可对引用的传感器进行同步的调零，达到很好的一致性；可对引用的传感器进行同步采样频率调整，达到很好的精确性；可对数据图线的数据进行保存和导入，进行二次分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计算表格：可自动识别接入的传感器，并按照接入的通道自动标号。可通过变量、公式、求平均、绘图等按钮对数据进行处理。根据不同的实验要求可选择自动记录和手动记录。自动记录可调整时间间隔、选择采样条件，手动记录可根据需要进行点击记录，有效减少无效数据对实验结果的干扰。可引用现有实验模板也可DIY实验模板，并保存。支持表格的复制、粘贴、剪切。具备放大缩小功能，还支持打印机直接引用（无需退出实验软件），进行结果打印。实验结果可通过Excel形式进行保存。也可将保存的数据多次调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（4）实验录制：可同时将实验操作过程和软件的实验界面进行同屏录制，实现了实验现象和数据的对应。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（5）软件在网络平台下可进行编写实验报告、发送实验报告及接收实验报告；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专用软件：界面简洁、风格独特、一键OK的特点。涵盖了人教、粤教、鲁科等教材的重点实验。明确了实验题目，使用时直接接入传感器即可。大大的方便了课堂教学。实验界面与多版本教材高度一致，完全符合现行教材。用户可直接根据教材进行实验操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2.3、传感器校准软件：根据国际计量公用应用规范，针对生物、化学传感器进行校准，以减少误差，提高精度。应用于PH、溶解氧、色度、浊度、氧化还原等传感器。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2.4、数据导入软件：和数据显示模块配合使用，将数据显示模块的数据导入电脑进行长期保存和数据处理。</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7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教师用加强型配套器材</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多用力学轨道</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1.基本配置：含1.2m铝合金轨道一条、轨道小车（滚轴）两台；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2.弹簧两根、50克配重片四块、挡光片四片（宽度分别为2、4、6、8cm）；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3.轨道座架一套、L型挂架两个及I型支架四个、滑轮一套、小车收集器一套；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4.小沙筒及4个5克配重块一组、小车缓冲装置一套、碰撞弹簧圈两个；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5.紧固件一套，受迫振动配套策动源一套。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环形线圈</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1.高灵敏度、无源、塑壳封装、带屏蔽。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2.与微电流传感器配合，可测得切割地磁场产生的感生电流，也可测得不同电器的电磁辐射强度。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数字化摩擦力实验器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1.由60cm铝合金轨道、摩擦台底座、多种摩擦块、匀速电机组成，无需外接电源。</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2.与力传感器配合使用，可实现探究摩擦面、物体重量、运动速度、接触面积等因素对摩擦力大小的影响。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3.配合力传感器可实现有线方式、无线方式、数据独立显示模式。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电阻定律实验器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由底座、刻度板面膜、接线排端子、锁扣、脚垫、直径不同的康铜、铁铬、镍铬五种金属丝构成，配合多量程电流传感器和多量程电压传感器使用，可研究导体的电阻与长度、横截面积、材料的关系。</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电磁铁实验器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1.由底座、支架、铁芯、多匝同轴线圈、扭子开关及附件构成。</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2.外壳尺寸：300mm*90mm*90mm(±5mm)。</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3.电池盒为线圈提供1.5V和3.0V的供电电压。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4.与磁传感器配合使用，分别接入不同匝数的线圈，可在通用软件中观察磁传感器所测数据的变化，完成“研究影响电磁铁磁性强弱的因素”实验。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流体压强实验器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1.由气泵、套管、外接联通软管和支架组成，与同时多个压强传感器配合使用。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2.进行实验可清晰显示气流的不同流速对应的气体压强差异，可进行用于伯努利定律的演示和实验探究。</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焦耳定律实验器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1.由量热器、底座组成，外形尺寸：140mm*140mm*157mm(±5mm)。</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2.量热器内金属丝长度为86cm±2mm，每个量热器内配置不同阻值电阻(电阻值误差为±1％)。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3.结合温度传感器实时监测焦耳定律实验器中热量变化，研究电流通过导体产生的热量与电流大小及电阻的关系。</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二力平衡实验器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驱动台(包含电机轮、滑轮×2、电机)、控制器、信号线、电源线、配重块、塑帽螺栓、牵引线、绑扎带构成，与力传感器C、传感器无线发射模块、无线接收器及钩码配合，安装于铁架台上使用，完成初中物理二力平衡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浮力定律实验器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1.由无级调节升降台、塑料烧杯、专用物块、水平杆、十字转接器及塑帽螺栓构成。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2.专用物块由5只体积为15cm³的小物块用细杆连接而成。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3.配合铁架台及力传感器使用，验证浮力定律。</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摩擦做功实验器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由铜管、支架、摩擦绳组成，与温度传感器配合使用，可完成摩擦做功使温度升高实验。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电磁波传播实验器V2.0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模块:自带液晶显示屏，内置电磁波发生器，可发射由频率为800Hz的载波与信号波调制或解调的电磁波，信号波的频率在1~8Hz范围内可调。外接天线，可通过按钮切换，调整发射正弦波、方波和三角波三种信号波，供电电源：两节5号电池。接收模块:可连接电压传感器，通过电脑观察接收到的特定电磁波波形。供电电源：两节5号电池。</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作用力与反作用力实验器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由底座、滑台、两个固定柱构成，将两个力传感器分别固定在固定柱上，通过移动其中一个固定柱上力传感器来观看两个力传感器值的大小。</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热胀冷缩实验器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由铝合金底座1个、立柱2个、不同材质金属棒2根和调节螺丝组成，与力传感器配合使用。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电学实验板 </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实验电路板：欧姆定律、导体的伏安特性、补偿法测量电池电动势、限流法测灯泡的伏安特性（限流、分压）、自感现象、电阻的串并联、伏安法测电阻、电磁感应现象。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远红外实验用加热器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1.外形尺寸：161mm*125mm*136.5mm(±1mm)。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2.由炉体、底座和电源线构成。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3.220V交流供电，功率80W，加热半小时后炉腔内温度不低于120℃。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4.圆筒型远红外辐射加热炉芯，便于对加热体均匀加热。</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5.可完成查理定律、晶体熔解和凝固、比热容等高精度热学定量实验。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玻璃导电实验器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1.由底座、专用实验板组成，外形尺寸：104mm*114mm*172mm(±5mm)。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2.底座上设有两个接线柱，与微电流传感器配合使用能够完成玻璃导电实验。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压缩气体做功实验器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由专用底座、注射器和快速响应温度探头组成，研究气体压缩或膨胀时，温度的变化</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温差电流实验器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由底座、不同材料金属框组成，与微电流传感器配合使用。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智能机械能守恒实验器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1.由铝合金底座、合金机械能实验板、释放器、圆柱型摆、固定臂、螺栓等构成。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2.实验器固定装置上的USB口与计算机可通过USB数据线建立通讯。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3.释放装置可固定及释放摆锤，摆锤落下后可以被收纳装置接收住。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4.软件表格中显示挡光片高度依次为0.15m、0.12m、0.09m、0.06m、0.03m、0m，显示挡光片宽度d=0.01m、物体质量M=0.03kg。</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5.软件可记录摆锤通过不同高度挡光片时的速度，计算出摆锤位于不同挡光片位置时的动能、势能与机械能并绘制相应的曲线变化。</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方块电路 </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方块电路系一种方便进行各种电路连接实验和演示，并可反复使用的实验系统。由6类12种共22块电路模块及若干配件组成，包含USB隔离器、USB集线器、双头充电器、USB Type-C数据线等附件组成。各个模块可通过磁吸方式拼接在一起，可实现对应电子元件的功能。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压表、电流表可同时由数据线连接至电脑，通过PC端软件展示分析实验数据；也可通过扫描屏显二维码的方式连接到移动终端（安卓或IOS系统），进行实验数据采集；电流表、电压表模块支持一键调取二维码，支持硬件调零、软件调零，支持电表小数点显示位数的手动调整；电流表模块支持三种测量范围自由切换±2A、±200mA、±20mA，满足不同实验的测量需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完成串联电路、并联电路、点亮灯泡、用电流表测电流、用电压表测电压、验证电阻定律、验证欧姆定律、伏安法测电阻、测小灯泡的电功率、描绘小灯泡的伏安特性曲线等电学实验，满足学生课程及课外自主研究电路的需求。</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液体内部压强实验器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1.由压强测量组件（包括压强探头、旋转器、标尺）、标尺固定夹、控制器、盛液桶、USB Type-C数据线构成；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2.压强测量范围：-20kPa~+20kPa；分度：0.01kPa；角度旋转范围：0°~180°；分度：1°；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3.压强传感器自带防水功能，可直接将压强传感器放入水中；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4.无需数据采集器，传感器可与专用App软件或计算机软件配套使用，实验数据可无线传输到移动端并能有线传输到计算机软件；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5.自带控制器，可自动0°~180°内调节压强传感器探头，用于测量不同方向压强，研究液体内部压强与方向的关系；</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6.自带标尺，可用于观测进入液体深度，完成液体内部压强与深度关系的实验；</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7.自带数据显示功能，可同时显示压强大小和旋转角度两个量；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8.支持压强硬件调零和软件调零；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9.可自动生成电子二维码，用于数据无线传输；</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10.自带可充电锂电池，无需外接电源。</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马德堡实验器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由马德堡实验装置（包含透明上下壳、微型压强传感器、吊环、阀门）、数据线、抽气装置构成，用于验证大气压强存在。可通过显示屏实时显示压强数据，也可采用无线的方式将数据传输到移动端。</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音频信号发生器V2.0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通过内置或接外部扬声器发出声波，声波频率200Hz~2000Hz，声音响度连续可调。</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可配合声波传感器检测音频信号进行音频分析，自带2.0寸TFT彩色液晶屏显示波形</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真空铃实验器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由真空铃罐体、抽气装置、蓝牙音箱、发泡球、隔音膜等构成。让师生既能听到声音又能看到声音的振动，近似真空中能看到振动听不到声音，突破教学难点验证“声音的传播需要介质”这一物理规律。</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流速温度仪</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传感器系统、伸缩杆及数据显示控制器三大模块组成。流速测量范围：0~4m/s，分度：0.01m/s。温度测量范围：0~50℃，分度：0.1℃。可用于水体流速和温度的测量。手持式数字显示控制器，显示水流速和水温的数据，具备一键开关机、实时流速和平均流速一键切换，一键清除及大容量数据存储、导出功能，可通过软件查看存储数据的变化曲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包含外观与结构、功能、组成、性能且有产品图片的检测报告复印件并加盖制造商公章，且内容包含：由传感器系统、收缩杆（杆长113cm）及数据显示控制器(面板尺寸64*39cm)组成；流速分度0.01m/s,温度测量范围0~50℃；屏幕可预览记录保存的流速和数值。（参照GB/T6587-2012&lt;&lt;电子测量仪器通用规范&gt;&g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多用途生化传感器支架</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1.由机械臂、传感器电极夹及固定夹组成，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2.机械臂固定在实验台边，能在三维空间内灵活移动并准确定位，稳定性好。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3.电极夹口径适合常用生化传感器的电极，方便生化实验操作，具有保护传感器不受损坏、提高空间利用率和实验效率功能。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4.机械臂长度：600mm。</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滴定实验装置</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由滴定计数器、专用滴定管、支架、转接器和螺栓组成，用于统计液滴数量、测量液滴体积。</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电磁搅拌器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磁力搅拌器由搅拌驱动器、搅拌子、电源适配器构成。最大搅拌量：2L，转速范围：200转/分钟~2000转/分钟；适用于生化实验过程中搅拌低粘稠度的液体或固液混合物。</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中和热实验器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由反应容器、硅胶塞及注射器构成。配合温度传感器、数据采集器等硬件及中和热专用软件，用于测定强酸与强碱反应的中和热实验。</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原电池实验器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配备方槽、铜锌电极，可以产生微弱电动势。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多用途密封塞 </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密封实验套件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气液相密封实验器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与生物化学传感器密闭连接，可完成陆水生植物光合作用、种子萌发、呼吸作用、酶的特性等实验。</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7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1.半透明外壳设计，内含状态、电源指示灯。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2.科学实验专用采集器，四通道并行采集，全数字通道，采样频率80K。</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3.采集器支持USB即插即用，自动监测传感器接入或拔出，无须外接电源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4.可根据实验教学需要，选择接插有线接口或无线接收实现与传感器通讯。支持有线/无线状态下的四通道并行采集。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5.可进行四路声波传感器同步显示的高频采集实验。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磁感应强度传感器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1.量程：-15mT~+15 mT；分度：0.01 mT。</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3.传感器自带硬件调零按钮并支持硬件调零功能。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1.量程：-20N~+20N；分度：0.01N。</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2.传感器手柄式结构，可用于测拉力（显示正值）和压力（显示负值）。</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3.传感器支持与采集器的有线通讯、无线通讯和独立数据显示三种工作方式。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4.传感器自带硬件调零按钮并支持硬件调零功能。</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5.传感器自带M6螺纹孔，轻松实现与多种实验装置的组装固定。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力传感器</w:t>
            </w:r>
            <w:r>
              <w:rPr>
                <w:rStyle w:val="207"/>
                <w:rFonts w:hint="eastAsia" w:ascii="宋体" w:hAnsi="宋体" w:eastAsia="宋体" w:cs="宋体"/>
                <w:sz w:val="24"/>
                <w:szCs w:val="24"/>
                <w:lang w:val="en-US" w:eastAsia="zh-CN" w:bidi="ar"/>
              </w:rPr>
              <w:t>C</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2"/>
                <w:rFonts w:hint="eastAsia" w:ascii="宋体" w:hAnsi="宋体" w:eastAsia="宋体" w:cs="宋体"/>
                <w:sz w:val="24"/>
                <w:szCs w:val="24"/>
                <w:lang w:val="en-US" w:eastAsia="zh-CN" w:bidi="ar"/>
              </w:rPr>
              <w:t>测量范围：</w:t>
            </w:r>
            <w:r>
              <w:rPr>
                <w:rStyle w:val="207"/>
                <w:rFonts w:hint="eastAsia" w:ascii="宋体" w:hAnsi="宋体" w:eastAsia="宋体" w:cs="宋体"/>
                <w:sz w:val="24"/>
                <w:szCs w:val="24"/>
                <w:lang w:val="en-US" w:eastAsia="zh-CN" w:bidi="ar"/>
              </w:rPr>
              <w:t xml:space="preserve">-50N~+50N </w:t>
            </w:r>
            <w:r>
              <w:rPr>
                <w:rStyle w:val="202"/>
                <w:rFonts w:hint="eastAsia" w:ascii="宋体" w:hAnsi="宋体" w:eastAsia="宋体" w:cs="宋体"/>
                <w:sz w:val="24"/>
                <w:szCs w:val="24"/>
                <w:lang w:val="en-US" w:eastAsia="zh-CN" w:bidi="ar"/>
              </w:rPr>
              <w:t>；分度：</w:t>
            </w:r>
            <w:r>
              <w:rPr>
                <w:rStyle w:val="207"/>
                <w:rFonts w:hint="eastAsia" w:ascii="宋体" w:hAnsi="宋体" w:eastAsia="宋体" w:cs="宋体"/>
                <w:sz w:val="24"/>
                <w:szCs w:val="24"/>
                <w:lang w:val="en-US" w:eastAsia="zh-CN" w:bidi="ar"/>
              </w:rPr>
              <w:t>0.01N</w:t>
            </w:r>
            <w:r>
              <w:rPr>
                <w:rStyle w:val="202"/>
                <w:rFonts w:hint="eastAsia" w:ascii="宋体" w:hAnsi="宋体" w:eastAsia="宋体" w:cs="宋体"/>
                <w:sz w:val="24"/>
                <w:szCs w:val="24"/>
                <w:lang w:val="en-US" w:eastAsia="zh-CN" w:bidi="ar"/>
              </w:rPr>
              <w:t>，直柄式结构，测量拉力时显示正值、压力时显示负值，支持与采集器的有线通讯、无线通讯和独立数据显示三种工作方式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位移传感器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1.量程：0cm ~200cm，分度：1mm。无测量盲区。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2.由发射器和接收器构成，接收器与采集器连接，发射器由电池供电。</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3.传感器易与现有实验装置（运动小车、弹簧振子等）组合。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光电门传感器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1.分度：2μs，用于测量挡光片（U型、I型）的挡光时间。</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2.支持与采集器的有线通讯、无线通讯工作方式。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4"/>
                <w:rFonts w:hint="eastAsia" w:ascii="宋体" w:hAnsi="宋体" w:eastAsia="宋体" w:cs="宋体"/>
                <w:sz w:val="24"/>
                <w:szCs w:val="24"/>
                <w:lang w:val="en-US" w:eastAsia="zh-CN" w:bidi="ar"/>
              </w:rPr>
              <w:t>声波/声级传感器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1.声波频率量程：20Hz~20kHz。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2.声级量程：20 dB ~120dB，分度：0.1dB。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3.传感器通过自带硬件，按钮切换测量声音的波形和强度，研究声音的频率、周期、振幅等特征。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4.支持与采集器的有线通讯、无线通讯工作方式。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5.同时无线接入4只声波传感器，可观察到4路声音波形，同步采集无延迟。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8.传感器支持Windows、苹果系统。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1.量程：-50℃~+200℃；分度：0.1℃。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2.不锈钢探针，可测各种物体或溶液的温度。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压强传感器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 kPa ~700 kPa；分度：0.1 kPa。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2.可用于直接测量气体的绝对压强，配件：20mL注射器。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3.传感器支持与采集器的有线通讯、无线通讯和独立数据显示三种工作方式。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多量程电流传感器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1.测量范围：-3A~+3A；分度：0.01A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测量范围：-300mA~+300mA；分度：1mA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测量范围：-30mA ~+30mA；分度：0.1 mA</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2.要求：为避免软件虚拟处理，传感器自带硬件选择档位，按钮切换量程。</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4.传感器自带硬件调零按钮并支持硬件调零功能。</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多量程电压传感器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1.量程1：-20V~+20V、分度：0.01V；</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 xml:space="preserve">  量程2：-2V~+2V、分度：0.001V；</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 xml:space="preserve">  量程3：-0.2V~+0.2V、分度：0.0001V；</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2.要求：为避免软件虚拟处理，传感器自带硬件选择档位，按钮切换量程。</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3.支持与采集器的有线通讯、无线通讯和独立数据显示三种工作方式。</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4.传感器自带硬件调零按钮并支持硬件调零功能。</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5.传感器自带M6螺纹孔，轻松实现与多种实验装置的组装固定。</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6.传感器连接线插口具有方向性和自锁功能，可以防止传感器脱落保证数据传输稳定。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7.传感器支持Windows、Android、苹果系统。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5"/>
                <w:rFonts w:hint="eastAsia" w:ascii="宋体" w:hAnsi="宋体" w:eastAsia="宋体" w:cs="宋体"/>
                <w:sz w:val="24"/>
                <w:szCs w:val="24"/>
                <w:lang w:val="en-US" w:eastAsia="zh-CN" w:bidi="ar"/>
              </w:rPr>
              <w:t>pH</w:t>
            </w:r>
            <w:r>
              <w:rPr>
                <w:rStyle w:val="200"/>
                <w:rFonts w:hint="eastAsia" w:ascii="宋体" w:hAnsi="宋体" w:eastAsia="宋体" w:cs="宋体"/>
                <w:sz w:val="24"/>
                <w:szCs w:val="24"/>
                <w:lang w:val="en-US" w:eastAsia="zh-CN" w:bidi="ar"/>
              </w:rPr>
              <w:t>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1.量程：0~14；分度：0.01。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电导率传感器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 mS/cm ~20mS/cm；分度：0.001 mS/cm。</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2.传感器支持与采集器的有线通讯、无线通讯和独立数据显示三种工作方式。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3.传感器自带M6螺纹孔，轻松实现与多种实验装置的组装固定。</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1.量程：0～100％，分度：0.1％。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3.传感器自带硬件校准按钮并支持硬件校准功能。</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相对湿度传感器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1.量程：0～100%，分度0.1％。</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双量程光照度传感器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1.量程：0 lx～5000 lx～50000 lx，分度：1 lx、10 lx。</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2.传感器通过自带硬件，按钮切换量程。</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3.传感器支持与采集器的有线通讯、无线通讯和独立数据显示三种工作方式。</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4.传感器自带M6螺纹孔，轻松实现与多种实验装置的组装固定。</w:t>
            </w:r>
          </w:p>
          <w:p>
            <w:pPr>
              <w:keepNext w:val="0"/>
              <w:keepLines w:val="0"/>
              <w:widowControl/>
              <w:suppressLineNumbers w:val="0"/>
              <w:jc w:val="both"/>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5.传感器连接线插口具有方向性和自锁功能，可以防止传感器脱落保证数据传输稳定。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6.传感器支持Windows、Android、苹果系统。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 ppm～50000ppm，分度10 ppm，泵式循环结构。</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2.传感器支持与采集器的有线通讯、无线通讯和独立数据显示三种工作方式。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5.传感器支持Windows、Android、苹果系统。</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心率传感器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1.量程：0次~200次，可通过专用软件实时显示心率大小以及心电心率波形。</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2.支持与采集器的有线通讯、无线通讯工作方式。</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3.传感器自带M6螺纹孔，轻松实现与多种实验装置的组装固定。</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4.传感器连接线插口具有方向性和自锁功能，可以防止传感器脱落保证数据传输稳定。</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系统专用附件</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1.含USB通讯线1条、转接器4只、传感器线4条。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2.传感器连接线具有方向性和自锁功能，插接方便、配合严密、不易脱落、方便教学。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铝合金箱</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Style w:val="208"/>
                <w:rFonts w:hint="eastAsia" w:ascii="宋体" w:hAnsi="宋体" w:eastAsia="宋体" w:cs="宋体"/>
                <w:sz w:val="24"/>
                <w:szCs w:val="24"/>
                <w:lang w:val="en-US" w:eastAsia="zh-CN" w:bidi="ar"/>
              </w:rPr>
              <w:t>尺寸：410*282*180（mm），</w:t>
            </w:r>
            <w:r>
              <w:rPr>
                <w:rStyle w:val="202"/>
                <w:rFonts w:hint="eastAsia" w:ascii="宋体" w:hAnsi="宋体" w:eastAsia="宋体" w:cs="宋体"/>
                <w:sz w:val="24"/>
                <w:szCs w:val="24"/>
                <w:lang w:val="en-US" w:eastAsia="zh-CN" w:bidi="ar"/>
              </w:rPr>
              <w:t>由铝合金主架、铝塑板面构成，内设隔断海棉内衬</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477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学生用标准配套实验器材部分</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多用力学轨道</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1.基本配置：含1.2m铝合金轨道一条、轨道小车（滚轴）两台；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2.弹簧两根、50克配重片四块、挡光片四片（宽度分别为2、4、6、8cm）；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3.轨道座架一套、L型挂架两个及I型支架四个、滑轮一套、小车收集器一套；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4.小沙筒及4个5克配重块一组、小车缓冲装置一套、碰撞弹簧圈两个；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5.紧固件一套，受迫振动配套策动源一套。</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二力平衡实验器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驱动台(包含电机轮、滑轮×2、电机)、控制器、信号线、电源线、配重块、塑帽螺栓、牵引线、绑扎带构成，与力传感器C、传感器无线发射模块、无线接收器及钩码配合，安装于铁架台上使用，完成初中物理二力平衡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电磁铁实验器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1.由底座、支架、铁芯、多匝同轴线圈、扭子开关及附件构成。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2.外壳尺寸：300mm*90mm*90mm(±5mm)。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3.电池盒为线圈提供1.5V和3.0V的供电电压。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4.与磁传感器配合使用，分别接入不同匝数的线圈，可在通用软件中观察磁传感器所测数据的变化，完成“研究影响电磁铁磁性强弱的因素”实验。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数字化摩擦力实验器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1.由60cm铝合金轨道、摩擦台底座、多种摩擦块、匀速电机组成，无需外接电源。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2.与力传感器配合使用，可实现探究摩擦面、物体重量、运动速度、接触面积等因素对摩擦力大小的影响。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3.配合力传感器可实现有线方式、无线方式、数据独立显示模式。</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浮力定律实验器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1.由无级调节升降台、塑料烧杯、专用物块、水平杆、十字转接器及塑帽螺栓构成。</w:t>
            </w:r>
          </w:p>
          <w:p>
            <w:pPr>
              <w:keepNext w:val="0"/>
              <w:keepLines w:val="0"/>
              <w:widowControl/>
              <w:suppressLineNumbers w:val="0"/>
              <w:jc w:val="left"/>
              <w:textAlignment w:val="center"/>
              <w:rPr>
                <w:rStyle w:val="200"/>
                <w:rFonts w:hint="eastAsia" w:ascii="宋体" w:hAnsi="宋体" w:eastAsia="宋体" w:cs="宋体"/>
                <w:sz w:val="24"/>
                <w:szCs w:val="24"/>
                <w:lang w:val="en-US" w:eastAsia="zh-CN" w:bidi="ar"/>
              </w:rPr>
            </w:pPr>
            <w:r>
              <w:rPr>
                <w:rStyle w:val="200"/>
                <w:rFonts w:hint="eastAsia" w:ascii="宋体" w:hAnsi="宋体" w:eastAsia="宋体" w:cs="宋体"/>
                <w:sz w:val="24"/>
                <w:szCs w:val="24"/>
                <w:lang w:val="en-US" w:eastAsia="zh-CN" w:bidi="ar"/>
              </w:rPr>
              <w:t>2.专用物块由5只体积为15cm³的小物块用细杆连接而成。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00"/>
                <w:rFonts w:hint="eastAsia" w:ascii="宋体" w:hAnsi="宋体" w:eastAsia="宋体" w:cs="宋体"/>
                <w:sz w:val="24"/>
                <w:szCs w:val="24"/>
                <w:lang w:val="en-US" w:eastAsia="zh-CN" w:bidi="ar"/>
              </w:rPr>
              <w:t>3.配合铁架台及力传感器使用，验证浮力定律。</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电阻定律实验器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由底座、刻度板面膜、接线排端子、锁扣、脚垫、直径不同的康铜、铁铬、镍铬五种金属丝构成，配合多量程电流传感器和多量程电压传感器使用，可研究导体的电阻与长度、横截面积、材料的关系。</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环形线圈</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1.高灵敏度、无源、塑壳封装、带屏蔽。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2.与微电流传感器配合，可测得切割地磁场产生的感生电流，也可测得不同电器的电磁辐射强度。</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初中版电学实验板</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实验电路板：欧姆定律、导体的伏安特性、补偿法测量电池电动势、限流法测灯泡的伏安特性（限流、分压）、自感现象、电阻的串并联、伏安法测电阻、电磁感应现象。</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热胀冷缩实验器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由铝合金底座1个、立柱2个、不同材质金属棒2根和调节螺丝组成，与力传感器配合使用。</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滴定实验装置</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由滴定计数器、专用滴定管、支架、转接器和螺栓组成，用于统计液滴数量、测量液滴体积。</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远红外实验用加热器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1.外形尺寸：161mm*125mm*136.5mm(±1mm)。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2.由炉体、底座和电源线构成。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3.220V交流供电，功率80W，加热半小时后炉腔内温度不低于120℃。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4.圆筒型远红外辐射加热炉芯，便于对加热体均匀加热。</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5.可完成查理定律、晶体熔解和凝固、比热容等高精度热学定量实验。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晶体熔解与凝固实验器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实验器包含合金材料的试管支架及温度传感器支架2个，试管及橡皮圈2个。</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中和热实验器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由反应容器、硅胶塞及注射器构成。配合温度传感器、数据采集器等硬件及中和热专用软件，用于测定强酸与强碱反应的中和热实验。</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原电池实验器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配备方槽、铜锌电极，可以产生微弱电动势。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气液相密封实验器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与生物化学传感器密闭连接，可完成陆水生植物光合作用、种子萌发、呼吸作用、酶的特性等实验。</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摩擦做功实验器</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由铜管、支架、摩擦绳组成，与温度传感器配合使用，可完成摩擦做功使温度升高实验。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电磁搅拌器</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磁力搅拌器由搅拌驱动器、搅拌子、电源适配器构成。最大搅拌量：2L，转速范围：200转/分钟~2000转/分钟；适用于生化实验过程中搅拌低粘稠度的液体或固液混合物。</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数据采集系统终端</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本产品搭载 i5处理器，屏幕尺寸不低于14英寸。拥有不低于24GB+1T大容量存储，具有高清接口，支持蓝牙可与无线模块的传感器进行数据的无线传输。具有USB可连接数据采集器，系统搭设数字化实验分析软件，可配合传感器进行数字化实验。</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老师演示讲台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2800*700*900mm</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1.全钢结构；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采用国内12.7mm厚实验室专用理化板,台面边缘用同质材料板双层加厚至25.4mm，耐酸、耐碱、耐高温，坚固耐用，防潮、无细孔、不膨胀、不龟裂、不变形、不导电、便于维护及具有良好的承重性能；各项性能满足或优于如下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2.1参照GB18585-2001或GB18586-2001等国家标准，经国家化学建筑材料测试中心检测，重金属铅、镉等未检出。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2.2参照GB 18580-2017检测，甲醛释放量≤0.024mg/M3，满足E1级≤0.124mg/M3技术限量要求。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2.3参照GB/T 2408-2021《塑料燃烧性能的测定 水平法和垂直法》和依据GB 8624-2012《建筑材料及制品燃烧性能分级》作为检测或判定依据进行检测，结果达B1级，烟气毒性项目符合t1级要求；水平燃烧符合HB级，垂直燃烧符合V-0级。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2.4具有不少于180项以上高关注度物质（SVHC）检验报告；检验结果合格。</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2.5防霉性能：依据GB/T24128-2018或JC/T 2039-2010等方法检测黑曲霉、土曲霉、球毛壳霉、宛氏拟青霉、绳状青霉、出芽短梗霉、长枝木霉等不少于7种的霉菌检测结果≤1级。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3.柜体：采用1.0mm优质高强度镀锌钢板，采用CO2保护焊焊接，打磨处理，表面经耐酸碱EPOXY粉末烤漆处理；整体结构设计合理，预留电脑主机、键盘托、实物展台、教师电源位置；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4.拉手：采用C型不锈钢拉手，造型独特美观；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5.防撞胶垫：装于抽屉及门板内侧，减缓碰撞，保护柜体；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6.门板及抽面：采用双层钢板，必须两层组装是设计，保证两层双面都喷涂处理，中间采用隔音材料，保证关门减少噪音；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7.耐腐蚀连接件：采用专用连接组装件；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8.不锈钢防腐合页：采用优质不锈钢模具一体成型，强度必须达到一个正常成年座在门上方合页不脱落；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9.防腐三节静音导轨：三节重型滚珠滑轨，承重性强，滑动性能良好，无噪音；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10.固定桌脚：采用柜体内置可调ABS调整脚，保证调整脚前后都可以调节高低。不锈钢防腐合页技术要求满足：GB/T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检测结果：10级，防腐三节静音导轨技术要求满足：GB/T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高强度镀锌钢板技术要求满足：GB/T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学生实验台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2600*1200*780mm</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1.新型塑铝结构。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采用国内12.7mm厚实验室专用理化板,台面边缘用同质材料板双层加厚至25.4mm，耐酸、耐碱、耐高温，坚固耐用，防潮、无细孔、不膨胀、不龟裂、不变形、不导电、便于维护及具有良好的承重性能；各项性能满足或优于如下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★2.1参照GB18585-2001或GB18586-2001等国家标准，经国家化学建筑材料测试中心检测，重金属铅、镉等未检出。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★2.2参照GB 18580-2017检测，甲醛释放量≤0.024mg/M3，满足E1级≤0.124mg/M3技术限量要求。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★2.3参照GB/T 2408-2021《塑料燃烧性能的测定 水平法和垂直法》和依据GB 8624-2012《建筑材料及制品燃烧性能分级》作为检测或判定依据进行检测，结果达B1级，烟气毒性项目符合t1级要求；水平燃烧符合HB级，垂直燃烧符合V-0级。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★2.4具有不少于180项以上高关注度物质（SVHC）检验报告；检验结果合格。</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★2.5防霉性能：依据GB/T24128-2018或JC/T 2039-2010等方法检测黑曲霉、土曲霉、球毛壳霉、宛氏拟青霉、绳状青霉、出芽短梗霉、长枝木霉等不少于7种的霉菌检测结果≤1级。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3.柜体：采用1.0mm优质高强度镀锌钢板，采用CO2保护焊焊接，打磨处理，表面经耐酸碱EPOXY粉末烤漆处理；整体结构设计合理，预留电脑主机、键盘托、实物展台、教师电源位置；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4.拉手：采用C型不锈钢拉手，造型独特美观；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5.防撞胶垫：装于抽屉及门板内侧，减缓碰撞，保护柜体；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6.门板及抽面：采用双层钢板，必须两层组装是设计，保证两层双面都喷涂处理，中间采用隔音材料，保证关门减少噪音；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7.耐腐蚀连接件：采用专用连接组装件；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8.不锈钢防腐合页：采用优质不锈钢模具一体成型，强度必须达到一个正常成年座在门上方合页不脱落；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9.防腐三节静音导轨：三节重型滚珠滑轨，承重性强，滑动性能良好，无噪音；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10.固定桌脚：采用柜体内置可调ABS调整脚，保证调整脚前后都可以调节高低。★不锈钢防腐合页技术要求满足：GB/T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检测结果：10级★防腐三节静音导轨技术要求满足：GB/T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★高强度镀锌钢板技术要求满足：GB/T 10125-2012 人造气氛腐蚀试验 盐雾试验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GB/T 6461-2002  金属基体上金属和其他无机覆盖层 经腐蚀试验后的试样和试件的评级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盐雾试验：72h中性盐雾试验 检测结果：10级。投标人提供满足以上“★”技术参数要求带CMA或CNAS认证检测报告复印件并加盖投标人公章装订标书中。</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实验室专用水槽</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800*450*300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采用实验室专用高密度PP一体化成型水槽，易清洁，耐腐蚀，且利于台面残水自然回流；具耐酸碱、耐有机溶剂、耐紫外线等特点。</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三联高低位龙头</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实验凳</w:t>
            </w:r>
          </w:p>
        </w:tc>
        <w:tc>
          <w:tcPr>
            <w:tcW w:w="2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4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演示电源</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500*260mm</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1.教师演示台配备总漏电保护和分组保护，可分组控制学生的高低压电源，确保学生实验安全方便；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2.教师电源总控采用7寸"电阻式"液晶屏，显示智能控制按键同时显示电源电压；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3.教师交流电源通过智能控制按键直接选取0～24V电压，最小调节单元可达1V,额定电流3A；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4.教师直流电源也是通过智能控制按键直接选取，调节范围为1.5～24V，分辨率可达0.1V,额定电流3A；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5.低压大电流值为40A，自动关断；</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6.220V交流输出为带安全门的新国标插座，带有电源指示，学生低压交流电源可通过智能控制按键直接选取0～24V电压，最小调节单元为1V，组输送至学生桌；低压直流电压教师能准确控制，最小调节单元为0.1V。</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顶部多模块电源供应装置</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采用ABS材质，模具一体成型。模块内预留220V高压电源、0-24V低压电源、网络接口位置。顶部多模块电源供应装置技术要求满足：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★2、电压调节范围，V.:AC\DC:0～30V；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3、内部导线连接：连线后应无应力；黄绿双色线必须是接地端子，部分固定牢固，无松动现象；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★4、电压指示精度，V:显示值与输出值之间的误差应在±2V以内。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投标人提供满足以上“★”技术参数要求的具有资质的第三方检测机构出具的检测报告原件扫描件并加盖投标人公章放入投标文件中。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模块储藏装置</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373*373*130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采用ABS材质，模具一体成型。四周带氛围灯设计。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低压电源模块</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1.5-24V</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1、教师主控型，学生低压电源都可接收主控电源发送的锁定信号，在锁定指示灯点亮后，学生接收老师输送的设定电源电压，教师锁定时,学生自己无法操作，这样可避免学生的误操作。可以分组或独立控制；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2、学生电源采用耐磨、耐腐蚀、耐高温的PC亮光薄膜面板，学生电源的控制采用按钮式按键，可以随意设置电压，贴片元件生产技术，微电脑控制，采用1.38寸液晶显示电源学生交直流电压；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3、学生交流电源通过上下键0～24V电压，最小调节单元可达1V,额定电流2A；</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4、学生直流电源也是通过上下键选取，调节范围为1.5～24V，分辨率可达0.1V,额定电流2.5A。低压电源模块技术要求满足：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★2、电压调节范围，V.:AC/DC:0～30V；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3、内部导线连接：连线后应无应力；黄绿双色线必须是接地端子，部分固定牢固，无松动现象；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★4、电压指示精度，V:显示值与输出值之间的误差应在±2V以内。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投标人提供满足以上“★”技术参数要求的具有资质的第三方检测机构出具的检测报告原件扫描件并加盖投标人公章放入投标文件中。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伸缩线缆</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含高低压供电线缆和网络线缆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高压电源模块</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采用220V，多功能安全插座;</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升降模块</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520*390*100</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采用自动升降系统，自带保护功能</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综合布线</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2.5平方电线，给学生低压电源供电；1平方屏蔽电源线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安装支架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环氧树脂喷涂金属吊杆</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安装辅件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国标五金件（不含桁架）</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铝合金万向罩</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四节</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1.关节：高密度PP材质表面磨砂，优化了视觉美感和手握触感可360°旋转调节方向。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2.关节密封圈：不易老化之高密度橡胶。在关节之间随着旋钮压力加大而产生阻尼效果。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3.关节连接杆：304不锈钢双头锁杆。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4.关节盖：高密度PP材质表面磨砂，一面嵌入铜质滚花螺母，四周采用自锁式倒扣拆装方便。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5.关节松紧选钮：高密度PP材质，内置微形平面推力不锈钢轴承，与关节连接杆锁合。</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6.铝合金万向罩口：直径253mm，高密度铝合金制成。防止做实验时着火出现危险，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7.伸缩导管：4节直径60mm的6系专业抗氧化抗腐蚀的镁硅铝合金，表面做特氟龙表面处理，耐酸、耐碱、耐划痕。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8.旋转关节：6系专业抗氧化抗腐蚀的镁硅铝合金，在下部设计增加旋转功能，内部设计PVC离合结构。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9.扭簧：使用90度的4mm专用弹簧钢抗氧化处理，防止吸风罩整体滑下。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10.安装后可根据使用需要达到三维360度任意转停，集气罩吸气角度360度任意转停。整体美观大方，吻合高水准专业实验室。</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万向吸风罩底座</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固定底座：6系专业抗氧化抗腐蚀的镁硅铝合金，根据不同的组合方式可选择丝口和挂口结构，拆装方便。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集成系统调试</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升降功能、高低压电源系统调试</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实验室环境改造</w:t>
            </w:r>
          </w:p>
        </w:tc>
        <w:tc>
          <w:tcPr>
            <w:tcW w:w="2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铝扣板吊顶，教室主体顶部为38主龙骨或卡式龙骨配50付骨基层，吊丝、膨胀栓固定铝扣板（600*600mm 厚0.8mm）吊顶。</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 xml:space="preserve">、有关说明： </w:t>
      </w:r>
    </w:p>
    <w:p>
      <w:pPr>
        <w:spacing w:line="360" w:lineRule="auto"/>
        <w:rPr>
          <w:rFonts w:ascii="宋体" w:hAnsi="宋体" w:cs="宋体"/>
          <w:color w:val="auto"/>
          <w:sz w:val="24"/>
        </w:rPr>
      </w:pPr>
      <w:r>
        <w:rPr>
          <w:rFonts w:hint="eastAsia" w:ascii="宋体" w:hAnsi="宋体" w:cs="宋体"/>
          <w:color w:val="auto"/>
          <w:sz w:val="24"/>
        </w:rPr>
        <w:t>1、招标报价包括但不限于产品制作、供应、运输、安装，调试及有关技术、服务等一切有关的为完成本项目发生的所有费用，招标文件中另有规定的除外。</w:t>
      </w:r>
    </w:p>
    <w:p>
      <w:pPr>
        <w:spacing w:line="360" w:lineRule="auto"/>
        <w:rPr>
          <w:rFonts w:ascii="宋体" w:hAnsi="宋体" w:cs="宋体"/>
          <w:color w:val="auto"/>
          <w:sz w:val="24"/>
        </w:rPr>
      </w:pPr>
      <w:r>
        <w:rPr>
          <w:rFonts w:hint="eastAsia" w:ascii="宋体" w:hAnsi="宋体" w:cs="宋体"/>
          <w:color w:val="auto"/>
          <w:sz w:val="24"/>
        </w:rPr>
        <w:t>2、投标人必须在满足采购文件要求的基础上进行报价，对采购需求的响应情况应在《采购需求响应表》中详细说明。</w:t>
      </w:r>
    </w:p>
    <w:p>
      <w:pPr>
        <w:spacing w:line="360" w:lineRule="auto"/>
        <w:rPr>
          <w:rFonts w:ascii="宋体" w:hAnsi="宋体" w:cs="宋体"/>
          <w:color w:val="auto"/>
          <w:sz w:val="24"/>
        </w:rPr>
      </w:pPr>
      <w:r>
        <w:rPr>
          <w:rFonts w:hint="eastAsia" w:ascii="宋体" w:hAnsi="宋体" w:cs="宋体"/>
          <w:color w:val="auto"/>
          <w:sz w:val="24"/>
        </w:rPr>
        <w:t>3、质保期：三年。</w:t>
      </w:r>
    </w:p>
    <w:p>
      <w:pPr>
        <w:spacing w:line="360" w:lineRule="auto"/>
        <w:rPr>
          <w:rFonts w:ascii="宋体" w:hAnsi="宋体" w:cs="宋体"/>
          <w:color w:val="auto"/>
          <w:sz w:val="24"/>
        </w:rPr>
      </w:pPr>
      <w:r>
        <w:rPr>
          <w:rFonts w:hint="eastAsia" w:ascii="宋体" w:hAnsi="宋体" w:cs="宋体"/>
          <w:color w:val="auto"/>
          <w:sz w:val="24"/>
        </w:rPr>
        <w:t>4、质量要求：符合国家质量标准，一次性验收100%合格。</w:t>
      </w:r>
    </w:p>
    <w:p>
      <w:pPr>
        <w:spacing w:line="360" w:lineRule="auto"/>
        <w:rPr>
          <w:rFonts w:ascii="宋体" w:hAnsi="宋体" w:cs="宋体"/>
          <w:color w:val="auto"/>
          <w:sz w:val="24"/>
        </w:rPr>
      </w:pPr>
      <w:r>
        <w:rPr>
          <w:rFonts w:hint="eastAsia" w:ascii="宋体" w:hAnsi="宋体" w:cs="宋体"/>
          <w:color w:val="auto"/>
          <w:sz w:val="24"/>
        </w:rPr>
        <w:t>5、售后服务要求：采购方报修后，需2小时内上门，当天解决问题。如遇硬件问题，当天不能解决，需在报修后第二个工作日内提供备用设备。</w:t>
      </w:r>
    </w:p>
    <w:p>
      <w:pPr>
        <w:spacing w:line="360" w:lineRule="auto"/>
        <w:rPr>
          <w:rFonts w:ascii="宋体" w:hAnsi="宋体" w:cs="宋体"/>
          <w:color w:val="auto"/>
          <w:sz w:val="24"/>
          <w:highlight w:val="none"/>
        </w:rPr>
      </w:pPr>
      <w:r>
        <w:rPr>
          <w:rFonts w:hint="eastAsia" w:ascii="宋体" w:hAnsi="宋体" w:cs="宋体"/>
          <w:color w:val="auto"/>
          <w:sz w:val="24"/>
        </w:rPr>
        <w:t>6、质量及验收：采购人根据国家有关规定</w:t>
      </w:r>
      <w:r>
        <w:rPr>
          <w:rFonts w:hint="eastAsia" w:ascii="宋体" w:hAnsi="宋体" w:cs="宋体"/>
          <w:color w:val="auto"/>
          <w:sz w:val="24"/>
          <w:highlight w:val="none"/>
        </w:rPr>
        <w:t>、采购文件、中标人的投标文件以及合同约定的内容和验收标准进行验收。验收情况作为支付货款的依据。如有质疑以相关质量技术检验检测机构的检验结果为准，如产生检验费用，则该费用由中标方承担。</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付款方式：合同签订后，预付合同总价款的30%，</w:t>
      </w:r>
      <w:r>
        <w:rPr>
          <w:rFonts w:hint="eastAsia" w:ascii="宋体" w:hAnsi="宋体"/>
          <w:bCs/>
          <w:color w:val="auto"/>
          <w:sz w:val="24"/>
          <w:highlight w:val="none"/>
        </w:rPr>
        <w:t>验收合格后</w:t>
      </w:r>
      <w:r>
        <w:rPr>
          <w:rFonts w:hint="eastAsia" w:ascii="宋体" w:hAnsi="宋体"/>
          <w:bCs/>
          <w:color w:val="auto"/>
          <w:sz w:val="24"/>
          <w:highlight w:val="none"/>
          <w:lang w:val="en-US" w:eastAsia="zh-CN"/>
        </w:rPr>
        <w:t>于2024年</w:t>
      </w:r>
      <w:r>
        <w:rPr>
          <w:rFonts w:hint="eastAsia" w:ascii="宋体" w:hAnsi="宋体"/>
          <w:bCs/>
          <w:color w:val="auto"/>
          <w:sz w:val="24"/>
          <w:highlight w:val="none"/>
        </w:rPr>
        <w:t>支付</w:t>
      </w:r>
      <w:r>
        <w:rPr>
          <w:rFonts w:hint="eastAsia" w:ascii="宋体" w:hAnsi="宋体"/>
          <w:bCs/>
          <w:color w:val="auto"/>
          <w:sz w:val="24"/>
          <w:highlight w:val="none"/>
          <w:lang w:val="en-US" w:eastAsia="zh-CN"/>
        </w:rPr>
        <w:t>至</w:t>
      </w:r>
      <w:r>
        <w:rPr>
          <w:rFonts w:hint="eastAsia" w:ascii="宋体" w:hAnsi="宋体"/>
          <w:bCs/>
          <w:color w:val="auto"/>
          <w:sz w:val="24"/>
          <w:highlight w:val="none"/>
        </w:rPr>
        <w:t>中标价款的90％，余款</w:t>
      </w:r>
      <w:r>
        <w:rPr>
          <w:rFonts w:hint="eastAsia" w:ascii="宋体" w:hAnsi="宋体"/>
          <w:bCs/>
          <w:color w:val="auto"/>
          <w:sz w:val="24"/>
          <w:highlight w:val="none"/>
          <w:lang w:val="en-US" w:eastAsia="zh-CN"/>
        </w:rPr>
        <w:t>于质保期满后</w:t>
      </w:r>
      <w:r>
        <w:rPr>
          <w:rFonts w:hint="eastAsia" w:ascii="宋体" w:hAnsi="宋体"/>
          <w:bCs/>
          <w:color w:val="auto"/>
          <w:sz w:val="24"/>
          <w:highlight w:val="none"/>
        </w:rPr>
        <w:t>付清。</w:t>
      </w:r>
      <w:r>
        <w:rPr>
          <w:rFonts w:hint="eastAsia" w:ascii="宋体" w:hAnsi="宋体" w:cs="宋体"/>
          <w:color w:val="auto"/>
          <w:sz w:val="24"/>
          <w:highlight w:val="none"/>
          <w:lang w:val="en-US" w:eastAsia="zh-CN"/>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为确保本项目能提供符合要求的产品，中标人在签订合同前需提供投标文件中所涉及的所有检测报告的原件。</w:t>
      </w:r>
      <w:bookmarkStart w:id="2" w:name="_GoBack"/>
      <w:bookmarkEnd w:id="2"/>
    </w:p>
    <w:p>
      <w:pPr>
        <w:numPr>
          <w:ilvl w:val="1"/>
          <w:numId w:val="0"/>
        </w:numPr>
        <w:tabs>
          <w:tab w:val="left" w:pos="525"/>
          <w:tab w:val="left" w:pos="945"/>
        </w:tabs>
        <w:spacing w:line="360" w:lineRule="auto"/>
        <w:ind w:firstLine="525"/>
        <w:jc w:val="center"/>
        <w:rPr>
          <w:rFonts w:ascii="黑体" w:eastAsia="黑体"/>
          <w:b/>
          <w:color w:val="000000" w:themeColor="text1"/>
          <w:sz w:val="44"/>
          <w:szCs w:val="44"/>
          <w14:textFill>
            <w14:solidFill>
              <w14:schemeClr w14:val="tx1"/>
            </w14:solidFill>
          </w14:textFill>
        </w:rPr>
      </w:pPr>
      <w:r>
        <w:rPr>
          <w:rFonts w:hint="eastAsia" w:ascii="宋体" w:hAnsi="宋体"/>
          <w:bCs/>
          <w:color w:val="000000" w:themeColor="text1"/>
          <w:sz w:val="24"/>
          <w14:textFill>
            <w14:solidFill>
              <w14:schemeClr w14:val="tx1"/>
            </w14:solidFill>
          </w14:textFill>
        </w:rPr>
        <w:br w:type="page" w:clear="all"/>
      </w:r>
      <w:r>
        <w:rPr>
          <w:rFonts w:hint="eastAsia" w:ascii="宋体" w:hAnsi="宋体"/>
          <w:color w:val="000000" w:themeColor="text1"/>
          <w:sz w:val="24"/>
          <w14:textFill>
            <w14:solidFill>
              <w14:schemeClr w14:val="tx1"/>
            </w14:solidFill>
          </w14:textFill>
        </w:rPr>
        <w:t xml:space="preserve"> </w:t>
      </w:r>
      <w:r>
        <w:rPr>
          <w:rFonts w:hint="eastAsia" w:ascii="黑体" w:eastAsia="黑体"/>
          <w:b/>
          <w:color w:val="000000" w:themeColor="text1"/>
          <w:sz w:val="44"/>
          <w:szCs w:val="44"/>
          <w14:textFill>
            <w14:solidFill>
              <w14:schemeClr w14:val="tx1"/>
            </w14:solidFill>
          </w14:textFill>
        </w:rPr>
        <w:t>第四部分．合同书</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需方（采购人）：</w:t>
      </w:r>
      <w:r>
        <w:rPr>
          <w:rFonts w:hint="eastAsia" w:ascii="宋体" w:hAnsi="宋体"/>
          <w:bCs/>
          <w:color w:val="000000" w:themeColor="text1"/>
          <w:sz w:val="24"/>
          <w:u w:val="single"/>
          <w14:textFill>
            <w14:solidFill>
              <w14:schemeClr w14:val="tx1"/>
            </w14:solidFill>
          </w14:textFill>
        </w:rPr>
        <w:t>无锡市华庄中学；</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供方（中标方）：</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政府采购编号：</w:t>
      </w:r>
      <w:r>
        <w:rPr>
          <w:rFonts w:hint="eastAsia" w:ascii="宋体" w:hAnsi="宋体"/>
          <w:bCs/>
          <w:color w:val="000000" w:themeColor="text1"/>
          <w:sz w:val="24"/>
          <w:u w:val="single"/>
          <w14:textFill>
            <w14:solidFill>
              <w14:schemeClr w14:val="tx1"/>
            </w14:solidFill>
          </w14:textFill>
        </w:rPr>
        <w:t>JSZC-320292-BZDL-G2024-0044；</w:t>
      </w:r>
      <w:r>
        <w:rPr>
          <w:rFonts w:ascii="宋体" w:hAnsi="宋体"/>
          <w:bCs/>
          <w:color w:val="000000" w:themeColor="text1"/>
          <w:sz w:val="24"/>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采购内容：</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中标总金额：（大写）</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；（小写）</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质量和包装要求及验收标准：</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交货期或完工期：</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交货地点和方式：</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货款支付步骤和办法：</w:t>
      </w:r>
      <w:r>
        <w:rPr>
          <w:rFonts w:hint="eastAsia" w:ascii="宋体" w:hAnsi="宋体"/>
          <w:bCs/>
          <w:color w:val="000000" w:themeColor="text1"/>
          <w:sz w:val="24"/>
          <w:u w:val="single"/>
          <w:lang w:val="en-US" w:eastAsia="zh-CN"/>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售后服务：</w:t>
      </w:r>
      <w:r>
        <w:rPr>
          <w:rFonts w:hint="eastAsia" w:ascii="宋体" w:hAnsi="宋体"/>
          <w:bCs/>
          <w:color w:val="000000" w:themeColor="text1"/>
          <w:sz w:val="24"/>
          <w:u w:val="single"/>
          <w14:textFill>
            <w14:solidFill>
              <w14:schemeClr w14:val="tx1"/>
            </w14:solidFill>
          </w14:textFill>
        </w:rPr>
        <w:t xml:space="preserve">                                                             ；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违约责任：</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解决争议的方</w:t>
      </w:r>
      <w:r>
        <w:rPr>
          <w:rFonts w:hint="eastAsia" w:ascii="宋体" w:hAnsi="宋体"/>
          <w:color w:val="000000" w:themeColor="text1"/>
          <w:sz w:val="24"/>
          <w14:textFill>
            <w14:solidFill>
              <w14:schemeClr w14:val="tx1"/>
            </w14:solidFill>
          </w14:textFill>
        </w:rPr>
        <w:t>式：</w:t>
      </w:r>
      <w:r>
        <w:rPr>
          <w:rFonts w:hint="eastAsia" w:ascii="宋体" w:hAnsi="宋体"/>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其它事项：</w:t>
      </w:r>
      <w:r>
        <w:rPr>
          <w:rFonts w:hint="eastAsia" w:ascii="宋体" w:hAnsi="宋体"/>
          <w:bCs/>
          <w:color w:val="000000" w:themeColor="text1"/>
          <w:sz w:val="24"/>
          <w:u w:val="single"/>
          <w14:textFill>
            <w14:solidFill>
              <w14:schemeClr w14:val="tx1"/>
            </w14:solidFill>
          </w14:textFill>
        </w:rPr>
        <w:t xml:space="preserve">                                                             ；</w:t>
      </w:r>
    </w:p>
    <w:p>
      <w:pPr>
        <w:numPr>
          <w:ilvl w:val="0"/>
          <w:numId w:val="8"/>
        </w:numPr>
        <w:tabs>
          <w:tab w:val="left" w:pos="210"/>
          <w:tab w:val="left" w:pos="840"/>
          <w:tab w:val="left" w:pos="1260"/>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合同不可分割部分：</w:t>
      </w:r>
    </w:p>
    <w:p>
      <w:pPr>
        <w:tabs>
          <w:tab w:val="left" w:pos="210"/>
          <w:tab w:val="left" w:pos="420"/>
          <w:tab w:val="left" w:pos="1155"/>
        </w:tabs>
        <w:spacing w:line="44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招标文件、投标文件、合同条款及中标通知书，供方在投标、评标过程中所作其它有关承诺、声明、书面澄清等均为合同不可分割的部分，与主合同具有同等法律效力。</w:t>
      </w:r>
    </w:p>
    <w:p>
      <w:pPr>
        <w:numPr>
          <w:ilvl w:val="0"/>
          <w:numId w:val="8"/>
        </w:numPr>
        <w:tabs>
          <w:tab w:val="left" w:pos="210"/>
          <w:tab w:val="left" w:pos="840"/>
          <w:tab w:val="left" w:pos="1155"/>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合同备案：</w:t>
      </w:r>
    </w:p>
    <w:p>
      <w:pPr>
        <w:tabs>
          <w:tab w:val="left" w:pos="210"/>
          <w:tab w:val="left" w:pos="735"/>
          <w:tab w:val="left" w:pos="1155"/>
        </w:tabs>
        <w:spacing w:line="44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合同一式伍份，供需双方各执贰份、招标代理执壹份。</w:t>
      </w:r>
    </w:p>
    <w:p>
      <w:pPr>
        <w:numPr>
          <w:ilvl w:val="0"/>
          <w:numId w:val="8"/>
        </w:numPr>
        <w:tabs>
          <w:tab w:val="left" w:pos="210"/>
          <w:tab w:val="left" w:pos="840"/>
          <w:tab w:val="left" w:pos="1155"/>
        </w:tabs>
        <w:spacing w:line="440" w:lineRule="exact"/>
        <w:ind w:left="0"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合同生效：</w:t>
      </w:r>
    </w:p>
    <w:p>
      <w:pPr>
        <w:tabs>
          <w:tab w:val="left" w:pos="210"/>
          <w:tab w:val="left" w:pos="840"/>
          <w:tab w:val="left" w:pos="1155"/>
        </w:tabs>
        <w:spacing w:line="44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本合同由供需双方签字、盖章，并经招标代理见证后生效。</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需方（采购人）：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（盖章）    供方（中标方）：</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（盖章）</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法定（授权）代表人：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法定（授权）代表人：</w:t>
      </w:r>
      <w:r>
        <w:rPr>
          <w:rFonts w:hint="eastAsia" w:ascii="宋体" w:hAnsi="宋体"/>
          <w:bCs/>
          <w:color w:val="000000" w:themeColor="text1"/>
          <w:sz w:val="24"/>
          <w:u w:val="single"/>
          <w14:textFill>
            <w14:solidFill>
              <w14:schemeClr w14:val="tx1"/>
            </w14:solidFill>
          </w14:textFill>
        </w:rPr>
        <w:t xml:space="preserve">                   </w:t>
      </w:r>
    </w:p>
    <w:p>
      <w:pPr>
        <w:spacing w:line="440" w:lineRule="exact"/>
        <w:ind w:firstLine="144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日               </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日                               </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见证方：                      （盖章）       供方户名：</w:t>
      </w:r>
      <w:r>
        <w:rPr>
          <w:rFonts w:hint="eastAsia" w:ascii="宋体" w:hAnsi="宋体"/>
          <w:bCs/>
          <w:color w:val="000000" w:themeColor="text1"/>
          <w:sz w:val="24"/>
          <w:u w:val="single"/>
          <w14:textFill>
            <w14:solidFill>
              <w14:schemeClr w14:val="tx1"/>
            </w14:solidFill>
          </w14:textFill>
        </w:rPr>
        <w:t xml:space="preserve">                           </w:t>
      </w:r>
    </w:p>
    <w:p>
      <w:pPr>
        <w:spacing w:line="440" w:lineRule="exact"/>
        <w:ind w:firstLine="24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供方开户银行：</w:t>
      </w:r>
      <w:r>
        <w:rPr>
          <w:rFonts w:hint="eastAsia" w:ascii="宋体" w:hAnsi="宋体"/>
          <w:bCs/>
          <w:color w:val="000000" w:themeColor="text1"/>
          <w:sz w:val="24"/>
          <w:u w:val="single"/>
          <w14:textFill>
            <w14:solidFill>
              <w14:schemeClr w14:val="tx1"/>
            </w14:solidFill>
          </w14:textFill>
        </w:rPr>
        <w:t xml:space="preserve">                       </w:t>
      </w:r>
    </w:p>
    <w:p>
      <w:pPr>
        <w:spacing w:line="440" w:lineRule="exact"/>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     供方账号：</w:t>
      </w:r>
      <w:r>
        <w:rPr>
          <w:rFonts w:hint="eastAsia" w:ascii="宋体" w:hAnsi="宋体"/>
          <w:bCs/>
          <w:color w:val="000000" w:themeColor="text1"/>
          <w:sz w:val="24"/>
          <w:u w:val="single"/>
          <w14:textFill>
            <w14:solidFill>
              <w14:schemeClr w14:val="tx1"/>
            </w14:solidFill>
          </w14:textFill>
        </w:rPr>
        <w:t xml:space="preserve">                           </w:t>
      </w:r>
    </w:p>
    <w:p>
      <w:pPr>
        <w:spacing w:line="440" w:lineRule="exact"/>
        <w:ind w:firstLine="1440"/>
        <w:rPr>
          <w:rFonts w:ascii="宋体" w:hAnsi="宋体"/>
          <w:bCs/>
          <w:color w:val="000000" w:themeColor="text1"/>
          <w:sz w:val="24"/>
          <w14:textFill>
            <w14:solidFill>
              <w14:schemeClr w14:val="tx1"/>
            </w14:solidFill>
          </w14:textFill>
        </w:rPr>
      </w:pPr>
    </w:p>
    <w:p>
      <w:pPr>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备注：</w:t>
      </w:r>
      <w:r>
        <w:rPr>
          <w:rFonts w:hint="eastAsia" w:ascii="宋体" w:hAnsi="宋体"/>
          <w:bCs/>
          <w:color w:val="000000" w:themeColor="text1"/>
          <w:sz w:val="24"/>
          <w14:textFill>
            <w14:solidFill>
              <w14:schemeClr w14:val="tx1"/>
            </w14:solidFill>
          </w14:textFill>
        </w:rPr>
        <w:t>供需双方必须以本格式文本，按照合同条款拟订合同。</w:t>
      </w:r>
    </w:p>
    <w:p>
      <w:pPr>
        <w:spacing w:line="360" w:lineRule="auto"/>
        <w:jc w:val="center"/>
        <w:rPr>
          <w:rFonts w:eastAsia="黑体"/>
          <w:bCs/>
          <w:color w:val="000000" w:themeColor="text1"/>
          <w:sz w:val="28"/>
          <w:szCs w:val="28"/>
          <w:lang w:val="de-DE"/>
          <w14:textFill>
            <w14:solidFill>
              <w14:schemeClr w14:val="tx1"/>
            </w14:solidFill>
          </w14:textFill>
        </w:rPr>
      </w:pPr>
      <w:bookmarkStart w:id="1" w:name="五．合同条款"/>
      <w:bookmarkEnd w:id="1"/>
      <w:r>
        <w:rPr>
          <w:rFonts w:hint="eastAsia" w:ascii="黑体" w:eastAsia="黑体"/>
          <w:bCs/>
          <w:color w:val="000000" w:themeColor="text1"/>
          <w:sz w:val="28"/>
          <w:szCs w:val="28"/>
          <w14:textFill>
            <w14:solidFill>
              <w14:schemeClr w14:val="tx1"/>
            </w14:solidFill>
          </w14:textFill>
        </w:rPr>
        <w:t>合同条款（格式）</w:t>
      </w:r>
    </w:p>
    <w:p>
      <w:pPr>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根据编号</w:t>
      </w:r>
      <w:r>
        <w:rPr>
          <w:rFonts w:hint="eastAsia" w:ascii="华文新魏" w:hAnsi="华文中宋" w:eastAsia="华文新魏"/>
          <w:color w:val="000000" w:themeColor="text1"/>
          <w:szCs w:val="20"/>
          <w14:textFill>
            <w14:solidFill>
              <w14:schemeClr w14:val="tx1"/>
            </w14:solidFill>
          </w14:textFill>
        </w:rPr>
        <w:t>JSZC-320292-BZDL-G2024-0044</w:t>
      </w:r>
      <w:r>
        <w:rPr>
          <w:rFonts w:hint="eastAsia" w:ascii="宋体" w:hAnsi="宋体"/>
          <w:bCs/>
          <w:color w:val="000000" w:themeColor="text1"/>
          <w:sz w:val="24"/>
          <w14:textFill>
            <w14:solidFill>
              <w14:schemeClr w14:val="tx1"/>
            </w14:solidFill>
          </w14:textFill>
        </w:rPr>
        <w:t>招标文件和该文件的中标通知书及供方投标文件，供需双方就此次新综合楼数字化创新实验室设施设备采购项目及相关问题，同意按下列条款规定执行。</w:t>
      </w:r>
    </w:p>
    <w:p>
      <w:pPr>
        <w:spacing w:line="360" w:lineRule="auto"/>
        <w:ind w:firstLine="52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 合同内容： 需方向供方购买</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p>
    <w:p>
      <w:pPr>
        <w:spacing w:line="360" w:lineRule="auto"/>
        <w:ind w:firstLine="52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 价格及支付：</w:t>
      </w:r>
    </w:p>
    <w:p>
      <w:pPr>
        <w:tabs>
          <w:tab w:val="left" w:pos="525"/>
          <w:tab w:val="left" w:pos="1050"/>
          <w:tab w:val="left" w:pos="1155"/>
        </w:tabs>
        <w:spacing w:line="360" w:lineRule="auto"/>
        <w:ind w:firstLine="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 按此次中标价格执行，合同总标的额为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元，具体明细详见《附件》。</w:t>
      </w:r>
    </w:p>
    <w:p>
      <w:pPr>
        <w:numPr>
          <w:ilvl w:val="1"/>
          <w:numId w:val="0"/>
        </w:numPr>
        <w:tabs>
          <w:tab w:val="left" w:pos="525"/>
          <w:tab w:val="left" w:pos="945"/>
        </w:tabs>
        <w:spacing w:line="360" w:lineRule="auto"/>
        <w:ind w:firstLine="52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 付款方式：合同签订后，预付合同总价款的30%，验收合格后于2024年支付至中标价款的90％，余款于质保期满后付清。 </w:t>
      </w:r>
    </w:p>
    <w:p>
      <w:pPr>
        <w:tabs>
          <w:tab w:val="left" w:pos="945"/>
          <w:tab w:val="left" w:pos="2100"/>
        </w:tabs>
        <w:spacing w:line="360" w:lineRule="auto"/>
        <w:ind w:firstLine="48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3.合同价格形式：</w:t>
      </w:r>
      <w:r>
        <w:rPr>
          <w:rFonts w:hint="eastAsia" w:ascii="宋体" w:hAnsi="宋体"/>
          <w:bCs/>
          <w:color w:val="000000" w:themeColor="text1"/>
          <w:sz w:val="24"/>
          <w:u w:val="single"/>
          <w14:textFill>
            <w14:solidFill>
              <w14:schemeClr w14:val="tx1"/>
            </w14:solidFill>
          </w14:textFill>
        </w:rPr>
        <w:t>固定单价。</w:t>
      </w:r>
    </w:p>
    <w:p>
      <w:pPr>
        <w:numPr>
          <w:ilvl w:val="1"/>
          <w:numId w:val="0"/>
        </w:numPr>
        <w:tabs>
          <w:tab w:val="left" w:pos="945"/>
          <w:tab w:val="left" w:pos="2100"/>
        </w:tabs>
        <w:spacing w:line="360" w:lineRule="auto"/>
        <w:ind w:firstLine="52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 履约保证金的缴纳和退付：</w:t>
      </w:r>
    </w:p>
    <w:p>
      <w:pPr>
        <w:tabs>
          <w:tab w:val="left" w:pos="94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本项目是/否向采购人缴纳履约保证金：否 </w:t>
      </w:r>
    </w:p>
    <w:p>
      <w:pPr>
        <w:numPr>
          <w:ilvl w:val="0"/>
          <w:numId w:val="9"/>
        </w:numPr>
        <w:tabs>
          <w:tab w:val="left" w:pos="0"/>
          <w:tab w:val="left" w:pos="1365"/>
        </w:tabs>
        <w:spacing w:line="360" w:lineRule="auto"/>
        <w:ind w:left="0" w:firstLine="52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知识产权</w:t>
      </w:r>
    </w:p>
    <w:p>
      <w:pPr>
        <w:tabs>
          <w:tab w:val="left" w:pos="94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numPr>
          <w:ilvl w:val="0"/>
          <w:numId w:val="9"/>
        </w:numPr>
        <w:tabs>
          <w:tab w:val="left" w:pos="73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质量与检验：</w:t>
      </w:r>
    </w:p>
    <w:p>
      <w:pPr>
        <w:tabs>
          <w:tab w:val="left" w:pos="525"/>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1．供方应严格按照招标文件的有关规定和供方投标文件提供合格的货物及服务。                                   </w:t>
      </w:r>
    </w:p>
    <w:p>
      <w:pPr>
        <w:tabs>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3．货物的到货验收包括：数量、外观、质量、性能、随机备件、装箱单、质量证书等随机资料及包装完整无破损。</w:t>
      </w:r>
    </w:p>
    <w:p>
      <w:pPr>
        <w:tabs>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4．货物和系统调试验收标准：按行业通行标准、厂方出厂标准、招标文件要求和供方投标文件的承诺，并不低于国家相关标准。</w:t>
      </w:r>
    </w:p>
    <w:p>
      <w:pPr>
        <w:tabs>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5．货物运到需方指定地点并经需方验证签收后，由于需方保管不善造成的质量问题，供方应负责修理，但有关费用由需方承担。</w:t>
      </w:r>
    </w:p>
    <w:p>
      <w:pPr>
        <w:tabs>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 需方应在货物运到并接到供方通知后及时按照招投标文件的约定组织验收。在验收过程中产生的质量及其他问题，需方须及时以书面形式提出异议并向招标代理反馈并提出相应处理意见</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供</w:t>
      </w:r>
      <w:r>
        <w:rPr>
          <w:rFonts w:ascii="宋体" w:hAnsi="宋体"/>
          <w:color w:val="000000" w:themeColor="text1"/>
          <w:sz w:val="24"/>
          <w14:textFill>
            <w14:solidFill>
              <w14:schemeClr w14:val="tx1"/>
            </w14:solidFill>
          </w14:textFill>
        </w:rPr>
        <w:t>方在接到</w:t>
      </w:r>
      <w:r>
        <w:rPr>
          <w:rFonts w:hint="eastAsia" w:ascii="宋体" w:hAnsi="宋体"/>
          <w:color w:val="000000" w:themeColor="text1"/>
          <w:sz w:val="24"/>
          <w14:textFill>
            <w14:solidFill>
              <w14:schemeClr w14:val="tx1"/>
            </w14:solidFill>
          </w14:textFill>
        </w:rPr>
        <w:t>需方</w:t>
      </w:r>
      <w:r>
        <w:rPr>
          <w:rFonts w:ascii="宋体" w:hAnsi="宋体"/>
          <w:color w:val="000000" w:themeColor="text1"/>
          <w:sz w:val="24"/>
          <w14:textFill>
            <w14:solidFill>
              <w14:schemeClr w14:val="tx1"/>
            </w14:solidFill>
          </w14:textFill>
        </w:rPr>
        <w:t>书面异议后应</w:t>
      </w:r>
      <w:r>
        <w:rPr>
          <w:rFonts w:hint="eastAsia" w:ascii="宋体" w:hAnsi="宋体"/>
          <w:color w:val="000000" w:themeColor="text1"/>
          <w:sz w:val="24"/>
          <w14:textFill>
            <w14:solidFill>
              <w14:schemeClr w14:val="tx1"/>
            </w14:solidFill>
          </w14:textFill>
        </w:rPr>
        <w:t>立即整改，否则承担违约责任</w:t>
      </w:r>
      <w:r>
        <w:rPr>
          <w:rFonts w:ascii="宋体" w:hAnsi="宋体"/>
          <w:color w:val="000000" w:themeColor="text1"/>
          <w:sz w:val="24"/>
          <w14:textFill>
            <w14:solidFill>
              <w14:schemeClr w14:val="tx1"/>
            </w14:solidFill>
          </w14:textFill>
        </w:rPr>
        <w:t>。</w:t>
      </w:r>
    </w:p>
    <w:p>
      <w:pPr>
        <w:tabs>
          <w:tab w:val="left" w:pos="105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 需方不得擅自变更招投标文件约定的性能、指标等相关内容，如有变更应按《中华人民共和国政府采购法》、财政部《政府采购货物和服务招标投标管理办法》的相关程序执行。</w:t>
      </w:r>
    </w:p>
    <w:p>
      <w:pPr>
        <w:spacing w:line="360" w:lineRule="auto"/>
        <w:ind w:left="-2"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（五） 交货条件：</w:t>
      </w:r>
    </w:p>
    <w:p>
      <w:pPr>
        <w:tabs>
          <w:tab w:val="left" w:pos="420"/>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1．交货日期（或完工期）： </w:t>
      </w:r>
    </w:p>
    <w:p>
      <w:pPr>
        <w:tabs>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2．供方在验收时应先用信函、传真、电子邮件等书面方式通知需方。</w:t>
      </w:r>
    </w:p>
    <w:p>
      <w:pPr>
        <w:tabs>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 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pacing w:line="360" w:lineRule="auto"/>
        <w:ind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楷体_GB2312" w:eastAsia="楷体_GB2312"/>
          <w:bCs/>
          <w:color w:val="000000" w:themeColor="text1"/>
          <w:sz w:val="28"/>
          <w:szCs w:val="20"/>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货物交货时，所有货物必须带有货物质量检验合格证书、中文质保单、装箱单、中文货物安装使用说明书。其它附件所有部件必须原包装。</w:t>
      </w:r>
    </w:p>
    <w:p>
      <w:pPr>
        <w:tabs>
          <w:tab w:val="left" w:pos="945"/>
          <w:tab w:val="left" w:pos="1155"/>
        </w:tabs>
        <w:spacing w:line="360" w:lineRule="auto"/>
        <w:ind w:left="2"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5. 运输及到货地点：由供方负责办理运输并承担所有费用，直接送到需方指定地点，即：以合同书上的地点为准。                    </w:t>
      </w:r>
    </w:p>
    <w:p>
      <w:pPr>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（六） 售后服务：</w:t>
      </w:r>
    </w:p>
    <w:p>
      <w:pPr>
        <w:numPr>
          <w:ilvl w:val="0"/>
          <w:numId w:val="10"/>
        </w:numPr>
        <w:tabs>
          <w:tab w:val="left" w:pos="525"/>
          <w:tab w:val="left" w:pos="840"/>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供方保证其提供的货物符合国家、行业、地方、招投标文件及合同规定的质量、性能和标准。</w:t>
      </w:r>
    </w:p>
    <w:p>
      <w:pPr>
        <w:numPr>
          <w:ilvl w:val="0"/>
          <w:numId w:val="10"/>
        </w:numPr>
        <w:tabs>
          <w:tab w:val="left" w:pos="525"/>
          <w:tab w:val="left" w:pos="840"/>
          <w:tab w:val="left" w:pos="945"/>
          <w:tab w:val="left" w:pos="1050"/>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供方提供的服务全部按照国家有关法律法规规章和“三包”规定以及按招标文件要求和供方投标文件中的承诺执行。</w:t>
      </w:r>
    </w:p>
    <w:p>
      <w:pPr>
        <w:numPr>
          <w:ilvl w:val="0"/>
          <w:numId w:val="10"/>
        </w:numPr>
        <w:tabs>
          <w:tab w:val="left" w:pos="525"/>
          <w:tab w:val="left" w:pos="840"/>
          <w:tab w:val="left" w:pos="945"/>
          <w:tab w:val="left" w:pos="1050"/>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质保期后的货物维护由双方协商再定。</w:t>
      </w:r>
    </w:p>
    <w:p>
      <w:pPr>
        <w:numPr>
          <w:ilvl w:val="0"/>
          <w:numId w:val="10"/>
        </w:numPr>
        <w:tabs>
          <w:tab w:val="left" w:pos="525"/>
          <w:tab w:val="left" w:pos="840"/>
          <w:tab w:val="left" w:pos="945"/>
          <w:tab w:val="left" w:pos="1050"/>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需方应向供方现场调试的技术人员及维修人员提供方便条件，有关费用由供方负责。</w:t>
      </w:r>
    </w:p>
    <w:p>
      <w:pPr>
        <w:numPr>
          <w:ilvl w:val="0"/>
          <w:numId w:val="10"/>
        </w:numPr>
        <w:tabs>
          <w:tab w:val="left" w:pos="525"/>
          <w:tab w:val="left" w:pos="840"/>
          <w:tab w:val="left" w:pos="945"/>
          <w:tab w:val="left" w:pos="1050"/>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需方如要求供方提供招标文件及供方投标文件以外的其它服务，其费用另定。</w:t>
      </w:r>
    </w:p>
    <w:p>
      <w:pPr>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（七） 违约责任：</w:t>
      </w:r>
    </w:p>
    <w:p>
      <w:pPr>
        <w:numPr>
          <w:ilvl w:val="0"/>
          <w:numId w:val="11"/>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向供方发出书面通知书，提出解除部分或全部合同。延期应通过签订补充合同的方式由双方认可并履行。</w:t>
      </w:r>
    </w:p>
    <w:p>
      <w:pPr>
        <w:numPr>
          <w:ilvl w:val="0"/>
          <w:numId w:val="11"/>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如供方逾期交货且未经需方同意延长交货时间，除不可抗力外，每逾期一日，供方应按照2000元的标准累计计算向需方支付违约金。逾期超过20个工作日的，需方有权解除合同，需方如已支付费用的，供方全部返还；且供方应按照合同总价的30%向需方支付违约金，如给需方造成损失的，还应赔偿损失。</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需方无正当理由逾期付款时，每逾期一日，需方应按照逾期付款金额的万分之五的标准累计计算向供方支付违约金。</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由于需方的原因要求延期交货，需方应按规定承付货款，并承担供方提供的代为保管费。（有关仓储规定另议）</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由于供方提供货物质量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5%向需方支付违约金，如给需方造成其他损失的，供方还应负责赔偿。</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如遭遇不可抗力事件，遭遇不可抗力的一方应尽快以书面形式将不可抗力的情况和原因通知另一方，并积极采取措施防止损失扩大。因不可抗力造成的损失，供、需双方按照法律规定处理。</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招标文件及合同中所述之“不可抗力”系指不可预见、不可避免、不可克服的事件，包括但不限于：战争、洪水、台风、地震及其他法律、法规规定的事件。</w:t>
      </w:r>
    </w:p>
    <w:p>
      <w:pPr>
        <w:numPr>
          <w:ilvl w:val="0"/>
          <w:numId w:val="11"/>
        </w:numPr>
        <w:tabs>
          <w:tab w:val="left" w:pos="105"/>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如果供方在本合同履行完毕之前破产或无清偿能力，需方可在任何时候以书面形式通知供方，提出解除合同。该终止合同将不损害或影响需方已经采取或将要采取的任何行动或补救措施的权力。</w:t>
      </w:r>
    </w:p>
    <w:p>
      <w:pPr>
        <w:spacing w:line="360" w:lineRule="auto"/>
        <w:ind w:left="-2"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 合同生效及其它：</w:t>
      </w:r>
    </w:p>
    <w:p>
      <w:pPr>
        <w:numPr>
          <w:ilvl w:val="0"/>
          <w:numId w:val="12"/>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合同经供需双方代表签字并盖章，且见证后即生效。</w:t>
      </w:r>
      <w:r>
        <w:rPr>
          <w:rFonts w:hint="eastAsia" w:ascii="宋体" w:hAnsi="宋体"/>
          <w:color w:val="000000" w:themeColor="text1"/>
          <w:sz w:val="24"/>
          <w14:textFill>
            <w14:solidFill>
              <w14:schemeClr w14:val="tx1"/>
            </w14:solidFill>
          </w14:textFill>
        </w:rPr>
        <w:t>履约保证金在本项目验收合格后，在供方提供收到返还履约保证金的收据后无息退还。</w:t>
      </w:r>
    </w:p>
    <w:p>
      <w:pPr>
        <w:numPr>
          <w:ilvl w:val="0"/>
          <w:numId w:val="12"/>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合同签订后供需双方即直接产生权利与义务的关系，合同执行过程中出现的问题应按照合同约定、法律法规的规定办理，在合同履行过程中，双方如有争议，由招标代理协调解决。如协商不能解决，双方可</w:t>
      </w:r>
      <w:r>
        <w:rPr>
          <w:rFonts w:hint="eastAsia" w:ascii="宋体" w:hAnsi="宋体"/>
          <w:color w:val="000000" w:themeColor="text1"/>
          <w:sz w:val="24"/>
          <w14:textFill>
            <w14:solidFill>
              <w14:schemeClr w14:val="tx1"/>
            </w14:solidFill>
          </w14:textFill>
        </w:rPr>
        <w:t>向无锡仲裁委员会申请仲裁</w:t>
      </w:r>
      <w:r>
        <w:rPr>
          <w:rFonts w:hint="eastAsia" w:ascii="宋体" w:hAnsi="宋体"/>
          <w:bCs/>
          <w:color w:val="000000" w:themeColor="text1"/>
          <w:sz w:val="24"/>
          <w14:textFill>
            <w14:solidFill>
              <w14:schemeClr w14:val="tx1"/>
            </w14:solidFill>
          </w14:textFill>
        </w:rPr>
        <w:t>，仲裁期间，除仲裁委员会要求停止履行合同或出现一方确实无法继续履行合同的情形外，本合同应继续履行。</w:t>
      </w:r>
    </w:p>
    <w:p>
      <w:pPr>
        <w:numPr>
          <w:ilvl w:val="0"/>
          <w:numId w:val="12"/>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合同在执行过程中出现的未尽事宜，双方在不违背本合同和招标文件的原则下协商解决，协商结果以书面形式签订补充协议，且补充协议与本合同具有同等效力。</w:t>
      </w:r>
    </w:p>
    <w:p>
      <w:pPr>
        <w:numPr>
          <w:ilvl w:val="0"/>
          <w:numId w:val="12"/>
        </w:numPr>
        <w:tabs>
          <w:tab w:val="left" w:pos="0"/>
          <w:tab w:val="left" w:pos="525"/>
          <w:tab w:val="left" w:pos="945"/>
        </w:tabs>
        <w:spacing w:line="360" w:lineRule="auto"/>
        <w:ind w:left="0" w:firstLine="5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供需双方确认：对本合同条款及后果均已知悉，一致确认不存在欺诈、胁迫、乘人之危、重大误解、显失公平等任何可能导致合同无效或被撤销的情形。</w:t>
      </w:r>
    </w:p>
    <w:p>
      <w:pPr>
        <w:spacing w:line="360" w:lineRule="auto"/>
        <w:outlineLvl w:val="0"/>
        <w:rPr>
          <w:rFonts w:ascii="宋体" w:hAnsi="宋体" w:cs="宋体"/>
          <w:b/>
          <w:color w:val="000000" w:themeColor="text1"/>
          <w:sz w:val="44"/>
          <w:szCs w:val="44"/>
          <w14:textFill>
            <w14:solidFill>
              <w14:schemeClr w14:val="tx1"/>
            </w14:solidFill>
          </w14:textFill>
        </w:rPr>
      </w:pPr>
    </w:p>
    <w:p>
      <w:pPr>
        <w:pStyle w:val="189"/>
        <w:rPr>
          <w:color w:val="000000" w:themeColor="text1"/>
          <w14:textFill>
            <w14:solidFill>
              <w14:schemeClr w14:val="tx1"/>
            </w14:solidFill>
          </w14:textFill>
        </w:rPr>
      </w:pPr>
    </w:p>
    <w:p>
      <w:pPr>
        <w:spacing w:line="360" w:lineRule="auto"/>
        <w:jc w:val="center"/>
        <w:outlineLvl w:val="0"/>
        <w:rPr>
          <w:rFonts w:ascii="宋体" w:hAnsi="宋体" w:cs="宋体"/>
          <w:b/>
          <w:color w:val="000000" w:themeColor="text1"/>
          <w:sz w:val="44"/>
          <w:szCs w:val="44"/>
          <w14:textFill>
            <w14:solidFill>
              <w14:schemeClr w14:val="tx1"/>
            </w14:solidFill>
          </w14:textFill>
        </w:rPr>
      </w:pPr>
    </w:p>
    <w:p>
      <w:pPr>
        <w:spacing w:line="360" w:lineRule="auto"/>
        <w:jc w:val="center"/>
        <w:outlineLvl w:val="0"/>
        <w:rPr>
          <w:rFonts w:ascii="宋体" w:hAnsi="宋体" w:cs="宋体"/>
          <w:b/>
          <w:color w:val="000000" w:themeColor="text1"/>
          <w:sz w:val="44"/>
          <w:szCs w:val="44"/>
          <w14:textFill>
            <w14:solidFill>
              <w14:schemeClr w14:val="tx1"/>
            </w14:solidFill>
          </w14:textFill>
        </w:rPr>
      </w:pPr>
    </w:p>
    <w:p>
      <w:pPr>
        <w:spacing w:line="360" w:lineRule="auto"/>
        <w:jc w:val="center"/>
        <w:outlineLvl w:val="0"/>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第五部分．附件（投标文件格式）封面</w:t>
      </w:r>
    </w:p>
    <w:p>
      <w:pPr>
        <w:spacing w:line="360" w:lineRule="auto"/>
        <w:jc w:val="center"/>
        <w:outlineLvl w:val="0"/>
        <w:rPr>
          <w:rFonts w:ascii="宋体" w:hAnsi="宋体" w:cs="宋体"/>
          <w:b/>
          <w:color w:val="000000" w:themeColor="text1"/>
          <w:sz w:val="44"/>
          <w:szCs w:val="44"/>
          <w:shd w:val="clear" w:color="auto" w:fill="FFFFFF"/>
          <w14:textFill>
            <w14:solidFill>
              <w14:schemeClr w14:val="tx1"/>
            </w14:solidFill>
          </w14:textFill>
        </w:rPr>
      </w:pPr>
    </w:p>
    <w:p>
      <w:pPr>
        <w:spacing w:line="360" w:lineRule="auto"/>
        <w:jc w:val="center"/>
        <w:rPr>
          <w:rFonts w:ascii="宋体" w:hAnsi="宋体" w:cs="宋体"/>
          <w:b/>
          <w:color w:val="000000" w:themeColor="text1"/>
          <w:sz w:val="48"/>
          <w:szCs w:val="20"/>
          <w:u w:val="single"/>
          <w:shd w:val="clear" w:color="auto" w:fill="FFFFFF"/>
          <w14:textFill>
            <w14:solidFill>
              <w14:schemeClr w14:val="tx1"/>
            </w14:solidFill>
          </w14:textFill>
        </w:rPr>
      </w:pPr>
    </w:p>
    <w:p>
      <w:pPr>
        <w:spacing w:line="360" w:lineRule="auto"/>
        <w:jc w:val="center"/>
        <w:rPr>
          <w:rFonts w:ascii="宋体" w:hAnsi="宋体" w:cs="宋体"/>
          <w:b/>
          <w:color w:val="000000" w:themeColor="text1"/>
          <w:sz w:val="48"/>
          <w:szCs w:val="20"/>
          <w:u w:val="single"/>
          <w:shd w:val="clear" w:color="auto" w:fill="FFFFFF"/>
          <w14:textFill>
            <w14:solidFill>
              <w14:schemeClr w14:val="tx1"/>
            </w14:solidFill>
          </w14:textFill>
        </w:rPr>
      </w:pPr>
    </w:p>
    <w:p>
      <w:pPr>
        <w:spacing w:line="360" w:lineRule="auto"/>
        <w:jc w:val="center"/>
        <w:rPr>
          <w:rFonts w:ascii="宋体" w:hAnsi="宋体" w:cs="宋体"/>
          <w:b/>
          <w:color w:val="000000" w:themeColor="text1"/>
          <w:sz w:val="48"/>
          <w:szCs w:val="20"/>
          <w:shd w:val="clear" w:color="auto" w:fill="FFFFFF"/>
          <w14:textFill>
            <w14:solidFill>
              <w14:schemeClr w14:val="tx1"/>
            </w14:solidFill>
          </w14:textFill>
        </w:rPr>
      </w:pPr>
      <w:r>
        <w:rPr>
          <w:rFonts w:hint="eastAsia" w:ascii="宋体" w:hAnsi="宋体" w:cs="宋体"/>
          <w:b/>
          <w:color w:val="000000" w:themeColor="text1"/>
          <w:sz w:val="48"/>
          <w:szCs w:val="20"/>
          <w:u w:val="single"/>
          <w:shd w:val="clear" w:color="auto" w:fill="FFFFFF"/>
          <w14:textFill>
            <w14:solidFill>
              <w14:schemeClr w14:val="tx1"/>
            </w14:solidFill>
          </w14:textFill>
        </w:rPr>
        <w:t xml:space="preserve">       （项目名称）    </w:t>
      </w:r>
      <w:r>
        <w:rPr>
          <w:rFonts w:hint="eastAsia" w:ascii="宋体" w:hAnsi="宋体" w:cs="宋体"/>
          <w:b/>
          <w:color w:val="000000" w:themeColor="text1"/>
          <w:sz w:val="48"/>
          <w:szCs w:val="20"/>
          <w:shd w:val="clear" w:color="auto" w:fill="FFFFFF"/>
          <w14:textFill>
            <w14:solidFill>
              <w14:schemeClr w14:val="tx1"/>
            </w14:solidFill>
          </w14:textFill>
        </w:rPr>
        <w:t xml:space="preserve"> 公开招标</w:t>
      </w:r>
    </w:p>
    <w:p>
      <w:pPr>
        <w:spacing w:line="360" w:lineRule="auto"/>
        <w:jc w:val="center"/>
        <w:rPr>
          <w:rFonts w:ascii="宋体" w:hAnsi="宋体" w:cs="宋体"/>
          <w:b/>
          <w:color w:val="000000" w:themeColor="text1"/>
          <w:sz w:val="72"/>
          <w:szCs w:val="20"/>
          <w:shd w:val="clear" w:color="auto" w:fill="FFFFFF"/>
          <w14:textFill>
            <w14:solidFill>
              <w14:schemeClr w14:val="tx1"/>
            </w14:solidFill>
          </w14:textFill>
        </w:rPr>
      </w:pPr>
      <w:r>
        <w:rPr>
          <w:rFonts w:hint="eastAsia" w:ascii="宋体" w:hAnsi="宋体" w:cs="宋体"/>
          <w:b/>
          <w:color w:val="000000" w:themeColor="text1"/>
          <w:sz w:val="72"/>
          <w:szCs w:val="20"/>
          <w:shd w:val="clear" w:color="auto" w:fill="FFFFFF"/>
          <w14:textFill>
            <w14:solidFill>
              <w14:schemeClr w14:val="tx1"/>
            </w14:solidFill>
          </w14:textFill>
        </w:rPr>
        <w:t>投标文件</w:t>
      </w:r>
    </w:p>
    <w:p>
      <w:pPr>
        <w:spacing w:line="360" w:lineRule="auto"/>
        <w:jc w:val="center"/>
        <w:rPr>
          <w:rFonts w:ascii="宋体" w:hAnsi="宋体" w:cs="宋体"/>
          <w:b/>
          <w:color w:val="000000" w:themeColor="text1"/>
          <w:sz w:val="48"/>
          <w:szCs w:val="20"/>
          <w:shd w:val="clear" w:color="auto" w:fill="FFFFFF"/>
          <w14:textFill>
            <w14:solidFill>
              <w14:schemeClr w14:val="tx1"/>
            </w14:solidFill>
          </w14:textFill>
        </w:rPr>
      </w:pPr>
    </w:p>
    <w:p>
      <w:pPr>
        <w:spacing w:line="360" w:lineRule="auto"/>
        <w:jc w:val="center"/>
        <w:rPr>
          <w:rFonts w:ascii="宋体" w:hAnsi="宋体" w:cs="宋体"/>
          <w:b/>
          <w:color w:val="000000" w:themeColor="text1"/>
          <w:sz w:val="48"/>
          <w:szCs w:val="20"/>
          <w:shd w:val="clear" w:color="auto" w:fill="FFFFFF"/>
          <w14:textFill>
            <w14:solidFill>
              <w14:schemeClr w14:val="tx1"/>
            </w14:solidFill>
          </w14:textFill>
        </w:rPr>
      </w:pPr>
    </w:p>
    <w:p>
      <w:pPr>
        <w:spacing w:line="360" w:lineRule="auto"/>
        <w:jc w:val="center"/>
        <w:rPr>
          <w:rFonts w:ascii="宋体" w:hAnsi="宋体" w:cs="宋体"/>
          <w:b/>
          <w:color w:val="000000" w:themeColor="text1"/>
          <w:sz w:val="48"/>
          <w:szCs w:val="20"/>
          <w:shd w:val="clear" w:color="auto" w:fill="FFFFFF"/>
          <w14:textFill>
            <w14:solidFill>
              <w14:schemeClr w14:val="tx1"/>
            </w14:solidFill>
          </w14:textFill>
        </w:rPr>
      </w:pPr>
    </w:p>
    <w:p>
      <w:pPr>
        <w:spacing w:line="360" w:lineRule="auto"/>
        <w:jc w:val="left"/>
        <w:rPr>
          <w:rFonts w:ascii="宋体" w:hAnsi="宋体" w:cs="宋体"/>
          <w:b/>
          <w:color w:val="000000" w:themeColor="text1"/>
          <w:sz w:val="48"/>
          <w:szCs w:val="20"/>
          <w:shd w:val="clear" w:color="auto" w:fill="FFFFFF"/>
          <w14:textFill>
            <w14:solidFill>
              <w14:schemeClr w14:val="tx1"/>
            </w14:solidFill>
          </w14:textFill>
        </w:rPr>
      </w:pPr>
      <w:r>
        <w:rPr>
          <w:rFonts w:hint="eastAsia" w:ascii="宋体" w:hAnsi="宋体" w:cs="宋体"/>
          <w:b/>
          <w:color w:val="000000" w:themeColor="text1"/>
          <w:sz w:val="28"/>
          <w:szCs w:val="20"/>
          <w:shd w:val="clear" w:color="auto" w:fill="FFFFFF"/>
          <w14:textFill>
            <w14:solidFill>
              <w14:schemeClr w14:val="tx1"/>
            </w14:solidFill>
          </w14:textFill>
        </w:rPr>
        <w:t>采购编号：</w:t>
      </w:r>
      <w:r>
        <w:rPr>
          <w:rFonts w:hint="eastAsia" w:ascii="宋体" w:hAnsi="宋体" w:cs="宋体"/>
          <w:b/>
          <w:color w:val="000000" w:themeColor="text1"/>
          <w:sz w:val="28"/>
          <w:szCs w:val="20"/>
          <w:u w:val="single"/>
          <w:shd w:val="clear" w:color="auto" w:fill="FFFFFF"/>
          <w14:textFill>
            <w14:solidFill>
              <w14:schemeClr w14:val="tx1"/>
            </w14:solidFill>
          </w14:textFill>
        </w:rPr>
        <w:t xml:space="preserve">                                            </w:t>
      </w:r>
    </w:p>
    <w:p>
      <w:pPr>
        <w:spacing w:line="360" w:lineRule="auto"/>
        <w:rPr>
          <w:rFonts w:ascii="宋体" w:hAnsi="宋体" w:cs="宋体"/>
          <w:b/>
          <w:color w:val="000000" w:themeColor="text1"/>
          <w:sz w:val="30"/>
          <w:szCs w:val="20"/>
          <w:u w:val="single"/>
          <w:shd w:val="clear" w:color="auto" w:fill="FFFFFF"/>
          <w14:textFill>
            <w14:solidFill>
              <w14:schemeClr w14:val="tx1"/>
            </w14:solidFill>
          </w14:textFill>
        </w:rPr>
      </w:pPr>
      <w:r>
        <w:rPr>
          <w:rFonts w:hint="eastAsia" w:ascii="宋体" w:hAnsi="宋体" w:cs="宋体"/>
          <w:b/>
          <w:color w:val="000000" w:themeColor="text1"/>
          <w:sz w:val="28"/>
          <w:szCs w:val="20"/>
          <w:shd w:val="clear" w:color="auto" w:fill="FFFFFF"/>
          <w14:textFill>
            <w14:solidFill>
              <w14:schemeClr w14:val="tx1"/>
            </w14:solidFill>
          </w14:textFill>
        </w:rPr>
        <w:t>项目</w:t>
      </w:r>
      <w:r>
        <w:rPr>
          <w:rFonts w:hint="eastAsia" w:ascii="宋体" w:hAnsi="宋体" w:cs="宋体"/>
          <w:b/>
          <w:color w:val="000000" w:themeColor="text1"/>
          <w:sz w:val="30"/>
          <w:szCs w:val="20"/>
          <w:shd w:val="clear" w:color="auto" w:fill="FFFFFF"/>
          <w14:textFill>
            <w14:solidFill>
              <w14:schemeClr w14:val="tx1"/>
            </w14:solidFill>
          </w14:textFill>
        </w:rPr>
        <w:t>名称：</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u w:val="single"/>
          <w:shd w:val="clear" w:color="auto" w:fill="FFFFFF"/>
          <w14:textFill>
            <w14:solidFill>
              <w14:schemeClr w14:val="tx1"/>
            </w14:solidFill>
          </w14:textFill>
        </w:rPr>
        <w:tab/>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u w:val="single"/>
          <w:shd w:val="clear" w:color="auto" w:fill="FFFFFF"/>
          <w14:textFill>
            <w14:solidFill>
              <w14:schemeClr w14:val="tx1"/>
            </w14:solidFill>
          </w14:textFill>
        </w:rPr>
        <w:tab/>
      </w:r>
      <w:r>
        <w:rPr>
          <w:rFonts w:hint="eastAsia" w:ascii="宋体" w:hAnsi="宋体" w:cs="宋体"/>
          <w:b/>
          <w:color w:val="000000" w:themeColor="text1"/>
          <w:sz w:val="30"/>
          <w:szCs w:val="20"/>
          <w:u w:val="single"/>
          <w:shd w:val="clear" w:color="auto" w:fill="FFFFFF"/>
          <w14:textFill>
            <w14:solidFill>
              <w14:schemeClr w14:val="tx1"/>
            </w14:solidFill>
          </w14:textFill>
        </w:rPr>
        <w:tab/>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p>
    <w:p>
      <w:pPr>
        <w:spacing w:line="360" w:lineRule="auto"/>
        <w:rPr>
          <w:rFonts w:ascii="宋体" w:hAnsi="宋体" w:cs="宋体"/>
          <w:b/>
          <w:color w:val="000000" w:themeColor="text1"/>
          <w:sz w:val="30"/>
          <w:szCs w:val="20"/>
          <w:shd w:val="clear" w:color="auto" w:fill="FFFFFF"/>
          <w14:textFill>
            <w14:solidFill>
              <w14:schemeClr w14:val="tx1"/>
            </w14:solidFill>
          </w14:textFill>
        </w:rPr>
      </w:pPr>
    </w:p>
    <w:p>
      <w:pPr>
        <w:spacing w:line="360" w:lineRule="auto"/>
        <w:rPr>
          <w:rFonts w:ascii="宋体" w:hAnsi="宋体" w:cs="宋体"/>
          <w:b/>
          <w:color w:val="000000" w:themeColor="text1"/>
          <w:sz w:val="30"/>
          <w:szCs w:val="20"/>
          <w:u w:val="single"/>
          <w:shd w:val="clear" w:color="auto" w:fill="FFFFFF"/>
          <w14:textFill>
            <w14:solidFill>
              <w14:schemeClr w14:val="tx1"/>
            </w14:solidFill>
          </w14:textFill>
        </w:rPr>
      </w:pPr>
      <w:r>
        <w:rPr>
          <w:rFonts w:hint="eastAsia" w:ascii="宋体" w:hAnsi="宋体" w:cs="宋体"/>
          <w:b/>
          <w:color w:val="000000" w:themeColor="text1"/>
          <w:sz w:val="30"/>
          <w:szCs w:val="20"/>
          <w:shd w:val="clear" w:color="auto" w:fill="FFFFFF"/>
          <w14:textFill>
            <w14:solidFill>
              <w14:schemeClr w14:val="tx1"/>
            </w14:solidFill>
          </w14:textFill>
        </w:rPr>
        <w:t>投标供应商：</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u w:val="single"/>
          <w:shd w:val="clear" w:color="auto" w:fill="FFFFFF"/>
          <w14:textFill>
            <w14:solidFill>
              <w14:schemeClr w14:val="tx1"/>
            </w14:solidFill>
          </w14:textFill>
        </w:rPr>
        <w:tab/>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（盖公章）</w:t>
      </w:r>
    </w:p>
    <w:p>
      <w:pPr>
        <w:spacing w:line="360" w:lineRule="auto"/>
        <w:rPr>
          <w:rFonts w:ascii="宋体" w:hAnsi="宋体" w:cs="宋体"/>
          <w:b/>
          <w:color w:val="000000" w:themeColor="text1"/>
          <w:sz w:val="30"/>
          <w:szCs w:val="20"/>
          <w:shd w:val="clear" w:color="auto" w:fill="FFFFFF"/>
          <w14:textFill>
            <w14:solidFill>
              <w14:schemeClr w14:val="tx1"/>
            </w14:solidFill>
          </w14:textFill>
        </w:rPr>
      </w:pPr>
      <w:r>
        <w:rPr>
          <w:rFonts w:hint="eastAsia" w:ascii="宋体" w:hAnsi="宋体" w:cs="宋体"/>
          <w:b/>
          <w:color w:val="000000" w:themeColor="text1"/>
          <w:sz w:val="30"/>
          <w:szCs w:val="20"/>
          <w:shd w:val="clear" w:color="auto" w:fill="FFFFFF"/>
          <w14:textFill>
            <w14:solidFill>
              <w14:schemeClr w14:val="tx1"/>
            </w14:solidFill>
          </w14:textFill>
        </w:rPr>
        <w:t>法定代表人或</w:t>
      </w:r>
    </w:p>
    <w:p>
      <w:pPr>
        <w:spacing w:line="360" w:lineRule="auto"/>
        <w:rPr>
          <w:rFonts w:ascii="宋体" w:hAnsi="宋体" w:cs="宋体"/>
          <w:b/>
          <w:color w:val="000000" w:themeColor="text1"/>
          <w:sz w:val="30"/>
          <w:szCs w:val="20"/>
          <w:u w:val="single"/>
          <w:shd w:val="clear" w:color="auto" w:fill="FFFFFF"/>
          <w14:textFill>
            <w14:solidFill>
              <w14:schemeClr w14:val="tx1"/>
            </w14:solidFill>
          </w14:textFill>
        </w:rPr>
      </w:pPr>
      <w:r>
        <w:rPr>
          <w:rFonts w:hint="eastAsia" w:ascii="宋体" w:hAnsi="宋体" w:cs="宋体"/>
          <w:b/>
          <w:color w:val="000000" w:themeColor="text1"/>
          <w:sz w:val="30"/>
          <w:szCs w:val="20"/>
          <w:shd w:val="clear" w:color="auto" w:fill="FFFFFF"/>
          <w14:textFill>
            <w14:solidFill>
              <w14:schemeClr w14:val="tx1"/>
            </w14:solidFill>
          </w14:textFill>
        </w:rPr>
        <w:t>其委托代理人：</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u w:val="single"/>
          <w:shd w:val="clear" w:color="auto" w:fill="FFFFFF"/>
          <w14:textFill>
            <w14:solidFill>
              <w14:schemeClr w14:val="tx1"/>
            </w14:solidFill>
          </w14:textFill>
        </w:rPr>
        <w:tab/>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（签字或盖章）</w:t>
      </w:r>
    </w:p>
    <w:p>
      <w:pPr>
        <w:spacing w:line="360" w:lineRule="auto"/>
        <w:rPr>
          <w:rFonts w:ascii="宋体" w:hAnsi="宋体" w:cs="宋体"/>
          <w:b/>
          <w:color w:val="000000" w:themeColor="text1"/>
          <w:sz w:val="30"/>
          <w:szCs w:val="20"/>
          <w:shd w:val="clear" w:color="auto" w:fill="FFFFFF"/>
          <w14:textFill>
            <w14:solidFill>
              <w14:schemeClr w14:val="tx1"/>
            </w14:solidFill>
          </w14:textFill>
        </w:rPr>
      </w:pPr>
    </w:p>
    <w:p>
      <w:pPr>
        <w:spacing w:line="360" w:lineRule="auto"/>
        <w:rPr>
          <w:rFonts w:ascii="宋体" w:hAnsi="宋体" w:cs="宋体"/>
          <w:b/>
          <w:color w:val="000000" w:themeColor="text1"/>
          <w:sz w:val="30"/>
          <w:szCs w:val="20"/>
          <w:shd w:val="clear" w:color="auto" w:fill="FFFFFF"/>
          <w14:textFill>
            <w14:solidFill>
              <w14:schemeClr w14:val="tx1"/>
            </w14:solidFill>
          </w14:textFill>
        </w:rPr>
      </w:pPr>
      <w:r>
        <w:rPr>
          <w:rFonts w:hint="eastAsia" w:ascii="宋体" w:hAnsi="宋体" w:cs="宋体"/>
          <w:b/>
          <w:color w:val="000000" w:themeColor="text1"/>
          <w:sz w:val="30"/>
          <w:szCs w:val="20"/>
          <w:shd w:val="clear" w:color="auto" w:fill="FFFFFF"/>
          <w14:textFill>
            <w14:solidFill>
              <w14:schemeClr w14:val="tx1"/>
            </w14:solidFill>
          </w14:textFill>
        </w:rPr>
        <w:t>日  期：</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shd w:val="clear" w:color="auto" w:fill="FFFFFF"/>
          <w14:textFill>
            <w14:solidFill>
              <w14:schemeClr w14:val="tx1"/>
            </w14:solidFill>
          </w14:textFill>
        </w:rPr>
        <w:t xml:space="preserve"> 年</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shd w:val="clear" w:color="auto" w:fill="FFFFFF"/>
          <w14:textFill>
            <w14:solidFill>
              <w14:schemeClr w14:val="tx1"/>
            </w14:solidFill>
          </w14:textFill>
        </w:rPr>
        <w:t xml:space="preserve"> 月</w:t>
      </w:r>
      <w:r>
        <w:rPr>
          <w:rFonts w:hint="eastAsia" w:ascii="宋体" w:hAnsi="宋体" w:cs="宋体"/>
          <w:b/>
          <w:color w:val="000000" w:themeColor="text1"/>
          <w:sz w:val="30"/>
          <w:szCs w:val="20"/>
          <w:u w:val="single"/>
          <w:shd w:val="clear" w:color="auto" w:fill="FFFFFF"/>
          <w14:textFill>
            <w14:solidFill>
              <w14:schemeClr w14:val="tx1"/>
            </w14:solidFill>
          </w14:textFill>
        </w:rPr>
        <w:t xml:space="preserve">           </w:t>
      </w:r>
      <w:r>
        <w:rPr>
          <w:rFonts w:hint="eastAsia" w:ascii="宋体" w:hAnsi="宋体" w:cs="宋体"/>
          <w:b/>
          <w:color w:val="000000" w:themeColor="text1"/>
          <w:sz w:val="30"/>
          <w:szCs w:val="20"/>
          <w:shd w:val="clear" w:color="auto" w:fill="FFFFFF"/>
          <w14:textFill>
            <w14:solidFill>
              <w14:schemeClr w14:val="tx1"/>
            </w14:solidFill>
          </w14:textFill>
        </w:rPr>
        <w:t>日</w:t>
      </w:r>
    </w:p>
    <w:p>
      <w:pPr>
        <w:spacing w:line="360" w:lineRule="auto"/>
        <w:jc w:val="center"/>
        <w:outlineLvl w:val="0"/>
        <w:rPr>
          <w:rFonts w:ascii="宋体" w:hAnsi="宋体" w:cs="宋体"/>
          <w:b/>
          <w:color w:val="000000" w:themeColor="text1"/>
          <w:sz w:val="30"/>
          <w:szCs w:val="30"/>
          <w14:textFill>
            <w14:solidFill>
              <w14:schemeClr w14:val="tx1"/>
            </w14:solidFill>
          </w14:textFill>
        </w:rPr>
      </w:pPr>
    </w:p>
    <w:p>
      <w:pPr>
        <w:pStyle w:val="187"/>
        <w:ind w:firstLine="0"/>
        <w:rPr>
          <w:rFonts w:ascii="宋体" w:hAnsi="宋体" w:cs="宋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t>（一）投标函（格式）</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致：江苏博智工程咨询有限公司</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我们收到你们</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 xml:space="preserve">招标文件，经仔细阅读和研究，我们决定参加此次   </w:t>
      </w:r>
      <w:r>
        <w:rPr>
          <w:rFonts w:hint="eastAsia" w:ascii="宋体" w:hAnsi="宋体" w:cs="宋体"/>
          <w:color w:val="000000" w:themeColor="text1"/>
          <w:sz w:val="24"/>
          <w:u w:val="single"/>
          <w14:textFill>
            <w14:solidFill>
              <w14:schemeClr w14:val="tx1"/>
            </w14:solidFill>
          </w14:textFill>
        </w:rPr>
        <w:t xml:space="preserve">（项目名称）  </w:t>
      </w:r>
      <w:r>
        <w:rPr>
          <w:rFonts w:hint="eastAsia" w:ascii="宋体" w:hAnsi="宋体" w:cs="宋体"/>
          <w:color w:val="000000" w:themeColor="text1"/>
          <w:sz w:val="24"/>
          <w14:textFill>
            <w14:solidFill>
              <w14:schemeClr w14:val="tx1"/>
            </w14:solidFill>
          </w14:textFill>
        </w:rPr>
        <w:t>项目的投标。</w:t>
      </w:r>
    </w:p>
    <w:p>
      <w:pPr>
        <w:spacing w:line="360" w:lineRule="auto"/>
        <w:ind w:firstLine="48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一、我们愿意按照招标文件的一切要求（包括付款方式），提供本项目的报价，投标总价见《开标一览表》。</w:t>
      </w:r>
    </w:p>
    <w:p>
      <w:pPr>
        <w:spacing w:line="360" w:lineRule="auto"/>
        <w:ind w:left="48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二、我方愿意提供江苏博智工程咨询有限公司在招标文件中要求的文件、资料。</w:t>
      </w:r>
    </w:p>
    <w:p>
      <w:pPr>
        <w:tabs>
          <w:tab w:val="left" w:pos="525"/>
          <w:tab w:val="left" w:pos="945"/>
        </w:tabs>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三、我方同意按招标文件中的规定，本投标文件报价的有效期限为中标通知书发出之日起90天。</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四、如果我方的投标文件被接受，我方将履行招标文件中规定的每一项要求，按期、按质、按量，完成交货任务。</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五、我方认为你们有权决定中标供应商。</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我方愿意遵守《中华人民共和国政府采购法》，并按《中华人民共和国民法典》和合同条款履行自己的全部责任。在合同履行过程中，双方如有争议，由双方协调解决。如协商不能解决，双方可向无锡仲裁委员会按其仲裁规则申请仲裁或向项目所在地人民法院起诉。</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七、我方认可并保证遵守招标文件的所有规定，放弃对招标文件提出质疑的权利。</w:t>
      </w:r>
    </w:p>
    <w:p>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如果我方被确定为中标供应商并签订合同后，如无不可抗力，又未履行招标文件、投标文件合同条款的，一经查实，我方愿意赔偿由此而造成的一切损失，并同意接受按招标文件的相关要求对我方进行的处理。</w:t>
      </w:r>
    </w:p>
    <w:p>
      <w:pPr>
        <w:widowControl/>
        <w:spacing w:before="4" w:line="360" w:lineRule="auto"/>
        <w:rPr>
          <w:rFonts w:ascii="宋体" w:hAnsi="宋体" w:cs="宋体"/>
          <w:color w:val="000000" w:themeColor="text1"/>
          <w:sz w:val="24"/>
          <w14:textFill>
            <w14:solidFill>
              <w14:schemeClr w14:val="tx1"/>
            </w14:solidFill>
          </w14:textFill>
        </w:rPr>
      </w:pP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投标供应商：（盖章）</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法定代表人或委托代理人：（签字或盖章）</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传真：               </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                   邮编：</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widowControl/>
        <w:spacing w:before="4"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w:t>
      </w:r>
    </w:p>
    <w:p>
      <w:pPr>
        <w:jc w:val="center"/>
        <w:outlineLvl w:val="0"/>
        <w:rPr>
          <w:rFonts w:ascii="宋体" w:hAnsi="宋体" w:cs="宋体"/>
          <w:b/>
          <w:color w:val="000000" w:themeColor="text1"/>
          <w:sz w:val="30"/>
          <w:szCs w:val="30"/>
          <w14:textFill>
            <w14:solidFill>
              <w14:schemeClr w14:val="tx1"/>
            </w14:solidFill>
          </w14:textFill>
        </w:rPr>
      </w:pPr>
    </w:p>
    <w:p>
      <w:pPr>
        <w:jc w:val="center"/>
        <w:outlineLvl w:val="0"/>
        <w:rPr>
          <w:rFonts w:ascii="宋体" w:hAnsi="宋体" w:cs="宋体"/>
          <w:color w:val="000000" w:themeColor="text1"/>
          <w:sz w:val="30"/>
          <w:szCs w:val="30"/>
          <w14:textFill>
            <w14:solidFill>
              <w14:schemeClr w14:val="tx1"/>
            </w14:solidFill>
          </w14:textFill>
        </w:rPr>
      </w:pPr>
    </w:p>
    <w:p>
      <w:pPr>
        <w:rPr>
          <w:rFonts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br w:type="page" w:clear="all"/>
      </w:r>
    </w:p>
    <w:p>
      <w:pPr>
        <w:jc w:val="center"/>
        <w:outlineLvl w:val="0"/>
        <w:rPr>
          <w:rFonts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t>（二）关于资格的声明函（格式）</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hAnsi="宋体"/>
          <w:bCs/>
          <w:color w:val="000000" w:themeColor="text1"/>
          <w:sz w:val="24"/>
          <w14:textFill>
            <w14:solidFill>
              <w14:schemeClr w14:val="tx1"/>
            </w14:solidFill>
          </w14:textFill>
        </w:rPr>
      </w:pPr>
      <w:r>
        <w:rPr>
          <w:rFonts w:hint="eastAsia"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采购编号：</w:t>
      </w:r>
    </w:p>
    <w:p>
      <w:pPr>
        <w:tabs>
          <w:tab w:val="left" w:pos="6300"/>
        </w:tabs>
        <w:spacing w:line="48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p>
    <w:p>
      <w:pPr>
        <w:spacing w:line="480" w:lineRule="auto"/>
        <w:jc w:val="center"/>
        <w:rPr>
          <w:rFonts w:ascii="宋体" w:hAnsi="宋体"/>
          <w:bCs/>
          <w:color w:val="000000" w:themeColor="text1"/>
          <w:sz w:val="24"/>
          <w14:textFill>
            <w14:solidFill>
              <w14:schemeClr w14:val="tx1"/>
            </w14:solidFill>
          </w14:textFill>
        </w:rPr>
      </w:pPr>
    </w:p>
    <w:p>
      <w:pPr>
        <w:spacing w:line="48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江苏博智工程咨询有限公司：</w:t>
      </w:r>
    </w:p>
    <w:p>
      <w:pPr>
        <w:spacing w:line="48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我公司（单位）参加政府采购活动前三年内，在经营活动中没有重大违法记录。</w:t>
      </w:r>
    </w:p>
    <w:p>
      <w:pPr>
        <w:spacing w:line="48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我公司（单位）愿针对本次项目（</w:t>
      </w:r>
      <w:r>
        <w:rPr>
          <w:rFonts w:hint="eastAsia" w:ascii="宋体" w:hAnsi="宋体"/>
          <w:b/>
          <w:bCs/>
          <w:color w:val="000000" w:themeColor="text1"/>
          <w:sz w:val="24"/>
          <w14:textFill>
            <w14:solidFill>
              <w14:schemeClr w14:val="tx1"/>
            </w14:solidFill>
          </w14:textFill>
        </w:rPr>
        <w:t>采购编号：</w:t>
      </w:r>
      <w:r>
        <w:rPr>
          <w:rFonts w:hint="eastAsia" w:ascii="宋体" w:hAnsi="宋体"/>
          <w:b/>
          <w:bCs/>
          <w:color w:val="000000" w:themeColor="text1"/>
          <w:sz w:val="24"/>
          <w:lang w:eastAsia="zh-CN"/>
          <w14:textFill>
            <w14:solidFill>
              <w14:schemeClr w14:val="tx1"/>
            </w14:solidFill>
          </w14:textFill>
        </w:rPr>
        <w:t>JSZC-320292-BZDL-G2024-0044</w:t>
      </w:r>
      <w:r>
        <w:rPr>
          <w:rFonts w:hint="eastAsia" w:ascii="黑体" w:eastAsia="黑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进行投标，投标文件中所有关于投标资格的文件、证明、陈述均是真实的、准确的。若有违背，我公司（单位）愿意承担由此而产生的一切后果。</w:t>
      </w:r>
    </w:p>
    <w:p>
      <w:pPr>
        <w:spacing w:line="480" w:lineRule="auto"/>
        <w:rPr>
          <w:rFonts w:ascii="宋体" w:hAnsi="宋体"/>
          <w:bCs/>
          <w:color w:val="000000" w:themeColor="text1"/>
          <w:sz w:val="24"/>
          <w14:textFill>
            <w14:solidFill>
              <w14:schemeClr w14:val="tx1"/>
            </w14:solidFill>
          </w14:textFill>
        </w:rPr>
      </w:pPr>
    </w:p>
    <w:p>
      <w:pPr>
        <w:spacing w:line="48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投标人（盖章）：</w:t>
      </w:r>
    </w:p>
    <w:p>
      <w:pPr>
        <w:spacing w:line="48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法定代表人（签字或盖章）：</w:t>
      </w:r>
    </w:p>
    <w:p>
      <w:pPr>
        <w:spacing w:line="480" w:lineRule="auto"/>
        <w:ind w:firstLine="46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年     月     日</w:t>
      </w:r>
    </w:p>
    <w:p>
      <w:pPr>
        <w:jc w:val="center"/>
        <w:outlineLvl w:val="0"/>
        <w:rPr>
          <w:rFonts w:ascii="黑体" w:eastAsia="黑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p>
    <w:p>
      <w:pPr>
        <w:pStyle w:val="191"/>
        <w:ind w:firstLine="0"/>
        <w:rPr>
          <w:color w:val="000000" w:themeColor="text1"/>
          <w14:textFill>
            <w14:solidFill>
              <w14:schemeClr w14:val="tx1"/>
            </w14:solidFill>
          </w14:textFill>
        </w:rPr>
      </w:pPr>
    </w:p>
    <w:p>
      <w:pPr>
        <w:spacing w:line="480" w:lineRule="auto"/>
        <w:rPr>
          <w:rFonts w:ascii="黑体" w:eastAsia="黑体"/>
          <w:b/>
          <w:color w:val="000000" w:themeColor="text1"/>
          <w:sz w:val="30"/>
          <w:szCs w:val="30"/>
          <w14:textFill>
            <w14:solidFill>
              <w14:schemeClr w14:val="tx1"/>
            </w14:solidFill>
          </w14:textFill>
        </w:rPr>
      </w:pPr>
      <w:r>
        <w:rPr>
          <w:rFonts w:hint="eastAsia" w:ascii="宋体" w:hAnsi="宋体"/>
          <w:bCs/>
          <w:color w:val="000000" w:themeColor="text1"/>
          <w:sz w:val="24"/>
          <w14:textFill>
            <w14:solidFill>
              <w14:schemeClr w14:val="tx1"/>
            </w14:solidFill>
          </w14:textFill>
        </w:rPr>
        <w:t>备注：</w:t>
      </w:r>
      <w:r>
        <w:rPr>
          <w:rFonts w:hint="eastAsia" w:ascii="宋体" w:hAnsi="宋体"/>
          <w:color w:val="000000" w:themeColor="text1"/>
          <w:sz w:val="24"/>
          <w14:textFill>
            <w14:solidFill>
              <w14:schemeClr w14:val="tx1"/>
            </w14:solidFill>
          </w14:textFill>
        </w:rPr>
        <w:t>根据《中华人民共和国政府采购法实施条例》第十九条第一款规定，“重大违法记录，是指供应商因违法经营受到刑事处罚或者责令停产停业、吊销许可证或者执照、较大数额罚款等行政处罚。”其中“较大数额罚款”的标准执行财库【2022】3号文的规定，“较大数额罚款”认定为200万元以上的罚款，法律、行政法规以及国务院有关部门明确规定相关领域“较大数额罚款”标准高于200万元的，从其规定。</w:t>
      </w:r>
    </w:p>
    <w:p>
      <w:pPr>
        <w:jc w:val="center"/>
        <w:outlineLvl w:val="0"/>
        <w:rPr>
          <w:rFonts w:ascii="黑体" w:eastAsia="黑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p>
    <w:p>
      <w:pPr>
        <w:jc w:val="center"/>
        <w:outlineLvl w:val="0"/>
        <w:rPr>
          <w:rFonts w:ascii="黑体" w:eastAsia="黑体"/>
          <w:b/>
          <w:color w:val="000000" w:themeColor="text1"/>
          <w:sz w:val="30"/>
          <w:szCs w:val="30"/>
          <w14:textFill>
            <w14:solidFill>
              <w14:schemeClr w14:val="tx1"/>
            </w14:solidFill>
          </w14:textFill>
        </w:rPr>
      </w:pPr>
    </w:p>
    <w:p>
      <w:pPr>
        <w:rPr>
          <w:rFonts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br w:type="page" w:clear="all"/>
      </w:r>
    </w:p>
    <w:p>
      <w:pPr>
        <w:jc w:val="center"/>
        <w:outlineLvl w:val="0"/>
        <w:rPr>
          <w:rFonts w:ascii="黑体" w:eastAsia="黑体"/>
          <w:b/>
          <w:color w:val="000000"/>
          <w:sz w:val="30"/>
          <w:szCs w:val="30"/>
        </w:rPr>
      </w:pPr>
      <w:r>
        <w:rPr>
          <w:rFonts w:hint="eastAsia" w:ascii="黑体" w:eastAsia="黑体"/>
          <w:b/>
          <w:color w:val="000000"/>
          <w:sz w:val="30"/>
          <w:szCs w:val="30"/>
        </w:rPr>
        <w:t>（三）（投标人）法定代表人授权委托书（格式）：</w:t>
      </w:r>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法定代表人授权委托书</w:t>
      </w:r>
    </w:p>
    <w:p>
      <w:pPr>
        <w:spacing w:line="480" w:lineRule="auto"/>
        <w:rPr>
          <w:rFonts w:hint="eastAsia" w:ascii="宋体" w:hAnsi="宋体" w:eastAsia="宋体"/>
          <w:bCs/>
          <w:color w:val="000000"/>
          <w:sz w:val="24"/>
          <w:lang w:eastAsia="zh-CN"/>
        </w:rPr>
      </w:pPr>
      <w:r>
        <w:rPr>
          <w:rFonts w:hint="eastAsia" w:ascii="楷体_GB2312" w:eastAsia="楷体_GB2312"/>
          <w:bCs/>
          <w:color w:val="000000"/>
          <w:sz w:val="30"/>
        </w:rPr>
        <w:t xml:space="preserve">                           </w:t>
      </w:r>
      <w:r>
        <w:rPr>
          <w:rFonts w:hint="eastAsia" w:ascii="宋体" w:hAnsi="宋体"/>
          <w:bCs/>
          <w:color w:val="000000"/>
          <w:sz w:val="24"/>
        </w:rPr>
        <w:t>采购编号：</w:t>
      </w:r>
      <w:r>
        <w:rPr>
          <w:rFonts w:hint="eastAsia" w:ascii="宋体" w:hAnsi="宋体"/>
          <w:b/>
          <w:bCs/>
          <w:color w:val="000000"/>
          <w:sz w:val="24"/>
          <w:lang w:eastAsia="zh-CN"/>
        </w:rPr>
        <w:t>JSZC-320292-BZDL-G2024-0044</w:t>
      </w:r>
    </w:p>
    <w:p>
      <w:pPr>
        <w:spacing w:line="480" w:lineRule="auto"/>
        <w:rPr>
          <w:rFonts w:ascii="宋体" w:hAnsi="宋体"/>
          <w:bCs/>
          <w:color w:val="000000"/>
          <w:sz w:val="24"/>
        </w:rPr>
      </w:pPr>
      <w:r>
        <w:rPr>
          <w:rFonts w:hint="eastAsia" w:ascii="宋体" w:hAnsi="宋体"/>
          <w:bCs/>
          <w:color w:val="000000"/>
          <w:sz w:val="24"/>
        </w:rPr>
        <w:t xml:space="preserve">                           </w:t>
      </w:r>
      <w:r>
        <w:rPr>
          <w:rFonts w:ascii="宋体" w:hAnsi="宋体"/>
          <w:bCs/>
          <w:color w:val="000000"/>
          <w:sz w:val="24"/>
        </w:rPr>
        <w:t xml:space="preserve">   </w:t>
      </w:r>
      <w:r>
        <w:rPr>
          <w:rFonts w:hint="eastAsia" w:ascii="宋体" w:hAnsi="宋体"/>
          <w:bCs/>
          <w:color w:val="000000"/>
          <w:sz w:val="24"/>
        </w:rPr>
        <w:t xml:space="preserve">     日期：</w:t>
      </w:r>
    </w:p>
    <w:p>
      <w:pPr>
        <w:spacing w:line="480" w:lineRule="auto"/>
        <w:rPr>
          <w:rFonts w:ascii="宋体" w:hAnsi="宋体"/>
          <w:bCs/>
          <w:color w:val="000000"/>
          <w:sz w:val="24"/>
        </w:rPr>
      </w:pPr>
      <w:r>
        <w:rPr>
          <w:rFonts w:hint="eastAsia" w:ascii="宋体" w:hAnsi="宋体"/>
          <w:bCs/>
          <w:color w:val="000000"/>
          <w:sz w:val="24"/>
        </w:rPr>
        <w:t>江苏博智工程咨询有限公司：</w:t>
      </w:r>
    </w:p>
    <w:p>
      <w:pPr>
        <w:spacing w:line="480" w:lineRule="auto"/>
        <w:rPr>
          <w:rFonts w:ascii="宋体" w:hAnsi="宋体"/>
          <w:bCs/>
          <w:color w:val="000000"/>
          <w:sz w:val="24"/>
        </w:rPr>
      </w:pPr>
      <w:r>
        <w:rPr>
          <w:rFonts w:hint="eastAsia" w:ascii="宋体" w:hAnsi="宋体"/>
          <w:bCs/>
          <w:color w:val="000000"/>
          <w:sz w:val="24"/>
        </w:rPr>
        <w:t xml:space="preserve">     </w:t>
      </w:r>
      <w:r>
        <w:rPr>
          <w:rFonts w:hint="eastAsia" w:ascii="宋体" w:hAnsi="宋体"/>
          <w:bCs/>
          <w:color w:val="000000"/>
          <w:sz w:val="24"/>
          <w:u w:val="single"/>
        </w:rPr>
        <w:t xml:space="preserve">   （投标人单位名称）          </w:t>
      </w:r>
      <w:r>
        <w:rPr>
          <w:rFonts w:hint="eastAsia" w:ascii="宋体" w:hAnsi="宋体"/>
          <w:bCs/>
          <w:color w:val="000000"/>
          <w:sz w:val="24"/>
        </w:rPr>
        <w:t>系中华人民共和国合法企业，</w:t>
      </w:r>
    </w:p>
    <w:p>
      <w:pPr>
        <w:spacing w:line="480" w:lineRule="auto"/>
        <w:rPr>
          <w:rFonts w:ascii="宋体" w:hAnsi="宋体"/>
          <w:bCs/>
          <w:color w:val="000000"/>
          <w:sz w:val="24"/>
        </w:rPr>
      </w:pPr>
      <w:r>
        <w:rPr>
          <w:rFonts w:hint="eastAsia" w:ascii="宋体" w:hAnsi="宋体"/>
          <w:bCs/>
          <w:color w:val="000000"/>
          <w:sz w:val="24"/>
        </w:rPr>
        <w:t>法定地址：</w:t>
      </w:r>
      <w:r>
        <w:rPr>
          <w:rFonts w:hint="eastAsia" w:ascii="宋体" w:hAnsi="宋体"/>
          <w:bCs/>
          <w:color w:val="000000"/>
          <w:sz w:val="24"/>
          <w:u w:val="single"/>
        </w:rPr>
        <w:t xml:space="preserve">                </w:t>
      </w:r>
      <w:r>
        <w:rPr>
          <w:rFonts w:hint="eastAsia" w:ascii="宋体" w:hAnsi="宋体"/>
          <w:bCs/>
          <w:color w:val="000000"/>
          <w:sz w:val="24"/>
        </w:rPr>
        <w:t>，特授权</w:t>
      </w:r>
      <w:r>
        <w:rPr>
          <w:rFonts w:hint="eastAsia" w:ascii="宋体" w:hAnsi="宋体"/>
          <w:bCs/>
          <w:color w:val="000000"/>
          <w:sz w:val="24"/>
          <w:u w:val="single"/>
        </w:rPr>
        <w:t xml:space="preserve">    （姓名）   </w:t>
      </w:r>
      <w:r>
        <w:rPr>
          <w:rFonts w:hint="eastAsia" w:ascii="宋体" w:hAnsi="宋体"/>
          <w:bCs/>
          <w:color w:val="000000"/>
          <w:sz w:val="24"/>
        </w:rPr>
        <w:t>代表我公司（单位）全权办理针对本项目（</w:t>
      </w:r>
      <w:r>
        <w:rPr>
          <w:rFonts w:hint="eastAsia" w:ascii="宋体" w:hAnsi="宋体"/>
          <w:b/>
          <w:bCs/>
          <w:color w:val="000000"/>
          <w:sz w:val="24"/>
        </w:rPr>
        <w:t>采购编号：</w:t>
      </w:r>
      <w:r>
        <w:rPr>
          <w:rFonts w:hint="eastAsia" w:ascii="宋体" w:hAnsi="宋体"/>
          <w:b/>
          <w:bCs/>
          <w:color w:val="000000"/>
          <w:sz w:val="24"/>
          <w:lang w:eastAsia="zh-CN"/>
        </w:rPr>
        <w:t>JSZC-320292-BZDL-G2024-0044</w:t>
      </w:r>
      <w:r>
        <w:rPr>
          <w:rFonts w:hint="eastAsia" w:ascii="黑体" w:eastAsia="黑体"/>
          <w:bCs/>
          <w:color w:val="000000"/>
          <w:sz w:val="24"/>
        </w:rPr>
        <w:t>）</w:t>
      </w:r>
      <w:r>
        <w:rPr>
          <w:rFonts w:hint="eastAsia" w:ascii="宋体" w:hAnsi="宋体"/>
          <w:bCs/>
          <w:color w:val="000000"/>
          <w:sz w:val="24"/>
        </w:rPr>
        <w:t>的投标，参与谈判、签约等具体工作，并签署全部有关的文件、协议及合同。</w:t>
      </w:r>
    </w:p>
    <w:p>
      <w:pPr>
        <w:spacing w:line="480" w:lineRule="auto"/>
        <w:ind w:firstLine="525"/>
        <w:rPr>
          <w:rFonts w:ascii="宋体" w:hAnsi="宋体"/>
          <w:bCs/>
          <w:color w:val="000000"/>
          <w:sz w:val="24"/>
        </w:rPr>
      </w:pPr>
      <w:r>
        <w:rPr>
          <w:rFonts w:hint="eastAsia" w:ascii="宋体" w:hAnsi="宋体"/>
          <w:bCs/>
          <w:color w:val="000000"/>
          <w:sz w:val="24"/>
        </w:rPr>
        <w:t>我公司（单位）对被授权人的签名负全部责任。</w:t>
      </w:r>
    </w:p>
    <w:p>
      <w:pPr>
        <w:spacing w:line="480" w:lineRule="auto"/>
        <w:ind w:firstLine="523"/>
        <w:rPr>
          <w:rFonts w:ascii="宋体" w:hAnsi="宋体"/>
          <w:bCs/>
          <w:color w:val="000000"/>
          <w:sz w:val="24"/>
        </w:rPr>
      </w:pPr>
      <w:r>
        <w:rPr>
          <w:rFonts w:hint="eastAsia" w:ascii="宋体" w:hAnsi="宋体"/>
          <w:bCs/>
          <w:color w:val="000000"/>
          <w:sz w:val="24"/>
        </w:rPr>
        <w:t>在撤销授权的书面通知送达你处以前，本授权书一直有效，被授权人签署的所有文件（在授权书有效期内签署的）不因授权的撤销而失效。被授权人无转委托权。</w:t>
      </w:r>
    </w:p>
    <w:p>
      <w:pPr>
        <w:spacing w:line="480" w:lineRule="auto"/>
        <w:ind w:firstLine="525"/>
        <w:rPr>
          <w:rFonts w:ascii="宋体" w:hAnsi="宋体"/>
          <w:bCs/>
          <w:color w:val="000000"/>
          <w:sz w:val="24"/>
        </w:rPr>
      </w:pPr>
      <w:r>
        <w:rPr>
          <w:rFonts w:hint="eastAsia" w:ascii="宋体" w:hAnsi="宋体"/>
          <w:bCs/>
          <w:color w:val="000000"/>
          <w:sz w:val="24"/>
        </w:rPr>
        <w:t>被授权人情况：</w:t>
      </w:r>
    </w:p>
    <w:p>
      <w:pPr>
        <w:spacing w:line="480" w:lineRule="auto"/>
        <w:ind w:firstLine="525"/>
        <w:rPr>
          <w:rFonts w:ascii="宋体" w:hAnsi="宋体"/>
          <w:bCs/>
          <w:color w:val="000000"/>
          <w:sz w:val="24"/>
        </w:rPr>
      </w:pPr>
      <w:r>
        <w:rPr>
          <w:rFonts w:hint="eastAsia" w:ascii="宋体" w:hAnsi="宋体"/>
          <w:bCs/>
          <w:color w:val="000000"/>
          <w:sz w:val="24"/>
        </w:rPr>
        <w:t>姓名：         性别：       年龄：       职务：</w:t>
      </w:r>
    </w:p>
    <w:p>
      <w:pPr>
        <w:spacing w:line="480" w:lineRule="auto"/>
        <w:ind w:firstLine="525"/>
        <w:rPr>
          <w:rFonts w:ascii="宋体" w:hAnsi="宋体"/>
          <w:bCs/>
          <w:color w:val="000000"/>
          <w:sz w:val="24"/>
        </w:rPr>
      </w:pPr>
      <w:r>
        <w:rPr>
          <w:rFonts w:hint="eastAsia" w:ascii="宋体" w:hAnsi="宋体"/>
          <w:bCs/>
          <w:color w:val="000000"/>
          <w:sz w:val="24"/>
        </w:rPr>
        <w:t>身份证号码：                电话：</w:t>
      </w:r>
    </w:p>
    <w:p>
      <w:pPr>
        <w:spacing w:line="480" w:lineRule="auto"/>
        <w:ind w:firstLine="525"/>
        <w:rPr>
          <w:rFonts w:ascii="宋体" w:hAnsi="宋体"/>
          <w:bCs/>
          <w:color w:val="000000"/>
          <w:sz w:val="24"/>
        </w:rPr>
      </w:pPr>
      <w:r>
        <w:rPr>
          <w:rFonts w:hint="eastAsia" w:ascii="宋体" w:hAnsi="宋体"/>
          <w:bCs/>
          <w:color w:val="000000"/>
          <w:sz w:val="24"/>
        </w:rPr>
        <w:t>通讯地址：</w:t>
      </w:r>
    </w:p>
    <w:p>
      <w:pPr>
        <w:spacing w:line="480" w:lineRule="auto"/>
        <w:ind w:firstLine="525"/>
        <w:rPr>
          <w:rFonts w:ascii="宋体" w:hAnsi="宋体"/>
          <w:bCs/>
          <w:color w:val="000000"/>
          <w:sz w:val="24"/>
        </w:rPr>
      </w:pPr>
      <w:r>
        <w:rPr>
          <w:rFonts w:hint="eastAsia" w:ascii="宋体" w:hAnsi="宋体"/>
          <w:bCs/>
          <w:color w:val="000000"/>
          <w:sz w:val="24"/>
        </w:rPr>
        <w:t>被授权人签名：                单位名称（盖章）：</w:t>
      </w:r>
    </w:p>
    <w:p>
      <w:pPr>
        <w:spacing w:line="480" w:lineRule="auto"/>
        <w:ind w:firstLine="420"/>
        <w:rPr>
          <w:rFonts w:ascii="宋体" w:hAnsi="宋体"/>
          <w:bCs/>
          <w:color w:val="000000"/>
          <w:sz w:val="24"/>
        </w:rPr>
      </w:pPr>
      <w:r>
        <w:rPr>
          <w:rFonts w:hint="eastAsia" w:ascii="宋体" w:hAnsi="宋体"/>
          <w:bCs/>
          <w:color w:val="000000"/>
          <w:sz w:val="24"/>
        </w:rPr>
        <w:t xml:space="preserve">                       法定代表人（签字或盖章）：</w:t>
      </w:r>
    </w:p>
    <w:p>
      <w:pPr>
        <w:spacing w:line="480" w:lineRule="auto"/>
        <w:rPr>
          <w:rFonts w:ascii="宋体" w:hAnsi="宋体"/>
          <w:bCs/>
          <w:color w:val="000000"/>
          <w:sz w:val="24"/>
        </w:rPr>
      </w:pPr>
      <w:r>
        <w:rPr>
          <w:rFonts w:ascii="宋体" w:hAnsi="宋体"/>
          <w:bCs/>
          <w:color w:val="000000"/>
          <w:sz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ge">
                  <wp:posOffset>8112760</wp:posOffset>
                </wp:positionV>
                <wp:extent cx="2867660" cy="1584960"/>
                <wp:effectExtent l="4445" t="4445" r="10795" b="10795"/>
                <wp:wrapSquare wrapText="bothSides"/>
                <wp:docPr id="2" name="shape 1"/>
                <wp:cNvGraphicFramePr/>
                <a:graphic xmlns:a="http://schemas.openxmlformats.org/drawingml/2006/main">
                  <a:graphicData uri="http://schemas.microsoft.com/office/word/2010/wordprocessingShape">
                    <wps:wsp>
                      <wps:cNvSpPr txBox="1"/>
                      <wps:spPr>
                        <a:xfrm>
                          <a:off x="0" y="0"/>
                          <a:ext cx="286766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txbxContent>
                      </wps:txbx>
                      <wps:bodyPr lIns="0" tIns="0" rIns="0" bIns="0" upright="1"/>
                    </wps:wsp>
                  </a:graphicData>
                </a:graphic>
              </wp:anchor>
            </w:drawing>
          </mc:Choice>
          <mc:Fallback>
            <w:pict>
              <v:shape id="shape 1" o:spid="_x0000_s1026" o:spt="202" type="#_x0000_t202" style="position:absolute;left:0pt;margin-left:243pt;margin-top:638.8pt;height:124.8pt;width:225.8pt;mso-position-vertical-relative:page;mso-wrap-distance-bottom:0pt;mso-wrap-distance-left:9pt;mso-wrap-distance-right:9pt;mso-wrap-distance-top:0pt;z-index:251660288;mso-width-relative:page;mso-height-relative:page;" fillcolor="#FFFFFF" filled="t" stroked="t" coordsize="21600,21600" o:gfxdata="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UDeqXbAAAADQEAAA8AAAAAAAAAAQAgAAAA&#10;IgAAAGRycy9kb3ducmV2LnhtbFBLAQIUABQAAAAIAIdO4kBr4TZ3CAIAAFcEAAAOAAAAAAAAAAEA&#10;IAAAACoBAABkcnMvZTJvRG9jLnhtbFBLBQYAAAAABgAGAFkBAACkBQAAAAA=&#10;">
                <v:fill on="t" focussize="0,0"/>
                <v:stroke color="#000000" joinstyle="miter"/>
                <v:imagedata o:title=""/>
                <o:lock v:ext="edit" aspectratio="f"/>
                <v:textbox inset="0mm,0mm,0mm,0mm">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授权代表身份证复印件</w:t>
                      </w:r>
                    </w:p>
                    <w:p/>
                  </w:txbxContent>
                </v:textbox>
                <w10:wrap type="square"/>
              </v:shape>
            </w:pict>
          </mc:Fallback>
        </mc:AlternateContent>
      </w:r>
      <w:r>
        <w:rPr>
          <w:rFonts w:ascii="宋体" w:hAnsi="宋体"/>
          <w:bCs/>
          <w:color w:val="000000"/>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ge">
                  <wp:posOffset>8112760</wp:posOffset>
                </wp:positionV>
                <wp:extent cx="2867660" cy="1584960"/>
                <wp:effectExtent l="4445" t="4445" r="10795" b="10795"/>
                <wp:wrapSquare wrapText="bothSides"/>
                <wp:docPr id="1" name="shape 2"/>
                <wp:cNvGraphicFramePr/>
                <a:graphic xmlns:a="http://schemas.openxmlformats.org/drawingml/2006/main">
                  <a:graphicData uri="http://schemas.microsoft.com/office/word/2010/wordprocessingShape">
                    <wps:wsp>
                      <wps:cNvSpPr txBox="1"/>
                      <wps:spPr>
                        <a:xfrm>
                          <a:off x="0" y="0"/>
                          <a:ext cx="286766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txbxContent>
                      </wps:txbx>
                      <wps:bodyPr lIns="0" tIns="0" rIns="0" bIns="0" upright="1"/>
                    </wps:wsp>
                  </a:graphicData>
                </a:graphic>
              </wp:anchor>
            </w:drawing>
          </mc:Choice>
          <mc:Fallback>
            <w:pict>
              <v:shape id="shape 2" o:spid="_x0000_s1026" o:spt="202" type="#_x0000_t202" style="position:absolute;left:0pt;margin-left:9pt;margin-top:638.8pt;height:124.8pt;width:225.8pt;mso-position-vertical-relative:page;mso-wrap-distance-bottom:0pt;mso-wrap-distance-left:9pt;mso-wrap-distance-right:9pt;mso-wrap-distance-top:0pt;z-index:251659264;mso-width-relative:page;mso-height-relative:page;" fillcolor="#FFFFFF" filled="t" stroked="t" coordsize="21600,21600" o:gfxdata="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TPXvYAAAADAEAAA8AAAAAAAAAAQAgAAAAIgAA&#10;AGRycy9kb3ducmV2LnhtbFBLAQIUABQAAAAIAIdO4kDxiaRQCAIAAFcEAAAOAAAAAAAAAAEAIAAA&#10;ACcBAABkcnMvZTJvRG9jLnhtbFBLBQYAAAAABgAGAFkBAAChBQAAAAA=&#10;">
                <v:fill on="t" focussize="0,0"/>
                <v:stroke color="#000000" joinstyle="miter"/>
                <v:imagedata o:title=""/>
                <o:lock v:ext="edit" aspectratio="f"/>
                <v:textbox inset="0mm,0mm,0mm,0mm">
                  <w:txbxContent>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法定代表人身份证复印件</w:t>
                      </w:r>
                    </w:p>
                    <w:p/>
                  </w:txbxContent>
                </v:textbox>
                <w10:wrap type="square"/>
              </v:shape>
            </w:pict>
          </mc:Fallback>
        </mc:AlternateContent>
      </w:r>
    </w:p>
    <w:p>
      <w:pPr>
        <w:spacing w:line="360" w:lineRule="auto"/>
        <w:jc w:val="center"/>
        <w:outlineLvl w:val="0"/>
        <w:rPr>
          <w:rFonts w:ascii="黑体" w:eastAsia="黑体"/>
          <w:b/>
          <w:color w:val="000000"/>
          <w:sz w:val="30"/>
          <w:szCs w:val="30"/>
        </w:rPr>
      </w:pPr>
      <w:r>
        <w:rPr>
          <w:rFonts w:hint="eastAsia" w:ascii="黑体" w:eastAsia="黑体"/>
          <w:b/>
          <w:color w:val="000000"/>
          <w:sz w:val="30"/>
          <w:szCs w:val="30"/>
        </w:rPr>
        <w:t>（四）承诺书（格式）：</w:t>
      </w:r>
    </w:p>
    <w:p>
      <w:pPr>
        <w:outlineLvl w:val="0"/>
        <w:rPr>
          <w:rFonts w:ascii="黑体" w:eastAsia="黑体"/>
          <w:bCs/>
          <w:color w:val="000000"/>
          <w:sz w:val="28"/>
          <w:szCs w:val="28"/>
        </w:rPr>
      </w:pPr>
    </w:p>
    <w:p>
      <w:pPr>
        <w:jc w:val="center"/>
        <w:rPr>
          <w:rFonts w:ascii="黑体" w:eastAsia="黑体"/>
          <w:bCs/>
          <w:color w:val="000000"/>
          <w:sz w:val="28"/>
          <w:szCs w:val="28"/>
        </w:rPr>
      </w:pPr>
    </w:p>
    <w:p>
      <w:pPr>
        <w:spacing w:line="48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（投标人名称）在此承诺：</w:t>
      </w:r>
    </w:p>
    <w:p>
      <w:pPr>
        <w:spacing w:line="480" w:lineRule="auto"/>
        <w:rPr>
          <w:rFonts w:ascii="宋体" w:hAnsi="宋体"/>
          <w:color w:val="000000"/>
          <w:sz w:val="24"/>
        </w:rPr>
      </w:pPr>
    </w:p>
    <w:p>
      <w:pPr>
        <w:spacing w:line="480" w:lineRule="auto"/>
        <w:rPr>
          <w:rFonts w:ascii="宋体" w:hAnsi="宋体"/>
          <w:bCs/>
          <w:color w:val="000000"/>
          <w:sz w:val="24"/>
        </w:rPr>
      </w:pPr>
      <w:r>
        <w:rPr>
          <w:rFonts w:hint="eastAsia" w:ascii="宋体" w:hAnsi="宋体"/>
          <w:bCs/>
          <w:color w:val="000000"/>
          <w:sz w:val="24"/>
        </w:rPr>
        <w:t>1．本公司（单位）对本项目（</w:t>
      </w:r>
      <w:r>
        <w:rPr>
          <w:rFonts w:hint="eastAsia" w:ascii="宋体" w:hAnsi="宋体"/>
          <w:bCs/>
          <w:color w:val="000000"/>
          <w:sz w:val="24"/>
          <w:lang w:eastAsia="zh-CN"/>
        </w:rPr>
        <w:t>JSZC-320292-BZDL-G2024-0044</w:t>
      </w:r>
      <w:r>
        <w:rPr>
          <w:rFonts w:hint="eastAsia" w:ascii="宋体" w:hAnsi="宋体"/>
          <w:bCs/>
          <w:color w:val="000000"/>
          <w:sz w:val="24"/>
        </w:rPr>
        <w:t>）提供符合招标要求的产品和服务；</w:t>
      </w:r>
    </w:p>
    <w:p>
      <w:pPr>
        <w:spacing w:line="480" w:lineRule="auto"/>
        <w:rPr>
          <w:rFonts w:ascii="宋体" w:hAnsi="宋体"/>
          <w:bCs/>
          <w:color w:val="000000"/>
          <w:sz w:val="24"/>
        </w:rPr>
      </w:pPr>
      <w:r>
        <w:rPr>
          <w:rFonts w:hint="eastAsia" w:ascii="宋体" w:hAnsi="宋体"/>
          <w:bCs/>
          <w:color w:val="000000"/>
          <w:sz w:val="24"/>
        </w:rPr>
        <w:t>2．本公司（单位）具备履行合同所必需的设备和专业技术能力；</w:t>
      </w:r>
    </w:p>
    <w:p>
      <w:pPr>
        <w:spacing w:line="480" w:lineRule="auto"/>
        <w:rPr>
          <w:rFonts w:ascii="宋体" w:hAnsi="宋体"/>
          <w:bCs/>
          <w:color w:val="000000"/>
          <w:sz w:val="24"/>
        </w:rPr>
      </w:pPr>
      <w:r>
        <w:rPr>
          <w:rFonts w:hint="eastAsia" w:ascii="宋体" w:hAnsi="宋体"/>
          <w:bCs/>
          <w:color w:val="000000"/>
          <w:sz w:val="24"/>
        </w:rPr>
        <w:t>3. 本公司未被“信用中国”网站（www.creditchina.gov.cn）列入失信执行人、重大税收违法失信主体、政府采购严重违法失信行为记录名单。</w:t>
      </w:r>
    </w:p>
    <w:p>
      <w:pPr>
        <w:spacing w:line="480" w:lineRule="auto"/>
        <w:rPr>
          <w:rFonts w:ascii="宋体" w:hAnsi="宋体"/>
          <w:bCs/>
          <w:color w:val="000000"/>
          <w:sz w:val="24"/>
        </w:rPr>
      </w:pPr>
      <w:r>
        <w:rPr>
          <w:rFonts w:hint="eastAsia" w:ascii="宋体" w:hAnsi="宋体"/>
          <w:bCs/>
          <w:color w:val="000000"/>
          <w:sz w:val="24"/>
        </w:rPr>
        <w:t>4. ...</w:t>
      </w:r>
    </w:p>
    <w:p>
      <w:pPr>
        <w:spacing w:line="480" w:lineRule="auto"/>
        <w:rPr>
          <w:rFonts w:ascii="宋体" w:hAnsi="宋体"/>
          <w:color w:val="000000"/>
          <w:sz w:val="24"/>
        </w:rPr>
      </w:pPr>
      <w:r>
        <w:rPr>
          <w:rFonts w:hint="eastAsia" w:ascii="宋体" w:hAnsi="宋体"/>
          <w:bCs/>
          <w:color w:val="000000"/>
          <w:sz w:val="24"/>
        </w:rPr>
        <w:t>如违背上述承诺，本公司（单位）将承担一切法律责任。</w:t>
      </w:r>
    </w:p>
    <w:p>
      <w:pPr>
        <w:spacing w:line="480" w:lineRule="auto"/>
        <w:rPr>
          <w:rFonts w:ascii="宋体" w:hAnsi="宋体"/>
          <w:color w:val="000000"/>
          <w:sz w:val="24"/>
        </w:rPr>
      </w:pPr>
    </w:p>
    <w:p>
      <w:pPr>
        <w:spacing w:line="480" w:lineRule="auto"/>
        <w:ind w:firstLine="5400"/>
        <w:rPr>
          <w:rFonts w:ascii="宋体" w:hAnsi="宋体"/>
          <w:bCs/>
          <w:color w:val="000000"/>
          <w:sz w:val="24"/>
        </w:rPr>
      </w:pPr>
    </w:p>
    <w:p>
      <w:pPr>
        <w:spacing w:line="480" w:lineRule="auto"/>
        <w:ind w:firstLine="3720"/>
        <w:rPr>
          <w:rFonts w:ascii="宋体" w:hAnsi="宋体"/>
          <w:bCs/>
          <w:color w:val="000000"/>
          <w:sz w:val="24"/>
        </w:rPr>
      </w:pPr>
      <w:r>
        <w:rPr>
          <w:rFonts w:hint="eastAsia" w:ascii="宋体" w:hAnsi="宋体"/>
          <w:bCs/>
          <w:color w:val="000000"/>
          <w:sz w:val="24"/>
        </w:rPr>
        <w:t>投标人（盖章）：</w:t>
      </w:r>
    </w:p>
    <w:p>
      <w:pPr>
        <w:spacing w:line="480" w:lineRule="auto"/>
        <w:ind w:firstLine="480"/>
        <w:rPr>
          <w:rFonts w:ascii="宋体" w:hAnsi="宋体"/>
          <w:bCs/>
          <w:color w:val="000000"/>
          <w:sz w:val="24"/>
        </w:rPr>
      </w:pPr>
      <w:r>
        <w:rPr>
          <w:rFonts w:hint="eastAsia" w:ascii="宋体" w:hAnsi="宋体"/>
          <w:bCs/>
          <w:color w:val="000000"/>
          <w:sz w:val="24"/>
        </w:rPr>
        <w:t>法定代表人或被授权委托人签字或盖章：</w:t>
      </w:r>
    </w:p>
    <w:p>
      <w:pPr>
        <w:outlineLvl w:val="0"/>
        <w:rPr>
          <w:rFonts w:ascii="黑体" w:hAnsi="宋体" w:eastAsia="黑体"/>
          <w:bCs/>
          <w:color w:val="000000"/>
          <w:sz w:val="24"/>
        </w:rPr>
      </w:pPr>
    </w:p>
    <w:p>
      <w:pPr>
        <w:outlineLvl w:val="0"/>
        <w:rPr>
          <w:rFonts w:ascii="黑体" w:hAnsi="宋体" w:eastAsia="黑体"/>
          <w:bCs/>
          <w:color w:val="000000"/>
          <w:sz w:val="24"/>
        </w:rPr>
      </w:pPr>
    </w:p>
    <w:p>
      <w:pPr>
        <w:outlineLvl w:val="0"/>
        <w:rPr>
          <w:rFonts w:ascii="黑体" w:hAnsi="宋体" w:eastAsia="黑体"/>
          <w:bCs/>
          <w:color w:val="000000"/>
          <w:sz w:val="24"/>
        </w:rPr>
      </w:pPr>
    </w:p>
    <w:p>
      <w:pPr>
        <w:outlineLvl w:val="0"/>
        <w:rPr>
          <w:rFonts w:ascii="黑体" w:eastAsia="黑体"/>
          <w:bCs/>
          <w:color w:val="000000"/>
          <w:sz w:val="28"/>
          <w:szCs w:val="28"/>
        </w:rPr>
      </w:pPr>
    </w:p>
    <w:p>
      <w:pPr>
        <w:outlineLvl w:val="0"/>
        <w:rPr>
          <w:rFonts w:ascii="黑体" w:eastAsia="黑体"/>
          <w:bCs/>
          <w:color w:val="000000"/>
          <w:sz w:val="28"/>
          <w:szCs w:val="28"/>
        </w:rPr>
      </w:pPr>
    </w:p>
    <w:p>
      <w:pPr>
        <w:outlineLvl w:val="0"/>
        <w:rPr>
          <w:rFonts w:ascii="黑体" w:eastAsia="黑体"/>
          <w:bCs/>
          <w:color w:val="000000"/>
          <w:sz w:val="28"/>
          <w:szCs w:val="28"/>
        </w:rPr>
      </w:pPr>
    </w:p>
    <w:p>
      <w:pPr>
        <w:outlineLvl w:val="0"/>
        <w:rPr>
          <w:rFonts w:ascii="黑体" w:eastAsia="黑体"/>
          <w:bCs/>
          <w:color w:val="000000"/>
          <w:sz w:val="28"/>
          <w:szCs w:val="28"/>
        </w:rPr>
      </w:pPr>
    </w:p>
    <w:p>
      <w:pPr>
        <w:pStyle w:val="189"/>
      </w:pPr>
    </w:p>
    <w:p>
      <w:pPr>
        <w:outlineLvl w:val="0"/>
        <w:rPr>
          <w:rFonts w:ascii="黑体" w:eastAsia="黑体"/>
          <w:bCs/>
          <w:color w:val="000000"/>
          <w:sz w:val="28"/>
          <w:szCs w:val="28"/>
        </w:rPr>
      </w:pPr>
    </w:p>
    <w:p>
      <w:pPr>
        <w:spacing w:line="360" w:lineRule="auto"/>
        <w:jc w:val="center"/>
        <w:outlineLvl w:val="0"/>
        <w:rPr>
          <w:rFonts w:ascii="黑体" w:eastAsia="黑体"/>
          <w:b/>
          <w:color w:val="000000"/>
          <w:sz w:val="30"/>
          <w:szCs w:val="30"/>
        </w:rPr>
      </w:pPr>
    </w:p>
    <w:p>
      <w:pPr>
        <w:spacing w:line="360" w:lineRule="auto"/>
        <w:jc w:val="center"/>
        <w:outlineLvl w:val="0"/>
        <w:rPr>
          <w:rFonts w:ascii="黑体" w:eastAsia="黑体"/>
          <w:b/>
          <w:color w:val="000000"/>
          <w:sz w:val="30"/>
          <w:szCs w:val="30"/>
        </w:rPr>
      </w:pPr>
    </w:p>
    <w:p>
      <w:pPr>
        <w:spacing w:line="360" w:lineRule="auto"/>
        <w:jc w:val="center"/>
        <w:outlineLvl w:val="0"/>
        <w:rPr>
          <w:rFonts w:ascii="黑体" w:eastAsia="黑体"/>
          <w:b/>
          <w:color w:val="000000"/>
          <w:sz w:val="30"/>
          <w:szCs w:val="30"/>
        </w:rPr>
      </w:pPr>
    </w:p>
    <w:p>
      <w:pPr>
        <w:spacing w:line="360" w:lineRule="auto"/>
        <w:jc w:val="center"/>
        <w:outlineLvl w:val="0"/>
        <w:rPr>
          <w:rFonts w:ascii="黑体" w:eastAsia="黑体"/>
          <w:b/>
          <w:color w:val="000000"/>
          <w:sz w:val="30"/>
          <w:szCs w:val="30"/>
        </w:rPr>
      </w:pPr>
      <w:r>
        <w:rPr>
          <w:rFonts w:hint="eastAsia" w:ascii="黑体" w:eastAsia="黑体"/>
          <w:b/>
          <w:color w:val="000000"/>
          <w:sz w:val="30"/>
          <w:szCs w:val="30"/>
        </w:rPr>
        <w:t>（五）开标一览表（格式）</w:t>
      </w:r>
    </w:p>
    <w:p>
      <w:pPr>
        <w:spacing w:line="300" w:lineRule="auto"/>
        <w:jc w:val="center"/>
        <w:rPr>
          <w:rFonts w:ascii="宋体" w:hAnsi="宋体" w:cs="宋体"/>
          <w:b/>
          <w:bCs/>
          <w:color w:val="000000"/>
          <w:sz w:val="36"/>
          <w:szCs w:val="36"/>
        </w:rPr>
      </w:pPr>
    </w:p>
    <w:p>
      <w:pPr>
        <w:spacing w:line="300" w:lineRule="auto"/>
        <w:rPr>
          <w:rFonts w:ascii="宋体" w:hAnsi="宋体"/>
          <w:color w:val="000000"/>
        </w:rPr>
      </w:pPr>
      <w:r>
        <w:rPr>
          <w:rFonts w:hint="eastAsia" w:ascii="宋体" w:hAnsi="宋体"/>
          <w:color w:val="000000"/>
          <w:sz w:val="24"/>
        </w:rPr>
        <w:t xml:space="preserve">投标人全称（加盖公章）：  </w:t>
      </w:r>
      <w:r>
        <w:rPr>
          <w:rFonts w:hint="eastAsia" w:ascii="宋体" w:hAnsi="宋体" w:cs="宋体"/>
          <w:color w:val="000000"/>
          <w:sz w:val="24"/>
          <w:szCs w:val="28"/>
        </w:rPr>
        <w:t xml:space="preserve">                      </w:t>
      </w:r>
      <w:r>
        <w:rPr>
          <w:rFonts w:hint="eastAsia" w:ascii="宋体" w:hAnsi="宋体"/>
          <w:color w:val="000000"/>
          <w:sz w:val="24"/>
        </w:rPr>
        <w:t>采购编号：</w:t>
      </w:r>
      <w:r>
        <w:rPr>
          <w:rFonts w:hint="eastAsia" w:ascii="宋体" w:hAnsi="宋体"/>
          <w:color w:val="000000"/>
        </w:rPr>
        <w:t xml:space="preserve"> </w:t>
      </w:r>
    </w:p>
    <w:tbl>
      <w:tblPr>
        <w:tblStyle w:val="2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6"/>
        <w:gridCol w:w="7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3" w:hRule="atLeast"/>
          <w:jc w:val="center"/>
        </w:trPr>
        <w:tc>
          <w:tcPr>
            <w:tcW w:w="1305" w:type="pct"/>
            <w:vAlign w:val="center"/>
          </w:tcPr>
          <w:p>
            <w:pPr>
              <w:pStyle w:val="189"/>
              <w:spacing w:line="300" w:lineRule="auto"/>
              <w:jc w:val="center"/>
              <w:rPr>
                <w:rFonts w:ascii="宋体" w:hAnsi="宋体" w:eastAsia="宋体" w:cs="宋体"/>
                <w:sz w:val="24"/>
              </w:rPr>
            </w:pPr>
            <w:r>
              <w:rPr>
                <w:rFonts w:hint="eastAsia" w:ascii="宋体" w:hAnsi="宋体" w:eastAsia="宋体" w:cs="宋体"/>
                <w:sz w:val="24"/>
              </w:rPr>
              <w:t>项目总报价</w:t>
            </w:r>
          </w:p>
        </w:tc>
        <w:tc>
          <w:tcPr>
            <w:tcW w:w="3694" w:type="pct"/>
            <w:vAlign w:val="center"/>
          </w:tcPr>
          <w:p>
            <w:pPr>
              <w:pStyle w:val="189"/>
              <w:spacing w:line="300" w:lineRule="auto"/>
              <w:rPr>
                <w:rFonts w:ascii="宋体" w:hAnsi="宋体" w:eastAsia="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jc w:val="center"/>
        </w:trPr>
        <w:tc>
          <w:tcPr>
            <w:tcW w:w="1305" w:type="pct"/>
            <w:vAlign w:val="center"/>
          </w:tcPr>
          <w:p>
            <w:pPr>
              <w:widowControl/>
              <w:jc w:val="center"/>
              <w:rPr>
                <w:rFonts w:ascii="宋体" w:hAnsi="宋体" w:cs="宋体"/>
                <w:color w:val="000000"/>
                <w:sz w:val="24"/>
              </w:rPr>
            </w:pPr>
            <w:r>
              <w:rPr>
                <w:rFonts w:hint="eastAsia" w:ascii="宋体" w:hAnsi="宋体" w:cs="宋体"/>
                <w:color w:val="000000"/>
                <w:sz w:val="24"/>
                <w:szCs w:val="28"/>
              </w:rPr>
              <w:t>供货期</w:t>
            </w:r>
          </w:p>
        </w:tc>
        <w:tc>
          <w:tcPr>
            <w:tcW w:w="3694" w:type="pct"/>
            <w:vAlign w:val="center"/>
          </w:tcPr>
          <w:p>
            <w:pPr>
              <w:spacing w:line="300" w:lineRule="auto"/>
              <w:rPr>
                <w:rFonts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31" w:hRule="atLeast"/>
          <w:jc w:val="center"/>
        </w:trPr>
        <w:tc>
          <w:tcPr>
            <w:tcW w:w="1305" w:type="pct"/>
            <w:vAlign w:val="center"/>
          </w:tcPr>
          <w:p>
            <w:pPr>
              <w:widowControl/>
              <w:jc w:val="center"/>
              <w:rPr>
                <w:rFonts w:ascii="宋体" w:hAnsi="宋体" w:cs="宋体"/>
                <w:color w:val="000000"/>
                <w:sz w:val="24"/>
                <w:szCs w:val="28"/>
              </w:rPr>
            </w:pPr>
            <w:r>
              <w:rPr>
                <w:rFonts w:hint="eastAsia" w:ascii="宋体" w:hAnsi="宋体" w:cs="宋体"/>
                <w:color w:val="000000"/>
                <w:sz w:val="24"/>
              </w:rPr>
              <w:t>质量要求</w:t>
            </w:r>
          </w:p>
        </w:tc>
        <w:tc>
          <w:tcPr>
            <w:tcW w:w="3694" w:type="pct"/>
            <w:vAlign w:val="center"/>
          </w:tcPr>
          <w:p>
            <w:pPr>
              <w:spacing w:line="300" w:lineRule="auto"/>
              <w:rPr>
                <w:rFonts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jc w:val="center"/>
        </w:trPr>
        <w:tc>
          <w:tcPr>
            <w:tcW w:w="1305" w:type="pct"/>
            <w:vAlign w:val="center"/>
          </w:tcPr>
          <w:p>
            <w:pPr>
              <w:widowControl/>
              <w:jc w:val="center"/>
              <w:rPr>
                <w:rFonts w:ascii="宋体" w:hAnsi="宋体" w:cs="宋体"/>
                <w:color w:val="000000"/>
                <w:sz w:val="24"/>
              </w:rPr>
            </w:pPr>
            <w:r>
              <w:rPr>
                <w:rFonts w:hint="eastAsia" w:ascii="宋体" w:hAnsi="宋体" w:cs="宋体"/>
                <w:color w:val="000000"/>
                <w:sz w:val="24"/>
              </w:rPr>
              <w:t>质保期</w:t>
            </w:r>
          </w:p>
        </w:tc>
        <w:tc>
          <w:tcPr>
            <w:tcW w:w="3694" w:type="pct"/>
            <w:vAlign w:val="center"/>
          </w:tcPr>
          <w:p>
            <w:pPr>
              <w:spacing w:line="300" w:lineRule="auto"/>
              <w:rPr>
                <w:rFonts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jc w:val="center"/>
        </w:trPr>
        <w:tc>
          <w:tcPr>
            <w:tcW w:w="1305" w:type="pct"/>
            <w:vAlign w:val="center"/>
          </w:tcPr>
          <w:p>
            <w:pPr>
              <w:widowControl/>
              <w:jc w:val="center"/>
              <w:rPr>
                <w:rFonts w:ascii="宋体" w:hAnsi="宋体" w:cs="宋体"/>
                <w:color w:val="000000"/>
                <w:sz w:val="24"/>
              </w:rPr>
            </w:pPr>
            <w:r>
              <w:rPr>
                <w:rFonts w:hint="eastAsia" w:ascii="宋体" w:hAnsi="宋体" w:cs="宋体"/>
                <w:color w:val="000000"/>
                <w:sz w:val="24"/>
              </w:rPr>
              <w:t>维修服务响应时间</w:t>
            </w:r>
          </w:p>
        </w:tc>
        <w:tc>
          <w:tcPr>
            <w:tcW w:w="3694" w:type="pct"/>
            <w:vAlign w:val="center"/>
          </w:tcPr>
          <w:p>
            <w:pPr>
              <w:spacing w:line="300" w:lineRule="auto"/>
              <w:rPr>
                <w:rFonts w:ascii="宋体" w:hAnsi="宋体" w:cs="宋体"/>
                <w:color w:val="00000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1" w:hRule="atLeast"/>
          <w:jc w:val="center"/>
        </w:trPr>
        <w:tc>
          <w:tcPr>
            <w:tcW w:w="1305" w:type="pct"/>
            <w:vAlign w:val="center"/>
          </w:tcPr>
          <w:p>
            <w:pPr>
              <w:widowControl/>
              <w:jc w:val="center"/>
              <w:rPr>
                <w:rFonts w:ascii="宋体" w:hAnsi="宋体" w:cs="宋体"/>
                <w:color w:val="000000"/>
                <w:sz w:val="24"/>
              </w:rPr>
            </w:pPr>
            <w:r>
              <w:rPr>
                <w:rFonts w:hint="eastAsia" w:ascii="宋体" w:hAnsi="宋体" w:cs="宋体"/>
                <w:color w:val="000000"/>
                <w:sz w:val="24"/>
                <w:szCs w:val="28"/>
              </w:rPr>
              <w:t>项目负责人</w:t>
            </w:r>
          </w:p>
        </w:tc>
        <w:tc>
          <w:tcPr>
            <w:tcW w:w="3694" w:type="pct"/>
            <w:vAlign w:val="center"/>
          </w:tcPr>
          <w:p>
            <w:pPr>
              <w:spacing w:line="300" w:lineRule="auto"/>
              <w:rPr>
                <w:rFonts w:ascii="宋体" w:hAnsi="宋体" w:cs="宋体"/>
                <w:color w:val="000000"/>
                <w:sz w:val="24"/>
                <w:szCs w:val="28"/>
              </w:rPr>
            </w:pPr>
          </w:p>
        </w:tc>
      </w:tr>
    </w:tbl>
    <w:p>
      <w:pPr>
        <w:spacing w:line="300" w:lineRule="auto"/>
        <w:rPr>
          <w:rFonts w:ascii="宋体" w:hAnsi="宋体"/>
          <w:color w:val="000000"/>
          <w:sz w:val="24"/>
        </w:rPr>
      </w:pPr>
    </w:p>
    <w:p>
      <w:pPr>
        <w:spacing w:line="300" w:lineRule="auto"/>
        <w:rPr>
          <w:rFonts w:ascii="宋体" w:hAnsi="宋体" w:cs="宋体"/>
          <w:color w:val="000000"/>
          <w:sz w:val="24"/>
          <w:szCs w:val="28"/>
        </w:rPr>
      </w:pPr>
    </w:p>
    <w:p>
      <w:pPr>
        <w:rPr>
          <w:rFonts w:ascii="宋体" w:hAnsi="宋体"/>
          <w:color w:val="000000"/>
          <w:sz w:val="24"/>
        </w:rPr>
      </w:pPr>
      <w:r>
        <w:rPr>
          <w:rFonts w:hint="eastAsia" w:ascii="宋体" w:hAnsi="宋体"/>
          <w:color w:val="000000"/>
          <w:sz w:val="24"/>
        </w:rPr>
        <w:t>法定代表人或</w:t>
      </w:r>
      <w:r>
        <w:rPr>
          <w:rFonts w:hint="eastAsia" w:ascii="宋体" w:hAnsi="宋体"/>
          <w:bCs/>
          <w:color w:val="000000"/>
          <w:sz w:val="24"/>
        </w:rPr>
        <w:t>被授权委托人</w:t>
      </w:r>
      <w:r>
        <w:rPr>
          <w:rFonts w:hint="eastAsia" w:ascii="宋体" w:hAnsi="宋体"/>
          <w:color w:val="000000"/>
          <w:sz w:val="24"/>
        </w:rPr>
        <w:t>签字或盖章：                      日期：   年   月   日</w:t>
      </w:r>
    </w:p>
    <w:p>
      <w:pPr>
        <w:spacing w:before="156"/>
        <w:rPr>
          <w:rFonts w:ascii="宋体" w:hAnsi="宋体"/>
          <w:color w:val="000000"/>
          <w:sz w:val="24"/>
        </w:rPr>
      </w:pPr>
      <w:r>
        <w:rPr>
          <w:rFonts w:hint="eastAsia" w:ascii="宋体" w:hAnsi="宋体"/>
          <w:color w:val="000000"/>
          <w:sz w:val="24"/>
        </w:rPr>
        <w:t>填写说明：</w:t>
      </w:r>
    </w:p>
    <w:p>
      <w:pPr>
        <w:numPr>
          <w:ilvl w:val="0"/>
          <w:numId w:val="13"/>
        </w:numPr>
        <w:spacing w:line="500" w:lineRule="exact"/>
        <w:ind w:firstLine="482"/>
        <w:rPr>
          <w:rFonts w:ascii="宋体" w:hAnsi="宋体"/>
          <w:b/>
          <w:color w:val="000000"/>
          <w:sz w:val="24"/>
        </w:rPr>
      </w:pPr>
      <w:r>
        <w:rPr>
          <w:rFonts w:hint="eastAsia" w:ascii="宋体" w:hAnsi="宋体"/>
          <w:b/>
          <w:color w:val="000000"/>
          <w:sz w:val="24"/>
        </w:rPr>
        <w:t>开标一览表中的内容应与响应函内容一致，否则评标时一律按开标一览表中内容为准。</w:t>
      </w:r>
    </w:p>
    <w:p>
      <w:pPr>
        <w:ind w:firstLine="562"/>
        <w:jc w:val="center"/>
        <w:outlineLvl w:val="0"/>
        <w:rPr>
          <w:rFonts w:ascii="黑体" w:eastAsia="黑体" w:cs="宋体"/>
          <w:b/>
          <w:color w:val="000000"/>
          <w:sz w:val="32"/>
          <w:szCs w:val="32"/>
        </w:rPr>
      </w:pPr>
    </w:p>
    <w:p>
      <w:pPr>
        <w:ind w:firstLine="562"/>
        <w:jc w:val="center"/>
        <w:outlineLvl w:val="0"/>
        <w:rPr>
          <w:rFonts w:ascii="黑体" w:eastAsia="黑体" w:cs="宋体"/>
          <w:b/>
          <w:color w:val="000000"/>
          <w:sz w:val="32"/>
          <w:szCs w:val="32"/>
        </w:rPr>
      </w:pPr>
    </w:p>
    <w:p>
      <w:pPr>
        <w:ind w:firstLine="562"/>
        <w:jc w:val="center"/>
        <w:outlineLvl w:val="0"/>
        <w:rPr>
          <w:rFonts w:ascii="黑体" w:eastAsia="黑体"/>
          <w:bCs/>
          <w:color w:val="000000"/>
          <w:sz w:val="28"/>
          <w:szCs w:val="28"/>
        </w:rPr>
      </w:pPr>
      <w:r>
        <w:rPr>
          <w:rFonts w:hint="eastAsia" w:ascii="黑体" w:eastAsia="黑体" w:cs="宋体"/>
          <w:b/>
          <w:color w:val="000000"/>
          <w:sz w:val="32"/>
          <w:szCs w:val="32"/>
        </w:rPr>
        <w:br w:type="page" w:clear="all"/>
      </w:r>
      <w:r>
        <w:rPr>
          <w:rFonts w:hint="eastAsia" w:ascii="黑体" w:eastAsia="黑体" w:cs="宋体"/>
          <w:b/>
          <w:color w:val="000000"/>
          <w:sz w:val="32"/>
          <w:szCs w:val="32"/>
        </w:rPr>
        <w:t>（六）明细报价（格式）：</w:t>
      </w:r>
    </w:p>
    <w:p>
      <w:pPr>
        <w:spacing w:line="400" w:lineRule="exact"/>
        <w:jc w:val="center"/>
        <w:outlineLvl w:val="0"/>
        <w:rPr>
          <w:rFonts w:ascii="黑体" w:eastAsia="黑体"/>
          <w:bCs/>
          <w:color w:val="000000"/>
          <w:sz w:val="28"/>
          <w:szCs w:val="28"/>
        </w:rPr>
      </w:pPr>
    </w:p>
    <w:p>
      <w:pPr>
        <w:spacing w:line="400" w:lineRule="exact"/>
        <w:jc w:val="center"/>
        <w:outlineLvl w:val="0"/>
        <w:rPr>
          <w:rFonts w:ascii="黑体" w:eastAsia="黑体"/>
          <w:bCs/>
          <w:color w:val="000000"/>
          <w:sz w:val="28"/>
          <w:szCs w:val="28"/>
        </w:rPr>
      </w:pPr>
      <w:r>
        <w:rPr>
          <w:rFonts w:hint="eastAsia" w:ascii="黑体" w:eastAsia="黑体"/>
          <w:bCs/>
          <w:color w:val="000000"/>
          <w:sz w:val="28"/>
          <w:szCs w:val="28"/>
        </w:rPr>
        <w:t>明细报价表</w:t>
      </w:r>
    </w:p>
    <w:p>
      <w:pPr>
        <w:spacing w:line="400" w:lineRule="exact"/>
        <w:rPr>
          <w:rFonts w:ascii="黑体" w:hAnsi="Calibri" w:eastAsia="黑体"/>
          <w:bCs/>
          <w:sz w:val="24"/>
        </w:rPr>
      </w:pPr>
      <w:r>
        <w:rPr>
          <w:rFonts w:hint="eastAsia" w:ascii="黑体" w:hAnsi="Calibri" w:eastAsia="黑体"/>
          <w:bCs/>
          <w:sz w:val="24"/>
        </w:rPr>
        <w:t xml:space="preserve">投标人名称（盖章）                                  政府采购编号： </w:t>
      </w:r>
    </w:p>
    <w:tbl>
      <w:tblPr>
        <w:tblStyle w:val="21"/>
        <w:tblpPr w:leftFromText="180" w:rightFromText="180" w:vertAnchor="text" w:horzAnchor="page" w:tblpX="1099" w:tblpY="550"/>
        <w:tblW w:w="1027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31"/>
        <w:gridCol w:w="96"/>
        <w:gridCol w:w="1445"/>
        <w:gridCol w:w="1437"/>
        <w:gridCol w:w="1025"/>
        <w:gridCol w:w="1163"/>
        <w:gridCol w:w="1075"/>
        <w:gridCol w:w="1612"/>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45" w:hRule="atLeast"/>
        </w:trPr>
        <w:tc>
          <w:tcPr>
            <w:tcW w:w="531" w:type="dxa"/>
            <w:tcMar>
              <w:top w:w="15" w:type="dxa"/>
              <w:left w:w="15" w:type="dxa"/>
              <w:bottom w:w="0" w:type="dxa"/>
              <w:right w:w="15" w:type="dxa"/>
            </w:tcMar>
            <w:vAlign w:val="center"/>
          </w:tcPr>
          <w:p>
            <w:pPr>
              <w:spacing w:before="5"/>
              <w:jc w:val="center"/>
              <w:rPr>
                <w:b/>
                <w:szCs w:val="21"/>
              </w:rPr>
            </w:pPr>
            <w:r>
              <w:rPr>
                <w:rFonts w:hint="eastAsia"/>
                <w:b/>
                <w:szCs w:val="21"/>
              </w:rPr>
              <w:t>序号</w:t>
            </w:r>
          </w:p>
        </w:tc>
        <w:tc>
          <w:tcPr>
            <w:tcW w:w="1541" w:type="dxa"/>
            <w:gridSpan w:val="2"/>
            <w:tcMar>
              <w:top w:w="15" w:type="dxa"/>
              <w:left w:w="15" w:type="dxa"/>
              <w:bottom w:w="0" w:type="dxa"/>
              <w:right w:w="15" w:type="dxa"/>
            </w:tcMar>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项目名称</w:t>
            </w:r>
          </w:p>
        </w:tc>
        <w:tc>
          <w:tcPr>
            <w:tcW w:w="1437" w:type="dxa"/>
            <w:tcMar>
              <w:top w:w="15" w:type="dxa"/>
              <w:left w:w="15" w:type="dxa"/>
              <w:bottom w:w="0" w:type="dxa"/>
              <w:right w:w="15" w:type="dxa"/>
            </w:tcMar>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项目特征描述</w:t>
            </w:r>
          </w:p>
        </w:tc>
        <w:tc>
          <w:tcPr>
            <w:tcW w:w="1025" w:type="dxa"/>
            <w:tcMar>
              <w:top w:w="15" w:type="dxa"/>
              <w:left w:w="15" w:type="dxa"/>
              <w:bottom w:w="0" w:type="dxa"/>
              <w:right w:w="15" w:type="dxa"/>
            </w:tcMar>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制造商</w:t>
            </w:r>
          </w:p>
        </w:tc>
        <w:tc>
          <w:tcPr>
            <w:tcW w:w="1163" w:type="dxa"/>
            <w:tcMar>
              <w:top w:w="15" w:type="dxa"/>
              <w:left w:w="15" w:type="dxa"/>
              <w:bottom w:w="0" w:type="dxa"/>
              <w:right w:w="15" w:type="dxa"/>
            </w:tcMar>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数量</w:t>
            </w:r>
          </w:p>
        </w:tc>
        <w:tc>
          <w:tcPr>
            <w:tcW w:w="1075" w:type="dxa"/>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单位</w:t>
            </w:r>
          </w:p>
        </w:tc>
        <w:tc>
          <w:tcPr>
            <w:tcW w:w="1612" w:type="dxa"/>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单报价（含税）</w:t>
            </w:r>
          </w:p>
        </w:tc>
        <w:tc>
          <w:tcPr>
            <w:tcW w:w="1888" w:type="dxa"/>
            <w:vAlign w:val="center"/>
          </w:tcPr>
          <w:p>
            <w:pPr>
              <w:spacing w:before="5"/>
              <w:jc w:val="center"/>
              <w:rPr>
                <w:rFonts w:ascii="黑体" w:hAnsi="黑体" w:eastAsia="黑体" w:cs="Arial"/>
                <w:color w:val="000000"/>
                <w:sz w:val="20"/>
                <w:szCs w:val="20"/>
              </w:rPr>
            </w:pPr>
            <w:r>
              <w:rPr>
                <w:rFonts w:hint="eastAsia" w:ascii="黑体" w:hAnsi="黑体" w:eastAsia="黑体" w:cs="Arial"/>
                <w:color w:val="000000"/>
                <w:sz w:val="20"/>
                <w:szCs w:val="20"/>
              </w:rPr>
              <w:t>分项总报价（含税）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79" w:hRule="atLeast"/>
        </w:trPr>
        <w:tc>
          <w:tcPr>
            <w:tcW w:w="531"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541" w:type="dxa"/>
            <w:gridSpan w:val="2"/>
            <w:tcMar>
              <w:top w:w="15" w:type="dxa"/>
              <w:left w:w="15" w:type="dxa"/>
              <w:bottom w:w="0" w:type="dxa"/>
              <w:right w:w="15" w:type="dxa"/>
            </w:tcMar>
            <w:vAlign w:val="center"/>
          </w:tcPr>
          <w:p>
            <w:pPr>
              <w:spacing w:line="300" w:lineRule="exact"/>
              <w:jc w:val="center"/>
              <w:rPr>
                <w:rFonts w:ascii="宋体" w:hAnsi="宋体" w:cs="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56" w:hRule="atLeast"/>
        </w:trPr>
        <w:tc>
          <w:tcPr>
            <w:tcW w:w="531"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541" w:type="dxa"/>
            <w:gridSpan w:val="2"/>
            <w:tcMar>
              <w:top w:w="15" w:type="dxa"/>
              <w:left w:w="15" w:type="dxa"/>
              <w:bottom w:w="0" w:type="dxa"/>
              <w:right w:w="15" w:type="dxa"/>
            </w:tcMar>
            <w:vAlign w:val="center"/>
          </w:tcPr>
          <w:p>
            <w:pPr>
              <w:jc w:val="center"/>
              <w:rPr>
                <w:rFonts w:ascii="宋体" w:hAnsi="宋体" w:cs="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14" w:hRule="atLeast"/>
        </w:trPr>
        <w:tc>
          <w:tcPr>
            <w:tcW w:w="531"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541" w:type="dxa"/>
            <w:gridSpan w:val="2"/>
            <w:tcMar>
              <w:top w:w="15" w:type="dxa"/>
              <w:left w:w="15" w:type="dxa"/>
              <w:bottom w:w="0" w:type="dxa"/>
              <w:right w:w="15" w:type="dxa"/>
            </w:tcMar>
            <w:vAlign w:val="center"/>
          </w:tcPr>
          <w:p>
            <w:pPr>
              <w:spacing w:line="300" w:lineRule="exact"/>
              <w:jc w:val="center"/>
              <w:rPr>
                <w:rFonts w:ascii="宋体" w:hAnsi="宋体" w:cs="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45" w:hRule="atLeast"/>
        </w:trPr>
        <w:tc>
          <w:tcPr>
            <w:tcW w:w="531"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541" w:type="dxa"/>
            <w:gridSpan w:val="2"/>
            <w:tcMar>
              <w:top w:w="15" w:type="dxa"/>
              <w:left w:w="15" w:type="dxa"/>
              <w:bottom w:w="0" w:type="dxa"/>
              <w:right w:w="15" w:type="dxa"/>
            </w:tcMar>
            <w:vAlign w:val="center"/>
          </w:tcPr>
          <w:p>
            <w:pPr>
              <w:jc w:val="center"/>
              <w:rPr>
                <w:rFonts w:ascii="宋体" w:hAnsi="宋体" w:cs="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03" w:hRule="atLeast"/>
        </w:trPr>
        <w:tc>
          <w:tcPr>
            <w:tcW w:w="531"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541" w:type="dxa"/>
            <w:gridSpan w:val="2"/>
            <w:tcMar>
              <w:top w:w="15" w:type="dxa"/>
              <w:left w:w="15" w:type="dxa"/>
              <w:bottom w:w="0" w:type="dxa"/>
              <w:right w:w="15" w:type="dxa"/>
            </w:tcMar>
            <w:vAlign w:val="center"/>
          </w:tcPr>
          <w:p>
            <w:pPr>
              <w:jc w:val="center"/>
              <w:rPr>
                <w:rFonts w:ascii="宋体" w:hAnsi="宋体" w:cs="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cs="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388" w:hRule="atLeast"/>
        </w:trPr>
        <w:tc>
          <w:tcPr>
            <w:tcW w:w="531" w:type="dxa"/>
            <w:tcMar>
              <w:top w:w="15" w:type="dxa"/>
              <w:left w:w="15" w:type="dxa"/>
              <w:bottom w:w="0" w:type="dxa"/>
              <w:right w:w="15" w:type="dxa"/>
            </w:tcMar>
            <w:vAlign w:val="center"/>
          </w:tcPr>
          <w:p>
            <w:pPr>
              <w:spacing w:line="360" w:lineRule="auto"/>
              <w:jc w:val="center"/>
              <w:rPr>
                <w:rFonts w:ascii="宋体" w:hAnsi="宋体"/>
                <w:szCs w:val="21"/>
              </w:rPr>
            </w:pPr>
          </w:p>
        </w:tc>
        <w:tc>
          <w:tcPr>
            <w:tcW w:w="1541" w:type="dxa"/>
            <w:gridSpan w:val="2"/>
            <w:tcMar>
              <w:top w:w="15" w:type="dxa"/>
              <w:left w:w="15" w:type="dxa"/>
              <w:bottom w:w="0" w:type="dxa"/>
              <w:right w:w="15" w:type="dxa"/>
            </w:tcMar>
            <w:vAlign w:val="center"/>
          </w:tcPr>
          <w:p>
            <w:pPr>
              <w:spacing w:line="300" w:lineRule="exact"/>
              <w:jc w:val="center"/>
              <w:rPr>
                <w:rFonts w:ascii="宋体" w:hAnsi="宋体"/>
                <w:szCs w:val="21"/>
              </w:rPr>
            </w:pPr>
          </w:p>
        </w:tc>
        <w:tc>
          <w:tcPr>
            <w:tcW w:w="1437" w:type="dxa"/>
            <w:tcMar>
              <w:top w:w="15" w:type="dxa"/>
              <w:left w:w="15" w:type="dxa"/>
              <w:bottom w:w="0" w:type="dxa"/>
              <w:right w:w="15" w:type="dxa"/>
            </w:tcMar>
            <w:vAlign w:val="center"/>
          </w:tcPr>
          <w:p>
            <w:pPr>
              <w:spacing w:line="360" w:lineRule="auto"/>
              <w:jc w:val="center"/>
              <w:rPr>
                <w:rFonts w:ascii="宋体" w:hAnsi="宋体"/>
                <w:szCs w:val="21"/>
              </w:rPr>
            </w:pPr>
          </w:p>
        </w:tc>
        <w:tc>
          <w:tcPr>
            <w:tcW w:w="1025" w:type="dxa"/>
            <w:tcMar>
              <w:top w:w="15" w:type="dxa"/>
              <w:left w:w="15" w:type="dxa"/>
              <w:bottom w:w="0" w:type="dxa"/>
              <w:right w:w="15" w:type="dxa"/>
            </w:tcMar>
            <w:vAlign w:val="center"/>
          </w:tcPr>
          <w:p>
            <w:pPr>
              <w:spacing w:line="360" w:lineRule="auto"/>
              <w:jc w:val="center"/>
              <w:rPr>
                <w:rFonts w:ascii="宋体" w:hAnsi="宋体"/>
                <w:szCs w:val="21"/>
              </w:rPr>
            </w:pPr>
          </w:p>
        </w:tc>
        <w:tc>
          <w:tcPr>
            <w:tcW w:w="1163" w:type="dxa"/>
            <w:tcMar>
              <w:top w:w="15" w:type="dxa"/>
              <w:left w:w="15" w:type="dxa"/>
              <w:bottom w:w="0" w:type="dxa"/>
              <w:right w:w="15" w:type="dxa"/>
            </w:tcMar>
            <w:vAlign w:val="center"/>
          </w:tcPr>
          <w:p>
            <w:pPr>
              <w:jc w:val="center"/>
              <w:rPr>
                <w:rFonts w:ascii="黑体" w:hAnsi="宋体" w:eastAsia="黑体"/>
                <w:b/>
                <w:bCs/>
                <w:sz w:val="24"/>
              </w:rPr>
            </w:pPr>
          </w:p>
        </w:tc>
        <w:tc>
          <w:tcPr>
            <w:tcW w:w="1075" w:type="dxa"/>
            <w:vAlign w:val="center"/>
          </w:tcPr>
          <w:p>
            <w:pPr>
              <w:jc w:val="center"/>
              <w:rPr>
                <w:rFonts w:ascii="黑体" w:hAnsi="宋体" w:eastAsia="黑体"/>
                <w:b/>
                <w:bCs/>
                <w:sz w:val="24"/>
              </w:rPr>
            </w:pPr>
          </w:p>
        </w:tc>
        <w:tc>
          <w:tcPr>
            <w:tcW w:w="1612" w:type="dxa"/>
            <w:vAlign w:val="center"/>
          </w:tcPr>
          <w:p>
            <w:pPr>
              <w:jc w:val="center"/>
              <w:rPr>
                <w:rFonts w:ascii="黑体" w:hAnsi="宋体" w:eastAsia="黑体"/>
                <w:b/>
                <w:bCs/>
                <w:sz w:val="24"/>
              </w:rPr>
            </w:pPr>
          </w:p>
        </w:tc>
        <w:tc>
          <w:tcPr>
            <w:tcW w:w="1888" w:type="dxa"/>
            <w:vAlign w:val="center"/>
          </w:tcPr>
          <w:p>
            <w:pPr>
              <w:jc w:val="center"/>
              <w:rPr>
                <w:rFonts w:ascii="黑体" w:hAnsi="宋体" w:eastAsia="黑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482" w:hRule="atLeast"/>
        </w:trPr>
        <w:tc>
          <w:tcPr>
            <w:tcW w:w="10272" w:type="dxa"/>
            <w:gridSpan w:val="9"/>
            <w:tcMar>
              <w:top w:w="15" w:type="dxa"/>
              <w:left w:w="15" w:type="dxa"/>
              <w:bottom w:w="0" w:type="dxa"/>
              <w:right w:w="15" w:type="dxa"/>
            </w:tcMar>
            <w:vAlign w:val="center"/>
          </w:tcPr>
          <w:p>
            <w:pPr>
              <w:pStyle w:val="192"/>
              <w:rPr>
                <w:rFonts w:ascii="宋体" w:hAnsi="宋体"/>
                <w:b/>
                <w:bCs/>
                <w:sz w:val="24"/>
              </w:rPr>
            </w:pPr>
            <w:r>
              <w:rPr>
                <w:rFonts w:hint="eastAsia" w:ascii="宋体"/>
                <w:b/>
                <w:bCs/>
                <w:sz w:val="24"/>
                <w:szCs w:val="20"/>
              </w:rPr>
              <w:t xml:space="preserve">供货期：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529" w:hRule="atLeast"/>
        </w:trPr>
        <w:tc>
          <w:tcPr>
            <w:tcW w:w="10272" w:type="dxa"/>
            <w:gridSpan w:val="9"/>
            <w:tcMar>
              <w:top w:w="15" w:type="dxa"/>
              <w:left w:w="15" w:type="dxa"/>
              <w:bottom w:w="0" w:type="dxa"/>
              <w:right w:w="15" w:type="dxa"/>
            </w:tcMar>
            <w:vAlign w:val="center"/>
          </w:tcPr>
          <w:p>
            <w:pPr>
              <w:rPr>
                <w:rFonts w:ascii="宋体"/>
                <w:b/>
                <w:bCs/>
                <w:sz w:val="24"/>
                <w:szCs w:val="20"/>
              </w:rPr>
            </w:pPr>
            <w:r>
              <w:rPr>
                <w:rFonts w:hint="eastAsia" w:ascii="宋体"/>
                <w:b/>
                <w:bCs/>
                <w:sz w:val="24"/>
                <w:szCs w:val="20"/>
              </w:rPr>
              <w:t>总报价：大写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1072" w:hRule="atLeast"/>
        </w:trPr>
        <w:tc>
          <w:tcPr>
            <w:tcW w:w="627" w:type="dxa"/>
            <w:gridSpan w:val="2"/>
            <w:vMerge w:val="restart"/>
            <w:vAlign w:val="center"/>
          </w:tcPr>
          <w:p>
            <w:pPr>
              <w:spacing w:after="120" w:line="400" w:lineRule="exact"/>
              <w:ind w:firstLine="120"/>
              <w:rPr>
                <w:rFonts w:ascii="宋体" w:hAnsi="宋体"/>
                <w:b/>
                <w:bCs/>
                <w:sz w:val="24"/>
              </w:rPr>
            </w:pPr>
            <w:r>
              <w:rPr>
                <w:rFonts w:hint="eastAsia" w:ascii="宋体" w:hAnsi="宋体"/>
                <w:b/>
                <w:bCs/>
                <w:sz w:val="24"/>
              </w:rPr>
              <w:t>服</w:t>
            </w:r>
          </w:p>
          <w:p>
            <w:pPr>
              <w:spacing w:after="120" w:line="400" w:lineRule="exact"/>
              <w:ind w:firstLine="120"/>
              <w:rPr>
                <w:rFonts w:ascii="宋体" w:hAnsi="宋体"/>
                <w:b/>
                <w:bCs/>
                <w:sz w:val="24"/>
              </w:rPr>
            </w:pPr>
            <w:r>
              <w:rPr>
                <w:rFonts w:hint="eastAsia" w:ascii="宋体" w:hAnsi="宋体"/>
                <w:b/>
                <w:bCs/>
                <w:sz w:val="24"/>
              </w:rPr>
              <w:t>务</w:t>
            </w:r>
          </w:p>
          <w:p>
            <w:pPr>
              <w:spacing w:after="120" w:line="400" w:lineRule="exact"/>
              <w:ind w:firstLine="120"/>
              <w:rPr>
                <w:rFonts w:ascii="宋体" w:hAnsi="宋体"/>
                <w:b/>
                <w:bCs/>
                <w:sz w:val="24"/>
              </w:rPr>
            </w:pPr>
            <w:r>
              <w:rPr>
                <w:rFonts w:hint="eastAsia" w:ascii="宋体" w:hAnsi="宋体"/>
                <w:b/>
                <w:bCs/>
                <w:sz w:val="24"/>
              </w:rPr>
              <w:t>承</w:t>
            </w:r>
          </w:p>
          <w:p>
            <w:pPr>
              <w:spacing w:after="120" w:line="400" w:lineRule="exact"/>
              <w:ind w:firstLine="120"/>
              <w:rPr>
                <w:rFonts w:ascii="宋体" w:hAnsi="宋体"/>
                <w:bCs/>
                <w:sz w:val="24"/>
              </w:rPr>
            </w:pPr>
            <w:r>
              <w:rPr>
                <w:rFonts w:hint="eastAsia" w:ascii="宋体" w:hAnsi="宋体"/>
                <w:b/>
                <w:bCs/>
                <w:sz w:val="24"/>
              </w:rPr>
              <w:t>诺</w:t>
            </w:r>
          </w:p>
        </w:tc>
        <w:tc>
          <w:tcPr>
            <w:tcW w:w="9645" w:type="dxa"/>
            <w:gridSpan w:val="7"/>
            <w:vAlign w:val="center"/>
          </w:tcPr>
          <w:p>
            <w:pPr>
              <w:widowControl/>
              <w:jc w:val="left"/>
              <w:rPr>
                <w:color w:val="000000"/>
                <w:sz w:val="24"/>
              </w:rPr>
            </w:pPr>
            <w:r>
              <w:rPr>
                <w:color w:val="000000"/>
                <w:sz w:val="24"/>
              </w:rPr>
              <w:t xml:space="preserve">1. 质量 </w:t>
            </w:r>
            <w:r>
              <w:rPr>
                <w:rFonts w:hint="eastAsia"/>
                <w:color w:val="000000"/>
                <w:sz w:val="24"/>
              </w:rPr>
              <w:t>2</w:t>
            </w:r>
            <w:r>
              <w:rPr>
                <w:color w:val="000000"/>
                <w:sz w:val="24"/>
              </w:rPr>
              <w:t>."三包"(包修、包退、包换)</w:t>
            </w:r>
            <w:r>
              <w:rPr>
                <w:rFonts w:hint="eastAsia"/>
                <w:color w:val="000000"/>
                <w:sz w:val="24"/>
              </w:rPr>
              <w:t>3</w:t>
            </w:r>
            <w:r>
              <w:rPr>
                <w:color w:val="000000"/>
                <w:sz w:val="24"/>
              </w:rPr>
              <w:t>.其他承诺</w:t>
            </w:r>
          </w:p>
          <w:p>
            <w:pPr>
              <w:rPr>
                <w:color w:val="000000"/>
                <w:sz w:val="24"/>
              </w:rPr>
            </w:pPr>
            <w:r>
              <w:rPr>
                <w:color w:val="000000"/>
                <w:sz w:val="24"/>
              </w:rPr>
              <w:t>（以上是主要承诺，供</w:t>
            </w:r>
            <w:r>
              <w:rPr>
                <w:rFonts w:hint="eastAsia"/>
                <w:color w:val="000000"/>
                <w:sz w:val="24"/>
              </w:rPr>
              <w:t>投标人</w:t>
            </w:r>
            <w:r>
              <w:rPr>
                <w:color w:val="000000"/>
                <w:sz w:val="24"/>
              </w:rPr>
              <w:t>参考，</w:t>
            </w:r>
            <w:r>
              <w:rPr>
                <w:rFonts w:hint="eastAsia"/>
                <w:color w:val="000000"/>
                <w:sz w:val="24"/>
              </w:rPr>
              <w:t>投标人</w:t>
            </w:r>
            <w:r>
              <w:rPr>
                <w:color w:val="000000"/>
                <w:sz w:val="24"/>
              </w:rPr>
              <w:t>应在满足招标文件要求的基础上，根据自己单位的情况作出具体承诺）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cantSplit/>
          <w:trHeight w:val="992" w:hRule="atLeast"/>
        </w:trPr>
        <w:tc>
          <w:tcPr>
            <w:tcW w:w="627" w:type="dxa"/>
            <w:gridSpan w:val="2"/>
            <w:vMerge w:val="continue"/>
            <w:vAlign w:val="center"/>
          </w:tcPr>
          <w:p>
            <w:pPr>
              <w:spacing w:after="120" w:line="400" w:lineRule="exact"/>
              <w:rPr>
                <w:rFonts w:ascii="宋体" w:hAnsi="宋体"/>
                <w:bCs/>
                <w:sz w:val="24"/>
              </w:rPr>
            </w:pPr>
          </w:p>
        </w:tc>
        <w:tc>
          <w:tcPr>
            <w:tcW w:w="9645" w:type="dxa"/>
            <w:gridSpan w:val="7"/>
            <w:vAlign w:val="center"/>
          </w:tcPr>
          <w:p>
            <w:pPr>
              <w:rPr>
                <w:rFonts w:ascii="宋体" w:hAnsi="宋体"/>
                <w:bCs/>
                <w:sz w:val="24"/>
              </w:rPr>
            </w:pPr>
          </w:p>
        </w:tc>
      </w:tr>
    </w:tbl>
    <w:p>
      <w:pPr>
        <w:spacing w:before="5" w:line="560" w:lineRule="atLeast"/>
        <w:rPr>
          <w:b/>
          <w:bCs/>
          <w:sz w:val="24"/>
        </w:rPr>
      </w:pPr>
    </w:p>
    <w:p>
      <w:pPr>
        <w:spacing w:before="5" w:line="560" w:lineRule="atLeast"/>
        <w:rPr>
          <w:b/>
          <w:bCs/>
          <w:sz w:val="24"/>
        </w:rPr>
      </w:pPr>
      <w:r>
        <w:rPr>
          <w:rFonts w:hint="eastAsia"/>
          <w:b/>
          <w:bCs/>
          <w:sz w:val="24"/>
        </w:rPr>
        <w:t>法定代表人或被授权委托人签字或盖章：</w:t>
      </w:r>
    </w:p>
    <w:p>
      <w:pPr>
        <w:spacing w:line="400" w:lineRule="exact"/>
        <w:outlineLvl w:val="0"/>
        <w:rPr>
          <w:rFonts w:ascii="宋体"/>
          <w:bCs/>
          <w:szCs w:val="21"/>
        </w:rPr>
      </w:pPr>
      <w:r>
        <w:rPr>
          <w:rFonts w:hint="eastAsia" w:ascii="宋体" w:hAnsi="宋体"/>
          <w:b/>
          <w:szCs w:val="21"/>
        </w:rPr>
        <w:t>注：</w:t>
      </w:r>
      <w:r>
        <w:rPr>
          <w:rFonts w:hint="eastAsia" w:ascii="宋体" w:hAnsi="宋体"/>
          <w:bCs/>
          <w:szCs w:val="21"/>
        </w:rPr>
        <w:t>（1）供应商应当根据“采购需求”的内容在上表中详细填写；</w:t>
      </w:r>
    </w:p>
    <w:p>
      <w:pPr>
        <w:spacing w:line="400" w:lineRule="exact"/>
        <w:ind w:firstLine="420"/>
        <w:outlineLvl w:val="0"/>
        <w:rPr>
          <w:rFonts w:ascii="宋体"/>
          <w:bCs/>
          <w:szCs w:val="21"/>
        </w:rPr>
      </w:pPr>
      <w:r>
        <w:rPr>
          <w:rFonts w:hint="eastAsia" w:ascii="宋体" w:hAnsi="宋体"/>
          <w:bCs/>
          <w:szCs w:val="21"/>
        </w:rPr>
        <w:t>（2）表格不够可自行延长。</w:t>
      </w:r>
    </w:p>
    <w:p>
      <w:pPr>
        <w:outlineLvl w:val="0"/>
        <w:rPr>
          <w:rFonts w:ascii="黑体" w:hAnsi="宋体" w:eastAsia="黑体"/>
          <w:bCs/>
          <w:color w:val="000000"/>
          <w:sz w:val="24"/>
        </w:rPr>
      </w:pPr>
    </w:p>
    <w:p>
      <w:pPr>
        <w:ind w:firstLine="562"/>
        <w:jc w:val="center"/>
        <w:outlineLvl w:val="0"/>
        <w:rPr>
          <w:rFonts w:ascii="黑体" w:eastAsia="黑体"/>
          <w:bCs/>
          <w:color w:val="000000"/>
          <w:sz w:val="28"/>
          <w:szCs w:val="28"/>
        </w:rPr>
      </w:pPr>
      <w:r>
        <w:rPr>
          <w:rFonts w:hint="eastAsia" w:ascii="黑体" w:eastAsia="黑体" w:cs="宋体"/>
          <w:b/>
          <w:color w:val="000000"/>
          <w:sz w:val="32"/>
          <w:szCs w:val="32"/>
        </w:rPr>
        <w:br w:type="page" w:clear="all"/>
      </w:r>
      <w:r>
        <w:rPr>
          <w:rFonts w:hint="eastAsia" w:ascii="黑体" w:eastAsia="黑体" w:cs="宋体"/>
          <w:b/>
          <w:color w:val="000000"/>
          <w:sz w:val="32"/>
          <w:szCs w:val="32"/>
        </w:rPr>
        <w:t>（七）技术参数偏离表（格式）：</w:t>
      </w:r>
    </w:p>
    <w:p>
      <w:pPr>
        <w:spacing w:line="440" w:lineRule="exact"/>
        <w:rPr>
          <w:rFonts w:ascii="宋体" w:hAnsi="宋体"/>
          <w:sz w:val="24"/>
        </w:rPr>
      </w:pPr>
    </w:p>
    <w:p>
      <w:pPr>
        <w:spacing w:line="400" w:lineRule="exact"/>
        <w:jc w:val="center"/>
        <w:outlineLvl w:val="0"/>
        <w:rPr>
          <w:rFonts w:ascii="宋体" w:hAnsi="宋体"/>
          <w:b/>
          <w:color w:val="000000"/>
          <w:sz w:val="24"/>
        </w:rPr>
      </w:pPr>
      <w:r>
        <w:rPr>
          <w:rFonts w:hint="eastAsia" w:ascii="宋体" w:hAnsi="宋体"/>
          <w:b/>
          <w:bCs/>
          <w:color w:val="000000"/>
          <w:sz w:val="24"/>
        </w:rPr>
        <w:t>技术参数偏离表</w:t>
      </w:r>
    </w:p>
    <w:p>
      <w:pPr>
        <w:spacing w:line="400" w:lineRule="exact"/>
        <w:rPr>
          <w:rFonts w:ascii="黑体" w:eastAsia="黑体"/>
          <w:bCs/>
          <w:color w:val="000000"/>
          <w:sz w:val="24"/>
        </w:rPr>
      </w:pPr>
    </w:p>
    <w:p>
      <w:pPr>
        <w:pStyle w:val="193"/>
        <w:ind w:left="0"/>
        <w:rPr>
          <w:rFonts w:ascii="黑体" w:eastAsia="黑体"/>
          <w:bCs/>
          <w:color w:val="000000"/>
          <w:sz w:val="24"/>
        </w:rPr>
      </w:pPr>
      <w:r>
        <w:rPr>
          <w:rFonts w:hint="eastAsia" w:ascii="宋体" w:hAnsi="宋体" w:cs="宋体"/>
          <w:bCs/>
          <w:sz w:val="24"/>
        </w:rPr>
        <w:t>投标人名称（公章）：                            采购编号：</w:t>
      </w:r>
    </w:p>
    <w:tbl>
      <w:tblPr>
        <w:tblStyle w:val="21"/>
        <w:tblW w:w="9480" w:type="dxa"/>
        <w:tblInd w:w="24" w:type="dxa"/>
        <w:tblLayout w:type="fixed"/>
        <w:tblCellMar>
          <w:top w:w="15" w:type="dxa"/>
          <w:left w:w="15" w:type="dxa"/>
          <w:bottom w:w="0" w:type="dxa"/>
          <w:right w:w="15" w:type="dxa"/>
        </w:tblCellMar>
      </w:tblPr>
      <w:tblGrid>
        <w:gridCol w:w="1836"/>
        <w:gridCol w:w="2964"/>
        <w:gridCol w:w="2850"/>
        <w:gridCol w:w="1830"/>
      </w:tblGrid>
      <w:tr>
        <w:tblPrEx>
          <w:tblCellMar>
            <w:top w:w="15" w:type="dxa"/>
            <w:left w:w="15" w:type="dxa"/>
            <w:bottom w:w="0" w:type="dxa"/>
            <w:right w:w="15" w:type="dxa"/>
          </w:tblCellMar>
        </w:tblPrEx>
        <w:trPr>
          <w:cantSplit/>
          <w:trHeight w:val="555"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
                <w:bCs/>
                <w:color w:val="000000"/>
                <w:sz w:val="24"/>
              </w:rPr>
            </w:pPr>
            <w:r>
              <w:rPr>
                <w:rFonts w:hint="eastAsia" w:ascii="宋体" w:hAnsi="宋体"/>
                <w:b/>
                <w:bCs/>
                <w:color w:val="000000"/>
                <w:sz w:val="24"/>
              </w:rPr>
              <w:t>名称</w:t>
            </w:r>
          </w:p>
        </w:tc>
        <w:tc>
          <w:tcPr>
            <w:tcW w:w="29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24"/>
              </w:rPr>
            </w:pPr>
            <w:r>
              <w:rPr>
                <w:rFonts w:hint="eastAsia" w:ascii="宋体" w:hAnsi="宋体"/>
                <w:b/>
                <w:bCs/>
                <w:color w:val="000000"/>
                <w:sz w:val="24"/>
              </w:rPr>
              <w:t>采购要求</w:t>
            </w: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24"/>
              </w:rPr>
            </w:pPr>
            <w:r>
              <w:rPr>
                <w:rFonts w:hint="eastAsia" w:ascii="宋体" w:hAnsi="宋体"/>
                <w:b/>
                <w:bCs/>
                <w:color w:val="000000"/>
                <w:sz w:val="24"/>
              </w:rPr>
              <w:t>实报内容</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color w:val="000000"/>
                <w:sz w:val="24"/>
              </w:rPr>
            </w:pPr>
            <w:r>
              <w:rPr>
                <w:rFonts w:hint="eastAsia" w:ascii="宋体" w:hAnsi="宋体"/>
                <w:b/>
                <w:bCs/>
                <w:color w:val="000000"/>
                <w:sz w:val="24"/>
              </w:rPr>
              <w:t>偏离说明</w:t>
            </w: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Cs/>
                <w:color w:val="000000"/>
              </w:rPr>
            </w:pPr>
          </w:p>
        </w:tc>
        <w:tc>
          <w:tcPr>
            <w:tcW w:w="2964" w:type="dxa"/>
            <w:tcBorders>
              <w:top w:val="single" w:color="000000" w:sz="4" w:space="0"/>
              <w:left w:val="single" w:color="000000" w:sz="4" w:space="0"/>
              <w:bottom w:val="single" w:color="000000" w:sz="4" w:space="0"/>
              <w:right w:val="single" w:color="000000" w:sz="4" w:space="0"/>
            </w:tcBorders>
            <w:vAlign w:val="center"/>
          </w:tcPr>
          <w:p>
            <w:pPr>
              <w:rPr>
                <w:rFonts w:ascii="宋体"/>
                <w:bCs/>
                <w:color w:val="000000"/>
              </w:rPr>
            </w:pP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Cs/>
                <w:color w:val="000000"/>
              </w:rPr>
            </w:pPr>
          </w:p>
        </w:tc>
        <w:tc>
          <w:tcPr>
            <w:tcW w:w="2964" w:type="dxa"/>
            <w:tcBorders>
              <w:top w:val="single" w:color="000000" w:sz="4" w:space="0"/>
              <w:left w:val="single" w:color="000000" w:sz="4" w:space="0"/>
              <w:bottom w:val="single" w:color="000000" w:sz="4" w:space="0"/>
              <w:right w:val="single" w:color="000000" w:sz="4" w:space="0"/>
            </w:tcBorders>
            <w:vAlign w:val="center"/>
          </w:tcPr>
          <w:p>
            <w:pPr>
              <w:rPr>
                <w:rFonts w:ascii="宋体"/>
                <w:bCs/>
                <w:color w:val="000000"/>
              </w:rPr>
            </w:pP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Cs/>
                <w:color w:val="000000"/>
              </w:rPr>
            </w:pPr>
          </w:p>
        </w:tc>
        <w:tc>
          <w:tcPr>
            <w:tcW w:w="2964" w:type="dxa"/>
            <w:tcBorders>
              <w:top w:val="single" w:color="000000" w:sz="4" w:space="0"/>
              <w:left w:val="single" w:color="000000" w:sz="4" w:space="0"/>
              <w:bottom w:val="single" w:color="000000" w:sz="4" w:space="0"/>
              <w:right w:val="single" w:color="000000" w:sz="4" w:space="0"/>
            </w:tcBorders>
            <w:vAlign w:val="center"/>
          </w:tcPr>
          <w:p>
            <w:pPr>
              <w:rPr>
                <w:rFonts w:ascii="宋体"/>
                <w:bCs/>
                <w:color w:val="000000"/>
              </w:rPr>
            </w:pP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Cs/>
                <w:color w:val="000000"/>
              </w:rPr>
            </w:pPr>
          </w:p>
        </w:tc>
        <w:tc>
          <w:tcPr>
            <w:tcW w:w="2964" w:type="dxa"/>
            <w:tcBorders>
              <w:top w:val="single" w:color="000000" w:sz="4" w:space="0"/>
              <w:left w:val="single" w:color="000000" w:sz="4" w:space="0"/>
              <w:bottom w:val="single" w:color="000000" w:sz="4" w:space="0"/>
              <w:right w:val="single" w:color="000000" w:sz="4" w:space="0"/>
            </w:tcBorders>
            <w:vAlign w:val="center"/>
          </w:tcPr>
          <w:p>
            <w:pPr>
              <w:rPr>
                <w:rFonts w:ascii="宋体"/>
                <w:bCs/>
                <w:color w:val="000000"/>
              </w:rPr>
            </w:pP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r>
      <w:tr>
        <w:tblPrEx>
          <w:tblCellMar>
            <w:top w:w="15" w:type="dxa"/>
            <w:left w:w="15" w:type="dxa"/>
            <w:bottom w:w="0" w:type="dxa"/>
            <w:right w:w="15" w:type="dxa"/>
          </w:tblCellMar>
        </w:tblPrEx>
        <w:trPr>
          <w:cantSplit/>
          <w:trHeight w:val="510" w:hRule="atLeast"/>
        </w:trPr>
        <w:tc>
          <w:tcPr>
            <w:tcW w:w="18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bCs/>
                <w:color w:val="000000"/>
              </w:rPr>
            </w:pPr>
          </w:p>
        </w:tc>
        <w:tc>
          <w:tcPr>
            <w:tcW w:w="2964" w:type="dxa"/>
            <w:tcBorders>
              <w:top w:val="single" w:color="000000" w:sz="4" w:space="0"/>
              <w:left w:val="single" w:color="000000" w:sz="4" w:space="0"/>
              <w:bottom w:val="single" w:color="000000" w:sz="4" w:space="0"/>
              <w:right w:val="single" w:color="000000" w:sz="4" w:space="0"/>
            </w:tcBorders>
            <w:vAlign w:val="center"/>
          </w:tcPr>
          <w:p>
            <w:pPr>
              <w:rPr>
                <w:rFonts w:ascii="宋体"/>
                <w:bCs/>
                <w:color w:val="000000"/>
              </w:rPr>
            </w:pPr>
          </w:p>
        </w:tc>
        <w:tc>
          <w:tcPr>
            <w:tcW w:w="2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color w:val="000000"/>
              </w:rPr>
            </w:pPr>
          </w:p>
        </w:tc>
      </w:tr>
    </w:tbl>
    <w:p>
      <w:pPr>
        <w:spacing w:before="5" w:line="560" w:lineRule="atLeast"/>
        <w:rPr>
          <w:b/>
          <w:bCs/>
          <w:color w:val="000000"/>
          <w:sz w:val="24"/>
        </w:rPr>
      </w:pPr>
      <w:r>
        <w:rPr>
          <w:rFonts w:hint="eastAsia"/>
          <w:b/>
          <w:bCs/>
          <w:color w:val="000000"/>
          <w:sz w:val="24"/>
        </w:rPr>
        <w:t>法定代表人或被授权委托人签字或盖章：</w:t>
      </w:r>
    </w:p>
    <w:p>
      <w:pPr>
        <w:spacing w:line="400" w:lineRule="exact"/>
        <w:outlineLvl w:val="0"/>
        <w:rPr>
          <w:rFonts w:ascii="宋体" w:hAnsi="宋体"/>
          <w:bCs/>
          <w:color w:val="000000"/>
          <w:szCs w:val="21"/>
        </w:rPr>
      </w:pPr>
      <w:r>
        <w:rPr>
          <w:rFonts w:hint="eastAsia" w:ascii="宋体" w:hAnsi="宋体"/>
          <w:bCs/>
          <w:color w:val="000000"/>
          <w:szCs w:val="21"/>
        </w:rPr>
        <w:t>注：</w:t>
      </w:r>
    </w:p>
    <w:p>
      <w:pPr>
        <w:spacing w:line="400" w:lineRule="exact"/>
        <w:outlineLvl w:val="0"/>
        <w:rPr>
          <w:rFonts w:ascii="宋体" w:hAnsi="宋体"/>
          <w:bCs/>
          <w:color w:val="000000"/>
          <w:szCs w:val="21"/>
        </w:rPr>
      </w:pPr>
      <w:r>
        <w:rPr>
          <w:rFonts w:hint="eastAsia" w:ascii="宋体" w:hAnsi="宋体"/>
          <w:bCs/>
          <w:color w:val="000000"/>
          <w:szCs w:val="21"/>
        </w:rPr>
        <w:t>（1）本表不得删除；</w:t>
      </w:r>
    </w:p>
    <w:p>
      <w:pPr>
        <w:spacing w:line="400" w:lineRule="exact"/>
        <w:outlineLvl w:val="0"/>
        <w:rPr>
          <w:rFonts w:ascii="宋体" w:hAnsi="宋体"/>
          <w:bCs/>
          <w:color w:val="000000"/>
          <w:szCs w:val="21"/>
        </w:rPr>
      </w:pPr>
      <w:r>
        <w:rPr>
          <w:rFonts w:hint="eastAsia" w:ascii="宋体" w:hAnsi="宋体"/>
          <w:bCs/>
          <w:color w:val="000000"/>
          <w:szCs w:val="21"/>
        </w:rPr>
        <w:t>（2）投标供应商的投标文件与采购文件规定的有偏离的，应在此表中说明。未在上表中说明的，将被认为完全响应招标文件的规定。</w:t>
      </w:r>
    </w:p>
    <w:p>
      <w:pPr>
        <w:spacing w:line="400" w:lineRule="exact"/>
        <w:outlineLvl w:val="0"/>
        <w:rPr>
          <w:rFonts w:ascii="宋体" w:hAnsi="宋体"/>
          <w:bCs/>
          <w:color w:val="000000"/>
          <w:szCs w:val="21"/>
        </w:rPr>
      </w:pPr>
      <w:r>
        <w:rPr>
          <w:rFonts w:hint="eastAsia" w:ascii="宋体" w:hAnsi="宋体"/>
          <w:bCs/>
          <w:color w:val="000000"/>
          <w:szCs w:val="21"/>
        </w:rPr>
        <w:t>（3）投标人填写“偏离表”，如无偏离，请在上述表格中写明无偏离。</w:t>
      </w:r>
    </w:p>
    <w:p>
      <w:pPr>
        <w:spacing w:line="400" w:lineRule="exact"/>
        <w:outlineLvl w:val="0"/>
        <w:rPr>
          <w:rFonts w:ascii="宋体" w:hAnsi="宋体"/>
          <w:bCs/>
          <w:color w:val="000000"/>
          <w:szCs w:val="21"/>
        </w:rPr>
      </w:pPr>
      <w:r>
        <w:rPr>
          <w:rFonts w:hint="eastAsia" w:ascii="宋体" w:hAnsi="宋体"/>
          <w:bCs/>
          <w:color w:val="000000"/>
          <w:szCs w:val="21"/>
        </w:rPr>
        <w:t>（4）本表如需要可自行延长。</w:t>
      </w:r>
    </w:p>
    <w:p>
      <w:pPr>
        <w:ind w:firstLine="420"/>
        <w:outlineLvl w:val="0"/>
        <w:rPr>
          <w:rFonts w:ascii="黑体" w:hAnsi="宋体" w:eastAsia="黑体"/>
          <w:bCs/>
          <w:color w:val="000000"/>
          <w:sz w:val="24"/>
        </w:rPr>
      </w:pPr>
    </w:p>
    <w:p>
      <w:pPr>
        <w:ind w:firstLine="420"/>
        <w:outlineLvl w:val="0"/>
        <w:rPr>
          <w:rFonts w:ascii="黑体" w:hAnsi="宋体" w:eastAsia="黑体"/>
          <w:bCs/>
          <w:color w:val="000000"/>
          <w:sz w:val="24"/>
        </w:rPr>
      </w:pPr>
    </w:p>
    <w:p>
      <w:pPr>
        <w:spacing w:line="400" w:lineRule="exact"/>
        <w:outlineLvl w:val="0"/>
        <w:rPr>
          <w:rFonts w:ascii="黑体" w:hAnsi="宋体" w:eastAsia="黑体"/>
          <w:bCs/>
          <w:color w:val="000000"/>
          <w:sz w:val="24"/>
        </w:rPr>
      </w:pPr>
    </w:p>
    <w:p>
      <w:pPr>
        <w:spacing w:line="440" w:lineRule="exact"/>
        <w:rPr>
          <w:rFonts w:ascii="宋体" w:hAnsi="宋体"/>
          <w:sz w:val="24"/>
        </w:rPr>
      </w:pPr>
    </w:p>
    <w:p>
      <w:pPr>
        <w:spacing w:line="400" w:lineRule="exact"/>
        <w:outlineLvl w:val="0"/>
        <w:rPr>
          <w:rFonts w:ascii="黑体" w:hAnsi="宋体" w:eastAsia="黑体"/>
          <w:b/>
          <w:color w:val="000000"/>
          <w:sz w:val="24"/>
        </w:rPr>
      </w:pPr>
      <w:r>
        <w:rPr>
          <w:rFonts w:hint="eastAsia" w:ascii="黑体" w:eastAsia="黑体" w:cs="宋体"/>
          <w:b/>
          <w:sz w:val="32"/>
          <w:szCs w:val="32"/>
        </w:rPr>
        <w:br w:type="page" w:clear="all"/>
      </w:r>
      <w:r>
        <w:rPr>
          <w:rFonts w:hint="eastAsia" w:ascii="黑体" w:eastAsia="黑体" w:cs="宋体"/>
          <w:b/>
          <w:color w:val="000000"/>
          <w:sz w:val="32"/>
          <w:szCs w:val="32"/>
        </w:rPr>
        <w:t>（八）中小企业声明函、残疾人福利性单位声明函（格式）</w:t>
      </w:r>
    </w:p>
    <w:p>
      <w:pPr>
        <w:spacing w:line="500" w:lineRule="exact"/>
        <w:jc w:val="center"/>
        <w:rPr>
          <w:rFonts w:ascii="黑体" w:eastAsia="黑体"/>
          <w:bCs/>
          <w:sz w:val="28"/>
          <w:szCs w:val="28"/>
        </w:rPr>
      </w:pPr>
      <w:r>
        <w:rPr>
          <w:rFonts w:ascii="黑体" w:eastAsia="黑体"/>
          <w:bCs/>
          <w:sz w:val="28"/>
          <w:szCs w:val="28"/>
        </w:rPr>
        <w:t>中小企业声明函（货物）</w:t>
      </w:r>
    </w:p>
    <w:p>
      <w:pPr>
        <w:spacing w:line="500" w:lineRule="exact"/>
        <w:ind w:firstLine="480"/>
        <w:rPr>
          <w:rFonts w:ascii="宋体" w:hAnsi="宋体"/>
          <w:bCs/>
          <w:sz w:val="24"/>
        </w:rPr>
      </w:pPr>
      <w:r>
        <w:rPr>
          <w:rFonts w:ascii="宋体" w:hAnsi="宋体"/>
          <w:bCs/>
          <w:sz w:val="24"/>
        </w:rPr>
        <w:t>本公司（联合体）郑重声明，根据《政府采购促进中小企业发展管理办法》（财库﹝2020﹞46 号）的规定，本公司 （联合体）参加</w:t>
      </w:r>
      <w:r>
        <w:rPr>
          <w:rFonts w:ascii="宋体" w:hAnsi="宋体"/>
          <w:bCs/>
          <w:sz w:val="24"/>
          <w:u w:val="single"/>
        </w:rPr>
        <w:t>（单位名称）</w:t>
      </w:r>
      <w:r>
        <w:rPr>
          <w:rFonts w:ascii="宋体" w:hAnsi="宋体"/>
          <w:bCs/>
          <w:sz w:val="24"/>
        </w:rPr>
        <w:t>的</w:t>
      </w:r>
      <w:r>
        <w:rPr>
          <w:rFonts w:ascii="宋体" w:hAnsi="宋体"/>
          <w:bCs/>
          <w:sz w:val="24"/>
          <w:u w:val="single"/>
        </w:rPr>
        <w:t>（项目名称）</w:t>
      </w:r>
      <w:r>
        <w:rPr>
          <w:rFonts w:ascii="宋体" w:hAnsi="宋体"/>
          <w:bCs/>
          <w:sz w:val="24"/>
        </w:rPr>
        <w:t>采购活动，提供的货物全部由符合政策要求的中小企业制造。相关企业 （含联合体中的中小企业、签订分包意向协议的中小企业）的具体情况如下：</w:t>
      </w:r>
    </w:p>
    <w:p>
      <w:pPr>
        <w:spacing w:line="500" w:lineRule="exact"/>
        <w:ind w:firstLine="480"/>
        <w:rPr>
          <w:rFonts w:ascii="宋体" w:hAnsi="宋体"/>
          <w:bCs/>
          <w:sz w:val="24"/>
        </w:rPr>
      </w:pPr>
      <w:r>
        <w:rPr>
          <w:rFonts w:ascii="宋体" w:hAnsi="宋体"/>
          <w:bCs/>
          <w:sz w:val="24"/>
        </w:rPr>
        <w:t xml:space="preserve">1. </w:t>
      </w:r>
      <w:r>
        <w:rPr>
          <w:rFonts w:ascii="宋体" w:hAnsi="宋体"/>
          <w:bCs/>
          <w:sz w:val="24"/>
          <w:u w:val="single"/>
        </w:rPr>
        <w:t xml:space="preserve">（标的名称） </w:t>
      </w:r>
      <w:r>
        <w:rPr>
          <w:rFonts w:ascii="宋体" w:hAnsi="宋体"/>
          <w:bCs/>
          <w:sz w:val="24"/>
        </w:rPr>
        <w:t>，属于</w:t>
      </w:r>
      <w:r>
        <w:rPr>
          <w:rFonts w:ascii="宋体" w:hAnsi="宋体"/>
          <w:bCs/>
          <w:sz w:val="24"/>
          <w:u w:val="single"/>
        </w:rPr>
        <w:t>（</w:t>
      </w:r>
      <w:r>
        <w:rPr>
          <w:rFonts w:hint="eastAsia" w:ascii="宋体" w:hAnsi="宋体"/>
          <w:bCs/>
          <w:sz w:val="24"/>
          <w:u w:val="single"/>
        </w:rPr>
        <w:t>采购</w:t>
      </w:r>
      <w:r>
        <w:rPr>
          <w:rFonts w:ascii="宋体" w:hAnsi="宋体"/>
          <w:bCs/>
          <w:sz w:val="24"/>
          <w:u w:val="single"/>
        </w:rPr>
        <w:t>文件中明确的所属行业） 行业</w:t>
      </w:r>
      <w:r>
        <w:rPr>
          <w:rFonts w:ascii="宋体" w:hAnsi="宋体"/>
          <w:bCs/>
          <w:sz w:val="24"/>
        </w:rPr>
        <w:t>；制造商为</w:t>
      </w:r>
      <w:r>
        <w:rPr>
          <w:rFonts w:ascii="宋体" w:hAnsi="宋体"/>
          <w:bCs/>
          <w:sz w:val="24"/>
          <w:u w:val="single"/>
        </w:rPr>
        <w:t>（企业名称）</w:t>
      </w:r>
      <w:r>
        <w:rPr>
          <w:rFonts w:ascii="宋体" w:hAnsi="宋体"/>
          <w:bCs/>
          <w:sz w:val="24"/>
        </w:rPr>
        <w:t>，从业人员</w:t>
      </w:r>
      <w:r>
        <w:rPr>
          <w:rFonts w:hint="eastAsia" w:ascii="宋体" w:hAnsi="宋体"/>
          <w:bCs/>
          <w:sz w:val="24"/>
          <w:u w:val="single"/>
        </w:rPr>
        <w:t xml:space="preserve">     </w:t>
      </w:r>
      <w:r>
        <w:rPr>
          <w:rFonts w:ascii="宋体" w:hAnsi="宋体"/>
          <w:bCs/>
          <w:sz w:val="24"/>
        </w:rPr>
        <w:t>人，营业收入为</w:t>
      </w:r>
      <w:r>
        <w:rPr>
          <w:rFonts w:hint="eastAsia" w:ascii="宋体" w:hAnsi="宋体"/>
          <w:bCs/>
          <w:sz w:val="24"/>
          <w:u w:val="single"/>
        </w:rPr>
        <w:t xml:space="preserve">     </w:t>
      </w:r>
      <w:r>
        <w:rPr>
          <w:rFonts w:ascii="宋体" w:hAnsi="宋体"/>
          <w:bCs/>
          <w:sz w:val="24"/>
        </w:rPr>
        <w:t>万元，资产总额为</w:t>
      </w:r>
      <w:r>
        <w:rPr>
          <w:rFonts w:hint="eastAsia" w:ascii="宋体" w:hAnsi="宋体"/>
          <w:bCs/>
          <w:sz w:val="24"/>
          <w:u w:val="single"/>
        </w:rPr>
        <w:t xml:space="preserve">      </w:t>
      </w:r>
      <w:r>
        <w:rPr>
          <w:rFonts w:ascii="宋体" w:hAnsi="宋体"/>
          <w:bCs/>
          <w:sz w:val="24"/>
        </w:rPr>
        <w:t>万元，属于</w:t>
      </w:r>
      <w:r>
        <w:rPr>
          <w:rFonts w:ascii="宋体" w:hAnsi="宋体"/>
          <w:bCs/>
          <w:sz w:val="24"/>
          <w:u w:val="single"/>
        </w:rPr>
        <w:t>（中型企业、小 型企业、微型企业）</w:t>
      </w:r>
      <w:r>
        <w:rPr>
          <w:rFonts w:ascii="宋体" w:hAnsi="宋体"/>
          <w:bCs/>
          <w:sz w:val="24"/>
        </w:rPr>
        <w:t>；</w:t>
      </w:r>
    </w:p>
    <w:p>
      <w:pPr>
        <w:spacing w:line="500" w:lineRule="exact"/>
        <w:ind w:firstLine="480"/>
        <w:rPr>
          <w:rFonts w:ascii="宋体" w:hAnsi="宋体"/>
          <w:bCs/>
          <w:sz w:val="24"/>
        </w:rPr>
      </w:pPr>
      <w:r>
        <w:rPr>
          <w:rFonts w:ascii="宋体" w:hAnsi="宋体"/>
          <w:bCs/>
          <w:sz w:val="24"/>
        </w:rPr>
        <w:t>2.</w:t>
      </w:r>
      <w:r>
        <w:rPr>
          <w:rFonts w:ascii="宋体" w:hAnsi="宋体"/>
          <w:bCs/>
          <w:sz w:val="24"/>
          <w:u w:val="single"/>
        </w:rPr>
        <w:t xml:space="preserve"> （标的名称） </w:t>
      </w:r>
      <w:r>
        <w:rPr>
          <w:rFonts w:ascii="宋体" w:hAnsi="宋体"/>
          <w:bCs/>
          <w:sz w:val="24"/>
        </w:rPr>
        <w:t>，属于</w:t>
      </w:r>
      <w:r>
        <w:rPr>
          <w:rFonts w:ascii="宋体" w:hAnsi="宋体"/>
          <w:bCs/>
          <w:sz w:val="24"/>
          <w:u w:val="single"/>
        </w:rPr>
        <w:t>（</w:t>
      </w:r>
      <w:r>
        <w:rPr>
          <w:rFonts w:hint="eastAsia" w:ascii="宋体" w:hAnsi="宋体"/>
          <w:bCs/>
          <w:sz w:val="24"/>
          <w:u w:val="single"/>
        </w:rPr>
        <w:t>采购</w:t>
      </w:r>
      <w:r>
        <w:rPr>
          <w:rFonts w:ascii="宋体" w:hAnsi="宋体"/>
          <w:bCs/>
          <w:sz w:val="24"/>
          <w:u w:val="single"/>
        </w:rPr>
        <w:t>文件中明确的所属行业） 行业</w:t>
      </w:r>
      <w:r>
        <w:rPr>
          <w:rFonts w:ascii="宋体" w:hAnsi="宋体"/>
          <w:bCs/>
          <w:sz w:val="24"/>
        </w:rPr>
        <w:t>；制造商为</w:t>
      </w:r>
      <w:r>
        <w:rPr>
          <w:rFonts w:ascii="宋体" w:hAnsi="宋体"/>
          <w:bCs/>
          <w:sz w:val="24"/>
          <w:u w:val="single"/>
        </w:rPr>
        <w:t>（企业名称）</w:t>
      </w:r>
      <w:r>
        <w:rPr>
          <w:rFonts w:ascii="宋体" w:hAnsi="宋体"/>
          <w:bCs/>
          <w:sz w:val="24"/>
        </w:rPr>
        <w:t>，从业人员</w:t>
      </w:r>
      <w:r>
        <w:rPr>
          <w:rFonts w:hint="eastAsia" w:ascii="宋体" w:hAnsi="宋体"/>
          <w:bCs/>
          <w:sz w:val="24"/>
          <w:u w:val="single"/>
        </w:rPr>
        <w:t xml:space="preserve">     </w:t>
      </w:r>
      <w:r>
        <w:rPr>
          <w:rFonts w:ascii="宋体" w:hAnsi="宋体"/>
          <w:bCs/>
          <w:sz w:val="24"/>
        </w:rPr>
        <w:t>人，营业收入为</w:t>
      </w:r>
      <w:r>
        <w:rPr>
          <w:rFonts w:hint="eastAsia" w:ascii="宋体" w:hAnsi="宋体"/>
          <w:bCs/>
          <w:sz w:val="24"/>
          <w:u w:val="single"/>
        </w:rPr>
        <w:t xml:space="preserve">     </w:t>
      </w:r>
      <w:r>
        <w:rPr>
          <w:rFonts w:ascii="宋体" w:hAnsi="宋体"/>
          <w:bCs/>
          <w:sz w:val="24"/>
        </w:rPr>
        <w:t>万元，资产总额为</w:t>
      </w:r>
      <w:r>
        <w:rPr>
          <w:rFonts w:hint="eastAsia" w:ascii="宋体" w:hAnsi="宋体"/>
          <w:bCs/>
          <w:sz w:val="24"/>
          <w:u w:val="single"/>
        </w:rPr>
        <w:t xml:space="preserve">      </w:t>
      </w:r>
      <w:r>
        <w:rPr>
          <w:rFonts w:ascii="宋体" w:hAnsi="宋体"/>
          <w:bCs/>
          <w:sz w:val="24"/>
        </w:rPr>
        <w:t>万元，属于</w:t>
      </w:r>
      <w:r>
        <w:rPr>
          <w:rFonts w:ascii="宋体" w:hAnsi="宋体"/>
          <w:bCs/>
          <w:sz w:val="24"/>
          <w:u w:val="single"/>
        </w:rPr>
        <w:t>（中型企业、小 型企业、微型企业）</w:t>
      </w:r>
      <w:r>
        <w:rPr>
          <w:rFonts w:ascii="宋体" w:hAnsi="宋体"/>
          <w:bCs/>
          <w:sz w:val="24"/>
        </w:rPr>
        <w:t>；</w:t>
      </w:r>
    </w:p>
    <w:p>
      <w:pPr>
        <w:spacing w:line="500" w:lineRule="exact"/>
        <w:ind w:firstLine="480"/>
        <w:rPr>
          <w:rFonts w:ascii="宋体" w:hAnsi="宋体"/>
          <w:bCs/>
          <w:sz w:val="24"/>
        </w:rPr>
      </w:pPr>
      <w:r>
        <w:rPr>
          <w:rFonts w:ascii="宋体" w:hAnsi="宋体"/>
          <w:bCs/>
          <w:sz w:val="24"/>
        </w:rPr>
        <w:t>……</w:t>
      </w:r>
      <w:r>
        <w:rPr>
          <w:rFonts w:hint="eastAsia" w:ascii="宋体" w:hAnsi="宋体"/>
          <w:bCs/>
          <w:sz w:val="24"/>
        </w:rPr>
        <w:t>（以此类推，投标人须根据项目技术要求中的标的物逐一进行填写。专门面向中小企业的项目，投标人未按项目技术要求中的标的物逐一进行填写的，将被视为无效投标文件；非专门面向中小企业的项目，投标人未按项目技术要求中的标的物逐一进行填写的，将无法享受价格扣除。）</w:t>
      </w:r>
    </w:p>
    <w:p>
      <w:pPr>
        <w:spacing w:line="500" w:lineRule="exact"/>
        <w:ind w:firstLine="480"/>
        <w:rPr>
          <w:rFonts w:ascii="宋体" w:hAnsi="宋体"/>
          <w:bCs/>
          <w:sz w:val="24"/>
        </w:rPr>
      </w:pPr>
      <w:r>
        <w:rPr>
          <w:rFonts w:ascii="宋体" w:hAnsi="宋体"/>
          <w:bCs/>
          <w:sz w:val="24"/>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ind w:firstLine="4800"/>
        <w:rPr>
          <w:rFonts w:ascii="宋体" w:hAnsi="宋体"/>
          <w:bCs/>
          <w:sz w:val="24"/>
        </w:rPr>
      </w:pPr>
      <w:r>
        <w:rPr>
          <w:rFonts w:hint="eastAsia" w:ascii="宋体" w:hAnsi="宋体"/>
          <w:bCs/>
          <w:sz w:val="24"/>
        </w:rPr>
        <w:t>企业名称（盖章）：</w:t>
      </w:r>
    </w:p>
    <w:p>
      <w:pPr>
        <w:spacing w:line="360" w:lineRule="auto"/>
        <w:ind w:firstLine="4800"/>
        <w:rPr>
          <w:rFonts w:ascii="宋体" w:hAnsi="宋体"/>
          <w:bCs/>
          <w:sz w:val="24"/>
        </w:rPr>
      </w:pPr>
      <w:r>
        <w:rPr>
          <w:rFonts w:hint="eastAsia" w:ascii="宋体" w:hAnsi="宋体"/>
          <w:bCs/>
          <w:sz w:val="24"/>
        </w:rPr>
        <w:t>日　　　　　期：</w:t>
      </w:r>
    </w:p>
    <w:p>
      <w:pPr>
        <w:spacing w:line="360" w:lineRule="auto"/>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pPr>
      <w:r>
        <w:t>2.</w:t>
      </w:r>
      <w:r>
        <w:rPr>
          <w:rFonts w:hint="eastAsia"/>
        </w:rPr>
        <w:t>在货物采购项目中，供应商提供的货物既有中小企业制造货物，也有大型企业制造或物的，不享受本办法规定的中小企业扶持政策。</w:t>
      </w:r>
    </w:p>
    <w:p>
      <w:pPr>
        <w:spacing w:line="360" w:lineRule="auto"/>
        <w:ind w:firstLine="420"/>
        <w:rPr>
          <w:rFonts w:ascii="黑体" w:hAnsi="宋体" w:eastAsia="黑体"/>
          <w:bCs/>
          <w:sz w:val="24"/>
        </w:rPr>
      </w:pPr>
      <w:r>
        <w:rPr>
          <w:rFonts w:hint="eastAsia"/>
        </w:rPr>
        <w:t>3.中标供应商的《</w:t>
      </w:r>
      <w:r>
        <w:t>中小企业声明函</w:t>
      </w:r>
      <w:r>
        <w:rPr>
          <w:rFonts w:hint="eastAsia"/>
        </w:rPr>
        <w:t>》将随中标公告进行公示。供应商按照本办法规定提供声明函内容不实的，属于提供虚假材料谋取中标、成交，依照《中华人民共和国政府采购法》等国家有关规定追究相应责任。</w:t>
      </w:r>
    </w:p>
    <w:p>
      <w:pPr>
        <w:jc w:val="center"/>
        <w:rPr>
          <w:rFonts w:ascii="黑体"/>
          <w:b/>
          <w:color w:val="000000"/>
          <w:sz w:val="32"/>
          <w:szCs w:val="32"/>
        </w:rPr>
      </w:pPr>
    </w:p>
    <w:p>
      <w:pPr>
        <w:jc w:val="center"/>
        <w:rPr>
          <w:rFonts w:ascii="黑体"/>
          <w:b/>
          <w:color w:val="000000"/>
          <w:sz w:val="32"/>
          <w:szCs w:val="32"/>
        </w:rPr>
      </w:pPr>
    </w:p>
    <w:p>
      <w:pPr>
        <w:jc w:val="center"/>
        <w:rPr>
          <w:rFonts w:ascii="黑体"/>
          <w:b/>
          <w:color w:val="000000"/>
          <w:sz w:val="32"/>
          <w:szCs w:val="32"/>
        </w:rPr>
      </w:pPr>
    </w:p>
    <w:p>
      <w:pPr>
        <w:jc w:val="center"/>
        <w:rPr>
          <w:rFonts w:ascii="黑体"/>
          <w:b/>
          <w:color w:val="000000"/>
          <w:sz w:val="32"/>
          <w:szCs w:val="32"/>
        </w:rPr>
      </w:pPr>
    </w:p>
    <w:p>
      <w:pPr>
        <w:jc w:val="center"/>
        <w:rPr>
          <w:rFonts w:ascii="黑体"/>
          <w:b/>
          <w:color w:val="000000"/>
          <w:sz w:val="32"/>
          <w:szCs w:val="32"/>
        </w:rPr>
      </w:pPr>
      <w:r>
        <w:rPr>
          <w:rFonts w:hint="eastAsia" w:ascii="黑体"/>
          <w:b/>
          <w:color w:val="000000"/>
          <w:sz w:val="32"/>
          <w:szCs w:val="32"/>
        </w:rPr>
        <w:t>残疾人福利性单位声明函（格式）：</w:t>
      </w:r>
    </w:p>
    <w:p>
      <w:pPr>
        <w:jc w:val="center"/>
        <w:rPr>
          <w:rFonts w:ascii="黑体"/>
          <w:b/>
          <w:color w:val="000000"/>
          <w:sz w:val="32"/>
          <w:szCs w:val="32"/>
        </w:rPr>
      </w:pPr>
    </w:p>
    <w:p>
      <w:pPr>
        <w:spacing w:line="580" w:lineRule="exact"/>
        <w:ind w:firstLine="480"/>
        <w:rPr>
          <w:rFonts w:ascii="宋体" w:hAnsi="宋体"/>
          <w:bCs/>
          <w:sz w:val="24"/>
        </w:rPr>
      </w:pPr>
      <w:r>
        <w:rPr>
          <w:rFonts w:hint="eastAsia" w:ascii="宋体" w:hAnsi="宋体"/>
          <w:bCs/>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rPr>
          <w:rFonts w:ascii="宋体" w:hAnsi="宋体"/>
          <w:bCs/>
          <w:sz w:val="24"/>
        </w:rPr>
      </w:pPr>
      <w:r>
        <w:rPr>
          <w:rFonts w:hint="eastAsia" w:ascii="宋体" w:hAnsi="宋体"/>
          <w:bCs/>
          <w:sz w:val="24"/>
        </w:rPr>
        <w:t>本单位对上述声明的真实性负责。如有虚假，将依法承担相应责任。</w:t>
      </w:r>
    </w:p>
    <w:p>
      <w:pPr>
        <w:spacing w:line="580" w:lineRule="exact"/>
        <w:ind w:firstLine="480"/>
        <w:rPr>
          <w:rFonts w:ascii="宋体" w:hAnsi="宋体"/>
          <w:bCs/>
          <w:sz w:val="24"/>
        </w:rPr>
      </w:pPr>
    </w:p>
    <w:p>
      <w:pPr>
        <w:spacing w:line="580" w:lineRule="exact"/>
        <w:ind w:firstLine="480"/>
        <w:rPr>
          <w:rFonts w:ascii="宋体" w:hAnsi="宋体"/>
          <w:bCs/>
          <w:sz w:val="24"/>
        </w:rPr>
      </w:pPr>
    </w:p>
    <w:p>
      <w:pPr>
        <w:spacing w:line="580" w:lineRule="exact"/>
        <w:ind w:firstLine="480"/>
        <w:jc w:val="right"/>
        <w:rPr>
          <w:rFonts w:ascii="宋体" w:hAnsi="宋体"/>
          <w:bCs/>
          <w:sz w:val="24"/>
        </w:rPr>
      </w:pPr>
      <w:r>
        <w:rPr>
          <w:rFonts w:hint="eastAsia" w:ascii="宋体" w:hAnsi="宋体"/>
          <w:bCs/>
          <w:sz w:val="24"/>
        </w:rPr>
        <w:t xml:space="preserve">单位名称（盖章）： </w:t>
      </w:r>
      <w:r>
        <w:rPr>
          <w:rFonts w:ascii="宋体" w:hAnsi="宋体"/>
          <w:bCs/>
          <w:sz w:val="24"/>
        </w:rPr>
        <w:t xml:space="preserve">        </w:t>
      </w:r>
    </w:p>
    <w:p>
      <w:pPr>
        <w:spacing w:line="580" w:lineRule="exact"/>
        <w:ind w:firstLine="480"/>
        <w:jc w:val="right"/>
        <w:rPr>
          <w:rFonts w:ascii="宋体" w:hAnsi="宋体"/>
          <w:bCs/>
          <w:sz w:val="24"/>
        </w:rPr>
      </w:pPr>
      <w:r>
        <w:rPr>
          <w:rFonts w:ascii="宋体" w:hAnsi="宋体"/>
          <w:bCs/>
          <w:sz w:val="24"/>
        </w:rPr>
        <w:t xml:space="preserve">  </w:t>
      </w:r>
    </w:p>
    <w:p>
      <w:pPr>
        <w:spacing w:line="580" w:lineRule="exact"/>
        <w:ind w:firstLine="480"/>
        <w:jc w:val="right"/>
        <w:rPr>
          <w:rFonts w:ascii="宋体" w:hAnsi="宋体"/>
          <w:bCs/>
          <w:sz w:val="24"/>
        </w:rPr>
      </w:pPr>
      <w:r>
        <w:rPr>
          <w:rFonts w:hint="eastAsia" w:ascii="宋体" w:hAnsi="宋体"/>
          <w:bCs/>
          <w:sz w:val="24"/>
        </w:rPr>
        <w:t xml:space="preserve">日  期： </w:t>
      </w:r>
      <w:r>
        <w:rPr>
          <w:rFonts w:ascii="宋体" w:hAnsi="宋体"/>
          <w:bCs/>
          <w:sz w:val="24"/>
        </w:rPr>
        <w:t xml:space="preserve">        </w:t>
      </w:r>
    </w:p>
    <w:p>
      <w:pPr>
        <w:ind w:firstLine="480"/>
        <w:outlineLvl w:val="0"/>
        <w:rPr>
          <w:rFonts w:ascii="黑体" w:hAnsi="宋体" w:eastAsia="黑体"/>
          <w:bCs/>
          <w:sz w:val="24"/>
        </w:rPr>
      </w:pPr>
    </w:p>
    <w:p>
      <w:pPr>
        <w:ind w:firstLine="480"/>
        <w:outlineLvl w:val="0"/>
        <w:rPr>
          <w:rFonts w:ascii="黑体" w:hAnsi="宋体" w:eastAsia="黑体"/>
          <w:bCs/>
          <w:sz w:val="24"/>
        </w:rPr>
      </w:pPr>
    </w:p>
    <w:p>
      <w:pPr>
        <w:rPr>
          <w:rFonts w:ascii="宋体" w:hAnsi="宋体"/>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olor w:val="000000"/>
          <w:sz w:val="24"/>
        </w:rPr>
      </w:pPr>
    </w:p>
    <w:p/>
    <w:sectPr>
      <w:headerReference r:id="rId3" w:type="default"/>
      <w:footerReference r:id="rId4" w:type="default"/>
      <w:footerReference r:id="rId5" w:type="even"/>
      <w:pgSz w:w="11906" w:h="16838"/>
      <w:pgMar w:top="567" w:right="851" w:bottom="567"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320" cy="284480"/>
              <wp:effectExtent l="0" t="0" r="0" b="0"/>
              <wp:wrapNone/>
              <wp:docPr id="3" name="shape 0"/>
              <wp:cNvGraphicFramePr/>
              <a:graphic xmlns:a="http://schemas.openxmlformats.org/drawingml/2006/main">
                <a:graphicData uri="http://schemas.microsoft.com/office/word/2010/wordprocessingShape">
                  <wps:wsp>
                    <wps:cNvSpPr txBox="1"/>
                    <wps:spPr>
                      <a:xfrm>
                        <a:off x="0" y="0"/>
                        <a:ext cx="274320" cy="284480"/>
                      </a:xfrm>
                      <a:prstGeom prst="rect">
                        <a:avLst/>
                      </a:prstGeom>
                      <a:noFill/>
                      <a:ln>
                        <a:noFill/>
                      </a:ln>
                    </wps:spPr>
                    <wps:txbx>
                      <w:txbxContent>
                        <w:p>
                          <w:pPr>
                            <w:pStyle w:val="196"/>
                            <w:tabs>
                              <w:tab w:val="clear" w:pos="4153"/>
                              <w:tab w:val="clear" w:pos="8306"/>
                            </w:tabs>
                            <w:rPr>
                              <w:rStyle w:val="197"/>
                            </w:rPr>
                          </w:pPr>
                          <w:r>
                            <w:fldChar w:fldCharType="begin"/>
                          </w:r>
                          <w:r>
                            <w:rPr>
                              <w:rStyle w:val="197"/>
                            </w:rPr>
                            <w:instrText xml:space="preserve">PAGE  </w:instrText>
                          </w:r>
                          <w:r>
                            <w:fldChar w:fldCharType="separate"/>
                          </w:r>
                          <w:r>
                            <w:rPr>
                              <w:rStyle w:val="197"/>
                            </w:rPr>
                            <w:t>19</w:t>
                          </w:r>
                          <w:r>
                            <w:fldChar w:fldCharType="end"/>
                          </w:r>
                        </w:p>
                        <w:p/>
                      </w:txbxContent>
                    </wps:txbx>
                    <wps:bodyPr lIns="0" tIns="0" rIns="0" bIns="0" upright="1"/>
                  </wps:wsp>
                </a:graphicData>
              </a:graphic>
            </wp:anchor>
          </w:drawing>
        </mc:Choice>
        <mc:Fallback>
          <w:pict>
            <v:shape id="shape 0" o:spid="_x0000_s1026" o:spt="202" type="#_x0000_t202" style="position:absolute;left:0pt;margin-top:0pt;height:22.4pt;width:21.6pt;mso-position-horizontal:center;mso-position-horizontal-relative:margin;z-index:251659264;mso-width-relative:page;mso-height-relative:page;" filled="f" stroked="f" coordsize="21600,21600" o:gfxdata="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Bjg/r1AAAAAMBAAAPAAAA&#10;AAAAAAEAIAAAACIAAABkcnMvZG93bnJldi54bWxQSwECFAAUAAAACACHTuJAXAM29acBAABtAwAA&#10;DgAAAAAAAAABACAAAAAjAQAAZHJzL2Uyb0RvYy54bWxQSwUGAAAAAAYABgBZAQAAPAUAAAAA&#10;">
              <v:fill on="f" focussize="0,0"/>
              <v:stroke on="f"/>
              <v:imagedata o:title=""/>
              <o:lock v:ext="edit" aspectratio="f"/>
              <v:textbox inset="0mm,0mm,0mm,0mm">
                <w:txbxContent>
                  <w:p>
                    <w:pPr>
                      <w:pStyle w:val="196"/>
                      <w:tabs>
                        <w:tab w:val="clear" w:pos="4153"/>
                        <w:tab w:val="clear" w:pos="8306"/>
                      </w:tabs>
                      <w:rPr>
                        <w:rStyle w:val="197"/>
                      </w:rPr>
                    </w:pPr>
                    <w:r>
                      <w:fldChar w:fldCharType="begin"/>
                    </w:r>
                    <w:r>
                      <w:rPr>
                        <w:rStyle w:val="197"/>
                      </w:rPr>
                      <w:instrText xml:space="preserve">PAGE  </w:instrText>
                    </w:r>
                    <w:r>
                      <w:fldChar w:fldCharType="separate"/>
                    </w:r>
                    <w:r>
                      <w:rPr>
                        <w:rStyle w:val="197"/>
                      </w:rPr>
                      <w:t>19</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6"/>
      <w:framePr w:wrap="around" w:vAnchor="text" w:hAnchor="margin" w:xAlign="center" w:y="1"/>
      <w:rPr>
        <w:rStyle w:val="197"/>
      </w:rPr>
    </w:pPr>
    <w:r>
      <w:fldChar w:fldCharType="begin"/>
    </w:r>
    <w:r>
      <w:rPr>
        <w:rStyle w:val="197"/>
      </w:rPr>
      <w:instrText xml:space="preserve">PAGE  </w:instrText>
    </w:r>
    <w:r>
      <w:fldChar w:fldCharType="end"/>
    </w:r>
  </w:p>
  <w:p>
    <w:pPr>
      <w:pStyle w:val="19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5"/>
      <w:pBdr>
        <w:bottom w:val="none" w:color="000000"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5694C"/>
    <w:multiLevelType w:val="singleLevel"/>
    <w:tmpl w:val="DD05694C"/>
    <w:lvl w:ilvl="0" w:tentative="0">
      <w:start w:val="2"/>
      <w:numFmt w:val="decimal"/>
      <w:suff w:val="nothing"/>
      <w:lvlText w:val="%1）"/>
      <w:lvlJc w:val="left"/>
    </w:lvl>
  </w:abstractNum>
  <w:abstractNum w:abstractNumId="1">
    <w:nsid w:val="0A5F7E19"/>
    <w:multiLevelType w:val="multilevel"/>
    <w:tmpl w:val="0A5F7E19"/>
    <w:lvl w:ilvl="0" w:tentative="0">
      <w:start w:val="1"/>
      <w:numFmt w:val="decimal"/>
      <w:lvlText w:val="（%1）"/>
      <w:lvlJc w:val="left"/>
      <w:pPr>
        <w:tabs>
          <w:tab w:val="left" w:pos="1710"/>
        </w:tabs>
        <w:ind w:left="1710" w:hanging="720"/>
      </w:pPr>
      <w:rPr>
        <w:rFonts w:hint="eastAsia"/>
      </w:rPr>
    </w:lvl>
    <w:lvl w:ilvl="1" w:tentative="0">
      <w:start w:val="7"/>
      <w:numFmt w:val="japaneseCounting"/>
      <w:lvlText w:val="%2、"/>
      <w:lvlJc w:val="left"/>
      <w:pPr>
        <w:tabs>
          <w:tab w:val="left" w:pos="1890"/>
        </w:tabs>
        <w:ind w:left="1890" w:hanging="480"/>
      </w:pPr>
    </w:lvl>
    <w:lvl w:ilvl="2" w:tentative="0">
      <w:start w:val="1"/>
      <w:numFmt w:val="lowerRoman"/>
      <w:lvlText w:val="%3."/>
      <w:lvlJc w:val="right"/>
      <w:pPr>
        <w:tabs>
          <w:tab w:val="left" w:pos="2250"/>
        </w:tabs>
        <w:ind w:left="2250" w:hanging="420"/>
      </w:p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2">
    <w:nsid w:val="3071202D"/>
    <w:multiLevelType w:val="multilevel"/>
    <w:tmpl w:val="3071202D"/>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2E104A"/>
    <w:multiLevelType w:val="multilevel"/>
    <w:tmpl w:val="372E104A"/>
    <w:lvl w:ilvl="0" w:tentative="0">
      <w:start w:val="1"/>
      <w:numFmt w:val="decimal"/>
      <w:lvlText w:val="%1."/>
      <w:lvlJc w:val="left"/>
      <w:pPr>
        <w:tabs>
          <w:tab w:val="left" w:pos="1965"/>
        </w:tabs>
        <w:ind w:left="1965" w:hanging="70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F1B9F1"/>
    <w:multiLevelType w:val="singleLevel"/>
    <w:tmpl w:val="38F1B9F1"/>
    <w:lvl w:ilvl="0" w:tentative="0">
      <w:start w:val="1"/>
      <w:numFmt w:val="decimal"/>
      <w:suff w:val="space"/>
      <w:lvlText w:val="%1."/>
      <w:lvlJc w:val="left"/>
    </w:lvl>
  </w:abstractNum>
  <w:abstractNum w:abstractNumId="5">
    <w:nsid w:val="3A3535B9"/>
    <w:multiLevelType w:val="multilevel"/>
    <w:tmpl w:val="3A3535B9"/>
    <w:lvl w:ilvl="0" w:tentative="0">
      <w:start w:val="1"/>
      <w:numFmt w:val="decimal"/>
      <w:lvlText w:val="%1."/>
      <w:lvlJc w:val="left"/>
      <w:pPr>
        <w:tabs>
          <w:tab w:val="left" w:pos="510"/>
        </w:tabs>
        <w:ind w:left="510" w:hanging="360"/>
      </w:pPr>
      <w:rPr>
        <w:rFonts w:ascii="Times New Roman"/>
        <w:u w:val="none"/>
      </w:rPr>
    </w:lvl>
    <w:lvl w:ilvl="1" w:tentative="0">
      <w:start w:val="1"/>
      <w:numFmt w:val="decimal"/>
      <w:suff w:val="nothing"/>
      <w:lvlText w:val="%2．"/>
      <w:lvlJc w:val="left"/>
      <w:pPr>
        <w:ind w:left="1146" w:hanging="720"/>
      </w:pPr>
      <w:rPr>
        <w:rFonts w:ascii="Times New Roman"/>
        <w:u w:val="none"/>
      </w:rPr>
    </w:lvl>
    <w:lvl w:ilvl="2" w:tentative="0">
      <w:start w:val="3"/>
      <w:numFmt w:val="decimal"/>
      <w:lvlText w:val="（%3）"/>
      <w:lvlJc w:val="left"/>
      <w:pPr>
        <w:tabs>
          <w:tab w:val="left" w:pos="1140"/>
        </w:tabs>
        <w:ind w:left="1140" w:hanging="720"/>
      </w:pPr>
      <w:rPr>
        <w:rFonts w:ascii="Times New Roman"/>
        <w:u w:val="none"/>
        <w:lang w:val="en-US"/>
      </w:rPr>
    </w:lvl>
    <w:lvl w:ilvl="3" w:tentative="0">
      <w:start w:val="1"/>
      <w:numFmt w:val="decimal"/>
      <w:lvlText w:val="（%4）"/>
      <w:lvlJc w:val="left"/>
      <w:pPr>
        <w:tabs>
          <w:tab w:val="left" w:pos="1830"/>
        </w:tabs>
        <w:ind w:left="1830" w:hanging="420"/>
      </w:pPr>
      <w:rPr>
        <w:rFonts w:ascii="宋体" w:hAnsi="宋体" w:eastAsia="宋体"/>
        <w:u w:val="none"/>
      </w:rPr>
    </w:lvl>
    <w:lvl w:ilvl="4" w:tentative="0">
      <w:start w:val="1"/>
      <w:numFmt w:val="decimal"/>
      <w:lvlText w:val="（%5）"/>
      <w:lvlJc w:val="left"/>
      <w:pPr>
        <w:tabs>
          <w:tab w:val="left" w:pos="960"/>
        </w:tabs>
        <w:ind w:left="960" w:hanging="420"/>
      </w:pPr>
      <w:rPr>
        <w:rFonts w:ascii="Times New Roman"/>
        <w:u w:val="none"/>
        <w:lang w:val="en-US"/>
      </w:rPr>
    </w:lvl>
    <w:lvl w:ilvl="5" w:tentative="0">
      <w:start w:val="1"/>
      <w:numFmt w:val="decimal"/>
      <w:lvlText w:val="%6."/>
      <w:lvlJc w:val="left"/>
      <w:pPr>
        <w:tabs>
          <w:tab w:val="left" w:pos="2670"/>
        </w:tabs>
        <w:ind w:left="2670" w:hanging="420"/>
      </w:pPr>
      <w:rPr>
        <w:rFonts w:ascii="Times New Roman"/>
        <w:u w:val="none"/>
      </w:rPr>
    </w:lvl>
    <w:lvl w:ilvl="6" w:tentative="0">
      <w:start w:val="1"/>
      <w:numFmt w:val="decimal"/>
      <w:lvlText w:val="%7."/>
      <w:lvlJc w:val="left"/>
      <w:pPr>
        <w:tabs>
          <w:tab w:val="left" w:pos="3090"/>
        </w:tabs>
        <w:ind w:left="3090" w:hanging="420"/>
      </w:pPr>
      <w:rPr>
        <w:rFonts w:ascii="Times New Roman"/>
        <w:u w:val="none"/>
      </w:rPr>
    </w:lvl>
    <w:lvl w:ilvl="7" w:tentative="0">
      <w:start w:val="1"/>
      <w:numFmt w:val="lowerLetter"/>
      <w:lvlText w:val="%8)"/>
      <w:lvlJc w:val="left"/>
      <w:pPr>
        <w:tabs>
          <w:tab w:val="left" w:pos="3510"/>
        </w:tabs>
        <w:ind w:left="3510" w:hanging="420"/>
      </w:pPr>
      <w:rPr>
        <w:rFonts w:ascii="Times New Roman"/>
        <w:u w:val="none"/>
      </w:rPr>
    </w:lvl>
    <w:lvl w:ilvl="8" w:tentative="0">
      <w:start w:val="1"/>
      <w:numFmt w:val="lowerRoman"/>
      <w:lvlText w:val="%9."/>
      <w:lvlJc w:val="right"/>
      <w:pPr>
        <w:tabs>
          <w:tab w:val="left" w:pos="3930"/>
        </w:tabs>
        <w:ind w:left="3930" w:hanging="420"/>
      </w:pPr>
      <w:rPr>
        <w:rFonts w:ascii="Times New Roman"/>
        <w:u w:val="none"/>
      </w:rPr>
    </w:lvl>
  </w:abstractNum>
  <w:abstractNum w:abstractNumId="6">
    <w:nsid w:val="41506259"/>
    <w:multiLevelType w:val="multilevel"/>
    <w:tmpl w:val="41506259"/>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50AC2EDD"/>
    <w:multiLevelType w:val="multilevel"/>
    <w:tmpl w:val="50AC2EDD"/>
    <w:lvl w:ilvl="0" w:tentative="0">
      <w:start w:val="1"/>
      <w:numFmt w:val="decimal"/>
      <w:lvlText w:val="%1．"/>
      <w:lvlJc w:val="left"/>
      <w:pPr>
        <w:tabs>
          <w:tab w:val="left" w:pos="315"/>
        </w:tabs>
        <w:ind w:left="315" w:hanging="31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EF942F1"/>
    <w:multiLevelType w:val="multilevel"/>
    <w:tmpl w:val="5EF942F1"/>
    <w:lvl w:ilvl="0" w:tentative="0">
      <w:start w:val="6"/>
      <w:numFmt w:val="japaneseCounting"/>
      <w:lvlText w:val="（%1）"/>
      <w:lvlJc w:val="left"/>
      <w:pPr>
        <w:ind w:left="825" w:hanging="720"/>
      </w:pPr>
      <w:rPr>
        <w:lang w:val="en-US"/>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9">
    <w:nsid w:val="66675333"/>
    <w:multiLevelType w:val="multilevel"/>
    <w:tmpl w:val="66675333"/>
    <w:lvl w:ilvl="0" w:tentative="0">
      <w:start w:val="1"/>
      <w:numFmt w:val="decimal"/>
      <w:lvlText w:val="%1．"/>
      <w:lvlJc w:val="left"/>
      <w:pPr>
        <w:tabs>
          <w:tab w:val="left" w:pos="315"/>
        </w:tabs>
        <w:ind w:left="315" w:hanging="31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68F54317"/>
    <w:multiLevelType w:val="multilevel"/>
    <w:tmpl w:val="68F54317"/>
    <w:lvl w:ilvl="0" w:tentative="0">
      <w:start w:val="3"/>
      <w:numFmt w:val="japaneseCounting"/>
      <w:lvlText w:val="（%1）"/>
      <w:lvlJc w:val="left"/>
      <w:pPr>
        <w:tabs>
          <w:tab w:val="left" w:pos="855"/>
        </w:tabs>
        <w:ind w:left="855" w:hanging="85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704422A3"/>
    <w:multiLevelType w:val="multilevel"/>
    <w:tmpl w:val="704422A3"/>
    <w:lvl w:ilvl="0" w:tentative="0">
      <w:start w:val="1"/>
      <w:numFmt w:val="decimal"/>
      <w:lvlText w:val="%1."/>
      <w:lvlJc w:val="left"/>
      <w:pPr>
        <w:tabs>
          <w:tab w:val="left" w:pos="425"/>
        </w:tabs>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77D32BB9"/>
    <w:multiLevelType w:val="multilevel"/>
    <w:tmpl w:val="77D32BB9"/>
    <w:lvl w:ilvl="0" w:tentative="0">
      <w:start w:val="1"/>
      <w:numFmt w:val="decimal"/>
      <w:lvlText w:val="%1．"/>
      <w:lvlJc w:val="left"/>
      <w:pPr>
        <w:tabs>
          <w:tab w:val="left" w:pos="552"/>
        </w:tabs>
        <w:ind w:left="552" w:hanging="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8"/>
  </w:num>
  <w:num w:numId="2">
    <w:abstractNumId w:val="11"/>
  </w:num>
  <w:num w:numId="3">
    <w:abstractNumId w:val="5"/>
  </w:num>
  <w:num w:numId="4">
    <w:abstractNumId w:val="4"/>
  </w:num>
  <w:num w:numId="5">
    <w:abstractNumId w:val="0"/>
  </w:num>
  <w:num w:numId="6">
    <w:abstractNumId w:val="1"/>
  </w:num>
  <w:num w:numId="7">
    <w:abstractNumId w:val="12"/>
  </w:num>
  <w:num w:numId="8">
    <w:abstractNumId w:val="2"/>
  </w:num>
  <w:num w:numId="9">
    <w:abstractNumId w:val="10"/>
  </w:num>
  <w:num w:numId="10">
    <w:abstractNumId w:val="3"/>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ZWIwYTYzZDNjNjI4MTIyMDQ2YWI0MGQyNjUwNDIifQ=="/>
    <w:docVar w:name="KSO_WPS_MARK_KEY" w:val="17b31242-fc07-46b6-a63a-5543715d5446"/>
  </w:docVars>
  <w:rsids>
    <w:rsidRoot w:val="00E25170"/>
    <w:rsid w:val="00014FD1"/>
    <w:rsid w:val="000212FE"/>
    <w:rsid w:val="000A69E6"/>
    <w:rsid w:val="000C5598"/>
    <w:rsid w:val="00136C95"/>
    <w:rsid w:val="00145D33"/>
    <w:rsid w:val="00146D29"/>
    <w:rsid w:val="00191D02"/>
    <w:rsid w:val="001941CB"/>
    <w:rsid w:val="001A6BD4"/>
    <w:rsid w:val="001E04EF"/>
    <w:rsid w:val="001E0C0A"/>
    <w:rsid w:val="001E1B41"/>
    <w:rsid w:val="001E6687"/>
    <w:rsid w:val="001F7179"/>
    <w:rsid w:val="00217625"/>
    <w:rsid w:val="00231F02"/>
    <w:rsid w:val="00244BD3"/>
    <w:rsid w:val="0025221D"/>
    <w:rsid w:val="00257090"/>
    <w:rsid w:val="003C4355"/>
    <w:rsid w:val="003C62CD"/>
    <w:rsid w:val="003D5327"/>
    <w:rsid w:val="00410333"/>
    <w:rsid w:val="00425952"/>
    <w:rsid w:val="004E71F6"/>
    <w:rsid w:val="00545DC5"/>
    <w:rsid w:val="00557F3A"/>
    <w:rsid w:val="005D4D88"/>
    <w:rsid w:val="00620852"/>
    <w:rsid w:val="006424E1"/>
    <w:rsid w:val="00656BD3"/>
    <w:rsid w:val="0067644D"/>
    <w:rsid w:val="006A1988"/>
    <w:rsid w:val="006A5288"/>
    <w:rsid w:val="006C4F0B"/>
    <w:rsid w:val="006F0DFF"/>
    <w:rsid w:val="0073310B"/>
    <w:rsid w:val="007352F9"/>
    <w:rsid w:val="00797A4A"/>
    <w:rsid w:val="007D2AE5"/>
    <w:rsid w:val="007E0BA8"/>
    <w:rsid w:val="007E615D"/>
    <w:rsid w:val="00803518"/>
    <w:rsid w:val="008035B0"/>
    <w:rsid w:val="00810743"/>
    <w:rsid w:val="00812802"/>
    <w:rsid w:val="00824E2A"/>
    <w:rsid w:val="00842A02"/>
    <w:rsid w:val="00845AA6"/>
    <w:rsid w:val="008A3CEC"/>
    <w:rsid w:val="00901D2D"/>
    <w:rsid w:val="009153E4"/>
    <w:rsid w:val="0093022A"/>
    <w:rsid w:val="009514ED"/>
    <w:rsid w:val="00960C32"/>
    <w:rsid w:val="00960DEF"/>
    <w:rsid w:val="009A4969"/>
    <w:rsid w:val="009A7E81"/>
    <w:rsid w:val="00AC5E83"/>
    <w:rsid w:val="00AD0400"/>
    <w:rsid w:val="00AE4AC9"/>
    <w:rsid w:val="00B6781D"/>
    <w:rsid w:val="00B70998"/>
    <w:rsid w:val="00C07197"/>
    <w:rsid w:val="00C23598"/>
    <w:rsid w:val="00C271D4"/>
    <w:rsid w:val="00C349E1"/>
    <w:rsid w:val="00C575A7"/>
    <w:rsid w:val="00C9181B"/>
    <w:rsid w:val="00CA3900"/>
    <w:rsid w:val="00CB48E3"/>
    <w:rsid w:val="00D5697F"/>
    <w:rsid w:val="00D62113"/>
    <w:rsid w:val="00D772DA"/>
    <w:rsid w:val="00DF61E7"/>
    <w:rsid w:val="00E12FDA"/>
    <w:rsid w:val="00E25170"/>
    <w:rsid w:val="00F92C3B"/>
    <w:rsid w:val="00FE2BFC"/>
    <w:rsid w:val="01893A6A"/>
    <w:rsid w:val="0FCD2166"/>
    <w:rsid w:val="192C0646"/>
    <w:rsid w:val="1E160DA2"/>
    <w:rsid w:val="2B8F4F0C"/>
    <w:rsid w:val="2D0D2C74"/>
    <w:rsid w:val="37407074"/>
    <w:rsid w:val="3B847E8D"/>
    <w:rsid w:val="447E6783"/>
    <w:rsid w:val="54203DA5"/>
    <w:rsid w:val="56497832"/>
    <w:rsid w:val="6B4152DA"/>
    <w:rsid w:val="6C304ACA"/>
    <w:rsid w:val="77E4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99"/>
    <w:semiHidden/>
    <w:unhideWhenUsed/>
    <w:qFormat/>
    <w:uiPriority w:val="99"/>
    <w:pPr>
      <w:tabs>
        <w:tab w:val="center" w:pos="4153"/>
        <w:tab w:val="right" w:pos="8306"/>
      </w:tabs>
      <w:snapToGrid w:val="0"/>
      <w:jc w:val="left"/>
    </w:pPr>
    <w:rPr>
      <w:sz w:val="18"/>
      <w:szCs w:val="18"/>
    </w:rPr>
  </w:style>
  <w:style w:type="paragraph" w:styleId="3">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styleId="4">
    <w:name w:val="toc 7"/>
    <w:basedOn w:val="1"/>
    <w:next w:val="1"/>
    <w:unhideWhenUsed/>
    <w:qFormat/>
    <w:uiPriority w:val="39"/>
    <w:pPr>
      <w:spacing w:after="57"/>
      <w:ind w:left="1701"/>
    </w:pPr>
  </w:style>
  <w:style w:type="paragraph" w:styleId="5">
    <w:name w:val="annotation text"/>
    <w:basedOn w:val="1"/>
    <w:semiHidden/>
    <w:unhideWhenUsed/>
    <w:qFormat/>
    <w:uiPriority w:val="99"/>
    <w:pPr>
      <w:jc w:val="left"/>
    </w:pPr>
  </w:style>
  <w:style w:type="paragraph" w:styleId="6">
    <w:name w:val="Body Text"/>
    <w:basedOn w:val="1"/>
    <w:next w:val="7"/>
    <w:qFormat/>
    <w:uiPriority w:val="99"/>
    <w:rPr>
      <w:rFonts w:ascii="华文中宋" w:eastAsia="华文中宋"/>
      <w:bCs/>
      <w:sz w:val="28"/>
    </w:rPr>
  </w:style>
  <w:style w:type="paragraph" w:styleId="7">
    <w:name w:val="Subtitle"/>
    <w:basedOn w:val="1"/>
    <w:next w:val="1"/>
    <w:link w:val="52"/>
    <w:qFormat/>
    <w:uiPriority w:val="11"/>
    <w:pPr>
      <w:spacing w:before="200" w:after="200"/>
    </w:pPr>
    <w:rPr>
      <w:sz w:val="24"/>
    </w:rPr>
  </w:style>
  <w:style w:type="paragraph" w:styleId="8">
    <w:name w:val="toc 5"/>
    <w:basedOn w:val="1"/>
    <w:next w:val="1"/>
    <w:unhideWhenUsed/>
    <w:uiPriority w:val="39"/>
    <w:pPr>
      <w:spacing w:after="57"/>
      <w:ind w:left="1134"/>
    </w:pPr>
  </w:style>
  <w:style w:type="paragraph" w:styleId="9">
    <w:name w:val="toc 3"/>
    <w:basedOn w:val="1"/>
    <w:next w:val="1"/>
    <w:unhideWhenUsed/>
    <w:qFormat/>
    <w:uiPriority w:val="39"/>
    <w:pPr>
      <w:spacing w:after="57"/>
      <w:ind w:left="567"/>
    </w:pPr>
  </w:style>
  <w:style w:type="paragraph" w:styleId="10">
    <w:name w:val="toc 8"/>
    <w:basedOn w:val="1"/>
    <w:next w:val="1"/>
    <w:unhideWhenUsed/>
    <w:qFormat/>
    <w:uiPriority w:val="39"/>
    <w:pPr>
      <w:spacing w:after="57"/>
      <w:ind w:left="1984"/>
    </w:pPr>
  </w:style>
  <w:style w:type="paragraph" w:styleId="11">
    <w:name w:val="endnote text"/>
    <w:basedOn w:val="1"/>
    <w:link w:val="185"/>
    <w:semiHidden/>
    <w:unhideWhenUsed/>
    <w:qFormat/>
    <w:uiPriority w:val="99"/>
    <w:rPr>
      <w:sz w:val="20"/>
    </w:rPr>
  </w:style>
  <w:style w:type="paragraph" w:styleId="12">
    <w:name w:val="header"/>
    <w:basedOn w:val="1"/>
    <w:link w:val="19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57"/>
    </w:pPr>
  </w:style>
  <w:style w:type="paragraph" w:styleId="14">
    <w:name w:val="toc 4"/>
    <w:basedOn w:val="1"/>
    <w:next w:val="1"/>
    <w:unhideWhenUsed/>
    <w:qFormat/>
    <w:uiPriority w:val="39"/>
    <w:pPr>
      <w:spacing w:after="57"/>
      <w:ind w:left="850"/>
    </w:pPr>
  </w:style>
  <w:style w:type="paragraph" w:styleId="15">
    <w:name w:val="footnote text"/>
    <w:basedOn w:val="1"/>
    <w:link w:val="184"/>
    <w:semiHidden/>
    <w:unhideWhenUsed/>
    <w:qFormat/>
    <w:uiPriority w:val="99"/>
    <w:pPr>
      <w:spacing w:after="40"/>
    </w:pPr>
    <w:rPr>
      <w:sz w:val="18"/>
    </w:rPr>
  </w:style>
  <w:style w:type="paragraph" w:styleId="16">
    <w:name w:val="toc 6"/>
    <w:basedOn w:val="1"/>
    <w:next w:val="1"/>
    <w:unhideWhenUsed/>
    <w:qFormat/>
    <w:uiPriority w:val="39"/>
    <w:pPr>
      <w:spacing w:after="57"/>
      <w:ind w:left="1417"/>
    </w:pPr>
  </w:style>
  <w:style w:type="paragraph" w:styleId="17">
    <w:name w:val="table of figures"/>
    <w:basedOn w:val="1"/>
    <w:next w:val="1"/>
    <w:unhideWhenUsed/>
    <w:qFormat/>
    <w:uiPriority w:val="99"/>
  </w:style>
  <w:style w:type="paragraph" w:styleId="18">
    <w:name w:val="toc 2"/>
    <w:basedOn w:val="1"/>
    <w:next w:val="1"/>
    <w:unhideWhenUsed/>
    <w:qFormat/>
    <w:uiPriority w:val="39"/>
    <w:pPr>
      <w:spacing w:after="57"/>
      <w:ind w:left="283"/>
    </w:pPr>
  </w:style>
  <w:style w:type="paragraph" w:styleId="19">
    <w:name w:val="toc 9"/>
    <w:basedOn w:val="1"/>
    <w:next w:val="1"/>
    <w:unhideWhenUsed/>
    <w:qFormat/>
    <w:uiPriority w:val="39"/>
    <w:pPr>
      <w:spacing w:after="57"/>
      <w:ind w:left="2268"/>
    </w:pPr>
  </w:style>
  <w:style w:type="paragraph" w:styleId="20">
    <w:name w:val="Title"/>
    <w:basedOn w:val="1"/>
    <w:next w:val="1"/>
    <w:link w:val="51"/>
    <w:qFormat/>
    <w:uiPriority w:val="10"/>
    <w:pPr>
      <w:spacing w:before="300" w:after="200"/>
      <w:contextualSpacing/>
    </w:pPr>
    <w:rPr>
      <w:sz w:val="48"/>
      <w:szCs w:val="48"/>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endnote reference"/>
    <w:basedOn w:val="23"/>
    <w:semiHidden/>
    <w:unhideWhenUsed/>
    <w:qFormat/>
    <w:uiPriority w:val="99"/>
    <w:rPr>
      <w:vertAlign w:val="superscript"/>
    </w:rPr>
  </w:style>
  <w:style w:type="character" w:styleId="26">
    <w:name w:val="page number"/>
    <w:qFormat/>
    <w:uiPriority w:val="0"/>
  </w:style>
  <w:style w:type="character" w:styleId="27">
    <w:name w:val="Hyperlink"/>
    <w:unhideWhenUsed/>
    <w:qFormat/>
    <w:uiPriority w:val="99"/>
    <w:rPr>
      <w:color w:val="0563C1" w:themeColor="hyperlink"/>
      <w:u w:val="single"/>
      <w14:textFill>
        <w14:solidFill>
          <w14:schemeClr w14:val="hlink"/>
        </w14:solidFill>
      </w14:textFill>
    </w:rPr>
  </w:style>
  <w:style w:type="character" w:styleId="28">
    <w:name w:val="footnote reference"/>
    <w:basedOn w:val="23"/>
    <w:unhideWhenUsed/>
    <w:qFormat/>
    <w:uiPriority w:val="99"/>
    <w:rPr>
      <w:vertAlign w:val="superscript"/>
    </w:rPr>
  </w:style>
  <w:style w:type="paragraph" w:customStyle="1" w:styleId="29">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customStyle="1" w:styleId="30">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customStyle="1" w:styleId="31">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customStyle="1" w:styleId="32">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customStyle="1" w:styleId="33">
    <w:name w:val="Heading 5"/>
    <w:basedOn w:val="1"/>
    <w:next w:val="1"/>
    <w:link w:val="45"/>
    <w:unhideWhenUsed/>
    <w:qFormat/>
    <w:uiPriority w:val="9"/>
    <w:pPr>
      <w:keepNext/>
      <w:keepLines/>
      <w:spacing w:before="320" w:after="200"/>
      <w:outlineLvl w:val="4"/>
    </w:pPr>
    <w:rPr>
      <w:rFonts w:ascii="Arial" w:hAnsi="Arial" w:eastAsia="Arial" w:cs="Arial"/>
      <w:b/>
      <w:bCs/>
      <w:sz w:val="24"/>
    </w:rPr>
  </w:style>
  <w:style w:type="paragraph" w:customStyle="1" w:styleId="34">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customStyle="1" w:styleId="35">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36">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customStyle="1" w:styleId="37">
    <w:name w:val="Heading 9"/>
    <w:basedOn w:val="1"/>
    <w:next w:val="1"/>
    <w:link w:val="49"/>
    <w:unhideWhenUsed/>
    <w:qFormat/>
    <w:uiPriority w:val="9"/>
    <w:pPr>
      <w:keepNext/>
      <w:keepLines/>
      <w:spacing w:before="320" w:after="200"/>
      <w:outlineLvl w:val="8"/>
    </w:pPr>
    <w:rPr>
      <w:rFonts w:ascii="Arial" w:hAnsi="Arial" w:eastAsia="Arial" w:cs="Arial"/>
      <w:i/>
      <w:iCs/>
      <w:szCs w:val="21"/>
    </w:rPr>
  </w:style>
  <w:style w:type="paragraph" w:customStyle="1" w:styleId="38">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customStyle="1" w:styleId="39">
    <w:name w:val="Footer"/>
    <w:basedOn w:val="1"/>
    <w:link w:val="58"/>
    <w:unhideWhenUsed/>
    <w:qFormat/>
    <w:uiPriority w:val="99"/>
    <w:pPr>
      <w:tabs>
        <w:tab w:val="center" w:pos="7143"/>
        <w:tab w:val="right" w:pos="14287"/>
      </w:tabs>
    </w:pPr>
  </w:style>
  <w:style w:type="paragraph" w:customStyle="1" w:styleId="40">
    <w:name w:val="Header"/>
    <w:basedOn w:val="1"/>
    <w:link w:val="56"/>
    <w:unhideWhenUsed/>
    <w:qFormat/>
    <w:uiPriority w:val="99"/>
    <w:pPr>
      <w:tabs>
        <w:tab w:val="center" w:pos="7143"/>
        <w:tab w:val="right" w:pos="14287"/>
      </w:tabs>
    </w:pPr>
  </w:style>
  <w:style w:type="character" w:customStyle="1" w:styleId="41">
    <w:name w:val="Heading 1 Char"/>
    <w:basedOn w:val="23"/>
    <w:link w:val="29"/>
    <w:qFormat/>
    <w:uiPriority w:val="9"/>
    <w:rPr>
      <w:rFonts w:ascii="Arial" w:hAnsi="Arial" w:eastAsia="Arial" w:cs="Arial"/>
      <w:sz w:val="40"/>
      <w:szCs w:val="40"/>
    </w:rPr>
  </w:style>
  <w:style w:type="character" w:customStyle="1" w:styleId="42">
    <w:name w:val="Heading 2 Char"/>
    <w:basedOn w:val="23"/>
    <w:link w:val="30"/>
    <w:qFormat/>
    <w:uiPriority w:val="9"/>
    <w:rPr>
      <w:rFonts w:ascii="Arial" w:hAnsi="Arial" w:eastAsia="Arial" w:cs="Arial"/>
      <w:sz w:val="34"/>
    </w:rPr>
  </w:style>
  <w:style w:type="character" w:customStyle="1" w:styleId="43">
    <w:name w:val="Heading 3 Char"/>
    <w:basedOn w:val="23"/>
    <w:link w:val="31"/>
    <w:qFormat/>
    <w:uiPriority w:val="9"/>
    <w:rPr>
      <w:rFonts w:ascii="Arial" w:hAnsi="Arial" w:eastAsia="Arial" w:cs="Arial"/>
      <w:sz w:val="30"/>
      <w:szCs w:val="30"/>
    </w:rPr>
  </w:style>
  <w:style w:type="character" w:customStyle="1" w:styleId="44">
    <w:name w:val="Heading 4 Char"/>
    <w:basedOn w:val="23"/>
    <w:link w:val="32"/>
    <w:qFormat/>
    <w:uiPriority w:val="9"/>
    <w:rPr>
      <w:rFonts w:ascii="Arial" w:hAnsi="Arial" w:eastAsia="Arial" w:cs="Arial"/>
      <w:b/>
      <w:bCs/>
      <w:sz w:val="26"/>
      <w:szCs w:val="26"/>
    </w:rPr>
  </w:style>
  <w:style w:type="character" w:customStyle="1" w:styleId="45">
    <w:name w:val="Heading 5 Char"/>
    <w:basedOn w:val="23"/>
    <w:link w:val="33"/>
    <w:qFormat/>
    <w:uiPriority w:val="9"/>
    <w:rPr>
      <w:rFonts w:ascii="Arial" w:hAnsi="Arial" w:eastAsia="Arial" w:cs="Arial"/>
      <w:b/>
      <w:bCs/>
      <w:sz w:val="24"/>
      <w:szCs w:val="24"/>
    </w:rPr>
  </w:style>
  <w:style w:type="character" w:customStyle="1" w:styleId="46">
    <w:name w:val="Heading 6 Char"/>
    <w:basedOn w:val="23"/>
    <w:link w:val="34"/>
    <w:qFormat/>
    <w:uiPriority w:val="9"/>
    <w:rPr>
      <w:rFonts w:ascii="Arial" w:hAnsi="Arial" w:eastAsia="Arial" w:cs="Arial"/>
      <w:b/>
      <w:bCs/>
      <w:sz w:val="22"/>
      <w:szCs w:val="22"/>
    </w:rPr>
  </w:style>
  <w:style w:type="character" w:customStyle="1" w:styleId="47">
    <w:name w:val="Heading 7 Char"/>
    <w:basedOn w:val="23"/>
    <w:link w:val="35"/>
    <w:qFormat/>
    <w:uiPriority w:val="9"/>
    <w:rPr>
      <w:rFonts w:ascii="Arial" w:hAnsi="Arial" w:eastAsia="Arial" w:cs="Arial"/>
      <w:b/>
      <w:bCs/>
      <w:i/>
      <w:iCs/>
      <w:sz w:val="22"/>
      <w:szCs w:val="22"/>
    </w:rPr>
  </w:style>
  <w:style w:type="character" w:customStyle="1" w:styleId="48">
    <w:name w:val="Heading 8 Char"/>
    <w:basedOn w:val="23"/>
    <w:link w:val="36"/>
    <w:qFormat/>
    <w:uiPriority w:val="9"/>
    <w:rPr>
      <w:rFonts w:ascii="Arial" w:hAnsi="Arial" w:eastAsia="Arial" w:cs="Arial"/>
      <w:i/>
      <w:iCs/>
      <w:sz w:val="22"/>
      <w:szCs w:val="22"/>
    </w:rPr>
  </w:style>
  <w:style w:type="character" w:customStyle="1" w:styleId="49">
    <w:name w:val="Heading 9 Char"/>
    <w:basedOn w:val="23"/>
    <w:link w:val="37"/>
    <w:qFormat/>
    <w:uiPriority w:val="9"/>
    <w:rPr>
      <w:rFonts w:ascii="Arial" w:hAnsi="Arial" w:eastAsia="Arial" w:cs="Arial"/>
      <w:i/>
      <w:iCs/>
      <w:sz w:val="21"/>
      <w:szCs w:val="21"/>
    </w:rPr>
  </w:style>
  <w:style w:type="paragraph" w:styleId="50">
    <w:name w:val="No Spacing"/>
    <w:qFormat/>
    <w:uiPriority w:val="1"/>
    <w:rPr>
      <w:rFonts w:asciiTheme="minorHAnsi" w:hAnsiTheme="minorHAnsi" w:eastAsiaTheme="minorEastAsia" w:cstheme="minorBidi"/>
      <w:lang w:val="en-US" w:eastAsia="zh-CN" w:bidi="ar-SA"/>
    </w:rPr>
  </w:style>
  <w:style w:type="character" w:customStyle="1" w:styleId="51">
    <w:name w:val="标题 Char"/>
    <w:basedOn w:val="23"/>
    <w:link w:val="20"/>
    <w:qFormat/>
    <w:uiPriority w:val="10"/>
    <w:rPr>
      <w:sz w:val="48"/>
      <w:szCs w:val="48"/>
    </w:rPr>
  </w:style>
  <w:style w:type="character" w:customStyle="1" w:styleId="52">
    <w:name w:val="副标题 Char"/>
    <w:basedOn w:val="23"/>
    <w:link w:val="7"/>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引用 Char"/>
    <w:link w:val="53"/>
    <w:qFormat/>
    <w:uiPriority w:val="29"/>
    <w:rPr>
      <w:i/>
    </w:rPr>
  </w:style>
  <w:style w:type="character" w:customStyle="1" w:styleId="55">
    <w:name w:val="明显引用 Char"/>
    <w:link w:val="3"/>
    <w:qFormat/>
    <w:uiPriority w:val="30"/>
    <w:rPr>
      <w:i/>
    </w:rPr>
  </w:style>
  <w:style w:type="character" w:customStyle="1" w:styleId="56">
    <w:name w:val="Header Char"/>
    <w:basedOn w:val="23"/>
    <w:link w:val="40"/>
    <w:qFormat/>
    <w:uiPriority w:val="99"/>
  </w:style>
  <w:style w:type="character" w:customStyle="1" w:styleId="57">
    <w:name w:val="Footer Char"/>
    <w:basedOn w:val="23"/>
    <w:link w:val="39"/>
    <w:qFormat/>
    <w:uiPriority w:val="99"/>
  </w:style>
  <w:style w:type="character" w:customStyle="1" w:styleId="58">
    <w:name w:val="Caption Char"/>
    <w:link w:val="39"/>
    <w:qFormat/>
    <w:uiPriority w:val="99"/>
  </w:style>
  <w:style w:type="table" w:customStyle="1" w:styleId="59">
    <w:name w:val="Table Grid Light"/>
    <w:basedOn w:val="2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2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21"/>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21"/>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21"/>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2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2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2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2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2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2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2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Grid Table 2"/>
    <w:basedOn w:val="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2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2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2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2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21"/>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21"/>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Grid Table 3"/>
    <w:basedOn w:val="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2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2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2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2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21"/>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21"/>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Grid Table 4"/>
    <w:basedOn w:val="2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21"/>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2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2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2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21"/>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2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Grid Table 5 Dark"/>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2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Grid Table 6 Colorful"/>
    <w:basedOn w:val="2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21"/>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2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2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4">
    <w:name w:val="Grid Table 6 Colorful - Accent 4"/>
    <w:basedOn w:val="2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21"/>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2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Grid Table 7 Colorful"/>
    <w:basedOn w:val="2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21"/>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2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2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1">
    <w:name w:val="Grid Table 7 Colorful - Accent 4"/>
    <w:basedOn w:val="2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21"/>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21"/>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List Table 1 Light"/>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21"/>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List Table 2"/>
    <w:basedOn w:val="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21"/>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2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2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2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21"/>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2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List Table 3"/>
    <w:basedOn w:val="2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21"/>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2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2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2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21"/>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2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List Table 4"/>
    <w:basedOn w:val="2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21"/>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2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2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2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21"/>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2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List Table 5 Dark"/>
    <w:basedOn w:val="2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21"/>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21"/>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21"/>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21"/>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21"/>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21"/>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List Table 6 Colorful"/>
    <w:basedOn w:val="21"/>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21"/>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21"/>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21"/>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21"/>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21"/>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21"/>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21"/>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21"/>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21"/>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21"/>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21"/>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21"/>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21"/>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2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2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21"/>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2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2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2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21"/>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2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2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2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2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2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2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2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2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脚注文本 Char"/>
    <w:link w:val="15"/>
    <w:qFormat/>
    <w:uiPriority w:val="99"/>
    <w:rPr>
      <w:sz w:val="18"/>
    </w:rPr>
  </w:style>
  <w:style w:type="character" w:customStyle="1" w:styleId="185">
    <w:name w:val="尾注文本 Char"/>
    <w:link w:val="11"/>
    <w:qFormat/>
    <w:uiPriority w:val="99"/>
    <w:rPr>
      <w:sz w:val="20"/>
    </w:rPr>
  </w:style>
  <w:style w:type="paragraph" w:customStyle="1" w:styleId="186">
    <w:name w:val="TOC 标题1"/>
    <w:unhideWhenUsed/>
    <w:qFormat/>
    <w:uiPriority w:val="39"/>
    <w:rPr>
      <w:rFonts w:asciiTheme="minorHAnsi" w:hAnsiTheme="minorHAnsi" w:eastAsiaTheme="minorEastAsia" w:cstheme="minorBidi"/>
      <w:lang w:val="en-US" w:eastAsia="zh-CN" w:bidi="ar-SA"/>
    </w:rPr>
  </w:style>
  <w:style w:type="paragraph" w:customStyle="1" w:styleId="187">
    <w:name w:val="正文缩进11"/>
    <w:basedOn w:val="1"/>
    <w:qFormat/>
    <w:uiPriority w:val="0"/>
    <w:pPr>
      <w:widowControl/>
      <w:ind w:firstLine="420"/>
      <w:jc w:val="left"/>
    </w:pPr>
    <w:rPr>
      <w:sz w:val="20"/>
      <w:szCs w:val="20"/>
    </w:rPr>
  </w:style>
  <w:style w:type="paragraph" w:styleId="188">
    <w:name w:val="List Paragraph"/>
    <w:basedOn w:val="1"/>
    <w:qFormat/>
    <w:uiPriority w:val="99"/>
    <w:pPr>
      <w:ind w:firstLine="420"/>
    </w:pPr>
    <w:rPr>
      <w:rFonts w:ascii="Calibri" w:hAnsi="Calibri"/>
      <w:szCs w:val="22"/>
    </w:rPr>
  </w:style>
  <w:style w:type="paragraph" w:customStyle="1" w:styleId="189">
    <w:name w:val="正文文本1"/>
    <w:basedOn w:val="1"/>
    <w:next w:val="190"/>
    <w:qFormat/>
    <w:uiPriority w:val="0"/>
    <w:rPr>
      <w:rFonts w:ascii="仿宋_GB2312" w:eastAsia="仿宋_GB2312"/>
      <w:sz w:val="28"/>
      <w:szCs w:val="20"/>
    </w:rPr>
  </w:style>
  <w:style w:type="paragraph" w:customStyle="1" w:styleId="190">
    <w:name w:val="副标题1"/>
    <w:basedOn w:val="1"/>
    <w:next w:val="1"/>
    <w:qFormat/>
    <w:uiPriority w:val="0"/>
    <w:pPr>
      <w:spacing w:before="240" w:after="60" w:line="312" w:lineRule="auto"/>
      <w:jc w:val="center"/>
      <w:outlineLvl w:val="1"/>
    </w:pPr>
    <w:rPr>
      <w:rFonts w:ascii="幼圆" w:hAnsi="幼圆"/>
      <w:b/>
      <w:bCs/>
      <w:sz w:val="32"/>
      <w:szCs w:val="32"/>
    </w:rPr>
  </w:style>
  <w:style w:type="paragraph" w:customStyle="1" w:styleId="191">
    <w:name w:val="正文首行缩进1"/>
    <w:basedOn w:val="1"/>
    <w:qFormat/>
    <w:uiPriority w:val="0"/>
    <w:pPr>
      <w:spacing w:after="120"/>
      <w:ind w:firstLine="420"/>
    </w:pPr>
    <w:rPr>
      <w:rFonts w:ascii="仿宋_GB2312" w:eastAsia="仿宋_GB2312"/>
    </w:rPr>
  </w:style>
  <w:style w:type="paragraph" w:customStyle="1" w:styleId="192">
    <w:name w:val="批注文字1"/>
    <w:basedOn w:val="1"/>
    <w:qFormat/>
    <w:uiPriority w:val="0"/>
    <w:pPr>
      <w:jc w:val="left"/>
    </w:pPr>
  </w:style>
  <w:style w:type="paragraph" w:customStyle="1" w:styleId="193">
    <w:name w:val="索引 41"/>
    <w:basedOn w:val="1"/>
    <w:next w:val="1"/>
    <w:qFormat/>
    <w:uiPriority w:val="0"/>
    <w:pPr>
      <w:ind w:left="600"/>
    </w:pPr>
    <w:rPr>
      <w:szCs w:val="20"/>
    </w:rPr>
  </w:style>
  <w:style w:type="paragraph" w:customStyle="1" w:styleId="194">
    <w:name w:val="标题 31"/>
    <w:basedOn w:val="1"/>
    <w:next w:val="187"/>
    <w:qFormat/>
    <w:uiPriority w:val="0"/>
    <w:pPr>
      <w:keepNext/>
      <w:keepLines/>
      <w:spacing w:before="260" w:after="260" w:line="416" w:lineRule="auto"/>
      <w:outlineLvl w:val="2"/>
    </w:pPr>
    <w:rPr>
      <w:rFonts w:ascii="黑体" w:eastAsia="黑体"/>
      <w:b/>
      <w:bCs/>
      <w:sz w:val="32"/>
      <w:szCs w:val="32"/>
    </w:rPr>
  </w:style>
  <w:style w:type="paragraph" w:customStyle="1" w:styleId="195">
    <w:name w:val="页眉12"/>
    <w:basedOn w:val="1"/>
    <w:qFormat/>
    <w:uiPriority w:val="99"/>
    <w:pPr>
      <w:pBdr>
        <w:bottom w:val="single" w:color="000000" w:sz="6" w:space="1"/>
      </w:pBdr>
      <w:tabs>
        <w:tab w:val="center" w:pos="4153"/>
        <w:tab w:val="right" w:pos="8306"/>
      </w:tabs>
      <w:jc w:val="center"/>
    </w:pPr>
    <w:rPr>
      <w:sz w:val="18"/>
      <w:szCs w:val="18"/>
    </w:rPr>
  </w:style>
  <w:style w:type="paragraph" w:customStyle="1" w:styleId="196">
    <w:name w:val="页脚11"/>
    <w:basedOn w:val="1"/>
    <w:qFormat/>
    <w:uiPriority w:val="99"/>
    <w:pPr>
      <w:tabs>
        <w:tab w:val="center" w:pos="4153"/>
        <w:tab w:val="right" w:pos="8306"/>
      </w:tabs>
      <w:jc w:val="left"/>
    </w:pPr>
    <w:rPr>
      <w:sz w:val="18"/>
      <w:szCs w:val="18"/>
    </w:rPr>
  </w:style>
  <w:style w:type="character" w:customStyle="1" w:styleId="197">
    <w:name w:val="页码11"/>
    <w:qFormat/>
    <w:uiPriority w:val="0"/>
    <w:rPr>
      <w:rFonts w:hint="default" w:ascii="Times New Roman" w:hAnsi="Times New Roman" w:eastAsia="宋体" w:cs="Times New Roman"/>
      <w:sz w:val="21"/>
      <w:szCs w:val="24"/>
      <w:lang w:val="en-US" w:eastAsia="zh-CN" w:bidi="ar-SA"/>
    </w:rPr>
  </w:style>
  <w:style w:type="character" w:customStyle="1" w:styleId="198">
    <w:name w:val="页眉 Char"/>
    <w:basedOn w:val="23"/>
    <w:link w:val="12"/>
    <w:semiHidden/>
    <w:qFormat/>
    <w:uiPriority w:val="99"/>
    <w:rPr>
      <w:sz w:val="18"/>
      <w:szCs w:val="18"/>
    </w:rPr>
  </w:style>
  <w:style w:type="character" w:customStyle="1" w:styleId="199">
    <w:name w:val="页脚 Char"/>
    <w:basedOn w:val="23"/>
    <w:link w:val="2"/>
    <w:semiHidden/>
    <w:qFormat/>
    <w:uiPriority w:val="99"/>
    <w:rPr>
      <w:sz w:val="18"/>
      <w:szCs w:val="18"/>
    </w:rPr>
  </w:style>
  <w:style w:type="character" w:customStyle="1" w:styleId="200">
    <w:name w:val="font11"/>
    <w:basedOn w:val="23"/>
    <w:qFormat/>
    <w:uiPriority w:val="0"/>
    <w:rPr>
      <w:rFonts w:hint="eastAsia" w:ascii="宋体" w:hAnsi="宋体" w:eastAsia="宋体" w:cs="宋体"/>
      <w:color w:val="000000"/>
      <w:sz w:val="22"/>
      <w:szCs w:val="22"/>
      <w:u w:val="none"/>
    </w:rPr>
  </w:style>
  <w:style w:type="character" w:customStyle="1" w:styleId="201">
    <w:name w:val="font181"/>
    <w:basedOn w:val="23"/>
    <w:qFormat/>
    <w:uiPriority w:val="0"/>
    <w:rPr>
      <w:rFonts w:ascii="Calibri" w:hAnsi="Calibri" w:cs="Calibri"/>
      <w:color w:val="000000"/>
      <w:sz w:val="22"/>
      <w:szCs w:val="22"/>
      <w:u w:val="none"/>
    </w:rPr>
  </w:style>
  <w:style w:type="character" w:customStyle="1" w:styleId="202">
    <w:name w:val="font31"/>
    <w:basedOn w:val="23"/>
    <w:qFormat/>
    <w:uiPriority w:val="0"/>
    <w:rPr>
      <w:rFonts w:hint="eastAsia" w:ascii="宋体" w:hAnsi="宋体" w:eastAsia="宋体" w:cs="宋体"/>
      <w:color w:val="000000"/>
      <w:sz w:val="22"/>
      <w:szCs w:val="22"/>
      <w:u w:val="none"/>
    </w:rPr>
  </w:style>
  <w:style w:type="character" w:customStyle="1" w:styleId="203">
    <w:name w:val="font112"/>
    <w:basedOn w:val="23"/>
    <w:qFormat/>
    <w:uiPriority w:val="0"/>
    <w:rPr>
      <w:rFonts w:hint="default" w:ascii="Calibri" w:hAnsi="Calibri" w:cs="Calibri"/>
      <w:color w:val="000000"/>
      <w:sz w:val="22"/>
      <w:szCs w:val="22"/>
      <w:u w:val="none"/>
    </w:rPr>
  </w:style>
  <w:style w:type="character" w:customStyle="1" w:styleId="204">
    <w:name w:val="font71"/>
    <w:basedOn w:val="23"/>
    <w:qFormat/>
    <w:uiPriority w:val="0"/>
    <w:rPr>
      <w:rFonts w:hint="eastAsia" w:ascii="宋体" w:hAnsi="宋体" w:eastAsia="宋体" w:cs="宋体"/>
      <w:color w:val="000000"/>
      <w:sz w:val="22"/>
      <w:szCs w:val="22"/>
      <w:u w:val="none"/>
    </w:rPr>
  </w:style>
  <w:style w:type="character" w:customStyle="1" w:styleId="205">
    <w:name w:val="font01"/>
    <w:basedOn w:val="23"/>
    <w:qFormat/>
    <w:uiPriority w:val="0"/>
    <w:rPr>
      <w:rFonts w:hint="eastAsia" w:ascii="宋体" w:hAnsi="宋体" w:eastAsia="宋体" w:cs="宋体"/>
      <w:i/>
      <w:iCs/>
      <w:color w:val="000000"/>
      <w:sz w:val="22"/>
      <w:szCs w:val="22"/>
      <w:u w:val="none"/>
    </w:rPr>
  </w:style>
  <w:style w:type="character" w:customStyle="1" w:styleId="206">
    <w:name w:val="font191"/>
    <w:basedOn w:val="23"/>
    <w:qFormat/>
    <w:uiPriority w:val="0"/>
    <w:rPr>
      <w:rFonts w:hint="eastAsia" w:ascii="宋体" w:hAnsi="宋体" w:eastAsia="宋体" w:cs="宋体"/>
      <w:color w:val="000000"/>
      <w:sz w:val="22"/>
      <w:szCs w:val="22"/>
      <w:u w:val="none"/>
      <w:vertAlign w:val="superscript"/>
    </w:rPr>
  </w:style>
  <w:style w:type="character" w:customStyle="1" w:styleId="207">
    <w:name w:val="font21"/>
    <w:basedOn w:val="23"/>
    <w:qFormat/>
    <w:uiPriority w:val="0"/>
    <w:rPr>
      <w:rFonts w:hint="default" w:ascii="Times New Roman" w:hAnsi="Times New Roman" w:cs="Times New Roman"/>
      <w:color w:val="000000"/>
      <w:sz w:val="22"/>
      <w:szCs w:val="22"/>
      <w:u w:val="none"/>
    </w:rPr>
  </w:style>
  <w:style w:type="character" w:customStyle="1" w:styleId="208">
    <w:name w:val="font91"/>
    <w:basedOn w:val="2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B62F7-52E8-4F7F-9794-6650AB1F3D66}">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39854</Words>
  <Characters>44007</Characters>
  <Lines>236</Lines>
  <Paragraphs>66</Paragraphs>
  <TotalTime>10</TotalTime>
  <ScaleCrop>false</ScaleCrop>
  <LinksUpToDate>false</LinksUpToDate>
  <CharactersWithSpaces>46463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2024-07-09T00:44:00Z</dcterms:created>
  <dc:creator>胖火</dc:creator>
  <cp:lastModifiedBy>Administrator</cp:lastModifiedBy>
  <cp:lastPrinted>2024-07-12T02:57:00Z</cp:lastPrinted>
  <dcterms:modified xsi:type="dcterms:W3CDTF">2024-07-19T01:56:25Z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CDEE95407A004CDA8E07494E167FFA0D_13</vt:lpwstr>
  </property>
</Properties>
</file>