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right"/>
        <w:rPr>
          <w:rFonts w:hint="eastAsia" w:ascii="宋体" w:hAnsi="宋体" w:cs="宋体"/>
          <w:b/>
          <w:bCs/>
          <w:color w:val="auto"/>
          <w:sz w:val="36"/>
          <w:highlight w:val="none"/>
        </w:rPr>
      </w:pPr>
      <w:r>
        <w:rPr>
          <w:rFonts w:hint="eastAsia" w:ascii="宋体" w:hAnsi="宋体" w:cs="宋体"/>
          <w:b/>
          <w:bCs/>
          <w:color w:val="auto"/>
          <w:sz w:val="36"/>
          <w:highlight w:val="none"/>
          <w:lang w:eastAsia="zh-CN"/>
        </w:rPr>
        <w:tab/>
      </w:r>
      <w:r>
        <w:rPr>
          <w:rFonts w:hint="eastAsia" w:ascii="宋体" w:hAnsi="宋体" w:cs="宋体"/>
          <w:b/>
          <w:bCs/>
          <w:color w:val="auto"/>
          <w:sz w:val="36"/>
          <w:highlight w:val="none"/>
          <w:lang w:eastAsia="zh-CN"/>
        </w:rPr>
        <w:t xml:space="preserve">JSZC-321000-JSWC-G2026-0004</w:t>
      </w:r>
      <w:r>
        <w:rPr>
          <w:rFonts w:hint="eastAsia" w:ascii="宋体" w:hAnsi="宋体" w:cs="宋体"/>
          <w:b/>
          <w:bCs/>
          <w:color w:val="auto"/>
          <w:sz w:val="36"/>
          <w:highlight w:val="none"/>
        </w:rPr>
        <w:t xml:space="preserve">号</w:t>
      </w:r>
      <w:r/>
    </w:p>
    <w:p>
      <w:pPr>
        <w:jc w:val="right"/>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spacing w:line="360" w:lineRule="auto"/>
        <w:rPr>
          <w:rFonts w:hint="eastAsia" w:ascii="宋体" w:hAnsi="宋体" w:cs="宋体"/>
          <w:b/>
          <w:bCs/>
          <w:color w:val="auto"/>
          <w:sz w:val="36"/>
          <w:highlight w:val="none"/>
          <w:lang w:eastAsia="zh-CN"/>
        </w:rPr>
      </w:pPr>
      <w:r>
        <w:rPr>
          <w:rFonts w:hint="eastAsia" w:ascii="宋体" w:hAnsi="宋体" w:cs="宋体"/>
          <w:b/>
          <w:bCs/>
          <w:color w:val="auto"/>
          <w:sz w:val="36"/>
          <w:highlight w:val="none"/>
          <w:lang w:eastAsia="zh-CN"/>
        </w:rPr>
        <w:t xml:space="preserve">扬州市中医院新院区医疗辅助配套设施项目</w:t>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t xml:space="preserve">公开招标文件</w:t>
      </w:r>
      <w:r/>
    </w:p>
    <w:p>
      <w:pPr>
        <w:jc w:val="center"/>
        <w:tabs>
          <w:tab w:val="left" w:pos="4620" w:leader="none"/>
        </w:tabs>
        <w:rPr>
          <w:rFonts w:hint="eastAsia" w:ascii="宋体" w:hAnsi="宋体" w:cs="宋体"/>
          <w:color w:val="auto"/>
          <w:sz w:val="36"/>
          <w:highlight w:val="none"/>
        </w:rPr>
      </w:pPr>
      <w:r>
        <w:rPr>
          <w:rFonts w:hint="eastAsia" w:ascii="宋体" w:hAnsi="宋体" w:cs="宋体"/>
          <w:color w:val="auto"/>
          <w:sz w:val="36"/>
          <w:highlight w:val="none"/>
        </w:rPr>
      </w:r>
      <w:r/>
    </w:p>
    <w:p>
      <w:pPr>
        <w:jc w:val="center"/>
        <w:tabs>
          <w:tab w:val="left" w:pos="4620" w:leader="none"/>
        </w:tabs>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left"/>
        <w:rPr>
          <w:rFonts w:hint="eastAsia" w:ascii="宋体" w:hAnsi="宋体" w:cs="宋体"/>
          <w:color w:val="auto"/>
          <w:sz w:val="36"/>
          <w:highlight w:val="none"/>
        </w:rPr>
      </w:pPr>
      <w:r>
        <w:rPr>
          <w:color w:val="auto"/>
          <w:highlight w:val="none"/>
        </w:rPr>
        <mc:AlternateContent>
          <mc:Choice Requires="wpg">
            <w:drawing>
              <wp:inline xmlns:wp="http://schemas.openxmlformats.org/drawingml/2006/wordprocessingDrawing" distT="0" distB="0" distL="0" distR="0">
                <wp:extent cx="5266690" cy="2222500"/>
                <wp:effectExtent l="0" t="0" r="10160" b="635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6"/>
                        <a:stretch/>
                      </pic:blipFill>
                      <pic:spPr bwMode="auto">
                        <a:xfrm>
                          <a:off x="0" y="0"/>
                          <a:ext cx="5266690" cy="2222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7pt;height:175.0pt;mso-wrap-distance-left:0.0pt;mso-wrap-distance-top:0.0pt;mso-wrap-distance-right:0.0pt;mso-wrap-distance-bottom:0.0pt;" stroked="f">
                <v:path textboxrect="0,0,0,0"/>
                <v:imagedata r:id="rId16" o:title=""/>
              </v:shape>
            </w:pict>
          </mc:Fallback>
        </mc:AlternateConten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pStyle w:val="808"/>
        <w:rPr>
          <w:color w:val="auto"/>
          <w:highlight w:val="none"/>
        </w:rPr>
      </w:pPr>
      <w:r>
        <w:rPr>
          <w:color w:val="auto"/>
          <w:highlight w:val="none"/>
        </w:rPr>
      </w:r>
      <w:r/>
    </w:p>
    <w:p>
      <w:pPr>
        <w:pStyle w:val="808"/>
        <w:rPr>
          <w:color w:val="auto"/>
          <w:highlight w:val="none"/>
        </w:rPr>
      </w:pPr>
      <w:r>
        <w:rPr>
          <w:color w:val="auto"/>
          <w:highlight w:val="none"/>
        </w:rPr>
      </w:r>
      <w:r/>
    </w:p>
    <w:p>
      <w:pPr>
        <w:pStyle w:val="808"/>
        <w:rPr>
          <w:color w:val="auto"/>
          <w:highlight w:val="none"/>
        </w:rPr>
      </w:pPr>
      <w:r>
        <w:rPr>
          <w:color w:val="auto"/>
          <w:highlight w:val="none"/>
        </w:rPr>
      </w:r>
      <w:r/>
    </w:p>
    <w:p>
      <w:pPr>
        <w:ind w:firstLine="1134"/>
        <w:spacing w:line="360" w:lineRule="auto"/>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采 购</w:t>
      </w:r>
      <w:r>
        <w:rPr>
          <w:rFonts w:hint="eastAsia" w:ascii="宋体" w:hAnsi="宋体" w:cs="宋体"/>
          <w:b/>
          <w:bCs/>
          <w:color w:val="auto"/>
          <w:sz w:val="32"/>
          <w:szCs w:val="32"/>
          <w:highlight w:val="none"/>
          <w:lang w:val="en-US" w:eastAsia="zh-CN"/>
        </w:rPr>
        <w:t xml:space="preserve"> </w:t>
      </w:r>
      <w:r>
        <w:rPr>
          <w:rFonts w:hint="eastAsia" w:ascii="宋体" w:hAnsi="宋体" w:cs="宋体"/>
          <w:b/>
          <w:bCs/>
          <w:color w:val="auto"/>
          <w:sz w:val="32"/>
          <w:szCs w:val="32"/>
          <w:highlight w:val="none"/>
        </w:rPr>
        <w:t xml:space="preserve">人：</w:t>
      </w:r>
      <w:r>
        <w:rPr>
          <w:rFonts w:hint="eastAsia" w:ascii="宋体" w:hAnsi="宋体" w:cs="宋体"/>
          <w:b/>
          <w:bCs/>
          <w:color w:val="auto"/>
          <w:sz w:val="32"/>
          <w:szCs w:val="32"/>
          <w:highlight w:val="none"/>
          <w:lang w:eastAsia="zh-CN"/>
        </w:rPr>
        <w:t xml:space="preserve">扬州市中医院</w:t>
      </w:r>
      <w:r/>
    </w:p>
    <w:p>
      <w:pPr>
        <w:ind w:firstLine="1134"/>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采购代理机构(章)：江苏唯诚建设咨询有限公司</w:t>
      </w:r>
      <w:r/>
    </w:p>
    <w:p>
      <w:pPr>
        <w:ind w:firstLine="1134"/>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发放日期：</w:t>
      </w:r>
      <w:bookmarkStart w:id="0" w:name="EB59c3faf64f2a4bd092a206fb1d0c3c03"/>
      <w:r>
        <w:rPr>
          <w:rFonts w:hint="eastAsia" w:ascii="宋体" w:hAnsi="宋体" w:cs="宋体"/>
          <w:b/>
          <w:bCs/>
          <w:color w:val="auto"/>
          <w:sz w:val="32"/>
          <w:szCs w:val="32"/>
          <w:highlight w:val="none"/>
          <w:lang w:eastAsia="zh-CN"/>
        </w:rPr>
        <w:t xml:space="preserve">2026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1</w:t>
      </w:r>
      <w:r>
        <w:rPr>
          <w:rFonts w:hint="eastAsia" w:ascii="宋体" w:hAnsi="宋体" w:cs="宋体"/>
          <w:b/>
          <w:bCs/>
          <w:color w:val="auto"/>
          <w:sz w:val="32"/>
          <w:szCs w:val="32"/>
          <w:highlight w:val="none"/>
        </w:rPr>
        <w:t xml:space="preserve">月</w:t>
      </w:r>
      <w:bookmarkEnd w:id="0"/>
      <w:r>
        <w:rPr>
          <w:rFonts w:hint="eastAsia" w:ascii="宋体" w:hAnsi="宋体" w:cs="宋体"/>
          <w:b/>
          <w:bCs/>
          <w:color w:val="auto"/>
          <w:sz w:val="32"/>
          <w:szCs w:val="32"/>
          <w:highlight w:val="none"/>
          <w:lang w:val="en-US" w:eastAsia="zh-CN"/>
        </w:rPr>
        <w:t xml:space="preserve">12</w:t>
      </w:r>
      <w:r>
        <w:rPr>
          <w:rFonts w:hint="eastAsia" w:ascii="宋体" w:hAnsi="宋体" w:cs="宋体"/>
          <w:b/>
          <w:bCs/>
          <w:color w:val="auto"/>
          <w:sz w:val="32"/>
          <w:szCs w:val="32"/>
          <w:highlight w:val="none"/>
        </w:rPr>
        <w:t xml:space="preserve">日</w:t>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b/>
          <w:bCs/>
          <w:color w:val="auto"/>
          <w:sz w:val="32"/>
          <w:highlight w:val="none"/>
        </w:rPr>
      </w:pPr>
      <w:r>
        <w:rPr>
          <w:rFonts w:hint="eastAsia" w:ascii="宋体" w:hAnsi="宋体" w:cs="宋体"/>
          <w:b/>
          <w:bCs/>
          <w:color w:val="auto"/>
          <w:sz w:val="32"/>
          <w:highlight w:val="none"/>
        </w:rPr>
        <w:br w:type="page" w:clear="all"/>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highlight w:val="none"/>
        </w:rPr>
        <w:t xml:space="preserve">目 录</w:t>
      </w:r>
      <w:r/>
    </w:p>
    <w:p>
      <w:pPr>
        <w:pStyle w:val="793"/>
        <w:spacing w:line="360" w:lineRule="auto"/>
        <w:tabs>
          <w:tab w:val="right" w:pos="8296" w:leader="dot"/>
        </w:tabs>
        <w:rPr>
          <w:rFonts w:hint="eastAsia" w:ascii="宋体" w:hAnsi="宋体" w:cs="宋体"/>
          <w:color w:val="auto"/>
          <w:highlight w:val="none"/>
        </w:rPr>
      </w:pPr>
      <w:r>
        <w:rPr>
          <w:rFonts w:hint="eastAsia" w:ascii="宋体" w:hAnsi="宋体" w:cs="宋体"/>
          <w:color w:val="auto"/>
          <w:sz w:val="28"/>
          <w:highlight w:val="none"/>
        </w:rPr>
        <w:fldChar w:fldCharType="begin"/>
      </w:r>
      <w:r>
        <w:rPr>
          <w:rFonts w:hint="eastAsia" w:ascii="宋体" w:hAnsi="宋体" w:cs="宋体"/>
          <w:color w:val="auto"/>
          <w:sz w:val="28"/>
          <w:highlight w:val="none"/>
        </w:rPr>
        <w:instrText xml:space="preserve"> TOC \o "1-3" \f </w:instrText>
      </w:r>
      <w:r>
        <w:rPr>
          <w:rFonts w:hint="eastAsia" w:ascii="宋体" w:hAnsi="宋体" w:cs="宋体"/>
          <w:color w:val="auto"/>
          <w:sz w:val="28"/>
          <w:highlight w:val="none"/>
        </w:rPr>
        <w:fldChar w:fldCharType="separate"/>
      </w:r>
      <w:r>
        <w:rPr>
          <w:rFonts w:hint="eastAsia" w:ascii="宋体" w:hAnsi="宋体" w:cs="宋体"/>
          <w:color w:val="auto"/>
          <w:highlight w:val="none"/>
        </w:rPr>
        <w:t xml:space="preserve">第一章 招标公告</w:t>
      </w:r>
      <w:r>
        <w:rPr>
          <w:rFonts w:hint="eastAsia" w:ascii="宋体" w:hAnsi="宋体" w:cs="宋体"/>
          <w:color w:val="auto"/>
          <w:highlight w:val="none"/>
        </w:rPr>
        <w:tab/>
      </w:r>
      <w:r>
        <w:rPr>
          <w:rFonts w:hint="eastAsia" w:ascii="宋体" w:hAnsi="宋体" w:cs="宋体"/>
          <w:color w:val="auto"/>
          <w:highlight w:val="none"/>
        </w:rPr>
        <w:t xml:space="preserve">3</w:t>
      </w:r>
      <w:r/>
    </w:p>
    <w:p>
      <w:pPr>
        <w:pStyle w:val="793"/>
        <w:spacing w:line="360" w:lineRule="auto"/>
        <w:tabs>
          <w:tab w:val="right" w:pos="8296" w:leader="dot"/>
        </w:tabs>
        <w:rPr>
          <w:rFonts w:hint="eastAsia" w:ascii="宋体" w:hAnsi="宋体" w:cs="宋体"/>
          <w:color w:val="auto"/>
          <w:highlight w:val="none"/>
        </w:rPr>
      </w:pPr>
      <w:r>
        <w:rPr>
          <w:rFonts w:hint="eastAsia" w:ascii="宋体" w:hAnsi="宋体" w:cs="宋体"/>
          <w:color w:val="auto"/>
          <w:highlight w:val="none"/>
        </w:rPr>
        <w:t xml:space="preserve">第二章 投标人须知</w:t>
      </w:r>
      <w:r>
        <w:rPr>
          <w:rFonts w:hint="eastAsia" w:ascii="宋体" w:hAnsi="宋体" w:cs="宋体"/>
          <w:color w:val="auto"/>
          <w:highlight w:val="none"/>
        </w:rPr>
        <w:tab/>
      </w:r>
      <w:r>
        <w:rPr>
          <w:rFonts w:hint="eastAsia" w:ascii="宋体" w:hAnsi="宋体" w:cs="宋体"/>
          <w:color w:val="auto"/>
          <w:highlight w:val="none"/>
        </w:rPr>
        <w:t xml:space="preserve">6</w:t>
      </w:r>
      <w:r/>
    </w:p>
    <w:p>
      <w:pPr>
        <w:pStyle w:val="793"/>
        <w:spacing w:line="360" w:lineRule="auto"/>
        <w:tabs>
          <w:tab w:val="right" w:pos="8296" w:leader="dot"/>
        </w:tabs>
        <w:rPr>
          <w:rFonts w:hint="eastAsia" w:ascii="宋体" w:hAnsi="宋体" w:cs="宋体"/>
          <w:color w:val="auto"/>
          <w:highlight w:val="none"/>
        </w:rPr>
      </w:pPr>
      <w:r>
        <w:rPr>
          <w:rFonts w:hint="eastAsia" w:ascii="宋体" w:hAnsi="宋体" w:cs="宋体"/>
          <w:color w:val="auto"/>
          <w:highlight w:val="none"/>
        </w:rPr>
        <w:t xml:space="preserve">第三章 合同条款及格式</w:t>
      </w:r>
      <w:r>
        <w:rPr>
          <w:rFonts w:hint="eastAsia" w:ascii="宋体" w:hAnsi="宋体" w:cs="宋体"/>
          <w:color w:val="auto"/>
          <w:highlight w:val="none"/>
        </w:rPr>
        <w:tab/>
      </w:r>
      <w:r>
        <w:rPr>
          <w:rFonts w:hint="eastAsia" w:ascii="宋体" w:hAnsi="宋体" w:cs="宋体"/>
          <w:color w:val="auto"/>
          <w:highlight w:val="none"/>
        </w:rPr>
        <w:t xml:space="preserve">18</w:t>
      </w:r>
      <w:r/>
    </w:p>
    <w:p>
      <w:pPr>
        <w:pStyle w:val="793"/>
        <w:spacing w:line="360" w:lineRule="auto"/>
        <w:tabs>
          <w:tab w:val="right" w:pos="8296" w:leader="dot"/>
        </w:tabs>
        <w:rPr>
          <w:rFonts w:hint="eastAsia" w:ascii="宋体" w:hAnsi="宋体" w:cs="宋体"/>
          <w:color w:val="auto"/>
          <w:highlight w:val="none"/>
        </w:rPr>
      </w:pPr>
      <w:r>
        <w:rPr>
          <w:rFonts w:hint="eastAsia" w:ascii="宋体" w:hAnsi="宋体" w:cs="宋体"/>
          <w:color w:val="auto"/>
          <w:highlight w:val="none"/>
        </w:rPr>
        <w:t xml:space="preserve">第四章 项目需求</w:t>
      </w:r>
      <w:r>
        <w:rPr>
          <w:rFonts w:hint="eastAsia" w:ascii="宋体" w:hAnsi="宋体" w:cs="宋体"/>
          <w:color w:val="auto"/>
          <w:highlight w:val="none"/>
        </w:rPr>
        <w:tab/>
      </w:r>
      <w:r>
        <w:rPr>
          <w:rFonts w:hint="eastAsia" w:ascii="宋体" w:hAnsi="宋体" w:cs="宋体"/>
          <w:color w:val="auto"/>
          <w:highlight w:val="none"/>
        </w:rPr>
        <w:t xml:space="preserve">24</w:t>
      </w:r>
      <w:r/>
    </w:p>
    <w:p>
      <w:pPr>
        <w:pStyle w:val="793"/>
        <w:spacing w:line="360" w:lineRule="auto"/>
        <w:tabs>
          <w:tab w:val="right" w:pos="8296" w:leader="dot"/>
        </w:tabs>
        <w:rPr>
          <w:rFonts w:hint="eastAsia" w:ascii="宋体" w:hAnsi="宋体" w:cs="宋体"/>
          <w:color w:val="auto"/>
          <w:highlight w:val="none"/>
        </w:rPr>
      </w:pPr>
      <w:r>
        <w:rPr>
          <w:rFonts w:hint="eastAsia" w:ascii="宋体" w:hAnsi="宋体" w:cs="宋体"/>
          <w:color w:val="auto"/>
          <w:highlight w:val="none"/>
        </w:rPr>
        <w:t xml:space="preserve">第五章 评标方法及评标标准</w:t>
      </w:r>
      <w:r>
        <w:rPr>
          <w:rFonts w:hint="eastAsia" w:ascii="宋体" w:hAnsi="宋体" w:cs="宋体"/>
          <w:color w:val="auto"/>
          <w:highlight w:val="none"/>
        </w:rPr>
        <w:tab/>
      </w:r>
      <w:r>
        <w:rPr>
          <w:rFonts w:hint="eastAsia" w:ascii="宋体" w:hAnsi="宋体" w:cs="宋体"/>
          <w:color w:val="auto"/>
          <w:highlight w:val="none"/>
        </w:rPr>
        <w:t xml:space="preserve">28</w:t>
      </w:r>
      <w:r/>
    </w:p>
    <w:p>
      <w:pPr>
        <w:pStyle w:val="793"/>
        <w:spacing w:line="360" w:lineRule="auto"/>
        <w:tabs>
          <w:tab w:val="right" w:pos="8296" w:leader="dot"/>
        </w:tabs>
        <w:rPr>
          <w:rFonts w:hint="eastAsia" w:ascii="宋体" w:hAnsi="宋体" w:cs="宋体"/>
          <w:color w:val="auto"/>
          <w:highlight w:val="none"/>
        </w:rPr>
      </w:pPr>
      <w:r>
        <w:rPr>
          <w:rFonts w:hint="eastAsia" w:ascii="宋体" w:hAnsi="宋体" w:cs="宋体"/>
          <w:color w:val="auto"/>
          <w:highlight w:val="none"/>
        </w:rPr>
        <w:t xml:space="preserve">第六章 投标文件格式</w:t>
      </w:r>
      <w:r>
        <w:rPr>
          <w:rFonts w:hint="eastAsia" w:ascii="宋体" w:hAnsi="宋体" w:cs="宋体"/>
          <w:color w:val="auto"/>
          <w:highlight w:val="none"/>
        </w:rPr>
        <w:tab/>
      </w:r>
      <w:r>
        <w:rPr>
          <w:rFonts w:hint="eastAsia" w:ascii="宋体" w:hAnsi="宋体" w:cs="宋体"/>
          <w:color w:val="auto"/>
          <w:highlight w:val="none"/>
        </w:rPr>
        <w:t xml:space="preserve">32</w:t>
      </w:r>
      <w:r/>
    </w:p>
    <w:p>
      <w:pPr>
        <w:jc w:val="center"/>
        <w:spacing w:line="360" w:lineRule="auto"/>
        <w:rPr>
          <w:rFonts w:hint="eastAsia" w:ascii="宋体" w:hAnsi="宋体" w:cs="宋体"/>
          <w:color w:val="auto"/>
          <w:sz w:val="28"/>
          <w:highlight w:val="none"/>
        </w:rPr>
        <w:sectPr>
          <w:headerReference w:type="default" r:id="rId9"/>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cs="宋体"/>
          <w:color w:val="auto"/>
          <w:sz w:val="28"/>
          <w:highlight w:val="none"/>
        </w:rPr>
        <w:fldChar w:fldCharType="end"/>
      </w:r>
      <w:r/>
    </w:p>
    <w:p>
      <w:pPr>
        <w:pStyle w:val="763"/>
        <w:jc w:val="center"/>
        <w:spacing w:line="360" w:lineRule="auto"/>
        <w:rPr>
          <w:rFonts w:hint="eastAsia" w:ascii="宋体" w:hAnsi="宋体" w:cs="宋体"/>
          <w:color w:val="auto"/>
          <w:sz w:val="36"/>
          <w:highlight w:val="none"/>
        </w:rPr>
      </w:pPr>
      <w:r/>
      <w:bookmarkStart w:id="1" w:name="OLE_LINK1"/>
      <w:r/>
      <w:bookmarkStart w:id="2" w:name="_Toc497133090"/>
      <w:r>
        <w:rPr>
          <w:rFonts w:hint="eastAsia" w:ascii="宋体" w:hAnsi="宋体" w:cs="宋体"/>
          <w:color w:val="auto"/>
          <w:sz w:val="36"/>
          <w:highlight w:val="none"/>
        </w:rPr>
        <w:t xml:space="preserve">第一章 招标公告</w:t>
      </w:r>
      <w:bookmarkEnd w:id="1"/>
      <w:r/>
      <w:bookmarkEnd w:id="2"/>
      <w:r/>
      <w:r/>
    </w:p>
    <w:p>
      <w:pPr>
        <w:ind w:firstLine="420"/>
        <w:spacing w:line="360" w:lineRule="auto"/>
        <w:tabs>
          <w:tab w:val="left" w:pos="266" w:leader="none"/>
        </w:tabs>
        <w:rPr>
          <w:rFonts w:hint="eastAsia" w:ascii="宋体" w:hAnsi="宋体" w:cs="宋体"/>
          <w:color w:val="auto"/>
          <w:szCs w:val="21"/>
          <w:highlight w:val="none"/>
        </w:rPr>
      </w:pPr>
      <w:r/>
      <w:bookmarkStart w:id="3" w:name="_Toc497133091"/>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扬州市中医院</w:t>
      </w:r>
      <w:r>
        <w:rPr>
          <w:rFonts w:hint="eastAsia" w:ascii="宋体" w:hAnsi="宋体" w:cs="宋体"/>
          <w:color w:val="auto"/>
          <w:highlight w:val="none"/>
        </w:rPr>
        <w:t xml:space="preserve">的委托，江苏唯诚建设咨询有限公司就</w:t>
      </w:r>
      <w:r>
        <w:rPr>
          <w:rFonts w:hint="eastAsia" w:ascii="宋体" w:hAnsi="宋体" w:cs="宋体"/>
          <w:color w:val="auto"/>
          <w:highlight w:val="none"/>
          <w:lang w:eastAsia="zh-CN"/>
        </w:rPr>
        <w:t xml:space="preserve">扬州市中医院新院区医疗辅助配套设施项目</w:t>
      </w:r>
      <w:r>
        <w:rPr>
          <w:rFonts w:hint="eastAsia" w:ascii="宋体" w:hAnsi="宋体" w:cs="宋体"/>
          <w:color w:val="auto"/>
          <w:highlight w:val="none"/>
        </w:rPr>
        <w:t xml:space="preserve">进行公开招标采购，欢迎符合条件的供应商投标。</w:t>
      </w:r>
      <w:r/>
    </w:p>
    <w:p>
      <w:pPr>
        <w:ind w:firstLine="422"/>
        <w:spacing w:line="360" w:lineRule="auto"/>
        <w:rPr>
          <w:rFonts w:hint="eastAsia" w:ascii="宋体" w:hAnsi="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highlight w:val="none"/>
        </w:rPr>
        <w:t xml:space="preserve">项目概况</w:t>
      </w:r>
      <w:r/>
    </w:p>
    <w:p>
      <w:pPr>
        <w:ind w:firstLine="420"/>
        <w:spacing w:line="360" w:lineRule="auto"/>
        <w:rPr>
          <w:rFonts w:hint="eastAsia"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highlight w:val="none"/>
          <w:u w:val="single"/>
          <w:lang w:eastAsia="zh-CN"/>
        </w:rPr>
        <w:t xml:space="preserve">扬州市中医院新院区医疗辅助配套设施项目</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的潜在投标人可在</w:t>
      </w:r>
      <w:r>
        <w:rPr>
          <w:rFonts w:hint="eastAsia" w:ascii="宋体" w:hAnsi="宋体" w:cs="宋体"/>
          <w:color w:val="auto"/>
          <w:highlight w:val="none"/>
          <w:u w:val="single"/>
        </w:rPr>
        <w:t xml:space="preserve">“扬州市政府采购网”、“江苏省政府采购网”、“中国政府采购网”自行免费下载</w:t>
      </w:r>
      <w:r>
        <w:rPr>
          <w:rFonts w:hint="eastAsia" w:ascii="宋体" w:hAnsi="宋体" w:cs="宋体"/>
          <w:color w:val="auto"/>
          <w:highlight w:val="none"/>
        </w:rPr>
        <w:t xml:space="preserve">招标文件，并于</w:t>
      </w: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年</w:t>
      </w:r>
      <w:r>
        <w:rPr>
          <w:rFonts w:hint="eastAsia" w:ascii="宋体" w:hAnsi="宋体" w:cs="宋体"/>
          <w:color w:val="auto"/>
          <w:szCs w:val="21"/>
          <w:highlight w:val="none"/>
          <w:u w:val="single"/>
          <w:lang w:val="en-US" w:eastAsia="zh-CN"/>
        </w:rPr>
        <w:t xml:space="preserve">2</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 2</w:t>
      </w:r>
      <w:r>
        <w:rPr>
          <w:rFonts w:hint="eastAsia" w:ascii="宋体" w:hAnsi="宋体" w:cs="宋体"/>
          <w:color w:val="auto"/>
          <w:szCs w:val="21"/>
          <w:highlight w:val="none"/>
          <w:u w:val="single"/>
        </w:rPr>
        <w:t xml:space="preserve">日</w:t>
      </w:r>
      <w:r>
        <w:rPr>
          <w:rFonts w:hint="eastAsia" w:ascii="宋体" w:hAnsi="宋体" w:cs="宋体"/>
          <w:color w:val="auto"/>
          <w:szCs w:val="21"/>
          <w:highlight w:val="none"/>
          <w:u w:val="single"/>
          <w:lang w:val="en-US" w:eastAsia="zh-CN"/>
        </w:rPr>
        <w:t xml:space="preserve">14</w:t>
      </w:r>
      <w:r>
        <w:rPr>
          <w:rFonts w:hint="eastAsia" w:ascii="宋体" w:hAnsi="宋体" w:cs="宋体"/>
          <w:color w:val="auto"/>
          <w:szCs w:val="21"/>
          <w:highlight w:val="none"/>
          <w:u w:val="single"/>
        </w:rPr>
        <w:t xml:space="preserve">点</w:t>
      </w:r>
      <w:r>
        <w:rPr>
          <w:rFonts w:hint="eastAsia" w:ascii="宋体" w:hAnsi="宋体" w:cs="宋体"/>
          <w:color w:val="auto"/>
          <w:szCs w:val="21"/>
          <w:highlight w:val="none"/>
          <w:u w:val="single"/>
          <w:lang w:val="en-US" w:eastAsia="zh-CN"/>
        </w:rPr>
        <w:t xml:space="preserve">3</w:t>
      </w:r>
      <w:r>
        <w:rPr>
          <w:rFonts w:hint="eastAsia" w:ascii="宋体" w:hAnsi="宋体" w:cs="宋体"/>
          <w:color w:val="auto"/>
          <w:szCs w:val="21"/>
          <w:highlight w:val="none"/>
          <w:u w:val="single"/>
        </w:rPr>
        <w:t xml:space="preserve">0分</w:t>
      </w:r>
      <w:r>
        <w:rPr>
          <w:rFonts w:hint="eastAsia" w:ascii="宋体" w:hAnsi="宋体" w:cs="宋体"/>
          <w:bCs/>
          <w:color w:val="auto"/>
          <w:highlight w:val="none"/>
          <w:u w:val="single"/>
        </w:rPr>
        <w:t xml:space="preserve">（</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spacing w:line="360" w:lineRule="auto"/>
        <w:tabs>
          <w:tab w:val="left" w:pos="266" w:leader="none"/>
        </w:tabs>
        <w:rPr>
          <w:rFonts w:hint="eastAsia" w:ascii="宋体" w:hAnsi="宋体" w:cs="宋体"/>
          <w:b/>
          <w:bCs/>
          <w:color w:val="auto"/>
          <w:highlight w:val="none"/>
        </w:rPr>
      </w:pPr>
      <w:r/>
      <w:bookmarkStart w:id="4" w:name="_Toc38985263"/>
      <w:r>
        <w:rPr>
          <w:rFonts w:hint="eastAsia" w:ascii="宋体" w:hAnsi="宋体" w:cs="宋体"/>
          <w:b/>
          <w:bCs/>
          <w:color w:val="auto"/>
          <w:highlight w:val="none"/>
        </w:rPr>
        <w:t xml:space="preserve">一、项目基本情况</w:t>
      </w:r>
      <w:bookmarkEnd w:id="4"/>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highlight w:val="none"/>
        </w:rPr>
        <w:t xml:space="preserve">1.项目编号：</w:t>
      </w:r>
      <w:r>
        <w:rPr>
          <w:rFonts w:hint="eastAsia" w:ascii="宋体" w:hAnsi="宋体" w:cs="宋体"/>
          <w:color w:val="auto"/>
          <w:highlight w:val="none"/>
          <w:lang w:eastAsia="zh-CN"/>
        </w:rPr>
        <w:t xml:space="preserve">JSZC-321000-JSWC-G2026-0004</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2.项目名称：</w:t>
      </w:r>
      <w:r>
        <w:rPr>
          <w:rFonts w:hint="eastAsia" w:ascii="宋体" w:hAnsi="宋体" w:cs="宋体"/>
          <w:color w:val="auto"/>
          <w:highlight w:val="none"/>
          <w:lang w:eastAsia="zh-CN"/>
        </w:rPr>
        <w:t xml:space="preserve">扬州市中医院新院区医疗辅助配套设施项目</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3.预算金额：</w:t>
      </w:r>
      <w:r>
        <w:rPr>
          <w:rFonts w:hint="eastAsia" w:ascii="宋体" w:hAnsi="宋体" w:cs="宋体"/>
          <w:color w:val="auto"/>
          <w:highlight w:val="none"/>
          <w:u w:val="single"/>
          <w:lang w:val="en-US" w:eastAsia="zh-CN"/>
        </w:rPr>
        <w:t xml:space="preserve">129.2388</w:t>
      </w:r>
      <w:r>
        <w:rPr>
          <w:rFonts w:hint="eastAsia" w:ascii="宋体" w:hAnsi="宋体" w:cs="宋体"/>
          <w:color w:val="auto"/>
          <w:highlight w:val="none"/>
        </w:rPr>
        <w:t xml:space="preserve">万元</w:t>
      </w:r>
      <w:r>
        <w:rPr>
          <w:rFonts w:hint="eastAsia" w:ascii="宋体" w:hAnsi="宋体" w:cs="宋体"/>
          <w:color w:val="auto"/>
          <w:highlight w:val="none"/>
          <w:lang w:eastAsia="zh-CN"/>
        </w:rPr>
        <w:t xml:space="preserve">。</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4.本项目设置最高限价：</w:t>
      </w:r>
      <w:r>
        <w:rPr>
          <w:rFonts w:hint="eastAsia" w:ascii="宋体" w:hAnsi="宋体" w:cs="宋体"/>
          <w:color w:val="auto"/>
          <w:highlight w:val="none"/>
          <w:u w:val="single"/>
          <w:lang w:val="en-US" w:eastAsia="zh-CN"/>
        </w:rPr>
        <w:t xml:space="preserve">129.2388</w:t>
      </w:r>
      <w:r>
        <w:rPr>
          <w:rFonts w:hint="eastAsia" w:ascii="宋体" w:hAnsi="宋体" w:cs="宋体"/>
          <w:color w:val="auto"/>
          <w:highlight w:val="none"/>
        </w:rPr>
        <w:t xml:space="preserve">万元</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投标报价高于最高限价的作废标处理。</w:t>
      </w:r>
      <w:r/>
    </w:p>
    <w:p>
      <w:pPr>
        <w:ind w:firstLine="420"/>
        <w:spacing w:line="360" w:lineRule="auto"/>
        <w:rPr>
          <w:rFonts w:hint="default" w:ascii="宋体" w:hAnsi="宋体" w:eastAsia="宋体" w:cs="宋体"/>
          <w:color w:val="auto"/>
          <w:highlight w:val="none"/>
          <w:u w:val="single"/>
          <w:lang w:val="en-US" w:eastAsia="zh-CN"/>
        </w:rPr>
      </w:pPr>
      <w:r>
        <w:rPr>
          <w:rFonts w:hint="eastAsia" w:ascii="宋体" w:hAnsi="宋体" w:cs="宋体"/>
          <w:color w:val="auto"/>
          <w:highlight w:val="none"/>
        </w:rPr>
        <w:t xml:space="preserve">5.采购需求：</w:t>
      </w:r>
      <w:r>
        <w:rPr>
          <w:rFonts w:hint="eastAsia" w:ascii="宋体" w:hAnsi="宋体" w:cs="宋体"/>
          <w:color w:val="auto"/>
          <w:highlight w:val="none"/>
          <w:lang w:val="en-US" w:eastAsia="zh-CN"/>
        </w:rPr>
        <w:t xml:space="preserve">详见招标文件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6.供货期：</w:t>
      </w:r>
      <w:bookmarkStart w:id="5" w:name="_Toc38985264"/>
      <w:r>
        <w:rPr>
          <w:rFonts w:hint="eastAsia" w:ascii="宋体" w:hAnsi="宋体" w:eastAsia="宋体" w:cs="宋体"/>
          <w:color w:val="auto"/>
          <w:sz w:val="21"/>
          <w:szCs w:val="22"/>
          <w:highlight w:val="none"/>
          <w:lang w:val="en-US" w:eastAsia="zh-CN" w:bidi="ar-SA"/>
        </w:rPr>
        <w:t xml:space="preserve">详见招标文件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7.本项目</w:t>
      </w:r>
      <w:r>
        <w:rPr>
          <w:rFonts w:hint="eastAsia" w:ascii="宋体" w:hAnsi="宋体" w:cs="宋体"/>
          <w:color w:val="auto"/>
          <w:highlight w:val="none"/>
          <w:u w:val="single"/>
        </w:rPr>
        <w:t xml:space="preserve">不接受</w:t>
      </w:r>
      <w:r>
        <w:rPr>
          <w:rFonts w:hint="eastAsia" w:ascii="宋体" w:hAnsi="宋体" w:cs="宋体"/>
          <w:color w:val="auto"/>
          <w:highlight w:val="none"/>
        </w:rPr>
        <w:t xml:space="preserve">联合体投标。</w:t>
      </w:r>
      <w:r/>
    </w:p>
    <w:p>
      <w:pPr>
        <w:ind w:firstLine="420"/>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8.本项目</w:t>
      </w:r>
      <w:r>
        <w:rPr>
          <w:rFonts w:hint="eastAsia" w:ascii="宋体" w:hAnsi="宋体" w:cs="宋体"/>
          <w:color w:val="auto"/>
          <w:highlight w:val="none"/>
          <w:u w:val="single"/>
          <w:lang w:val="en-US" w:eastAsia="zh-CN"/>
        </w:rPr>
        <w:t xml:space="preserve">不接受</w:t>
      </w:r>
      <w:r>
        <w:rPr>
          <w:rFonts w:hint="eastAsia" w:ascii="宋体" w:hAnsi="宋体" w:cs="宋体"/>
          <w:color w:val="auto"/>
          <w:highlight w:val="none"/>
          <w:lang w:val="en-US" w:eastAsia="zh-CN"/>
        </w:rPr>
        <w:t xml:space="preserve">进口产品投标。</w:t>
      </w:r>
      <w:r/>
    </w:p>
    <w:p>
      <w:pPr>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二、申请人的资格要求：</w:t>
      </w:r>
      <w:bookmarkEnd w:id="5"/>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1.满足《中华人民共和国政府采购法》第二十二条规定，并提供下列材料：</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依法缴纳职工社会保障资金的证明材料</w:t>
      </w:r>
      <w:r>
        <w:rPr>
          <w:rFonts w:hint="eastAsia" w:ascii="宋体" w:hAnsi="宋体" w:cs="宋体"/>
          <w:b/>
          <w:bCs/>
          <w:i/>
          <w:iCs/>
          <w:color w:val="auto"/>
          <w:szCs w:val="21"/>
          <w:highlight w:val="none"/>
          <w:u w:val="single"/>
        </w:rPr>
        <w:t xml:space="preserve">(税务、银行或社会保险基金管理部门出具的近三个月内任意一个月缴纳职工社会保障资金的缴款凭证或缴款证明)（投标人依法享受缓缴、免缴的提供证明材料）</w:t>
      </w:r>
      <w:r/>
    </w:p>
    <w:p>
      <w:pPr>
        <w:ind w:firstLine="420"/>
        <w:spacing w:line="360" w:lineRule="auto"/>
        <w:rPr>
          <w:rFonts w:hint="eastAsia" w:ascii="宋体" w:hAnsi="宋体"/>
          <w:b/>
          <w:bCs/>
          <w:i/>
          <w:iCs/>
          <w:color w:val="auto"/>
          <w:highlight w:val="none"/>
          <w:u w:val="single"/>
        </w:rPr>
      </w:pPr>
      <w:r>
        <w:rPr>
          <w:rFonts w:hint="eastAsia" w:ascii="宋体" w:hAnsi="宋体" w:cs="宋体"/>
          <w:i/>
          <w:iCs/>
          <w:color w:val="auto"/>
          <w:szCs w:val="21"/>
          <w:highlight w:val="none"/>
          <w:u w:val="single"/>
        </w:rPr>
        <w:t xml:space="preserve">1.3 投标人近三个月内任意一月依法纳税的缴款凭证</w:t>
      </w:r>
      <w:r>
        <w:rPr>
          <w:rFonts w:hint="eastAsia" w:ascii="宋体" w:hAnsi="宋体" w:cs="宋体"/>
          <w:b/>
          <w:bCs/>
          <w:i/>
          <w:iCs/>
          <w:color w:val="auto"/>
          <w:szCs w:val="21"/>
          <w:highlight w:val="none"/>
          <w:u w:val="single"/>
        </w:rPr>
        <w:t xml:space="preserve">（投标人依法享受缓缴、免缴的提供证明材料）</w:t>
      </w:r>
      <w:r/>
    </w:p>
    <w:p>
      <w:pPr>
        <w:ind w:firstLine="420"/>
        <w:spacing w:line="360" w:lineRule="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上一年度</w:t>
      </w:r>
      <w:r>
        <w:rPr>
          <w:rFonts w:hint="eastAsia" w:ascii="宋体" w:hAnsi="宋体" w:cs="宋体"/>
          <w:i/>
          <w:iCs/>
          <w:color w:val="auto"/>
          <w:szCs w:val="21"/>
          <w:highlight w:val="none"/>
          <w:u w:val="single"/>
          <w:lang w:eastAsia="zh-CN"/>
        </w:rPr>
        <w:t xml:space="preserve">（</w:t>
      </w:r>
      <w:r>
        <w:rPr>
          <w:rFonts w:hint="eastAsia" w:ascii="宋体" w:hAnsi="宋体" w:cs="宋体"/>
          <w:i/>
          <w:iCs/>
          <w:color w:val="auto"/>
          <w:szCs w:val="21"/>
          <w:highlight w:val="none"/>
          <w:u w:val="single"/>
          <w:lang w:val="en-US" w:eastAsia="zh-CN"/>
        </w:rPr>
        <w:t xml:space="preserve">2024年度）</w:t>
      </w:r>
      <w:r>
        <w:rPr>
          <w:rFonts w:hint="eastAsia" w:ascii="宋体" w:hAnsi="宋体" w:cs="宋体"/>
          <w:i/>
          <w:iCs/>
          <w:color w:val="auto"/>
          <w:szCs w:val="21"/>
          <w:highlight w:val="none"/>
          <w:u w:val="single"/>
        </w:rPr>
        <w:t xml:space="preserve">的财务报告情况（</w:t>
      </w:r>
      <w:r>
        <w:rPr>
          <w:rFonts w:hint="eastAsia" w:ascii="宋体" w:hAnsi="宋体" w:cs="宋体"/>
          <w:b/>
          <w:bCs/>
          <w:i/>
          <w:iCs/>
          <w:color w:val="auto"/>
          <w:szCs w:val="21"/>
          <w:highlight w:val="none"/>
          <w:u w:val="single"/>
        </w:rPr>
        <w:t xml:space="preserve">成立不满一年不需提供）</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具备履行合同所必需的设备和专业技术能力的证明材料</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参加本次政府采购活动前3年内在经营活动中没有重大违法记录的书面声明</w:t>
      </w:r>
      <w:r/>
    </w:p>
    <w:p>
      <w:pPr>
        <w:ind w:firstLine="420"/>
        <w:spacing w:line="360" w:lineRule="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1.7 未被“信用中国”网站（www.creditchina.gov.cn）、“中国政府采购网"(www.ccgp.gov.cn)列入失信被执行人、重大税收违法案件当事人名单、政府采购严重违法失信行为记录名单</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1.8供应商信用承诺函</w:t>
      </w:r>
      <w:r/>
    </w:p>
    <w:p>
      <w:pPr>
        <w:ind w:firstLine="420"/>
        <w:spacing w:line="360" w:lineRule="auto"/>
        <w:rPr>
          <w:rFonts w:hint="eastAsia" w:ascii="宋体" w:hAnsi="宋体" w:eastAsia="宋体" w:cs="宋体"/>
          <w:bCs/>
          <w:i/>
          <w:iCs/>
          <w:color w:val="auto"/>
          <w:highlight w:val="none"/>
          <w:u w:val="single"/>
          <w:lang w:eastAsia="zh-CN"/>
        </w:rPr>
      </w:pPr>
      <w:r>
        <w:rPr>
          <w:rFonts w:hint="eastAsia" w:ascii="宋体" w:hAnsi="宋体" w:cs="宋体"/>
          <w:color w:val="auto"/>
          <w:szCs w:val="21"/>
          <w:highlight w:val="none"/>
        </w:rPr>
        <w:t xml:space="preserve">2.落实政府采购政策需满足的资格要求：</w:t>
      </w:r>
      <w:r>
        <w:rPr>
          <w:rFonts w:hint="eastAsia" w:ascii="宋体" w:hAnsi="宋体" w:cs="宋体"/>
          <w:i/>
          <w:iCs/>
          <w:color w:val="auto"/>
          <w:szCs w:val="21"/>
          <w:highlight w:val="none"/>
          <w:u w:val="single"/>
          <w:lang w:eastAsia="zh-CN"/>
        </w:rPr>
        <w:t xml:space="preserve">根据《政府采购促进中小企业发展管理办法》（财库〔2020〕46 号）规定，本项目专门面向中小企业采购，供应商谈判响应时须提供《中小企业声明函》，《中小企业声明函》不符合要求或未提供的，响应文件无效。</w:t>
      </w:r>
      <w:r/>
    </w:p>
    <w:p>
      <w:pPr>
        <w:ind w:firstLine="420"/>
        <w:spacing w:line="360" w:lineRule="auto"/>
        <w:rPr>
          <w:rFonts w:hint="eastAsia" w:ascii="宋体" w:hAnsi="宋体" w:cs="宋体"/>
          <w:bCs/>
          <w:i w:val="0"/>
          <w:iCs/>
          <w:color w:val="auto"/>
          <w:szCs w:val="21"/>
          <w:highlight w:val="none"/>
          <w:u w:val="none"/>
        </w:rPr>
      </w:pPr>
      <w:r>
        <w:rPr>
          <w:rFonts w:hint="eastAsia" w:ascii="宋体" w:hAnsi="宋体" w:cs="宋体"/>
          <w:bCs/>
          <w:i w:val="0"/>
          <w:iCs/>
          <w:color w:val="auto"/>
          <w:highlight w:val="none"/>
          <w:u w:val="none"/>
        </w:rPr>
        <w:t xml:space="preserve">中小微企业划型标准请对照《关于印发中小企业划型标准规定的通知》（工信部联企业〔2011〕300号）（详见格式）。本项目采购标的对应的行业主要为工业。</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3.本项目的特定资格要求：</w:t>
      </w:r>
      <w:r>
        <w:rPr>
          <w:rFonts w:hint="eastAsia" w:ascii="宋体" w:hAnsi="宋体" w:cs="宋体"/>
          <w:color w:val="auto"/>
          <w:szCs w:val="21"/>
          <w:highlight w:val="none"/>
          <w:lang w:val="en-US" w:eastAsia="zh-CN"/>
        </w:rPr>
        <w:t xml:space="preserve">无</w:t>
      </w:r>
      <w:r/>
    </w:p>
    <w:p>
      <w:pPr>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三、获取招标文件</w:t>
      </w:r>
      <w:r/>
    </w:p>
    <w:p>
      <w:pPr>
        <w:ind w:firstLine="420"/>
        <w:spacing w:line="360" w:lineRule="auto"/>
        <w:rPr>
          <w:rFonts w:hint="eastAsia" w:ascii="宋体" w:hAnsi="宋体" w:cs="宋体"/>
          <w:color w:val="auto"/>
          <w:highlight w:val="none"/>
        </w:rPr>
      </w:pPr>
      <w:r/>
      <w:bookmarkStart w:id="6" w:name="_Toc38985266"/>
      <w:r>
        <w:rPr>
          <w:rFonts w:hint="eastAsia" w:ascii="宋体" w:hAnsi="宋体" w:cs="宋体"/>
          <w:color w:val="auto"/>
          <w:highlight w:val="none"/>
        </w:rPr>
        <w:t xml:space="preserve">1.时间：自招标文件公告发布之日起5个工作日。5个工作日后仍可下载招标文件，但不作为供应商权益受到损害的证明材料和依据。</w:t>
      </w:r>
      <w:r/>
    </w:p>
    <w:p>
      <w:pPr>
        <w:ind w:firstLine="422"/>
        <w:spacing w:line="360" w:lineRule="auto"/>
        <w:rPr>
          <w:rFonts w:hint="eastAsia" w:ascii="宋体" w:hAnsi="宋体"/>
          <w:b/>
          <w:bCs/>
          <w:color w:val="auto"/>
          <w:sz w:val="24"/>
          <w:szCs w:val="24"/>
          <w:highlight w:val="none"/>
        </w:rPr>
      </w:pPr>
      <w:r>
        <w:rPr>
          <w:rFonts w:hint="eastAsia" w:ascii="宋体" w:hAnsi="宋体" w:cs="宋体"/>
          <w:b/>
          <w:bCs/>
          <w:color w:val="auto"/>
          <w:highlight w:val="none"/>
        </w:rPr>
        <w:t xml:space="preserve">2.获取方式：</w:t>
      </w:r>
      <w:r>
        <w:rPr>
          <w:rFonts w:hint="eastAsia" w:ascii="宋体" w:hAnsi="宋体"/>
          <w:b/>
          <w:bCs/>
          <w:color w:val="auto"/>
          <w:szCs w:val="21"/>
          <w:highlight w:val="none"/>
        </w:rPr>
        <w:t xml:space="preserve">本项目采用网上注册登记方式。</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3.潜在投标人访问</w:t>
      </w:r>
      <w:r>
        <w:rPr>
          <w:rFonts w:hint="eastAsia" w:ascii="宋体" w:hAnsi="宋体"/>
          <w:b/>
          <w:bCs/>
          <w:color w:val="auto"/>
          <w:szCs w:val="21"/>
          <w:highlight w:val="none"/>
        </w:rPr>
        <w:t xml:space="preserve">政府采购管理交易系统（苏采云）</w:t>
      </w:r>
      <w:r>
        <w:rPr>
          <w:rFonts w:hint="eastAsia" w:ascii="宋体" w:hAnsi="宋体" w:cs="宋体"/>
          <w:b/>
          <w:bCs/>
          <w:color w:val="auto"/>
          <w:highlight w:val="none"/>
        </w:rPr>
        <w:t xml:space="preserve">的网络地址和方法：</w:t>
      </w:r>
      <w:r/>
    </w:p>
    <w:p>
      <w:pPr>
        <w:ind w:firstLine="422"/>
        <w:spacing w:line="360" w:lineRule="auto"/>
        <w:tabs>
          <w:tab w:val="left" w:pos="266" w:leader="none"/>
        </w:tabs>
        <w:rPr>
          <w:rFonts w:hint="eastAsia" w:ascii="宋体" w:hAnsi="宋体"/>
          <w:b/>
          <w:bCs/>
          <w:color w:val="auto"/>
          <w:szCs w:val="21"/>
          <w:highlight w:val="none"/>
        </w:rPr>
      </w:pPr>
      <w:r>
        <w:rPr>
          <w:rFonts w:hint="eastAsia" w:ascii="宋体" w:hAnsi="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tabs>
          <w:tab w:val="left" w:pos="266" w:leader="none"/>
        </w:tabs>
        <w:rPr>
          <w:rFonts w:hint="eastAsia" w:ascii="宋体" w:hAnsi="宋体"/>
          <w:b/>
          <w:bCs/>
          <w:color w:val="auto"/>
          <w:szCs w:val="21"/>
          <w:highlight w:val="none"/>
        </w:rPr>
      </w:pPr>
      <w:r>
        <w:rPr>
          <w:rFonts w:hint="eastAsia" w:ascii="宋体" w:hAnsi="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0"/>
        <w:keepLines w:val="0"/>
        <w:keepNext w:val="0"/>
        <w:pageBreakBefore w:val="0"/>
        <w:spacing w:line="360" w:lineRule="auto"/>
        <w:widowControl w:val="off"/>
        <w:tabs>
          <w:tab w:val="left" w:pos="266" w:leader="none"/>
        </w:tabs>
        <w:rPr>
          <w:rFonts w:hint="eastAsia" w:ascii="宋体" w:hAnsi="宋体"/>
          <w:b/>
          <w:bCs/>
          <w:color w:val="auto"/>
          <w:szCs w:val="21"/>
          <w:highlight w:val="none"/>
        </w:rPr>
      </w:pPr>
      <w:r>
        <w:rPr>
          <w:rFonts w:hint="eastAsia" w:ascii="宋体" w:hAnsi="宋体"/>
          <w:b/>
          <w:bCs/>
          <w:color w:val="auto"/>
          <w:szCs w:val="21"/>
          <w:highlight w:val="none"/>
        </w:rPr>
        <w:t xml:space="preserve">（3）“CA数字证书”的办理材料以及供应商操作手册详见：</w:t>
      </w:r>
      <w:r/>
    </w:p>
    <w:p>
      <w:pPr>
        <w:ind w:firstLine="420"/>
        <w:jc w:val="left"/>
        <w:keepLines w:val="0"/>
        <w:keepNext w:val="0"/>
        <w:pageBreakBefore w:val="0"/>
        <w:spacing w:line="360" w:lineRule="auto"/>
        <w:widowControl w:val="off"/>
        <w:tabs>
          <w:tab w:val="left" w:pos="266" w:leader="none"/>
        </w:tabs>
        <w:rPr>
          <w:rFonts w:hint="eastAsia" w:ascii="宋体" w:hAnsi="宋体"/>
          <w:b/>
          <w:bCs/>
          <w:color w:val="auto"/>
          <w:szCs w:val="21"/>
          <w:highlight w:val="none"/>
        </w:rPr>
      </w:pPr>
      <w:r>
        <w:rPr>
          <w:rFonts w:hint="eastAsia" w:ascii="宋体" w:hAnsi="宋体"/>
          <w:b/>
          <w:bCs/>
          <w:color w:val="auto"/>
          <w:szCs w:val="21"/>
          <w:highlight w:val="none"/>
        </w:rPr>
        <w:t xml:space="preserve">http：//zfcg.yangzhou.gov.cn/zfcg/xzzx/202309/4d7de1f7865f4a2894fc22bc452f94d8.shtml。</w:t>
      </w:r>
      <w:r/>
    </w:p>
    <w:p>
      <w:pPr>
        <w:ind w:firstLine="422"/>
        <w:jc w:val="left"/>
        <w:keepLines w:val="0"/>
        <w:keepNext w:val="0"/>
        <w:pageBreakBefore w:val="0"/>
        <w:spacing w:line="360" w:lineRule="auto"/>
        <w:widowControl w:val="off"/>
        <w:tabs>
          <w:tab w:val="left" w:pos="266" w:leader="none"/>
        </w:tabs>
        <w:rPr>
          <w:rFonts w:hint="eastAsia" w:ascii="宋体" w:hAnsi="宋体"/>
          <w:b/>
          <w:bCs/>
          <w:color w:val="auto"/>
          <w:szCs w:val="21"/>
          <w:highlight w:val="none"/>
        </w:rPr>
      </w:pPr>
      <w:r>
        <w:rPr>
          <w:rFonts w:hint="eastAsia" w:ascii="宋体" w:hAnsi="宋体"/>
          <w:b/>
          <w:bCs/>
          <w:color w:val="auto"/>
          <w:szCs w:val="21"/>
          <w:highlight w:val="none"/>
        </w:rPr>
        <w:t xml:space="preserve">（4）潜在供应商访问“苏采云”系统的网络地址和方法：“苏采云”系统的网址：http：//jszfcg.jsczt.cn/。</w:t>
      </w:r>
      <w:r/>
    </w:p>
    <w:p>
      <w:pPr>
        <w:ind w:firstLine="422"/>
        <w:spacing w:line="360" w:lineRule="auto"/>
        <w:tabs>
          <w:tab w:val="left" w:pos="266" w:leader="none"/>
        </w:tabs>
        <w:rPr>
          <w:rFonts w:hint="eastAsia" w:ascii="宋体" w:hAnsi="宋体"/>
          <w:b/>
          <w:bCs/>
          <w:color w:val="auto"/>
          <w:szCs w:val="21"/>
          <w:highlight w:val="none"/>
        </w:rPr>
      </w:pPr>
      <w:r>
        <w:rPr>
          <w:rFonts w:hint="eastAsia" w:ascii="宋体" w:hAnsi="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tabs>
          <w:tab w:val="left" w:pos="266" w:leader="none"/>
        </w:tabs>
        <w:rPr>
          <w:rFonts w:hint="eastAsia" w:ascii="宋体" w:hAnsi="宋体"/>
          <w:b/>
          <w:bCs/>
          <w:color w:val="auto"/>
          <w:szCs w:val="21"/>
          <w:highlight w:val="none"/>
        </w:rPr>
      </w:pPr>
      <w:r>
        <w:rPr>
          <w:rFonts w:hint="eastAsia" w:ascii="宋体" w:hAnsi="宋体"/>
          <w:b/>
          <w:bCs/>
          <w:color w:val="auto"/>
          <w:szCs w:val="21"/>
          <w:highlight w:val="none"/>
        </w:rPr>
        <w:t xml:space="preserve">（6）招标代理机构（采购代理机构）将数据电文形式的采购文件加载至“苏采云”系统，供潜在供应商下载或者查阅。     </w:t>
      </w:r>
      <w:r/>
    </w:p>
    <w:p>
      <w:pPr>
        <w:ind w:firstLine="422"/>
        <w:spacing w:line="360" w:lineRule="auto"/>
        <w:tabs>
          <w:tab w:val="left" w:pos="266" w:leader="none"/>
        </w:tabs>
        <w:rPr>
          <w:rFonts w:hint="eastAsia" w:ascii="宋体" w:hAnsi="宋体"/>
          <w:b/>
          <w:bCs/>
          <w:color w:val="auto"/>
          <w:szCs w:val="21"/>
          <w:highlight w:val="none"/>
        </w:rPr>
      </w:pPr>
      <w:r>
        <w:rPr>
          <w:rFonts w:hint="eastAsia" w:ascii="宋体" w:hAnsi="宋体"/>
          <w:b/>
          <w:bCs/>
          <w:color w:val="auto"/>
          <w:szCs w:val="21"/>
          <w:highlight w:val="none"/>
        </w:rPr>
        <w:t xml:space="preserve">（7）苏采云系统使用谷歌浏览器参与不见面开标。</w:t>
      </w:r>
      <w:r/>
    </w:p>
    <w:p>
      <w:pPr>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四、提交投标文件截止时间、开标时间和地点</w:t>
      </w:r>
      <w:bookmarkEnd w:id="6"/>
      <w:r/>
      <w:r/>
    </w:p>
    <w:p>
      <w:pPr>
        <w:ind w:firstLine="420"/>
        <w:spacing w:line="360" w:lineRule="auto"/>
        <w:rPr>
          <w:rFonts w:hint="eastAsia" w:ascii="宋体" w:hAnsi="宋体" w:cs="宋体"/>
          <w:bCs/>
          <w:color w:val="auto"/>
          <w:szCs w:val="21"/>
          <w:highlight w:val="none"/>
          <w:u w:val="single"/>
        </w:rPr>
      </w:pPr>
      <w:r>
        <w:rPr>
          <w:rFonts w:hint="eastAsia" w:ascii="宋体" w:hAnsi="宋体" w:cs="宋体"/>
          <w:color w:val="auto"/>
          <w:highlight w:val="none"/>
        </w:rPr>
        <w:t xml:space="preserve">1.时间：</w:t>
      </w: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年</w:t>
      </w:r>
      <w:r>
        <w:rPr>
          <w:rFonts w:hint="eastAsia" w:ascii="宋体" w:hAnsi="宋体" w:cs="宋体"/>
          <w:color w:val="auto"/>
          <w:szCs w:val="21"/>
          <w:highlight w:val="none"/>
          <w:u w:val="single"/>
          <w:lang w:val="en-US" w:eastAsia="zh-CN"/>
        </w:rPr>
        <w:t xml:space="preserve">2</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2</w:t>
      </w:r>
      <w:r>
        <w:rPr>
          <w:rFonts w:hint="eastAsia" w:ascii="宋体" w:hAnsi="宋体" w:cs="宋体"/>
          <w:color w:val="auto"/>
          <w:szCs w:val="21"/>
          <w:highlight w:val="none"/>
          <w:u w:val="single"/>
        </w:rPr>
        <w:t xml:space="preserve">日</w:t>
      </w:r>
      <w:r>
        <w:rPr>
          <w:rFonts w:hint="eastAsia" w:ascii="宋体" w:hAnsi="宋体" w:cs="宋体"/>
          <w:color w:val="auto"/>
          <w:szCs w:val="21"/>
          <w:highlight w:val="none"/>
          <w:u w:val="single"/>
          <w:lang w:val="en-US" w:eastAsia="zh-CN"/>
        </w:rPr>
        <w:t xml:space="preserve">14</w:t>
      </w:r>
      <w:r>
        <w:rPr>
          <w:rFonts w:hint="eastAsia" w:ascii="宋体" w:hAnsi="宋体" w:cs="宋体"/>
          <w:color w:val="auto"/>
          <w:szCs w:val="21"/>
          <w:highlight w:val="none"/>
          <w:u w:val="single"/>
        </w:rPr>
        <w:t xml:space="preserve">点30分</w:t>
      </w:r>
      <w:r>
        <w:rPr>
          <w:rFonts w:hint="eastAsia" w:ascii="宋体" w:hAnsi="宋体" w:cs="宋体"/>
          <w:bCs/>
          <w:color w:val="auto"/>
          <w:highlight w:val="none"/>
        </w:rPr>
        <w:t xml:space="preserve">（北京时间）</w:t>
      </w:r>
      <w:r/>
    </w:p>
    <w:p>
      <w:pPr>
        <w:ind w:firstLine="420"/>
        <w:spacing w:line="360" w:lineRule="auto"/>
        <w:rPr>
          <w:rFonts w:hint="eastAsia" w:ascii="宋体" w:hAnsi="宋体" w:cs="宋体"/>
          <w:bCs/>
          <w:color w:val="auto"/>
          <w:highlight w:val="none"/>
          <w:u w:val="single"/>
        </w:rPr>
      </w:pPr>
      <w:r>
        <w:rPr>
          <w:rFonts w:hint="eastAsia" w:ascii="宋体" w:hAnsi="宋体" w:cs="宋体"/>
          <w:color w:val="auto"/>
          <w:highlight w:val="none"/>
        </w:rPr>
        <w:t xml:space="preserve">2.开标地点：</w:t>
      </w:r>
      <w:r>
        <w:rPr>
          <w:rFonts w:hint="eastAsia" w:ascii="宋体" w:hAnsi="宋体"/>
          <w:bCs/>
          <w:color w:val="auto"/>
          <w:szCs w:val="21"/>
          <w:highlight w:val="none"/>
        </w:rPr>
        <w:t xml:space="preserve">“苏采云”系统（网址：http：//jszfcg.jsczt.cn/）“开标大厅”</w:t>
      </w:r>
      <w:r/>
    </w:p>
    <w:p>
      <w:pPr>
        <w:spacing w:line="360" w:lineRule="auto"/>
        <w:tabs>
          <w:tab w:val="left" w:pos="266" w:leader="none"/>
        </w:tabs>
        <w:rPr>
          <w:rFonts w:hint="eastAsia" w:ascii="宋体" w:hAnsi="宋体" w:cs="宋体"/>
          <w:b/>
          <w:bCs/>
          <w:color w:val="auto"/>
          <w:highlight w:val="none"/>
        </w:rPr>
      </w:pPr>
      <w:r/>
      <w:bookmarkStart w:id="7" w:name="_Toc38985267"/>
      <w:r>
        <w:rPr>
          <w:rFonts w:hint="eastAsia" w:ascii="宋体" w:hAnsi="宋体" w:cs="宋体"/>
          <w:b/>
          <w:bCs/>
          <w:color w:val="auto"/>
          <w:highlight w:val="none"/>
        </w:rPr>
        <w:t xml:space="preserve">五、公告期限</w:t>
      </w:r>
      <w:bookmarkEnd w:id="7"/>
      <w:r/>
      <w:r/>
    </w:p>
    <w:p>
      <w:pPr>
        <w:ind w:firstLine="420"/>
        <w:spacing w:line="360" w:lineRule="auto"/>
        <w:rPr>
          <w:rFonts w:hint="eastAsia" w:ascii="宋体" w:hAnsi="宋体" w:cs="宋体"/>
          <w:color w:val="auto"/>
          <w:highlight w:val="none"/>
        </w:rPr>
      </w:pPr>
      <w:r/>
      <w:bookmarkStart w:id="8" w:name="_Toc38985268"/>
      <w:r>
        <w:rPr>
          <w:rFonts w:hint="eastAsia" w:ascii="宋体" w:hAnsi="宋体" w:cs="宋体"/>
          <w:color w:val="auto"/>
          <w:highlight w:val="none"/>
        </w:rPr>
        <w:t xml:space="preserve">招标公告及招标文件公告期限为自本公告发布之日起5个工作日。</w:t>
      </w:r>
      <w:bookmarkEnd w:id="8"/>
      <w:r/>
      <w:r/>
    </w:p>
    <w:p>
      <w:pPr>
        <w:spacing w:line="360" w:lineRule="auto"/>
        <w:tabs>
          <w:tab w:val="left" w:pos="266" w:leader="none"/>
        </w:tabs>
        <w:rPr>
          <w:rFonts w:hint="eastAsia" w:ascii="宋体" w:hAnsi="宋体" w:cs="宋体"/>
          <w:b/>
          <w:bCs/>
          <w:color w:val="auto"/>
          <w:highlight w:val="none"/>
        </w:rPr>
      </w:pPr>
      <w:r/>
      <w:bookmarkStart w:id="9" w:name="_Toc28359087"/>
      <w:r/>
      <w:bookmarkStart w:id="10" w:name="_Toc28359010"/>
      <w:r>
        <w:rPr>
          <w:rFonts w:hint="eastAsia" w:ascii="宋体" w:hAnsi="宋体" w:cs="宋体"/>
          <w:b/>
          <w:bCs/>
          <w:color w:val="auto"/>
          <w:highlight w:val="none"/>
        </w:rPr>
        <w:t xml:space="preserve">六、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中标供应商可凭政府采购合同办理融资贷款，详见江苏政府采购网“政采贷”专栏。</w:t>
      </w:r>
      <w:bookmarkEnd w:id="9"/>
      <w:r/>
      <w:bookmarkEnd w:id="10"/>
      <w:r/>
      <w:r/>
    </w:p>
    <w:p>
      <w:pP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七、其他</w:t>
      </w:r>
      <w:r/>
    </w:p>
    <w:p>
      <w:pPr>
        <w:ind w:firstLine="422"/>
        <w:spacing w:line="360" w:lineRule="auto"/>
        <w:rPr>
          <w:rFonts w:hint="eastAsia" w:ascii="宋体" w:hAnsi="宋体" w:cs="宋体"/>
          <w:b/>
          <w:bCs/>
          <w:color w:val="auto"/>
          <w:szCs w:val="21"/>
          <w:highlight w:val="none"/>
        </w:rPr>
      </w:pPr>
      <w:r/>
      <w:bookmarkStart w:id="11" w:name="_Toc38985269"/>
      <w:r>
        <w:rPr>
          <w:rFonts w:hint="eastAsia" w:ascii="宋体" w:hAnsi="宋体" w:cs="宋体"/>
          <w:b/>
          <w:bCs/>
          <w:color w:val="auto"/>
          <w:szCs w:val="21"/>
          <w:highlight w:val="none"/>
        </w:rPr>
        <w:t xml:space="preserve">1.本次采购采用“政府采购管理交易系统（苏采云）”，招标、投标、评标和成交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cs="宋体"/>
          <w:b/>
          <w:color w:val="auto"/>
          <w:szCs w:val="21"/>
          <w:highlight w:val="none"/>
        </w:rPr>
      </w:pPr>
      <w:r>
        <w:rPr>
          <w:rFonts w:ascii="宋体" w:hAnsi="宋体" w:cs="宋体"/>
          <w:b/>
          <w:color w:val="auto"/>
          <w:szCs w:val="21"/>
          <w:highlight w:val="none"/>
        </w:rPr>
        <w:t xml:space="preserve">3</w:t>
      </w:r>
      <w:r>
        <w:rPr>
          <w:rFonts w:hint="eastAsia" w:ascii="宋体" w:hAnsi="宋体" w:cs="宋体"/>
          <w:b/>
          <w:color w:val="auto"/>
          <w:szCs w:val="21"/>
          <w:highlight w:val="none"/>
        </w:rPr>
        <w:t xml:space="preserve">.严格执行政府采购关于支持节能</w:t>
      </w:r>
      <w:r>
        <w:rPr>
          <w:rFonts w:hint="eastAsia" w:ascii="宋体" w:hAnsi="宋体" w:cs="宋体"/>
          <w:b/>
          <w:color w:val="auto"/>
          <w:szCs w:val="21"/>
          <w:highlight w:val="none"/>
        </w:rPr>
        <w:t xml:space="preserve">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  </w:t>
      </w:r>
      <w:r/>
    </w:p>
    <w:p>
      <w:pPr>
        <w:ind w:firstLine="422"/>
        <w:jc w:val="left"/>
        <w:spacing w:line="360" w:lineRule="auto"/>
        <w:widowControl/>
        <w:rPr>
          <w:color w:val="auto"/>
          <w:highlight w:val="none"/>
        </w:rPr>
      </w:pPr>
      <w:r>
        <w:rPr>
          <w:rFonts w:ascii="宋体" w:hAnsi="宋体" w:cs="宋体"/>
          <w:b/>
          <w:color w:val="auto"/>
          <w:szCs w:val="21"/>
          <w:highlight w:val="none"/>
        </w:rPr>
        <w:t xml:space="preserve">4</w:t>
      </w:r>
      <w:r>
        <w:rPr>
          <w:rFonts w:hint="eastAsia" w:ascii="宋体" w:hAnsi="宋体" w:cs="宋体"/>
          <w:b/>
          <w:color w:val="auto"/>
          <w:szCs w:val="21"/>
          <w:highlight w:val="none"/>
        </w:rPr>
        <w:t xml:space="preserve">.供应商对于投标产品的包装应按照“财办库[2020]123号《关于印发《商品包装政府采购需求标准（试行）》、《快递包装政府采购需求标准（试行）的通知》”执行。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hint="eastAsia" w:ascii="宋体" w:hAnsi="宋体" w:cs="宋体"/>
          <w:b/>
          <w:color w:val="auto"/>
          <w:szCs w:val="21"/>
          <w:highlight w:val="none"/>
        </w:rPr>
      </w:pPr>
      <w:r>
        <w:rPr>
          <w:rFonts w:ascii="宋体" w:hAnsi="宋体" w:cs="宋体"/>
          <w:b/>
          <w:color w:val="auto"/>
          <w:szCs w:val="21"/>
          <w:highlight w:val="none"/>
        </w:rPr>
        <w:t xml:space="preserve">5</w:t>
      </w:r>
      <w:r>
        <w:rPr>
          <w:rFonts w:hint="eastAsia" w:ascii="宋体" w:hAnsi="宋体" w:cs="宋体"/>
          <w:b/>
          <w:color w:val="auto"/>
          <w:szCs w:val="21"/>
          <w:highlight w:val="none"/>
        </w:rPr>
        <w:t xml:space="preserve">.潜在供应商对采购文件项目需求部分的询问、质疑请向采购人提出，由采购人负责答复。</w:t>
      </w:r>
      <w:r/>
    </w:p>
    <w:p>
      <w:pPr>
        <w:ind w:firstLine="420"/>
        <w:spacing w:line="360" w:lineRule="auto"/>
        <w:rPr>
          <w:rFonts w:hint="eastAsia" w:ascii="宋体" w:hAnsi="宋体" w:cs="宋体"/>
          <w:bCs/>
          <w:color w:val="auto"/>
          <w:highlight w:val="none"/>
        </w:rPr>
      </w:pPr>
      <w:r>
        <w:rPr>
          <w:rFonts w:ascii="宋体" w:hAnsi="宋体" w:cs="宋体"/>
          <w:bCs/>
          <w:color w:val="auto"/>
          <w:szCs w:val="21"/>
          <w:highlight w:val="none"/>
        </w:rPr>
        <w:t xml:space="preserve">6</w:t>
      </w:r>
      <w:r>
        <w:rPr>
          <w:rFonts w:hint="eastAsia" w:ascii="宋体" w:hAnsi="宋体" w:cs="宋体"/>
          <w:bCs/>
          <w:color w:val="auto"/>
          <w:szCs w:val="21"/>
          <w:highlight w:val="none"/>
        </w:rPr>
        <w:t xml:space="preserve">.</w:t>
      </w:r>
      <w:r>
        <w:rPr>
          <w:rFonts w:hint="eastAsia" w:ascii="宋体" w:hAnsi="宋体"/>
          <w:color w:val="auto"/>
          <w:highlight w:val="none"/>
        </w:rPr>
        <w:t xml:space="preserve">本次招标不收取投标保证金。</w:t>
      </w:r>
      <w:r/>
    </w:p>
    <w:p>
      <w:pPr>
        <w:ind w:firstLine="420"/>
        <w:spacing w:line="360" w:lineRule="auto"/>
        <w:rPr>
          <w:rFonts w:hint="eastAsia" w:ascii="宋体" w:hAnsi="宋体" w:cs="宋体"/>
          <w:bCs/>
          <w:color w:val="auto"/>
          <w:szCs w:val="21"/>
          <w:highlight w:val="none"/>
        </w:rPr>
      </w:pPr>
      <w:r>
        <w:rPr>
          <w:rFonts w:ascii="宋体" w:hAnsi="宋体" w:cs="宋体"/>
          <w:bCs/>
          <w:color w:val="auto"/>
          <w:szCs w:val="21"/>
          <w:highlight w:val="none"/>
        </w:rPr>
        <w:t xml:space="preserve">7</w:t>
      </w:r>
      <w:r>
        <w:rPr>
          <w:rFonts w:hint="eastAsia" w:ascii="宋体" w:hAnsi="宋体" w:cs="宋体"/>
          <w:bCs/>
          <w:color w:val="auto"/>
          <w:szCs w:val="21"/>
          <w:highlight w:val="none"/>
        </w:rPr>
        <w:t xml:space="preserve">.有关本次招标的事项若存在变动或修改，敬请及时关注“扬州市政府采购网”、“江苏省政府采购网”、“中国政府采购网”发布的信息。</w:t>
      </w:r>
      <w:r/>
    </w:p>
    <w:p>
      <w:pPr>
        <w:ind w:firstLine="422"/>
        <w:jc w:val="left"/>
        <w:spacing w:line="360" w:lineRule="auto"/>
        <w:rPr>
          <w:rFonts w:hint="eastAsia" w:ascii="宋体" w:hAnsi="宋体" w:cs="宋体"/>
          <w:b/>
          <w:bCs/>
          <w:i/>
          <w:color w:val="auto"/>
          <w:szCs w:val="21"/>
          <w:highlight w:val="none"/>
          <w:u w:val="single"/>
        </w:rPr>
      </w:pPr>
      <w:r>
        <w:rPr>
          <w:rFonts w:ascii="宋体" w:hAnsi="宋体" w:cs="宋体"/>
          <w:b/>
          <w:bCs/>
          <w:i/>
          <w:color w:val="auto"/>
          <w:szCs w:val="21"/>
          <w:highlight w:val="none"/>
          <w:u w:val="single"/>
        </w:rPr>
        <w:t xml:space="preserve">8</w:t>
      </w:r>
      <w:r>
        <w:rPr>
          <w:rFonts w:hint="eastAsia" w:ascii="宋体" w:hAnsi="宋体" w:cs="宋体"/>
          <w:b/>
          <w:bCs/>
          <w:i/>
          <w:color w:val="auto"/>
          <w:szCs w:val="21"/>
          <w:highlight w:val="none"/>
          <w:u w:val="single"/>
        </w:rPr>
        <w:t xml:space="preserve">.本项目招标文件中所有斜体下划线部分为实质性条款，如不满足，则为无效投标</w:t>
      </w:r>
      <w:r/>
    </w:p>
    <w:p>
      <w:pPr>
        <w:ind w:firstLine="420"/>
        <w:jc w:val="left"/>
        <w:spacing w:line="360" w:lineRule="auto"/>
        <w:rPr>
          <w:rFonts w:hint="eastAsia" w:ascii="宋体" w:hAnsi="宋体" w:cs="宋体"/>
          <w:bCs/>
          <w:color w:val="auto"/>
          <w:szCs w:val="21"/>
          <w:highlight w:val="none"/>
        </w:rPr>
      </w:pPr>
      <w:r>
        <w:rPr>
          <w:rFonts w:ascii="宋体" w:hAnsi="宋体" w:cs="宋体"/>
          <w:bCs/>
          <w:color w:val="auto"/>
          <w:szCs w:val="21"/>
          <w:highlight w:val="none"/>
        </w:rPr>
        <w:t xml:space="preserve">9</w:t>
      </w:r>
      <w:r>
        <w:rPr>
          <w:rFonts w:hint="eastAsia" w:ascii="宋体" w:hAnsi="宋体" w:cs="宋体"/>
          <w:bCs/>
          <w:color w:val="auto"/>
          <w:szCs w:val="21"/>
          <w:highlight w:val="none"/>
        </w:rPr>
        <w:t xml:space="preserve">.如在开标时间发生系统崩溃等不可预见的情况，造成开评标活动无法正常进行的，将延迟开评标，具体开评标时间另行通知。</w:t>
      </w:r>
      <w:r/>
    </w:p>
    <w:p>
      <w:pPr>
        <w:ind w:firstLine="422"/>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八、本次招标联系方式</w:t>
      </w:r>
      <w:bookmarkEnd w:id="11"/>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highlight w:val="none"/>
        </w:rPr>
        <w:t xml:space="preserve">1.采购人信息</w:t>
      </w:r>
      <w:r/>
    </w:p>
    <w:p>
      <w:pPr>
        <w:pStyle w:val="1030"/>
        <w:ind w:firstLine="420"/>
        <w:jc w:val="left"/>
        <w:spacing w:line="360" w:lineRule="auto"/>
        <w:rPr>
          <w:rFonts w:hint="eastAsia" w:ascii="宋体" w:hAnsi="宋体" w:eastAsia="宋体" w:cs="宋体"/>
          <w:color w:val="auto"/>
          <w:szCs w:val="21"/>
          <w:highlight w:val="none"/>
          <w:lang w:eastAsia="zh-CN"/>
        </w:rPr>
      </w:pPr>
      <w:r/>
      <w:bookmarkStart w:id="12" w:name="_Toc28359086"/>
      <w:r/>
      <w:bookmarkStart w:id="13" w:name="_Toc28359009"/>
      <w:r>
        <w:rPr>
          <w:rFonts w:hint="eastAsia" w:ascii="宋体" w:hAnsi="宋体" w:cs="宋体"/>
          <w:color w:val="auto"/>
          <w:szCs w:val="21"/>
          <w:highlight w:val="none"/>
        </w:rPr>
        <w:t xml:space="preserve">名    称：</w:t>
      </w:r>
      <w:r>
        <w:rPr>
          <w:rFonts w:hint="eastAsia" w:ascii="宋体" w:hAnsi="宋体" w:cs="宋体"/>
          <w:color w:val="auto"/>
          <w:szCs w:val="21"/>
          <w:highlight w:val="none"/>
          <w:lang w:eastAsia="zh-CN"/>
        </w:rPr>
        <w:t xml:space="preserve">扬州市中医院</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    址：扬州市邗江区文昌中路577号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联系方式：0514-87326203</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2.代理机构信息</w:t>
      </w:r>
      <w:bookmarkEnd w:id="12"/>
      <w:r/>
      <w:bookmarkEnd w:id="13"/>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名    称：江苏唯诚建设咨询有限公司</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地　  址：扬州市维扬路106-1#扬州商城国际大厦19F1922室</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联 系 人：林祖超</w:t>
      </w:r>
      <w:r/>
    </w:p>
    <w:p>
      <w:pPr>
        <w:ind w:firstLine="420"/>
        <w:jc w:val="left"/>
        <w:spacing w:line="360" w:lineRule="auto"/>
        <w:rPr>
          <w:rFonts w:hint="eastAsia"/>
          <w:color w:val="auto"/>
          <w:highlight w:val="none"/>
        </w:rPr>
      </w:pPr>
      <w:r>
        <w:rPr>
          <w:rFonts w:hint="eastAsia" w:ascii="宋体" w:hAnsi="宋体" w:cs="宋体"/>
          <w:color w:val="auto"/>
          <w:highlight w:val="none"/>
        </w:rPr>
        <w:t xml:space="preserve">联系方式：18652401357</w:t>
      </w:r>
      <w:r/>
    </w:p>
    <w:p>
      <w:pPr>
        <w:pStyle w:val="763"/>
        <w:jc w:val="center"/>
        <w:spacing w:line="240" w:lineRule="auto"/>
        <w:rPr>
          <w:rFonts w:hint="eastAsia" w:ascii="宋体" w:hAnsi="宋体" w:cs="宋体"/>
          <w:color w:val="auto"/>
          <w:sz w:val="36"/>
          <w:highlight w:val="none"/>
        </w:rPr>
      </w:pPr>
      <w:r>
        <w:rPr>
          <w:rFonts w:hint="eastAsia" w:ascii="宋体" w:hAnsi="宋体" w:cs="宋体"/>
          <w:color w:val="auto"/>
          <w:sz w:val="36"/>
          <w:highlight w:val="none"/>
        </w:rPr>
        <w:br w:type="page" w:clear="all"/>
      </w:r>
      <w:r>
        <w:rPr>
          <w:rFonts w:hint="eastAsia" w:ascii="宋体" w:hAnsi="宋体" w:cs="宋体"/>
          <w:color w:val="auto"/>
          <w:sz w:val="36"/>
          <w:highlight w:val="none"/>
        </w:rPr>
        <w:t xml:space="preserve">第二章 投标人须知</w:t>
      </w:r>
      <w:bookmarkEnd w:id="3"/>
      <w:r/>
      <w:r/>
    </w:p>
    <w:p>
      <w:pPr>
        <w:ind w:firstLine="422"/>
        <w:spacing w:line="440" w:lineRule="exact"/>
        <w:rPr>
          <w:rFonts w:hint="eastAsia" w:ascii="宋体" w:hAnsi="宋体"/>
          <w:b/>
          <w:color w:val="auto"/>
          <w:szCs w:val="21"/>
          <w:highlight w:val="none"/>
        </w:rPr>
      </w:pPr>
      <w:r/>
      <w:bookmarkStart w:id="14" w:name="_Toc497133092"/>
      <w:r>
        <w:rPr>
          <w:rFonts w:hint="eastAsia" w:ascii="宋体" w:hAnsi="宋体"/>
          <w:b/>
          <w:color w:val="auto"/>
          <w:szCs w:val="21"/>
          <w:highlight w:val="none"/>
        </w:rPr>
        <w:t xml:space="preserve">1、招标方式</w:t>
      </w:r>
      <w:r/>
    </w:p>
    <w:p>
      <w:pPr>
        <w:ind w:firstLine="420"/>
        <w:spacing w:line="440" w:lineRule="exact"/>
        <w:rPr>
          <w:rFonts w:hint="eastAsia" w:ascii="宋体" w:hAnsi="宋体"/>
          <w:bCs/>
          <w:color w:val="auto"/>
          <w:szCs w:val="21"/>
          <w:highlight w:val="none"/>
        </w:rPr>
      </w:pPr>
      <w:r>
        <w:rPr>
          <w:rFonts w:hint="eastAsia" w:ascii="宋体" w:hAnsi="宋体"/>
          <w:bCs/>
          <w:color w:val="auto"/>
          <w:szCs w:val="21"/>
          <w:highlight w:val="none"/>
        </w:rPr>
        <w:t xml:space="preserve">1.1 本次招标采取公开招标方式，本招标文件仅适用于</w:t>
      </w:r>
      <w:r>
        <w:rPr>
          <w:rFonts w:hint="eastAsia" w:ascii="宋体" w:hAnsi="宋体"/>
          <w:bCs/>
          <w:color w:val="auto"/>
          <w:szCs w:val="21"/>
          <w:highlight w:val="none"/>
          <w:lang w:eastAsia="zh-CN"/>
        </w:rPr>
        <w:t xml:space="preserve">JSZC-321000-JSWC-G2026-0004</w:t>
      </w:r>
      <w:r>
        <w:rPr>
          <w:rFonts w:hint="eastAsia" w:ascii="宋体" w:hAnsi="宋体"/>
          <w:bCs/>
          <w:color w:val="auto"/>
          <w:szCs w:val="21"/>
          <w:highlight w:val="none"/>
        </w:rPr>
        <w:t xml:space="preserve">号项目。</w:t>
      </w:r>
      <w:r/>
    </w:p>
    <w:p>
      <w:pPr>
        <w:ind w:firstLine="422"/>
        <w:spacing w:line="440" w:lineRule="exact"/>
        <w:rPr>
          <w:rFonts w:hint="eastAsia" w:ascii="宋体" w:hAnsi="宋体"/>
          <w:b/>
          <w:color w:val="auto"/>
          <w:szCs w:val="21"/>
          <w:highlight w:val="none"/>
        </w:rPr>
      </w:pPr>
      <w:r>
        <w:rPr>
          <w:rFonts w:hint="eastAsia" w:ascii="宋体" w:hAnsi="宋体"/>
          <w:b/>
          <w:color w:val="auto"/>
          <w:szCs w:val="21"/>
          <w:highlight w:val="none"/>
        </w:rPr>
        <w:t xml:space="preserve">2、投标人</w:t>
      </w:r>
      <w:r/>
    </w:p>
    <w:p>
      <w:pPr>
        <w:ind w:firstLine="420"/>
        <w:spacing w:line="440" w:lineRule="exact"/>
        <w:rPr>
          <w:rFonts w:hint="eastAsia" w:ascii="宋体" w:hAnsi="宋体"/>
          <w:bCs/>
          <w:color w:val="auto"/>
          <w:szCs w:val="21"/>
          <w:highlight w:val="none"/>
        </w:rPr>
      </w:pPr>
      <w:r>
        <w:rPr>
          <w:rFonts w:hint="eastAsia" w:ascii="宋体" w:hAnsi="宋体"/>
          <w:bCs/>
          <w:color w:val="auto"/>
          <w:szCs w:val="21"/>
          <w:highlight w:val="none"/>
        </w:rPr>
        <w:t xml:space="preserve">2.1 本招标文件中“供应商”，即“投标人”，是指参加投标竞争，并符合招标文件规定资格条件的法人、其他组织或者自然人。</w:t>
      </w:r>
      <w:r/>
    </w:p>
    <w:p>
      <w:pPr>
        <w:ind w:firstLine="420"/>
        <w:spacing w:line="440" w:lineRule="exact"/>
        <w:rPr>
          <w:rFonts w:hint="eastAsia" w:ascii="宋体" w:hAnsi="宋体"/>
          <w:bCs/>
          <w:color w:val="auto"/>
          <w:szCs w:val="21"/>
          <w:highlight w:val="none"/>
        </w:rPr>
      </w:pPr>
      <w:r>
        <w:rPr>
          <w:rFonts w:hint="eastAsia" w:ascii="宋体" w:hAnsi="宋体"/>
          <w:bCs/>
          <w:color w:val="auto"/>
          <w:szCs w:val="21"/>
          <w:highlight w:val="none"/>
        </w:rPr>
        <w:t xml:space="preserve">2.2合格的投标人</w:t>
      </w:r>
      <w:r/>
    </w:p>
    <w:p>
      <w:pPr>
        <w:ind w:firstLine="420"/>
        <w:spacing w:line="440" w:lineRule="exact"/>
        <w:rPr>
          <w:rFonts w:hint="eastAsia" w:ascii="宋体" w:hAnsi="宋体"/>
          <w:bCs/>
          <w:color w:val="auto"/>
          <w:szCs w:val="21"/>
          <w:highlight w:val="none"/>
        </w:rPr>
      </w:pPr>
      <w:r>
        <w:rPr>
          <w:rFonts w:hint="eastAsia" w:ascii="宋体" w:hAnsi="宋体"/>
          <w:bCs/>
          <w:color w:val="auto"/>
          <w:szCs w:val="21"/>
          <w:highlight w:val="none"/>
        </w:rPr>
        <w:t xml:space="preserve">2.2.1 满足招标公告中供应商的资格条件要求的规定。</w:t>
      </w:r>
      <w:r/>
    </w:p>
    <w:p>
      <w:pPr>
        <w:ind w:firstLine="420"/>
        <w:spacing w:line="440" w:lineRule="exact"/>
        <w:rPr>
          <w:rFonts w:hint="eastAsia" w:ascii="宋体" w:hAnsi="宋体"/>
          <w:bCs/>
          <w:color w:val="auto"/>
          <w:szCs w:val="21"/>
          <w:highlight w:val="none"/>
        </w:rPr>
      </w:pPr>
      <w:r>
        <w:rPr>
          <w:rFonts w:hint="eastAsia" w:ascii="宋体" w:hAnsi="宋体"/>
          <w:bCs/>
          <w:color w:val="auto"/>
          <w:szCs w:val="21"/>
          <w:highlight w:val="none"/>
        </w:rPr>
        <w:t xml:space="preserve">2.2.2 满足本文件实质性条款的规定。</w:t>
      </w:r>
      <w:r/>
    </w:p>
    <w:p>
      <w:pPr>
        <w:ind w:firstLine="422"/>
        <w:spacing w:line="440" w:lineRule="exact"/>
        <w:rPr>
          <w:rFonts w:hint="eastAsia" w:ascii="宋体" w:hAnsi="宋体"/>
          <w:b/>
          <w:color w:val="auto"/>
          <w:szCs w:val="21"/>
          <w:highlight w:val="none"/>
        </w:rPr>
      </w:pPr>
      <w:r>
        <w:rPr>
          <w:rFonts w:hint="eastAsia" w:ascii="宋体" w:hAnsi="宋体"/>
          <w:b/>
          <w:color w:val="auto"/>
          <w:szCs w:val="21"/>
          <w:highlight w:val="none"/>
        </w:rPr>
        <w:t xml:space="preserve">3、适用法律</w:t>
      </w:r>
      <w:r/>
    </w:p>
    <w:p>
      <w:pPr>
        <w:ind w:firstLine="420"/>
        <w:spacing w:line="440" w:lineRule="exact"/>
        <w:rPr>
          <w:rFonts w:hint="eastAsia" w:ascii="宋体" w:hAnsi="宋体"/>
          <w:bCs/>
          <w:color w:val="auto"/>
          <w:szCs w:val="21"/>
          <w:highlight w:val="none"/>
        </w:rPr>
      </w:pPr>
      <w:r>
        <w:rPr>
          <w:rFonts w:hint="eastAsia" w:ascii="宋体" w:hAnsi="宋体"/>
          <w:bCs/>
          <w:color w:val="auto"/>
          <w:szCs w:val="21"/>
          <w:highlight w:val="none"/>
        </w:rPr>
        <w:t xml:space="preserve">3.1 本次招标及由此产生的合同受中华人民共和国有关的法律法规制约和保护。</w:t>
      </w:r>
      <w:r/>
    </w:p>
    <w:p>
      <w:pPr>
        <w:ind w:firstLine="422"/>
        <w:spacing w:line="440" w:lineRule="exact"/>
        <w:rPr>
          <w:rFonts w:hint="eastAsia" w:ascii="宋体" w:hAnsi="宋体"/>
          <w:b/>
          <w:color w:val="auto"/>
          <w:szCs w:val="21"/>
          <w:highlight w:val="none"/>
        </w:rPr>
      </w:pPr>
      <w:r>
        <w:rPr>
          <w:rFonts w:hint="eastAsia" w:ascii="宋体" w:hAnsi="宋体"/>
          <w:b/>
          <w:color w:val="auto"/>
          <w:szCs w:val="21"/>
          <w:highlight w:val="none"/>
        </w:rPr>
        <w:t xml:space="preserve">4、投标费用</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4.1 投标人应自行承担所有与参加投标有关的费用，无论投标过程中的做法和结果如 何，代理机构在任何情况下均无义务和责任承担这些费用。 </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4.2本次采购由中标人在领取中标通知书前分别根据国家计委印发的《招标代理服务收费管理暂行办法》(计价格【2002】1980号文)货物类*</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0%标准一次性支付给代理机构代理服务费。 </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（1）代理服务费以人民币支付； </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（2）代理服务费一次性以电汇、转账等非现金形式支付； </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（3）招标代理服务费不在投标报价中单列，包含在投标总价中，由中标单位支付给代理机构。 </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代理服务费开户银行：江苏银行扬州广陵支行</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开户名称：江苏唯诚建设咨询有限公司</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开户帐号：05</w:t>
      </w:r>
      <w:r>
        <w:rPr>
          <w:rFonts w:hint="eastAsia" w:ascii="宋体" w:hAnsi="宋体" w:cs="宋体"/>
          <w:color w:val="auto"/>
          <w:highlight w:val="none"/>
          <w:lang w:eastAsia="zh-CN"/>
        </w:rPr>
        <w:t xml:space="preserve">0004</w:t>
      </w:r>
      <w:r>
        <w:rPr>
          <w:rFonts w:hint="eastAsia" w:ascii="宋体" w:hAnsi="宋体" w:cs="宋体"/>
          <w:color w:val="auto"/>
          <w:highlight w:val="none"/>
        </w:rPr>
        <w:t xml:space="preserve">40900000685</w:t>
      </w:r>
      <w:r/>
    </w:p>
    <w:p>
      <w:pPr>
        <w:ind w:firstLine="422"/>
        <w:spacing w:line="440" w:lineRule="exact"/>
        <w:rPr>
          <w:rFonts w:hint="eastAsia" w:ascii="宋体" w:hAnsi="宋体"/>
          <w:b/>
          <w:color w:val="auto"/>
          <w:szCs w:val="21"/>
          <w:highlight w:val="none"/>
        </w:rPr>
      </w:pPr>
      <w:r>
        <w:rPr>
          <w:rFonts w:hint="eastAsia" w:ascii="宋体" w:hAnsi="宋体"/>
          <w:b/>
          <w:color w:val="auto"/>
          <w:szCs w:val="21"/>
          <w:highlight w:val="none"/>
        </w:rPr>
        <w:t xml:space="preserve">5、招标文件的约束力</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5.1 投标人一旦参加本项目采购活动，即被认为接受了本招标文件的规定和约束。</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6、招标文件构成</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6.1 招标文件有以下部分组成：</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（1）招标公告</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（2）投标人须知</w:t>
      </w:r>
      <w:r>
        <w:rPr>
          <w:rFonts w:hint="eastAsia" w:ascii="宋体" w:hAnsi="宋体"/>
          <w:bCs/>
          <w:color w:val="auto"/>
          <w:szCs w:val="21"/>
          <w:highlight w:val="none"/>
        </w:rPr>
        <w:tab/>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（3）合同条款及格式</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（4）项目需求</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（5）评标方法与评标标准</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（6）投标文件格式</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请仔细检查招标文件是否齐全，如有缺漏请立即与代理机构联系解决。</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6.3 招标文件如果要求供应商提交备选投标方案的，供应商可以提交备选方案；否则，备选方案将被拒绝。</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7、招标文件的澄清</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8、招标文件的修改</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8.1 在投标截止时间前，代理机构可以对招标文件进行修改。</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8.3招标文件的修改将在“扬州市政府采购网”、“江苏省政府采购网”、“中国政府采购网”公布，补充文件将作为招标文件的组成部分，并对投标人具有约束力。</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9、投标文件的语言、度量衡单位、货币</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9.2 除技术性能另有规定外，投标文件所使用的度量衡单位，均须采用国家法定计量单位。</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9.3投标人应使用人民币报价。</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10、投标文件构成</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10.1投标文件由以下部分组成</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（1）资格审查响应对照表</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（2）符合性审查响应对照表</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（3）非实质性响应对照表</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（4）开标一览表 </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（5）分项报价表 </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（6）技术参数响应及偏离表 </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（7）商务条款响应及偏离表 </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（8）其他 （投标人认为有必要提供的声明和文件，如有自拟并自行添加）</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11、证明投标人资格及符合招标文件规定的文件</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11.1投标人应按要求提交资格证明文件及符合招标文件规定的文件。</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11.2投标人应提交证明其有资格参加投标和中标后有能力独立履行合同的文件。</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11.3投标人除必须具有履行合同所需提供的产品或服务的能力外，还必须具备相应的财务、技术方面的能力。</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11.4投标人应提交根据合同要求提供的证明服务质量合格以及符合招标文件规定的证明文件。</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11.5证明投标人所提供服务与招标文件的要求相一致的文件可以是手册、图纸、文字资料和数据。</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12、分项报价表</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12.1 投标人应按照招标文件规定格式填报分项报价表，每项服务只允许有一个报价，任何有选择的报价将不予接受。</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12.2 标的物</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采购人需求的服务供应、安装，调试及有关技术服务等。</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12.3其它费用处理</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招标文件未列明，而投标人认为必需的费用也需列入报价。</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12.4投标货币</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投标文件中的服务单价和总价无特殊规定的采用人民币报价，以元为单位标注。招标文件中另有规定的按规定执行。</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13、技术参数响应及偏离表、商务条款响应及偏离表及投标服务说明</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13.1 对招标文件中的技术与商务条款要求逐项作出响应或偏离，并说明原因；</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13.2 提供参加本项目类似案例简介；</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13.3 详细阐述所投服务的主要组成部分、功能设计、实现思路及关键技术；</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13.4 投标人认为需要的其他技术文件或说明。</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14、服务承诺及售后服务机构、人员的情况介绍</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14.1投标人的服务承诺应按不低于招标文件中商务要求的标准。</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15、投标函和开标一览表</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15.1 投标人应按照招标文件中提供的格式完整、正确填写投标函、开标一览表。</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16、投标有效期</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16.1 投标有效期为开标之日起六十（60）天。投标有效期比规定短的将被视为非响应性投标而予以拒绝。</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b/>
          <w:color w:val="auto"/>
          <w:szCs w:val="21"/>
          <w:highlight w:val="none"/>
        </w:rPr>
      </w:pPr>
      <w:r/>
      <w:bookmarkStart w:id="15" w:name="_Toc20823297"/>
      <w:r/>
      <w:bookmarkStart w:id="16" w:name="_Toc16938541"/>
      <w:r/>
      <w:bookmarkStart w:id="17" w:name="_Toc462564084"/>
      <w:r/>
      <w:bookmarkStart w:id="18" w:name="_Toc513029225"/>
      <w:r>
        <w:rPr>
          <w:rFonts w:hint="eastAsia" w:ascii="宋体" w:hAnsi="宋体"/>
          <w:b/>
          <w:color w:val="auto"/>
          <w:szCs w:val="21"/>
          <w:highlight w:val="none"/>
        </w:rPr>
        <w:t xml:space="preserve">17、投标文件</w:t>
      </w:r>
      <w:bookmarkEnd w:id="15"/>
      <w:r/>
      <w:bookmarkEnd w:id="16"/>
      <w:r/>
      <w:bookmarkEnd w:id="17"/>
      <w:r/>
      <w:bookmarkEnd w:id="18"/>
      <w:r>
        <w:rPr>
          <w:rFonts w:hint="eastAsia" w:ascii="宋体" w:hAnsi="宋体"/>
          <w:b/>
          <w:color w:val="auto"/>
          <w:szCs w:val="21"/>
          <w:highlight w:val="none"/>
        </w:rPr>
        <w:t xml:space="preserve">的递交</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17.1 电子投标文件的递交投标人应当按照《操作手册》规定，在投标截止时间前制作并上传电子投标文件。</w:t>
      </w:r>
      <w:bookmarkStart w:id="19" w:name="_Toc20823298"/>
      <w:r/>
      <w:bookmarkStart w:id="20" w:name="_Toc513029226"/>
      <w:r/>
      <w:bookmarkStart w:id="21" w:name="_Toc16938542"/>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17.2</w:t>
      </w:r>
      <w:r>
        <w:rPr>
          <w:rFonts w:hint="eastAsia" w:ascii="宋体" w:hAnsi="宋体"/>
          <w:b/>
          <w:bCs/>
          <w:color w:val="auto"/>
          <w:szCs w:val="21"/>
          <w:highlight w:val="none"/>
        </w:rPr>
        <w:t xml:space="preserve">政府采购管理交易系统（苏采云）</w:t>
      </w:r>
      <w:r>
        <w:rPr>
          <w:rFonts w:hint="eastAsia" w:ascii="宋体" w:hAnsi="宋体"/>
          <w:b/>
          <w:color w:val="auto"/>
          <w:szCs w:val="21"/>
          <w:highlight w:val="none"/>
        </w:rPr>
        <w:t xml:space="preserve">相关要求是本招标文件的组成部分。</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17.3投标人应对 CA 证书妥善保管，如被他人盗用投标，因此带来的结果均由投标人自行承担。</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17.4投标人应当对招标文件提出的要求和条件作出实质性响应，并在电子投标系统逐条应答。</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17.5投标人应对要求提供的资格证明文件（如资质证书、资格证书）、技术资料（如白皮书、彩页、手册、检测报告等）扫描上传至投标系统。</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360" w:lineRule="auto"/>
        <w:rPr>
          <w:color w:val="auto"/>
          <w:highlight w:val="none"/>
        </w:rPr>
      </w:pPr>
      <w:r>
        <w:rPr>
          <w:rFonts w:hint="eastAsia" w:ascii="宋体" w:hAnsi="宋体"/>
          <w:b/>
          <w:color w:val="auto"/>
          <w:szCs w:val="21"/>
          <w:highlight w:val="none"/>
        </w:rPr>
        <w:t xml:space="preserve">17.7各投标人应在规定时间内凭CA证书进行网上解密。</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18、投标截止日期</w:t>
      </w:r>
      <w:bookmarkEnd w:id="19"/>
      <w:r/>
      <w:bookmarkEnd w:id="20"/>
      <w:r/>
      <w:bookmarkEnd w:id="21"/>
      <w:r/>
      <w:r/>
    </w:p>
    <w:p>
      <w:pPr>
        <w:ind w:firstLine="420"/>
        <w:spacing w:line="360" w:lineRule="auto"/>
        <w:rPr>
          <w:rFonts w:hint="eastAsia" w:ascii="宋体" w:hAnsi="宋体"/>
          <w:bCs/>
          <w:i/>
          <w:iCs/>
          <w:color w:val="auto"/>
          <w:szCs w:val="21"/>
          <w:highlight w:val="none"/>
          <w:u w:val="single"/>
        </w:rPr>
      </w:pPr>
      <w:r>
        <w:rPr>
          <w:rFonts w:hint="eastAsia" w:ascii="宋体" w:hAnsi="宋体"/>
          <w:bCs/>
          <w:i/>
          <w:iCs/>
          <w:color w:val="auto"/>
          <w:szCs w:val="21"/>
          <w:highlight w:val="none"/>
          <w:u w:val="single"/>
        </w:rPr>
        <w:t xml:space="preserve">18.1 投标人上传电子投标文件的时间不得迟于招标公告中规定的投标截止时间。</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b/>
          <w:color w:val="auto"/>
          <w:szCs w:val="21"/>
          <w:highlight w:val="none"/>
        </w:rPr>
      </w:pPr>
      <w:r/>
      <w:bookmarkStart w:id="22" w:name="_Toc513029227"/>
      <w:r/>
      <w:bookmarkStart w:id="23" w:name="_Toc16938543"/>
      <w:r/>
      <w:bookmarkStart w:id="24" w:name="_Toc20823299"/>
      <w:r>
        <w:rPr>
          <w:rFonts w:hint="eastAsia" w:ascii="宋体" w:hAnsi="宋体"/>
          <w:b/>
          <w:color w:val="auto"/>
          <w:szCs w:val="21"/>
          <w:highlight w:val="none"/>
        </w:rPr>
        <w:t xml:space="preserve">19、投标文件</w:t>
      </w:r>
      <w:bookmarkEnd w:id="22"/>
      <w:r/>
      <w:bookmarkEnd w:id="23"/>
      <w:r/>
      <w:bookmarkEnd w:id="24"/>
      <w:r>
        <w:rPr>
          <w:rFonts w:hint="eastAsia" w:ascii="宋体" w:hAnsi="宋体"/>
          <w:b/>
          <w:color w:val="auto"/>
          <w:szCs w:val="21"/>
          <w:highlight w:val="none"/>
        </w:rPr>
        <w:t xml:space="preserve">的拒收</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19.1代理机构拒绝接收在其规定的投标截止时间后上传的任何投标文件。</w:t>
      </w:r>
      <w:r/>
    </w:p>
    <w:p>
      <w:pPr>
        <w:ind w:firstLine="422"/>
        <w:spacing w:line="360" w:lineRule="auto"/>
        <w:rPr>
          <w:rFonts w:hint="eastAsia" w:ascii="宋体" w:hAnsi="宋体"/>
          <w:b/>
          <w:color w:val="auto"/>
          <w:szCs w:val="21"/>
          <w:highlight w:val="none"/>
        </w:rPr>
      </w:pPr>
      <w:r/>
      <w:bookmarkStart w:id="25" w:name="_Toc16938544"/>
      <w:r/>
      <w:bookmarkStart w:id="26" w:name="_Toc513029228"/>
      <w:r/>
      <w:bookmarkStart w:id="27" w:name="_Toc20823300"/>
      <w:r>
        <w:rPr>
          <w:rFonts w:hint="eastAsia" w:ascii="宋体" w:hAnsi="宋体"/>
          <w:b/>
          <w:color w:val="auto"/>
          <w:szCs w:val="21"/>
          <w:highlight w:val="none"/>
        </w:rPr>
        <w:t xml:space="preserve">20、投标文件的撤回和修改</w:t>
      </w:r>
      <w:bookmarkEnd w:id="25"/>
      <w:r/>
      <w:bookmarkEnd w:id="26"/>
      <w:r/>
      <w:bookmarkEnd w:id="27"/>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20.1 投标文件的撤回</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20.1.1 电子投标文件的撤回</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投标人可在投标截止时间前，撤回其电子投标文件，具体操作方法见《操作手册》。</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20.1.2 投标人撤回电子投标文件，则认为其不再参与本项目投标活动。</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20.2 投标文件的修改</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投标人可在投标截止时间前，对其电子投标文件进行修改，具体操作方法见《操作手册》。</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20.3 在投标截止时间之后，投标人不得对其电子投标文件作任何修改。</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20.4 在投标截止时间至招标文件中规定的投标有效期满之间的这段时间内，投标人不得撤回其投标。</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21、开标</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21.2投标人不足3家的，不得开标。</w:t>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    </w:t>
      </w:r>
      <w:r>
        <w:rPr>
          <w:rFonts w:hint="eastAsia" w:ascii="宋体" w:hAnsi="宋体"/>
          <w:b/>
          <w:color w:val="auto"/>
          <w:szCs w:val="21"/>
          <w:highlight w:val="none"/>
        </w:rPr>
        <w:t xml:space="preserve">21.3开标仪式由代理机构主持。“政府采购管理交易系统（苏采云）”将自动对项目进行开标，并宣读各投标人的《开标一览表》。</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21.4投标人在开标过程中涉及到的投标文件解密、开标结果确认等工作，应按照《操作手册》规定执行。</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22、评标委员会</w:t>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    22.1 开标后，代理机构将立即组织评标委员会（以下简称评委会）进行评标。</w:t>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    22.2 评委会由采购人代表和有关技术、经济等方面的专家组成，且人员构成符合政府采购有关规定。</w:t>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    22.3评委会独立工作，负责评审所有投标文件并确定中标候选人。</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23、评标过程的保密与公正</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23.3 在评标期间，代理机构将设专门工作人员与投标人联系。</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23.4 代理机构和评委会不向未中标的投标人解释未中标原因，也不公布评标过程中的相关细节。</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24、投标的澄清</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    24.3 接到评委会澄清要求的投标人如未按规定做出澄清，其风险由投标人自行承担。</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25、对投标文件的初审</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25.1投标文件初审分为资格审查和符合性审查。</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25.1.1资格审查：依据法律法规和招标文件的规定，对投标文件中的资格证明文件进行审查。并将审查结论以书面形式向评委会反馈。</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（1）投标文件中开标一览表内容与投标文件中相应内容不一致的，以开标一览表为准。</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（2）大写金额与小写金额不一致的，以大写金额为准。</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（4）总价金额与按单价汇总金额不一致的，以单价金额计算结果为准。</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同时出现两种以上错误的，按照前款规定的顺序修正。</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jc w:val="left"/>
        <w:spacing w:line="360" w:lineRule="auto"/>
        <w:rPr>
          <w:rFonts w:hint="eastAsia" w:ascii="宋体" w:hAnsi="宋体"/>
          <w:color w:val="auto"/>
          <w:highlight w:val="none"/>
        </w:rPr>
      </w:pPr>
      <w:r>
        <w:rPr>
          <w:rFonts w:hint="eastAsia" w:ascii="宋体" w:hAnsi="宋体"/>
          <w:color w:val="auto"/>
          <w:highlight w:val="none"/>
        </w:rPr>
        <w:t xml:space="preserve">25.7 投标人在开、评标全过程中应保持通讯畅通，并安排专人与代理机构及评委会联系。</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26、无效投标、废标及投标人不足三家的处理</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26.1无效投标条款</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26.1.1 投标人未成功解密电子投标文件的。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26.1.2 投标人未按照招标文件要求上传电子投标文件的。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26.1.3投标人在报价时采用选择性报价的。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26.1.4投标人不具备招标文件中规定资格要求的。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26.1.5投标人的报价超过了采购预算或最高限价的。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26.1.6未通过符合性审查的。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26.1.7不符合招标文件中规定的其他实质性要求和条件的（</w:t>
      </w:r>
      <w:r>
        <w:rPr>
          <w:rFonts w:hint="eastAsia" w:ascii="宋体" w:hAnsi="宋体"/>
          <w:bCs/>
          <w:i/>
          <w:iCs/>
          <w:color w:val="auto"/>
          <w:szCs w:val="21"/>
          <w:highlight w:val="none"/>
          <w:u w:val="single"/>
        </w:rPr>
        <w:t xml:space="preserve">本招标文件中斜体且有下划线部分为实质性要求和条件</w:t>
      </w:r>
      <w:r>
        <w:rPr>
          <w:rFonts w:hint="eastAsia" w:ascii="宋体" w:hAnsi="宋体"/>
          <w:bCs/>
          <w:color w:val="auto"/>
          <w:szCs w:val="21"/>
          <w:highlight w:val="none"/>
        </w:rPr>
        <w:t xml:space="preserve">）。</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26.1.9  投标文件含有采购人不能接受的附加条件的。</w:t>
      </w:r>
      <w:r/>
    </w:p>
    <w:p>
      <w:pPr>
        <w:ind w:firstLine="420"/>
        <w:spacing w:line="360" w:lineRule="auto"/>
        <w:rPr>
          <w:color w:val="auto"/>
          <w:highlight w:val="none"/>
        </w:rPr>
      </w:pPr>
      <w:r>
        <w:rPr>
          <w:rFonts w:hint="eastAsia" w:ascii="宋体" w:hAnsi="宋体"/>
          <w:bCs/>
          <w:color w:val="auto"/>
          <w:szCs w:val="21"/>
          <w:highlight w:val="none"/>
        </w:rPr>
        <w:t xml:space="preserve">26.1.10 异常低价投标（响应）</w:t>
      </w:r>
      <w:r/>
    </w:p>
    <w:p>
      <w:pPr>
        <w:ind w:firstLine="420"/>
        <w:spacing w:line="360" w:lineRule="auto"/>
        <w:rPr>
          <w:color w:val="auto"/>
          <w:highlight w:val="none"/>
        </w:rPr>
      </w:pPr>
      <w:r>
        <w:rPr>
          <w:rFonts w:hint="eastAsia" w:ascii="宋体" w:hAnsi="宋体"/>
          <w:bCs/>
          <w:color w:val="auto"/>
          <w:szCs w:val="21"/>
          <w:highlight w:val="none"/>
        </w:rPr>
        <w:t xml:space="preserve">26.1.10.1 投标（响应）报价低于采购项目预算50%的，即投标（响应）报价&lt;采购项目预算×50%；</w:t>
      </w:r>
      <w:r/>
    </w:p>
    <w:p>
      <w:pPr>
        <w:ind w:firstLine="420"/>
        <w:spacing w:line="360" w:lineRule="auto"/>
        <w:rPr>
          <w:color w:val="auto"/>
          <w:highlight w:val="none"/>
        </w:rPr>
      </w:pPr>
      <w:r>
        <w:rPr>
          <w:rFonts w:hint="eastAsia" w:ascii="宋体" w:hAnsi="宋体"/>
          <w:bCs/>
          <w:color w:val="auto"/>
          <w:szCs w:val="21"/>
          <w:highlight w:val="none"/>
        </w:rPr>
        <w:t xml:space="preserve">26.1.10.2 投标（响应）报价低于采购项目最高限价45%的，即投标（响应）报价&lt;采购项目最高限价×45%；</w:t>
      </w:r>
      <w:r/>
    </w:p>
    <w:p>
      <w:pPr>
        <w:ind w:firstLine="420"/>
        <w:spacing w:line="360" w:lineRule="auto"/>
        <w:rPr>
          <w:color w:val="auto"/>
          <w:highlight w:val="none"/>
        </w:rPr>
      </w:pPr>
      <w:r>
        <w:rPr>
          <w:rFonts w:hint="eastAsia" w:ascii="宋体" w:hAnsi="宋体"/>
          <w:bCs/>
          <w:color w:val="auto"/>
          <w:szCs w:val="21"/>
          <w:highlight w:val="none"/>
        </w:rPr>
        <w:t xml:space="preserve">26.1.10.3 评审委员会认定的供应商报价过低、有可能影响产品质量或者不能诚信履约的其他情形。</w:t>
      </w:r>
      <w:r/>
    </w:p>
    <w:p>
      <w:pPr>
        <w:ind w:firstLine="420"/>
        <w:spacing w:line="360" w:lineRule="auto"/>
        <w:rPr>
          <w:rFonts w:hint="eastAsia" w:ascii="宋体" w:hAnsi="宋体"/>
          <w:color w:val="auto"/>
          <w:highlight w:val="none"/>
        </w:rPr>
      </w:pPr>
      <w:r>
        <w:rPr>
          <w:rFonts w:hint="eastAsia" w:ascii="宋体" w:hAnsi="宋体"/>
          <w:bCs/>
          <w:color w:val="auto"/>
          <w:szCs w:val="21"/>
          <w:highlight w:val="none"/>
        </w:rPr>
        <w:t xml:space="preserve">26.1.10.4 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26.1.12 投标文件未按照招标文件要求加盖电子签章。</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26.1.13其他法律、法规及本招标文件规定的属无效投标的情形。</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26.2废标条款：</w:t>
      </w:r>
      <w:r/>
    </w:p>
    <w:p>
      <w:pPr>
        <w:ind w:left="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26.2.1符合专业条件的供应商或者对招标文件作实质响应的供应商不足三家的。26.2.2出现影响采购公正的违法、违规行为的。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26.2.3因重大变故，采购任务取消的。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26.2.4评委会认定招标文件存在歧义、重大缺陷导致评审工作无法进行。</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26.3 投标截止时间结束后参加投标的供应商不足三家的处理：</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27、确定中标单位</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27.1评委会根据本招标文件规定评标方法与评标标准向采购人推荐出中标候选人。</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27.2 采购人应根据评委会推荐的中标候选人确定中标人。</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27.3代理机构将在“扬州市政府采购网”、“江苏省政府采购网”、“中国政府采购网”发布中标公告，公告期限为1个工作日。</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27.4若有充分证据证明，中标人出现下列情况之一的，一经查实，将被取消中标资格：</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27.4.1提供虚假材料谋取中标的；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27.4.2向采购人、代理机构行贿或者提供其他不正当利益的；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27.4.3恶意竞争，投标总报价明显低于其自身合理成本且又无法提供证明的；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27.4.4属于本文件规定的无效条件，但在评标过程中又未被评委会发现的；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27.4.5与采购人或者其他投标人恶意串通的；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27.4.6采取不正当手段诋毁、排挤其他供应商的；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27.4.7不符合法律、法规的规定的。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27.5. 有下列情形之一的，视为投标人串通投标，投标无效：</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27.5.1不同投标人的投标文件由同一单位或者个人编制。</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27.5.2不同投标人委托同一单位或者个人办理投标事宜。</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27.5.3 不同投标人的投标文件载明的项目管理成员或者联系人员为同一人。</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27.5.4不同投标人的投标文件异常一致或者投标报价呈规律性差异。</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27.5.5不同投标人的投标文件相互混装。</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28、质疑处理</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对项目需求部分的质疑，潜在供应商应向采购人提出，由采购人负责答复。</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28.2.1对采购文件提出质疑的，应当在获取采购文件之日或者采购文件公告期限届满之日起7个工作日内提出。</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28.2.2对采购过程提出质疑的，为各采购程序环节结束之日起7个工作日内提出。</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28.2.3对中标结果提出质疑的，为中标结果公告期限届满之日起7个工作日内提出。</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28.5 代理机构及采购人只接收以纸质原件形式送达的质疑。</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采购人质疑接收人及联系方式见招标文件第一章。</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28.7质疑人应当在法定质疑期限内进行补正并重新提交质疑函。</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28.8 以下情形的质疑不予受理</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28.8.1 内容不符合《政府采购质疑和投诉办法》第十二条规定的质疑。</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28.8.2 超出政府采购法定期限的质疑。</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28.8.3 以传真、电子邮件等方式递交的非原件形式的质疑。</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28.8.4 未参加投标活动的供应商或在投标活动中自身权益未受到损害的供应商所提出的质疑。</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28.8.5供应商组成联合体参加投标，联合体中任何一方或多方未按要求签字、盖章、加盖公章的质疑。</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29、中标通知书</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29.l 中标结果确定后，代理机构将向中标人发出中标通知书。</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29.2 中标人可在“政府采购管理交易系统（苏采云）”中标通知书下载模块中自行下载中标通知书。</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30、 签订合同</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30.l中标人应在中标通知书发出之日起三十日内，按照招标文件确定的事项与采购人签订政府采购合同。</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30.2 招标文件、中标人的投标文件及招标过程中有关澄清、承诺文件均应作为合同附件。</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30.3 合同在“政府采购管理交易系统（苏采云）”中签订，签订合同后，</w:t>
      </w:r>
      <w:r>
        <w:rPr>
          <w:rFonts w:hint="eastAsia" w:ascii="宋体" w:hAnsi="宋体"/>
          <w:bCs/>
          <w:i/>
          <w:iCs/>
          <w:color w:val="auto"/>
          <w:szCs w:val="21"/>
          <w:highlight w:val="none"/>
          <w:u w:val="single"/>
        </w:rPr>
        <w:t xml:space="preserve">中标人不得将货物或服务及其他服务进行转包</w:t>
      </w:r>
      <w:r>
        <w:rPr>
          <w:rFonts w:hint="eastAsia" w:ascii="宋体" w:hAnsi="宋体"/>
          <w:bCs/>
          <w:color w:val="auto"/>
          <w:szCs w:val="21"/>
          <w:highlight w:val="none"/>
        </w:rPr>
        <w:t xml:space="preserve">。未经采购人同意，中标人也不得采用分包的形式履行合同，否则采购人有权终止合同。转包或分包造成采购人损失的，中标人应承担赔偿责任。</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31、其他</w:t>
      </w:r>
      <w:r/>
    </w:p>
    <w:p>
      <w:pPr>
        <w:ind w:firstLine="420"/>
        <w:spacing w:line="360" w:lineRule="auto"/>
        <w:rPr>
          <w:rFonts w:hint="eastAsia" w:ascii="宋体" w:hAnsi="宋体" w:cs="宋体"/>
          <w:bCs/>
          <w:color w:val="auto"/>
          <w:szCs w:val="21"/>
          <w:highlight w:val="none"/>
        </w:rPr>
      </w:pPr>
      <w:r>
        <w:rPr>
          <w:rFonts w:hint="eastAsia" w:ascii="宋体" w:hAnsi="宋体" w:cs="宋体"/>
          <w:color w:val="auto"/>
          <w:highlight w:val="none"/>
        </w:rPr>
        <w:t xml:space="preserve">31.1 依据《政府采购促进中小企业发展管理办法》享受扶持政策获得政府采购合同的，小微企业不得将合同分包给大中型企业，中型企业不得将合同分包给大型企业。</w:t>
      </w:r>
      <w:r/>
    </w:p>
    <w:p>
      <w:pPr>
        <w:pStyle w:val="763"/>
        <w:jc w:val="center"/>
        <w:rPr>
          <w:rFonts w:hint="eastAsia" w:ascii="宋体" w:hAnsi="宋体" w:cs="宋体"/>
          <w:color w:val="auto"/>
          <w:sz w:val="36"/>
          <w:highlight w:val="none"/>
        </w:rPr>
      </w:pPr>
      <w:r>
        <w:rPr>
          <w:rFonts w:hint="eastAsia" w:ascii="宋体" w:hAnsi="宋体" w:cs="宋体"/>
          <w:color w:val="auto"/>
          <w:sz w:val="36"/>
          <w:highlight w:val="none"/>
        </w:rPr>
        <w:br w:type="page" w:clear="all"/>
      </w:r>
      <w:r>
        <w:rPr>
          <w:rFonts w:hint="eastAsia" w:ascii="宋体" w:hAnsi="宋体" w:cs="宋体"/>
          <w:color w:val="auto"/>
          <w:sz w:val="36"/>
          <w:highlight w:val="none"/>
        </w:rPr>
        <w:t xml:space="preserve">第三章 合同条款及格式</w:t>
      </w:r>
      <w:bookmarkEnd w:id="14"/>
      <w:r/>
      <w:r/>
    </w:p>
    <w:p>
      <w:pPr>
        <w:pStyle w:val="785"/>
        <w:ind w:firstLine="420"/>
        <w:spacing w:line="360" w:lineRule="auto"/>
        <w:rPr>
          <w:rFonts w:hint="eastAsia" w:hAnsi="宋体" w:cs="宋体"/>
          <w:color w:val="auto"/>
          <w:sz w:val="21"/>
          <w:highlight w:val="none"/>
        </w:rPr>
      </w:pPr>
      <w:r/>
      <w:bookmarkStart w:id="28" w:name="_Hlt16619369"/>
      <w:r/>
      <w:bookmarkEnd w:id="28"/>
      <w:r>
        <w:rPr>
          <w:rFonts w:hint="eastAsia" w:hAnsi="宋体" w:cs="宋体"/>
          <w:color w:val="auto"/>
          <w:sz w:val="21"/>
          <w:highlight w:val="none"/>
        </w:rPr>
        <w:t xml:space="preserve">以下为中标后签定本项目合同的通用条款，中标供应商不得提出实质性的修改。关于专用条款将由采购人与中标供应商结合本项目具体情况协商后补充，但补充内容对招标文件和投标文件以及通用条款，不得作实质性修改。</w:t>
      </w:r>
      <w:r/>
    </w:p>
    <w:p>
      <w:pPr>
        <w:pStyle w:val="785"/>
        <w:rPr>
          <w:rFonts w:hint="eastAsia" w:hAnsi="宋体" w:cs="宋体"/>
          <w:color w:val="auto"/>
          <w:highlight w:val="none"/>
        </w:rPr>
      </w:pPr>
      <w:r>
        <w:rPr>
          <w:rFonts w:hint="eastAsia" w:hAnsi="宋体" w:cs="宋体"/>
          <w:color w:val="auto"/>
          <w:highlight w:val="none"/>
        </w:rPr>
      </w:r>
      <w:r/>
    </w:p>
    <w:p>
      <w:pPr>
        <w:pStyle w:val="785"/>
        <w:ind w:firstLine="422"/>
        <w:jc w:val="center"/>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扬州市政府采购合同</w:t>
      </w:r>
      <w:r>
        <w:rPr>
          <w:rFonts w:hAnsi="宋体"/>
          <w:b/>
          <w:bCs/>
          <w:color w:val="auto"/>
          <w:sz w:val="21"/>
          <w:highlight w:val="none"/>
        </w:rPr>
        <w:t xml:space="preserve"> </w:t>
      </w:r>
      <w:r/>
    </w:p>
    <w:p>
      <w:pPr>
        <w:pStyle w:val="785"/>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项目名称：</w:t>
      </w:r>
      <w:r>
        <w:rPr>
          <w:rFonts w:hint="eastAsia" w:hAnsi="宋体" w:cs="宋体"/>
          <w:color w:val="auto"/>
          <w:sz w:val="21"/>
          <w:highlight w:val="none"/>
          <w:lang w:eastAsia="zh-CN"/>
        </w:rPr>
        <w:t xml:space="preserve">扬州市中医院新院区医疗辅助配套设施项目</w:t>
      </w:r>
      <w:r>
        <w:rPr>
          <w:rFonts w:hint="eastAsia" w:hAnsi="宋体" w:cs="宋体"/>
          <w:color w:val="auto"/>
          <w:sz w:val="21"/>
          <w:highlight w:val="none"/>
        </w:rPr>
        <w:t xml:space="preserve">                       </w:t>
      </w:r>
      <w:r/>
    </w:p>
    <w:p>
      <w:pPr>
        <w:pStyle w:val="785"/>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编号：</w:t>
      </w:r>
      <w:r>
        <w:rPr>
          <w:rFonts w:hint="eastAsia" w:hAnsi="宋体" w:cs="宋体"/>
          <w:color w:val="auto"/>
          <w:highlight w:val="none"/>
          <w:lang w:eastAsia="zh-CN"/>
        </w:rPr>
        <w:t xml:space="preserve">JSZC-321000-JSWC-G2026-0004</w:t>
      </w:r>
      <w:r>
        <w:rPr>
          <w:rFonts w:hint="eastAsia" w:hAnsi="宋体" w:cs="宋体"/>
          <w:color w:val="auto"/>
          <w:sz w:val="21"/>
          <w:highlight w:val="none"/>
        </w:rPr>
        <w:t xml:space="preserve">号</w:t>
      </w:r>
      <w:r/>
    </w:p>
    <w:p>
      <w:pPr>
        <w:pStyle w:val="785"/>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甲方（采购人/买方）：</w:t>
      </w:r>
      <w:r>
        <w:rPr>
          <w:rFonts w:hint="eastAsia" w:hAnsi="宋体" w:cs="宋体"/>
          <w:color w:val="auto"/>
          <w:sz w:val="21"/>
          <w:highlight w:val="none"/>
          <w:lang w:eastAsia="zh-CN"/>
        </w:rPr>
        <w:t xml:space="preserve">扬州市中医院</w:t>
      </w:r>
      <w:r>
        <w:rPr>
          <w:rFonts w:hint="eastAsia" w:hAnsi="宋体" w:cs="宋体"/>
          <w:color w:val="auto"/>
          <w:sz w:val="21"/>
          <w:highlight w:val="none"/>
        </w:rPr>
        <w:t xml:space="preserve">       </w:t>
      </w:r>
      <w:r/>
    </w:p>
    <w:p>
      <w:pPr>
        <w:pStyle w:val="785"/>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乙方（供应商/卖方）：</w:t>
      </w:r>
      <w:r>
        <w:rPr>
          <w:rFonts w:hint="eastAsia" w:hAnsi="宋体" w:cs="宋体"/>
          <w:color w:val="auto"/>
          <w:sz w:val="21"/>
          <w:highlight w:val="none"/>
          <w:u w:val="single"/>
        </w:rPr>
        <w:t xml:space="preserve">                              </w:t>
      </w:r>
      <w:r/>
    </w:p>
    <w:p>
      <w:pPr>
        <w:pStyle w:val="785"/>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见证方：江苏唯诚建设咨询有限公司</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根据《中华人民共和国政府采购法》、《中华人民共和国民法典》等法律法规的规定，甲乙双方按照江苏唯诚建设咨询有限公司关于本项目招标结果签订本合同。</w:t>
      </w:r>
      <w:r/>
    </w:p>
    <w:p>
      <w:pPr>
        <w:pStyle w:val="785"/>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1、合同标的</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乙方根据甲方需求，提供下列货物：</w:t>
      </w:r>
      <w:r>
        <w:rPr>
          <w:rFonts w:hint="eastAsia" w:hAnsi="宋体" w:cs="宋体"/>
          <w:color w:val="auto"/>
          <w:sz w:val="21"/>
          <w:highlight w:val="none"/>
          <w:u w:val="single"/>
        </w:rPr>
        <w:t xml:space="preserve">                      </w:t>
      </w:r>
      <w:r>
        <w:rPr>
          <w:rFonts w:hint="eastAsia" w:hAnsi="宋体" w:cs="宋体"/>
          <w:color w:val="auto"/>
          <w:sz w:val="21"/>
          <w:highlight w:val="none"/>
        </w:rPr>
        <w:t xml:space="preserve">。</w:t>
      </w:r>
      <w:r/>
    </w:p>
    <w:p>
      <w:pPr>
        <w:pStyle w:val="785"/>
        <w:ind w:firstLine="420"/>
        <w:spacing w:before="120" w:after="120" w:line="360" w:lineRule="auto"/>
        <w:rPr>
          <w:rFonts w:hint="eastAsia" w:hAnsi="宋体" w:cs="宋体"/>
          <w:b/>
          <w:color w:val="auto"/>
          <w:sz w:val="21"/>
          <w:highlight w:val="none"/>
        </w:rPr>
      </w:pPr>
      <w:r>
        <w:rPr>
          <w:rFonts w:hint="eastAsia" w:hAnsi="宋体" w:cs="宋体"/>
          <w:color w:val="auto"/>
          <w:sz w:val="21"/>
          <w:highlight w:val="none"/>
        </w:rPr>
        <w:t xml:space="preserve">货物名称、规格及数量等要求详见招投标文件。</w:t>
      </w:r>
      <w:r/>
    </w:p>
    <w:p>
      <w:pPr>
        <w:pStyle w:val="785"/>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2、合同总金额</w:t>
      </w:r>
      <w:r/>
    </w:p>
    <w:p>
      <w:pPr>
        <w:pStyle w:val="785"/>
        <w:ind w:left="315" w:firstLine="105"/>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2.1 本合同金额为（大写）：__________________元人民币（¥_____元）。</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2.2 本合同总金额包括所乙方提供货物的产品费用、安装费、验收费、维护费用、税金及其他有关的为完成本项目发生的所有费用，招标文件中另有规定的除外。</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2.3 在招标文件未列明，而乙方认为履行本合同必需的费用也包含在合同总金额中。</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2.4 本合同总金额还包含乙方提供的伴随服务/售后服务费用。</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2.5 本合同签订后：甲方需追加与合同标的相同的货物和服务的，在不改变合同其他条款的前提下，可以与乙方协商签订补充合同，但所有补充合同的增加的金额不超过原合同金额的10%；甲方若由于各种客观原因，必须对采购项目所牵涉的货物和服务进行适当的减少时，在与乙方协商一致后，可以按照招标采购时的价格水平做相应的调减，并据此签订补充合同；除上述情况外，本合同执行期间合同总金额不变。</w:t>
      </w:r>
      <w:r/>
    </w:p>
    <w:p>
      <w:pPr>
        <w:pStyle w:val="785"/>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3、组成本合同的有关文件</w:t>
      </w:r>
      <w:r/>
    </w:p>
    <w:p>
      <w:pPr>
        <w:pStyle w:val="785"/>
        <w:ind w:left="315" w:firstLine="105"/>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3.1乙方应按招标文件规定的时间向甲方提供使用货物的有关技术资料。</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3.2 没有甲方事先书面同意，乙方不得将由甲方提供的有关合同或任何合同条文、规格、计划、图纸、样品或资料提供给任何其他人。即使向履行本合同有关的人员提供，也应注意保密并限于履行合同的必需范围。</w:t>
      </w:r>
      <w:r/>
    </w:p>
    <w:p>
      <w:pPr>
        <w:pStyle w:val="785"/>
        <w:ind w:left="315" w:firstLine="105"/>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3.3 关于本项目政府采购的招投标文件或与本次采购活动方式相适应的文件及有关附件是本合同不可分割的组成部分，这些文件包括但不限于：</w:t>
      </w:r>
      <w:r/>
    </w:p>
    <w:p>
      <w:pPr>
        <w:pStyle w:val="785"/>
        <w:ind w:left="359" w:hanging="359"/>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   （1）投标响应文件；               （2）投标产品配置与报价文件；</w:t>
      </w:r>
      <w:r/>
    </w:p>
    <w:p>
      <w:pPr>
        <w:pStyle w:val="785"/>
        <w:ind w:left="359" w:hanging="359"/>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   （3）供货一览表；                 （4）技术参数响应表；</w:t>
      </w:r>
      <w:r/>
    </w:p>
    <w:p>
      <w:pPr>
        <w:pStyle w:val="785"/>
        <w:ind w:left="359" w:hanging="359"/>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   （5）服务承诺；                   （6）中标通知书；</w:t>
      </w:r>
      <w:r/>
    </w:p>
    <w:p>
      <w:pPr>
        <w:pStyle w:val="785"/>
        <w:ind w:left="359" w:hanging="359"/>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   （7）甲乙双方补充协议；           （8）乙方投标时提供的响应文件。</w:t>
      </w:r>
      <w:r/>
    </w:p>
    <w:p>
      <w:pPr>
        <w:pStyle w:val="785"/>
        <w:ind w:left="315" w:firstLine="105"/>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4、知识产权保证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乙方保证甲方在使用、接受本合同货物和服务或其任何一部分时，不受第三方提出侵犯其专利权、版权、商标权和工业设计权等知识产权的起诉。一旦出现侵权，由乙方负全部责任。</w:t>
      </w:r>
      <w:r/>
    </w:p>
    <w:p>
      <w:pPr>
        <w:pStyle w:val="785"/>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5、产权保证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乙方保证所交付的货物的所有权无任何抵押、查封等权利瑕疵。</w:t>
      </w:r>
      <w:r/>
    </w:p>
    <w:p>
      <w:pPr>
        <w:pStyle w:val="785"/>
        <w:ind w:left="315" w:firstLine="105"/>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6、履约保证金</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本项目不收取履约保证金。</w:t>
      </w:r>
      <w:r/>
    </w:p>
    <w:p>
      <w:pPr>
        <w:pStyle w:val="785"/>
        <w:ind w:left="315" w:firstLine="105"/>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7、转包或分包</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7.1 本合同禁止转包，本合同范围的货物，应由乙方直接供应的，不得转让他人供应。</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7.2 经甲方同意，乙方可以依法采取分包方式履行合同，但是分包方式履行的，乙方应就采购项目向甲方负全责。</w:t>
      </w:r>
      <w:r>
        <w:rPr>
          <w:rFonts w:hint="eastAsia" w:hAnsi="宋体" w:cs="宋体"/>
          <w:color w:val="auto"/>
          <w:sz w:val="21"/>
          <w:highlight w:val="none"/>
        </w:rPr>
        <w:tab/>
      </w:r>
      <w:r/>
    </w:p>
    <w:p>
      <w:pPr>
        <w:pStyle w:val="785"/>
        <w:ind w:left="315" w:firstLine="105"/>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8、质保期</w:t>
      </w:r>
      <w:r/>
    </w:p>
    <w:p>
      <w:pPr>
        <w:pStyle w:val="785"/>
        <w:ind w:firstLine="420"/>
        <w:spacing w:before="120" w:after="120" w:line="360" w:lineRule="auto"/>
        <w:rPr>
          <w:rFonts w:hint="eastAsia" w:hAnsi="宋体" w:cs="宋体"/>
          <w:bCs/>
          <w:color w:val="auto"/>
          <w:sz w:val="21"/>
          <w:highlight w:val="none"/>
        </w:rPr>
      </w:pPr>
      <w:r>
        <w:rPr>
          <w:rFonts w:hint="eastAsia" w:hAnsi="宋体" w:cs="宋体"/>
          <w:bCs/>
          <w:color w:val="auto"/>
          <w:sz w:val="21"/>
          <w:highlight w:val="none"/>
        </w:rPr>
        <w:t xml:space="preserve">质保期：</w:t>
      </w:r>
      <w:r>
        <w:rPr>
          <w:rFonts w:hint="eastAsia" w:hAnsi="宋体" w:cs="宋体"/>
          <w:bCs/>
          <w:color w:val="auto"/>
          <w:sz w:val="21"/>
          <w:highlight w:val="none"/>
          <w:u w:val="single"/>
          <w:lang w:val="en-US" w:eastAsia="zh-CN"/>
        </w:rPr>
        <w:t xml:space="preserve">5</w:t>
      </w:r>
      <w:r>
        <w:rPr>
          <w:rFonts w:hint="eastAsia" w:hAnsi="宋体" w:cs="宋体"/>
          <w:bCs/>
          <w:color w:val="auto"/>
          <w:sz w:val="21"/>
          <w:highlight w:val="none"/>
          <w:u w:val="single"/>
        </w:rPr>
        <w:t xml:space="preserve">年</w:t>
      </w:r>
      <w:r>
        <w:rPr>
          <w:rFonts w:hint="eastAsia" w:hAnsi="宋体" w:cs="宋体"/>
          <w:bCs/>
          <w:color w:val="auto"/>
          <w:sz w:val="21"/>
          <w:highlight w:val="none"/>
        </w:rPr>
        <w:t xml:space="preserve">。（自交货验收合格之日起计）。</w:t>
      </w:r>
      <w:r/>
    </w:p>
    <w:p>
      <w:pPr>
        <w:pStyle w:val="785"/>
        <w:ind w:firstLine="420"/>
        <w:spacing w:before="120" w:after="120" w:line="360" w:lineRule="auto"/>
        <w:rPr>
          <w:rFonts w:hint="eastAsia" w:hAnsi="宋体" w:cs="宋体"/>
          <w:b/>
          <w:color w:val="auto"/>
          <w:sz w:val="21"/>
          <w:highlight w:val="none"/>
        </w:rPr>
      </w:pPr>
      <w:r>
        <w:rPr>
          <w:rFonts w:hint="eastAsia" w:hAnsi="宋体" w:cs="宋体"/>
          <w:b/>
          <w:color w:val="auto"/>
          <w:sz w:val="21"/>
          <w:highlight w:val="none"/>
        </w:rPr>
        <w:t xml:space="preserve">9、交货期、交货方式及交货地点</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9.1 交货期：中标后15日内完成合同签订，接到采购人通知后按照实际需求分批发，并在接到通知的30日内完成供货、安装。</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9.2 交货方式：按要求批次完成供货并在指定区域安装到位</w:t>
      </w:r>
      <w:r/>
    </w:p>
    <w:p>
      <w:pPr>
        <w:pStyle w:val="785"/>
        <w:ind w:firstLine="420"/>
        <w:spacing w:before="120" w:after="120" w:line="360" w:lineRule="auto"/>
        <w:rPr>
          <w:rFonts w:hint="eastAsia" w:hAnsi="宋体" w:cs="宋体"/>
          <w:bCs/>
          <w:color w:val="auto"/>
          <w:sz w:val="21"/>
          <w:highlight w:val="none"/>
        </w:rPr>
      </w:pPr>
      <w:r>
        <w:rPr>
          <w:rFonts w:hint="eastAsia" w:hAnsi="宋体" w:cs="宋体"/>
          <w:bCs/>
          <w:color w:val="auto"/>
          <w:sz w:val="21"/>
          <w:highlight w:val="none"/>
        </w:rPr>
        <w:t xml:space="preserve">9.3 交货地点：扬州市中医院新院区（邗江区翠岗路400号），最终地点由采购人指定。</w:t>
      </w:r>
      <w:r/>
    </w:p>
    <w:p>
      <w:pPr>
        <w:pStyle w:val="785"/>
        <w:ind w:firstLine="420"/>
        <w:spacing w:before="120" w:after="120" w:line="360" w:lineRule="auto"/>
        <w:rPr>
          <w:rFonts w:hint="eastAsia" w:hAnsi="宋体" w:cs="宋体"/>
          <w:b/>
          <w:color w:val="auto"/>
          <w:sz w:val="21"/>
          <w:highlight w:val="none"/>
        </w:rPr>
      </w:pPr>
      <w:r>
        <w:rPr>
          <w:rFonts w:hint="eastAsia" w:hAnsi="宋体" w:cs="宋体"/>
          <w:b/>
          <w:color w:val="auto"/>
          <w:sz w:val="21"/>
          <w:highlight w:val="none"/>
        </w:rPr>
        <w:t xml:space="preserve">10、货款支付</w:t>
      </w:r>
      <w:r/>
    </w:p>
    <w:p>
      <w:pPr>
        <w:pStyle w:val="785"/>
        <w:ind w:firstLine="420"/>
        <w:spacing w:before="120" w:after="120" w:line="360" w:lineRule="auto"/>
        <w:rPr>
          <w:rFonts w:hint="eastAsia" w:hAnsi="宋体" w:cs="宋体"/>
          <w:bCs/>
          <w:color w:val="auto"/>
          <w:sz w:val="21"/>
          <w:highlight w:val="none"/>
        </w:rPr>
      </w:pPr>
      <w:r>
        <w:rPr>
          <w:rFonts w:hint="eastAsia" w:hAnsi="宋体" w:cs="宋体"/>
          <w:bCs/>
          <w:color w:val="auto"/>
          <w:sz w:val="21"/>
          <w:highlight w:val="none"/>
        </w:rPr>
        <w:t xml:space="preserve">10.1 本合同项下所有款项均以人民币支付。 </w:t>
      </w:r>
      <w:r/>
    </w:p>
    <w:p>
      <w:pPr>
        <w:pStyle w:val="785"/>
        <w:ind w:firstLine="420"/>
        <w:spacing w:before="120" w:after="120" w:line="360" w:lineRule="auto"/>
        <w:rPr>
          <w:rFonts w:hint="eastAsia" w:hAnsi="宋体" w:cs="宋体"/>
          <w:bCs/>
          <w:color w:val="auto"/>
          <w:sz w:val="21"/>
          <w:highlight w:val="none"/>
        </w:rPr>
      </w:pPr>
      <w:r>
        <w:rPr>
          <w:rFonts w:hint="eastAsia" w:hAnsi="宋体" w:cs="宋体"/>
          <w:bCs/>
          <w:color w:val="auto"/>
          <w:sz w:val="21"/>
          <w:highlight w:val="none"/>
        </w:rPr>
        <w:t xml:space="preserve">10.2 本合同项下的采购资金由甲方支付，付款前乙方向甲方开具发票。</w:t>
      </w:r>
      <w:r/>
    </w:p>
    <w:p>
      <w:pPr>
        <w:pStyle w:val="785"/>
        <w:ind w:firstLine="420"/>
        <w:spacing w:before="120" w:after="120" w:line="360" w:lineRule="auto"/>
        <w:rPr>
          <w:rFonts w:hint="eastAsia" w:ascii="宋体" w:hAnsi="宋体" w:eastAsia="宋体" w:cs="宋体"/>
          <w:b w:val="0"/>
          <w:bCs w:val="0"/>
          <w:color w:val="auto"/>
          <w:highlight w:val="none"/>
        </w:rPr>
      </w:pPr>
      <w:r>
        <w:rPr>
          <w:rFonts w:hint="eastAsia" w:hAnsi="宋体" w:cs="宋体"/>
          <w:bCs/>
          <w:color w:val="auto"/>
          <w:sz w:val="21"/>
          <w:highlight w:val="none"/>
        </w:rPr>
        <w:t xml:space="preserve">10.3 付款方式：</w:t>
      </w:r>
      <w:r>
        <w:rPr>
          <w:rFonts w:hint="eastAsia" w:ascii="宋体" w:hAnsi="宋体" w:eastAsia="宋体" w:cs="宋体"/>
          <w:b w:val="0"/>
          <w:bCs w:val="0"/>
          <w:color w:val="auto"/>
          <w:sz w:val="21"/>
          <w:szCs w:val="22"/>
          <w:highlight w:val="none"/>
        </w:rPr>
        <w:t xml:space="preserve">鉴于为采购人新院区项目，合同签订完成，并接采购人通知后，中标人按照实际需求分批安排发货事宜，并应在约定时间内完成供货。已接到发货通知设备，在收到中标人发票后10个工作日内采购人支付合同总额的30%;货到验收合格，收到中标人发票后10个工作日内采购人支付合同总额的60%，验收合格满一年，收到中标人发票后10个工作日内采购人付清剩余10%。</w:t>
      </w:r>
      <w:r/>
    </w:p>
    <w:p>
      <w:pPr>
        <w:pStyle w:val="785"/>
        <w:ind w:left="315" w:firstLine="105"/>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11、税费</w:t>
      </w:r>
      <w:r/>
    </w:p>
    <w:p>
      <w:pPr>
        <w:pStyle w:val="785"/>
        <w:ind w:firstLine="420"/>
        <w:spacing w:before="120" w:after="120" w:line="360" w:lineRule="auto"/>
        <w:rPr>
          <w:rFonts w:hint="eastAsia" w:hAnsi="宋体" w:cs="宋体"/>
          <w:b/>
          <w:bCs/>
          <w:color w:val="auto"/>
          <w:sz w:val="21"/>
          <w:highlight w:val="none"/>
        </w:rPr>
      </w:pPr>
      <w:r>
        <w:rPr>
          <w:rFonts w:hint="eastAsia" w:hAnsi="宋体" w:cs="宋体"/>
          <w:color w:val="auto"/>
          <w:sz w:val="21"/>
          <w:highlight w:val="none"/>
        </w:rPr>
        <w:t xml:space="preserve">本合同执行中相关的一切税费均由乙方负担。</w:t>
      </w:r>
      <w:r/>
    </w:p>
    <w:p>
      <w:pPr>
        <w:pStyle w:val="785"/>
        <w:ind w:left="315" w:firstLine="105"/>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12、质量保证及售后服务</w:t>
      </w:r>
      <w:r/>
    </w:p>
    <w:p>
      <w:pPr>
        <w:ind w:firstLine="420"/>
        <w:spacing w:before="156" w:after="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12.1 乙方应按招标文件规定及响应文件承诺的货物性能、技术要求、质量标准向甲方提供未经使用的全新产品；若技术性能无特殊说明，则按国家有关部门最新颁布的标准及规范为准。</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12.2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12.3 乙方提供的货物在质保期内因货物本身的质量问题发生故障，乙方应负责免费更换。对达不到技术要求者，根据实际情况，经双方协商，可按以下办法处理：</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⑴更换：由乙方承担所发生的全部费用。</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⑵贬值处理：由甲乙双方合议定价。</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⑶退货处理：乙方应退还甲方支付的合同款，同时应承担该货物的直接费用（运输、保险、检验、货款利息及银行手续费等）。</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12.4 如在使用过程中发生质量问题，乙方在接到甲方通知后在24小时内到达甲方现场，48小时内完成维修。</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12.5 在质保期内，乙方应对货物出现的质量及安全问题负责处理解决并承担一切费用。</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12.6上述的货物免费保修期为</w:t>
      </w:r>
      <w:r>
        <w:rPr>
          <w:rFonts w:hint="eastAsia" w:hAnsi="宋体" w:cs="宋体"/>
          <w:color w:val="auto"/>
          <w:sz w:val="21"/>
          <w:highlight w:val="none"/>
          <w:u w:val="single"/>
        </w:rPr>
        <w:t xml:space="preserve">    </w:t>
      </w:r>
      <w:r>
        <w:rPr>
          <w:rFonts w:hint="eastAsia" w:hAnsi="宋体" w:cs="宋体"/>
          <w:color w:val="auto"/>
          <w:sz w:val="21"/>
          <w:highlight w:val="none"/>
        </w:rPr>
        <w:t xml:space="preserve">年，因人为因素出现的故障不在免费保修范围内。超过保修期的机器设备，终生维修，维修时只收部件成本费。</w:t>
      </w:r>
      <w:r/>
    </w:p>
    <w:p>
      <w:pPr>
        <w:pStyle w:val="785"/>
        <w:ind w:left="315" w:firstLine="105"/>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13、交货、调试和验收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13.1乙方应当在合同生效后</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3</w:t>
      </w:r>
      <w:r>
        <w:rPr>
          <w:rFonts w:hint="eastAsia" w:ascii="宋体" w:hAnsi="宋体" w:cs="宋体"/>
          <w:color w:val="auto"/>
          <w:szCs w:val="21"/>
          <w:highlight w:val="none"/>
          <w:u w:val="single"/>
        </w:rPr>
        <w:t xml:space="preserve">0 </w:t>
      </w:r>
      <w:r>
        <w:rPr>
          <w:rFonts w:hint="eastAsia" w:ascii="宋体" w:hAnsi="宋体" w:cs="宋体"/>
          <w:color w:val="auto"/>
          <w:szCs w:val="21"/>
          <w:highlight w:val="none"/>
        </w:rPr>
        <w:t xml:space="preserve">天内将货物交付甲方，地点由甲方指定，招标文件有约定的，从其约定。在发货前，乙方应对产品作出全面检查和对验收文件进行整理，并列出清单，作为甲方初步验收的技术条件依据。甲方对乙方提交的货物依据招标文件上的技术规格要求和国家有关质量标准进行现场初步验收，外观、说明书、包装需符合招标文件技术要求。检验的结果应随货物交甲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13.2 货到甲方后，甲、乙双方须在</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工作日内初验收，</w:t>
      </w:r>
      <w:r>
        <w:rPr>
          <w:rFonts w:hint="eastAsia" w:ascii="宋体" w:hAnsi="宋体" w:cs="宋体"/>
          <w:color w:val="auto"/>
          <w:highlight w:val="none"/>
        </w:rPr>
        <w:t xml:space="preserve">乙方按照招标文件要求负责</w:t>
      </w:r>
      <w:r>
        <w:rPr>
          <w:rFonts w:hint="eastAsia" w:ascii="宋体" w:hAnsi="宋体" w:cs="宋体"/>
          <w:bCs/>
          <w:color w:val="auto"/>
          <w:highlight w:val="none"/>
        </w:rPr>
        <w:t xml:space="preserve">系统集成、联通完毕</w:t>
      </w:r>
      <w:r>
        <w:rPr>
          <w:rFonts w:hint="eastAsia" w:ascii="宋体" w:hAnsi="宋体" w:cs="宋体"/>
          <w:color w:val="auto"/>
          <w:highlight w:val="none"/>
        </w:rPr>
        <w:t xml:space="preserve">并培训甲方的使用操作人员，乙方在甲方使用前进行调试，调试直到符合技术要求的甲方才做最终验收</w:t>
      </w:r>
      <w:r>
        <w:rPr>
          <w:rFonts w:hint="eastAsia" w:ascii="宋体" w:hAnsi="宋体" w:cs="宋体"/>
          <w:color w:val="auto"/>
          <w:szCs w:val="21"/>
          <w:highlight w:val="none"/>
        </w:rPr>
        <w:t xml:space="preserve">，初步验收不合格的不予签收。</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13.3对技术复杂的货物，甲方可请国家认可的专业检测机构参与初步验收及最终验收，并由其出具质量检测报告。验收时乙方必须在现场，验收完毕后作出验收结果报告；若聘请第三方中立机构验收，验收费用由甲乙双方协商解决。</w:t>
      </w:r>
      <w:r/>
    </w:p>
    <w:p>
      <w:pPr>
        <w:ind w:firstLine="420"/>
        <w:spacing w:line="360" w:lineRule="auto"/>
        <w:rPr>
          <w:rFonts w:hint="eastAsia" w:ascii="宋体" w:hAnsi="宋体" w:cs="宋体"/>
          <w:color w:val="auto"/>
          <w:sz w:val="18"/>
          <w:szCs w:val="18"/>
          <w:highlight w:val="none"/>
        </w:rPr>
      </w:pPr>
      <w:r>
        <w:rPr>
          <w:rFonts w:hint="eastAsia" w:ascii="宋体" w:hAnsi="宋体" w:cs="宋体"/>
          <w:color w:val="auto"/>
          <w:szCs w:val="21"/>
          <w:highlight w:val="none"/>
        </w:rPr>
        <w:t xml:space="preserve">13.4 甲乙双方关于调试和验收的其他约定：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785"/>
        <w:ind w:left="315" w:firstLine="105"/>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14、货物包装、发运及运输</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14.1 乙方应在货物发运前对其进行满足运输距离、防潮、防震、防锈和防破损装卸等要求包装，以保证货物安全运达甲方指定地点。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14.2 乙方发货时，产品使用说明书、检验证明书、随配附件和工具以及清单一并附于货物内。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14.3 乙方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14.4 货物在交付甲方前发生的风险均由乙方负责。</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14.5 货物在规定的交付期限内由乙方送达甲方指定的地点，经初步验收即视为货物交付。</w:t>
      </w:r>
      <w:r/>
    </w:p>
    <w:p>
      <w:pPr>
        <w:pStyle w:val="785"/>
        <w:ind w:left="315" w:firstLine="105"/>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15、违约责任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15.1 甲方无正当理由拒绝初验收和终验收货物的，甲方应按未付货款金额每日万分之五向乙方支付违约金。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15.2 甲方无故逾期验收和无故逾期办理货款支付手续的,甲方应按逾期付款金额每日万分之五向乙方支付违约金。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15.3乙方违约，在消除违约情形前，应按货款总额每日万分之五向甲方支付违约金，甲方可以从待付货款中扣除。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15.4乙方因逾期交货或因其他违约行为，导致甲方解除合同的，乙方应向甲方支付合同总值5%的违约金，如造成甲方损失超过违约金的，超出部分由乙方继续承担赔偿责任。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15.5 乙方所交的货物全部或部分品种、型号、规格、技术参数、质量不符合合同规定及招标文件规定标准的，乙方更换货物但逾期交货的（甲方拒绝接受的除外），按乙方逾期交货处理；乙方拒绝更换货物的，甲方可选择解除本合同或本合同的一部分，并可追究乙方的其他违约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15.6合同生效后，发现乙方投标属虚假承诺，或经权威部门监测提供的货物不能满足招标文件要求，造成合同无法继续履行的，乙方履约保证金不予退还外，还应向甲方支付不少于合同总价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赔偿金。</w:t>
      </w:r>
      <w:r/>
    </w:p>
    <w:p>
      <w:pPr>
        <w:pStyle w:val="785"/>
        <w:ind w:left="315" w:firstLine="105"/>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16、不可抗力事件处理</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785"/>
        <w:ind w:left="315" w:firstLine="105"/>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17、争议解决</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17.1 因货物的质量问题发生争议的，可在国家认可的质量检测机构对货物质量进行鉴定。货物符合标准的，鉴定费由甲方承担；货物不符合质量标准的，鉴定费由乙方承担。</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17.2 因履行本合同引起的或与本合同有关的争议，甲、乙双方应首先通过友好协商解决；如果协商不能解决争议，甲乙双方同意采取下列两种方式的第</w:t>
      </w:r>
      <w:r>
        <w:rPr>
          <w:rFonts w:hint="eastAsia" w:hAnsi="宋体" w:cs="宋体"/>
          <w:color w:val="auto"/>
          <w:sz w:val="21"/>
          <w:highlight w:val="none"/>
          <w:u w:val="single"/>
        </w:rPr>
        <w:t xml:space="preserve">（1）</w:t>
      </w:r>
      <w:r>
        <w:rPr>
          <w:rFonts w:hint="eastAsia" w:hAnsi="宋体" w:cs="宋体"/>
          <w:color w:val="auto"/>
          <w:sz w:val="21"/>
          <w:highlight w:val="none"/>
        </w:rPr>
        <w:t xml:space="preserve">种方式解决争议：</w:t>
      </w:r>
      <w:r/>
    </w:p>
    <w:p>
      <w:pPr>
        <w:pStyle w:val="785"/>
        <w:ind w:firstLine="315"/>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（1）向甲方所在地有管辖权的人民法院提起诉讼，适用中华人民共和国法律；</w:t>
      </w:r>
      <w:r/>
    </w:p>
    <w:p>
      <w:pPr>
        <w:pStyle w:val="785"/>
        <w:ind w:left="420" w:hanging="105"/>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（2）向扬州仲裁委员会按其仲裁规则申请仲裁。</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17.3 若甲乙双方任何一方都没有选择解除合同的，为避免扩大损失，在诉讼或仲裁期间，双方应继续履行。</w:t>
      </w:r>
      <w:r/>
    </w:p>
    <w:p>
      <w:pPr>
        <w:pStyle w:val="785"/>
        <w:ind w:left="315" w:firstLine="105"/>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18、合同其它</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18.1 乙方应诚实信用，严格按照招标文件要求和投标承诺履行合同，不向甲方进行商业贿赂或者提供不正当利益。</w:t>
      </w:r>
      <w:r/>
    </w:p>
    <w:p>
      <w:pPr>
        <w:pStyle w:val="785"/>
        <w:ind w:firstLine="420"/>
        <w:spacing w:before="120" w:after="120" w:line="360" w:lineRule="auto"/>
        <w:rPr>
          <w:rFonts w:hint="eastAsia" w:hAnsi="宋体" w:cs="宋体"/>
          <w:color w:val="auto"/>
          <w:sz w:val="21"/>
          <w:highlight w:val="none"/>
          <w:u w:val="single"/>
        </w:rPr>
      </w:pPr>
      <w:r>
        <w:rPr>
          <w:rFonts w:hint="eastAsia" w:hAnsi="宋体" w:cs="宋体"/>
          <w:color w:val="auto"/>
          <w:sz w:val="21"/>
          <w:highlight w:val="none"/>
        </w:rPr>
        <w:t xml:space="preserve">18.2 合同经双方法定代表人或授权代表签字并加盖单位公章，并经江苏唯诚建设咨询有限公司见证盖章后生效。</w:t>
      </w:r>
      <w:r/>
    </w:p>
    <w:p>
      <w:pPr>
        <w:pStyle w:val="785"/>
        <w:ind w:firstLine="420"/>
        <w:spacing w:before="120" w:after="120" w:line="360" w:lineRule="auto"/>
        <w:rPr>
          <w:rFonts w:hint="eastAsia" w:hAnsi="宋体" w:cs="宋体"/>
          <w:color w:val="auto"/>
          <w:sz w:val="21"/>
          <w:highlight w:val="none"/>
          <w:u w:val="single"/>
        </w:rPr>
      </w:pPr>
      <w:r>
        <w:rPr>
          <w:rFonts w:hint="eastAsia" w:hAnsi="宋体" w:cs="宋体"/>
          <w:color w:val="auto"/>
          <w:sz w:val="21"/>
          <w:highlight w:val="none"/>
        </w:rPr>
        <w:t xml:space="preserve">18.2本合同未尽事宜，遵照《</w:t>
      </w:r>
      <w:r>
        <w:rPr>
          <w:rFonts w:hint="eastAsia" w:hAnsi="宋体" w:cs="宋体"/>
          <w:color w:val="auto"/>
          <w:sz w:val="21"/>
          <w:highlight w:val="none"/>
          <w:lang w:val="en-US" w:eastAsia="zh-CN"/>
        </w:rPr>
        <w:t xml:space="preserve">中华人民共和国</w:t>
      </w:r>
      <w:r>
        <w:rPr>
          <w:rFonts w:hint="eastAsia" w:hAnsi="宋体" w:cs="宋体"/>
          <w:color w:val="auto"/>
          <w:sz w:val="21"/>
          <w:highlight w:val="none"/>
        </w:rPr>
        <w:t xml:space="preserve">民法典》有关条文执行。</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18.3 本合同正本一式伍份，具有同等法律效力，甲方、乙方各执贰份、见证方执壹份。</w:t>
      </w:r>
      <w:r/>
    </w:p>
    <w:p>
      <w:pPr>
        <w:pStyle w:val="785"/>
        <w:ind w:left="420" w:hanging="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  </w:t>
      </w:r>
      <w:r/>
    </w:p>
    <w:p>
      <w:pPr>
        <w:pStyle w:val="785"/>
        <w:ind w:left="420" w:hanging="21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甲方：</w:t>
      </w:r>
      <w:r>
        <w:rPr>
          <w:rFonts w:hint="eastAsia" w:hAnsi="宋体" w:cs="宋体"/>
          <w:color w:val="auto"/>
          <w:sz w:val="21"/>
          <w:highlight w:val="none"/>
          <w:lang w:eastAsia="zh-CN"/>
        </w:rPr>
        <w:t xml:space="preserve">扬州市中医院</w:t>
      </w:r>
      <w:r>
        <w:rPr>
          <w:rFonts w:hint="eastAsia" w:hAnsi="宋体" w:cs="宋体"/>
          <w:color w:val="auto"/>
          <w:sz w:val="21"/>
          <w:highlight w:val="none"/>
        </w:rPr>
        <w:t xml:space="preserve">   </w:t>
      </w:r>
      <w:r>
        <w:rPr>
          <w:rFonts w:hint="eastAsia" w:hAnsi="宋体" w:cs="宋体"/>
          <w:color w:val="auto"/>
          <w:sz w:val="21"/>
          <w:highlight w:val="none"/>
          <w:lang w:val="en-US" w:eastAsia="zh-CN"/>
        </w:rPr>
        <w:t xml:space="preserve">                    </w:t>
      </w:r>
      <w:r>
        <w:rPr>
          <w:rFonts w:hint="eastAsia" w:hAnsi="宋体" w:cs="宋体"/>
          <w:color w:val="auto"/>
          <w:sz w:val="21"/>
          <w:highlight w:val="none"/>
        </w:rPr>
        <w:t xml:space="preserve">乙方： </w:t>
      </w:r>
      <w:r/>
    </w:p>
    <w:p>
      <w:pPr>
        <w:pStyle w:val="785"/>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  地址：</w:t>
      </w:r>
      <w:r>
        <w:rPr>
          <w:rFonts w:hint="eastAsia" w:hAnsi="宋体" w:cs="宋体"/>
          <w:color w:val="auto"/>
          <w:sz w:val="21"/>
          <w:highlight w:val="none"/>
        </w:rPr>
        <w:tab/>
      </w:r>
      <w:r>
        <w:rPr>
          <w:rFonts w:hint="eastAsia" w:hAnsi="宋体" w:cs="宋体"/>
          <w:color w:val="auto"/>
          <w:sz w:val="21"/>
          <w:highlight w:val="none"/>
        </w:rPr>
        <w:tab/>
      </w:r>
      <w:r>
        <w:rPr>
          <w:rFonts w:hint="eastAsia" w:hAnsi="宋体" w:cs="宋体"/>
          <w:color w:val="auto"/>
          <w:sz w:val="21"/>
          <w:highlight w:val="none"/>
        </w:rPr>
        <w:tab/>
      </w:r>
      <w:r>
        <w:rPr>
          <w:rFonts w:hint="eastAsia" w:hAnsi="宋体" w:cs="宋体"/>
          <w:color w:val="auto"/>
          <w:sz w:val="21"/>
          <w:highlight w:val="none"/>
        </w:rPr>
        <w:tab/>
      </w:r>
      <w:r>
        <w:rPr>
          <w:rFonts w:hint="eastAsia" w:hAnsi="宋体" w:cs="宋体"/>
          <w:color w:val="auto"/>
          <w:sz w:val="21"/>
          <w:highlight w:val="none"/>
        </w:rPr>
        <w:t xml:space="preserve">                   地址： </w:t>
      </w:r>
      <w:r/>
    </w:p>
    <w:p>
      <w:pPr>
        <w:pStyle w:val="785"/>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  法定代表人或授权代表：                   法定代表人或授权代表：</w:t>
      </w:r>
      <w:r/>
    </w:p>
    <w:p>
      <w:pPr>
        <w:pStyle w:val="785"/>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  联系电话：                               联系电话：</w:t>
      </w:r>
      <w:r/>
    </w:p>
    <w:p>
      <w:pPr>
        <w:pStyle w:val="785"/>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  </w:t>
      </w:r>
      <w:r/>
    </w:p>
    <w:p>
      <w:pPr>
        <w:pStyle w:val="785"/>
        <w:ind w:firstLine="21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见证方：江苏唯诚建设咨询有限公司</w:t>
      </w:r>
      <w:r/>
    </w:p>
    <w:p>
      <w:pPr>
        <w:pStyle w:val="785"/>
        <w:ind w:firstLine="21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项目经办人：</w:t>
      </w:r>
      <w:r/>
    </w:p>
    <w:p>
      <w:pPr>
        <w:pStyle w:val="785"/>
        <w:ind w:firstLine="210"/>
        <w:spacing w:before="120" w:after="120" w:line="360" w:lineRule="auto"/>
        <w:rPr>
          <w:rFonts w:hint="eastAsia" w:hAnsi="宋体"/>
          <w:color w:val="auto"/>
          <w:sz w:val="21"/>
          <w:highlight w:val="none"/>
        </w:rPr>
      </w:pPr>
      <w:r>
        <w:rPr>
          <w:rFonts w:hint="eastAsia" w:hAnsi="宋体" w:cs="宋体"/>
          <w:color w:val="auto"/>
          <w:sz w:val="21"/>
          <w:highlight w:val="none"/>
        </w:rPr>
        <w:t xml:space="preserve">日期：     年   月   日</w:t>
      </w:r>
      <w:r/>
    </w:p>
    <w:p>
      <w:pPr>
        <w:pStyle w:val="763"/>
        <w:numPr>
          <w:ilvl w:val="0"/>
          <w:numId w:val="7"/>
        </w:numPr>
        <w:jc w:val="center"/>
        <w:rPr>
          <w:rFonts w:hint="eastAsia" w:ascii="宋体" w:hAnsi="宋体"/>
          <w:color w:val="auto"/>
          <w:sz w:val="36"/>
          <w:highlight w:val="none"/>
        </w:rPr>
        <w:sectPr>
          <w:headerReference w:type="default" r:id="rId10"/>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olor w:val="auto"/>
          <w:sz w:val="36"/>
          <w:highlight w:val="none"/>
        </w:rPr>
      </w:r>
      <w:r/>
    </w:p>
    <w:p>
      <w:pPr>
        <w:pStyle w:val="763"/>
        <w:numPr>
          <w:ilvl w:val="0"/>
          <w:numId w:val="7"/>
        </w:numPr>
        <w:jc w:val="center"/>
        <w:spacing w:line="240" w:lineRule="auto"/>
        <w:rPr>
          <w:rFonts w:hint="eastAsia" w:ascii="宋体" w:hAnsi="宋体"/>
          <w:color w:val="auto"/>
          <w:sz w:val="36"/>
          <w:highlight w:val="none"/>
        </w:rPr>
      </w:pPr>
      <w:r>
        <w:rPr>
          <w:rFonts w:hint="eastAsia" w:ascii="宋体" w:hAnsi="宋体"/>
          <w:color w:val="auto"/>
          <w:sz w:val="36"/>
          <w:highlight w:val="none"/>
        </w:rPr>
        <w:t xml:space="preserve">项目需求</w:t>
      </w:r>
      <w:r/>
    </w:p>
    <w:p>
      <w:pPr>
        <w:ind w:firstLine="422"/>
        <w:keepLines w:val="0"/>
        <w:keepNext w:val="0"/>
        <w:pageBreakBefore w:val="0"/>
        <w:spacing w:line="360" w:lineRule="auto"/>
        <w:widowControl/>
        <w:rPr>
          <w:rFonts w:hint="eastAsia" w:ascii="宋体" w:hAnsi="宋体" w:eastAsia="宋体" w:cs="宋体"/>
          <w:b/>
          <w:bCs/>
          <w:color w:val="auto"/>
          <w:sz w:val="21"/>
          <w:szCs w:val="21"/>
          <w:highlight w:val="none"/>
        </w:rPr>
      </w:pPr>
      <w:r/>
      <w:bookmarkStart w:id="29" w:name="_Toc497133122"/>
      <w:r>
        <w:rPr>
          <w:rFonts w:hint="eastAsia" w:ascii="宋体" w:hAnsi="宋体" w:eastAsia="宋体" w:cs="宋体"/>
          <w:b/>
          <w:bCs/>
          <w:color w:val="auto"/>
          <w:sz w:val="21"/>
          <w:szCs w:val="21"/>
          <w:highlight w:val="none"/>
        </w:rPr>
        <w:t xml:space="preserve">一、项目属性</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货物类项目</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如本项目采购产品被财政部、国家发改委、生态环境部等列入“节能产品政府采购品目清单”强制采购范围，投标文件中必须提供国家确定的认证机构出具的、处于有效期之内的该节能产品认证证书。</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供应商对于投标产品的包装应按照“财办库〔2020〕123号《关于印发《商品包装政府采购需求标准（试行）》、《快递包装政府采购需求标准（试行）》的通知》”执行。</w:t>
      </w:r>
      <w:r/>
    </w:p>
    <w:p>
      <w:pPr>
        <w:numPr>
          <w:ilvl w:val="0"/>
          <w:numId w:val="0"/>
        </w:num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sz w:val="21"/>
          <w:szCs w:val="22"/>
          <w:lang w:val="en-US" w:eastAsia="zh-CN" w:bidi="ar-SA"/>
        </w:rPr>
        <w:t xml:space="preserve">3.</w:t>
      </w:r>
      <w:r>
        <w:rPr>
          <w:rFonts w:hint="eastAsia" w:ascii="宋体" w:hAnsi="宋体" w:eastAsia="宋体" w:cs="宋体"/>
          <w:b/>
          <w:bCs/>
          <w:color w:val="auto"/>
          <w:highlight w:val="none"/>
        </w:rPr>
        <w:t xml:space="preserve">政府采购中实施本国产品标准及相关政策</w:t>
      </w:r>
      <w:r/>
    </w:p>
    <w:p>
      <w:pPr>
        <w:numPr>
          <w:ilvl w:val="0"/>
          <w:numId w:val="0"/>
        </w:numPr>
        <w:ind w:firstLine="422"/>
        <w:spacing w:line="360" w:lineRule="auto"/>
        <w:rPr>
          <w:rFonts w:hint="eastAsia" w:ascii="宋体" w:hAnsi="宋体" w:eastAsia="宋体" w:cs="宋体"/>
          <w:b/>
          <w:bCs/>
          <w:color w:val="auto"/>
          <w:highlight w:val="none"/>
        </w:rPr>
      </w:pPr>
      <w:r>
        <w:rPr>
          <w:rFonts w:hint="eastAsia" w:ascii="宋体" w:hAnsi="宋体" w:cs="宋体"/>
          <w:b/>
          <w:bCs/>
          <w:color w:val="auto"/>
          <w:sz w:val="21"/>
          <w:szCs w:val="22"/>
          <w:lang w:val="en-US" w:eastAsia="zh-CN" w:bidi="ar-SA"/>
        </w:rPr>
        <w:t xml:space="preserve">3</w:t>
      </w:r>
      <w:r>
        <w:rPr>
          <w:rFonts w:hint="eastAsia" w:ascii="宋体" w:hAnsi="宋体" w:eastAsia="宋体" w:cs="宋体"/>
          <w:b/>
          <w:bCs/>
          <w:color w:val="auto"/>
          <w:sz w:val="21"/>
          <w:szCs w:val="22"/>
          <w:lang w:val="en-US" w:eastAsia="zh-CN" w:bidi="ar-SA"/>
        </w:rPr>
        <w:t xml:space="preserve">.</w:t>
      </w:r>
      <w:r>
        <w:rPr>
          <w:rFonts w:hint="eastAsia" w:ascii="宋体" w:hAnsi="宋体" w:eastAsia="宋体" w:cs="宋体"/>
          <w:b/>
          <w:bCs/>
          <w:color w:val="auto"/>
          <w:highlight w:val="none"/>
        </w:rPr>
        <w:t xml:space="preserve">1本项目对采购本国产品给予政策支持，具体内容见招标文件“第五章 评标方法与评标标准”。</w:t>
      </w:r>
      <w:r/>
    </w:p>
    <w:p>
      <w:pPr>
        <w:numPr>
          <w:ilvl w:val="0"/>
          <w:numId w:val="0"/>
        </w:numPr>
        <w:ind w:firstLine="422"/>
        <w:spacing w:line="360" w:lineRule="auto"/>
        <w:rPr>
          <w:rFonts w:hint="eastAsia" w:ascii="宋体" w:hAnsi="宋体" w:eastAsia="宋体" w:cs="宋体"/>
          <w:b/>
          <w:bCs/>
          <w:color w:val="auto"/>
          <w:highlight w:val="none"/>
        </w:rPr>
      </w:pPr>
      <w:r>
        <w:rPr>
          <w:rFonts w:hint="eastAsia" w:ascii="宋体" w:hAnsi="宋体" w:cs="宋体"/>
          <w:b/>
          <w:bCs/>
          <w:color w:val="auto"/>
          <w:sz w:val="21"/>
          <w:szCs w:val="22"/>
          <w:lang w:val="en-US" w:eastAsia="zh-CN" w:bidi="ar-SA"/>
        </w:rPr>
        <w:t xml:space="preserve">3</w:t>
      </w:r>
      <w:r>
        <w:rPr>
          <w:rFonts w:hint="eastAsia" w:ascii="宋体" w:hAnsi="宋体" w:eastAsia="宋体" w:cs="宋体"/>
          <w:b/>
          <w:bCs/>
          <w:color w:val="auto"/>
          <w:sz w:val="21"/>
          <w:szCs w:val="22"/>
          <w:lang w:val="en-US" w:eastAsia="zh-CN" w:bidi="ar-SA"/>
        </w:rPr>
        <w:t xml:space="preserve">.</w:t>
      </w:r>
      <w:r>
        <w:rPr>
          <w:rFonts w:hint="eastAsia" w:ascii="宋体" w:hAnsi="宋体" w:eastAsia="宋体" w:cs="宋体"/>
          <w:b/>
          <w:bCs/>
          <w:color w:val="auto"/>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22"/>
        <w:spacing w:line="360" w:lineRule="auto"/>
        <w:rPr>
          <w:rFonts w:hint="eastAsia" w:ascii="宋体" w:hAnsi="宋体" w:eastAsia="宋体" w:cs="宋体"/>
          <w:b/>
          <w:bCs/>
          <w:color w:val="auto"/>
          <w:highlight w:val="none"/>
        </w:rPr>
      </w:pPr>
      <w:r>
        <w:rPr>
          <w:rFonts w:hint="eastAsia" w:ascii="宋体" w:hAnsi="宋体" w:cs="宋体"/>
          <w:b/>
          <w:bCs/>
          <w:color w:val="auto"/>
          <w:sz w:val="21"/>
          <w:szCs w:val="22"/>
          <w:lang w:val="en-US" w:eastAsia="zh-CN" w:bidi="ar-SA"/>
        </w:rPr>
        <w:t xml:space="preserve">3</w:t>
      </w:r>
      <w:r>
        <w:rPr>
          <w:rFonts w:hint="eastAsia" w:ascii="宋体" w:hAnsi="宋体" w:eastAsia="宋体" w:cs="宋体"/>
          <w:b/>
          <w:bCs/>
          <w:color w:val="auto"/>
          <w:sz w:val="21"/>
          <w:szCs w:val="22"/>
          <w:lang w:val="en-US" w:eastAsia="zh-CN" w:bidi="ar-SA"/>
        </w:rPr>
        <w:t xml:space="preserve">.</w:t>
      </w:r>
      <w:r>
        <w:rPr>
          <w:rFonts w:hint="eastAsia" w:ascii="宋体" w:hAnsi="宋体" w:eastAsia="宋体" w:cs="宋体"/>
          <w:b/>
          <w:bCs/>
          <w:color w:val="auto"/>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 采购标的清单</w:t>
      </w:r>
      <w:r/>
    </w:p>
    <w:tbl>
      <w:tblPr>
        <w:tblStyle w:val="77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78"/>
        <w:gridCol w:w="7813"/>
        <w:gridCol w:w="3980"/>
      </w:tblGrid>
      <w:tr>
        <w:trPr>
          <w:cantSplit/>
          <w:jc w:val="center"/>
          <w:trHeight w:val="567"/>
        </w:trPr>
        <w:tc>
          <w:tcPr>
            <w:tcW w:w="839"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采购包号</w:t>
            </w:r>
            <w:r/>
          </w:p>
        </w:tc>
        <w:tc>
          <w:tcPr>
            <w:tcW w:w="2756"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采购标的</w:t>
            </w:r>
            <w:r/>
          </w:p>
        </w:tc>
        <w:tc>
          <w:tcPr>
            <w:tcW w:w="1404"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对应中小企业划分标准所属行业</w:t>
            </w:r>
            <w:r/>
          </w:p>
        </w:tc>
      </w:tr>
      <w:tr>
        <w:trPr>
          <w:cantSplit/>
          <w:jc w:val="center"/>
          <w:trHeight w:val="567"/>
        </w:trPr>
        <w:tc>
          <w:tcPr>
            <w:tcW w:w="839"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756" w:type="pct"/>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afafa"/>
              </w:rPr>
              <w:t xml:space="preserve">扬州市中医院新院区医疗辅助配套设施</w:t>
            </w:r>
            <w:r/>
          </w:p>
        </w:tc>
        <w:tc>
          <w:tcPr>
            <w:tcW w:w="1404"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工业</w:t>
            </w:r>
            <w:r/>
          </w:p>
        </w:tc>
      </w:tr>
    </w:tbl>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4．核心产品</w:t>
      </w:r>
      <w:r/>
    </w:p>
    <w:tbl>
      <w:tblPr>
        <w:tblStyle w:val="80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903"/>
        <w:gridCol w:w="10268"/>
      </w:tblGrid>
      <w:tr>
        <w:trPr>
          <w:trHeight w:val="567"/>
        </w:trPr>
        <w:tc>
          <w:tcPr>
            <w:tcMar>
              <w:left w:w="108" w:type="dxa"/>
              <w:top w:w="0" w:type="dxa"/>
              <w:right w:w="108" w:type="dxa"/>
              <w:bottom w:w="0" w:type="dxa"/>
            </w:tcMar>
            <w:tcW w:w="1377" w:type="pct"/>
            <w:vAlign w:val="top"/>
            <w:textDirection w:val="lrTb"/>
            <w:noWrap w:val="false"/>
          </w:tcPr>
          <w:p>
            <w:pPr>
              <w:jc w:val="cente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采购</w:t>
            </w:r>
            <w:r/>
          </w:p>
          <w:p>
            <w:pPr>
              <w:jc w:val="cente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包号</w:t>
            </w:r>
            <w:r/>
          </w:p>
        </w:tc>
        <w:tc>
          <w:tcPr>
            <w:tcMar>
              <w:left w:w="108" w:type="dxa"/>
              <w:top w:w="0" w:type="dxa"/>
              <w:right w:w="108" w:type="dxa"/>
              <w:bottom w:w="0" w:type="dxa"/>
            </w:tcMar>
            <w:tcW w:w="3622" w:type="pct"/>
            <w:vAlign w:val="top"/>
            <w:textDirection w:val="lrTb"/>
            <w:noWrap w:val="false"/>
          </w:tcPr>
          <w:p>
            <w:pPr>
              <w:jc w:val="cente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核心产品</w:t>
            </w:r>
            <w:r/>
          </w:p>
        </w:tc>
      </w:tr>
      <w:tr>
        <w:trPr>
          <w:trHeight w:val="567"/>
        </w:trPr>
        <w:tc>
          <w:tcPr>
            <w:tcMar>
              <w:left w:w="108" w:type="dxa"/>
              <w:top w:w="0" w:type="dxa"/>
              <w:right w:w="108" w:type="dxa"/>
              <w:bottom w:w="0" w:type="dxa"/>
            </w:tcMar>
            <w:tcW w:w="1377" w:type="pct"/>
            <w:vAlign w:val="top"/>
            <w:textDirection w:val="lrTb"/>
            <w:noWrap w:val="false"/>
          </w:tcPr>
          <w:p>
            <w:pPr>
              <w:jc w:val="cente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w:t>
            </w:r>
            <w:r/>
          </w:p>
        </w:tc>
        <w:tc>
          <w:tcPr>
            <w:tcMar>
              <w:left w:w="108" w:type="dxa"/>
              <w:top w:w="0" w:type="dxa"/>
              <w:right w:w="108" w:type="dxa"/>
              <w:bottom w:w="0" w:type="dxa"/>
            </w:tcMar>
            <w:tcW w:w="3622" w:type="pct"/>
            <w:vAlign w:val="top"/>
            <w:textDirection w:val="lrTb"/>
            <w:noWrap w:val="false"/>
          </w:tcPr>
          <w:p>
            <w:pPr>
              <w:jc w:val="center"/>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医用环保治疗柜</w:t>
            </w:r>
            <w:r/>
          </w:p>
        </w:tc>
      </w:tr>
    </w:tbl>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技术要求是指对采购标的功能和质量要求，包括性能、材料、结构、外观、安全，或者服务内容和标准等。其中斜体且有下划线部分为实质性要求。</w:t>
      </w:r>
      <w:r/>
    </w:p>
    <w:p>
      <w:pPr>
        <w:ind w:firstLine="422"/>
        <w:keepLines w:val="0"/>
        <w:keepNext w:val="0"/>
        <w:pageBreakBefore w:val="0"/>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lang w:val="en-US" w:eastAsia="zh-CN"/>
        </w:rPr>
        <w:t xml:space="preserve">二</w:t>
      </w:r>
      <w:r>
        <w:rPr>
          <w:rFonts w:hint="eastAsia" w:ascii="宋体" w:hAnsi="宋体" w:cs="宋体"/>
          <w:b/>
          <w:color w:val="auto"/>
          <w:szCs w:val="21"/>
          <w:highlight w:val="none"/>
        </w:rPr>
        <w:t xml:space="preserve">、技术需求</w:t>
      </w:r>
      <w:r/>
    </w:p>
    <w:tbl>
      <w:tblPr>
        <w:tblStyle w:val="773"/>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14"/>
        <w:gridCol w:w="1046"/>
        <w:gridCol w:w="837"/>
        <w:gridCol w:w="733"/>
        <w:gridCol w:w="8719"/>
        <w:gridCol w:w="2214"/>
      </w:tblGrid>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21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0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参数</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参考图片</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21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污洗及打包柜</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07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一套包括（污洗置物架：1600*350*500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，污洗柜：1600*600*1100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，冷热双控水龙头*1，拖把池：1200*600*1800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，普通水龙头*2）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1、主要材料：采用304不锈钢板材，具有不易生锈、防蚀等特点；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2、主要板材厚度：台面、水池板厚度≥1.0mm；侧板、门板厚度≥0.8mm；加强管料用≥1.0mm；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3、柜门为双层结构，带缓冲功能；底脚为4个可调圆管脚，离地120mm高；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5、功能配置：304不锈钢缓冲铰链等；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6、所有工件经数控激光切割、模具冲压、数控折弯、亚弧焊接、机器打磨、抛光、拉丝而成。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▲不锈钢：需符合GB/T 3325、GB/T 10125、GB/T 6461、YB∕T4171、GB/T 3280、GB/T 4340.1、QB/T 4371检测标准；检测内容包括但不限于：①抗盐雾：经盐雾试验18h,直径1.5mm以下的锈点2点/dm²,其中直径1.0mm以上的锈点0点，合格；②铜加速乙酸盐雾（CASS）试验≥40小时后，外观评级10级，保护评级10级；③抗菌性能：抑菌率≥99.9%；④</w:t>
            </w:r>
            <w:r>
              <w:rPr>
                <w:rFonts w:hint="eastAsia" w:ascii="宋体" w:hAnsi="宋体" w:eastAsia="宋体" w:cs="宋体"/>
                <w:i w:val="0"/>
                <w:iCs w:val="0"/>
                <w:color w:val="auto"/>
                <w:sz w:val="21"/>
                <w:szCs w:val="21"/>
                <w:highlight w:val="none"/>
                <w:u w:val="none"/>
                <w:lang w:val="en-US" w:eastAsia="zh-CN" w:bidi="ar"/>
              </w:rPr>
              <w:t xml:space="preserve">化学成分 ：C≤0.04%、Si≤0.38%、Mn≤0.89%、P≤ 0.028%、S≤0.006%、Cr：18~19%，Ni：8~10.50%，合格；⑤力学性能：（规定塑性延伸强度≥305 MPa；抗拉强度≥780 MPa；断后伸长率≥57%，维氏硬度≤92）。注：提供第三方产品监督检测机构（检测报告至少带CMA标识）出具检测报告以及在全国认证认可信息公共服务平台的查询截图，否则不予认可。                                                           </w:t>
            </w:r>
            <w:r>
              <w:rPr>
                <w:rFonts w:hint="eastAsia" w:ascii="宋体" w:hAnsi="宋体" w:eastAsia="宋体" w:cs="宋体"/>
                <w:i w:val="0"/>
                <w:iCs w:val="0"/>
                <w:color w:val="auto"/>
                <w:sz w:val="21"/>
                <w:szCs w:val="21"/>
                <w:highlight w:val="none"/>
                <w:u w:val="none"/>
                <w:lang w:val="en-US" w:eastAsia="zh-CN" w:bidi="ar"/>
              </w:rPr>
              <w:t xml:space="preserve">                                                                                                                                               ▲侧板：需符合GB/T228.1、GB/T4336、JIS G1253、GB/T231.1、JB/T7901、GB/T15248、GB/T5028、GB/T351、QB/T4371检测标准；检测内容包括但不限于：①力学性能：规</w:t>
            </w:r>
            <w:r>
              <w:rPr>
                <w:rFonts w:hint="eastAsia" w:ascii="宋体" w:hAnsi="宋体" w:eastAsia="宋体" w:cs="宋体"/>
                <w:i w:val="0"/>
                <w:iCs w:val="0"/>
                <w:color w:val="auto"/>
                <w:sz w:val="21"/>
                <w:szCs w:val="21"/>
                <w:highlight w:val="none"/>
                <w:u w:val="none"/>
                <w:lang w:val="en-US" w:eastAsia="zh-CN" w:bidi="ar"/>
              </w:rPr>
              <w:t xml:space="preserve">定塑性延伸强度≥337MPa，抗拉强度：410~430MPa，断后伸长率≥34%；拉伸应变硬化指数(n值)≥0.2；②化学成分：C≤0.08%、Si≤0.15%、Mn≤0.39%、P≤0.014%、S≤0.023%；③布氏硬度HBW≥120；④全浸腐蚀试验23℃（mm/a)≥0.14，⑤疲劳试验：经10万次疲劳试验后，部件未发生开裂；⑥电阻率试验；⑦抗菌性能：抑菌率≥99.9%；注：提供第三方产品监督检测机构（检测报告至少带CMA标识）出具检测报告以及在全国认证认可信息公共服务平台的查询截图，否则不予认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▲门板：需符合GB/T4340.1、GB/T15970.5、GB/T3075、GB/T15711、GB/T22315、GB/T35690、QB/T4371检测标准；检测内容包括但不限于：①维氏硬度HV10≥129；非</w:t>
            </w:r>
            <w:r>
              <w:rPr>
                <w:rFonts w:hint="eastAsia" w:ascii="宋体" w:hAnsi="宋体" w:eastAsia="宋体" w:cs="宋体"/>
                <w:i w:val="0"/>
                <w:iCs w:val="0"/>
                <w:color w:val="auto"/>
                <w:sz w:val="21"/>
                <w:szCs w:val="21"/>
                <w:highlight w:val="none"/>
                <w:u w:val="none"/>
                <w:lang w:val="en-US" w:eastAsia="zh-CN" w:bidi="ar"/>
              </w:rPr>
              <w:t xml:space="preserve">金属夹杂物：（细系:A≤0.5，B≤0.5，C≤0.5，D≤0.5粗系:A≤0.5，B≤0.5，C≤0.5，D≤0.5,）,弹性模量 E(GPa)≥145，均符合；②疲劳试验经10万次疲劳试验后，部件未发生开裂；③应力腐蚀试验（经100h应力腐蚀试验，不断裂）：恒定应力值:150MPa周期:100h没有断裂，符合；④磁导率试验≥1.0000000；⑤抗菌性能：抑菌率≥99.9%；注：提供第三方产品监督检测机构（检测报告至少带CMA标识）出具检测报告以及在全国认证认可信息公共服务平台的查询截图，否则不予认可。</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mc:AlternateContent>
                <mc:Choice Requires="wpg">
                  <w:drawing>
                    <wp:inline xmlns:wp="http://schemas.openxmlformats.org/drawingml/2006/wordprocessingDrawing" distT="0" distB="0" distL="0" distR="0">
                      <wp:extent cx="1009015" cy="1379220"/>
                      <wp:effectExtent l="0" t="0" r="635" b="11430"/>
                      <wp:docPr id="5"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8"/>
                              <pic:cNvPicPr>
                                <a:picLocks noChangeAspect="1"/>
                              </pic:cNvPicPr>
                              <pic:nvPr/>
                            </pic:nvPicPr>
                            <pic:blipFill>
                              <a:blip r:embed="rId17"/>
                              <a:stretch/>
                            </pic:blipFill>
                            <pic:spPr bwMode="auto">
                              <a:xfrm>
                                <a:off x="0" y="0"/>
                                <a:ext cx="1009015" cy="13792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9.5pt;height:108.6pt;mso-wrap-distance-left:0.0pt;mso-wrap-distance-top:0.0pt;mso-wrap-distance-right:0.0pt;mso-wrap-distance-bottom:0.0pt;" stroked="f" strokeweight="0.75pt">
                      <v:path textboxrect="0,0,0,0"/>
                      <v:imagedata r:id="rId17" o:title=""/>
                    </v:shape>
                  </w:pict>
                </mc:Fallback>
              </mc:AlternateConten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mc:AlternateContent>
                <mc:Choice Requires="wpg">
                  <w:drawing>
                    <wp:inline xmlns:wp="http://schemas.openxmlformats.org/drawingml/2006/wordprocessingDrawing" distT="0" distB="0" distL="0" distR="0">
                      <wp:extent cx="797560" cy="927100"/>
                      <wp:effectExtent l="0" t="0" r="2540" b="6350"/>
                      <wp:docPr id="6"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4"/>
                              <pic:cNvPicPr>
                                <a:picLocks noChangeAspect="1"/>
                              </pic:cNvPicPr>
                              <pic:nvPr/>
                            </pic:nvPicPr>
                            <pic:blipFill>
                              <a:blip r:embed="rId18"/>
                              <a:stretch/>
                            </pic:blipFill>
                            <pic:spPr bwMode="auto">
                              <a:xfrm>
                                <a:off x="0" y="0"/>
                                <a:ext cx="797560" cy="927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2.8pt;height:73.0pt;mso-wrap-distance-left:0.0pt;mso-wrap-distance-top:0.0pt;mso-wrap-distance-right:0.0pt;mso-wrap-distance-bottom:0.0pt;" stroked="f" strokeweight="0.75pt">
                      <v:path textboxrect="0,0,0,0"/>
                      <v:imagedata r:id="rId18" o:title=""/>
                    </v:shape>
                  </w:pict>
                </mc:Fallback>
              </mc:AlternateConten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21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医用</w:t>
            </w:r>
            <w:r>
              <w:rPr>
                <w:rFonts w:hint="eastAsia" w:ascii="宋体" w:hAnsi="宋体" w:cs="宋体"/>
                <w:i w:val="0"/>
                <w:iCs w:val="0"/>
                <w:color w:val="auto"/>
                <w:sz w:val="21"/>
                <w:szCs w:val="21"/>
                <w:highlight w:val="none"/>
                <w:u w:val="none"/>
                <w:lang w:val="en-US" w:eastAsia="zh-CN" w:bidi="ar"/>
              </w:rPr>
              <w:t xml:space="preserve">环保</w:t>
            </w:r>
            <w:r>
              <w:rPr>
                <w:rFonts w:hint="eastAsia" w:ascii="宋体" w:hAnsi="宋体" w:eastAsia="宋体" w:cs="宋体"/>
                <w:i w:val="0"/>
                <w:iCs w:val="0"/>
                <w:color w:val="auto"/>
                <w:sz w:val="21"/>
                <w:szCs w:val="21"/>
                <w:highlight w:val="none"/>
                <w:u w:val="none"/>
                <w:lang w:val="en-US" w:eastAsia="zh-CN" w:bidi="ar"/>
              </w:rPr>
              <w:t xml:space="preserve">治疗柜</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7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一套包括（治疗柜上柜（玻璃门）：2000*350*550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；治疗柜中柜：2000*350*600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；治疗柜下柜：2000*630*</w:t>
            </w:r>
            <w:r>
              <w:rPr>
                <w:rFonts w:hint="eastAsia" w:ascii="宋体" w:hAnsi="宋体" w:cs="宋体"/>
                <w:i w:val="0"/>
                <w:iCs w:val="0"/>
                <w:color w:val="auto"/>
                <w:sz w:val="21"/>
                <w:szCs w:val="21"/>
                <w:highlight w:val="none"/>
                <w:u w:val="none"/>
                <w:lang w:val="en-US" w:eastAsia="zh-CN" w:bidi="ar"/>
              </w:rPr>
              <w:t xml:space="preserve">840mm</w:t>
            </w:r>
            <w:r>
              <w:rPr>
                <w:rFonts w:hint="eastAsia" w:ascii="宋体" w:hAnsi="宋体" w:eastAsia="宋体" w:cs="宋体"/>
                <w:i w:val="0"/>
                <w:iCs w:val="0"/>
                <w:color w:val="auto"/>
                <w:sz w:val="21"/>
                <w:szCs w:val="21"/>
                <w:highlight w:val="none"/>
                <w:u w:val="none"/>
                <w:lang w:val="en-US" w:eastAsia="zh-CN" w:bidi="ar"/>
              </w:rPr>
              <w:t xml:space="preserve">；输液柜：470*650*2000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；0.7米LED感应灯*2；治疗柜台面：2000*650*12）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1、台面板：采用优质医用复合亚克力人造石，其材料厚度≥12mm，边缘加厚30mm。具有易清洁、抗污垢、耐冲击、耐高温、具有阻燃性、无毒等特点；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▲复合亚克力人造石（台面板）：需符合GB/T 3</w:t>
            </w:r>
            <w:r>
              <w:rPr>
                <w:rFonts w:hint="eastAsia" w:ascii="宋体" w:hAnsi="宋体" w:eastAsia="宋体" w:cs="宋体"/>
                <w:i w:val="0"/>
                <w:iCs w:val="0"/>
                <w:color w:val="auto"/>
                <w:sz w:val="21"/>
                <w:szCs w:val="21"/>
                <w:highlight w:val="none"/>
                <w:u w:val="none"/>
                <w:lang w:val="en-US" w:eastAsia="zh-CN" w:bidi="ar"/>
              </w:rPr>
              <w:t xml:space="preserve">2487、GB 24820、QB/T 4371、GB/T 16422.3检测标准；检测内容包括但不限于：①塑料件外观（应无裂纹、明显变形、缩水、针孔；应无凹陷、飞边、折皱、疙瘩；应无气泡、杂质、伤痕、白印；表面应光洁，应无划痕、毛刺、拉毛、污渍；应无明显色差）均符合要求；②生物实验台面耐污染不低于1级；③抗菌性能：抑菌率≥99.9%；④抗紫外线性能(测试时间48h)≤变色：4级；注：提供第三方产品监督检测机构（检测报告至少带CMA标识）出具检测报告以及在全国认证认可信息公共服务平台的查询截图，否则不予认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2、柜体：采用一级电解钢板，整体厚度≥1.0mm；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▲电解钢板</w:t>
            </w:r>
            <w:r>
              <w:rPr>
                <w:rFonts w:hint="eastAsia" w:ascii="宋体" w:hAnsi="宋体" w:eastAsia="宋体" w:cs="宋体"/>
                <w:i w:val="0"/>
                <w:iCs w:val="0"/>
                <w:color w:val="auto"/>
                <w:sz w:val="21"/>
                <w:szCs w:val="21"/>
                <w:highlight w:val="none"/>
                <w:u w:val="none"/>
                <w:lang w:val="en-US" w:eastAsia="zh-CN" w:bidi="ar"/>
              </w:rPr>
              <w:t xml:space="preserve">：需符合GB/T 3325、GB/T 230.1、GB/T 20125、GB/T 20123、GB/T228.1、QB/T3826、QB/T 3827、QB/T 3832、GB/T 10125、GB/T6461、GB/T 35607、QB/T 1951.2、GB 8624、QB/T 4371检测标准；检测内容包括但不限于：①金属喷漆(塑)涂层理化性能(冲击强度：冲击高度≥400mm，应无剥落、裂纹、皱纹；耐腐蚀：100h内，观察在溶液中样板上划道两侧3mm以外,应无鼓泡产生，100h后，检查划道两侧3mm外</w:t>
            </w:r>
            <w:r>
              <w:rPr>
                <w:rFonts w:hint="eastAsia" w:ascii="宋体" w:hAnsi="宋体" w:eastAsia="宋体" w:cs="宋体"/>
                <w:i w:val="0"/>
                <w:iCs w:val="0"/>
                <w:color w:val="auto"/>
                <w:sz w:val="21"/>
                <w:szCs w:val="21"/>
                <w:highlight w:val="none"/>
                <w:u w:val="none"/>
                <w:lang w:val="en-US" w:eastAsia="zh-CN" w:bidi="ar"/>
              </w:rPr>
              <w:t xml:space="preserve">，应无锈迹、剥落、起皱、变色和失光等现象),均符合要求；附着力不低于0级，合格；②金属喷漆(塑)涂层硬度≥5H，合格；③洛氏硬度≥67；④抗菌性能：抑菌率≥99.9%。⑤家具涂层可迁移元素（铅、镉、铬、汞、锑、砷、钡、硒）均未检出，合格；⑥中性盐雾试验≥40小时后，涂层本身耐腐蚀等级10级，涂层对基体保护等级10级；乙酸盐雾试验≥24小时后，涂层本身耐腐蚀等级10级，涂层对基体保护等级10级；铜加速乙酸盐雾（CASS）试验≥40小时后，外观评级10级，保护评级10级；⑦C≤0.03%、Mn≤0.14%、P≤</w:t>
            </w:r>
            <w:r>
              <w:rPr>
                <w:rFonts w:hint="eastAsia" w:ascii="宋体" w:hAnsi="宋体" w:eastAsia="宋体" w:cs="宋体"/>
                <w:i w:val="0"/>
                <w:iCs w:val="0"/>
                <w:color w:val="auto"/>
                <w:sz w:val="21"/>
                <w:szCs w:val="21"/>
                <w:highlight w:val="none"/>
                <w:u w:val="none"/>
                <w:lang w:val="en-US" w:eastAsia="zh-CN" w:bidi="ar"/>
              </w:rPr>
              <w:t xml:space="preserve">0.02%、S≤0.008%、Al≤0.025%；⑧抗拉强度（MPa） 310~320；规定塑性延伸强度（MPa）≥260；断后伸长率≥45%；⑨平板状建筑材料及制品燃烧性能B1级：a)燃烧增长指数≤1W/s；b)火焰横向蔓延：火焰横向蔓延未到达试样长翼边缘；c)600s 的总放热量≤0.1MJ；d)60s 内焰尖高度 ≤40mm；e)60s 内无燃烧滴落物引燃滤纸现象，均合格；注：提供第三方产品监督检测机构（检测报告至少带CMA标识）出具检测报告以及在全国认证认可信息公共服务平台的查询截图，否则不予认可。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3、优质五金配件：304不锈钢缓冲铰链、三节导轨、优质锁具；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4、拉手：一字折弯拉手；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5、粉末：采用优质环氧树脂抑菌粉末静电喷涂；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▲塑粉：需符合HG/T2006、HG/T 3950、GB/T35602检测标准；检测内容包括但不限于：①外观:搅拌混合后无硬块，呈均匀状态；筛余物:全部通过；涂膜外观：正常；胶化时</w:t>
            </w:r>
            <w:r>
              <w:rPr>
                <w:rFonts w:hint="eastAsia" w:ascii="宋体" w:hAnsi="宋体" w:eastAsia="宋体" w:cs="宋体"/>
                <w:i w:val="0"/>
                <w:iCs w:val="0"/>
                <w:color w:val="auto"/>
                <w:sz w:val="21"/>
                <w:szCs w:val="21"/>
                <w:highlight w:val="none"/>
                <w:u w:val="none"/>
                <w:lang w:val="en-US" w:eastAsia="zh-CN" w:bidi="ar"/>
              </w:rPr>
              <w:t xml:space="preserve">间：≤32S；铅笔硬度≥H，附着力≤0级；耐冲击性：50cm 冲击试验，漆膜无异常；弯曲试验≤3mm；杯突≥5mm；光泽≤45，耐酸性240h 无异常；耐碱性168h无异常；耐沸水性2h 无异常；结论均符合。②抗菌性能：抗细菌率≥99.9%；③铅（Pb)≤0.7mg/kg、镉（Cd)≤0.7mg/kg、六价铬(Cr6+)≤2mg/kg、汞(Hg)≤0.5mg/kg；结论均符合。注注：提供第三方产品监督检测机构（检测报告至少带CMA标识）出具检测报告以及在全国认证认可信息公共服务平台的查询截图，否则不予认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6、踢脚线：踢脚线部分采用≥0.8mm厚304油磨拉丝不锈钢板制作，比柜体前端面缩进尺寸为20mm，高150mm，操作时无抵脚感，符合人体工程学原理；                                                                                                  </w:t>
            </w:r>
            <w:r>
              <w:rPr>
                <w:rFonts w:hint="eastAsia" w:ascii="宋体" w:hAnsi="宋体" w:eastAsia="宋体" w:cs="宋体"/>
                <w:i w:val="0"/>
                <w:iCs w:val="0"/>
                <w:color w:val="auto"/>
                <w:sz w:val="21"/>
                <w:szCs w:val="21"/>
                <w:highlight w:val="none"/>
                <w:u w:val="none"/>
                <w:lang w:val="en-US" w:eastAsia="zh-CN" w:bidi="ar"/>
              </w:rPr>
              <w:t xml:space="preserve">                             ▲不锈钢踢脚线：需符合GB/T 10125、GB/T 6461检测标准；检测内容包括但不限于：①乙酸盐雾试验≥40小时后，外观评级10级，保护评级10级；注：提供第三方产品监督检测机构（检测报告至少带CMA标识）出具检测报告以及在全国认证认可信息公共服务平台的查询截图，否则不予认可。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7、地柜可选择配置：双抽双开门柜、单抽单开门柜、双开门柜、单开门柜、六抽柜，水槽柜、高危药品柜（高危药品柜每个带两个机械锁）；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8、配置：抽屉及门板配嵌入式标签卡槽，中柜及上下柜内都有可调节层板；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9、柜子工艺：整体采用电阻焊接工艺，门与柜体的连接采用插销式门轴结构或铰链，门采用双层加工工艺，上柜柜门内嵌钢化玻璃，厚度≥5mm。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▲医用环保治疗柜：需符合GB/T 3325；JC/T 1074、HJ 2547、GB/T 1740检测标准；检测内容包括但不限于：①外观性能要求/金属件/喷涂层：(涂层应无漏喷、锈蚀和脱色、掉色现象,涂层应光滑均匀，色泽一致，应无流挂、疙瘩、皱皮、飞漆等缺陷)均符合；②</w:t>
            </w:r>
            <w:r>
              <w:rPr>
                <w:rFonts w:hint="eastAsia" w:ascii="宋体" w:hAnsi="宋体" w:eastAsia="宋体" w:cs="宋体"/>
                <w:i w:val="0"/>
                <w:iCs w:val="0"/>
                <w:color w:val="auto"/>
                <w:sz w:val="21"/>
                <w:szCs w:val="21"/>
                <w:highlight w:val="none"/>
                <w:u w:val="none"/>
                <w:lang w:val="en-US" w:eastAsia="zh-CN" w:bidi="ar"/>
              </w:rPr>
              <w:t xml:space="preserve">结构安全：（活动部件间距离≤5mm或≥25mm，抽屉、键盘、拉篮等推拉构件应有防脱落装置，人体接触或收藏物品的部位应无毛刺、刃口、棱角，固定部位的结合应牢固无松动、无少件、透钉、漏钉(预留孔、选择孔除外)均符合；③结构和底架强度试验：（所有部件、连接件应无断裂损坏，无严重影响使用功能的磨损或变形，用手揿压证实，紧固件应无松动，五金连件应无松动，活动部件(门、抽屉等)开关应灵活）均符合；④活动部件关闭时的空载稳定性:非固定柜应无倾翻，活动部件打开时的空载稳定性:非固定柜应无倾翻，均符合；⑤理化性能要求/金属喷</w:t>
            </w:r>
            <w:r>
              <w:rPr>
                <w:rFonts w:hint="eastAsia" w:ascii="宋体" w:hAnsi="宋体" w:eastAsia="宋体" w:cs="宋体"/>
                <w:i w:val="0"/>
                <w:iCs w:val="0"/>
                <w:color w:val="auto"/>
                <w:sz w:val="21"/>
                <w:szCs w:val="21"/>
                <w:highlight w:val="none"/>
                <w:u w:val="none"/>
                <w:lang w:val="en-US" w:eastAsia="zh-CN" w:bidi="ar"/>
              </w:rPr>
              <w:t xml:space="preserve">漆(塑)涂层：硬度≥3H；附着力不低于1级；冲击强度：冲击高度500mm，应无剥落、裂纹、皱纹；耐腐蚀（100h）：100h内，观察在溶液中样板上划道两侧3mm以外，应无鼓泡产生,100h后，检查划道两侧3mm以外，应无锈迹、剥落、起皱、变色和失光等现象,符合；⑥净化性能甲醛≥82%，耐湿热（500h），综合破坏等级1级；⑦可迁移元素限量：铅、镉、汞、铬、锑、钡、砷、硒均未检出；注：提供第三方产品监督检测机构（检测报告至少带CMA标识）出具检测报告以及在全国认证认可信息公共服务平台的查询截图，否则不予认可。</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66675</wp:posOffset>
                      </wp:positionH>
                      <wp:positionV relativeFrom="paragraph">
                        <wp:posOffset>1564640</wp:posOffset>
                      </wp:positionV>
                      <wp:extent cx="1180465" cy="781685"/>
                      <wp:effectExtent l="0" t="0" r="635" b="18415"/>
                      <wp:wrapNone/>
                      <wp:docPr id="7" name="图片_12"/>
                      <wp:cNvGraphicFramePr/>
                      <a:graphic xmlns:a="http://schemas.openxmlformats.org/drawingml/2006/main">
                        <a:graphicData uri="http://schemas.openxmlformats.org/drawingml/2006/picture">
                          <pic:pic xmlns:pic="http://schemas.openxmlformats.org/drawingml/2006/picture">
                            <pic:nvPicPr>
                              <pic:cNvPr id="12" name="图片_12"/>
                              <pic:cNvPicPr/>
                              <pic:nvPr/>
                            </pic:nvPicPr>
                            <pic:blipFill>
                              <a:blip r:embed="rId19"/>
                              <a:stretch/>
                            </pic:blipFill>
                            <pic:spPr bwMode="auto">
                              <a:xfrm>
                                <a:off x="0" y="0"/>
                                <a:ext cx="1180465" cy="7816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5.2pt;mso-position-horizontal:absolute;mso-position-vertical-relative:text;margin-top:123.2pt;mso-position-vertical:absolute;width:92.9pt;height:61.5pt;mso-wrap-distance-left:9.0pt;mso-wrap-distance-top:0.0pt;mso-wrap-distance-right:9.0pt;mso-wrap-distance-bottom:0.0pt;" stroked="f">
                      <v:path textboxrect="0,0,0,0"/>
                      <v:imagedata r:id="rId19" o:title=""/>
                    </v:shape>
                  </w:pict>
                </mc:Fallback>
              </mc:AlternateConten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21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处置柜</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7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一套包括（处置柜上柜（平板门）：1000*350*550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，处置柜下柜：800*630*</w:t>
            </w:r>
            <w:r>
              <w:rPr>
                <w:rFonts w:hint="eastAsia" w:ascii="宋体" w:hAnsi="宋体" w:cs="宋体"/>
                <w:i w:val="0"/>
                <w:iCs w:val="0"/>
                <w:color w:val="auto"/>
                <w:sz w:val="21"/>
                <w:szCs w:val="21"/>
                <w:highlight w:val="none"/>
                <w:u w:val="none"/>
                <w:lang w:val="en-US" w:eastAsia="zh-CN" w:bidi="ar"/>
              </w:rPr>
              <w:t xml:space="preserve">840mm</w:t>
            </w:r>
            <w:r>
              <w:rPr>
                <w:rFonts w:hint="eastAsia" w:ascii="宋体" w:hAnsi="宋体" w:eastAsia="宋体" w:cs="宋体"/>
                <w:i w:val="0"/>
                <w:iCs w:val="0"/>
                <w:color w:val="auto"/>
                <w:sz w:val="21"/>
                <w:szCs w:val="21"/>
                <w:highlight w:val="none"/>
                <w:u w:val="none"/>
                <w:lang w:val="en-US" w:eastAsia="zh-CN" w:bidi="ar"/>
              </w:rPr>
              <w:t xml:space="preserve">，垃圾处置柜：1000*630*</w:t>
            </w:r>
            <w:r>
              <w:rPr>
                <w:rFonts w:hint="eastAsia" w:ascii="宋体" w:hAnsi="宋体" w:cs="宋体"/>
                <w:i w:val="0"/>
                <w:iCs w:val="0"/>
                <w:color w:val="auto"/>
                <w:sz w:val="21"/>
                <w:szCs w:val="21"/>
                <w:highlight w:val="none"/>
                <w:u w:val="none"/>
                <w:lang w:val="en-US" w:eastAsia="zh-CN" w:bidi="ar"/>
              </w:rPr>
              <w:t xml:space="preserve">840mm</w:t>
            </w:r>
            <w:r>
              <w:rPr>
                <w:rFonts w:hint="eastAsia" w:ascii="宋体" w:hAnsi="宋体" w:eastAsia="宋体" w:cs="宋体"/>
                <w:i w:val="0"/>
                <w:iCs w:val="0"/>
                <w:color w:val="auto"/>
                <w:sz w:val="21"/>
                <w:szCs w:val="21"/>
                <w:highlight w:val="none"/>
                <w:u w:val="none"/>
                <w:lang w:val="en-US" w:eastAsia="zh-CN" w:bidi="ar"/>
              </w:rPr>
              <w:t xml:space="preserve">，垃圾处置不锈钢组件*2，处置柜台面：1800*650*12</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，SUS304不锈钢踢脚线3米，304不锈钢台盆*1，有机玻璃挡水*1：700*500*380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，肘触式高抛水龙头*1）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1、台面板：采用优质医用复合亚克力人造石，其材料厚度≥12mm，边缘加厚30mm。具有易清洁、抗污垢、耐冲击、耐高温、具有阻燃性、无毒等特点；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2、柜体：采用一级电解钢板，整体厚度≥1.0mm；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3、优质五金配件：304不锈钢缓冲铰链、三节导轨、优质锁具；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▲304不锈钢铰链：需符合QB/T 2189、QB/T 3826、QB/T 3832、QB/T 3827、GB/T 10125、GB/T 6461、QB/T 4371检测标准；检测内容包括但不限于：①过载：垂直静载荷:20kg,10次。无缺陷、水平静载荷:60N,10次。无缺陷)，符合要求；②功能：操作力：耐久试验前打开力≤8N、耐久试验前关闭力≤6N、耐久试验后打开力≤7N、耐久试验后关闭力≤</w:t>
            </w:r>
            <w:r>
              <w:rPr>
                <w:rFonts w:hint="eastAsia" w:ascii="宋体" w:hAnsi="宋体" w:eastAsia="宋体" w:cs="宋体"/>
                <w:i w:val="0"/>
                <w:iCs w:val="0"/>
                <w:color w:val="auto"/>
                <w:sz w:val="21"/>
                <w:szCs w:val="21"/>
                <w:highlight w:val="none"/>
                <w:u w:val="none"/>
                <w:lang w:val="en-US" w:eastAsia="zh-CN" w:bidi="ar"/>
              </w:rPr>
              <w:t xml:space="preserve">5N；垂直静载荷：15kg,10次。无缺陷；下沉量：在使用调整系统前，安装B型试验门时，下沉量不应大于1.2mm；③中性盐雾试验≥40h后，涂层本身耐腐蚀等级10级，涂层对基体保护等级10级；④乙酸盐雾试验≥40小时后，涂层本身耐腐蚀等级10级，涂层对基体保护等级10级；⑤铜加速乙酸盐雾（CASS）试验≥40小时后，外观评级10级，保护评级10级；⑥抗菌性能：抑菌率≥99.9%；注：提供第三方产品监督检测机构（检测报告至少带CMA标识）出具检测报告以及在全国认证认可信息公共服务平台的查询截图，否则不予认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▲导轨：需符合GB/T 700、GB/T 4336、GB/T 35607、QB/T 2454、GB/T 10125、GB/T 6461、QB/T 3826、QB/T 3832、QB/T 4371检测标准；检测内容包括但不限于：①功能（垂直向下静载荷：200N，10次。无缺陷；水平侧向静载荷：100N、各5次。无缺陷；拉出安全性：循环加载10次，无缺陷；猛关或猛开：10次，无缺陷</w:t>
            </w:r>
            <w:r>
              <w:rPr>
                <w:rFonts w:hint="eastAsia" w:ascii="宋体" w:hAnsi="宋体" w:eastAsia="宋体" w:cs="宋体"/>
                <w:i w:val="0"/>
                <w:iCs w:val="0"/>
                <w:color w:val="auto"/>
                <w:sz w:val="21"/>
                <w:szCs w:val="21"/>
                <w:highlight w:val="none"/>
                <w:u w:val="none"/>
                <w:lang w:val="en-US" w:eastAsia="zh-CN" w:bidi="ar"/>
              </w:rPr>
              <w:t xml:space="preserve">）均符合要求；②家具涂层可迁移元素（铅、镉、铬、汞、锑、砷、钡、硒）均未检出，均合格；③化学成分：C≤0.02%、Si≤0.01%、Mn≤0.13%、P≤0.016%、S≤0.008%，均合格；④铜加速乙酸盐雾（CASS）试验≥40小时后，外观评级10级，保护评级10级；中性盐雾试验≥40小时后，涂层本身耐腐蚀等级10级，涂层对基体保护等级10级；⑤抗菌性能：抑菌率≥99.9%。注：提供第三方产品监督检测机构（检测报告至少带CMA标识）出具检测报告以及在全国认证认可信息公共服务平台的查询截图，否则不予认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锁具：需符合GB21556、QB/T1621检测标准；检测内容包括但不限于：①保密度：锁舌伸出长度≥10mm；②牢固度（锁头固定连接静拉力：锁头直径不小于20mm的，在承受200N静拉力后，应无松动；锁舌侧向静载荷：锁舌在承受20</w:t>
            </w:r>
            <w:r>
              <w:rPr>
                <w:rFonts w:hint="eastAsia" w:ascii="宋体" w:hAnsi="宋体" w:eastAsia="宋体" w:cs="宋体"/>
                <w:i w:val="0"/>
                <w:iCs w:val="0"/>
                <w:color w:val="auto"/>
                <w:sz w:val="21"/>
                <w:szCs w:val="21"/>
                <w:highlight w:val="none"/>
                <w:u w:val="none"/>
                <w:lang w:val="en-US" w:eastAsia="zh-CN" w:bidi="ar"/>
              </w:rPr>
              <w:t xml:space="preserve">0N侧向静载荷后，应能正常使用；弹子锁、叶片锁使用寿命：锁头直径不小于20mm的弹子锁,叶片锁，使用寿命不应少于20000次）均合格；③灵活度（钥匙插拔、旋转：钥匙插拔应灵活，无卡滞现象;钥匙插入锁芯旋转灵活，锁开、关无卡阻现象；钥匙拔出静拉力：弹子锁不应大于6N，叶片锁不应大于9N；钥匙开启扭矩≤0.38N/m）均合格；④外观质量（锁头、钥匙：锁头、钥匙表面应平整光洁，商标字迹应清晰、端正）符合要求；⑤（锁头结构：锁头结构应具有不少于1项的防拨安全装置；锁舌伸出长度：锁舌伸出长度不少于8mm；锁头固定连接</w:t>
            </w:r>
            <w:r>
              <w:rPr>
                <w:rFonts w:hint="eastAsia" w:ascii="宋体" w:hAnsi="宋体" w:eastAsia="宋体" w:cs="宋体"/>
                <w:i w:val="0"/>
                <w:iCs w:val="0"/>
                <w:color w:val="auto"/>
                <w:sz w:val="21"/>
                <w:szCs w:val="21"/>
                <w:highlight w:val="none"/>
                <w:u w:val="none"/>
                <w:lang w:val="en-US" w:eastAsia="zh-CN" w:bidi="ar"/>
              </w:rPr>
              <w:t xml:space="preserve">静拉力：锁头直径不大于20mm，承受140N后，无松动；锁头固定连接扭矩：锁头直径不大于20mm，承受1.80N.m后，无松动；锁芯拔动件承受扭矩：锁芯拔动件在承受0.70N·m扭矩后，仍能正常使用；锁舌侧向静载荷试验：锁舌在承受200N侧向静载荷后，仍能正常使用；铆接件：各铆接件在承受200N静拉力后，仍能正常使用；使用寿命：锁头直径不大于20 mm，不少于5000次）均合格；注：提供第三方产品监督检测机构（检测报告至少带CMA标识）出具检测报告以及在全国认证认可信息公共服务平台的查询截图，否则不予认可。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4、拉手：一字折弯拉手；                                                                </w:t>
            </w:r>
            <w:r>
              <w:rPr>
                <w:rFonts w:hint="eastAsia" w:ascii="宋体" w:hAnsi="宋体" w:eastAsia="宋体" w:cs="宋体"/>
                <w:i w:val="0"/>
                <w:iCs w:val="0"/>
                <w:color w:val="auto"/>
                <w:sz w:val="21"/>
                <w:szCs w:val="21"/>
                <w:highlight w:val="none"/>
                <w:u w:val="none"/>
                <w:lang w:val="en-US" w:eastAsia="zh-CN" w:bidi="ar"/>
              </w:rPr>
              <w:t xml:space="preserve">                                                                                                                                                    ▲拉手：需符合GB/T 3325、GB/T 700、GB/T 35607、GB/T 4336、GB/T 228.1检测标准；检测内容包括但不限于：①金属喷漆(塑)涂层理化性能：附着力不低于0级；耐腐蚀100h内，观察</w:t>
            </w:r>
            <w:r>
              <w:rPr>
                <w:rFonts w:hint="eastAsia" w:ascii="宋体" w:hAnsi="宋体" w:eastAsia="宋体" w:cs="宋体"/>
                <w:i w:val="0"/>
                <w:iCs w:val="0"/>
                <w:color w:val="auto"/>
                <w:sz w:val="21"/>
                <w:szCs w:val="21"/>
                <w:highlight w:val="none"/>
                <w:u w:val="none"/>
                <w:lang w:val="en-US" w:eastAsia="zh-CN" w:bidi="ar"/>
              </w:rPr>
              <w:t xml:space="preserve">在溶液中样板上划道两侧3mm以外,应无鼓泡产生，100h后，检查划道两侧3mm外，应无锈迹、剥落、起皱、变色和失光等现象，符合要求；②家具涂层可迁移元素（铅、镉、铬、汞、锑、砷、钡、硒）均未检出；③化学成分：C≤0.02%、Si≤0.01%、Mn≤0.13%、P≤0.016%、S≤0.008%；④屈服强度≥260N/mm²、抗拉强度：400~430N/mm²、断后伸长率≥46%；注：提供第三方产品监督检测机构（检测报告至少带CMA标识）出具检测报告以及在全国认证认可信息公共服务平台的查询截图，否则不予认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5、粉末：采用优质环氧树脂抑菌粉末静电喷涂；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6、踢脚线：踢脚线部分采用≥0.8mm厚304油磨拉丝不锈钢板制作，比柜体前端面缩进尺寸为20mm，高150mm，操作时无抵脚感，符合人体工程学原理；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7、地柜可选择配置：双抽双开门柜、单抽单开门柜、双开门柜、单开门柜、水槽柜；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8、配置：抽屉及门板配嵌入式标签卡槽，中柜及上下柜内都有可调节层板，水槽处设亚克力挡水装置，亚克力厚度≥8mm；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9、垃圾柜工艺：一体成形PP垃圾盖、一体成形304不锈钢投放口、一体成形PP脚踏板、304不锈钢脚踏转动装置两根支撑杆支撑PP盖墙面开启方式、脚踏转动装置无裸露并有预留检修口；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10、柜子工艺：整体采用电阻焊接工艺，门与柜体的连接采用插销式门轴结构或铰链，门采用双层加工工艺，上柜柜门内嵌钢化玻璃，厚度≥5mm。                                                                         </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38100</wp:posOffset>
                      </wp:positionH>
                      <wp:positionV relativeFrom="paragraph">
                        <wp:posOffset>-55245</wp:posOffset>
                      </wp:positionV>
                      <wp:extent cx="1180465" cy="781685"/>
                      <wp:effectExtent l="0" t="0" r="635" b="18415"/>
                      <wp:wrapNone/>
                      <wp:docPr id="8" name="图片_11"/>
                      <wp:cNvGraphicFramePr/>
                      <a:graphic xmlns:a="http://schemas.openxmlformats.org/drawingml/2006/main">
                        <a:graphicData uri="http://schemas.openxmlformats.org/drawingml/2006/picture">
                          <pic:pic xmlns:pic="http://schemas.openxmlformats.org/drawingml/2006/picture">
                            <pic:nvPicPr>
                              <pic:cNvPr id="13" name="图片_11"/>
                              <pic:cNvPicPr/>
                              <pic:nvPr/>
                            </pic:nvPicPr>
                            <pic:blipFill>
                              <a:blip r:embed="rId19"/>
                              <a:stretch/>
                            </pic:blipFill>
                            <pic:spPr bwMode="auto">
                              <a:xfrm>
                                <a:off x="0" y="0"/>
                                <a:ext cx="1180465" cy="7816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3.0pt;mso-position-horizontal:absolute;mso-position-vertical-relative:text;margin-top:-4.3pt;mso-position-vertical:absolute;width:92.9pt;height:61.5pt;mso-wrap-distance-left:9.0pt;mso-wrap-distance-top:0.0pt;mso-wrap-distance-right:9.0pt;mso-wrap-distance-bottom:0.0pt;" stroked="f">
                      <v:path textboxrect="0,0,0,0"/>
                      <v:imagedata r:id="rId19" o:title=""/>
                    </v:shape>
                  </w:pict>
                </mc:Fallback>
              </mc:AlternateConten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21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医用</w:t>
            </w:r>
            <w:r>
              <w:rPr>
                <w:rFonts w:hint="eastAsia" w:ascii="宋体" w:hAnsi="宋体" w:cs="宋体"/>
                <w:i w:val="0"/>
                <w:iCs w:val="0"/>
                <w:color w:val="auto"/>
                <w:sz w:val="21"/>
                <w:szCs w:val="21"/>
                <w:highlight w:val="none"/>
                <w:u w:val="none"/>
                <w:lang w:val="en-US" w:eastAsia="zh-CN" w:bidi="ar"/>
              </w:rPr>
              <w:t xml:space="preserve">环保</w:t>
            </w:r>
            <w:r>
              <w:rPr>
                <w:rFonts w:hint="eastAsia" w:ascii="宋体" w:hAnsi="宋体" w:eastAsia="宋体" w:cs="宋体"/>
                <w:i w:val="0"/>
                <w:iCs w:val="0"/>
                <w:color w:val="auto"/>
                <w:sz w:val="21"/>
                <w:szCs w:val="21"/>
                <w:highlight w:val="none"/>
                <w:u w:val="none"/>
                <w:lang w:val="en-US" w:eastAsia="zh-CN" w:bidi="ar"/>
              </w:rPr>
              <w:t xml:space="preserve">治疗柜</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7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一套包括（配药柜下柜：1200*630*</w:t>
            </w:r>
            <w:r>
              <w:rPr>
                <w:rFonts w:hint="eastAsia" w:ascii="宋体" w:hAnsi="宋体" w:cs="宋体"/>
                <w:i w:val="0"/>
                <w:iCs w:val="0"/>
                <w:color w:val="auto"/>
                <w:sz w:val="21"/>
                <w:szCs w:val="21"/>
                <w:highlight w:val="none"/>
                <w:u w:val="none"/>
                <w:lang w:val="en-US" w:eastAsia="zh-CN" w:bidi="ar"/>
              </w:rPr>
              <w:t xml:space="preserve">840mm</w:t>
            </w:r>
            <w:r>
              <w:rPr>
                <w:rFonts w:hint="eastAsia" w:ascii="宋体" w:hAnsi="宋体" w:eastAsia="宋体" w:cs="宋体"/>
                <w:i w:val="0"/>
                <w:iCs w:val="0"/>
                <w:color w:val="auto"/>
                <w:sz w:val="21"/>
                <w:szCs w:val="21"/>
                <w:highlight w:val="none"/>
                <w:u w:val="none"/>
                <w:lang w:val="en-US" w:eastAsia="zh-CN" w:bidi="ar"/>
              </w:rPr>
              <w:t xml:space="preserve">，配药柜台面：1200*650*12</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，SUS304不锈钢踢脚线1.8米，304不锈钢台盆*1，有机玻璃挡水*1：700*500*380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，肘触式高抛水龙头*1）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1、台面板：采用优质医用复合亚克力人造石，其材料厚度≥12mm，边缘加厚30mm。具有易清洁、抗污垢、耐冲击、耐高温、具有阻燃性、无毒等特点；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2、柜体：采用一级电解钢板，整体厚度≥1.0mm；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3、优质五金配件：304不锈钢缓冲铰链、三节导轨、优质锁具；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4、拉手：一字折弯拉手；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5、粉末：采用优质环氧树脂抑菌粉末静电喷涂；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6、踢脚线：踢脚线部分采用≥0.8mm厚304油磨拉丝不锈钢板制作，比柜体前端面缩进尺寸为20mm，高150mm，操作时无抵脚感，符合人体工程学原理；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7、地柜可选择配置：双抽双开门柜、单抽单开门柜、双开门柜、单开门柜、六抽柜，水槽柜、高危药品柜（高危药品柜每个带两个机械锁）；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8、配置：抽屉及门板配嵌入式标签卡槽，中柜及上下柜内都有可调节层板；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9、柜子工艺：整体采用电阻焊接工艺，门与柜体的连接采用插销式门轴结构或铰链，门采用双层加工工艺，上柜柜门内嵌钢化玻璃，厚度≥5mm。</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66675</wp:posOffset>
                      </wp:positionH>
                      <wp:positionV relativeFrom="paragraph">
                        <wp:posOffset>359410</wp:posOffset>
                      </wp:positionV>
                      <wp:extent cx="1201420" cy="564515"/>
                      <wp:effectExtent l="0" t="0" r="17780" b="6985"/>
                      <wp:wrapNone/>
                      <wp:docPr id="9" name="图片_19"/>
                      <wp:cNvGraphicFramePr/>
                      <a:graphic xmlns:a="http://schemas.openxmlformats.org/drawingml/2006/main">
                        <a:graphicData uri="http://schemas.openxmlformats.org/drawingml/2006/picture">
                          <pic:pic xmlns:pic="http://schemas.openxmlformats.org/drawingml/2006/picture">
                            <pic:nvPicPr>
                              <pic:cNvPr id="5" name="图片_19"/>
                              <pic:cNvPicPr/>
                              <pic:nvPr/>
                            </pic:nvPicPr>
                            <pic:blipFill>
                              <a:blip r:embed="rId20"/>
                              <a:stretch/>
                            </pic:blipFill>
                            <pic:spPr bwMode="auto">
                              <a:xfrm>
                                <a:off x="0" y="0"/>
                                <a:ext cx="1201420" cy="5645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5.2pt;mso-position-horizontal:absolute;mso-position-vertical-relative:text;margin-top:28.3pt;mso-position-vertical:absolute;width:94.6pt;height:44.4pt;mso-wrap-distance-left:9.0pt;mso-wrap-distance-top:0.0pt;mso-wrap-distance-right:9.0pt;mso-wrap-distance-bottom:0.0pt;" stroked="f">
                      <v:path textboxrect="0,0,0,0"/>
                      <v:imagedata r:id="rId20" o:title=""/>
                    </v:shape>
                  </w:pict>
                </mc:Fallback>
              </mc:AlternateConten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21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医用</w:t>
            </w:r>
            <w:r>
              <w:rPr>
                <w:rFonts w:hint="eastAsia" w:ascii="宋体" w:hAnsi="宋体" w:cs="宋体"/>
                <w:i w:val="0"/>
                <w:iCs w:val="0"/>
                <w:color w:val="auto"/>
                <w:sz w:val="21"/>
                <w:szCs w:val="21"/>
                <w:highlight w:val="none"/>
                <w:u w:val="none"/>
                <w:lang w:val="en-US" w:eastAsia="zh-CN" w:bidi="ar"/>
              </w:rPr>
              <w:t xml:space="preserve">环保</w:t>
            </w:r>
            <w:r>
              <w:rPr>
                <w:rFonts w:hint="eastAsia" w:ascii="宋体" w:hAnsi="宋体" w:eastAsia="宋体" w:cs="宋体"/>
                <w:i w:val="0"/>
                <w:iCs w:val="0"/>
                <w:color w:val="auto"/>
                <w:sz w:val="21"/>
                <w:szCs w:val="21"/>
                <w:highlight w:val="none"/>
                <w:u w:val="none"/>
                <w:lang w:val="en-US" w:eastAsia="zh-CN" w:bidi="ar"/>
              </w:rPr>
              <w:t xml:space="preserve">治疗柜</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07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一套包括（治疗柜上柜（玻璃门）：1200*350*550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，治疗柜中柜：1200*350*600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，治疗柜下柜：1200*630*</w:t>
            </w:r>
            <w:r>
              <w:rPr>
                <w:rFonts w:hint="eastAsia" w:ascii="宋体" w:hAnsi="宋体" w:cs="宋体"/>
                <w:i w:val="0"/>
                <w:iCs w:val="0"/>
                <w:color w:val="auto"/>
                <w:sz w:val="21"/>
                <w:szCs w:val="21"/>
                <w:highlight w:val="none"/>
                <w:u w:val="none"/>
                <w:lang w:val="en-US" w:eastAsia="zh-CN" w:bidi="ar"/>
              </w:rPr>
              <w:t xml:space="preserve">840mm</w:t>
            </w:r>
            <w:r>
              <w:rPr>
                <w:rFonts w:hint="eastAsia" w:ascii="宋体" w:hAnsi="宋体" w:eastAsia="宋体" w:cs="宋体"/>
                <w:i w:val="0"/>
                <w:iCs w:val="0"/>
                <w:color w:val="auto"/>
                <w:sz w:val="21"/>
                <w:szCs w:val="21"/>
                <w:highlight w:val="none"/>
                <w:u w:val="none"/>
                <w:lang w:val="en-US" w:eastAsia="zh-CN" w:bidi="ar"/>
              </w:rPr>
              <w:t xml:space="preserve">，0.7米LED感应灯*2，治疗柜台面：1200*650*12</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1、台面板：采用优质医用复合亚克力人造石，其材料厚度≥12mm，边缘加厚30mm。具有易清洁、抗污垢、耐冲击、耐高温、具有阻燃性、无毒等特点；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2、柜体：采用一级电解钢板，整体厚度≥1.0mm；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3、优质五金配件：304不锈钢缓冲铰链、三节导轨、优质锁具；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4、拉手：一字折弯拉手；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5、粉末：采用优质环氧树脂抑菌粉末静电喷涂；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6、踢脚线：踢脚线部分采用≥0.8mm厚304油磨拉丝不锈钢板制作，比柜体前端面缩进尺寸为20mm，高150mm，操作时无抵脚感，符合人体工程学原理；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7、地柜可选择配置：双抽双开门柜、单抽单开门柜、双开门柜、单开门柜、六抽柜，水槽柜、高危药品柜（高危药品柜每个带两个机械锁）；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8、配置：抽屉及门板配嵌入式标签卡槽，中柜及上下柜内都有可调节层板；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9、柜子工艺：整体采用电阻焊接工艺，门与柜体的连接采用插销式门轴结构或铰链，门采用双层加工工艺，上柜柜门内嵌钢化玻璃，厚度≥5mm。</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78105</wp:posOffset>
                      </wp:positionH>
                      <wp:positionV relativeFrom="paragraph">
                        <wp:posOffset>573405</wp:posOffset>
                      </wp:positionV>
                      <wp:extent cx="1180465" cy="781685"/>
                      <wp:effectExtent l="0" t="0" r="635" b="18415"/>
                      <wp:wrapNone/>
                      <wp:docPr id="10" name="图片_3"/>
                      <wp:cNvGraphicFramePr/>
                      <a:graphic xmlns:a="http://schemas.openxmlformats.org/drawingml/2006/main">
                        <a:graphicData uri="http://schemas.openxmlformats.org/drawingml/2006/picture">
                          <pic:pic xmlns:pic="http://schemas.openxmlformats.org/drawingml/2006/picture">
                            <pic:nvPicPr>
                              <pic:cNvPr id="6" name="图片_3"/>
                              <pic:cNvPicPr/>
                              <pic:nvPr/>
                            </pic:nvPicPr>
                            <pic:blipFill>
                              <a:blip r:embed="rId19"/>
                              <a:stretch/>
                            </pic:blipFill>
                            <pic:spPr bwMode="auto">
                              <a:xfrm>
                                <a:off x="0" y="0"/>
                                <a:ext cx="1180465" cy="7816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9264;o:allowoverlap:true;o:allowincell:true;mso-position-horizontal-relative:text;margin-left:6.1pt;mso-position-horizontal:absolute;mso-position-vertical-relative:text;margin-top:45.1pt;mso-position-vertical:absolute;width:92.9pt;height:61.5pt;mso-wrap-distance-left:9.0pt;mso-wrap-distance-top:0.0pt;mso-wrap-distance-right:9.0pt;mso-wrap-distance-bottom:0.0pt;" stroked="f">
                      <v:path textboxrect="0,0,0,0"/>
                      <v:imagedata r:id="rId19" o:title=""/>
                    </v:shape>
                  </w:pict>
                </mc:Fallback>
              </mc:AlternateConten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21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医用</w:t>
            </w:r>
            <w:r>
              <w:rPr>
                <w:rFonts w:hint="eastAsia" w:ascii="宋体" w:hAnsi="宋体" w:cs="宋体"/>
                <w:i w:val="0"/>
                <w:iCs w:val="0"/>
                <w:color w:val="auto"/>
                <w:sz w:val="21"/>
                <w:szCs w:val="21"/>
                <w:highlight w:val="none"/>
                <w:u w:val="none"/>
                <w:lang w:val="en-US" w:eastAsia="zh-CN" w:bidi="ar"/>
              </w:rPr>
              <w:t xml:space="preserve">环保</w:t>
            </w:r>
            <w:r>
              <w:rPr>
                <w:rFonts w:hint="eastAsia" w:ascii="宋体" w:hAnsi="宋体" w:eastAsia="宋体" w:cs="宋体"/>
                <w:i w:val="0"/>
                <w:iCs w:val="0"/>
                <w:color w:val="auto"/>
                <w:sz w:val="21"/>
                <w:szCs w:val="21"/>
                <w:highlight w:val="none"/>
                <w:u w:val="none"/>
                <w:lang w:val="en-US" w:eastAsia="zh-CN" w:bidi="ar"/>
              </w:rPr>
              <w:t xml:space="preserve">治治疗柜</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07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一套包括（治疗柜上柜（玻璃门）：2400*350*550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，治疗柜中柜：2400*350*600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，治疗柜下柜：2400*630*</w:t>
            </w:r>
            <w:r>
              <w:rPr>
                <w:rFonts w:hint="eastAsia" w:ascii="宋体" w:hAnsi="宋体" w:cs="宋体"/>
                <w:i w:val="0"/>
                <w:iCs w:val="0"/>
                <w:color w:val="auto"/>
                <w:sz w:val="21"/>
                <w:szCs w:val="21"/>
                <w:highlight w:val="none"/>
                <w:u w:val="none"/>
                <w:lang w:val="en-US" w:eastAsia="zh-CN" w:bidi="ar"/>
              </w:rPr>
              <w:t xml:space="preserve">840mm</w:t>
            </w:r>
            <w:r>
              <w:rPr>
                <w:rFonts w:hint="eastAsia" w:ascii="宋体" w:hAnsi="宋体" w:eastAsia="宋体" w:cs="宋体"/>
                <w:i w:val="0"/>
                <w:iCs w:val="0"/>
                <w:color w:val="auto"/>
                <w:sz w:val="21"/>
                <w:szCs w:val="21"/>
                <w:highlight w:val="none"/>
                <w:u w:val="none"/>
                <w:lang w:val="en-US" w:eastAsia="zh-CN" w:bidi="ar"/>
              </w:rPr>
              <w:t xml:space="preserve">，0.7米LED感应灯*2，治疗柜台面：2400*650*12</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，SUS304不锈钢踢脚线3.6米）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1、台面板：采用优质医用复合亚克力人造石，其材料厚度≥12mm，边缘加厚30mm。具有易清洁、抗污垢、耐冲击、耐高温、具有阻燃性、无毒等特点；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2、柜体：采用一级电解钢板，整体厚度≥1.0mm；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3、优质五金配件：304不锈钢缓冲铰链、三节导轨、优质锁具；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4、拉手：一字折弯拉手；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5、粉末：采用优质环氧树脂抑菌粉末静电喷涂；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6、踢脚线：踢脚线部分采用≥0.8mm厚304油磨拉丝不锈钢板制作，比柜体前端面缩进尺寸为20mm，高150mm，操作时无抵脚感，符合人体工程学原理；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7、地柜可选择配置：双抽双开门柜、单抽单开门柜、双开门柜、单开门柜、六抽柜，水槽柜、高危药品柜（高危药品柜每个带两个机械锁）；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8、配置：抽屉及门板配嵌入式标签卡槽，中柜及上下柜内都有可调节层板；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9、柜子工艺：整体采用电阻焊接工艺，门与柜体的连接采用插销式门轴结构或铰链，门采用双层加工工艺，上柜柜门内嵌钢化玻璃，厚度≥5mm。</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58420</wp:posOffset>
                      </wp:positionH>
                      <wp:positionV relativeFrom="paragraph">
                        <wp:posOffset>1009015</wp:posOffset>
                      </wp:positionV>
                      <wp:extent cx="1180465" cy="781685"/>
                      <wp:effectExtent l="0" t="0" r="635" b="18415"/>
                      <wp:wrapNone/>
                      <wp:docPr id="11" name="图片_1"/>
                      <wp:cNvGraphicFramePr/>
                      <a:graphic xmlns:a="http://schemas.openxmlformats.org/drawingml/2006/main">
                        <a:graphicData uri="http://schemas.openxmlformats.org/drawingml/2006/picture">
                          <pic:pic xmlns:pic="http://schemas.openxmlformats.org/drawingml/2006/picture">
                            <pic:nvPicPr>
                              <pic:cNvPr id="7" name="图片_1"/>
                              <pic:cNvPicPr/>
                              <pic:nvPr/>
                            </pic:nvPicPr>
                            <pic:blipFill>
                              <a:blip r:embed="rId19"/>
                              <a:stretch/>
                            </pic:blipFill>
                            <pic:spPr bwMode="auto">
                              <a:xfrm>
                                <a:off x="0" y="0"/>
                                <a:ext cx="1180465" cy="7816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9264;o:allowoverlap:true;o:allowincell:true;mso-position-horizontal-relative:text;margin-left:4.6pt;mso-position-horizontal:absolute;mso-position-vertical-relative:text;margin-top:79.5pt;mso-position-vertical:absolute;width:92.9pt;height:61.5pt;mso-wrap-distance-left:9.0pt;mso-wrap-distance-top:0.0pt;mso-wrap-distance-right:9.0pt;mso-wrap-distance-bottom:0.0pt;" stroked="f">
                      <v:path textboxrect="0,0,0,0"/>
                      <v:imagedata r:id="rId19" o:title=""/>
                    </v:shape>
                  </w:pict>
                </mc:Fallback>
              </mc:AlternateConten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21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医用</w:t>
            </w:r>
            <w:r>
              <w:rPr>
                <w:rFonts w:hint="eastAsia" w:ascii="宋体" w:hAnsi="宋体" w:cs="宋体"/>
                <w:i w:val="0"/>
                <w:iCs w:val="0"/>
                <w:color w:val="auto"/>
                <w:sz w:val="21"/>
                <w:szCs w:val="21"/>
                <w:highlight w:val="none"/>
                <w:u w:val="none"/>
                <w:lang w:val="en-US" w:eastAsia="zh-CN" w:bidi="ar"/>
              </w:rPr>
              <w:t xml:space="preserve">环保</w:t>
            </w:r>
            <w:r>
              <w:rPr>
                <w:rFonts w:hint="eastAsia" w:ascii="宋体" w:hAnsi="宋体" w:eastAsia="宋体" w:cs="宋体"/>
                <w:i w:val="0"/>
                <w:iCs w:val="0"/>
                <w:color w:val="auto"/>
                <w:sz w:val="21"/>
                <w:szCs w:val="21"/>
                <w:highlight w:val="none"/>
                <w:u w:val="none"/>
                <w:lang w:val="en-US" w:eastAsia="zh-CN" w:bidi="ar"/>
              </w:rPr>
              <w:t xml:space="preserve">治疗柜</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7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一套包括（治疗柜上柜（玻璃门）：5670*350*550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，治疗柜中柜：5670*350*600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，治疗柜下柜：3850*630*</w:t>
            </w:r>
            <w:r>
              <w:rPr>
                <w:rFonts w:hint="eastAsia" w:ascii="宋体" w:hAnsi="宋体" w:cs="宋体"/>
                <w:i w:val="0"/>
                <w:iCs w:val="0"/>
                <w:color w:val="auto"/>
                <w:sz w:val="21"/>
                <w:szCs w:val="21"/>
                <w:highlight w:val="none"/>
                <w:u w:val="none"/>
                <w:lang w:val="en-US" w:eastAsia="zh-CN" w:bidi="ar"/>
              </w:rPr>
              <w:t xml:space="preserve">840mm</w:t>
            </w:r>
            <w:r>
              <w:rPr>
                <w:rFonts w:hint="eastAsia" w:ascii="宋体" w:hAnsi="宋体" w:eastAsia="宋体" w:cs="宋体"/>
                <w:i w:val="0"/>
                <w:iCs w:val="0"/>
                <w:color w:val="auto"/>
                <w:sz w:val="21"/>
                <w:szCs w:val="21"/>
                <w:highlight w:val="none"/>
                <w:u w:val="none"/>
                <w:lang w:val="en-US" w:eastAsia="zh-CN" w:bidi="ar"/>
              </w:rPr>
              <w:t xml:space="preserve">，治疗柜台面：5670*650*12</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，SUS304不锈钢踢脚线，输液柜：470*650*2000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5616575</wp:posOffset>
                      </wp:positionH>
                      <wp:positionV relativeFrom="paragraph">
                        <wp:posOffset>1052830</wp:posOffset>
                      </wp:positionV>
                      <wp:extent cx="1180465" cy="781685"/>
                      <wp:effectExtent l="0" t="0" r="635" b="18415"/>
                      <wp:wrapNone/>
                      <wp:docPr id="12" name="图片_4"/>
                      <wp:cNvGraphicFramePr/>
                      <a:graphic xmlns:a="http://schemas.openxmlformats.org/drawingml/2006/main">
                        <a:graphicData uri="http://schemas.openxmlformats.org/drawingml/2006/picture">
                          <pic:pic xmlns:pic="http://schemas.openxmlformats.org/drawingml/2006/picture">
                            <pic:nvPicPr>
                              <pic:cNvPr id="8" name="图片_4"/>
                              <pic:cNvPicPr/>
                              <pic:nvPr/>
                            </pic:nvPicPr>
                            <pic:blipFill>
                              <a:blip r:embed="rId19"/>
                              <a:stretch/>
                            </pic:blipFill>
                            <pic:spPr bwMode="auto">
                              <a:xfrm>
                                <a:off x="0" y="0"/>
                                <a:ext cx="1180465" cy="7816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9264;o:allowoverlap:true;o:allowincell:true;mso-position-horizontal-relative:text;margin-left:442.2pt;mso-position-horizontal:absolute;mso-position-vertical-relative:text;margin-top:82.9pt;mso-position-vertical:absolute;width:92.9pt;height:61.5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i w:val="0"/>
                <w:iCs w:val="0"/>
                <w:color w:val="auto"/>
                <w:sz w:val="21"/>
                <w:szCs w:val="21"/>
                <w:highlight w:val="none"/>
                <w:u w:val="none"/>
                <w:lang w:val="en-US" w:eastAsia="zh-CN" w:bidi="ar"/>
              </w:rPr>
              <w:t xml:space="preserve">六抽柜：800*630*</w:t>
            </w:r>
            <w:r>
              <w:rPr>
                <w:rFonts w:hint="eastAsia" w:ascii="宋体" w:hAnsi="宋体" w:cs="宋体"/>
                <w:i w:val="0"/>
                <w:iCs w:val="0"/>
                <w:color w:val="auto"/>
                <w:sz w:val="21"/>
                <w:szCs w:val="21"/>
                <w:highlight w:val="none"/>
                <w:u w:val="none"/>
                <w:lang w:val="en-US" w:eastAsia="zh-CN" w:bidi="ar"/>
              </w:rPr>
              <w:t xml:space="preserve">840mm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高危药品柜：500*630*</w:t>
            </w:r>
            <w:r>
              <w:rPr>
                <w:rFonts w:hint="eastAsia" w:ascii="宋体" w:hAnsi="宋体" w:cs="宋体"/>
                <w:i w:val="0"/>
                <w:iCs w:val="0"/>
                <w:color w:val="auto"/>
                <w:sz w:val="21"/>
                <w:szCs w:val="21"/>
                <w:highlight w:val="none"/>
                <w:u w:val="none"/>
                <w:lang w:val="en-US" w:eastAsia="zh-CN" w:bidi="ar"/>
              </w:rPr>
              <w:t xml:space="preserve">840mm</w:t>
            </w:r>
            <w:r>
              <w:rPr>
                <w:rFonts w:hint="eastAsia" w:ascii="宋体" w:hAnsi="宋体" w:eastAsia="宋体" w:cs="宋体"/>
                <w:i w:val="0"/>
                <w:iCs w:val="0"/>
                <w:color w:val="auto"/>
                <w:sz w:val="21"/>
                <w:szCs w:val="21"/>
                <w:highlight w:val="none"/>
                <w:u w:val="none"/>
                <w:lang w:val="en-US" w:eastAsia="zh-CN" w:bidi="ar"/>
              </w:rPr>
              <w:t xml:space="preserve">，高危药品密码锁，ABS抗菌药品盒：大中小共5个，304不锈钢台盆*1，有机玻璃挡水*1：700*500*380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，肘式高抛水龙头*1）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1、台面板：采用优质医用复合亚克力人造石，其材料厚度≥12mm，边缘加厚30mm。具有易清洁、抗污垢、耐冲击、耐高温、具有阻燃性、无毒等特点；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2、柜体：采用一级电解钢板，整体厚度≥1.0mm；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3、优质五金配件：304不锈钢缓冲铰链、三节导轨、优质锁具；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4、拉手：一字折弯拉手；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5、粉末：采用优质环氧树脂抑菌粉末静电喷涂；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6、踢脚线：踢脚线部分采用≥0.8mm厚304油磨拉丝不锈钢板制作，比柜体前端面缩进尺寸为20mm，高150mm，操作时无抵脚感，符合人体工程学原理；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7、地柜可选择配置：双抽双开门柜、单抽单开门柜、双开门柜、单开门柜、六抽柜，水槽柜、高危药品柜（高危药品柜每个带两个机械锁）；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8、配置：抽屉及门板配嵌入式标签卡槽，中柜及上下柜内都有可调节层板；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9、柜子工艺：整体采用电阻焊接工艺，门与柜体的连接采用插销式门轴结构或铰链，门采用双层加工工艺，上柜柜门内嵌钢化玻璃，厚度≥5mm。</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21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304不锈钢清洗池</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07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尺寸：1000*600*1100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1、主要材料：采用304不锈钢板材，具有不易生锈、防蚀等特点；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2、主要板材厚度：台面、水池板厚度≥1.0mm；侧板、门板厚度≥0.8mm；加强管料用≥1.0mm；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3、柜门为双层结构，带缓冲功能；底脚为4个可调圆管脚，离地120mm高；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5、功能配置：304不锈钢缓冲铰链，冷热双控水龙头等；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6、所有工件经数控激光切割、模具冲压、数控折弯、亚弧焊接、机器打磨、抛光、拉丝而成。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▲不锈钢清洗池：需符合GB/T3325、GB 24820、QB/T3827、QB/T3832、GB/T10125、GB/T6461检测标准；检测内容包括但不限于：①结构安全：人体接触或收藏物品的部位应无毛刺、刃口、棱角；固</w:t>
            </w:r>
            <w:r>
              <w:rPr>
                <w:rFonts w:hint="eastAsia" w:ascii="宋体" w:hAnsi="宋体" w:eastAsia="宋体" w:cs="宋体"/>
                <w:i w:val="0"/>
                <w:iCs w:val="0"/>
                <w:color w:val="auto"/>
                <w:sz w:val="21"/>
                <w:szCs w:val="21"/>
                <w:highlight w:val="none"/>
                <w:u w:val="none"/>
                <w:lang w:val="en-US" w:eastAsia="zh-CN" w:bidi="ar"/>
              </w:rPr>
              <w:t xml:space="preserve">定部位的结合应牢固无松动、无少件、透钉、漏钉（预留孔、选择孔除外），符合要求；②柜类稳定性：（搁板水平加载稳定性：无脱落；搁板垂直加载稳定性：无倾翻；非固定柜加载稳定性试验：无倾翻）合格；③金属喷漆(塑)涂层硬度≥5H，合格；④铜加速乙酸盐雾（CASS）试验≥40小时后，外观评级10级，保护评级10级；⑤乙酸盐雾试验≥40h后，涂层本身耐腐蚀等级10级，涂层对基体保护等级10级；注：提供第三方产品监督检测机构（检测报告至少带CMA标识）出具检测报告以及在全国认证认可信息公共服务平台的查询截图，否则不予认可。</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294005</wp:posOffset>
                      </wp:positionH>
                      <wp:positionV relativeFrom="paragraph">
                        <wp:posOffset>669925</wp:posOffset>
                      </wp:positionV>
                      <wp:extent cx="727075" cy="1012190"/>
                      <wp:effectExtent l="0" t="0" r="15875" b="16510"/>
                      <wp:wrapNone/>
                      <wp:docPr id="13" name="图片_5"/>
                      <wp:cNvGraphicFramePr/>
                      <a:graphic xmlns:a="http://schemas.openxmlformats.org/drawingml/2006/main">
                        <a:graphicData uri="http://schemas.openxmlformats.org/drawingml/2006/picture">
                          <pic:pic xmlns:pic="http://schemas.openxmlformats.org/drawingml/2006/picture">
                            <pic:nvPicPr>
                              <pic:cNvPr id="9" name="图片_5"/>
                              <pic:cNvPicPr/>
                              <pic:nvPr/>
                            </pic:nvPicPr>
                            <pic:blipFill>
                              <a:blip r:embed="rId21"/>
                              <a:stretch/>
                            </pic:blipFill>
                            <pic:spPr bwMode="auto">
                              <a:xfrm>
                                <a:off x="0" y="0"/>
                                <a:ext cx="727075" cy="10121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9264;o:allowoverlap:true;o:allowincell:true;mso-position-horizontal-relative:text;margin-left:23.1pt;mso-position-horizontal:absolute;mso-position-vertical-relative:text;margin-top:52.8pt;mso-position-vertical:absolute;width:57.2pt;height:79.7pt;mso-wrap-distance-left:9.0pt;mso-wrap-distance-top:0.0pt;mso-wrap-distance-right:9.0pt;mso-wrap-distance-bottom:0.0pt;" stroked="f">
                      <v:path textboxrect="0,0,0,0"/>
                      <v:imagedata r:id="rId21" o:title=""/>
                    </v:shape>
                  </w:pict>
                </mc:Fallback>
              </mc:AlternateConten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21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医用鞋柜</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07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换鞋柜：1200*400*1500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2、主要板材厚度：整体厚度≥0.8mm；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3、配置：顶板配≥25mm厚EO级实木多层板，三聚氰胺纸饰面，2.0mm厚PVC封边条封边。；                                             </w:t>
            </w:r>
            <w:r>
              <w:rPr>
                <w:rFonts w:hint="eastAsia" w:ascii="宋体" w:hAnsi="宋体" w:eastAsia="宋体" w:cs="宋体"/>
                <w:i w:val="0"/>
                <w:iCs w:val="0"/>
                <w:color w:val="auto"/>
                <w:sz w:val="21"/>
                <w:szCs w:val="21"/>
                <w:highlight w:val="none"/>
                <w:u w:val="none"/>
                <w:lang w:val="en-US" w:eastAsia="zh-CN" w:bidi="ar"/>
              </w:rPr>
              <w:t xml:space="preserve">                                                                                         ▲实木多层板：需符合GB 18580、GB/T 17657、GB/T 9846、HJ571、LY/T 3236、GB/T29899、LY/T 1926、QB/T 2761、GB/T 18204.2检测标准；检测内容包括但不限于：①阔叶树材胶合板外质量：（针节、活节、半活节、死节、夹皮、半活节、死节、夹皮、木材异常结构、裂缝、虫孔、排</w:t>
            </w:r>
            <w:r>
              <w:rPr>
                <w:rFonts w:hint="eastAsia" w:ascii="宋体" w:hAnsi="宋体" w:eastAsia="宋体" w:cs="宋体"/>
                <w:i w:val="0"/>
                <w:iCs w:val="0"/>
                <w:color w:val="auto"/>
                <w:sz w:val="21"/>
                <w:szCs w:val="21"/>
                <w:highlight w:val="none"/>
                <w:u w:val="none"/>
                <w:lang w:val="en-US" w:eastAsia="zh-CN" w:bidi="ar"/>
              </w:rPr>
              <w:t xml:space="preserve">钉孔、孔洞、变色、腐朽、树胶道、表板拼接离缝、表板叠层、芯板叠离、长中板叠离、鼓泡、分层、凹陷、压痕、鼓包、毛刺沟痕、表板砂透、透胶及其他人为污染、补片、补条、内含铝质书钉、板边缺损）均符合要求；②理化性能：（含水率平均值:5%~16%、合格试件数等于或大于有效试件总数的100%，胶合强度≥0.70Mpa、合格试件数等于或大于有效试件总数的100%，浸渍剥离试件均符合要求、合格试件数等于或大于有效试件总数的100%，静曲强度：顺纹≥27、合格试件数等于或大于有效试件总数的100%、横纹≥22、合格试件数等于</w:t>
            </w:r>
            <w:r>
              <w:rPr>
                <w:rFonts w:hint="eastAsia" w:ascii="宋体" w:hAnsi="宋体" w:eastAsia="宋体" w:cs="宋体"/>
                <w:i w:val="0"/>
                <w:iCs w:val="0"/>
                <w:color w:val="auto"/>
                <w:sz w:val="21"/>
                <w:szCs w:val="21"/>
                <w:highlight w:val="none"/>
                <w:u w:val="none"/>
                <w:lang w:val="en-US" w:eastAsia="zh-CN" w:bidi="ar"/>
              </w:rPr>
              <w:t xml:space="preserve">或大于有效试件总数的100%，弹性模量：顺纹≥6000、合格试件数等于或大于有效试件总数的100%、横纹≥5130、合格试件数等于或大于有效试件总数的100%）均合格；③甲醛释放量≤0.053mg/m³，气味等级1级；总挥发性有机化合物 (TVOC)释放量（72h）≤0.1mg/㎡·h；④萘释放浓度≤2.5ug/m³；⑤抗菌性能：抗菌率≥99.9%；⑥去除率(甲醛)≥61.3%；注：提供第三方产品监督检测机构（检测报告至少带CMA标识）出具检测报告以及在全国认证认可信息公共服务平台的查询截图，否则不予认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4、所有板件经数控激光切割、模具冲压、数控折弯、焊接、机器打磨而成；表面采用环氧树脂抑菌粉末静电喷涂处理，具有抗菌、防锈、耐腐蚀、绝缘性高、附着力强、耐摩擦等技术特点。</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160020</wp:posOffset>
                      </wp:positionH>
                      <wp:positionV relativeFrom="paragraph">
                        <wp:posOffset>795655</wp:posOffset>
                      </wp:positionV>
                      <wp:extent cx="1038860" cy="601980"/>
                      <wp:effectExtent l="0" t="0" r="8890" b="7620"/>
                      <wp:wrapNone/>
                      <wp:docPr id="14" name="图片_2"/>
                      <wp:cNvGraphicFramePr/>
                      <a:graphic xmlns:a="http://schemas.openxmlformats.org/drawingml/2006/main">
                        <a:graphicData uri="http://schemas.openxmlformats.org/drawingml/2006/picture">
                          <pic:pic xmlns:pic="http://schemas.openxmlformats.org/drawingml/2006/picture">
                            <pic:nvPicPr>
                              <pic:cNvPr id="10" name="图片_2"/>
                              <pic:cNvPicPr/>
                              <pic:nvPr/>
                            </pic:nvPicPr>
                            <pic:blipFill>
                              <a:blip r:embed="rId22"/>
                              <a:stretch/>
                            </pic:blipFill>
                            <pic:spPr bwMode="auto">
                              <a:xfrm>
                                <a:off x="0" y="0"/>
                                <a:ext cx="1038860" cy="601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9264;o:allowoverlap:true;o:allowincell:true;mso-position-horizontal-relative:text;margin-left:12.6pt;mso-position-horizontal:absolute;mso-position-vertical-relative:text;margin-top:62.6pt;mso-position-vertical:absolute;width:81.8pt;height:47.4pt;mso-wrap-distance-left:9.0pt;mso-wrap-distance-top:0.0pt;mso-wrap-distance-right:9.0pt;mso-wrap-distance-bottom:0.0pt;" stroked="f">
                      <v:path textboxrect="0,0,0,0"/>
                      <v:imagedata r:id="rId22" o:title=""/>
                    </v:shape>
                  </w:pict>
                </mc:Fallback>
              </mc:AlternateConten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21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排泄物处置柜</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7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5455285</wp:posOffset>
                      </wp:positionH>
                      <wp:positionV relativeFrom="paragraph">
                        <wp:posOffset>225425</wp:posOffset>
                      </wp:positionV>
                      <wp:extent cx="770890" cy="1054100"/>
                      <wp:effectExtent l="0" t="0" r="10160" b="12700"/>
                      <wp:wrapNone/>
                      <wp:docPr id="15" name="图片_21"/>
                      <wp:cNvGraphicFramePr/>
                      <a:graphic xmlns:a="http://schemas.openxmlformats.org/drawingml/2006/main">
                        <a:graphicData uri="http://schemas.openxmlformats.org/drawingml/2006/picture">
                          <pic:pic xmlns:pic="http://schemas.openxmlformats.org/drawingml/2006/picture">
                            <pic:nvPicPr>
                              <pic:cNvPr id="11" name="图片_21"/>
                              <pic:cNvPicPr/>
                              <pic:nvPr/>
                            </pic:nvPicPr>
                            <pic:blipFill>
                              <a:blip r:embed="rId23"/>
                              <a:stretch/>
                            </pic:blipFill>
                            <pic:spPr bwMode="auto">
                              <a:xfrm>
                                <a:off x="0" y="0"/>
                                <a:ext cx="770890" cy="1054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9264;o:allowoverlap:true;o:allowincell:true;mso-position-horizontal-relative:text;margin-left:429.5pt;mso-position-horizontal:absolute;mso-position-vertical-relative:text;margin-top:17.8pt;mso-position-vertical:absolute;width:60.7pt;height:83.0pt;mso-wrap-distance-left:9.0pt;mso-wrap-distance-top:0.0pt;mso-wrap-distance-right:9.0pt;mso-wrap-distance-bottom:0.0pt;" stroked="f">
                      <v:path textboxrect="0,0,0,0"/>
                      <v:imagedata r:id="rId23" o:title=""/>
                    </v:shape>
                  </w:pict>
                </mc:Fallback>
              </mc:AlternateContent>
            </w:r>
            <w:r>
              <w:rPr>
                <w:rFonts w:hint="eastAsia" w:ascii="宋体" w:hAnsi="宋体" w:eastAsia="宋体" w:cs="宋体"/>
                <w:i w:val="0"/>
                <w:iCs w:val="0"/>
                <w:color w:val="auto"/>
                <w:sz w:val="21"/>
                <w:szCs w:val="21"/>
                <w:highlight w:val="none"/>
                <w:u w:val="none"/>
                <w:lang w:val="en-US" w:eastAsia="zh-CN" w:bidi="ar"/>
              </w:rPr>
              <w:t xml:space="preserve">一套包括（污洗置物架：800*350*500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，污洗柜：800*600*1100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，冷热双控水龙头*1，污物倾倒池：500*600*1100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1、主要材料：采用304不锈钢板材，具有不易生锈、防蚀等特点；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2、主要板材厚度：台面、水池板厚度≥1.0mm；侧板、门板厚度≥0.8mm；加强管料用≥1.0mm；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3、柜门为双层结构，带缓冲功能；底脚为4个可调圆管脚，离地120mm高；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5、功能配置：304不锈钢缓冲铰链等；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6、所有工件经数控激光切割、模具冲压、数控折弯、亚弧焊接、机器打磨、抛光、拉丝而成。</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690245</wp:posOffset>
                      </wp:positionH>
                      <wp:positionV relativeFrom="paragraph">
                        <wp:posOffset>408305</wp:posOffset>
                      </wp:positionV>
                      <wp:extent cx="609600" cy="622935"/>
                      <wp:effectExtent l="0" t="0" r="0" b="5715"/>
                      <wp:wrapNone/>
                      <wp:docPr id="16" name="picture_1074"/>
                      <wp:cNvGraphicFramePr/>
                      <a:graphic xmlns:a="http://schemas.openxmlformats.org/drawingml/2006/main">
                        <a:graphicData uri="http://schemas.openxmlformats.org/drawingml/2006/picture">
                          <pic:pic xmlns:pic="http://schemas.openxmlformats.org/drawingml/2006/picture">
                            <pic:nvPicPr>
                              <pic:cNvPr id="14" name="picture_1074"/>
                              <pic:cNvPicPr/>
                              <pic:nvPr/>
                            </pic:nvPicPr>
                            <pic:blipFill>
                              <a:blip r:embed="rId24"/>
                              <a:stretch/>
                            </pic:blipFill>
                            <pic:spPr bwMode="auto">
                              <a:xfrm>
                                <a:off x="0" y="0"/>
                                <a:ext cx="609600" cy="622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9264;o:allowoverlap:true;o:allowincell:true;mso-position-horizontal-relative:text;margin-left:54.3pt;mso-position-horizontal:absolute;mso-position-vertical-relative:text;margin-top:32.1pt;mso-position-vertical:absolute;width:48.0pt;height:49.0pt;mso-wrap-distance-left:9.0pt;mso-wrap-distance-top:0.0pt;mso-wrap-distance-right:9.0pt;mso-wrap-distance-bottom:0.0pt;" stroked="f">
                      <v:path textboxrect="0,0,0,0"/>
                      <v:imagedata r:id="rId24" o:title=""/>
                    </v:shape>
                  </w:pict>
                </mc:Fallback>
              </mc:AlternateConten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216"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口腔边柜上柜（平板门</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78"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一套包括（口腔边柜上柜（平板门）：3200*350*550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，钢制背架：3200*50*1850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，口腔边柜下柜：3200*500*</w:t>
            </w:r>
            <w:r>
              <w:rPr>
                <w:rFonts w:hint="eastAsia" w:ascii="宋体" w:hAnsi="宋体" w:cs="宋体"/>
                <w:i w:val="0"/>
                <w:iCs w:val="0"/>
                <w:color w:val="auto"/>
                <w:sz w:val="21"/>
                <w:szCs w:val="21"/>
                <w:highlight w:val="none"/>
                <w:u w:val="none"/>
                <w:lang w:val="en-US" w:eastAsia="zh-CN" w:bidi="ar"/>
              </w:rPr>
              <w:t xml:space="preserve">840mm</w:t>
            </w:r>
            <w:r>
              <w:rPr>
                <w:rFonts w:hint="eastAsia" w:ascii="宋体" w:hAnsi="宋体" w:eastAsia="宋体" w:cs="宋体"/>
                <w:i w:val="0"/>
                <w:iCs w:val="0"/>
                <w:color w:val="auto"/>
                <w:sz w:val="21"/>
                <w:szCs w:val="21"/>
                <w:highlight w:val="none"/>
                <w:u w:val="none"/>
                <w:lang w:val="en-US" w:eastAsia="zh-CN" w:bidi="ar"/>
              </w:rPr>
              <w:t xml:space="preserve">，口腔边柜台面：3200*520*12</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，垃圾处置组件，导轨插座(3插孔）*2，活动柜：500*490*790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1、台面板：采用优质医用复合亚克力人造石，其材料厚度≥12mm，边缘加厚30mm。具有易清洁、抗污垢、耐冲击、耐高温、具有阻燃性、无毒等特点；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柜体：采用一级电解钢板，门、抽面厚1.0mm双层结构，其它厚1.0mm，表面采用环保室内型环氧树脂静电粉末喷涂，流水线喷涂，涂层膜厚度均匀，表面喷粉颜色靓丽，具有环保、抑菌、防锈、耐腐蚀、绝缘性高、附着力强、耐摩擦等技术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3、优质五金配件：304不锈钢缓冲铰链、三节导轨导轨、优质锁具；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4、拉手：一字折弯拉手；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5、粉末：采用优质环氧树脂抑菌粉末静电喷涂；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6、踢脚线：踢脚线部分采用≥0.8mm厚304油磨拉丝不锈钢板制作，比柜体前端面缩进尺寸为20mm，高150mm，操作时无抵脚感，符合人体工程学原理；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7、地柜可选择配置：双抽双开门柜、单抽单开门柜、双开门柜、单开门柜、水槽柜；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8、配置：抽屉及门板配嵌入式标签卡槽，中柜及上下柜内都有可调节层板，水槽处设亚克力挡水装置，亚克力厚度≥8mm；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9、垃圾柜工艺：一体成形PP垃圾盖、一体成形304不锈钢投放口、一体成形PP脚踏板、304不锈钢脚踏转动装置两根支撑杆支撑PP盖墙面开启方式、脚踏转动装置无裸露并有预留检修口；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10、柜子工艺：整体采用电阻焊接工艺，门与柜体的连接采用插销式门轴结构或铰链，门采用双层加工工艺，上柜柜门内嵌钢化玻璃，厚度≥5mm。</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92075</wp:posOffset>
                      </wp:positionH>
                      <wp:positionV relativeFrom="paragraph">
                        <wp:posOffset>1286510</wp:posOffset>
                      </wp:positionV>
                      <wp:extent cx="1133475" cy="906780"/>
                      <wp:effectExtent l="0" t="0" r="9525" b="7620"/>
                      <wp:wrapNone/>
                      <wp:docPr id="17" name="图片_6"/>
                      <wp:cNvGraphicFramePr/>
                      <a:graphic xmlns:a="http://schemas.openxmlformats.org/drawingml/2006/main">
                        <a:graphicData uri="http://schemas.openxmlformats.org/drawingml/2006/picture">
                          <pic:pic xmlns:pic="http://schemas.openxmlformats.org/drawingml/2006/picture">
                            <pic:nvPicPr>
                              <pic:cNvPr id="15" name="图片_6"/>
                              <pic:cNvPicPr/>
                              <pic:nvPr/>
                            </pic:nvPicPr>
                            <pic:blipFill>
                              <a:blip r:embed="rId25"/>
                              <a:stretch/>
                            </pic:blipFill>
                            <pic:spPr bwMode="auto">
                              <a:xfrm>
                                <a:off x="0" y="0"/>
                                <a:ext cx="1133475" cy="906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9264;o:allowoverlap:true;o:allowincell:true;mso-position-horizontal-relative:text;margin-left:7.2pt;mso-position-horizontal:absolute;mso-position-vertical-relative:text;margin-top:101.3pt;mso-position-vertical:absolute;width:89.2pt;height:71.4pt;mso-wrap-distance-left:9.0pt;mso-wrap-distance-top:0.0pt;mso-wrap-distance-right:9.0pt;mso-wrap-distance-bottom:0.0pt;" stroked="f">
                      <v:path textboxrect="0,0,0,0"/>
                      <v:imagedata r:id="rId25" o:title=""/>
                    </v:shape>
                  </w:pict>
                </mc:Fallback>
              </mc:AlternateConten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216"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钢制背架</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78"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216"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口腔边柜下柜</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78"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216"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口腔边柜台面</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78"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216"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垃圾处置组件</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78"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216"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导轨插座(3插孔）*2</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78"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216"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活动柜</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78"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21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无菌</w:t>
            </w:r>
            <w:r>
              <w:rPr>
                <w:rFonts w:hint="eastAsia" w:ascii="宋体" w:hAnsi="宋体" w:eastAsia="宋体" w:cs="宋体"/>
                <w:i w:val="0"/>
                <w:iCs w:val="0"/>
                <w:color w:val="auto"/>
                <w:sz w:val="21"/>
                <w:szCs w:val="21"/>
                <w:highlight w:val="none"/>
                <w:u w:val="none"/>
                <w:lang w:val="en-US" w:eastAsia="zh-CN" w:bidi="ar"/>
              </w:rPr>
              <w:t xml:space="preserve">器械柜</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07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器械柜：900*400*1800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                                                                                                                                                                                   1、主要材料：采用304不锈钢板材，具有不易生锈、防蚀等特点；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2、主要板材厚度：侧板、门板、顶板、底板、层板用0.8mm，加强管料用1.0mm；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3、器械柜分两层结构，上层门为不锈钢双面门板夹5mm玻璃，内均分三层；下层为对开掩门，内均分二层；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4、柜门为双层结构,带缓冲功能；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5、功能配置：主柜+上下对开门+中层拉板；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6、所有工件经数控激光切割、模具冲压、数控折弯、亚弧焊接、机器打磨、抛光、拉丝而成。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▲器械柜：需符合GB/T 3325、GB 24820检测标准；检测内容包括但不限于：①金属喷漆(塑)涂层冲击强度：冲击高度，800mm，无剥落、裂纹、皱纹；②金属喷漆(塑)涂层硬度≥5H；注：提供第三方产品监督检测机构（检测报告至少带CMA标识）出具检测报告以及在全国认证认可信息公共服务平台的查询截图，否则不予认可。</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203200</wp:posOffset>
                      </wp:positionH>
                      <wp:positionV relativeFrom="paragraph">
                        <wp:posOffset>330835</wp:posOffset>
                      </wp:positionV>
                      <wp:extent cx="800735" cy="1362710"/>
                      <wp:effectExtent l="0" t="0" r="18415" b="8890"/>
                      <wp:wrapNone/>
                      <wp:docPr id="18" name="图片_7"/>
                      <wp:cNvGraphicFramePr/>
                      <a:graphic xmlns:a="http://schemas.openxmlformats.org/drawingml/2006/main">
                        <a:graphicData uri="http://schemas.openxmlformats.org/drawingml/2006/picture">
                          <pic:pic xmlns:pic="http://schemas.openxmlformats.org/drawingml/2006/picture">
                            <pic:nvPicPr>
                              <pic:cNvPr id="16" name="图片_7"/>
                              <pic:cNvPicPr/>
                              <pic:nvPr/>
                            </pic:nvPicPr>
                            <pic:blipFill>
                              <a:blip r:embed="rId26"/>
                              <a:stretch/>
                            </pic:blipFill>
                            <pic:spPr bwMode="auto">
                              <a:xfrm>
                                <a:off x="0" y="0"/>
                                <a:ext cx="800735" cy="13627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9264;o:allowoverlap:true;o:allowincell:true;mso-position-horizontal-relative:text;margin-left:16.0pt;mso-position-horizontal:absolute;mso-position-vertical-relative:text;margin-top:26.0pt;mso-position-vertical:absolute;width:63.0pt;height:107.3pt;mso-wrap-distance-left:9.0pt;mso-wrap-distance-top:0.0pt;mso-wrap-distance-right:9.0pt;mso-wrap-distance-bottom:0.0pt;" stroked="f">
                      <v:path textboxrect="0,0,0,0"/>
                      <v:imagedata r:id="rId26" o:title=""/>
                    </v:shape>
                  </w:pict>
                </mc:Fallback>
              </mc:AlternateConten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21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无菌储物柜</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307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储物柜：1000*500*1800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                                                                                                                                                                                    1、主要材料：电解钢板，具有更抗酸、更防锈、更防蚀、和涂层接触更稳固、使用年限更长等特点；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2、主要板材厚度：侧板、门板、顶板、底板、层板厚度≥0.8mm；                                                                                                                                               ▲顶板：需符合GB/T230.1、GB/T229、GB/T 10561、GB</w:t>
            </w:r>
            <w:r>
              <w:rPr>
                <w:rFonts w:hint="eastAsia" w:ascii="宋体" w:hAnsi="宋体" w:eastAsia="宋体" w:cs="宋体"/>
                <w:i w:val="0"/>
                <w:iCs w:val="0"/>
                <w:color w:val="auto"/>
                <w:sz w:val="21"/>
                <w:szCs w:val="21"/>
                <w:highlight w:val="none"/>
                <w:u w:val="none"/>
                <w:lang w:val="en-US" w:eastAsia="zh-CN" w:bidi="ar"/>
              </w:rPr>
              <w:t xml:space="preserve">/T5027、GB/T13012、QB/T4371、GB/T 1839检测标准；检测内容包括但不限于：①洛氏硬度HRBW≥70，冲击试验≥20，非金属夹杂物：（细系:A≤2.0，B≤2.0，C≤2.0，D≤2.0粗系:A≤2.0，B≤2.0，C≤2.0，D≤2.0），塑性应变比(r值)≥1.8，均符合；②锌层质量(g/㎡)≥36；③直流磁性能试验；④抗菌性能：抑菌率≥99.9%；注：提供第三方产品监督检测机构（检测报告至少带CMA标识）出具检测报告以及在全国认证认可信息公共服务平台的查询截图，否则不予认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▲搁板或V形加强筋防护搁板（层板）：需符合GB/T 31838.3、GB/T3325、HJ2547、QB/T 1951.2检测标准；检测内容包括但不限于：①金属件外观性能要求：（喷涂层：涂层应无漏喷、锈蚀和脱色、掉色现象，涂层应光滑均匀，色泽一致，应无流挂、疙瘩、皱皮、飞漆等缺陷）符合要求；</w:t>
            </w:r>
            <w:r>
              <w:rPr>
                <w:rFonts w:hint="eastAsia" w:ascii="宋体" w:hAnsi="宋体" w:eastAsia="宋体" w:cs="宋体"/>
                <w:i w:val="0"/>
                <w:iCs w:val="0"/>
                <w:color w:val="auto"/>
                <w:sz w:val="21"/>
                <w:szCs w:val="21"/>
                <w:highlight w:val="none"/>
                <w:u w:val="none"/>
                <w:lang w:val="en-US" w:eastAsia="zh-CN" w:bidi="ar"/>
              </w:rPr>
              <w:t xml:space="preserve">②金属喷漆涂层理化性能：（硬度≥5H，冲击高度400mm，应无剥落、裂纹皱纹，耐腐蚀：100h内，观察在溶剂中样板上划道两侧 3mm 以外，应无鼓泡产生，100h后，检查划道两侧3mm以外，应无锈蚀、剥落、起皱、变色和失光等现象，附着力不低于1级）；③产品表面涂层可迁移元素：铅Pb、镉Cd、铬Cr、汞Hg、锑Sb、钡Ba、硒Se、砷As均未检出；④表面电阻率≥5.4x1016Ω。注：提供第三方产品监督检测机构（检测报告至少带CMA标识）出具检测报告以及在全国认证认可信息公共服务平台的查询截图，否则不予认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3、工艺要求：柜门为双层结构；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4、功能配置：上对开掩门，内含两块活动层板，下对开掩门，内含一块活动层板；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5、五金配置：304不锈钢缓冲门铰，一字折弯拉手，锁具等；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6、所有板件经数控激光切割、模具冲压、数控折弯、焊接、机器打磨而成；表面采用环氧树脂抑菌粉末静电喷涂处理，具有抗菌、防锈、耐腐蚀、绝缘性高、附着力强、耐摩擦等技术特点。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▲物品柜（储物柜）：需符合GB/T 3325、GB/T 13668、QB/T 4371检测标准；检测内容包括但不限于：①金属喷漆(塑)涂层硬度≥5H；②活动部件关闭时的加载稳定性：无倾翻，活动部件打开时的加载稳定性：无倾翻，合格；③抗菌性能：抑菌率≥99.9%。注：提供第三方产品监督检测机构（检测报告至少带CMA标识）出具检测报告以及在全国认证认可信息公共服务平台的查询截图，否则不予认可。</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208915</wp:posOffset>
                      </wp:positionH>
                      <wp:positionV relativeFrom="paragraph">
                        <wp:posOffset>-52705</wp:posOffset>
                      </wp:positionV>
                      <wp:extent cx="943610" cy="1623695"/>
                      <wp:effectExtent l="0" t="0" r="8890" b="14604"/>
                      <wp:wrapNone/>
                      <wp:docPr id="19" name="图片_8"/>
                      <wp:cNvGraphicFramePr/>
                      <a:graphic xmlns:a="http://schemas.openxmlformats.org/drawingml/2006/main">
                        <a:graphicData uri="http://schemas.openxmlformats.org/drawingml/2006/picture">
                          <pic:pic xmlns:pic="http://schemas.openxmlformats.org/drawingml/2006/picture">
                            <pic:nvPicPr>
                              <pic:cNvPr id="17" name="图片_8"/>
                              <pic:cNvPicPr/>
                              <pic:nvPr/>
                            </pic:nvPicPr>
                            <pic:blipFill>
                              <a:blip r:embed="rId27"/>
                              <a:stretch/>
                            </pic:blipFill>
                            <pic:spPr bwMode="auto">
                              <a:xfrm>
                                <a:off x="0" y="0"/>
                                <a:ext cx="943610" cy="1623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9264;o:allowoverlap:true;o:allowincell:true;mso-position-horizontal-relative:text;margin-left:16.4pt;mso-position-horizontal:absolute;mso-position-vertical-relative:text;margin-top:-4.1pt;mso-position-vertical:absolute;width:74.3pt;height:127.8pt;mso-wrap-distance-left:9.0pt;mso-wrap-distance-top:0.0pt;mso-wrap-distance-right:9.0pt;mso-wrap-distance-bottom:0.0pt;" stroked="f">
                      <v:path textboxrect="0,0,0,0"/>
                      <v:imagedata r:id="rId27" o:title=""/>
                    </v:shape>
                  </w:pict>
                </mc:Fallback>
              </mc:AlternateConten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21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医用</w:t>
            </w:r>
            <w:r>
              <w:rPr>
                <w:rFonts w:hint="eastAsia" w:ascii="宋体" w:hAnsi="宋体" w:eastAsia="宋体" w:cs="宋体"/>
                <w:i w:val="0"/>
                <w:iCs w:val="0"/>
                <w:color w:val="auto"/>
                <w:sz w:val="21"/>
                <w:szCs w:val="21"/>
                <w:highlight w:val="none"/>
                <w:u w:val="none"/>
                <w:lang w:val="en-US" w:eastAsia="zh-CN" w:bidi="ar"/>
              </w:rPr>
              <w:t xml:space="preserve">无菌货架</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307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尺寸：1000*500*2000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（顶底五层）                                                                                                                                                                        1、架体：采用优质冷轧钢板、钢管，立柱80*40*1.2mm，横梁60*40*1.2mm，层板0.8 mm，表面应平整光滑、无划痕；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▲冷轧钢板：需符合GB/T 3325检测标准；检测内容包括但不限于：①外观性能要求/喷涂层:涂层应无漏喷、锈蚀和脱色、掉色现象，涂层应光滑均匀，色泽一</w:t>
            </w:r>
            <w:r>
              <w:rPr>
                <w:rFonts w:hint="eastAsia" w:ascii="宋体" w:hAnsi="宋体" w:eastAsia="宋体" w:cs="宋体"/>
                <w:i w:val="0"/>
                <w:iCs w:val="0"/>
                <w:color w:val="auto"/>
                <w:sz w:val="21"/>
                <w:szCs w:val="21"/>
                <w:highlight w:val="none"/>
                <w:u w:val="none"/>
                <w:lang w:val="en-US" w:eastAsia="zh-CN" w:bidi="ar"/>
              </w:rPr>
              <w:t xml:space="preserve">致，应无流挂、疙瘩、皱皮、飞漆等缺陷；②有害物质限量-重金属(mg/kg)：可溶性铅，可溶性镉，可溶性铬，可溶性汞均未检出；③金属喷漆(塑)涂层：硬度≥3H，附着力不低于0级，冲击强度：冲击高度 400mm，应无剥落、裂纹、皱纹，耐腐蚀：100h内，观察在溶剂中样板上划道两侧 3mm 以外，应无鼓泡产生，100h后，检查划道两侧3mm以外，应无锈迹、剥落、起皱、变色和失光等现象；注：提供第三方产品监督检测机构（检测报告至少带CMA标识）出具检测报告以及在全国认证认可信息公共服务平台的查询截图，否则不予认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▲立柱或六条加强筋承重立柱：需符合GB/T 3325、GB/T 700、QB/T 4767、QB/T 1951.2、GB/T3075检测标准；检测内容包括但不限于：①金属件外观性能要求：（冲压件：冲压件应无脱层、裂缝，喷涂层：涂层应无漏喷、锈蚀和脱色、掉色现象，涂层应光滑均匀，色泽一致，应无流挂、疙瘩、皱皮、飞漆等缺陷）均符合要求；②屈服强度≥329N/m</w:t>
            </w:r>
            <w:r>
              <w:rPr>
                <w:rFonts w:hint="eastAsia" w:ascii="宋体" w:hAnsi="宋体" w:eastAsia="宋体" w:cs="宋体"/>
                <w:i w:val="0"/>
                <w:iCs w:val="0"/>
                <w:color w:val="auto"/>
                <w:sz w:val="21"/>
                <w:szCs w:val="21"/>
                <w:highlight w:val="none"/>
                <w:u w:val="none"/>
                <w:lang w:val="en-US" w:eastAsia="zh-CN" w:bidi="ar"/>
              </w:rPr>
              <w:t xml:space="preserve">m²，断后伸长率≥41％，规定塑性延伸强度≥355MPa；③金属喷漆涂层理化性能：（耐腐蚀：100h内，观察在溶剂中样板上划道两侧 3mm 以外，应无气泡产生，100h后，检查划道两侧3mm以外，应无锈蚀、剥落、起皱、变色和失光等现象）；④铅(Pb)、镉(Cd)、铬(Cr)、汞(Hg)均未检出；⑤L形连接件抗弯强度≥372MPa；⑥疲劳试验：经10万次疲劳实验后，样件未发生开裂。注：提供第三方产品监督检测机构（检测报告至少带CMA标识）出具检测报告以及在全国认证认可信息公共服务平台的查询截图，否则不予认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▲货架横梁：需符合GB/T 3325检测标准；检测内容包括但不限于：①抽样基数≥500件；②产品外形尺寸偏差(mm)符合；③外观性能要求-金属件（管材：1.管材应无裂缝、叠缝，2.外露管口端面应封闭；焊接件：1.焊接处应无脱焊、虚焊、焊穿、错位，2.焊接处应无夹渣、气孔、焊瘤、焊丝头咬边、飞溅，3.焊疤表面波纹应均匀；冲压件：冲压件应无脱层、裂缝</w:t>
            </w:r>
            <w:r>
              <w:rPr>
                <w:rFonts w:hint="eastAsia" w:ascii="宋体" w:hAnsi="宋体" w:eastAsia="宋体" w:cs="宋体"/>
                <w:i w:val="0"/>
                <w:iCs w:val="0"/>
                <w:color w:val="auto"/>
                <w:sz w:val="21"/>
                <w:szCs w:val="21"/>
                <w:highlight w:val="none"/>
                <w:u w:val="none"/>
                <w:lang w:val="en-US" w:eastAsia="zh-CN" w:bidi="ar"/>
              </w:rPr>
              <w:t xml:space="preserve">；喷涂层：1.涂层应无漏喷、锈蚀和脱色、掉色现象，2.涂层应光滑均匀，色泽一致，应无流挂、疙瘩、皱皮、飞漆等缺陷）均符合要求；④有害物质限量-重金属（mg/kg）：可溶性铅≤7.0、可溶性镉未检出、可溶性铬未检出、可溶性汞未检出；⑤金属电镀层-抗盐雾：18h，直径1.5mm 以下锈点≤20点/d㎡,其中直径≥1.0mm 锈点不超过5点(距边缘棱角 2mm 以内的不计)，符合要求；注：提供第三方产品监督检测机构（检测报告至少带CMA标识）出具检测报告以及在全国认证认可信息公共服务平台的查询截图，否则不予认可。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2、表面金属喷涂层冲击强度应无剥落、裂纹、皱纹。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▲货架：需符合GB/T 3325、GB/T 35607、GB/T 1865、GB/T 1766、GB/T 31838.2、QB/T 4371检测标准；检测内容包括但不限于：①甲醛释放量≤0.013mg/m³；苯、甲苯、二甲苯</w:t>
            </w:r>
            <w:r>
              <w:rPr>
                <w:rFonts w:hint="eastAsia" w:ascii="宋体" w:hAnsi="宋体" w:eastAsia="宋体" w:cs="宋体"/>
                <w:i w:val="0"/>
                <w:iCs w:val="0"/>
                <w:color w:val="auto"/>
                <w:sz w:val="21"/>
                <w:szCs w:val="21"/>
                <w:highlight w:val="none"/>
                <w:u w:val="none"/>
                <w:lang w:val="en-US" w:eastAsia="zh-CN" w:bidi="ar"/>
              </w:rPr>
              <w:t xml:space="preserve">未检出；总挥发性有机化合物（TVOC）≤0.05mg/m³；家具涂层可迁移元素（铅Pb、镉Cd、铬Cr、汞Hg、锑Sb、钡Ba、硒Se、砷As）均未检出；②金属件外观要求（焊接件：焊接处无脱焊、虚焊、焊穿、错位，焊接处无夹渣、气孔、焊瘤、焊丝头、咬边、飞溅，焊接处表面波纹均匀，喷涂层：涂层无漏喷、锈蚀和脱色掉色现象，涂层光滑均匀，色泽一致，无流挂、疙瘩、皱皮、飞漆等缺陷，管材：管材无裂缝、叠缝，外露管口端面封闭，皱纹或波纹：圆管和扁线管弯曲处弧形圆滑一致）；③金属喷漆(塑)涂层理化性能：（硬度≥2H,冲击强</w:t>
            </w:r>
            <w:r>
              <w:rPr>
                <w:rFonts w:hint="eastAsia" w:ascii="宋体" w:hAnsi="宋体" w:eastAsia="宋体" w:cs="宋体"/>
                <w:i w:val="0"/>
                <w:iCs w:val="0"/>
                <w:color w:val="auto"/>
                <w:sz w:val="21"/>
                <w:szCs w:val="21"/>
                <w:highlight w:val="none"/>
                <w:u w:val="none"/>
                <w:lang w:val="en-US" w:eastAsia="zh-CN" w:bidi="ar"/>
              </w:rPr>
              <w:t xml:space="preserve">度:冲击高度400mm，应无剥落、裂纹、皱纹,耐腐蚀:100h内，样板上划道两侧3mm以外无鼓泡产生。100h后，划道两侧3mm外无锈迹剥落、起皱、变色和失光等现象,附着力不低于2级）；④人工气候老化试验(氙灯老化)：经100h氙灯老化试验,涂层无粉化，变色等级1级(色差值△E:1.8)，失光率(光泽衰减率)12%；⑤绝缘性能≥1.2×10¹¹Ω；⑥抗菌性能：抑菌率≥99.9%；注：提供第三方产品监督检测机构（检测报告至少带CMA标识）出具检测报告以及在全国认证认可信息公共服务平台的查询截图，否则不予认可。</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-5080</wp:posOffset>
                      </wp:positionH>
                      <wp:positionV relativeFrom="paragraph">
                        <wp:posOffset>73660</wp:posOffset>
                      </wp:positionV>
                      <wp:extent cx="1231265" cy="740410"/>
                      <wp:effectExtent l="0" t="0" r="6985" b="2540"/>
                      <wp:wrapNone/>
                      <wp:docPr id="20" name="图片_9"/>
                      <wp:cNvGraphicFramePr/>
                      <a:graphic xmlns:a="http://schemas.openxmlformats.org/drawingml/2006/main">
                        <a:graphicData uri="http://schemas.openxmlformats.org/drawingml/2006/picture">
                          <pic:pic xmlns:pic="http://schemas.openxmlformats.org/drawingml/2006/picture">
                            <pic:nvPicPr>
                              <pic:cNvPr id="20" name="图片_9"/>
                              <pic:cNvPicPr/>
                              <pic:nvPr/>
                            </pic:nvPicPr>
                            <pic:blipFill>
                              <a:blip r:embed="rId28"/>
                              <a:stretch/>
                            </pic:blipFill>
                            <pic:spPr bwMode="auto">
                              <a:xfrm>
                                <a:off x="0" y="0"/>
                                <a:ext cx="1231264" cy="7404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9264;o:allowoverlap:true;o:allowincell:true;mso-position-horizontal-relative:text;margin-left:-0.4pt;mso-position-horizontal:absolute;mso-position-vertical-relative:text;margin-top:5.8pt;mso-position-vertical:absolute;width:96.9pt;height:58.3pt;mso-wrap-distance-left:9.0pt;mso-wrap-distance-top:0.0pt;mso-wrap-distance-right:9.0pt;mso-wrap-distance-bottom:0.0pt;" stroked="f">
                      <v:path textboxrect="0,0,0,0"/>
                      <v:imagedata r:id="rId28" o:title=""/>
                    </v:shape>
                  </w:pict>
                </mc:Fallback>
              </mc:AlternateConten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21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药品柜</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307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尺寸：900*450*2000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                                                                                                                                                                                             1、主要材料：电解钢板，具有更抗酸、更防锈、更防蚀、和涂层接触更稳固、使用年限更长等特点；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2、主要板材厚度：侧板、顶板、底板、层板厚度≥0.8mm；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3、配置：配有标签卡槽，药品分类存放，便于检索、添加和拿取；整体药柜共分5层，中间为固定层板，其余为活动层板；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4、所有板件经数控激光切割、模具冲压、数控折弯、焊接、机器打磨而成；表面采用环氧树脂抑菌粉末静电喷涂处理，具有抗菌、防锈、耐腐蚀、绝缘性高、附着力强、耐摩擦等技术特点。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▲药品柜：需符合GB/T 3325、GB 24820、GB/T 20125、GB/T20123、GB/T 228.1、GB/T4</w:t>
            </w:r>
            <w:r>
              <w:rPr>
                <w:rFonts w:hint="eastAsia" w:ascii="宋体" w:hAnsi="宋体" w:eastAsia="宋体" w:cs="宋体"/>
                <w:i w:val="0"/>
                <w:iCs w:val="0"/>
                <w:color w:val="auto"/>
                <w:sz w:val="21"/>
                <w:szCs w:val="21"/>
                <w:highlight w:val="none"/>
                <w:u w:val="none"/>
                <w:lang w:val="en-US" w:eastAsia="zh-CN" w:bidi="ar"/>
              </w:rPr>
              <w:t xml:space="preserve">340.1检测标准；检测内容包括但不限于：①金属喷漆(塑)涂层硬度≥5H；②金属喷漆(塑)涂层理化性能：冲击强度：冲击高度800mm，无剥落、裂纹、皱纹；③抗拉强度（MPa） 310~320；规定塑性延伸强度（MPa）≥275；断后伸长率（%）≥47；④化学成分：C≤0.03%、Mn≤0.12%、P≤0.009%、S≤0.006%、Al≤0.025%；⑤维氏硬度（HV)≥132；注：提供第三方产品监督检测机构（检测报告至少带CMA标识）出具检测报告以及在全国认证认可信息公共服务平台的查询截图，否则不予认可。</w:t>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130810</wp:posOffset>
                      </wp:positionH>
                      <wp:positionV relativeFrom="paragraph">
                        <wp:posOffset>361315</wp:posOffset>
                      </wp:positionV>
                      <wp:extent cx="1102360" cy="1238885"/>
                      <wp:effectExtent l="0" t="0" r="2540" b="18415"/>
                      <wp:wrapNone/>
                      <wp:docPr id="21" name="图片_10"/>
                      <wp:cNvGraphicFramePr/>
                      <a:graphic xmlns:a="http://schemas.openxmlformats.org/drawingml/2006/main">
                        <a:graphicData uri="http://schemas.openxmlformats.org/drawingml/2006/picture">
                          <pic:pic xmlns:pic="http://schemas.openxmlformats.org/drawingml/2006/picture">
                            <pic:nvPicPr>
                              <pic:cNvPr id="21" name="图片_10"/>
                              <pic:cNvPicPr/>
                              <pic:nvPr/>
                            </pic:nvPicPr>
                            <pic:blipFill>
                              <a:blip r:embed="rId29"/>
                              <a:stretch/>
                            </pic:blipFill>
                            <pic:spPr bwMode="auto">
                              <a:xfrm>
                                <a:off x="0" y="0"/>
                                <a:ext cx="1102360" cy="12388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9264;o:allowoverlap:true;o:allowincell:true;mso-position-horizontal-relative:text;margin-left:10.3pt;mso-position-horizontal:absolute;mso-position-vertical-relative:text;margin-top:28.4pt;mso-position-vertical:absolute;width:86.8pt;height:97.5pt;mso-wrap-distance-left:9.0pt;mso-wrap-distance-top:0.0pt;mso-wrap-distance-right:9.0pt;mso-wrap-distance-bottom:0.0pt;" stroked="f">
                      <v:path textboxrect="0,0,0,0"/>
                      <v:imagedata r:id="rId29" o:title=""/>
                    </v:shape>
                  </w:pict>
                </mc:Fallback>
              </mc:AlternateContent>
            </w:r>
            <w:r/>
          </w:p>
        </w:tc>
      </w:tr>
    </w:tbl>
    <w:p>
      <w:pPr>
        <w:ind w:firstLine="420"/>
        <w:spacing w:line="360" w:lineRule="auto"/>
        <w:rPr>
          <w:rFonts w:hint="eastAsia" w:ascii="宋体" w:hAnsi="宋体" w:cs="宋体"/>
          <w:color w:val="auto"/>
          <w:szCs w:val="21"/>
          <w:highlight w:val="none"/>
        </w:rPr>
        <w:sectPr>
          <w:footnotePr/>
          <w:endnotePr/>
          <w:type w:val="nextPage"/>
          <w:pgSz w:w="16838" w:h="11906" w:orient="landscape"/>
          <w:pgMar w:top="1800" w:right="1440" w:bottom="1800" w:left="1440" w:header="851" w:footer="992" w:gutter="0"/>
          <w:cols w:num="1" w:sep="0" w:space="720" w:equalWidth="1"/>
          <w:docGrid w:linePitch="360"/>
        </w:sectPr>
        <w:outlineLvl w:val="0"/>
      </w:pPr>
      <w:r>
        <w:rPr>
          <w:rFonts w:hint="eastAsia" w:ascii="宋体" w:hAnsi="宋体" w:cs="宋体"/>
          <w:color w:val="auto"/>
          <w:szCs w:val="21"/>
          <w:highlight w:val="none"/>
        </w:rPr>
      </w:r>
      <w:r/>
    </w:p>
    <w:p>
      <w:pPr>
        <w:ind w:firstLine="482"/>
        <w:spacing w:line="360" w:lineRule="auto"/>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 xml:space="preserve">三</w:t>
      </w:r>
      <w:r>
        <w:rPr>
          <w:rFonts w:hint="eastAsia" w:ascii="宋体" w:hAnsi="宋体" w:eastAsia="宋体" w:cs="宋体"/>
          <w:b/>
          <w:color w:val="auto"/>
          <w:sz w:val="21"/>
          <w:szCs w:val="21"/>
          <w:highlight w:val="none"/>
        </w:rPr>
        <w:t xml:space="preserve">、项目实施及相关服务要求</w:t>
      </w:r>
      <w:r/>
    </w:p>
    <w:p>
      <w:pPr>
        <w:ind w:firstLine="480"/>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一）</w:t>
      </w:r>
      <w:r>
        <w:rPr>
          <w:rFonts w:hint="eastAsia" w:ascii="宋体" w:hAnsi="宋体" w:cs="宋体"/>
          <w:color w:val="auto"/>
          <w:sz w:val="21"/>
          <w:szCs w:val="21"/>
          <w:highlight w:val="none"/>
          <w:lang w:eastAsia="zh-CN"/>
        </w:rPr>
        <w:t xml:space="preserve">生产实施要求</w:t>
      </w:r>
      <w:r/>
    </w:p>
    <w:p>
      <w:pPr>
        <w:ind w:firstLine="480"/>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1、提供满足本项目生产所需的机械设备清单及各岗位人员数量。</w:t>
      </w:r>
      <w:r/>
    </w:p>
    <w:p>
      <w:pPr>
        <w:ind w:firstLine="480"/>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2、提供进度计划表，合理安排现场复核、深化设计、材料采购、批量生产、检验包装、货物运输、现场安装等各项事宜，制定科学、合理、有针对性的进度控制方案及保障措施。</w:t>
      </w:r>
      <w:r/>
    </w:p>
    <w:p>
      <w:pPr>
        <w:ind w:firstLine="480"/>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3、制定本项目生产工艺流程和质量保证措施，确保达到招标文件规定的货物性能、技术要求、质量标准。</w:t>
      </w:r>
      <w:r/>
    </w:p>
    <w:p>
      <w:pPr>
        <w:ind w:firstLine="480"/>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4、中标人应及时与采购人联系，结合实际需求，进一步确认本项目所有产品的款式、尺寸、颜色等要求，得到采购人的签字盖章认可后方可生产。</w:t>
      </w:r>
      <w:r/>
    </w:p>
    <w:p>
      <w:pPr>
        <w:ind w:firstLine="480"/>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5、投标人应在响应文件中明确主要原材料品牌，所有材质必须符合国家相关行业规范及环保检测标准。</w:t>
      </w:r>
      <w:r/>
    </w:p>
    <w:p>
      <w:pPr>
        <w:ind w:firstLine="480"/>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6、项目安装结束后，采购人将随机抽取货物送至检测机构对货物的技术参数及甲醛等有害物质进行检测，相关检测费用由中标人承担，如果随机抽取的任意一款货物检测不合格，采购人将视为所有货物验收不合格而退回所有货物，由此产生的经济损失由中标人承担。</w:t>
      </w:r>
      <w:r/>
    </w:p>
    <w:p>
      <w:pPr>
        <w:ind w:firstLine="480"/>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二）</w:t>
      </w:r>
      <w:r>
        <w:rPr>
          <w:rFonts w:hint="eastAsia" w:ascii="宋体" w:hAnsi="宋体" w:cs="宋体"/>
          <w:color w:val="auto"/>
          <w:sz w:val="21"/>
          <w:szCs w:val="21"/>
          <w:highlight w:val="none"/>
          <w:lang w:eastAsia="zh-CN"/>
        </w:rPr>
        <w:t xml:space="preserve">运输安装要求</w:t>
      </w:r>
      <w:r/>
    </w:p>
    <w:p>
      <w:pPr>
        <w:ind w:firstLine="480"/>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1、交货时间：中标后15日内完成合同签订，接到采购人通知后按照实际需求分批发，并在接到通知的30日内完成供货、安装。</w:t>
      </w:r>
      <w:r/>
    </w:p>
    <w:p>
      <w:pPr>
        <w:ind w:firstLine="480"/>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2、交货地点：扬州市中医院新院区（邗江区翠岗路400号），最终地点由采购人指定。。</w:t>
      </w:r>
      <w:r/>
    </w:p>
    <w:p>
      <w:pPr>
        <w:ind w:firstLine="480"/>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3、货物的包装应有良好的防潮、防雨及防碰撞措施，中标人应保证货物安全运达采购人指定地点，货物在交付前发生的风险均由中标人负责。</w:t>
      </w:r>
      <w:r/>
    </w:p>
    <w:p>
      <w:pPr>
        <w:ind w:firstLine="480"/>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4、所有货物进场前需经采购人确认，并提供原厂物流发货单，确认无误后由中标人运至采购人指定地点，验收交货前存放及保管概由中标人负责。未经采购人确认或经采购人确认参数等与招标文件要求和响应文件承诺不符的，不得进场，因此产生的延期或退换货等风险及相关费用，由中标人自行承担。</w:t>
      </w:r>
      <w:r/>
    </w:p>
    <w:p>
      <w:pPr>
        <w:ind w:firstLine="480"/>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5、制定本项目搬运安装方案，确保指挥有序，安装规范，摆放准确。</w:t>
      </w:r>
      <w:r/>
    </w:p>
    <w:p>
      <w:pPr>
        <w:ind w:firstLine="480"/>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6、中标人应遵守采购人各项规章制度，文明施工，并签订安全承诺书。进入项目现场的车辆、设备按指定地点停放，及时清理现场垃圾，如造成地面、墙面、门窗等损坏，需恢复原状或赔偿相应损失。</w:t>
      </w:r>
      <w:r/>
    </w:p>
    <w:p>
      <w:pPr>
        <w:ind w:firstLine="480"/>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7、在项目实施期间，如发生安全事故、人身伤害和其他财产安全事故，由中标人全权负责处理，并承担全部责任。</w:t>
      </w:r>
      <w:r/>
    </w:p>
    <w:p>
      <w:pPr>
        <w:ind w:firstLine="480"/>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8、在产品使用过程中，如因产品质量引发安全事故、人身伤害和其他财产安全事故，由中标人全权负责处理，并承担全部责任。</w:t>
      </w:r>
      <w:r/>
    </w:p>
    <w:p>
      <w:pPr>
        <w:ind w:firstLine="480"/>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三）</w:t>
      </w:r>
      <w:r>
        <w:rPr>
          <w:rFonts w:hint="eastAsia" w:ascii="宋体" w:hAnsi="宋体" w:cs="宋体"/>
          <w:color w:val="auto"/>
          <w:sz w:val="21"/>
          <w:szCs w:val="21"/>
          <w:highlight w:val="none"/>
          <w:lang w:eastAsia="zh-CN"/>
        </w:rPr>
        <w:t xml:space="preserve">售后服务要求</w:t>
      </w:r>
      <w:r/>
    </w:p>
    <w:p>
      <w:pPr>
        <w:ind w:firstLine="480"/>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1、质保期：本项目免费质保期5年（自验收合格之日起计）。</w:t>
      </w:r>
      <w:r/>
    </w:p>
    <w:p>
      <w:pPr>
        <w:ind w:firstLine="480"/>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2、中标人能提供及时有效的售后服务，拥有固定的售后服务机构和固定的售后服务人员。投标人应在投标文件中明确售后服务能力（包括交货期、保修期时限、售后服务、维护响应时间等）。</w:t>
      </w:r>
      <w:r/>
    </w:p>
    <w:p>
      <w:pPr>
        <w:ind w:firstLine="480"/>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3、免费质保期内，免费提供备品备件，中标人应对货物出现的质量及安全问题负责处理解决并承担一切费用，因人为因素出现的故障不在免费质保范围内。质保期内全免费上门质保，同一材料、同一质量问题连续两次维修仍无法正常使用，中标人应无条件给予全套更新或退货（所有产品质保时间为自验收合格之日起计）</w:t>
      </w:r>
      <w:r/>
    </w:p>
    <w:p>
      <w:pPr>
        <w:ind w:firstLine="480"/>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4、超过免费质保期的家具，终身维修，维修时只收部件成本费。</w:t>
      </w:r>
      <w:r/>
    </w:p>
    <w:p>
      <w:pPr>
        <w:ind w:firstLine="480"/>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5、响应时间：如在使用过程中发生质量问题，中标人接到采购人报修通知起半小时内响应， 4小时内到达现场并完成维修（包含4小时）。</w:t>
      </w:r>
      <w:r/>
    </w:p>
    <w:p>
      <w:pPr>
        <w:ind w:firstLine="48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四）</w:t>
      </w:r>
      <w:r>
        <w:rPr>
          <w:rFonts w:hint="eastAsia" w:ascii="宋体" w:hAnsi="宋体" w:eastAsia="宋体" w:cs="宋体"/>
          <w:color w:val="auto"/>
          <w:sz w:val="21"/>
          <w:szCs w:val="21"/>
          <w:highlight w:val="none"/>
        </w:rPr>
        <w:t xml:space="preserve">颜色确认要求</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中标单位须在批量生产前，将全部家具的最终颜色样本（或色板）及家具效果图提交招标人书面确认。未经招标人书面确认，不得进行批量生产。</w:t>
      </w:r>
      <w:r/>
    </w:p>
    <w:p>
      <w:pPr>
        <w:ind w:firstLine="48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rPr>
        <w:t xml:space="preserve">安装与调试责任</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中标单位负责完成所有家具涉及的电气管线（强电与弱电）及给排水管道的连接工作，并确保其符合国家相关规范与安全使用标准。具体包括但不限于：</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强弱电线缆须敷设并端接至家具桌面或柜体内部指定位置，并确保接口安全、可靠、易于检修；</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给排水管道须与家具相应设施连接严密，无渗漏，排水通畅；</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所有水电点位均已预设于各房间内，中标单位须根据现场点位进行对接，并保证整体系统可正常投入使用。</w:t>
      </w:r>
      <w:r/>
    </w:p>
    <w:p>
      <w:pPr>
        <w:ind w:firstLine="48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rPr>
        <w:t xml:space="preserve">现场测量与设计优化</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中标单位须在签订合同后、生产开始前，派遣专业人员至项目现场进行实地测量。</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如测量结果与招标图纸存在偏差或存在可优化之处，中标单位应出具书面优化方案，报招标人审核确认。未经招标人书面同意，不得擅自变更设计。</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rPr>
        <w:t xml:space="preserve">）验收要求</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1、货到采购人指定地点后，采购人</w:t>
      </w:r>
      <w:r>
        <w:rPr>
          <w:rFonts w:hint="eastAsia" w:ascii="宋体" w:hAnsi="宋体" w:cs="宋体"/>
          <w:color w:val="auto"/>
          <w:sz w:val="21"/>
          <w:szCs w:val="21"/>
          <w:highlight w:val="none"/>
          <w:lang w:val="en-US" w:eastAsia="zh-CN"/>
        </w:rPr>
        <w:t xml:space="preserve">须</w:t>
      </w:r>
      <w:r>
        <w:rPr>
          <w:rFonts w:hint="eastAsia" w:ascii="宋体" w:hAnsi="宋体" w:eastAsia="宋体" w:cs="宋体"/>
          <w:color w:val="auto"/>
          <w:sz w:val="21"/>
          <w:szCs w:val="21"/>
          <w:highlight w:val="none"/>
        </w:rPr>
        <w:t xml:space="preserve">对货物依据招标文件上的技术规格要求和国家有关质量标准进行现场初步核对，外观、说明书、包装符合招标文件技术要求的，给予签收，不合格的不予签收。</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2、中标人按照招标文件要求负责产品安装并与采购人使用人员交接使用事宜，使用一段时间（不少于一个月）后，采购人组织最终验收。</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如采购人需要，采购人可请国家认可的专业检测机构参与最终验收，并由其出具质量检测报告。验收时采购人和中标人均须在现场，验收完毕后作出验收结果报告；若聘请第三方中立机构验收，验收费用由采购人和中标人协商解决。</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 xml:space="preserve">四</w:t>
      </w:r>
      <w:r>
        <w:rPr>
          <w:rFonts w:hint="eastAsia" w:ascii="宋体" w:hAnsi="宋体" w:eastAsia="宋体" w:cs="宋体"/>
          <w:b/>
          <w:color w:val="auto"/>
          <w:sz w:val="21"/>
          <w:szCs w:val="21"/>
          <w:highlight w:val="none"/>
        </w:rPr>
        <w:t xml:space="preserve">、样品要求</w:t>
      </w:r>
      <w:r/>
    </w:p>
    <w:p>
      <w:pPr>
        <w:spacing w:line="0" w:lineRule="atLeas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bl>
      <w:tblPr>
        <w:tblStyle w:val="77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5"/>
        <w:gridCol w:w="3313"/>
        <w:gridCol w:w="4432"/>
      </w:tblGrid>
      <w:tr>
        <w:trPr>
          <w:jc w:val="center"/>
          <w:trHeight w:val="567"/>
        </w:trPr>
        <w:tc>
          <w:tcPr>
            <w:tcW w:w="455"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944"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样品名称</w:t>
            </w:r>
            <w:r/>
          </w:p>
        </w:tc>
        <w:tc>
          <w:tcPr>
            <w:tcW w:w="2599"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要求</w:t>
            </w:r>
            <w:r/>
          </w:p>
        </w:tc>
      </w:tr>
      <w:tr>
        <w:trPr>
          <w:jc w:val="center"/>
          <w:trHeight w:val="567"/>
          <w:tblHeader/>
        </w:trPr>
        <w:tc>
          <w:tcPr>
            <w:gridSpan w:val="3"/>
            <w:tcW w:w="5000"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成品大样</w:t>
            </w:r>
            <w:r/>
          </w:p>
        </w:tc>
      </w:tr>
      <w:tr>
        <w:trPr>
          <w:jc w:val="center"/>
          <w:trHeight w:val="567"/>
        </w:trPr>
        <w:tc>
          <w:tcPr>
            <w:tcW w:w="455"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944"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医用</w:t>
            </w:r>
            <w:r>
              <w:rPr>
                <w:rFonts w:hint="eastAsia" w:ascii="宋体" w:hAnsi="宋体" w:cs="宋体"/>
                <w:color w:val="auto"/>
                <w:sz w:val="21"/>
                <w:szCs w:val="21"/>
                <w:highlight w:val="none"/>
                <w:lang w:val="en-US" w:eastAsia="zh-CN"/>
              </w:rPr>
              <w:t xml:space="preserve">环保</w:t>
            </w:r>
            <w:r>
              <w:rPr>
                <w:rFonts w:hint="eastAsia" w:ascii="宋体" w:hAnsi="宋体" w:eastAsia="宋体" w:cs="宋体"/>
                <w:color w:val="auto"/>
                <w:sz w:val="21"/>
                <w:szCs w:val="21"/>
                <w:highlight w:val="none"/>
                <w:lang w:val="en-US" w:eastAsia="zh-CN"/>
              </w:rPr>
              <w:t xml:space="preserve">治疗柜</w:t>
            </w:r>
            <w:r/>
          </w:p>
        </w:tc>
        <w:tc>
          <w:tcPr>
            <w:tcW w:w="259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数量：1</w:t>
            </w:r>
            <w:r/>
          </w:p>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规格、主要材质及参数，均见项目需求</w:t>
            </w:r>
            <w:r>
              <w:rPr>
                <w:rFonts w:hint="eastAsia" w:ascii="宋体" w:hAnsi="宋体" w:cs="宋体"/>
                <w:color w:val="auto"/>
                <w:sz w:val="21"/>
                <w:szCs w:val="21"/>
                <w:highlight w:val="none"/>
                <w:lang w:val="en-US" w:eastAsia="zh-CN"/>
              </w:rPr>
              <w:t xml:space="preserve">序号4</w:t>
            </w:r>
            <w:r/>
          </w:p>
        </w:tc>
      </w:tr>
    </w:tbl>
    <w:p>
      <w:pPr>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82"/>
        <w:jc w:val="left"/>
        <w:spacing w:line="30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注：不限定样品颜色，建议参考项目需求所列彩色图片，中标人生产前提供色板给采购人确认。</w:t>
      </w:r>
      <w:r/>
    </w:p>
    <w:p>
      <w:pPr>
        <w:ind w:firstLine="480"/>
        <w:spacing w:line="30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样品送达时间及安装规定：样品须在开标当天</w:t>
      </w:r>
      <w:r>
        <w:rPr>
          <w:rFonts w:hint="eastAsia" w:ascii="宋体" w:hAnsi="宋体" w:cs="宋体"/>
          <w:color w:val="auto"/>
          <w:sz w:val="21"/>
          <w:szCs w:val="21"/>
          <w:highlight w:val="none"/>
          <w:lang w:val="en-US" w:eastAsia="zh-CN"/>
        </w:rPr>
        <w:t xml:space="preserve">下午14</w:t>
      </w:r>
      <w:r>
        <w:rPr>
          <w:rFonts w:hint="eastAsia" w:ascii="宋体" w:hAnsi="宋体" w:eastAsia="宋体" w:cs="宋体"/>
          <w:color w:val="auto"/>
          <w:sz w:val="21"/>
          <w:szCs w:val="21"/>
          <w:highlight w:val="none"/>
        </w:rPr>
        <w:t xml:space="preserve">点</w:t>
      </w:r>
      <w:r>
        <w:rPr>
          <w:rFonts w:hint="eastAsia" w:ascii="宋体" w:hAnsi="宋体" w:cs="宋体"/>
          <w:color w:val="auto"/>
          <w:sz w:val="21"/>
          <w:szCs w:val="21"/>
          <w:highlight w:val="none"/>
          <w:lang w:val="en-US" w:eastAsia="zh-CN"/>
        </w:rPr>
        <w:t xml:space="preserve">30分</w:t>
      </w:r>
      <w:r>
        <w:rPr>
          <w:rFonts w:hint="eastAsia" w:ascii="宋体" w:hAnsi="宋体" w:eastAsia="宋体" w:cs="宋体"/>
          <w:color w:val="auto"/>
          <w:sz w:val="21"/>
          <w:szCs w:val="21"/>
          <w:highlight w:val="none"/>
        </w:rPr>
        <w:t xml:space="preserve">前（逾期不予接收）送至扬州市</w:t>
      </w:r>
      <w:r>
        <w:rPr>
          <w:rFonts w:hint="eastAsia" w:ascii="宋体" w:hAnsi="宋体" w:cs="宋体"/>
          <w:color w:val="auto"/>
          <w:sz w:val="21"/>
          <w:szCs w:val="21"/>
          <w:highlight w:val="none"/>
          <w:lang w:val="en-US" w:eastAsia="zh-CN"/>
        </w:rPr>
        <w:t xml:space="preserve">维扬路106-1号商城国际大厦19楼1919室</w:t>
      </w:r>
      <w:r>
        <w:rPr>
          <w:rFonts w:hint="eastAsia" w:ascii="宋体" w:hAnsi="宋体" w:eastAsia="宋体" w:cs="宋体"/>
          <w:color w:val="auto"/>
          <w:sz w:val="21"/>
          <w:szCs w:val="21"/>
          <w:highlight w:val="none"/>
        </w:rPr>
        <w:t xml:space="preserve">，并安装摆放整齐。样品安装结束后，开标前由</w:t>
      </w:r>
      <w:r>
        <w:rPr>
          <w:rFonts w:hint="eastAsia" w:ascii="宋体" w:hAnsi="宋体" w:cs="宋体"/>
          <w:color w:val="auto"/>
          <w:sz w:val="21"/>
          <w:szCs w:val="21"/>
          <w:highlight w:val="none"/>
          <w:lang w:val="en-US" w:eastAsia="zh-CN"/>
        </w:rPr>
        <w:t xml:space="preserve">代理机构</w:t>
      </w:r>
      <w:r>
        <w:rPr>
          <w:rFonts w:hint="eastAsia" w:ascii="宋体" w:hAnsi="宋体" w:eastAsia="宋体" w:cs="宋体"/>
          <w:color w:val="auto"/>
          <w:sz w:val="21"/>
          <w:szCs w:val="21"/>
          <w:highlight w:val="none"/>
        </w:rPr>
        <w:t xml:space="preserve">工作人员及监督人员统一进行编号、封号，开标后投标人必须退出样品现场，直至样品打分结束。</w:t>
      </w:r>
      <w:r/>
    </w:p>
    <w:p>
      <w:pPr>
        <w:ind w:firstLine="480"/>
        <w:spacing w:line="30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样品费用：样品的制作、运输、安装、退场等费用均由投标人承担。</w:t>
      </w:r>
      <w:r/>
    </w:p>
    <w:p>
      <w:pPr>
        <w:ind w:firstLine="480"/>
        <w:jc w:val="left"/>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样品标识：所有样品都不应含有或隐去投标人单位名称、品牌、商标等能标明具体投标人的标识。</w:t>
      </w:r>
      <w:r/>
    </w:p>
    <w:p>
      <w:pPr>
        <w:ind w:firstLine="480"/>
        <w:jc w:val="left"/>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样品退场：采购活动结束后，未中标人的样品，由投标人1个工作日内及时取回；中标人的样品，应按采购人要求送至指定位置，由采购人进行封存保管，并作为履约验收的参考。若投标人未及时取回，</w:t>
      </w:r>
      <w:r>
        <w:rPr>
          <w:rFonts w:hint="eastAsia" w:ascii="宋体" w:hAnsi="宋体" w:cs="宋体"/>
          <w:color w:val="auto"/>
          <w:sz w:val="21"/>
          <w:szCs w:val="21"/>
          <w:highlight w:val="none"/>
          <w:lang w:val="en-US" w:eastAsia="zh-CN"/>
        </w:rPr>
        <w:t xml:space="preserve">代理机构</w:t>
      </w:r>
      <w:r>
        <w:rPr>
          <w:rFonts w:hint="eastAsia" w:ascii="宋体" w:hAnsi="宋体" w:eastAsia="宋体" w:cs="宋体"/>
          <w:color w:val="auto"/>
          <w:sz w:val="21"/>
          <w:szCs w:val="21"/>
          <w:highlight w:val="none"/>
        </w:rPr>
        <w:t xml:space="preserve">不负有保管责任。</w:t>
      </w:r>
      <w:r/>
    </w:p>
    <w:p>
      <w:pPr>
        <w:ind w:firstLine="420"/>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r>
      <w:r/>
    </w:p>
    <w:p>
      <w:pPr>
        <w:rPr>
          <w:color w:val="auto"/>
          <w:highlight w:val="none"/>
        </w:rPr>
      </w:pPr>
      <w:r>
        <w:rPr>
          <w:color w:val="auto"/>
          <w:highlight w:val="none"/>
        </w:rPr>
      </w:r>
      <w:r/>
    </w:p>
    <w:p>
      <w:pPr>
        <w:pStyle w:val="1108"/>
        <w:ind w:left="0" w:firstLine="420"/>
        <w:jc w:val="center"/>
        <w:spacing w:line="360" w:lineRule="auto"/>
        <w:rPr>
          <w:rFonts w:hint="eastAsia" w:ascii="宋体" w:hAnsi="宋体"/>
          <w:color w:val="auto"/>
          <w:highlight w:val="none"/>
        </w:rPr>
      </w:pPr>
      <w:r>
        <w:rPr>
          <w:rFonts w:hint="eastAsia" w:ascii="宋体" w:hAnsi="宋体" w:cs="宋体"/>
          <w:i/>
          <w:iCs/>
          <w:color w:val="auto"/>
          <w:szCs w:val="20"/>
          <w:highlight w:val="none"/>
          <w:u w:val="single"/>
        </w:rPr>
        <w:br w:type="page" w:clear="all"/>
      </w:r>
      <w:bookmarkEnd w:id="29"/>
      <w:r/>
      <w:bookmarkStart w:id="30" w:name="_Toc497133123"/>
      <w:r>
        <w:rPr>
          <w:rFonts w:hint="eastAsia" w:ascii="宋体" w:hAnsi="宋体"/>
          <w:b/>
          <w:bCs/>
          <w:color w:val="auto"/>
          <w:sz w:val="36"/>
          <w:highlight w:val="none"/>
        </w:rPr>
        <w:t xml:space="preserve">第五章 评标方法及评标标准</w:t>
      </w:r>
      <w:r/>
    </w:p>
    <w:p>
      <w:pPr>
        <w:pStyle w:val="1109"/>
        <w:ind w:firstLine="422"/>
        <w:jc w:val="both"/>
        <w:spacing w:before="0" w:after="0"/>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一、评标方法</w:t>
      </w:r>
      <w:r/>
    </w:p>
    <w:p>
      <w:pPr>
        <w:pStyle w:val="1109"/>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b/>
          <w:color w:val="auto"/>
          <w:szCs w:val="21"/>
          <w:highlight w:val="none"/>
        </w:rPr>
      </w:pPr>
      <w:r/>
      <w:bookmarkStart w:id="31" w:name="_Toc449017024"/>
      <w:r/>
      <w:bookmarkStart w:id="32" w:name="_Toc449016388"/>
      <w:r>
        <w:rPr>
          <w:rFonts w:hint="eastAsia" w:ascii="宋体" w:hAnsi="宋体"/>
          <w:b/>
          <w:color w:val="auto"/>
          <w:szCs w:val="21"/>
          <w:highlight w:val="none"/>
        </w:rPr>
        <w:t xml:space="preserve">二、政府采购政策功能落实</w:t>
      </w:r>
      <w:bookmarkEnd w:id="31"/>
      <w:r/>
      <w:bookmarkEnd w:id="32"/>
      <w:r/>
      <w:r/>
    </w:p>
    <w:p>
      <w:pPr>
        <w:pStyle w:val="1109"/>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109"/>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1109"/>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的扣除价格，用扣除后的价格参与评审。</w:t>
      </w:r>
      <w:r/>
    </w:p>
    <w:p>
      <w:pPr>
        <w:pStyle w:val="1109"/>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（2）供应商需按照采购文件的要求提供相应的《企业声明函》。</w:t>
      </w:r>
      <w:r/>
    </w:p>
    <w:p>
      <w:pPr>
        <w:pStyle w:val="1109"/>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1109"/>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的价格扣除，用扣除后的价格参与评审。</w:t>
      </w:r>
      <w:r/>
    </w:p>
    <w:p>
      <w:pPr>
        <w:pStyle w:val="1109"/>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1109"/>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1109"/>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1109"/>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的价格扣除，用扣除后的价格参与评审。</w:t>
      </w:r>
      <w:r/>
    </w:p>
    <w:p>
      <w:pPr>
        <w:pStyle w:val="1109"/>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09"/>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1109"/>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1109"/>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的价格扣除，用扣除后的价格参与评审。 </w:t>
      </w:r>
      <w:r/>
    </w:p>
    <w:p>
      <w:pPr>
        <w:pStyle w:val="1109"/>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价格扣除，用扣除后的价格参与评审。</w:t>
      </w:r>
      <w:r/>
    </w:p>
    <w:p>
      <w:pPr>
        <w:pStyle w:val="1109"/>
        <w:ind w:firstLine="422"/>
        <w:jc w:val="both"/>
        <w:spacing w:before="0"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7、采购本国产品的支持政策</w:t>
      </w:r>
      <w:r/>
    </w:p>
    <w:p>
      <w:pPr>
        <w:pStyle w:val="1109"/>
        <w:ind w:firstLine="422"/>
        <w:jc w:val="both"/>
        <w:spacing w:before="0"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7.1本项目政府采购活动中既有本国产品又有非本国产品参与竞争的，依法对本国产品给予价格评审优惠，对本国产品的报价给予20%的价格扣除，用扣除后的价格参与评审。</w:t>
      </w:r>
      <w:r/>
    </w:p>
    <w:p>
      <w:pPr>
        <w:pStyle w:val="1109"/>
        <w:ind w:firstLine="422"/>
        <w:jc w:val="both"/>
        <w:spacing w:before="0"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7.2当采购项目或者采购包中含有多种产品，供应商为该采购项目或者采购包提供的符合本国产品标准的产品成本之和占该供应商提供的全部产品成本之和的比例达到80%以上时（供应商需在“第六章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09"/>
        <w:ind w:firstLine="422"/>
        <w:jc w:val="both"/>
        <w:spacing w:before="0"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7.3供应商需按照招标文件的要求提供《关于符合本国产品标准的声明函》（以下简称《声明函》），如不提供将不享受本国产品价格评审优惠。</w:t>
      </w:r>
      <w:r/>
    </w:p>
    <w:p>
      <w:pPr>
        <w:pStyle w:val="1109"/>
        <w:ind w:firstLine="422"/>
        <w:jc w:val="both"/>
        <w:spacing w:before="0"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7.4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09"/>
        <w:ind w:firstLine="422"/>
        <w:jc w:val="both"/>
        <w:spacing w:before="0"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09"/>
        <w:ind w:firstLine="422"/>
        <w:spacing w:before="0" w:after="0"/>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三、评标标准</w:t>
      </w:r>
      <w:bookmarkEnd w:id="30"/>
      <w:r/>
      <w:r/>
    </w:p>
    <w:tbl>
      <w:tblPr>
        <w:tblStyle w:val="773"/>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63"/>
        <w:gridCol w:w="7632"/>
      </w:tblGrid>
      <w:tr>
        <w:trPr>
          <w:jc w:val="center"/>
          <w:trHeight w:val="567"/>
        </w:trPr>
        <w:tc>
          <w:tcPr>
            <w:tcW w:w="1563"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评审因素</w:t>
            </w:r>
            <w:r/>
          </w:p>
        </w:tc>
        <w:tc>
          <w:tcPr>
            <w:tcW w:w="7632"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评审标准</w:t>
            </w:r>
            <w:r/>
          </w:p>
        </w:tc>
      </w:tr>
      <w:tr>
        <w:trPr>
          <w:jc w:val="center"/>
          <w:trHeight w:val="567"/>
        </w:trPr>
        <w:tc>
          <w:tcPr>
            <w:tcW w:w="1563"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价格部分</w:t>
            </w:r>
            <w:r/>
          </w:p>
          <w:p>
            <w:pPr>
              <w:jc w:val="center"/>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（30分）</w:t>
            </w:r>
            <w:r/>
          </w:p>
        </w:tc>
        <w:tc>
          <w:tcPr>
            <w:tcW w:w="7632" w:type="dxa"/>
            <w:vAlign w:val="center"/>
            <w:textDirection w:val="lrTb"/>
            <w:noWrap w:val="false"/>
          </w:tcPr>
          <w:p>
            <w:pPr>
              <w:jc w:val="both"/>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实质性满足招标文件要求且投标价格最低的投标报价为评标基准价，其价格分为满分。</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其他投标人的价格分统一按照下列公式计算：投标报价得分=（评标基准价/投标报价）×30，因落实政府采购政策进行价格调整的，以调整后的价格计算评标基准价和投标报价得分。</w:t>
            </w:r>
            <w:r/>
          </w:p>
        </w:tc>
      </w:tr>
      <w:tr>
        <w:trPr>
          <w:jc w:val="center"/>
          <w:trHeight w:val="567"/>
        </w:trPr>
        <w:tc>
          <w:tcPr>
            <w:tcW w:w="1563"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招标文件响应</w:t>
            </w:r>
            <w:r/>
          </w:p>
          <w:p>
            <w:pPr>
              <w:jc w:val="center"/>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tcW w:w="7632" w:type="dxa"/>
            <w:vAlign w:val="center"/>
            <w:textDirection w:val="lrTb"/>
            <w:noWrap w:val="false"/>
          </w:tcPr>
          <w:p>
            <w:pPr>
              <w:jc w:val="both"/>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完全满足招标文件第四部分</w:t>
            </w:r>
            <w:r>
              <w:rPr>
                <w:rFonts w:hint="eastAsia" w:ascii="宋体" w:hAnsi="宋体" w:eastAsia="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lang w:val="en-US" w:eastAsia="zh-CN"/>
              </w:rPr>
              <w:t xml:space="preserve">需求</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二、</w:t>
            </w:r>
            <w:r>
              <w:rPr>
                <w:rFonts w:hint="eastAsia" w:ascii="宋体" w:hAnsi="宋体" w:cs="宋体"/>
                <w:color w:val="auto"/>
                <w:sz w:val="21"/>
                <w:szCs w:val="21"/>
                <w:highlight w:val="none"/>
                <w:lang w:val="en-US" w:eastAsia="zh-CN"/>
              </w:rPr>
              <w:t xml:space="preserve">技术需求”</w:t>
            </w:r>
            <w:r>
              <w:rPr>
                <w:rFonts w:hint="eastAsia" w:ascii="宋体" w:hAnsi="宋体" w:eastAsia="宋体" w:cs="宋体"/>
                <w:color w:val="auto"/>
                <w:sz w:val="21"/>
                <w:szCs w:val="21"/>
                <w:highlight w:val="none"/>
                <w:lang w:val="en-US" w:eastAsia="zh-CN"/>
              </w:rPr>
              <w:t xml:space="preserve">的得满分，</w:t>
            </w:r>
            <w:r>
              <w:rPr>
                <w:rFonts w:hint="eastAsia" w:ascii="宋体" w:hAnsi="宋体" w:cs="宋体"/>
                <w:color w:val="auto"/>
                <w:sz w:val="21"/>
                <w:szCs w:val="21"/>
                <w:highlight w:val="none"/>
                <w:lang w:val="en-US" w:eastAsia="zh-CN"/>
              </w:rPr>
              <w:t xml:space="preserve">标注</w:t>
            </w:r>
            <w:r>
              <w:rPr>
                <w:rFonts w:hint="eastAsia" w:ascii="宋体" w:hAnsi="宋体" w:eastAsia="宋体" w:cs="宋体"/>
                <w:color w:val="auto"/>
                <w:sz w:val="21"/>
                <w:szCs w:val="21"/>
                <w:highlight w:val="none"/>
              </w:rPr>
              <w:t xml:space="preserve">“▲”的要求</w:t>
            </w:r>
            <w:r>
              <w:rPr>
                <w:rFonts w:hint="eastAsia" w:ascii="宋体" w:hAnsi="宋体" w:eastAsia="宋体" w:cs="宋体"/>
                <w:color w:val="auto"/>
                <w:sz w:val="21"/>
                <w:szCs w:val="21"/>
                <w:highlight w:val="none"/>
                <w:lang w:val="en-US" w:eastAsia="zh-CN"/>
              </w:rPr>
              <w:t xml:space="preserve">每负偏离一项扣0.</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val="en-US" w:eastAsia="zh-CN"/>
              </w:rPr>
              <w:t xml:space="preserve">其余要求</w:t>
            </w:r>
            <w:r>
              <w:rPr>
                <w:rFonts w:hint="eastAsia" w:ascii="宋体" w:hAnsi="宋体" w:eastAsia="宋体" w:cs="宋体"/>
                <w:color w:val="auto"/>
                <w:sz w:val="21"/>
                <w:szCs w:val="21"/>
                <w:highlight w:val="none"/>
                <w:lang w:val="en-US" w:eastAsia="zh-CN"/>
              </w:rPr>
              <w:t xml:space="preserve">每负偏离一项扣0.</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扣完为止。</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注：采购需求中明确需要提供证明的，均须在投标文件中提供证明文件，且须在技术响应偏差表详尽真实地提供偏差情况及证明材料页码，否则视为负偏离。</w:t>
            </w:r>
            <w:r/>
          </w:p>
        </w:tc>
      </w:tr>
      <w:tr>
        <w:trPr>
          <w:jc w:val="center"/>
          <w:trHeight w:val="567"/>
        </w:trPr>
        <w:tc>
          <w:tcPr>
            <w:tcW w:w="1563"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设计方案</w:t>
            </w:r>
            <w:r/>
          </w:p>
          <w:p>
            <w:pPr>
              <w:jc w:val="center"/>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分）</w:t>
            </w:r>
            <w:r/>
          </w:p>
        </w:tc>
        <w:tc>
          <w:tcPr>
            <w:tcW w:w="7632" w:type="dxa"/>
            <w:vAlign w:val="center"/>
            <w:textDirection w:val="lrTb"/>
            <w:noWrap w:val="false"/>
          </w:tcPr>
          <w:p>
            <w:pPr>
              <w:jc w:val="both"/>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投标人/所投产品制造商</w:t>
            </w:r>
            <w:r>
              <w:rPr>
                <w:rFonts w:hint="eastAsia" w:ascii="宋体" w:hAnsi="宋体" w:eastAsia="宋体" w:cs="宋体"/>
                <w:color w:val="auto"/>
                <w:sz w:val="21"/>
                <w:szCs w:val="21"/>
                <w:highlight w:val="none"/>
              </w:rPr>
              <w:t xml:space="preserve">根据项目需求提供产品设计方案（包括但不限于效果图、深化设计图）。对方案是否完全满足本项目需求，响应是否详细具体，是否具有针对性，是否具备有效可行的实施能力情况进行综合评审。</w:t>
            </w:r>
            <w:r/>
          </w:p>
          <w:p>
            <w:pPr>
              <w:numPr>
                <w:ilvl w:val="0"/>
                <w:numId w:val="8"/>
              </w:numPr>
              <w:jc w:val="both"/>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方案完整详实、科学合理、具备针对性且切实可行、满足采购人实际需求的得10分；</w:t>
            </w:r>
            <w:r/>
          </w:p>
          <w:p>
            <w:pPr>
              <w:numPr>
                <w:ilvl w:val="0"/>
                <w:numId w:val="8"/>
              </w:numPr>
              <w:jc w:val="both"/>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方案基本完整、较为科学合理，基本满足采购人实际需求的得7分；</w:t>
            </w:r>
            <w:r/>
          </w:p>
          <w:p>
            <w:pPr>
              <w:numPr>
                <w:ilvl w:val="0"/>
                <w:numId w:val="8"/>
              </w:numPr>
              <w:jc w:val="both"/>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方案完整性、合理性、针对性、可行性有所欠缺，与采购人实际需求存在差距得4分</w:t>
            </w:r>
            <w:r>
              <w:rPr>
                <w:rFonts w:hint="eastAsia" w:ascii="宋体" w:hAnsi="宋体" w:cs="宋体"/>
                <w:color w:val="auto"/>
                <w:sz w:val="21"/>
                <w:szCs w:val="21"/>
                <w:highlight w:val="none"/>
                <w:lang w:eastAsia="zh-CN"/>
              </w:rPr>
              <w:t xml:space="preserve">；</w:t>
            </w:r>
            <w:r/>
          </w:p>
          <w:p>
            <w:pPr>
              <w:numPr>
                <w:ilvl w:val="0"/>
                <w:numId w:val="8"/>
              </w:numPr>
              <w:jc w:val="both"/>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方案完整性、合理性、针对性、可行性差，与采购人实际需求存在较大差距得1分</w:t>
            </w:r>
            <w:r>
              <w:rPr>
                <w:rFonts w:hint="eastAsia" w:ascii="宋体" w:hAnsi="宋体" w:cs="宋体"/>
                <w:color w:val="auto"/>
                <w:sz w:val="21"/>
                <w:szCs w:val="21"/>
                <w:highlight w:val="none"/>
                <w:lang w:eastAsia="zh-CN"/>
              </w:rPr>
              <w:t xml:space="preserve">；</w:t>
            </w:r>
            <w:r/>
          </w:p>
          <w:p>
            <w:pPr>
              <w:numPr>
                <w:ilvl w:val="0"/>
                <w:numId w:val="8"/>
              </w:numPr>
              <w:jc w:val="both"/>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其余情况或未提供不得分。</w:t>
            </w:r>
            <w:r/>
          </w:p>
        </w:tc>
      </w:tr>
      <w:tr>
        <w:trPr>
          <w:jc w:val="center"/>
          <w:trHeight w:val="567"/>
        </w:trPr>
        <w:tc>
          <w:tcPr>
            <w:tcW w:w="1563"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成品样品</w:t>
            </w:r>
            <w:r/>
          </w:p>
          <w:p>
            <w:pPr>
              <w:jc w:val="center"/>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W w:w="7632" w:type="dxa"/>
            <w:vAlign w:val="center"/>
            <w:textDirection w:val="lrTb"/>
            <w:noWrap w:val="false"/>
          </w:tcPr>
          <w:p>
            <w:pPr>
              <w:jc w:val="both"/>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提供样品</w:t>
            </w:r>
            <w:r>
              <w:rPr>
                <w:rFonts w:hint="eastAsia" w:ascii="宋体" w:hAnsi="宋体" w:eastAsia="宋体" w:cs="宋体"/>
                <w:color w:val="auto"/>
                <w:sz w:val="21"/>
                <w:szCs w:val="21"/>
                <w:highlight w:val="none"/>
                <w:lang w:val="en-US" w:eastAsia="zh-CN"/>
              </w:rPr>
              <w:t xml:space="preserve">医用</w:t>
            </w:r>
            <w:r>
              <w:rPr>
                <w:rFonts w:hint="eastAsia" w:ascii="宋体" w:hAnsi="宋体" w:cs="宋体"/>
                <w:color w:val="auto"/>
                <w:sz w:val="21"/>
                <w:szCs w:val="21"/>
                <w:highlight w:val="none"/>
                <w:lang w:val="en-US" w:eastAsia="zh-CN"/>
              </w:rPr>
              <w:t xml:space="preserve">环保</w:t>
            </w:r>
            <w:r>
              <w:rPr>
                <w:rFonts w:hint="eastAsia" w:ascii="宋体" w:hAnsi="宋体" w:eastAsia="宋体" w:cs="宋体"/>
                <w:color w:val="auto"/>
                <w:sz w:val="21"/>
                <w:szCs w:val="21"/>
                <w:highlight w:val="none"/>
                <w:lang w:val="en-US" w:eastAsia="zh-CN"/>
              </w:rPr>
              <w:t xml:space="preserve">治疗柜</w:t>
            </w:r>
            <w:r>
              <w:rPr>
                <w:rFonts w:hint="eastAsia" w:ascii="宋体" w:hAnsi="宋体" w:cs="宋体"/>
                <w:color w:val="auto"/>
                <w:sz w:val="21"/>
                <w:szCs w:val="21"/>
                <w:highlight w:val="none"/>
                <w:lang w:val="en-US" w:eastAsia="zh-CN"/>
              </w:rPr>
              <w:t xml:space="preserve">（序号4）</w:t>
            </w:r>
            <w:r>
              <w:rPr>
                <w:rFonts w:hint="eastAsia" w:ascii="宋体" w:hAnsi="宋体" w:eastAsia="宋体" w:cs="宋体"/>
                <w:color w:val="auto"/>
                <w:sz w:val="21"/>
                <w:szCs w:val="21"/>
                <w:highlight w:val="none"/>
                <w:lang w:val="en-US" w:eastAsia="zh-CN"/>
              </w:rPr>
              <w:t xml:space="preserve">，具体配置结合产品清单</w:t>
            </w:r>
            <w:r>
              <w:rPr>
                <w:rFonts w:hint="eastAsia" w:ascii="宋体" w:hAnsi="宋体" w:eastAsia="宋体" w:cs="宋体"/>
                <w:color w:val="auto"/>
                <w:sz w:val="21"/>
                <w:szCs w:val="21"/>
                <w:highlight w:val="none"/>
              </w:rPr>
              <w:t xml:space="preserve">自行优化设计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评标委员会根据样品材质、外观、结构、生产工艺、生产质量、功能性、环保标准（有无刺激性气味）及色彩搭配进行综合评分</w:t>
            </w:r>
            <w:r>
              <w:rPr>
                <w:rFonts w:hint="eastAsia" w:ascii="宋体" w:hAnsi="宋体" w:eastAsia="宋体" w:cs="宋体"/>
                <w:color w:val="auto"/>
                <w:sz w:val="21"/>
                <w:szCs w:val="21"/>
                <w:highlight w:val="none"/>
                <w:lang w:eastAsia="zh-CN"/>
              </w:rPr>
              <w:t xml:space="preserve">。</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（1）样品满足采购清单中的产品工艺要求，材质优良、外观平整精细、结构平稳，组合部件吻合严密，色彩协调，无刺激性气味，完全符合采购需求的得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（2）样品基本满足采购清单中的产品工艺要求，外观平整精细、平整，组合部件，基本无刺激性气味，比较符合采购需求的得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（3）样品满足采购清单中的产品工艺的大部分要求，材质一般、外观平整、结构平整，色彩普通的得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）样品有明显欠缺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与采购人实际需求存在较大差距的得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）样品未提供不得分。</w:t>
            </w:r>
            <w:r/>
          </w:p>
        </w:tc>
      </w:tr>
      <w:tr>
        <w:trPr>
          <w:jc w:val="center"/>
          <w:trHeight w:val="567"/>
        </w:trPr>
        <w:tc>
          <w:tcPr>
            <w:tcW w:w="1563"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实施方案</w:t>
            </w:r>
            <w:r/>
          </w:p>
          <w:p>
            <w:pPr>
              <w:jc w:val="center"/>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W w:w="7632" w:type="dxa"/>
            <w:vAlign w:val="center"/>
            <w:textDirection w:val="lrTb"/>
            <w:noWrap w:val="false"/>
          </w:tcPr>
          <w:p>
            <w:pPr>
              <w:jc w:val="both"/>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提供实施方案，方案应包含但不限于供货计划、现场施工措施，确保货物安装质量、安全施工等方面。</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方案完整详实、科学合理、具备针对性且切实可行、满足采购人实际需求的得</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方案基本完整、较为科学合理，基本满足采购人实际需求的得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jc w:val="both"/>
              <w:keepLines w:val="0"/>
              <w:keepNext w:val="0"/>
              <w:pageBreakBefore w:val="0"/>
              <w:spacing w:line="300" w:lineRule="auto"/>
              <w:widowControl w:val="off"/>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方案完整性、合理性、针对性、可行性有所欠缺，与采购人实际需求存在差距得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p>
          <w:p>
            <w:pPr>
              <w:jc w:val="both"/>
              <w:keepLines w:val="0"/>
              <w:keepNext w:val="0"/>
              <w:pageBreakBefore w:val="0"/>
              <w:spacing w:line="300" w:lineRule="auto"/>
              <w:widowControl w:val="off"/>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方案完整性、合理性、针对性、可行性差，与采购人实际需求存在较大差距得1分</w:t>
            </w:r>
            <w:r>
              <w:rPr>
                <w:rFonts w:hint="eastAsia" w:ascii="宋体" w:hAnsi="宋体" w:cs="宋体"/>
                <w:color w:val="auto"/>
                <w:sz w:val="21"/>
                <w:szCs w:val="21"/>
                <w:highlight w:val="none"/>
                <w:lang w:eastAsia="zh-CN"/>
              </w:rPr>
              <w:t xml:space="preserve">；</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其余情况或未提供不得分。</w:t>
            </w:r>
            <w:r/>
          </w:p>
        </w:tc>
      </w:tr>
      <w:tr>
        <w:trPr>
          <w:jc w:val="center"/>
          <w:trHeight w:val="567"/>
        </w:trPr>
        <w:tc>
          <w:tcPr>
            <w:tcW w:w="1563"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安全</w:t>
            </w:r>
            <w:r>
              <w:rPr>
                <w:rFonts w:hint="eastAsia" w:ascii="宋体" w:hAnsi="宋体" w:eastAsia="宋体" w:cs="宋体"/>
                <w:color w:val="auto"/>
                <w:sz w:val="21"/>
                <w:szCs w:val="21"/>
                <w:highlight w:val="none"/>
              </w:rPr>
              <w:t xml:space="preserve">环保证书</w:t>
            </w:r>
            <w:r/>
          </w:p>
          <w:p>
            <w:pPr>
              <w:jc w:val="center"/>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c>
          <w:tcPr>
            <w:tcW w:w="7632" w:type="dxa"/>
            <w:vAlign w:val="center"/>
            <w:textDirection w:val="lrTb"/>
            <w:noWrap w:val="false"/>
          </w:tcPr>
          <w:p>
            <w:pPr>
              <w:jc w:val="both"/>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投标人/所投产品制造商</w:t>
            </w:r>
            <w:r>
              <w:rPr>
                <w:rFonts w:hint="eastAsia" w:ascii="宋体" w:hAnsi="宋体" w:eastAsia="宋体" w:cs="宋体"/>
                <w:color w:val="auto"/>
                <w:sz w:val="21"/>
                <w:szCs w:val="21"/>
                <w:highlight w:val="none"/>
              </w:rPr>
              <w:t xml:space="preserve">需具备以下证书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每提供一个证书得1分</w:t>
            </w:r>
            <w:r>
              <w:rPr>
                <w:rFonts w:hint="eastAsia" w:ascii="宋体" w:hAnsi="宋体" w:eastAsia="宋体" w:cs="宋体"/>
                <w:color w:val="auto"/>
                <w:sz w:val="21"/>
                <w:szCs w:val="21"/>
                <w:highlight w:val="none"/>
                <w:lang w:val="en-US" w:eastAsia="zh-CN"/>
              </w:rPr>
              <w:t xml:space="preserve">，最高得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中国环境标志产品认证证书，且认证</w:t>
            </w:r>
            <w:r>
              <w:rPr>
                <w:rFonts w:hint="eastAsia" w:ascii="宋体" w:hAnsi="宋体" w:cs="宋体"/>
                <w:color w:val="auto"/>
                <w:sz w:val="21"/>
                <w:szCs w:val="21"/>
                <w:highlight w:val="none"/>
                <w:lang w:val="en-US" w:eastAsia="zh-CN"/>
              </w:rPr>
              <w:t xml:space="preserve">单元至少</w:t>
            </w:r>
            <w:r>
              <w:rPr>
                <w:rFonts w:hint="eastAsia" w:ascii="宋体" w:hAnsi="宋体" w:eastAsia="宋体" w:cs="宋体"/>
                <w:color w:val="auto"/>
                <w:sz w:val="21"/>
                <w:szCs w:val="21"/>
                <w:highlight w:val="none"/>
                <w:lang w:eastAsia="zh-CN"/>
              </w:rPr>
              <w:t xml:space="preserve">包含钢制家具或金属家具；</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中国绿色产品认证证书，</w:t>
            </w:r>
            <w:r>
              <w:rPr>
                <w:rFonts w:hint="eastAsia" w:ascii="宋体" w:hAnsi="宋体" w:eastAsia="宋体" w:cs="宋体"/>
                <w:color w:val="auto"/>
                <w:sz w:val="21"/>
                <w:szCs w:val="21"/>
                <w:highlight w:val="none"/>
                <w:lang w:eastAsia="zh-CN"/>
              </w:rPr>
              <w:t xml:space="preserve">且认证</w:t>
            </w:r>
            <w:r>
              <w:rPr>
                <w:rFonts w:hint="eastAsia" w:ascii="宋体" w:hAnsi="宋体" w:cs="宋体"/>
                <w:color w:val="auto"/>
                <w:sz w:val="21"/>
                <w:szCs w:val="21"/>
                <w:highlight w:val="none"/>
                <w:lang w:val="en-US" w:eastAsia="zh-CN"/>
              </w:rPr>
              <w:t xml:space="preserve">单元至少</w:t>
            </w:r>
            <w:r>
              <w:rPr>
                <w:rFonts w:hint="eastAsia" w:ascii="宋体" w:hAnsi="宋体" w:eastAsia="宋体" w:cs="宋体"/>
                <w:color w:val="auto"/>
                <w:sz w:val="21"/>
                <w:szCs w:val="21"/>
                <w:highlight w:val="none"/>
                <w:lang w:eastAsia="zh-CN"/>
              </w:rPr>
              <w:t xml:space="preserve">包含钢制家具或金属家具</w:t>
            </w:r>
            <w:r>
              <w:rPr>
                <w:rFonts w:hint="eastAsia" w:ascii="宋体" w:hAnsi="宋体" w:eastAsia="宋体" w:cs="宋体"/>
                <w:color w:val="auto"/>
                <w:sz w:val="21"/>
                <w:szCs w:val="21"/>
                <w:highlight w:val="none"/>
                <w:lang w:val="en-US" w:eastAsia="zh-CN"/>
              </w:rPr>
              <w:t xml:space="preserve">；</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有害物质限量认证证书，</w:t>
            </w:r>
            <w:r>
              <w:rPr>
                <w:rFonts w:hint="eastAsia" w:ascii="宋体" w:hAnsi="宋体" w:eastAsia="宋体" w:cs="宋体"/>
                <w:color w:val="auto"/>
                <w:sz w:val="21"/>
                <w:szCs w:val="21"/>
                <w:highlight w:val="none"/>
                <w:lang w:eastAsia="zh-CN"/>
              </w:rPr>
              <w:t xml:space="preserve">且认证</w:t>
            </w:r>
            <w:r>
              <w:rPr>
                <w:rFonts w:hint="eastAsia" w:ascii="宋体" w:hAnsi="宋体" w:cs="宋体"/>
                <w:color w:val="auto"/>
                <w:sz w:val="21"/>
                <w:szCs w:val="21"/>
                <w:highlight w:val="none"/>
                <w:lang w:val="en-US" w:eastAsia="zh-CN"/>
              </w:rPr>
              <w:t xml:space="preserve">单元至少</w:t>
            </w:r>
            <w:r>
              <w:rPr>
                <w:rFonts w:hint="eastAsia" w:ascii="宋体" w:hAnsi="宋体" w:eastAsia="宋体" w:cs="宋体"/>
                <w:color w:val="auto"/>
                <w:sz w:val="21"/>
                <w:szCs w:val="21"/>
                <w:highlight w:val="none"/>
                <w:lang w:eastAsia="zh-CN"/>
              </w:rPr>
              <w:t xml:space="preserve">包含钢制家具或金属家具</w:t>
            </w:r>
            <w:r>
              <w:rPr>
                <w:rFonts w:hint="eastAsia" w:ascii="宋体" w:hAnsi="宋体" w:eastAsia="宋体" w:cs="宋体"/>
                <w:color w:val="auto"/>
                <w:sz w:val="21"/>
                <w:szCs w:val="21"/>
                <w:highlight w:val="none"/>
                <w:lang w:val="en-US" w:eastAsia="zh-CN"/>
              </w:rPr>
              <w:t xml:space="preserve">；</w:t>
            </w:r>
            <w:r/>
          </w:p>
          <w:p>
            <w:pPr>
              <w:jc w:val="both"/>
              <w:keepLines w:val="0"/>
              <w:keepNext w:val="0"/>
              <w:pageBreakBefore w:val="0"/>
              <w:spacing w:line="30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低VOCs家具产品认证证书，</w:t>
            </w:r>
            <w:r>
              <w:rPr>
                <w:rFonts w:hint="eastAsia" w:ascii="宋体" w:hAnsi="宋体" w:eastAsia="宋体" w:cs="宋体"/>
                <w:color w:val="auto"/>
                <w:sz w:val="21"/>
                <w:szCs w:val="21"/>
                <w:highlight w:val="none"/>
                <w:lang w:eastAsia="zh-CN"/>
              </w:rPr>
              <w:t xml:space="preserve">且认证</w:t>
            </w:r>
            <w:r>
              <w:rPr>
                <w:rFonts w:hint="eastAsia" w:ascii="宋体" w:hAnsi="宋体" w:cs="宋体"/>
                <w:color w:val="auto"/>
                <w:sz w:val="21"/>
                <w:szCs w:val="21"/>
                <w:highlight w:val="none"/>
                <w:lang w:val="en-US" w:eastAsia="zh-CN"/>
              </w:rPr>
              <w:t xml:space="preserve">单元至少</w:t>
            </w:r>
            <w:r>
              <w:rPr>
                <w:rFonts w:hint="eastAsia" w:ascii="宋体" w:hAnsi="宋体" w:eastAsia="宋体" w:cs="宋体"/>
                <w:color w:val="auto"/>
                <w:sz w:val="21"/>
                <w:szCs w:val="21"/>
                <w:highlight w:val="none"/>
                <w:lang w:eastAsia="zh-CN"/>
              </w:rPr>
              <w:t xml:space="preserve">包含钢制家具或金属家具</w:t>
            </w:r>
            <w:r>
              <w:rPr>
                <w:rFonts w:hint="eastAsia" w:ascii="宋体" w:hAnsi="宋体" w:eastAsia="宋体" w:cs="宋体"/>
                <w:color w:val="auto"/>
                <w:sz w:val="21"/>
                <w:szCs w:val="21"/>
                <w:highlight w:val="none"/>
                <w:lang w:val="en-US" w:eastAsia="zh-CN"/>
              </w:rPr>
              <w:t xml:space="preserve">；</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注</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提供有效认证证书</w:t>
            </w:r>
            <w:r>
              <w:rPr>
                <w:rFonts w:hint="eastAsia" w:ascii="宋体" w:hAnsi="宋体" w:cs="宋体"/>
                <w:color w:val="auto"/>
                <w:sz w:val="21"/>
                <w:szCs w:val="21"/>
                <w:highlight w:val="none"/>
                <w:lang w:val="en-US" w:eastAsia="zh-CN"/>
              </w:rPr>
              <w:t xml:space="preserve">扫描件</w:t>
            </w:r>
            <w:r>
              <w:rPr>
                <w:rFonts w:hint="eastAsia" w:ascii="宋体" w:hAnsi="宋体" w:eastAsia="宋体" w:cs="宋体"/>
                <w:color w:val="auto"/>
                <w:sz w:val="21"/>
                <w:szCs w:val="21"/>
                <w:highlight w:val="none"/>
                <w:lang w:val="en-US" w:eastAsia="zh-CN"/>
              </w:rPr>
              <w:t xml:space="preserve">及</w:t>
            </w:r>
            <w:r>
              <w:rPr>
                <w:rFonts w:hint="eastAsia" w:ascii="宋体" w:hAnsi="宋体" w:eastAsia="宋体" w:cs="宋体"/>
                <w:color w:val="auto"/>
                <w:sz w:val="21"/>
                <w:szCs w:val="21"/>
                <w:highlight w:val="none"/>
              </w:rPr>
              <w:t xml:space="preserve">全国认证认可信息公共服务平台（http://cx.cnca.cn/CertECloud/index/index/page）的证书查询记录截图，证书状态须显示“有效”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并加盖投标人公章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不提供不得分。名称没有限制性，若认证</w:t>
            </w:r>
            <w:r>
              <w:rPr>
                <w:rFonts w:hint="eastAsia" w:ascii="宋体" w:hAnsi="宋体" w:cs="宋体"/>
                <w:color w:val="auto"/>
                <w:sz w:val="21"/>
                <w:szCs w:val="21"/>
                <w:highlight w:val="none"/>
                <w:lang w:val="en-US" w:eastAsia="zh-CN"/>
              </w:rPr>
              <w:t xml:space="preserve">单元名称</w:t>
            </w:r>
            <w:r>
              <w:rPr>
                <w:rFonts w:hint="eastAsia" w:ascii="宋体" w:hAnsi="宋体" w:eastAsia="宋体" w:cs="宋体"/>
                <w:color w:val="auto"/>
                <w:sz w:val="21"/>
                <w:szCs w:val="21"/>
                <w:highlight w:val="none"/>
                <w:lang w:val="en-US" w:eastAsia="zh-CN"/>
              </w:rPr>
              <w:t xml:space="preserve">与上述</w:t>
            </w:r>
            <w:r>
              <w:rPr>
                <w:rFonts w:hint="eastAsia" w:ascii="宋体" w:hAnsi="宋体" w:cs="宋体"/>
                <w:color w:val="auto"/>
                <w:sz w:val="21"/>
                <w:szCs w:val="21"/>
                <w:highlight w:val="none"/>
                <w:lang w:val="en-US" w:eastAsia="zh-CN"/>
              </w:rPr>
              <w:t xml:space="preserve">单元名称</w:t>
            </w:r>
            <w:r>
              <w:rPr>
                <w:rFonts w:hint="eastAsia" w:ascii="宋体" w:hAnsi="宋体" w:eastAsia="宋体" w:cs="宋体"/>
                <w:color w:val="auto"/>
                <w:sz w:val="21"/>
                <w:szCs w:val="21"/>
                <w:highlight w:val="none"/>
                <w:lang w:val="en-US" w:eastAsia="zh-CN"/>
              </w:rPr>
              <w:t xml:space="preserve">不一致，为同</w:t>
            </w:r>
            <w:r>
              <w:rPr>
                <w:rFonts w:hint="eastAsia" w:ascii="宋体" w:hAnsi="宋体" w:cs="宋体"/>
                <w:color w:val="auto"/>
                <w:sz w:val="21"/>
                <w:szCs w:val="21"/>
                <w:highlight w:val="none"/>
                <w:lang w:val="en-US" w:eastAsia="zh-CN"/>
              </w:rPr>
              <w:t xml:space="preserve">类名称</w:t>
            </w:r>
            <w:r>
              <w:rPr>
                <w:rFonts w:hint="eastAsia" w:ascii="宋体" w:hAnsi="宋体" w:eastAsia="宋体" w:cs="宋体"/>
                <w:color w:val="auto"/>
                <w:sz w:val="21"/>
                <w:szCs w:val="21"/>
                <w:highlight w:val="none"/>
                <w:lang w:val="en-US" w:eastAsia="zh-CN"/>
              </w:rPr>
              <w:t xml:space="preserve">或相近名称均可。</w:t>
            </w:r>
            <w:r/>
          </w:p>
        </w:tc>
      </w:tr>
      <w:tr>
        <w:trPr>
          <w:jc w:val="center"/>
          <w:trHeight w:val="567"/>
        </w:trPr>
        <w:tc>
          <w:tcPr>
            <w:tcW w:w="1563"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管理体系认证证书</w:t>
            </w:r>
            <w:r/>
          </w:p>
          <w:p>
            <w:pPr>
              <w:jc w:val="center"/>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c>
          <w:tcPr>
            <w:tcW w:w="7632" w:type="dxa"/>
            <w:vAlign w:val="center"/>
            <w:textDirection w:val="lrTb"/>
            <w:noWrap w:val="false"/>
          </w:tcPr>
          <w:p>
            <w:pPr>
              <w:jc w:val="both"/>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eastAsia="zh-CN" w:bidi="ar"/>
              </w:rPr>
              <w:t xml:space="preserve">投标人或制造商提供</w:t>
            </w:r>
            <w:r>
              <w:rPr>
                <w:rFonts w:hint="eastAsia" w:ascii="宋体" w:hAnsi="宋体" w:eastAsia="宋体" w:cs="宋体"/>
                <w:color w:val="auto"/>
                <w:spacing w:val="-2"/>
                <w:sz w:val="21"/>
                <w:szCs w:val="21"/>
                <w:highlight w:val="none"/>
              </w:rPr>
              <w:t xml:space="preserve">具有有效期内的</w:t>
            </w:r>
            <w:r>
              <w:rPr>
                <w:rFonts w:hint="eastAsia" w:ascii="宋体" w:hAnsi="宋体" w:eastAsia="宋体" w:cs="宋体"/>
                <w:color w:val="auto"/>
                <w:spacing w:val="-2"/>
                <w:sz w:val="21"/>
                <w:szCs w:val="21"/>
                <w:highlight w:val="none"/>
                <w:lang w:eastAsia="zh-CN"/>
              </w:rPr>
              <w:t xml:space="preserve">；①</w:t>
            </w:r>
            <w:r>
              <w:rPr>
                <w:rFonts w:hint="eastAsia" w:ascii="宋体" w:hAnsi="宋体" w:eastAsia="宋体" w:cs="宋体"/>
                <w:color w:val="auto"/>
                <w:spacing w:val="-2"/>
                <w:sz w:val="21"/>
                <w:szCs w:val="21"/>
                <w:highlight w:val="none"/>
              </w:rPr>
              <w:t xml:space="preserve">质量管理体系认证证书、②环境管理体系认证</w:t>
            </w:r>
            <w:r>
              <w:rPr>
                <w:rFonts w:hint="eastAsia" w:ascii="宋体" w:hAnsi="宋体" w:eastAsia="宋体" w:cs="宋体"/>
                <w:color w:val="auto"/>
                <w:spacing w:val="-2"/>
                <w:sz w:val="21"/>
                <w:szCs w:val="21"/>
                <w:highlight w:val="none"/>
                <w:lang w:val="en-US" w:eastAsia="zh-CN"/>
              </w:rPr>
              <w:t xml:space="preserve">证书</w:t>
            </w:r>
            <w:r>
              <w:rPr>
                <w:rFonts w:hint="eastAsia" w:ascii="宋体" w:hAnsi="宋体" w:eastAsia="宋体" w:cs="宋体"/>
                <w:color w:val="auto"/>
                <w:spacing w:val="-2"/>
                <w:sz w:val="21"/>
                <w:szCs w:val="21"/>
                <w:highlight w:val="none"/>
              </w:rPr>
              <w:t xml:space="preserve">、③职业健康安全管理体系认证</w:t>
            </w:r>
            <w:r>
              <w:rPr>
                <w:rFonts w:hint="eastAsia" w:ascii="宋体" w:hAnsi="宋体" w:eastAsia="宋体" w:cs="宋体"/>
                <w:color w:val="auto"/>
                <w:spacing w:val="-2"/>
                <w:sz w:val="21"/>
                <w:szCs w:val="21"/>
                <w:highlight w:val="none"/>
                <w:lang w:val="en-US" w:eastAsia="zh-CN"/>
              </w:rPr>
              <w:t xml:space="preserve">证书，</w:t>
            </w:r>
            <w:r>
              <w:rPr>
                <w:rFonts w:hint="eastAsia" w:ascii="宋体" w:hAnsi="宋体" w:eastAsia="宋体" w:cs="宋体"/>
                <w:color w:val="auto"/>
                <w:sz w:val="21"/>
                <w:szCs w:val="21"/>
                <w:highlight w:val="none"/>
                <w:lang w:val="en-US" w:eastAsia="zh-CN"/>
              </w:rPr>
              <w:t xml:space="preserve">认证范围至少包含</w:t>
            </w:r>
            <w:r>
              <w:rPr>
                <w:rFonts w:hint="eastAsia" w:ascii="宋体" w:hAnsi="宋体" w:eastAsia="宋体" w:cs="宋体"/>
                <w:color w:val="auto"/>
                <w:sz w:val="21"/>
                <w:szCs w:val="21"/>
                <w:highlight w:val="none"/>
                <w:vertAlign w:val="baseline"/>
                <w:lang w:val="en-US" w:eastAsia="zh-CN"/>
              </w:rPr>
              <w:t xml:space="preserve">医疗(医用)家具（医用环保治疗柜、器械柜）、金属家具</w:t>
            </w:r>
            <w:r>
              <w:rPr>
                <w:rFonts w:hint="eastAsia" w:ascii="宋体" w:hAnsi="宋体" w:cs="宋体"/>
                <w:color w:val="auto"/>
                <w:sz w:val="21"/>
                <w:szCs w:val="21"/>
                <w:highlight w:val="none"/>
                <w:vertAlign w:val="baseline"/>
                <w:lang w:val="en-US" w:eastAsia="zh-CN"/>
              </w:rPr>
              <w:t xml:space="preserve">、钢木家具</w:t>
            </w:r>
            <w:r>
              <w:rPr>
                <w:rFonts w:hint="eastAsia" w:ascii="宋体" w:hAnsi="宋体" w:eastAsia="宋体" w:cs="宋体"/>
                <w:color w:val="auto"/>
                <w:sz w:val="21"/>
                <w:szCs w:val="21"/>
                <w:highlight w:val="none"/>
              </w:rPr>
              <w:t xml:space="preserve">。每提供一个证书得1分，</w:t>
            </w:r>
            <w:r>
              <w:rPr>
                <w:rFonts w:hint="eastAsia" w:ascii="宋体" w:hAnsi="宋体" w:eastAsia="宋体" w:cs="宋体"/>
                <w:color w:val="auto"/>
                <w:sz w:val="21"/>
                <w:szCs w:val="21"/>
                <w:highlight w:val="none"/>
                <w:lang w:val="en-US" w:eastAsia="zh-CN"/>
              </w:rPr>
              <w:t xml:space="preserve">最高得</w:t>
            </w:r>
            <w:r>
              <w:rPr>
                <w:rFonts w:hint="eastAsia" w:ascii="宋体" w:hAnsi="宋体" w:eastAsia="宋体" w:cs="宋体"/>
                <w:color w:val="auto"/>
                <w:sz w:val="21"/>
                <w:szCs w:val="21"/>
                <w:highlight w:val="none"/>
              </w:rPr>
              <w:t xml:space="preserve">3分。</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提供有效认证证书</w:t>
            </w:r>
            <w:r>
              <w:rPr>
                <w:rFonts w:hint="eastAsia" w:ascii="宋体" w:hAnsi="宋体" w:cs="宋体"/>
                <w:color w:val="auto"/>
                <w:sz w:val="21"/>
                <w:szCs w:val="21"/>
                <w:highlight w:val="none"/>
                <w:lang w:val="en-US" w:eastAsia="zh-CN"/>
              </w:rPr>
              <w:t xml:space="preserve">扫描件</w:t>
            </w:r>
            <w:r>
              <w:rPr>
                <w:rFonts w:hint="eastAsia" w:ascii="宋体" w:hAnsi="宋体" w:eastAsia="宋体" w:cs="宋体"/>
                <w:color w:val="auto"/>
                <w:sz w:val="21"/>
                <w:szCs w:val="21"/>
                <w:highlight w:val="none"/>
                <w:lang w:val="en-US" w:eastAsia="zh-CN"/>
              </w:rPr>
              <w:t xml:space="preserve">及</w:t>
            </w:r>
            <w:r>
              <w:rPr>
                <w:rFonts w:hint="eastAsia" w:ascii="宋体" w:hAnsi="宋体" w:eastAsia="宋体" w:cs="宋体"/>
                <w:color w:val="auto"/>
                <w:sz w:val="21"/>
                <w:szCs w:val="21"/>
                <w:highlight w:val="none"/>
              </w:rPr>
              <w:t xml:space="preserve">全国认证认可信息公共服务平台（http://cx.cnca.cn/CertECloud/index/index/page）的证书查询记录截图，证书状态须显示“有效”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并加盖投标人公章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不提供不得分。</w:t>
            </w:r>
            <w:r/>
          </w:p>
        </w:tc>
      </w:tr>
      <w:tr>
        <w:trPr>
          <w:jc w:val="center"/>
          <w:trHeight w:val="567"/>
        </w:trPr>
        <w:tc>
          <w:tcPr>
            <w:tcW w:w="1563"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相关业绩</w:t>
            </w:r>
            <w:r/>
          </w:p>
          <w:p>
            <w:pPr>
              <w:jc w:val="center"/>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c>
          <w:tcPr>
            <w:tcW w:w="7632" w:type="dxa"/>
            <w:vAlign w:val="center"/>
            <w:textDirection w:val="lrTb"/>
            <w:noWrap w:val="false"/>
          </w:tcPr>
          <w:p>
            <w:pPr>
              <w:jc w:val="both"/>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投标人/所投产品制造商</w:t>
            </w:r>
            <w:r>
              <w:rPr>
                <w:rFonts w:hint="eastAsia" w:ascii="宋体" w:hAnsi="宋体" w:eastAsia="宋体" w:cs="宋体"/>
                <w:color w:val="auto"/>
                <w:sz w:val="21"/>
                <w:szCs w:val="21"/>
                <w:highlight w:val="none"/>
              </w:rPr>
              <w:t xml:space="preserve">提供202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年1月1日以来签订的类似项目业绩（时间以合同签订时间为准，业绩至少包含</w:t>
            </w:r>
            <w:r>
              <w:rPr>
                <w:rFonts w:hint="eastAsia" w:ascii="宋体" w:hAnsi="宋体" w:cs="宋体"/>
                <w:color w:val="auto"/>
                <w:sz w:val="21"/>
                <w:szCs w:val="21"/>
                <w:highlight w:val="none"/>
                <w:lang w:val="en-US" w:eastAsia="zh-CN"/>
              </w:rPr>
              <w:t xml:space="preserve">医用环保</w:t>
            </w:r>
            <w:r>
              <w:rPr>
                <w:rFonts w:hint="eastAsia" w:ascii="宋体" w:hAnsi="宋体" w:eastAsia="宋体" w:cs="宋体"/>
                <w:color w:val="auto"/>
                <w:sz w:val="21"/>
                <w:szCs w:val="21"/>
                <w:highlight w:val="none"/>
                <w:lang w:val="en-US" w:eastAsia="zh-CN"/>
              </w:rPr>
              <w:t xml:space="preserve">治疗柜</w:t>
            </w:r>
            <w:r>
              <w:rPr>
                <w:rFonts w:hint="eastAsia" w:ascii="宋体" w:hAnsi="宋体" w:eastAsia="宋体" w:cs="宋体"/>
                <w:color w:val="auto"/>
                <w:sz w:val="21"/>
                <w:szCs w:val="21"/>
                <w:highlight w:val="none"/>
              </w:rPr>
              <w:t xml:space="preserve">），每提供一份得1分，最高得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提供合同关键页</w:t>
            </w:r>
            <w:r>
              <w:rPr>
                <w:rFonts w:hint="eastAsia" w:ascii="宋体" w:hAnsi="宋体" w:cs="宋体"/>
                <w:color w:val="auto"/>
                <w:sz w:val="21"/>
                <w:szCs w:val="21"/>
                <w:highlight w:val="none"/>
                <w:lang w:val="en-US" w:eastAsia="zh-CN"/>
              </w:rPr>
              <w:t xml:space="preserve">扫描件</w:t>
            </w:r>
            <w:r>
              <w:rPr>
                <w:rFonts w:hint="eastAsia" w:ascii="宋体" w:hAnsi="宋体" w:eastAsia="宋体" w:cs="宋体"/>
                <w:color w:val="auto"/>
                <w:sz w:val="21"/>
                <w:szCs w:val="21"/>
                <w:highlight w:val="none"/>
              </w:rPr>
              <w:t xml:space="preserve">(合同内容必须包含合同首页、金额所在页、合同签订时间、双方签字盖章页、上述产品清单页)</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并加盖投标人公章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不提供不得分。</w:t>
            </w:r>
            <w:r/>
          </w:p>
        </w:tc>
      </w:tr>
      <w:tr>
        <w:trPr>
          <w:jc w:val="center"/>
          <w:trHeight w:val="567"/>
        </w:trPr>
        <w:tc>
          <w:tcPr>
            <w:tcW w:w="1563"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售后服务方案(</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W w:w="7632" w:type="dxa"/>
            <w:vAlign w:val="center"/>
            <w:textDirection w:val="lrTb"/>
            <w:noWrap w:val="false"/>
          </w:tcPr>
          <w:p>
            <w:pPr>
              <w:jc w:val="both"/>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售后服务方案，方案应包含但不限于质保期内售后服务（响应时间，回访巡检方案、故障解决措施、技术人员保障、备品配件价格等）、服务方案（服务网点、维修网点设置情况以及技术人员安排情况）等内容。</w:t>
            </w:r>
            <w:r/>
          </w:p>
          <w:p>
            <w:pPr>
              <w:numPr>
                <w:ilvl w:val="0"/>
                <w:numId w:val="9"/>
              </w:numPr>
              <w:jc w:val="both"/>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方案完整详实、科学合理、具备针对性且切实可行、满足采购人实际需求的得</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numPr>
                <w:ilvl w:val="0"/>
                <w:numId w:val="9"/>
              </w:numPr>
              <w:jc w:val="both"/>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方案基本完整、较为科学合理，基本满足采购人实际需求的得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numPr>
                <w:ilvl w:val="0"/>
                <w:numId w:val="9"/>
              </w:numPr>
              <w:jc w:val="both"/>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方案完整性、合理性、针对性、可行性有所欠缺，与采购人实际需求存在差距得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p>
          <w:p>
            <w:pPr>
              <w:numPr>
                <w:ilvl w:val="0"/>
                <w:numId w:val="9"/>
              </w:numPr>
              <w:jc w:val="both"/>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方案完整性、合理性、针对性、可行性差，与采购人实际需求存在较大差距得1分</w:t>
            </w:r>
            <w:r>
              <w:rPr>
                <w:rFonts w:hint="eastAsia" w:ascii="宋体" w:hAnsi="宋体" w:cs="宋体"/>
                <w:color w:val="auto"/>
                <w:sz w:val="21"/>
                <w:szCs w:val="21"/>
                <w:highlight w:val="none"/>
                <w:lang w:eastAsia="zh-CN"/>
              </w:rPr>
              <w:t xml:space="preserve">；</w:t>
            </w:r>
            <w:r/>
          </w:p>
          <w:p>
            <w:pPr>
              <w:numPr>
                <w:ilvl w:val="0"/>
                <w:numId w:val="9"/>
              </w:numPr>
              <w:jc w:val="both"/>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其余情况或未提供不得分。</w:t>
            </w:r>
            <w:r/>
          </w:p>
        </w:tc>
      </w:tr>
      <w:tr>
        <w:trPr>
          <w:jc w:val="center"/>
          <w:trHeight w:val="567"/>
        </w:trPr>
        <w:tc>
          <w:tcPr>
            <w:tcW w:w="1563"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验收服务方案（</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分）</w:t>
            </w:r>
            <w:r/>
          </w:p>
        </w:tc>
        <w:tc>
          <w:tcPr>
            <w:tcW w:w="7632" w:type="dxa"/>
            <w:vAlign w:val="center"/>
            <w:textDirection w:val="lrTb"/>
            <w:noWrap w:val="false"/>
          </w:tcPr>
          <w:p>
            <w:pPr>
              <w:jc w:val="both"/>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根据各投标供应商提供的针对本项目的验收方案打分。</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（1）方案科学、严密、合理，描述详细且具有针对性的得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分；</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（2）方案较合理、严密、描述较为详细，具有一定的针对性的得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（3）方案基本合理、描述一般、存在可操作性得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（4）方案具有</w:t>
            </w:r>
            <w:bookmarkStart w:id="41" w:name="_GoBack"/>
            <w:r/>
            <w:bookmarkEnd w:id="41"/>
            <w:r>
              <w:rPr>
                <w:rFonts w:hint="eastAsia" w:ascii="宋体" w:hAnsi="宋体" w:eastAsia="宋体" w:cs="宋体"/>
                <w:color w:val="auto"/>
                <w:sz w:val="21"/>
                <w:szCs w:val="21"/>
                <w:highlight w:val="none"/>
                <w:lang w:val="en-US" w:eastAsia="zh-CN"/>
              </w:rPr>
              <w:t xml:space="preserve">不合理项、描述略欠缺的得1分；</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其余情况或未提供不得分。</w:t>
            </w:r>
            <w:r/>
          </w:p>
        </w:tc>
      </w:tr>
    </w:tbl>
    <w:p>
      <w:pPr>
        <w:pStyle w:val="763"/>
        <w:jc w:val="center"/>
        <w:rPr>
          <w:rFonts w:hint="eastAsia" w:ascii="宋体" w:hAnsi="宋体"/>
          <w:color w:val="auto"/>
          <w:highlight w:val="none"/>
        </w:rPr>
      </w:pPr>
      <w:r>
        <w:rPr>
          <w:rFonts w:hint="eastAsia" w:ascii="宋体" w:hAnsi="宋体"/>
          <w:color w:val="auto"/>
          <w:highlight w:val="none"/>
        </w:rPr>
      </w:r>
      <w:r/>
    </w:p>
    <w:p>
      <w:pPr>
        <w:rPr>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color w:val="auto"/>
          <w:highlight w:val="none"/>
        </w:rPr>
      </w:r>
      <w:r/>
    </w:p>
    <w:p>
      <w:pPr>
        <w:pStyle w:val="763"/>
        <w:jc w:val="center"/>
        <w:rPr>
          <w:rFonts w:hint="eastAsia" w:ascii="宋体" w:hAnsi="宋体"/>
          <w:color w:val="auto"/>
          <w:highlight w:val="none"/>
        </w:rPr>
      </w:pPr>
      <w:r>
        <w:rPr>
          <w:rFonts w:hint="eastAsia" w:ascii="宋体" w:hAnsi="宋体"/>
          <w:color w:val="auto"/>
          <w:highlight w:val="none"/>
        </w:rPr>
        <w:t xml:space="preserve">第六章 投标文件格式 </w:t>
      </w:r>
      <w:r/>
    </w:p>
    <w:p>
      <w:pPr>
        <w:rPr>
          <w:rFonts w:ascii="黑体" w:eastAsia="黑体"/>
          <w:bCs/>
          <w:color w:val="auto"/>
          <w:sz w:val="44"/>
          <w:highlight w:val="none"/>
        </w:rPr>
      </w:pPr>
      <w:r>
        <w:rPr>
          <w:rFonts w:ascii="黑体" w:eastAsia="黑体"/>
          <w:bCs/>
          <w:color w:val="auto"/>
          <w:sz w:val="44"/>
          <w:highlight w:val="none"/>
        </w:rPr>
      </w:r>
      <w:r/>
    </w:p>
    <w:p>
      <w:pPr>
        <w:jc w:val="center"/>
        <w:rPr>
          <w:rFonts w:hint="eastAsia"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ind w:firstLine="1084"/>
        <w:rPr>
          <w:rFonts w:hint="eastAsia"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hint="eastAsia"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rPr>
          <w:rFonts w:hint="eastAsia"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rPr>
          <w:rFonts w:hint="eastAsia"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rPr>
          <w:rFonts w:hint="eastAsia"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br w:type="page" w:clear="all"/>
      </w:r>
      <w:r>
        <w:rPr>
          <w:rFonts w:hint="eastAsia" w:ascii="宋体" w:hAnsi="宋体"/>
          <w:b/>
          <w:bCs/>
          <w:color w:val="auto"/>
          <w:sz w:val="32"/>
          <w:szCs w:val="32"/>
          <w:highlight w:val="none"/>
        </w:rPr>
        <w:t xml:space="preserve">投标主要文件目录</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hint="eastAsia"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hint="eastAsia"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hint="eastAsia"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i/>
          <w:color w:val="auto"/>
          <w:sz w:val="24"/>
          <w:highlight w:val="none"/>
          <w:u w:val="single"/>
        </w:rPr>
        <w:t xml:space="preserve">开标一览表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五、分项报价表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spacing w:line="360" w:lineRule="auto"/>
        <w:rPr>
          <w:color w:val="auto"/>
          <w:sz w:val="36"/>
          <w:szCs w:val="36"/>
          <w:highlight w:val="none"/>
        </w:rPr>
      </w:pPr>
      <w:r>
        <w:rPr>
          <w:rFonts w:hint="eastAsia" w:ascii="宋体" w:hAnsi="宋体"/>
          <w:color w:val="auto"/>
          <w:sz w:val="24"/>
          <w:highlight w:val="none"/>
        </w:rPr>
        <w:t xml:space="preserve">八、其他 （投标人认为有必要提供的声明和文件，如有自拟并自行添加）</w:t>
      </w:r>
      <w:r/>
    </w:p>
    <w:p>
      <w:pPr>
        <w:contextualSpacing/>
        <w:jc w:val="center"/>
        <w:rPr>
          <w:rFonts w:hint="eastAsia" w:ascii="宋体" w:hAnsi="宋体"/>
          <w:b/>
          <w:color w:val="auto"/>
          <w:sz w:val="72"/>
          <w:highlight w:val="none"/>
        </w:rPr>
      </w:pPr>
      <w:r>
        <w:rPr>
          <w:rFonts w:hint="eastAsia" w:ascii="宋体" w:hAnsi="宋体"/>
          <w:b/>
          <w:color w:val="auto"/>
          <w:sz w:val="72"/>
          <w:highlight w:val="none"/>
        </w:rPr>
      </w:r>
      <w:r/>
    </w:p>
    <w:p>
      <w:pPr>
        <w:contextualSpacing/>
        <w:jc w:val="center"/>
        <w:spacing w:line="600" w:lineRule="exact"/>
        <w:rPr>
          <w:rFonts w:hint="eastAsia" w:ascii="宋体" w:hAnsi="宋体"/>
          <w:b/>
          <w:color w:val="auto"/>
          <w:sz w:val="72"/>
          <w:highlight w:val="none"/>
        </w:rPr>
      </w:pPr>
      <w:r>
        <w:rPr>
          <w:rFonts w:hint="eastAsia" w:ascii="宋体" w:hAnsi="宋体"/>
          <w:b/>
          <w:color w:val="auto"/>
          <w:sz w:val="72"/>
          <w:highlight w:val="none"/>
        </w:rPr>
      </w:r>
      <w:r/>
    </w:p>
    <w:p>
      <w:pPr>
        <w:contextualSpacing/>
        <w:jc w:val="center"/>
        <w:spacing w:line="600" w:lineRule="exact"/>
        <w:rPr>
          <w:rFonts w:hint="eastAsia" w:ascii="宋体" w:hAnsi="宋体"/>
          <w:b/>
          <w:color w:val="auto"/>
          <w:sz w:val="72"/>
          <w:highlight w:val="none"/>
        </w:rPr>
      </w:pPr>
      <w:r>
        <w:rPr>
          <w:rFonts w:hint="eastAsia" w:ascii="宋体" w:hAnsi="宋体"/>
          <w:b/>
          <w:color w:val="auto"/>
          <w:sz w:val="72"/>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64"/>
        <w:numPr>
          <w:ilvl w:val="0"/>
          <w:numId w:val="0"/>
        </w:numPr>
        <w:jc w:val="center"/>
        <w:rPr>
          <w:rFonts w:hint="eastAsia" w:ascii="宋体" w:hAnsi="宋体"/>
          <w:b w:val="0"/>
          <w:color w:val="auto"/>
          <w:sz w:val="32"/>
          <w:szCs w:val="32"/>
          <w:highlight w:val="none"/>
        </w:rPr>
      </w:pPr>
      <w:r>
        <w:rPr>
          <w:rFonts w:hint="eastAsia" w:ascii="宋体" w:hAnsi="宋体"/>
          <w:color w:val="auto"/>
          <w:sz w:val="32"/>
          <w:szCs w:val="32"/>
          <w:highlight w:val="none"/>
        </w:rPr>
        <w:br w:type="page" w:clear="all"/>
      </w:r>
      <w:r>
        <w:rPr>
          <w:rFonts w:hint="eastAsia" w:ascii="宋体" w:hAnsi="宋体"/>
          <w:bCs w:val="0"/>
          <w:color w:val="auto"/>
          <w:sz w:val="32"/>
          <w:szCs w:val="32"/>
          <w:highlight w:val="none"/>
        </w:rPr>
        <w:t xml:space="preserve">一、资格审查响应对照表</w:t>
      </w:r>
      <w:r/>
    </w:p>
    <w:tbl>
      <w:tblPr>
        <w:tblStyle w:val="773"/>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2158"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trHeight w:val="335"/>
        </w:trPr>
        <w:tc>
          <w:tcPr>
            <w:gridSpan w:val="3"/>
            <w:tcW w:w="8251" w:type="dxa"/>
            <w:vAlign w:val="center"/>
            <w:textDirection w:val="lrTb"/>
            <w:noWrap w:val="false"/>
          </w:tcPr>
          <w:p>
            <w:pPr>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通用资格条件</w:t>
            </w:r>
            <w:r/>
          </w:p>
        </w:tc>
      </w:tr>
      <w:tr>
        <w:trPr>
          <w:trHeight w:val="761"/>
        </w:trPr>
        <w:tc>
          <w:tcPr>
            <w:tcW w:w="646"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color w:val="auto"/>
                <w:szCs w:val="21"/>
                <w:highlight w:val="none"/>
              </w:rPr>
              <w:t xml:space="preserve">1</w:t>
            </w:r>
            <w:r/>
          </w:p>
        </w:tc>
        <w:tc>
          <w:tcPr>
            <w:tcW w:w="5447" w:type="dxa"/>
            <w:vAlign w:val="center"/>
            <w:textDirection w:val="lrTb"/>
            <w:noWrap w:val="false"/>
          </w:tcPr>
          <w:p>
            <w:pPr>
              <w:spacing w:line="360" w:lineRule="auto"/>
              <w:rPr>
                <w:rFonts w:hint="eastAsia" w:ascii="宋体" w:hAnsi="宋体"/>
                <w:iCs/>
                <w:color w:val="auto"/>
                <w:szCs w:val="21"/>
                <w:highlight w:val="none"/>
              </w:rPr>
            </w:pPr>
            <w:r>
              <w:rPr>
                <w:rFonts w:hint="eastAsia" w:ascii="宋体" w:hAnsi="宋体" w:cs="宋体"/>
                <w:color w:val="auto"/>
                <w:szCs w:val="21"/>
                <w:highlight w:val="none"/>
              </w:rPr>
              <w:t xml:space="preserve">法人或者其他组织的营业执照等证明文件，自然人的身份证明</w:t>
            </w:r>
            <w:r>
              <w:rPr>
                <w:rFonts w:hint="eastAsia" w:ascii="宋体" w:hAnsi="宋体"/>
                <w:color w:val="auto"/>
                <w:szCs w:val="21"/>
                <w:highlight w:val="none"/>
              </w:rPr>
              <w:t xml:space="preserve">（身份证为正、反面）</w:t>
            </w:r>
            <w:r/>
          </w:p>
        </w:tc>
        <w:tc>
          <w:tcPr>
            <w:tcW w:w="2158" w:type="dxa"/>
            <w:vAlign w:val="center"/>
            <w:textDirection w:val="lrTb"/>
            <w:noWrap w:val="false"/>
          </w:tcPr>
          <w:p>
            <w:pPr>
              <w:rPr>
                <w:rFonts w:hint="eastAsia" w:ascii="宋体" w:hAnsi="宋体"/>
                <w:b/>
                <w:color w:val="auto"/>
                <w:szCs w:val="21"/>
                <w:highlight w:val="none"/>
              </w:rPr>
            </w:pPr>
            <w:r>
              <w:rPr>
                <w:rFonts w:hint="eastAsia" w:ascii="宋体" w:hAnsi="宋体"/>
                <w:b/>
                <w:color w:val="auto"/>
                <w:szCs w:val="21"/>
                <w:highlight w:val="none"/>
              </w:rPr>
            </w:r>
            <w:r/>
          </w:p>
        </w:tc>
      </w:tr>
      <w:tr>
        <w:trPr>
          <w:trHeight w:val="585"/>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5447" w:type="dxa"/>
            <w:vAlign w:val="center"/>
            <w:textDirection w:val="lrTb"/>
            <w:noWrap w:val="false"/>
          </w:tcPr>
          <w:p>
            <w:pPr>
              <w:spacing w:line="360" w:lineRule="auto"/>
              <w:rPr>
                <w:rFonts w:hint="eastAsia" w:ascii="宋体" w:hAnsi="宋体"/>
                <w:iCs/>
                <w:color w:val="auto"/>
                <w:szCs w:val="21"/>
                <w:highlight w:val="none"/>
              </w:rPr>
            </w:pPr>
            <w:r>
              <w:rPr>
                <w:rFonts w:hint="eastAsia" w:ascii="宋体" w:hAnsi="宋体" w:cs="宋体"/>
                <w:color w:val="auto"/>
                <w:szCs w:val="21"/>
                <w:highlight w:val="none"/>
              </w:rPr>
              <w:t xml:space="preserve">依法缴纳职工社会保障资金的证明材料</w:t>
            </w:r>
            <w:r>
              <w:rPr>
                <w:rFonts w:hint="eastAsia" w:ascii="宋体" w:hAnsi="宋体" w:cs="宋体"/>
                <w:b/>
                <w:bCs/>
                <w:color w:val="auto"/>
                <w:szCs w:val="21"/>
                <w:highlight w:val="none"/>
              </w:rPr>
              <w:t xml:space="preserve">(税务、银行或社会保险基金管理部门出具的近三个月内任意一个月缴纳职工社会保障资金的缴款凭证或缴款证明)</w:t>
            </w:r>
            <w:r/>
          </w:p>
        </w:tc>
        <w:tc>
          <w:tcPr>
            <w:tcW w:w="21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585"/>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5447" w:type="dxa"/>
            <w:vAlign w:val="center"/>
            <w:textDirection w:val="lrTb"/>
            <w:noWrap w:val="false"/>
          </w:tcPr>
          <w:p>
            <w:pPr>
              <w:spacing w:line="360" w:lineRule="auto"/>
              <w:rPr>
                <w:rFonts w:hint="eastAsia" w:ascii="宋体" w:hAnsi="宋体"/>
                <w:iCs/>
                <w:color w:val="auto"/>
                <w:szCs w:val="21"/>
                <w:highlight w:val="none"/>
              </w:rPr>
            </w:pPr>
            <w:r>
              <w:rPr>
                <w:rFonts w:hint="eastAsia" w:ascii="宋体" w:hAnsi="宋体" w:cs="宋体"/>
                <w:color w:val="auto"/>
                <w:szCs w:val="21"/>
                <w:highlight w:val="none"/>
              </w:rPr>
              <w:t xml:space="preserve">投标人近三个月内任意一份依法纳税的缴款凭证</w:t>
            </w:r>
            <w:r/>
          </w:p>
        </w:tc>
        <w:tc>
          <w:tcPr>
            <w:tcW w:w="21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417"/>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5447" w:type="dxa"/>
            <w:vAlign w:val="center"/>
            <w:textDirection w:val="lrTb"/>
            <w:noWrap w:val="false"/>
          </w:tcPr>
          <w:p>
            <w:pPr>
              <w:spacing w:line="360" w:lineRule="auto"/>
              <w:rPr>
                <w:rFonts w:hint="eastAsia" w:ascii="宋体" w:hAnsi="宋体"/>
                <w:iCs/>
                <w:color w:val="auto"/>
                <w:szCs w:val="21"/>
                <w:highlight w:val="none"/>
              </w:rPr>
            </w:pPr>
            <w:r>
              <w:rPr>
                <w:rFonts w:hint="eastAsia" w:ascii="宋体" w:hAnsi="宋体" w:cs="宋体"/>
                <w:color w:val="auto"/>
                <w:szCs w:val="21"/>
                <w:highlight w:val="none"/>
              </w:rPr>
              <w:t xml:space="preserve">上一年度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2024年度）</w:t>
            </w:r>
            <w:r>
              <w:rPr>
                <w:rFonts w:hint="eastAsia" w:ascii="宋体" w:hAnsi="宋体" w:cs="宋体"/>
                <w:color w:val="auto"/>
                <w:szCs w:val="21"/>
                <w:highlight w:val="none"/>
              </w:rPr>
              <w:t xml:space="preserve">的财务状况情况</w:t>
            </w:r>
            <w:r>
              <w:rPr>
                <w:rFonts w:hint="eastAsia" w:ascii="宋体" w:hAnsi="宋体" w:cs="宋体"/>
                <w:b/>
                <w:bCs/>
                <w:color w:val="auto"/>
                <w:szCs w:val="21"/>
                <w:highlight w:val="none"/>
              </w:rPr>
              <w:t xml:space="preserve">（成立不满一年不需提供）</w:t>
            </w:r>
            <w:r/>
          </w:p>
        </w:tc>
        <w:tc>
          <w:tcPr>
            <w:tcW w:w="21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5447" w:type="dxa"/>
            <w:vAlign w:val="center"/>
            <w:textDirection w:val="lrTb"/>
            <w:noWrap w:val="false"/>
          </w:tcPr>
          <w:p>
            <w:pPr>
              <w:spacing w:line="360" w:lineRule="auto"/>
              <w:rPr>
                <w:rFonts w:hint="eastAsia" w:ascii="宋体" w:hAnsi="宋体"/>
                <w:iCs/>
                <w:color w:val="auto"/>
                <w:szCs w:val="21"/>
                <w:highlight w:val="none"/>
              </w:rPr>
            </w:pPr>
            <w:r>
              <w:rPr>
                <w:rFonts w:hint="eastAsia" w:ascii="宋体" w:hAnsi="宋体" w:cs="宋体"/>
                <w:color w:val="auto"/>
                <w:szCs w:val="21"/>
                <w:highlight w:val="none"/>
              </w:rPr>
              <w:t xml:space="preserve">具备履行合同所必需的设备和专业技术能力的证明材料</w:t>
            </w:r>
            <w:r/>
          </w:p>
        </w:tc>
        <w:tc>
          <w:tcPr>
            <w:tcW w:w="21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5447" w:type="dxa"/>
            <w:vAlign w:val="center"/>
            <w:textDirection w:val="lrTb"/>
            <w:noWrap w:val="false"/>
          </w:tcPr>
          <w:p>
            <w:pPr>
              <w:spacing w:line="360" w:lineRule="auto"/>
              <w:rPr>
                <w:rFonts w:hint="eastAsia" w:ascii="宋体" w:hAnsi="宋体"/>
                <w:iCs/>
                <w:color w:val="auto"/>
                <w:szCs w:val="21"/>
                <w:highlight w:val="none"/>
              </w:rPr>
            </w:pPr>
            <w:r>
              <w:rPr>
                <w:rFonts w:hint="eastAsia" w:ascii="宋体" w:hAnsi="宋体" w:cs="宋体"/>
                <w:color w:val="auto"/>
                <w:szCs w:val="21"/>
                <w:highlight w:val="none"/>
              </w:rPr>
              <w:t xml:space="preserve"> 参加本次政府采购活动前3年内在经营活动中没有重大违法记录的书面声明</w:t>
            </w:r>
            <w:r/>
          </w:p>
        </w:tc>
        <w:tc>
          <w:tcPr>
            <w:tcW w:w="21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544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W w:w="544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供应商信用承诺函</w:t>
            </w:r>
            <w:r/>
          </w:p>
        </w:tc>
        <w:tc>
          <w:tcPr>
            <w:tcW w:w="21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90"/>
        </w:trPr>
        <w:tc>
          <w:tcPr>
            <w:gridSpan w:val="3"/>
            <w:tcW w:w="8251"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W w:w="5447" w:type="dxa"/>
            <w:vAlign w:val="center"/>
            <w:textDirection w:val="lrTb"/>
            <w:noWrap w:val="false"/>
          </w:tcPr>
          <w:p>
            <w:pPr>
              <w:ind w:firstLine="0"/>
              <w:jc w:val="left"/>
              <w:spacing w:line="360" w:lineRule="auto"/>
              <w:rPr>
                <w:rFonts w:hint="eastAsia" w:eastAsia="宋体"/>
                <w:color w:val="auto"/>
                <w:highlight w:val="none"/>
                <w:lang w:eastAsia="zh-CN"/>
              </w:rPr>
            </w:pPr>
            <w:r>
              <w:rPr>
                <w:rFonts w:hint="eastAsia" w:ascii="宋体" w:hAnsi="宋体" w:cs="宋体"/>
                <w:color w:val="auto"/>
                <w:szCs w:val="21"/>
                <w:highlight w:val="none"/>
                <w:lang w:eastAsia="zh-CN"/>
              </w:rPr>
              <w:t xml:space="preserve">根据《政府采购促进中小企业发展管理办法》（财库〔2020〕46 号）规定，本项目专门面向中小企业采购，供应商谈判响应时须提供《中小企业声明函》，《中小企业声明函》不符合要求或未提供的，响应文件无效。</w:t>
            </w:r>
            <w:r/>
          </w:p>
          <w:p>
            <w:pPr>
              <w:ind w:firstLine="0"/>
              <w:jc w:val="left"/>
              <w:spacing w:line="360" w:lineRule="auto"/>
              <w:rPr>
                <w:rFonts w:hint="eastAsia" w:ascii="宋体" w:hAnsi="宋体" w:cs="宋体"/>
                <w:bCs/>
                <w:color w:val="auto"/>
                <w:highlight w:val="none"/>
                <w:u w:val="single"/>
              </w:rPr>
            </w:pPr>
            <w:r>
              <w:rPr>
                <w:rFonts w:hint="eastAsia" w:ascii="宋体" w:hAnsi="宋体" w:cs="宋体"/>
                <w:bCs/>
                <w:i w:val="0"/>
                <w:iCs/>
                <w:color w:val="auto"/>
                <w:highlight w:val="none"/>
                <w:u w:val="none"/>
              </w:rPr>
              <w:t xml:space="preserve">中小微企业划型标准请对照《关于印发中小企业划型标准规定的通知》（工信部联企业〔2011〕300号）（详见格式）。本项目采购标的对应的行业主要为工业。</w:t>
            </w:r>
            <w:r/>
          </w:p>
        </w:tc>
        <w:tc>
          <w:tcPr>
            <w:tcW w:w="21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383"/>
        </w:trPr>
        <w:tc>
          <w:tcPr>
            <w:gridSpan w:val="3"/>
            <w:tcW w:w="8251"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特定资格条件</w:t>
            </w:r>
            <w:r/>
          </w:p>
        </w:tc>
      </w:tr>
      <w:tr>
        <w:trPr>
          <w:trHeight w:val="389"/>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W w:w="5447" w:type="dxa"/>
            <w:vAlign w:val="center"/>
            <w:textDirection w:val="lrTb"/>
            <w:noWrap w:val="false"/>
          </w:tcPr>
          <w:p>
            <w:pPr>
              <w:spacing w:line="360" w:lineRule="auto"/>
              <w:rPr>
                <w:rFonts w:hint="default" w:ascii="宋体" w:hAnsi="宋体" w:eastAsia="宋体" w:cs="宋体"/>
                <w:i w:val="0"/>
                <w:iCs/>
                <w:color w:val="auto"/>
                <w:szCs w:val="21"/>
                <w:highlight w:val="none"/>
                <w:u w:val="none"/>
                <w:lang w:val="en-US" w:eastAsia="zh-CN"/>
              </w:rPr>
            </w:pPr>
            <w:r>
              <w:rPr>
                <w:rFonts w:hint="eastAsia" w:ascii="宋体" w:hAnsi="宋体" w:cs="宋体"/>
                <w:i w:val="0"/>
                <w:iCs/>
                <w:color w:val="auto"/>
                <w:szCs w:val="21"/>
                <w:highlight w:val="none"/>
                <w:u w:val="none"/>
                <w:lang w:val="en-US" w:eastAsia="zh-CN"/>
              </w:rPr>
              <w:t xml:space="preserve">无</w:t>
            </w:r>
            <w:r/>
          </w:p>
        </w:tc>
        <w:tc>
          <w:tcPr>
            <w:tcW w:w="21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400"/>
        </w:trPr>
        <w:tc>
          <w:tcPr>
            <w:gridSpan w:val="3"/>
            <w:tcW w:w="8251"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b/>
                <w:color w:val="auto"/>
                <w:szCs w:val="21"/>
                <w:highlight w:val="none"/>
              </w:rPr>
              <w:t xml:space="preserve">其他</w:t>
            </w:r>
            <w:r/>
          </w:p>
        </w:tc>
      </w:tr>
      <w:tr>
        <w:trPr>
          <w:trHeight w:val="400"/>
        </w:trPr>
        <w:tc>
          <w:tcPr>
            <w:tcW w:w="646"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11</w:t>
            </w:r>
            <w:r/>
          </w:p>
        </w:tc>
        <w:tc>
          <w:tcPr>
            <w:tcW w:w="5447" w:type="dxa"/>
            <w:vAlign w:val="center"/>
            <w:textDirection w:val="lrTb"/>
            <w:noWrap w:val="false"/>
          </w:tcPr>
          <w:p>
            <w:pPr>
              <w:jc w:val="left"/>
              <w:spacing w:line="0" w:lineRule="atLeast"/>
              <w:rPr>
                <w:rFonts w:hint="eastAsia" w:ascii="宋体" w:hAnsi="宋体"/>
                <w:iCs/>
                <w:color w:val="auto"/>
                <w:szCs w:val="21"/>
                <w:highlight w:val="none"/>
              </w:rPr>
            </w:pPr>
            <w:r>
              <w:rPr>
                <w:rFonts w:hint="eastAsia" w:ascii="宋体" w:hAnsi="宋体"/>
                <w:iCs/>
                <w:color w:val="auto"/>
                <w:szCs w:val="21"/>
                <w:highlight w:val="none"/>
              </w:rPr>
              <w:t xml:space="preserve">投标函</w:t>
            </w:r>
            <w:r/>
          </w:p>
        </w:tc>
        <w:tc>
          <w:tcPr>
            <w:tcW w:w="21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400"/>
        </w:trPr>
        <w:tc>
          <w:tcPr>
            <w:tcW w:w="646"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12</w:t>
            </w:r>
            <w:r/>
          </w:p>
        </w:tc>
        <w:tc>
          <w:tcPr>
            <w:tcW w:w="5447" w:type="dxa"/>
            <w:vAlign w:val="center"/>
            <w:textDirection w:val="lrTb"/>
            <w:noWrap w:val="false"/>
          </w:tcPr>
          <w:p>
            <w:pPr>
              <w:jc w:val="left"/>
              <w:spacing w:line="0" w:lineRule="atLeast"/>
              <w:rPr>
                <w:rFonts w:hint="eastAsia" w:ascii="宋体" w:hAnsi="宋体"/>
                <w:iCs/>
                <w:color w:val="auto"/>
                <w:szCs w:val="21"/>
                <w:highlight w:val="none"/>
              </w:rPr>
            </w:pPr>
            <w:r>
              <w:rPr>
                <w:rFonts w:hint="eastAsia" w:ascii="宋体" w:hAnsi="宋体"/>
                <w:iCs/>
                <w:color w:val="auto"/>
                <w:szCs w:val="21"/>
                <w:highlight w:val="none"/>
              </w:rPr>
              <w:t xml:space="preserve">法人授权书</w:t>
            </w:r>
            <w:r/>
          </w:p>
        </w:tc>
        <w:tc>
          <w:tcPr>
            <w:tcW w:w="21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bl>
    <w:p>
      <w:pPr>
        <w:ind w:firstLine="1476"/>
        <w:spacing w:before="156" w:after="156" w:line="360" w:lineRule="auto"/>
        <w:rPr>
          <w:rFonts w:hint="eastAsia" w:ascii="宋体" w:hAnsi="宋体"/>
          <w:b/>
          <w:bCs/>
          <w:color w:val="auto"/>
          <w:highlight w:val="none"/>
        </w:rPr>
      </w:pPr>
      <w:r>
        <w:rPr>
          <w:rFonts w:hint="eastAsia" w:ascii="宋体" w:hAnsi="宋体"/>
          <w:b/>
          <w:bCs/>
          <w:color w:val="auto"/>
          <w:highlight w:val="none"/>
        </w:rPr>
        <w:br w:type="page" w:clear="all"/>
      </w:r>
      <w:r>
        <w:rPr>
          <w:rFonts w:hint="eastAsia" w:ascii="宋体" w:hAnsi="宋体"/>
          <w:b/>
          <w:bCs/>
          <w:color w:val="auto"/>
          <w:highlight w:val="none"/>
        </w:rPr>
        <w:t xml:space="preserve">具备履行合同所必需的设备和专业技术能力的书面声明</w:t>
      </w:r>
      <w:r/>
    </w:p>
    <w:p>
      <w:pPr>
        <w:ind w:firstLine="492"/>
        <w:spacing w:line="460" w:lineRule="exact"/>
        <w:rPr>
          <w:rFonts w:hint="eastAsia"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492"/>
        <w:spacing w:line="460" w:lineRule="exact"/>
        <w:rPr>
          <w:rFonts w:hint="eastAsia"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ascii="宋体" w:hAnsi="宋体"/>
          <w:b/>
          <w:color w:val="auto"/>
          <w:sz w:val="36"/>
          <w:highlight w:val="none"/>
        </w:rPr>
        <w:br w:type="page" w:clear="all"/>
      </w:r>
      <w:r/>
    </w:p>
    <w:p>
      <w:pPr>
        <w:jc w:val="center"/>
        <w:spacing w:line="360" w:lineRule="auto"/>
        <w:rPr>
          <w:rFonts w:hint="eastAsia" w:ascii="宋体" w:hAnsi="宋体"/>
          <w:b/>
          <w:bCs/>
          <w:color w:val="auto"/>
          <w:highlight w:val="none"/>
        </w:rPr>
      </w:pPr>
      <w:r>
        <w:rPr>
          <w:rFonts w:hint="eastAsia" w:ascii="宋体" w:hAnsi="宋体"/>
          <w:b/>
          <w:bCs/>
          <w:color w:val="auto"/>
          <w:highlight w:val="none"/>
        </w:rPr>
        <w:t xml:space="preserve">参加本次政府采购活动前 3 年内在经营活动中没有重大违法记录的书面声明</w:t>
      </w:r>
      <w:r/>
    </w:p>
    <w:p>
      <w:pPr>
        <w:spacing w:line="360" w:lineRule="auto"/>
        <w:rPr>
          <w:rFonts w:hint="eastAsia" w:ascii="宋体" w:hAnsi="宋体"/>
          <w:color w:val="auto"/>
          <w:highlight w:val="none"/>
        </w:rPr>
      </w:pPr>
      <w:r>
        <w:rPr>
          <w:rFonts w:hint="eastAsia" w:ascii="宋体" w:hAnsi="宋体"/>
          <w:color w:val="auto"/>
          <w:highlight w:val="none"/>
        </w:rPr>
      </w:r>
      <w:r/>
    </w:p>
    <w:p>
      <w:pPr>
        <w:jc w:val="center"/>
        <w:spacing w:after="312" w:line="360" w:lineRule="auto"/>
        <w:rPr>
          <w:rFonts w:hint="eastAsia" w:ascii="宋体" w:hAnsi="宋体"/>
          <w:b/>
          <w:bCs/>
          <w:color w:val="auto"/>
          <w:highlight w:val="none"/>
        </w:rPr>
      </w:pPr>
      <w:r>
        <w:rPr>
          <w:rFonts w:hint="eastAsia" w:ascii="宋体" w:hAnsi="宋体"/>
          <w:b/>
          <w:bCs/>
          <w:color w:val="auto"/>
          <w:highlight w:val="none"/>
        </w:rPr>
        <w:t xml:space="preserve">声  明</w:t>
      </w:r>
      <w:r/>
    </w:p>
    <w:p>
      <w:pPr>
        <w:spacing w:line="360" w:lineRule="auto"/>
        <w:rPr>
          <w:rFonts w:hint="eastAsia"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bCs/>
          <w:color w:val="auto"/>
          <w:highlight w:val="none"/>
        </w:rPr>
      </w:pPr>
      <w:r>
        <w:rPr>
          <w:rFonts w:hint="eastAsia" w:ascii="宋体" w:hAnsi="宋体"/>
          <w:bCs/>
          <w:color w:val="auto"/>
          <w:highlight w:val="none"/>
        </w:rPr>
        <w:t xml:space="preserve">                               供应商名称（公章）：</w:t>
      </w:r>
      <w:r/>
    </w:p>
    <w:p>
      <w:pPr>
        <w:spacing w:line="360" w:lineRule="auto"/>
        <w:rPr>
          <w:rFonts w:hint="eastAsia" w:ascii="宋体" w:hAnsi="宋体"/>
          <w:bCs/>
          <w:color w:val="auto"/>
          <w:highlight w:val="none"/>
        </w:rPr>
      </w:pPr>
      <w:r>
        <w:rPr>
          <w:rFonts w:hint="eastAsia" w:ascii="宋体" w:hAnsi="宋体"/>
          <w:bCs/>
          <w:color w:val="auto"/>
          <w:highlight w:val="none"/>
        </w:rPr>
        <w:t xml:space="preserve">                               法定代表人签章：_______________________</w:t>
      </w:r>
      <w:r/>
    </w:p>
    <w:p>
      <w:pPr>
        <w:spacing w:line="360" w:lineRule="auto"/>
        <w:rPr>
          <w:rFonts w:hint="eastAsia" w:ascii="宋体" w:hAnsi="宋体"/>
          <w:bCs/>
          <w:color w:val="auto"/>
          <w:highlight w:val="none"/>
        </w:rPr>
      </w:pPr>
      <w:r>
        <w:rPr>
          <w:rFonts w:hint="eastAsia" w:ascii="宋体" w:hAnsi="宋体"/>
          <w:bCs/>
          <w:color w:val="auto"/>
          <w:highlight w:val="none"/>
        </w:rPr>
        <w:t xml:space="preserve">                               日期：______年    月    日</w:t>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500" w:lineRule="exact"/>
        <w:rPr>
          <w:rFonts w:hint="eastAsia" w:ascii="宋体" w:hAnsi="宋体"/>
          <w:b/>
          <w:color w:val="auto"/>
          <w:szCs w:val="21"/>
          <w:highlight w:val="none"/>
        </w:rPr>
      </w:pPr>
      <w:r>
        <w:rPr>
          <w:rFonts w:hint="eastAsia" w:ascii="宋体" w:hAnsi="宋体"/>
          <w:b/>
          <w:bCs/>
          <w:color w:val="auto"/>
          <w:highlight w:val="none"/>
        </w:rPr>
        <w:br w:type="page" w:clear="all"/>
      </w:r>
      <w:r>
        <w:rPr>
          <w:rFonts w:hint="eastAsia" w:ascii="宋体" w:hAnsi="宋体"/>
          <w:b/>
          <w:color w:val="auto"/>
          <w:szCs w:val="21"/>
          <w:highlight w:val="none"/>
        </w:rPr>
        <w:t xml:space="preserve">供应商信用承诺书</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承诺主体名称：</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统一社会信用代码：</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olor w:val="auto"/>
          <w:szCs w:val="21"/>
          <w:highlight w:val="none"/>
          <w:lang w:eastAsia="zh-CN"/>
        </w:rPr>
        <w:t xml:space="preserve">；</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　　　　　　　　　      　年    月    日</w:t>
      </w:r>
      <w:r/>
    </w:p>
    <w:p>
      <w:pPr>
        <w:jc w:val="center"/>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br w:type="page" w:clear="all"/>
      </w:r>
      <w:r>
        <w:rPr>
          <w:rFonts w:hint="eastAsia" w:ascii="宋体" w:hAnsi="宋体"/>
          <w:b/>
          <w:bCs/>
          <w:color w:val="auto"/>
          <w:highlight w:val="none"/>
        </w:rPr>
        <w:t xml:space="preserve">投标函格式</w:t>
      </w:r>
      <w:r/>
    </w:p>
    <w:p>
      <w:pPr>
        <w:pStyle w:val="1109"/>
        <w:ind w:firstLine="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致：江苏唯诚建设咨询有限公司</w:t>
      </w:r>
      <w:r/>
    </w:p>
    <w:p>
      <w:pPr>
        <w:pStyle w:val="1109"/>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根据贵方的</w:t>
      </w:r>
      <w:r>
        <w:rPr>
          <w:rFonts w:hint="eastAsia" w:ascii="宋体" w:hAnsi="宋体"/>
          <w:color w:val="auto"/>
          <w:sz w:val="21"/>
          <w:szCs w:val="21"/>
          <w:highlight w:val="none"/>
          <w:lang w:eastAsia="zh-CN"/>
        </w:rPr>
        <w:t xml:space="preserve">JSZC-321000-JSWC-G2026-0004</w:t>
      </w:r>
      <w:r>
        <w:rPr>
          <w:rFonts w:hint="eastAsia" w:ascii="宋体" w:hAnsi="宋体"/>
          <w:color w:val="auto"/>
          <w:sz w:val="21"/>
          <w:szCs w:val="21"/>
          <w:highlight w:val="none"/>
        </w:rPr>
        <w:t xml:space="preserve">号招标文件，正式授权下述签字人____(姓名)代表我方____________（投标人的名称），全权处理本次项目投标的有关事宜。</w:t>
      </w:r>
      <w:r/>
    </w:p>
    <w:p>
      <w:pPr>
        <w:pStyle w:val="1109"/>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1109"/>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1109"/>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1109"/>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1109"/>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1109"/>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109"/>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1109"/>
        <w:ind w:left="425" w:firstLine="105"/>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1109"/>
        <w:ind w:firstLine="478"/>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地 址：</w:t>
      </w:r>
      <w:r/>
    </w:p>
    <w:p>
      <w:pPr>
        <w:pStyle w:val="1109"/>
        <w:ind w:firstLine="478"/>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邮 编：</w:t>
      </w:r>
      <w:r/>
    </w:p>
    <w:p>
      <w:pPr>
        <w:pStyle w:val="1109"/>
        <w:ind w:firstLine="478"/>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电 话： </w:t>
      </w:r>
      <w:r/>
    </w:p>
    <w:p>
      <w:pPr>
        <w:pStyle w:val="1109"/>
        <w:ind w:firstLine="478"/>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传 真： </w:t>
      </w:r>
      <w:r/>
    </w:p>
    <w:p>
      <w:pPr>
        <w:pStyle w:val="1109"/>
        <w:ind w:firstLine="478"/>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1109"/>
        <w:ind w:firstLine="478"/>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账 户： </w:t>
      </w:r>
      <w:r/>
    </w:p>
    <w:p>
      <w:pPr>
        <w:pStyle w:val="1109"/>
        <w:ind w:firstLine="478"/>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行 号：</w:t>
      </w:r>
      <w:r/>
    </w:p>
    <w:p>
      <w:pPr>
        <w:pStyle w:val="1109"/>
        <w:ind w:firstLine="478"/>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rPr>
          <w:rFonts w:hint="eastAsia" w:ascii="宋体" w:hAnsi="宋体"/>
          <w:b/>
          <w:color w:val="auto"/>
          <w:szCs w:val="21"/>
          <w:highlight w:val="none"/>
        </w:rPr>
      </w:pPr>
      <w:r>
        <w:rPr>
          <w:rFonts w:hint="eastAsia" w:ascii="宋体" w:hAnsi="宋体"/>
          <w:b/>
          <w:color w:val="auto"/>
          <w:sz w:val="32"/>
          <w:szCs w:val="32"/>
          <w:highlight w:val="none"/>
        </w:rPr>
        <w:br w:type="page" w:clear="all"/>
      </w:r>
      <w:r>
        <w:rPr>
          <w:rFonts w:hint="eastAsia" w:ascii="宋体" w:hAnsi="宋体"/>
          <w:b/>
          <w:color w:val="auto"/>
          <w:szCs w:val="21"/>
          <w:highlight w:val="none"/>
        </w:rPr>
        <w:t xml:space="preserve">法人授权书</w:t>
      </w:r>
      <w:r/>
    </w:p>
    <w:p>
      <w:pPr>
        <w:pStyle w:val="1116"/>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（投标人名称）授权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1116"/>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1116"/>
        <w:ind w:firstLine="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    </w:t>
      </w:r>
      <w:r/>
    </w:p>
    <w:p>
      <w:pPr>
        <w:pStyle w:val="1116"/>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被授权人姓名：</w:t>
      </w:r>
      <w:r>
        <w:rPr>
          <w:rFonts w:ascii="宋体" w:hAnsi="宋体"/>
          <w:color w:val="auto"/>
          <w:sz w:val="21"/>
          <w:szCs w:val="21"/>
          <w:highlight w:val="none"/>
        </w:rPr>
        <w:t xml:space="preserve">_______________________</w:t>
      </w:r>
      <w:r>
        <w:rPr>
          <w:rFonts w:hint="eastAsia" w:ascii="宋体" w:hAnsi="宋体"/>
          <w:color w:val="auto"/>
          <w:sz w:val="21"/>
          <w:szCs w:val="21"/>
          <w:highlight w:val="none"/>
        </w:rPr>
        <w:t xml:space="preserve">     </w:t>
      </w:r>
      <w:r/>
    </w:p>
    <w:p>
      <w:pPr>
        <w:pStyle w:val="1116"/>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rPr>
        <w:t xml:space="preserve">                   </w:t>
      </w:r>
      <w:r/>
    </w:p>
    <w:p>
      <w:pPr>
        <w:pStyle w:val="1116"/>
        <w:ind w:firstLine="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ascii="宋体" w:hAnsi="宋体"/>
          <w:color w:val="auto"/>
          <w:sz w:val="21"/>
          <w:szCs w:val="21"/>
          <w:highlight w:val="none"/>
        </w:rPr>
        <w:t xml:space="preserve">___________________________</w:t>
      </w:r>
      <w:r/>
    </w:p>
    <w:p>
      <w:pPr>
        <w:pStyle w:val="1116"/>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color w:val="auto"/>
          <w:sz w:val="21"/>
          <w:szCs w:val="21"/>
          <w:highlight w:val="none"/>
          <w:u w:val="single"/>
        </w:rPr>
        <w:t xml:space="preserve">                           </w:t>
      </w:r>
      <w:r/>
    </w:p>
    <w:p>
      <w:pPr>
        <w:pStyle w:val="1116"/>
        <w:ind w:firstLine="42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u w:val="single"/>
        </w:rPr>
        <w:t xml:space="preserve">                               </w:t>
      </w:r>
      <w:r>
        <w:rPr>
          <w:color w:val="auto"/>
          <w:sz w:val="21"/>
          <w:szCs w:val="21"/>
          <w:highlight w:val="none"/>
        </w:rPr>
        <w:t xml:space="preserve"> </w:t>
      </w:r>
      <w:r/>
    </w:p>
    <w:p>
      <w:pPr>
        <w:spacing w:line="460" w:lineRule="exact"/>
        <w:rPr>
          <w:rFonts w:hint="eastAsia" w:ascii="宋体" w:hAnsi="宋体"/>
          <w:bCs/>
          <w:color w:val="auto"/>
          <w:highlight w:val="none"/>
        </w:rPr>
      </w:pPr>
      <w:r>
        <w:rPr>
          <w:rFonts w:hint="eastAsia" w:ascii="宋体" w:hAnsi="宋体"/>
          <w:bCs/>
          <w:color w:val="auto"/>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420"/>
        <w:spacing w:line="460" w:lineRule="exact"/>
        <w:rPr>
          <w:rFonts w:hint="eastAsia" w:ascii="宋体" w:hAnsi="宋体"/>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color w:val="auto"/>
          <w:highlight w:val="none"/>
        </w:rPr>
        <w:t xml:space="preserve">被授权人身份证复印</w:t>
      </w:r>
      <w:r/>
    </w:p>
    <w:p>
      <w:pPr>
        <w:pStyle w:val="764"/>
        <w:numPr>
          <w:ilvl w:val="0"/>
          <w:numId w:val="0"/>
        </w:numPr>
        <w:jc w:val="center"/>
        <w:spacing w:before="260" w:after="260" w:line="416" w:lineRule="auto"/>
        <w:rPr>
          <w:rFonts w:hint="eastAsia" w:ascii="宋体" w:hAnsi="宋体"/>
          <w:bCs w:val="0"/>
          <w:color w:val="auto"/>
          <w:sz w:val="32"/>
          <w:szCs w:val="32"/>
          <w:highlight w:val="none"/>
        </w:rPr>
      </w:pPr>
      <w:r>
        <w:rPr>
          <w:rFonts w:hint="eastAsia" w:ascii="宋体" w:hAnsi="宋体"/>
          <w:bCs w:val="0"/>
          <w:color w:val="auto"/>
          <w:sz w:val="32"/>
          <w:szCs w:val="32"/>
          <w:highlight w:val="none"/>
        </w:rPr>
        <w:t xml:space="preserve">二、符合性审查响应对照表</w:t>
      </w:r>
      <w:r/>
    </w:p>
    <w:p>
      <w:pPr>
        <w:rPr>
          <w:rFonts w:hint="eastAsia" w:ascii="宋体" w:hAnsi="宋体"/>
          <w:b/>
          <w:color w:val="auto"/>
          <w:sz w:val="32"/>
          <w:szCs w:val="32"/>
          <w:highlight w:val="none"/>
        </w:rPr>
      </w:pPr>
      <w:r>
        <w:rPr>
          <w:rFonts w:hint="eastAsia" w:ascii="宋体" w:hAnsi="宋体"/>
          <w:b/>
          <w:color w:val="auto"/>
          <w:sz w:val="32"/>
          <w:szCs w:val="32"/>
          <w:highlight w:val="none"/>
        </w:rPr>
      </w:r>
      <w:r/>
    </w:p>
    <w:tbl>
      <w:tblPr>
        <w:tblStyle w:val="773"/>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605"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111"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575"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228"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trHeight w:val="582"/>
        </w:trPr>
        <w:tc>
          <w:tcPr>
            <w:tcW w:w="605"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1</w:t>
            </w:r>
            <w:r/>
          </w:p>
        </w:tc>
        <w:tc>
          <w:tcPr>
            <w:tcW w:w="5111" w:type="dxa"/>
            <w:vAlign w:val="center"/>
            <w:textDirection w:val="lrTb"/>
            <w:noWrap w:val="false"/>
          </w:tcPr>
          <w:p>
            <w:pPr>
              <w:spacing w:line="0" w:lineRule="atLeast"/>
              <w:rPr>
                <w:rFonts w:hint="eastAsia"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575" w:type="dxa"/>
            <w:vAlign w:val="center"/>
            <w:textDirection w:val="lrTb"/>
            <w:noWrap w:val="false"/>
          </w:tcPr>
          <w:p>
            <w:pPr>
              <w:rPr>
                <w:rFonts w:hint="eastAsia" w:ascii="宋体" w:hAnsi="宋体"/>
                <w:b/>
                <w:color w:val="auto"/>
                <w:szCs w:val="21"/>
                <w:highlight w:val="none"/>
              </w:rPr>
            </w:pPr>
            <w:r>
              <w:rPr>
                <w:rFonts w:hint="eastAsia" w:ascii="宋体" w:hAnsi="宋体"/>
                <w:b/>
                <w:color w:val="auto"/>
                <w:szCs w:val="21"/>
                <w:highlight w:val="none"/>
              </w:rPr>
            </w:r>
            <w:r/>
          </w:p>
        </w:tc>
        <w:tc>
          <w:tcPr>
            <w:tcW w:w="1228" w:type="dxa"/>
            <w:vAlign w:val="center"/>
            <w:textDirection w:val="lrTb"/>
            <w:noWrap w:val="false"/>
          </w:tcPr>
          <w:p>
            <w:pPr>
              <w:rPr>
                <w:rFonts w:hint="eastAsia" w:ascii="宋体" w:hAnsi="宋体"/>
                <w:b/>
                <w:color w:val="auto"/>
                <w:szCs w:val="21"/>
                <w:highlight w:val="none"/>
              </w:rPr>
            </w:pPr>
            <w:r>
              <w:rPr>
                <w:rFonts w:hint="eastAsia" w:ascii="宋体" w:hAnsi="宋体"/>
                <w:b/>
                <w:color w:val="auto"/>
                <w:szCs w:val="21"/>
                <w:highlight w:val="none"/>
              </w:rPr>
            </w:r>
            <w:r/>
          </w:p>
        </w:tc>
      </w:tr>
      <w:tr>
        <w:trPr>
          <w:trHeight w:val="582"/>
        </w:trPr>
        <w:tc>
          <w:tcPr>
            <w:tcW w:w="60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w:t>
            </w:r>
            <w:r/>
          </w:p>
        </w:tc>
        <w:tc>
          <w:tcPr>
            <w:tcW w:w="5111" w:type="dxa"/>
            <w:vAlign w:val="center"/>
            <w:textDirection w:val="lrTb"/>
            <w:noWrap w:val="false"/>
          </w:tcPr>
          <w:p>
            <w:pPr>
              <w:spacing w:line="0" w:lineRule="atLeast"/>
              <w:rPr>
                <w:rFonts w:hint="eastAsia" w:ascii="宋体" w:hAnsi="宋体"/>
                <w:iCs/>
                <w:color w:val="auto"/>
                <w:szCs w:val="21"/>
                <w:highlight w:val="none"/>
              </w:rPr>
            </w:pPr>
            <w:r>
              <w:rPr>
                <w:rFonts w:hint="eastAsia" w:ascii="宋体" w:hAnsi="宋体"/>
                <w:iCs/>
                <w:color w:val="auto"/>
                <w:szCs w:val="21"/>
                <w:highlight w:val="none"/>
              </w:rPr>
            </w:r>
            <w:r/>
          </w:p>
        </w:tc>
        <w:tc>
          <w:tcPr>
            <w:tcW w:w="1575"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22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582"/>
        </w:trPr>
        <w:tc>
          <w:tcPr>
            <w:tcW w:w="60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3</w:t>
            </w:r>
            <w:r/>
          </w:p>
        </w:tc>
        <w:tc>
          <w:tcPr>
            <w:tcW w:w="5111" w:type="dxa"/>
            <w:vAlign w:val="center"/>
            <w:textDirection w:val="lrTb"/>
            <w:noWrap w:val="false"/>
          </w:tcPr>
          <w:p>
            <w:pPr>
              <w:spacing w:line="0" w:lineRule="atLeast"/>
              <w:rPr>
                <w:rFonts w:hint="eastAsia" w:ascii="宋体" w:hAnsi="宋体"/>
                <w:iCs/>
                <w:color w:val="auto"/>
                <w:szCs w:val="21"/>
                <w:highlight w:val="none"/>
              </w:rPr>
            </w:pPr>
            <w:r>
              <w:rPr>
                <w:rFonts w:hint="eastAsia" w:ascii="宋体" w:hAnsi="宋体"/>
                <w:iCs/>
                <w:color w:val="auto"/>
                <w:szCs w:val="21"/>
                <w:highlight w:val="none"/>
              </w:rPr>
            </w:r>
            <w:r/>
          </w:p>
        </w:tc>
        <w:tc>
          <w:tcPr>
            <w:tcW w:w="1575"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22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582"/>
        </w:trPr>
        <w:tc>
          <w:tcPr>
            <w:tcW w:w="60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4</w:t>
            </w:r>
            <w:r/>
          </w:p>
        </w:tc>
        <w:tc>
          <w:tcPr>
            <w:tcW w:w="5111" w:type="dxa"/>
            <w:vAlign w:val="center"/>
            <w:textDirection w:val="lrTb"/>
            <w:noWrap w:val="false"/>
          </w:tcPr>
          <w:p>
            <w:pPr>
              <w:spacing w:line="0" w:lineRule="atLeast"/>
              <w:rPr>
                <w:rFonts w:hint="eastAsia" w:ascii="宋体" w:hAnsi="宋体"/>
                <w:iCs/>
                <w:color w:val="auto"/>
                <w:szCs w:val="21"/>
                <w:highlight w:val="none"/>
              </w:rPr>
            </w:pPr>
            <w:r>
              <w:rPr>
                <w:rFonts w:hint="eastAsia" w:ascii="宋体" w:hAnsi="宋体"/>
                <w:iCs/>
                <w:color w:val="auto"/>
                <w:szCs w:val="21"/>
                <w:highlight w:val="none"/>
              </w:rPr>
            </w:r>
            <w:r/>
          </w:p>
        </w:tc>
        <w:tc>
          <w:tcPr>
            <w:tcW w:w="1575"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22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582"/>
        </w:trPr>
        <w:tc>
          <w:tcPr>
            <w:tcW w:w="60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5</w:t>
            </w:r>
            <w:r/>
          </w:p>
        </w:tc>
        <w:tc>
          <w:tcPr>
            <w:tcW w:w="5111" w:type="dxa"/>
            <w:vAlign w:val="center"/>
            <w:textDirection w:val="lrTb"/>
            <w:noWrap w:val="false"/>
          </w:tcPr>
          <w:p>
            <w:pPr>
              <w:spacing w:line="0" w:lineRule="atLeast"/>
              <w:rPr>
                <w:rFonts w:hint="eastAsia" w:ascii="宋体" w:hAnsi="宋体"/>
                <w:iCs/>
                <w:color w:val="auto"/>
                <w:szCs w:val="21"/>
                <w:highlight w:val="none"/>
              </w:rPr>
            </w:pPr>
            <w:r>
              <w:rPr>
                <w:rFonts w:ascii="宋体" w:hAnsi="宋体"/>
                <w:iCs/>
                <w:color w:val="auto"/>
                <w:szCs w:val="21"/>
                <w:highlight w:val="none"/>
              </w:rPr>
              <w:t xml:space="preserve">……</w:t>
            </w:r>
            <w:r/>
          </w:p>
        </w:tc>
        <w:tc>
          <w:tcPr>
            <w:tcW w:w="1575"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22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bl>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764"/>
        <w:numPr>
          <w:ilvl w:val="0"/>
          <w:numId w:val="0"/>
        </w:numPr>
        <w:jc w:val="center"/>
        <w:spacing w:before="260" w:after="260" w:line="416" w:lineRule="auto"/>
        <w:rPr>
          <w:rFonts w:hint="eastAsia" w:ascii="宋体" w:hAnsi="宋体"/>
          <w:bCs w:val="0"/>
          <w:color w:val="auto"/>
          <w:sz w:val="32"/>
          <w:szCs w:val="32"/>
          <w:highlight w:val="none"/>
        </w:rPr>
      </w:pPr>
      <w:r>
        <w:rPr>
          <w:rFonts w:hint="eastAsia" w:ascii="宋体" w:hAnsi="宋体"/>
          <w:bCs w:val="0"/>
          <w:color w:val="auto"/>
          <w:sz w:val="32"/>
          <w:szCs w:val="32"/>
          <w:highlight w:val="none"/>
        </w:rPr>
        <w:t xml:space="preserve">三、非实质性响应对照表</w:t>
      </w:r>
      <w:r/>
    </w:p>
    <w:p>
      <w:pPr>
        <w:rPr>
          <w:rFonts w:hint="eastAsia" w:ascii="宋体" w:hAnsi="宋体"/>
          <w:b/>
          <w:color w:val="auto"/>
          <w:sz w:val="32"/>
          <w:szCs w:val="32"/>
          <w:highlight w:val="none"/>
        </w:rPr>
      </w:pPr>
      <w:r>
        <w:rPr>
          <w:rFonts w:hint="eastAsia" w:ascii="宋体" w:hAnsi="宋体"/>
          <w:b/>
          <w:color w:val="auto"/>
          <w:sz w:val="32"/>
          <w:szCs w:val="32"/>
          <w:highlight w:val="none"/>
        </w:rPr>
      </w:r>
      <w:r/>
    </w:p>
    <w:tbl>
      <w:tblPr>
        <w:tblStyle w:val="773"/>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605"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111"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575"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228"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643"/>
        </w:trPr>
        <w:tc>
          <w:tcPr>
            <w:tcW w:w="605"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1</w:t>
            </w:r>
            <w:r/>
          </w:p>
        </w:tc>
        <w:tc>
          <w:tcPr>
            <w:tcW w:w="5111" w:type="dxa"/>
            <w:vAlign w:val="center"/>
            <w:textDirection w:val="lrTb"/>
            <w:noWrap w:val="false"/>
          </w:tcPr>
          <w:p>
            <w:pPr>
              <w:spacing w:line="0" w:lineRule="atLeast"/>
              <w:rPr>
                <w:rFonts w:hint="eastAsia" w:ascii="宋体" w:hAnsi="宋体"/>
                <w:iCs/>
                <w:color w:val="auto"/>
                <w:szCs w:val="21"/>
                <w:highlight w:val="none"/>
              </w:rPr>
            </w:pPr>
            <w:r>
              <w:rPr>
                <w:rFonts w:hint="eastAsia" w:ascii="宋体" w:hAnsi="宋体"/>
                <w:color w:val="auto"/>
                <w:szCs w:val="21"/>
                <w:highlight w:val="none"/>
              </w:rPr>
              <w:t xml:space="preserve">《企业声明函》</w:t>
            </w:r>
            <w:r/>
          </w:p>
        </w:tc>
        <w:tc>
          <w:tcPr>
            <w:tcW w:w="1575" w:type="dxa"/>
            <w:vAlign w:val="center"/>
            <w:textDirection w:val="lrTb"/>
            <w:noWrap w:val="false"/>
          </w:tcPr>
          <w:p>
            <w:pPr>
              <w:rPr>
                <w:rFonts w:hint="eastAsia" w:ascii="宋体" w:hAnsi="宋体"/>
                <w:b/>
                <w:color w:val="auto"/>
                <w:szCs w:val="21"/>
                <w:highlight w:val="none"/>
              </w:rPr>
            </w:pPr>
            <w:r>
              <w:rPr>
                <w:rFonts w:hint="eastAsia" w:ascii="宋体" w:hAnsi="宋体"/>
                <w:b/>
                <w:color w:val="auto"/>
                <w:szCs w:val="21"/>
                <w:highlight w:val="none"/>
              </w:rPr>
            </w:r>
            <w:r/>
          </w:p>
        </w:tc>
        <w:tc>
          <w:tcPr>
            <w:tcW w:w="1228" w:type="dxa"/>
            <w:vAlign w:val="center"/>
            <w:textDirection w:val="lrTb"/>
            <w:noWrap w:val="false"/>
          </w:tcPr>
          <w:p>
            <w:pPr>
              <w:rPr>
                <w:rFonts w:hint="eastAsia" w:ascii="宋体" w:hAnsi="宋体"/>
                <w:b/>
                <w:color w:val="auto"/>
                <w:szCs w:val="21"/>
                <w:highlight w:val="none"/>
              </w:rPr>
            </w:pPr>
            <w:r>
              <w:rPr>
                <w:rFonts w:hint="eastAsia" w:ascii="宋体" w:hAnsi="宋体"/>
                <w:b/>
                <w:color w:val="auto"/>
                <w:szCs w:val="21"/>
                <w:highlight w:val="none"/>
              </w:rPr>
            </w:r>
            <w:r/>
          </w:p>
        </w:tc>
      </w:tr>
      <w:tr>
        <w:trPr>
          <w:trHeight w:val="643"/>
        </w:trPr>
        <w:tc>
          <w:tcPr>
            <w:tcW w:w="60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w:t>
            </w:r>
            <w:r/>
          </w:p>
        </w:tc>
        <w:tc>
          <w:tcPr>
            <w:tcW w:w="5111" w:type="dxa"/>
            <w:vAlign w:val="center"/>
            <w:textDirection w:val="lrTb"/>
            <w:noWrap w:val="false"/>
          </w:tcPr>
          <w:p>
            <w:pPr>
              <w:spacing w:line="0" w:lineRule="atLeast"/>
              <w:rPr>
                <w:rFonts w:hint="eastAsia"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575"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22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643"/>
        </w:trPr>
        <w:tc>
          <w:tcPr>
            <w:tcW w:w="60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3</w:t>
            </w:r>
            <w:r/>
          </w:p>
        </w:tc>
        <w:tc>
          <w:tcPr>
            <w:tcW w:w="5111" w:type="dxa"/>
            <w:vAlign w:val="center"/>
            <w:textDirection w:val="lrTb"/>
            <w:noWrap w:val="false"/>
          </w:tcPr>
          <w:p>
            <w:pPr>
              <w:spacing w:line="0" w:lineRule="atLeast"/>
              <w:rPr>
                <w:rFonts w:hint="eastAsia" w:ascii="宋体" w:hAnsi="宋体"/>
                <w:iCs/>
                <w:color w:val="auto"/>
                <w:szCs w:val="21"/>
                <w:highlight w:val="none"/>
              </w:rPr>
            </w:pPr>
            <w:r>
              <w:rPr>
                <w:rFonts w:ascii="宋体" w:hAnsi="宋体"/>
                <w:iCs/>
                <w:color w:val="auto"/>
                <w:szCs w:val="21"/>
                <w:highlight w:val="none"/>
              </w:rPr>
              <w:t xml:space="preserve">……</w:t>
            </w:r>
            <w:r/>
          </w:p>
        </w:tc>
        <w:tc>
          <w:tcPr>
            <w:tcW w:w="1575"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22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bl>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rPr>
          <w:color w:val="auto"/>
          <w:highlight w:val="none"/>
        </w:rPr>
      </w:pPr>
      <w:r>
        <w:rPr>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center"/>
        <w:spacing w:before="312" w:after="312" w:line="360" w:lineRule="auto"/>
        <w:rPr>
          <w:b/>
          <w:bCs/>
          <w:color w:val="auto"/>
          <w:highlight w:val="none"/>
        </w:rPr>
      </w:pPr>
      <w:r>
        <w:rPr>
          <w:b/>
          <w:bCs/>
          <w:color w:val="auto"/>
          <w:highlight w:val="none"/>
        </w:rPr>
      </w:r>
      <w:r/>
    </w:p>
    <w:p>
      <w:pPr>
        <w:jc w:val="center"/>
        <w:spacing w:before="312" w:after="312"/>
        <w:rPr>
          <w:rFonts w:hint="eastAsia" w:ascii="宋体" w:hAnsi="宋体" w:cs="宋体"/>
          <w:b/>
          <w:bCs/>
          <w:color w:val="auto"/>
          <w:highlight w:val="none"/>
        </w:rPr>
      </w:pPr>
      <w:r>
        <w:rPr>
          <w:rFonts w:hint="eastAsia"/>
          <w:b/>
          <w:bCs/>
          <w:color w:val="auto"/>
          <w:highlight w:val="none"/>
        </w:rPr>
        <w:br w:type="page" w:clear="all"/>
      </w:r>
      <w:r>
        <w:rPr>
          <w:rFonts w:hint="eastAsia" w:ascii="宋体" w:hAnsi="宋体" w:cs="宋体"/>
          <w:b/>
          <w:bCs/>
          <w:color w:val="auto"/>
          <w:highlight w:val="none"/>
        </w:rPr>
        <w:t xml:space="preserve">中小企业声明函（货物）</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b/>
          <w:color w:val="auto"/>
          <w:highlight w:val="none"/>
          <w:u w:val="single"/>
        </w:rPr>
        <w:t xml:space="preserve">工业</w:t>
      </w:r>
      <w:r>
        <w:rPr>
          <w:rFonts w:hint="eastAsia" w:ascii="宋体" w:hAnsi="宋体" w:cs="宋体"/>
          <w:color w:val="auto"/>
          <w:highlight w:val="none"/>
          <w:u w:val="single"/>
        </w:rPr>
        <w:t xml:space="preserve">行业</w:t>
      </w:r>
      <w:r>
        <w:rPr>
          <w:rFonts w:hint="eastAsia" w:ascii="宋体" w:hAnsi="宋体" w:cs="宋体"/>
          <w:color w:val="auto"/>
          <w:highlight w:val="none"/>
        </w:rPr>
        <w:t xml:space="preserve">；制造商为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hint="eastAsia" w:ascii="宋体" w:hAnsi="宋体" w:cs="宋体"/>
          <w:color w:val="auto"/>
          <w:spacing w:val="-1"/>
          <w:highlight w:val="none"/>
          <w:vertAlign w:val="superscript"/>
        </w:rPr>
        <w:t xml:space="preserve">1</w:t>
      </w:r>
      <w:r>
        <w:rPr>
          <w:rFonts w:hint="eastAsia" w:ascii="宋体" w:hAnsi="宋体" w:cs="宋体"/>
          <w:color w:val="auto"/>
          <w:spacing w:val="-1"/>
          <w:highlight w:val="none"/>
          <w:vertAlign w:val="superscript"/>
        </w:rPr>
        <w:fldChar w:fldCharType="end"/>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2.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b/>
          <w:color w:val="auto"/>
          <w:highlight w:val="none"/>
          <w:u w:val="single"/>
        </w:rPr>
        <w:t xml:space="preserve">工业</w:t>
      </w:r>
      <w:r>
        <w:rPr>
          <w:rFonts w:hint="eastAsia" w:ascii="宋体" w:hAnsi="宋体" w:cs="宋体"/>
          <w:color w:val="auto"/>
          <w:highlight w:val="none"/>
          <w:u w:val="single"/>
        </w:rPr>
        <w:t xml:space="preserve">行业</w:t>
      </w:r>
      <w:r>
        <w:rPr>
          <w:rFonts w:hint="eastAsia" w:ascii="宋体" w:hAnsi="宋体" w:cs="宋体"/>
          <w:color w:val="auto"/>
          <w:highlight w:val="none"/>
        </w:rPr>
        <w:t xml:space="preserve">；制造商为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注：1、供应商如不提供此声明函，价格将不做相应扣除。</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    2、企业声明函请完整填写，中标后将公示。</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                                       企业名称（盖章）：</w:t>
      </w:r>
      <w:r/>
    </w:p>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                             日 期：</w:t>
      </w:r>
      <w:r/>
    </w:p>
    <w:p>
      <w:pPr>
        <w:jc w:val="left"/>
        <w:rPr>
          <w:rFonts w:hint="eastAsia" w:ascii="宋体" w:hAnsi="宋体" w:cs="宋体"/>
          <w:color w:val="auto"/>
          <w:highlight w:val="none"/>
        </w:rPr>
      </w:pPr>
      <w:r>
        <w:rPr>
          <w:rFonts w:hint="eastAsia" w:ascii="宋体" w:hAnsi="宋体" w:cs="宋体"/>
          <w:color w:val="auto"/>
          <w:highlight w:val="none"/>
        </w:rPr>
      </w:r>
      <w:r/>
    </w:p>
    <w:p>
      <w:pPr>
        <w:jc w:val="left"/>
        <w:rPr>
          <w:rFonts w:hint="eastAsia" w:ascii="宋体" w:hAnsi="宋体" w:cs="宋体"/>
          <w:color w:val="auto"/>
          <w:highlight w:val="none"/>
        </w:rPr>
      </w:pPr>
      <w:r>
        <w:rPr>
          <w:rFonts w:hint="eastAsia" w:ascii="宋体" w:hAnsi="宋体" w:cs="宋体"/>
          <w:color w:val="auto"/>
          <w:highlight w:val="none"/>
        </w:rPr>
      </w:r>
      <w:r/>
    </w:p>
    <w:p>
      <w:pPr>
        <w:jc w:val="left"/>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t xml:space="preserve">1从业人员、营业收入、资产总额填报上一年度数据，无上一年度数据的新成立企业可不填报。</w:t>
      </w:r>
      <w:r/>
    </w:p>
    <w:p>
      <w:pPr>
        <w:jc w:val="left"/>
        <w:rPr>
          <w:rFonts w:hint="eastAsia" w:ascii="宋体" w:hAnsi="宋体" w:cs="宋体"/>
          <w:color w:val="auto"/>
          <w:highlight w:val="none"/>
        </w:rPr>
      </w:pPr>
      <w:r>
        <w:rPr>
          <w:rFonts w:hint="eastAsia" w:ascii="宋体" w:hAnsi="宋体" w:cs="宋体"/>
          <w:color w:val="auto"/>
          <w:highlight w:val="none"/>
        </w:rPr>
      </w:r>
      <w:r/>
    </w:p>
    <w:p>
      <w:pPr>
        <w:jc w:val="left"/>
        <w:rPr>
          <w:rFonts w:hint="eastAsia" w:ascii="宋体" w:hAnsi="宋体" w:cs="宋体"/>
          <w:color w:val="auto"/>
          <w:highlight w:val="none"/>
        </w:rPr>
      </w:pPr>
      <w:r>
        <w:rPr>
          <w:rFonts w:hint="eastAsia" w:ascii="宋体" w:hAnsi="宋体" w:cs="宋体"/>
          <w:color w:val="auto"/>
          <w:highlight w:val="none"/>
        </w:rPr>
      </w:r>
      <w:r/>
    </w:p>
    <w:p>
      <w:pPr>
        <w:jc w:val="center"/>
        <w:spacing w:before="312" w:after="312" w:line="360" w:lineRule="auto"/>
        <w:rPr>
          <w:color w:val="auto"/>
          <w:highlight w:val="none"/>
        </w:rPr>
      </w:pPr>
      <w:r>
        <w:rPr>
          <w:color w:val="auto"/>
          <w:highlight w:val="none"/>
        </w:rPr>
        <w:t xml:space="preserve"> </w:t>
      </w:r>
      <w:r/>
    </w:p>
    <w:p>
      <w:pPr>
        <w:rPr>
          <w:rFonts w:hint="eastAsia" w:ascii="宋体" w:hAnsi="宋体"/>
          <w:b/>
          <w:bCs/>
          <w:color w:val="auto"/>
          <w:highlight w:val="none"/>
        </w:rPr>
      </w:pPr>
      <w:r>
        <w:rPr>
          <w:rFonts w:hint="eastAsia" w:ascii="宋体" w:hAnsi="宋体"/>
          <w:b/>
          <w:bCs/>
          <w:color w:val="auto"/>
          <w:highlight w:val="none"/>
        </w:rPr>
        <w:br w:type="page" w:clear="all"/>
      </w:r>
      <w:r/>
    </w:p>
    <w:p>
      <w:pPr>
        <w:jc w:val="center"/>
        <w:rPr>
          <w:color w:val="auto"/>
          <w:highlight w:val="none"/>
        </w:rPr>
      </w:pPr>
      <w:r>
        <w:rPr>
          <w:rFonts w:hint="eastAsia" w:ascii="宋体" w:hAnsi="宋体"/>
          <w:b/>
          <w:bCs/>
          <w:color w:val="auto"/>
          <w:highlight w:val="none"/>
        </w:rPr>
        <w:t xml:space="preserve">残疾人福利性单位声明函</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588" w:lineRule="exact"/>
        <w:rPr>
          <w:rFonts w:hint="eastAsia"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hint="eastAsia"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588" w:lineRule="exact"/>
        <w:rPr>
          <w:rFonts w:hint="eastAsia"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8"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588" w:lineRule="exact"/>
        <w:rPr>
          <w:rFonts w:hint="eastAsia"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588" w:lineRule="exact"/>
        <w:tabs>
          <w:tab w:val="left" w:pos="4860" w:leader="none"/>
        </w:tabs>
        <w:rPr>
          <w:rFonts w:hint="eastAsia"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spacing w:line="588" w:lineRule="exact"/>
        <w:tabs>
          <w:tab w:val="left" w:pos="4860" w:leader="none"/>
        </w:tabs>
        <w:rPr>
          <w:rFonts w:hint="eastAsia" w:ascii="宋体" w:hAnsi="宋体"/>
          <w:color w:val="auto"/>
          <w:szCs w:val="21"/>
          <w:highlight w:val="none"/>
        </w:rPr>
      </w:pPr>
      <w:r>
        <w:rPr>
          <w:rFonts w:hint="eastAsia" w:ascii="宋体" w:hAnsi="宋体"/>
          <w:color w:val="auto"/>
          <w:szCs w:val="21"/>
          <w:highlight w:val="none"/>
        </w:rPr>
        <w:t xml:space="preserve">                              日  期：</w:t>
      </w:r>
      <w:r/>
    </w:p>
    <w:p>
      <w:pPr>
        <w:pStyle w:val="764"/>
        <w:numPr>
          <w:ilvl w:val="0"/>
          <w:numId w:val="0"/>
        </w:numPr>
        <w:jc w:val="center"/>
        <w:spacing w:line="360" w:lineRule="auto"/>
        <w:widowControl/>
        <w:rPr>
          <w:rFonts w:hint="eastAsia" w:ascii="宋体" w:hAnsi="宋体" w:cs="微软雅黑"/>
          <w:bCs w:val="0"/>
          <w:color w:val="auto"/>
          <w:sz w:val="21"/>
          <w:szCs w:val="21"/>
          <w:highlight w:val="none"/>
        </w:rPr>
        <w:sectPr>
          <w:headerReference w:type="default" r:id="rId11"/>
          <w:footerReference w:type="default" r:id="rId14"/>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微软雅黑"/>
          <w:bCs w:val="0"/>
          <w:color w:val="auto"/>
          <w:sz w:val="21"/>
          <w:szCs w:val="21"/>
          <w:highlight w:val="none"/>
        </w:rPr>
      </w:r>
      <w:r/>
    </w:p>
    <w:p>
      <w:pPr>
        <w:pStyle w:val="764"/>
        <w:numPr>
          <w:ilvl w:val="0"/>
          <w:numId w:val="0"/>
        </w:numPr>
        <w:jc w:val="center"/>
        <w:spacing w:line="360" w:lineRule="auto"/>
        <w:widowControl/>
        <w:rPr>
          <w:rFonts w:hint="eastAsia" w:ascii="宋体" w:hAnsi="宋体"/>
          <w:color w:val="auto"/>
          <w:sz w:val="21"/>
          <w:szCs w:val="21"/>
          <w:highlight w:val="none"/>
        </w:rPr>
      </w:pPr>
      <w:r>
        <w:rPr>
          <w:rFonts w:hint="eastAsia" w:ascii="宋体" w:hAnsi="宋体" w:cs="微软雅黑"/>
          <w:bCs w:val="0"/>
          <w:color w:val="auto"/>
          <w:sz w:val="21"/>
          <w:szCs w:val="21"/>
          <w:highlight w:val="none"/>
        </w:rPr>
        <w:t xml:space="preserve">中小微企业划型标准</w:t>
      </w:r>
      <w:r/>
    </w:p>
    <w:p>
      <w:pPr>
        <w:pStyle w:val="804"/>
        <w:ind w:firstLine="420"/>
        <w:spacing w:before="300" w:after="452" w:line="360" w:lineRule="auto"/>
        <w:widowControl/>
        <w:rPr>
          <w:rFonts w:hint="eastAsia" w:ascii="宋体" w:hAnsi="宋体"/>
          <w:color w:val="auto"/>
          <w:sz w:val="21"/>
          <w:szCs w:val="21"/>
          <w:highlight w:val="none"/>
        </w:rPr>
      </w:pPr>
      <w:r>
        <w:rPr>
          <w:rStyle w:val="810"/>
          <w:rFonts w:hint="eastAsia" w:ascii="宋体" w:hAnsi="宋体" w:cs="仿宋"/>
          <w:color w:val="auto"/>
          <w:sz w:val="21"/>
          <w:szCs w:val="21"/>
          <w:highlight w:val="none"/>
        </w:rPr>
        <w:t xml:space="preserve">中小微企业划型标准如下：</w:t>
      </w:r>
      <w:r/>
    </w:p>
    <w:tbl>
      <w:tblPr>
        <w:tblStyle w:val="773"/>
        <w:tblW w:w="9130"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58"/>
        <w:gridCol w:w="1728"/>
        <w:gridCol w:w="787"/>
        <w:gridCol w:w="1967"/>
        <w:gridCol w:w="1966"/>
        <w:gridCol w:w="1224"/>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13"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Z＜300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X＜5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Y＜1000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Y＜200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Y＜2000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Y＜500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X＜10</w:t>
            </w:r>
            <w:r/>
          </w:p>
        </w:tc>
      </w:tr>
    </w:tbl>
    <w:p>
      <w:pPr>
        <w:pStyle w:val="804"/>
        <w:ind w:firstLine="462"/>
        <w:spacing w:before="300" w:after="452" w:line="360" w:lineRule="auto"/>
        <w:widowControl/>
        <w:rPr>
          <w:rStyle w:val="810"/>
          <w:rFonts w:hint="eastAsia" w:ascii="宋体" w:hAnsi="宋体" w:cs="仿宋"/>
          <w:color w:val="auto"/>
          <w:sz w:val="21"/>
          <w:szCs w:val="21"/>
          <w:highlight w:val="none"/>
        </w:rPr>
      </w:pPr>
      <w:r>
        <w:rPr>
          <w:rStyle w:val="810"/>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pStyle w:val="765"/>
        <w:numPr>
          <w:ilvl w:val="0"/>
          <w:numId w:val="0"/>
        </w:numPr>
        <w:jc w:val="center"/>
        <w:rPr>
          <w:rFonts w:hint="eastAsia" w:ascii="宋体" w:hAnsi="宋体"/>
          <w:b w:val="0"/>
          <w:color w:val="auto"/>
          <w:sz w:val="32"/>
          <w:highlight w:val="none"/>
        </w:rPr>
      </w:pPr>
      <w:r>
        <w:rPr>
          <w:rStyle w:val="810"/>
          <w:rFonts w:cs="仿宋"/>
          <w:b w:val="0"/>
          <w:bCs w:val="0"/>
          <w:color w:val="auto"/>
          <w:sz w:val="21"/>
          <w:szCs w:val="21"/>
          <w:highlight w:val="none"/>
        </w:rPr>
        <w:br w:type="page" w:clear="all"/>
      </w:r>
      <w:r>
        <w:rPr>
          <w:rFonts w:hint="eastAsia" w:ascii="宋体" w:hAnsi="宋体"/>
          <w:b w:val="0"/>
          <w:color w:val="auto"/>
          <w:sz w:val="32"/>
          <w:highlight w:val="none"/>
        </w:rPr>
        <w:t xml:space="preserve">四、开标一览表</w:t>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项目编号：                   </w:t>
      </w:r>
      <w:r/>
    </w:p>
    <w:tbl>
      <w:tblPr>
        <w:tblStyle w:val="773"/>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77"/>
        <w:gridCol w:w="6143"/>
      </w:tblGrid>
      <w:tr>
        <w:trPr>
          <w:cantSplit/>
          <w:trHeight w:val="1098"/>
        </w:trPr>
        <w:tc>
          <w:tcPr>
            <w:tcW w:w="2377" w:type="dxa"/>
            <w:vAlign w:val="center"/>
            <w:textDirection w:val="lrTb"/>
            <w:noWrap w:val="false"/>
          </w:tcPr>
          <w:p>
            <w:pPr>
              <w:pStyle w:val="780"/>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投标服务或产品名称</w:t>
            </w:r>
            <w:r/>
          </w:p>
        </w:tc>
        <w:tc>
          <w:tcPr>
            <w:tcW w:w="6143" w:type="dxa"/>
            <w:vAlign w:val="center"/>
            <w:textDirection w:val="lrTb"/>
            <w:noWrap w:val="false"/>
          </w:tcPr>
          <w:p>
            <w:pPr>
              <w:rPr>
                <w:rFonts w:hint="eastAsia" w:ascii="宋体" w:hAnsi="宋体"/>
                <w:color w:val="auto"/>
                <w:szCs w:val="21"/>
                <w:highlight w:val="none"/>
              </w:rPr>
            </w:pPr>
            <w:r>
              <w:rPr>
                <w:rFonts w:hint="eastAsia" w:ascii="宋体" w:hAnsi="宋体" w:cs="宋体"/>
                <w:color w:val="auto"/>
                <w:szCs w:val="21"/>
                <w:highlight w:val="none"/>
              </w:rPr>
              <w:t xml:space="preserve">                      </w:t>
            </w:r>
            <w:r>
              <w:rPr>
                <w:rFonts w:hint="eastAsia" w:ascii="宋体" w:hAnsi="宋体"/>
                <w:color w:val="auto"/>
                <w:szCs w:val="21"/>
                <w:highlight w:val="none"/>
              </w:rPr>
              <w:t xml:space="preserve">投标总报价</w:t>
            </w:r>
            <w:r/>
          </w:p>
        </w:tc>
      </w:tr>
      <w:tr>
        <w:trPr>
          <w:cantSplit/>
          <w:trHeight w:val="1697"/>
        </w:trPr>
        <w:tc>
          <w:tcPr>
            <w:tcW w:w="2377" w:type="dxa"/>
            <w:vAlign w:val="center"/>
            <w:textDirection w:val="lrTb"/>
            <w:noWrap w:val="false"/>
          </w:tcPr>
          <w:p>
            <w:pPr>
              <w:pStyle w:val="780"/>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143" w:type="dxa"/>
            <w:vAlign w:val="center"/>
            <w:textDirection w:val="lrTb"/>
            <w:noWrap w:val="false"/>
          </w:tcPr>
          <w:p>
            <w:pPr>
              <w:pStyle w:val="1109"/>
              <w:ind w:firstLine="420"/>
              <w:spacing w:before="0" w:after="0"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大写：                       </w:t>
            </w:r>
            <w:r/>
          </w:p>
          <w:p>
            <w:pPr>
              <w:pStyle w:val="1109"/>
              <w:ind w:firstLine="420"/>
              <w:spacing w:before="0" w:after="0"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小写：                            （人民币：元   ）</w:t>
            </w:r>
            <w:r/>
          </w:p>
        </w:tc>
      </w:tr>
      <w:tr>
        <w:trPr>
          <w:cantSplit/>
          <w:trHeight w:val="1697"/>
        </w:trPr>
        <w:tc>
          <w:tcPr>
            <w:tcW w:w="2377" w:type="dxa"/>
            <w:vAlign w:val="center"/>
            <w:textDirection w:val="lrTb"/>
            <w:noWrap w:val="false"/>
          </w:tcPr>
          <w:p>
            <w:pPr>
              <w:pStyle w:val="78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是否小微企业制造</w:t>
            </w:r>
            <w:r/>
          </w:p>
        </w:tc>
        <w:tc>
          <w:tcPr>
            <w:tcW w:w="6143" w:type="dxa"/>
            <w:vAlign w:val="center"/>
            <w:textDirection w:val="lrTb"/>
            <w:noWrap w:val="false"/>
          </w:tcPr>
          <w:p>
            <w:pPr>
              <w:pStyle w:val="78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             □否</w:t>
            </w:r>
            <w:r/>
          </w:p>
        </w:tc>
      </w:tr>
    </w:tbl>
    <w:p>
      <w:pPr>
        <w:rPr>
          <w:rFonts w:hint="eastAsia" w:ascii="宋体" w:hAnsi="宋体"/>
          <w:color w:val="auto"/>
          <w:szCs w:val="21"/>
          <w:highlight w:val="none"/>
        </w:rPr>
      </w:pPr>
      <w:r>
        <w:rPr>
          <w:rFonts w:hint="eastAsia" w:ascii="宋体" w:hAnsi="宋体"/>
          <w:color w:val="auto"/>
          <w:szCs w:val="21"/>
          <w:highlight w:val="none"/>
        </w:rPr>
      </w:r>
      <w:r/>
    </w:p>
    <w:p>
      <w:pPr>
        <w:ind w:firstLine="480"/>
        <w:rPr>
          <w:rFonts w:hint="eastAsia" w:ascii="宋体" w:hAnsi="宋体"/>
          <w:color w:val="auto"/>
          <w:szCs w:val="21"/>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pStyle w:val="764"/>
        <w:numPr>
          <w:ilvl w:val="0"/>
          <w:numId w:val="0"/>
        </w:numPr>
        <w:ind w:left="2100"/>
        <w:jc w:val="both"/>
        <w:rPr>
          <w:rFonts w:hint="eastAsia" w:ascii="宋体" w:hAnsi="宋体"/>
          <w:bCs w:val="0"/>
          <w:color w:val="auto"/>
          <w:sz w:val="32"/>
          <w:szCs w:val="32"/>
          <w:highlight w:val="none"/>
        </w:rPr>
      </w:pPr>
      <w:r>
        <w:rPr>
          <w:rFonts w:hint="eastAsia" w:ascii="宋体" w:hAnsi="宋体"/>
          <w:bCs w:val="0"/>
          <w:color w:val="auto"/>
          <w:sz w:val="32"/>
          <w:szCs w:val="32"/>
          <w:highlight w:val="none"/>
        </w:rPr>
      </w:r>
      <w:r/>
    </w:p>
    <w:p>
      <w:pPr>
        <w:pStyle w:val="774"/>
        <w:ind w:firstLine="640"/>
        <w:rPr>
          <w:rFonts w:hint="eastAsia" w:ascii="宋体" w:hAnsi="宋体"/>
          <w:color w:val="auto"/>
          <w:sz w:val="32"/>
          <w:szCs w:val="32"/>
          <w:highlight w:val="none"/>
        </w:rPr>
      </w:pPr>
      <w:r>
        <w:rPr>
          <w:rFonts w:hint="eastAsia" w:ascii="宋体" w:hAnsi="宋体"/>
          <w:color w:val="auto"/>
          <w:sz w:val="32"/>
          <w:szCs w:val="32"/>
          <w:highlight w:val="none"/>
        </w:rPr>
      </w:r>
      <w:r/>
    </w:p>
    <w:p>
      <w:pPr>
        <w:pStyle w:val="765"/>
        <w:numPr>
          <w:ilvl w:val="0"/>
          <w:numId w:val="0"/>
        </w:numPr>
        <w:jc w:val="center"/>
        <w:rPr>
          <w:rFonts w:hint="eastAsia" w:ascii="宋体" w:hAnsi="宋体"/>
          <w:b/>
          <w:color w:val="auto"/>
          <w:sz w:val="32"/>
          <w:szCs w:val="32"/>
          <w:highlight w:val="none"/>
        </w:rPr>
      </w:pPr>
      <w:r>
        <w:rPr>
          <w:rFonts w:hint="eastAsia" w:ascii="宋体" w:hAnsi="宋体"/>
          <w:color w:val="auto"/>
          <w:sz w:val="32"/>
          <w:szCs w:val="32"/>
          <w:highlight w:val="none"/>
        </w:rPr>
        <w:br w:type="page" w:clear="all"/>
      </w:r>
      <w:bookmarkStart w:id="33" w:name="_Toc113352361"/>
      <w:r>
        <w:rPr>
          <w:rFonts w:hint="eastAsia" w:ascii="宋体" w:hAnsi="宋体"/>
          <w:b w:val="0"/>
          <w:color w:val="auto"/>
          <w:sz w:val="32"/>
          <w:highlight w:val="none"/>
        </w:rPr>
        <w:t xml:space="preserve">五、分项报价表</w:t>
      </w:r>
      <w:bookmarkEnd w:id="33"/>
      <w:r/>
      <w:r/>
    </w:p>
    <w:tbl>
      <w:tblPr>
        <w:tblStyle w:val="773"/>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51"/>
        <w:gridCol w:w="1658"/>
        <w:gridCol w:w="2306"/>
        <w:gridCol w:w="1904"/>
      </w:tblGrid>
      <w:tr>
        <w:trPr>
          <w:cantSplit/>
          <w:trHeight w:val="675"/>
        </w:trPr>
        <w:tc>
          <w:tcPr>
            <w:tcW w:w="26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165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w:t>
            </w:r>
            <w:r/>
          </w:p>
        </w:tc>
        <w:tc>
          <w:tcPr>
            <w:tcW w:w="230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3</w:t>
            </w:r>
            <w:r/>
          </w:p>
        </w:tc>
        <w:tc>
          <w:tcPr>
            <w:tcW w:w="1904"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4</w:t>
            </w:r>
            <w:r/>
          </w:p>
        </w:tc>
      </w:tr>
      <w:tr>
        <w:trPr>
          <w:cantSplit/>
          <w:trHeight w:val="675"/>
        </w:trPr>
        <w:tc>
          <w:tcPr>
            <w:tcW w:w="26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名称</w:t>
            </w:r>
            <w:r/>
          </w:p>
        </w:tc>
        <w:tc>
          <w:tcPr>
            <w:tcW w:w="165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数量</w:t>
            </w:r>
            <w:r/>
          </w:p>
        </w:tc>
        <w:tc>
          <w:tcPr>
            <w:tcW w:w="230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单价</w:t>
            </w:r>
            <w:r/>
          </w:p>
        </w:tc>
        <w:tc>
          <w:tcPr>
            <w:tcW w:w="1904"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总价</w:t>
            </w:r>
            <w:r/>
          </w:p>
        </w:tc>
      </w:tr>
      <w:tr>
        <w:trPr>
          <w:cantSplit/>
          <w:trHeight w:val="675"/>
        </w:trPr>
        <w:tc>
          <w:tcPr>
            <w:tcW w:w="2651"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6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2306"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904"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cantSplit/>
          <w:trHeight w:val="675"/>
        </w:trPr>
        <w:tc>
          <w:tcPr>
            <w:tcW w:w="2651"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6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2306"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904"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cantSplit/>
          <w:trHeight w:val="675"/>
        </w:trPr>
        <w:tc>
          <w:tcPr>
            <w:tcW w:w="2651"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6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2306"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904"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cantSplit/>
          <w:trHeight w:val="675"/>
        </w:trPr>
        <w:tc>
          <w:tcPr>
            <w:tcW w:w="2651"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6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2306"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904"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cantSplit/>
          <w:trHeight w:val="675"/>
        </w:trPr>
        <w:tc>
          <w:tcPr>
            <w:tcW w:w="26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合计</w:t>
            </w:r>
            <w:r/>
          </w:p>
        </w:tc>
        <w:tc>
          <w:tcPr>
            <w:gridSpan w:val="3"/>
            <w:tcW w:w="586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bl>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rPr>
          <w:rFonts w:hint="eastAsia" w:ascii="宋体" w:hAnsi="宋体"/>
          <w:color w:val="auto"/>
          <w:sz w:val="32"/>
          <w:szCs w:val="32"/>
          <w:highlight w:val="none"/>
        </w:rPr>
      </w:pPr>
      <w:r>
        <w:rPr>
          <w:rFonts w:hint="eastAsia" w:ascii="宋体" w:hAnsi="宋体"/>
          <w:color w:val="auto"/>
          <w:sz w:val="32"/>
          <w:szCs w:val="32"/>
          <w:highlight w:val="none"/>
        </w:rPr>
        <w:br w:type="page" w:clear="all"/>
      </w:r>
      <w:r/>
    </w:p>
    <w:p>
      <w:pPr>
        <w:pStyle w:val="764"/>
        <w:numPr>
          <w:ilvl w:val="0"/>
          <w:numId w:val="0"/>
        </w:numPr>
        <w:jc w:val="center"/>
        <w:spacing w:before="260" w:after="260" w:line="416" w:lineRule="auto"/>
        <w:rPr>
          <w:rFonts w:hint="eastAsia" w:ascii="宋体" w:hAnsi="宋体"/>
          <w:bCs w:val="0"/>
          <w:color w:val="auto"/>
          <w:sz w:val="32"/>
          <w:szCs w:val="32"/>
          <w:highlight w:val="none"/>
        </w:rPr>
      </w:pPr>
      <w:r>
        <w:rPr>
          <w:rFonts w:hint="eastAsia" w:ascii="宋体" w:hAnsi="宋体"/>
          <w:bCs w:val="0"/>
          <w:color w:val="auto"/>
          <w:sz w:val="32"/>
          <w:szCs w:val="32"/>
          <w:highlight w:val="none"/>
        </w:rPr>
        <w:t xml:space="preserve">六、技术参数响应及偏离表</w:t>
      </w:r>
      <w:r/>
    </w:p>
    <w:tbl>
      <w:tblPr>
        <w:tblStyle w:val="773"/>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2650"/>
        <w:gridCol w:w="2650"/>
        <w:gridCol w:w="1215"/>
        <w:gridCol w:w="1090"/>
      </w:tblGrid>
      <w:tr>
        <w:trPr>
          <w:cantSplit/>
        </w:trPr>
        <w:tc>
          <w:tcPr>
            <w:tcW w:w="914"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序号</w:t>
            </w:r>
            <w:r/>
          </w:p>
        </w:tc>
        <w:tc>
          <w:tcPr>
            <w:tcW w:w="265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招标要求</w:t>
            </w:r>
            <w:r/>
          </w:p>
        </w:tc>
        <w:tc>
          <w:tcPr>
            <w:tcW w:w="265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投标响应</w:t>
            </w:r>
            <w:r/>
          </w:p>
        </w:tc>
        <w:tc>
          <w:tcPr>
            <w:tcW w:w="121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超出、符合或偏离</w:t>
            </w:r>
            <w:r/>
          </w:p>
        </w:tc>
        <w:tc>
          <w:tcPr>
            <w:tcW w:w="109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14"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15"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09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14"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15"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09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14"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15"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09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14"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15"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09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14"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15"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09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14"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15"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09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14"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15"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09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14"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15"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09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bl>
    <w:p>
      <w:pPr>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2、行数不够，可自行添加。</w:t>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jc w:val="center"/>
        <w:rPr>
          <w:rFonts w:hint="eastAsia" w:ascii="宋体" w:hAnsi="宋体"/>
          <w:color w:val="auto"/>
          <w:sz w:val="32"/>
          <w:szCs w:val="32"/>
          <w:highlight w:val="none"/>
        </w:rPr>
      </w:pPr>
      <w:r>
        <w:rPr>
          <w:rFonts w:hint="eastAsia" w:ascii="黑体" w:hAnsi="Arial" w:eastAsia="黑体"/>
          <w:color w:val="auto"/>
          <w:sz w:val="32"/>
          <w:highlight w:val="none"/>
        </w:rPr>
        <w:br w:type="page" w:clear="all"/>
      </w:r>
      <w:bookmarkStart w:id="34" w:name="_Hlt26955054"/>
      <w:r/>
      <w:bookmarkEnd w:id="34"/>
      <w:r/>
      <w:bookmarkStart w:id="35" w:name="_Toc113352363"/>
      <w:r>
        <w:rPr>
          <w:rFonts w:hint="eastAsia" w:ascii="宋体" w:hAnsi="宋体"/>
          <w:b/>
          <w:color w:val="auto"/>
          <w:sz w:val="32"/>
          <w:szCs w:val="32"/>
          <w:highlight w:val="none"/>
        </w:rPr>
        <w:t xml:space="preserve">七、商务条款响应及偏离表</w:t>
      </w:r>
      <w:bookmarkEnd w:id="35"/>
      <w:r/>
      <w:r/>
    </w:p>
    <w:tbl>
      <w:tblPr>
        <w:tblStyle w:val="773"/>
        <w:tblW w:w="8519"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57"/>
        <w:gridCol w:w="2379"/>
        <w:gridCol w:w="1747"/>
        <w:gridCol w:w="2836"/>
      </w:tblGrid>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hint="eastAsia" w:ascii="仿宋_GB2312" w:hAnsi="宋体" w:eastAsia="仿宋_GB2312"/>
                <w:color w:val="auto"/>
                <w:szCs w:val="21"/>
                <w:highlight w:val="none"/>
              </w:rPr>
            </w:pPr>
            <w:r>
              <w:rPr>
                <w:rFonts w:hint="eastAsia" w:ascii="仿宋_GB2312" w:hAnsi="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jc w:val="center"/>
              <w:spacing w:before="156"/>
              <w:rPr>
                <w:rFonts w:hint="eastAsia" w:ascii="仿宋_GB2312" w:hAnsi="宋体" w:eastAsia="仿宋_GB2312"/>
                <w:color w:val="auto"/>
                <w:szCs w:val="21"/>
                <w:highlight w:val="none"/>
              </w:rPr>
            </w:pPr>
            <w:r>
              <w:rPr>
                <w:rFonts w:hint="eastAsia" w:ascii="仿宋_GB2312" w:hAnsi="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jc w:val="center"/>
              <w:spacing w:before="156"/>
              <w:rPr>
                <w:rFonts w:hint="eastAsia"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jc w:val="center"/>
              <w:spacing w:before="156"/>
              <w:rPr>
                <w:rFonts w:hint="eastAsia" w:ascii="仿宋_GB2312" w:hAnsi="宋体" w:eastAsia="仿宋_GB2312"/>
                <w:color w:val="auto"/>
                <w:szCs w:val="21"/>
                <w:highlight w:val="none"/>
              </w:rPr>
            </w:pPr>
            <w:r>
              <w:rPr>
                <w:rFonts w:hint="eastAsia" w:ascii="仿宋_GB2312" w:hAnsi="宋体"/>
                <w:color w:val="auto"/>
                <w:szCs w:val="21"/>
                <w:highlight w:val="none"/>
              </w:rPr>
              <w:t xml:space="preserve">投标人的承诺或说明</w:t>
            </w:r>
            <w:r/>
          </w:p>
        </w:tc>
      </w:tr>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hint="eastAsia" w:ascii="仿宋_GB2312" w:hAnsi="宋体" w:eastAsia="仿宋_GB2312"/>
                <w:color w:val="auto"/>
                <w:szCs w:val="21"/>
                <w:highlight w:val="none"/>
              </w:rPr>
            </w:pPr>
            <w:r>
              <w:rPr>
                <w:rFonts w:hint="eastAsia" w:ascii="仿宋_GB2312"/>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jc w:val="center"/>
              <w:spacing w:before="156"/>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ind w:left="43"/>
              <w:jc w:val="center"/>
              <w:spacing w:before="156"/>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ind w:left="43"/>
              <w:jc w:val="center"/>
              <w:spacing w:before="156"/>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ascii="仿宋_GB2312"/>
                <w:color w:val="auto"/>
                <w:szCs w:val="21"/>
                <w:highlight w:val="none"/>
              </w:rPr>
            </w:pPr>
            <w:r>
              <w:rPr>
                <w:rFonts w:hint="eastAsia" w:ascii="仿宋_GB2312"/>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spacing w:before="156"/>
              <w:rPr>
                <w:rFonts w:hint="eastAsia" w:ascii="仿宋_GB2312" w:hAnsi="宋体"/>
                <w:color w:val="auto"/>
                <w:szCs w:val="21"/>
                <w:highlight w:val="none"/>
              </w:rPr>
            </w:pPr>
            <w:r>
              <w:rPr>
                <w:rFonts w:hint="eastAsia"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ind w:left="43"/>
              <w:jc w:val="center"/>
              <w:spacing w:before="156"/>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ind w:left="43"/>
              <w:jc w:val="center"/>
              <w:spacing w:before="156"/>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ascii="仿宋_GB2312"/>
                <w:color w:val="auto"/>
                <w:szCs w:val="21"/>
                <w:highlight w:val="none"/>
              </w:rPr>
            </w:pPr>
            <w:r>
              <w:rPr>
                <w:rFonts w:hint="eastAsia" w:ascii="仿宋_GB2312"/>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spacing w:before="156"/>
              <w:rPr>
                <w:rFonts w:hint="eastAsia" w:ascii="仿宋_GB2312" w:hAnsi="宋体"/>
                <w:color w:val="auto"/>
                <w:szCs w:val="21"/>
                <w:highlight w:val="none"/>
              </w:rPr>
            </w:pPr>
            <w:r>
              <w:rPr>
                <w:rFonts w:hint="eastAsia"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ind w:left="43"/>
              <w:jc w:val="center"/>
              <w:spacing w:before="156"/>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ind w:left="43"/>
              <w:jc w:val="center"/>
              <w:spacing w:before="156"/>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hint="eastAsia"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spacing w:before="156"/>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jc w:val="center"/>
              <w:spacing w:before="156"/>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jc w:val="center"/>
              <w:spacing w:before="156"/>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hint="eastAsia" w:ascii="仿宋_GB2312" w:hAnsi="宋体" w:eastAsia="仿宋_GB2312"/>
                <w:color w:val="auto"/>
                <w:szCs w:val="21"/>
                <w:highlight w:val="none"/>
              </w:rPr>
            </w:pPr>
            <w:r>
              <w:rPr>
                <w:rFonts w:hint="eastAsia" w:ascii="仿宋_GB2312" w:hAnsi="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jc w:val="center"/>
              <w:spacing w:before="156"/>
              <w:rPr>
                <w:rFonts w:hint="eastAsia" w:ascii="仿宋_GB2312" w:hAnsi="宋体" w:eastAsia="仿宋_GB2312"/>
                <w:color w:val="auto"/>
                <w:szCs w:val="21"/>
                <w:highlight w:val="none"/>
              </w:rPr>
            </w:pPr>
            <w:r>
              <w:rPr>
                <w:rFonts w:ascii="仿宋_GB2312" w:hAnsi="宋体" w:eastAsia="仿宋_GB2312"/>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jc w:val="center"/>
              <w:spacing w:before="156"/>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jc w:val="center"/>
              <w:spacing w:before="156"/>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r>
    </w:tbl>
    <w:p>
      <w:pPr>
        <w:spacing w:line="480" w:lineRule="auto"/>
        <w:rPr>
          <w:rFonts w:ascii="仿宋_GB2312" w:hAnsi="Arial"/>
          <w:color w:val="auto"/>
          <w:sz w:val="30"/>
          <w:highlight w:val="none"/>
        </w:rPr>
      </w:pPr>
      <w:r>
        <w:rPr>
          <w:rFonts w:ascii="仿宋_GB2312" w:hAnsi="Arial"/>
          <w:color w:val="auto"/>
          <w:sz w:val="30"/>
          <w:highlight w:val="none"/>
        </w:rPr>
      </w:r>
      <w:r/>
    </w:p>
    <w:p>
      <w:pPr>
        <w:pStyle w:val="774"/>
        <w:ind w:firstLine="480"/>
        <w:rPr>
          <w:rFonts w:hint="eastAsia" w:ascii="宋体" w:hAnsi="宋体"/>
          <w:color w:val="auto"/>
          <w:sz w:val="24"/>
          <w:highlight w:val="none"/>
        </w:rPr>
      </w:pPr>
      <w:r/>
      <w:bookmarkStart w:id="36" w:name="_Hlt26955066"/>
      <w:r/>
      <w:bookmarkEnd w:id="36"/>
      <w:r/>
      <w:bookmarkStart w:id="37" w:name="_Hlt26671374"/>
      <w:r/>
      <w:bookmarkEnd w:id="37"/>
      <w:r/>
      <w:bookmarkStart w:id="38" w:name="_Hlt26609389"/>
      <w:r/>
      <w:bookmarkEnd w:id="38"/>
      <w:r/>
      <w:bookmarkStart w:id="39" w:name="_Toc462564146"/>
      <w:r/>
      <w:r/>
    </w:p>
    <w:p>
      <w:pPr>
        <w:pStyle w:val="774"/>
        <w:ind w:firstLine="480"/>
        <w:rPr>
          <w:rFonts w:hint="eastAsia" w:ascii="宋体" w:hAnsi="宋体"/>
          <w:color w:val="auto"/>
          <w:sz w:val="24"/>
          <w:highlight w:val="none"/>
        </w:rPr>
      </w:pPr>
      <w:r>
        <w:rPr>
          <w:rFonts w:hint="eastAsia" w:ascii="宋体" w:hAnsi="宋体"/>
          <w:color w:val="auto"/>
          <w:sz w:val="24"/>
          <w:highlight w:val="none"/>
        </w:rPr>
      </w:r>
      <w:r/>
    </w:p>
    <w:p>
      <w:pPr>
        <w:pStyle w:val="774"/>
        <w:ind w:firstLine="480"/>
        <w:rPr>
          <w:rFonts w:hint="eastAsia" w:ascii="宋体" w:hAnsi="宋体"/>
          <w:color w:val="auto"/>
          <w:sz w:val="24"/>
          <w:highlight w:val="none"/>
        </w:rPr>
      </w:pPr>
      <w:r>
        <w:rPr>
          <w:rFonts w:hint="eastAsia" w:ascii="宋体" w:hAnsi="宋体"/>
          <w:color w:val="auto"/>
          <w:sz w:val="24"/>
          <w:highlight w:val="none"/>
        </w:rPr>
      </w:r>
      <w:r/>
    </w:p>
    <w:p>
      <w:pPr>
        <w:pStyle w:val="774"/>
        <w:ind w:firstLine="480"/>
        <w:rPr>
          <w:rFonts w:hint="eastAsia" w:ascii="宋体" w:hAnsi="宋体"/>
          <w:color w:val="auto"/>
          <w:sz w:val="24"/>
          <w:highlight w:val="none"/>
        </w:rPr>
      </w:pPr>
      <w:r>
        <w:rPr>
          <w:rFonts w:hint="eastAsia" w:ascii="宋体" w:hAnsi="宋体"/>
          <w:color w:val="auto"/>
          <w:sz w:val="24"/>
          <w:highlight w:val="none"/>
        </w:rPr>
      </w:r>
      <w:r/>
    </w:p>
    <w:p>
      <w:pPr>
        <w:pStyle w:val="774"/>
        <w:ind w:firstLine="480"/>
        <w:rPr>
          <w:rFonts w:hint="eastAsia" w:ascii="宋体" w:hAnsi="宋体"/>
          <w:color w:val="auto"/>
          <w:sz w:val="24"/>
          <w:highlight w:val="none"/>
        </w:rPr>
      </w:pPr>
      <w:r>
        <w:rPr>
          <w:rFonts w:hint="eastAsia" w:ascii="宋体" w:hAnsi="宋体"/>
          <w:color w:val="auto"/>
          <w:sz w:val="24"/>
          <w:highlight w:val="none"/>
        </w:rPr>
        <w:t xml:space="preserve">.</w:t>
      </w:r>
      <w:r/>
    </w:p>
    <w:p>
      <w:pPr>
        <w:pStyle w:val="774"/>
        <w:ind w:firstLine="480"/>
        <w:rPr>
          <w:rFonts w:hint="eastAsia" w:ascii="宋体" w:hAnsi="宋体"/>
          <w:color w:val="auto"/>
          <w:sz w:val="24"/>
          <w:highlight w:val="none"/>
        </w:rPr>
      </w:pPr>
      <w:r>
        <w:rPr>
          <w:rFonts w:hint="eastAsia" w:ascii="宋体" w:hAnsi="宋体"/>
          <w:color w:val="auto"/>
          <w:sz w:val="24"/>
          <w:highlight w:val="none"/>
        </w:rPr>
      </w:r>
      <w:r/>
    </w:p>
    <w:p>
      <w:pPr>
        <w:pStyle w:val="774"/>
        <w:ind w:firstLine="643"/>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74"/>
        <w:ind w:firstLine="480"/>
        <w:rPr>
          <w:rFonts w:hint="eastAsia" w:ascii="宋体" w:hAnsi="宋体"/>
          <w:color w:val="auto"/>
          <w:sz w:val="24"/>
          <w:highlight w:val="none"/>
        </w:rPr>
      </w:pPr>
      <w:r>
        <w:rPr>
          <w:rFonts w:hint="eastAsia" w:ascii="宋体" w:hAnsi="宋体"/>
          <w:b/>
          <w:color w:val="auto"/>
          <w:sz w:val="32"/>
          <w:szCs w:val="32"/>
          <w:highlight w:val="none"/>
        </w:rPr>
        <w:br w:type="page" w:clear="all"/>
      </w:r>
      <w:bookmarkEnd w:id="39"/>
      <w:r/>
      <w:r/>
    </w:p>
    <w:p>
      <w:pPr>
        <w:pStyle w:val="774"/>
        <w:ind w:firstLine="480"/>
        <w:rPr>
          <w:rFonts w:hint="eastAsia" w:ascii="宋体" w:hAnsi="宋体"/>
          <w:color w:val="auto"/>
          <w:sz w:val="24"/>
          <w:highlight w:val="none"/>
        </w:rPr>
      </w:pPr>
      <w:r>
        <w:rPr>
          <w:rFonts w:hint="eastAsia" w:ascii="宋体" w:hAnsi="宋体"/>
          <w:color w:val="auto"/>
          <w:sz w:val="24"/>
          <w:highlight w:val="none"/>
        </w:rPr>
      </w:r>
      <w:r/>
    </w:p>
    <w:p>
      <w:pPr>
        <w:jc w:val="center"/>
        <w:widowControl/>
        <w:rPr>
          <w:rFonts w:hint="eastAsia" w:ascii="宋体" w:hAnsi="宋体"/>
          <w:b/>
          <w:color w:val="auto"/>
          <w:highlight w:val="none"/>
        </w:rPr>
      </w:pPr>
      <w:r/>
      <w:bookmarkStart w:id="40" w:name="_格式2__法定代表人授权书"/>
      <w:r/>
      <w:bookmarkEnd w:id="40"/>
      <w:r>
        <w:rPr>
          <w:rFonts w:hint="eastAsia" w:ascii="宋体" w:hAnsi="宋体"/>
          <w:b/>
          <w:color w:val="auto"/>
          <w:highlight w:val="none"/>
        </w:rPr>
        <w:t xml:space="preserve">主要标的信息（中标后将公示）</w:t>
      </w:r>
      <w:r/>
    </w:p>
    <w:p>
      <w:pPr>
        <w:spacing w:after="312" w:line="360" w:lineRule="auto"/>
        <w:rPr>
          <w:rFonts w:hint="eastAsia" w:ascii="宋体" w:hAnsi="宋体"/>
          <w:b/>
          <w:color w:val="auto"/>
          <w:highlight w:val="none"/>
        </w:rPr>
      </w:pPr>
      <w:r>
        <w:rPr>
          <w:rFonts w:hint="eastAsia" w:ascii="宋体" w:hAnsi="宋体"/>
          <w:color w:val="auto"/>
          <w:highlight w:val="none"/>
        </w:rPr>
        <w:t xml:space="preserve">投标人全称：</w:t>
      </w:r>
      <w:r/>
    </w:p>
    <w:tbl>
      <w:tblPr>
        <w:tblStyle w:val="773"/>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27"/>
        <w:gridCol w:w="4193"/>
      </w:tblGrid>
      <w:tr>
        <w:trPr>
          <w:trHeight w:val="567"/>
        </w:trPr>
        <w:tc>
          <w:tcPr>
            <w:tcW w:w="4327" w:type="dxa"/>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货物类</w:t>
            </w:r>
            <w:r/>
          </w:p>
        </w:tc>
        <w:tc>
          <w:tcPr>
            <w:tcW w:w="4193" w:type="dxa"/>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服务类</w:t>
            </w:r>
            <w:r/>
          </w:p>
        </w:tc>
      </w:tr>
      <w:tr>
        <w:trPr>
          <w:trHeight w:val="567"/>
        </w:trPr>
        <w:tc>
          <w:tcPr>
            <w:tcW w:w="4327"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单价：</w:t>
            </w:r>
            <w:r/>
          </w:p>
        </w:tc>
        <w:tc>
          <w:tcPr>
            <w:tcW w:w="4193"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服务标准：</w:t>
            </w:r>
            <w:r/>
          </w:p>
        </w:tc>
      </w:tr>
    </w:tbl>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Arial Unicode MS">
    <w:panose1 w:val="020B0604020202020204"/>
  </w:font>
  <w:font w:name="Symbol">
    <w:panose1 w:val="05050102010706020507"/>
  </w:font>
  <w:font w:name="等线">
    <w:panose1 w:val="02010600030101010101"/>
  </w:font>
  <w:font w:name="仿宋">
    <w:panose1 w:val="02010609060101010101"/>
  </w:font>
  <w:font w:name="等线 Light">
    <w:panose1 w:val="02010600030101010101"/>
  </w:font>
  <w:font w:name="Tahoma">
    <w:panose1 w:val="020B0604030504040204"/>
  </w:font>
  <w:font w:name="Courier New">
    <w:panose1 w:val="02070309020205020404"/>
  </w:font>
  <w:font w:name="楷体_GB2312">
    <w:panose1 w:val="02010609060101010101"/>
  </w:font>
  <w:font w:name="Consolas">
    <w:panose1 w:val="020B0609020204030204"/>
  </w:font>
  <w:font w:name="Cambria">
    <w:panose1 w:val="02040503050406030204"/>
  </w:font>
  <w:font w:name="Calibri">
    <w:panose1 w:val="020F0502020204030204"/>
  </w:font>
  <w:font w:name="微软雅黑">
    <w:panose1 w:val="020B0503020204020204"/>
  </w:font>
  <w:font w:name="宋体_GB2312">
    <w:panose1 w:val="02010600030101010101"/>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Wingdings 2">
    <w:panose1 w:val="05020102010507070707"/>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jc w:val="center"/>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04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0"/>
                            <w:jc w:val="cente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- 2 -</w:t>
                          </w:r>
                          <w:r>
                            <w:rPr>
                              <w:rFonts w:ascii="宋体_GB2312" w:eastAsia="宋体_GB2312"/>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0"/>
                      <w:jc w:val="cente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- 2 -</w:t>
                    </w:r>
                    <w:r>
                      <w:rPr>
                        <w:rFonts w:ascii="宋体_GB2312" w:eastAsia="宋体_GB2312"/>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0"/>
                            <w:jc w:val="center"/>
                          </w:pPr>
                          <w:r>
                            <w:fldChar w:fldCharType="begin"/>
                          </w:r>
                          <w:r>
                            <w:instrText xml:space="preserve">PAGE   \* MERGEFORMAT</w:instrText>
                          </w:r>
                          <w:r>
                            <w:fldChar w:fldCharType="separate"/>
                          </w:r>
                          <w:r>
                            <w:rPr>
                              <w:lang w:val="zh-CN"/>
                            </w:rPr>
                            <w:t xml:space="preserve">-</w:t>
                          </w:r>
                          <w:r>
                            <w:t xml:space="preserve"> 39 -</w:t>
                          </w:r>
                          <w:r>
                            <w:rPr>
                              <w:lang w:val="zh-CN"/>
                            </w:rP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0"/>
                      <w:jc w:val="center"/>
                    </w:pPr>
                    <w:r>
                      <w:fldChar w:fldCharType="begin"/>
                    </w:r>
                    <w:r>
                      <w:instrText xml:space="preserve">PAGE   \* MERGEFORMAT</w:instrText>
                    </w:r>
                    <w:r>
                      <w:fldChar w:fldCharType="separate"/>
                    </w:r>
                    <w:r>
                      <w:rPr>
                        <w:lang w:val="zh-CN"/>
                      </w:rPr>
                      <w:t xml:space="preserve">-</w:t>
                    </w:r>
                    <w:r>
                      <w:t xml:space="preserve"> 39 -</w:t>
                    </w:r>
                    <w:r>
                      <w:rPr>
                        <w:lang w:val="zh-CN"/>
                      </w:rPr>
                      <w:fldChar w:fldCharType="end"/>
                    </w:r>
                    <w:r/>
                  </w:p>
                </w:txbxContent>
              </v:textbox>
            </v:shape>
          </w:pict>
        </mc:Fallback>
      </mc:AlternateContent>
    </w:r>
    <w:r/>
  </w:p>
  <w:p>
    <w:pPr>
      <w:pStyle w:val="79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仿宋_GB2312" w:eastAsia="仿宋_GB2312"/>
        <w:b/>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05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center"/>
                            <w:rPr>
                              <w:bCs/>
                              <w:sz w:val="18"/>
                              <w:szCs w:val="18"/>
                            </w:rPr>
                          </w:pPr>
                          <w:r>
                            <w:rPr>
                              <w:rFonts w:ascii="仿宋_GB2312" w:eastAsia="仿宋_GB2312"/>
                              <w:bCs/>
                              <w:sz w:val="18"/>
                              <w:szCs w:val="18"/>
                            </w:rPr>
                            <w:fldChar w:fldCharType="begin"/>
                          </w:r>
                          <w:r>
                            <w:rPr>
                              <w:rFonts w:ascii="仿宋_GB2312" w:eastAsia="仿宋_GB2312"/>
                              <w:bCs/>
                              <w:sz w:val="18"/>
                              <w:szCs w:val="18"/>
                            </w:rPr>
                            <w:instrText xml:space="preserve">PAGE  </w:instrText>
                          </w:r>
                          <w:r>
                            <w:rPr>
                              <w:rFonts w:ascii="仿宋_GB2312" w:eastAsia="仿宋_GB2312"/>
                              <w:bCs/>
                              <w:sz w:val="18"/>
                              <w:szCs w:val="18"/>
                            </w:rPr>
                            <w:fldChar w:fldCharType="separate"/>
                          </w:r>
                          <w:r>
                            <w:rPr>
                              <w:rFonts w:ascii="仿宋_GB2312" w:eastAsia="仿宋_GB2312"/>
                              <w:bCs/>
                              <w:sz w:val="18"/>
                              <w:szCs w:val="18"/>
                            </w:rPr>
                            <w:t xml:space="preserve">- 75 -</w:t>
                          </w:r>
                          <w:r>
                            <w:rPr>
                              <w:rFonts w:ascii="仿宋_GB2312" w:eastAsia="仿宋_GB2312"/>
                              <w:bCs/>
                              <w:sz w:val="18"/>
                              <w:szCs w:val="18"/>
                            </w:rP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center"/>
                      <w:rPr>
                        <w:bCs/>
                        <w:sz w:val="18"/>
                        <w:szCs w:val="18"/>
                      </w:rPr>
                    </w:pPr>
                    <w:r>
                      <w:rPr>
                        <w:rFonts w:ascii="仿宋_GB2312" w:eastAsia="仿宋_GB2312"/>
                        <w:bCs/>
                        <w:sz w:val="18"/>
                        <w:szCs w:val="18"/>
                      </w:rPr>
                      <w:fldChar w:fldCharType="begin"/>
                    </w:r>
                    <w:r>
                      <w:rPr>
                        <w:rFonts w:ascii="仿宋_GB2312" w:eastAsia="仿宋_GB2312"/>
                        <w:bCs/>
                        <w:sz w:val="18"/>
                        <w:szCs w:val="18"/>
                      </w:rPr>
                      <w:instrText xml:space="preserve">PAGE  </w:instrText>
                    </w:r>
                    <w:r>
                      <w:rPr>
                        <w:rFonts w:ascii="仿宋_GB2312" w:eastAsia="仿宋_GB2312"/>
                        <w:bCs/>
                        <w:sz w:val="18"/>
                        <w:szCs w:val="18"/>
                      </w:rPr>
                      <w:fldChar w:fldCharType="separate"/>
                    </w:r>
                    <w:r>
                      <w:rPr>
                        <w:rFonts w:ascii="仿宋_GB2312" w:eastAsia="仿宋_GB2312"/>
                        <w:bCs/>
                        <w:sz w:val="18"/>
                        <w:szCs w:val="18"/>
                      </w:rPr>
                      <w:t xml:space="preserve">- 75 -</w:t>
                    </w:r>
                    <w:r>
                      <w:rPr>
                        <w:rFonts w:ascii="仿宋_GB2312" w:eastAsia="仿宋_GB2312"/>
                        <w:bCs/>
                        <w:sz w:val="18"/>
                        <w:szCs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pPr>
    <w:r>
      <w:rPr>
        <w:rFonts w:hint="eastAsia" w:ascii="宋体" w:hAnsi="宋体" w:cs="宋体"/>
        <w:lang w:eastAsia="zh-CN"/>
      </w:rPr>
      <w:t xml:space="preserve">JSZC-321000-JSWC-G2026-0004</w:t>
    </w:r>
    <w:r>
      <w:rPr>
        <w:rFonts w:hint="eastAsia" w:ascii="宋体" w:hAnsi="宋体" w:cs="宋体"/>
      </w:rPr>
      <w:t xml:space="preserve">号</w:t>
    </w:r>
    <w:r>
      <w:rPr>
        <w:rFonts w:hint="eastAsia"/>
      </w:rPr>
      <w:t xml:space="preserve">                                      江苏唯诚建设咨询有限公司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pPr>
    <w:r>
      <w:rPr>
        <w:rFonts w:hint="eastAsia" w:ascii="宋体" w:hAnsi="宋体" w:cs="宋体"/>
        <w:lang w:eastAsia="zh-CN"/>
      </w:rPr>
      <w:t xml:space="preserve">JSZC-321000-JSWC-G2026-0004</w:t>
    </w:r>
    <w:r>
      <w:rPr>
        <w:rFonts w:hint="eastAsia" w:ascii="宋体" w:hAnsi="宋体" w:cs="宋体"/>
      </w:rPr>
      <w:t xml:space="preserve">号</w:t>
    </w:r>
    <w:r>
      <w:rPr>
        <w:rFonts w:hint="eastAsia"/>
      </w:rPr>
      <w:t xml:space="preserve">                                      江苏唯诚建设咨询有限公司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pBdr>
        <w:bottom w:val="single" w:color="auto" w:sz="4" w:space="1"/>
      </w:pBdr>
    </w:pPr>
    <w:r>
      <w:rPr>
        <w:rFonts w:hint="eastAsia"/>
        <w:lang w:eastAsia="zh-CN"/>
      </w:rPr>
      <w:t xml:space="preserve">JSZC-321000-JSWC-G2026-0004</w:t>
    </w:r>
    <w:r>
      <w:rPr>
        <w:rFonts w:hint="eastAsia"/>
      </w:rPr>
      <w:t xml:space="preserve">号                                      江苏唯诚建设咨询有限公司</w:t>
    </w:r>
    <w:r/>
  </w:p>
  <w:p>
    <w:pPr>
      <w:pStyle w:val="792"/>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300" w:hanging="420"/>
      </w:pPr>
      <w:rPr>
        <w:rFonts w:hint="eastAsia" w:ascii="黑体" w:eastAsia="黑体"/>
        <w:b w:val="0"/>
        <w:sz w:val="36"/>
        <w:lang w:val="en-US"/>
      </w:rPr>
    </w:lvl>
    <w:lvl w:ilvl="1">
      <w:start w:val="1"/>
      <w:numFmt w:val="decimal"/>
      <w:pStyle w:val="1110"/>
      <w:isLgl/>
      <w:suff w:val="tab"/>
      <w:lvlText w:val="%1.%2"/>
      <w:lvlJc w:val="left"/>
      <w:pPr>
        <w:ind w:left="0" w:firstLine="0"/>
        <w:tabs>
          <w:tab w:val="left" w:pos="851" w:leader="none"/>
        </w:tabs>
      </w:pPr>
    </w:lvl>
    <w:lvl w:ilvl="2">
      <w:start w:val="1"/>
      <w:numFmt w:val="decimal"/>
      <w:pStyle w:val="1094"/>
      <w:isLgl/>
      <w:suff w:val="tab"/>
      <w:lvlText w:val="%1.%2.%3"/>
      <w:lvlJc w:val="left"/>
      <w:pPr>
        <w:ind w:left="0" w:firstLine="0"/>
        <w:tabs>
          <w:tab w:val="left" w:pos="851" w:leader="none"/>
        </w:tabs>
      </w:pPr>
      <w:rPr>
        <w:color w:val="000000"/>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2">
    <w:multiLevelType w:val="hybridMultilevel"/>
    <w:lvl w:ilvl="0">
      <w:start w:val="1"/>
      <w:numFmt w:val="bullet"/>
      <w:pStyle w:val="1090"/>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3">
    <w:multiLevelType w:val="hybridMultilevel"/>
    <w:lvl w:ilvl="0">
      <w:start w:val="1"/>
      <w:numFmt w:val="bullet"/>
      <w:pStyle w:val="848"/>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tab"/>
      <w:lvlText w:val="%1、"/>
      <w:lvlJc w:val="left"/>
      <w:pPr>
        <w:ind w:left="431" w:hanging="431"/>
      </w:pPr>
      <w:rPr>
        <w:rFonts w:hint="default" w:cs="Times New Roman"/>
        <w:b/>
        <w:i w:val="0"/>
        <w:iCs w:val="0"/>
        <w:caps w:val="0"/>
        <w:strike w:val="0"/>
        <w:spacing w:val="0"/>
        <w:position w:val="0"/>
        <w:sz w:val="21"/>
        <w:szCs w:val="32"/>
        <w:u w:val="none"/>
        <w:vertAlign w:val="baseline"/>
      </w:rPr>
    </w:lvl>
    <w:lvl w:ilvl="1">
      <w:start w:val="1"/>
      <w:numFmt w:val="decimal"/>
      <w:pStyle w:val="764"/>
      <w:isLgl w:val="false"/>
      <w:suff w:val="space"/>
      <w:lvlText w:val="%1.%2"/>
      <w:lvlJc w:val="left"/>
      <w:pPr>
        <w:ind w:left="851" w:hanging="567"/>
      </w:pPr>
      <w:rPr>
        <w:rFonts w:hint="default" w:ascii="Arial" w:hAnsi="Arial" w:eastAsia="黑体"/>
        <w:b/>
        <w:i w:val="0"/>
        <w:sz w:val="28"/>
        <w:szCs w:val="28"/>
      </w:rPr>
    </w:lvl>
    <w:lvl w:ilvl="2">
      <w:start w:val="1"/>
      <w:numFmt w:val="decimal"/>
      <w:pStyle w:val="765"/>
      <w:isLgl w:val="false"/>
      <w:suff w:val="space"/>
      <w:lvlText w:val="%1.%2.%3"/>
      <w:lvlJc w:val="left"/>
      <w:pPr>
        <w:ind w:left="720" w:hanging="720"/>
      </w:pPr>
      <w:rPr>
        <w:rFonts w:hint="default" w:ascii="Arial" w:hAnsi="Arial" w:eastAsia="黑体"/>
        <w:b/>
        <w:i w:val="0"/>
        <w:sz w:val="28"/>
        <w:szCs w:val="28"/>
      </w:rPr>
    </w:lvl>
    <w:lvl w:ilvl="3">
      <w:start w:val="1"/>
      <w:numFmt w:val="decimal"/>
      <w:isLgl w:val="false"/>
      <w:suff w:val="space"/>
      <w:lvlText w:val="%1.%2.%3.%4"/>
      <w:lvlJc w:val="left"/>
      <w:pPr>
        <w:ind w:left="864" w:hanging="864"/>
      </w:pPr>
      <w:rPr>
        <w:rFonts w:hint="default" w:ascii="Arial" w:hAnsi="Arial" w:eastAsia="黑体"/>
        <w:b/>
        <w:i w:val="0"/>
        <w:sz w:val="30"/>
        <w:szCs w:val="30"/>
      </w:rPr>
    </w:lvl>
    <w:lvl w:ilvl="4">
      <w:start w:val="1"/>
      <w:numFmt w:val="decimal"/>
      <w:isLgl w:val="false"/>
      <w:suff w:val="space"/>
      <w:lvlText w:val="%1.%2.%3.%4.%5"/>
      <w:lvlJc w:val="left"/>
      <w:pPr>
        <w:ind w:left="1008" w:hanging="1008"/>
      </w:pPr>
      <w:rPr>
        <w:rFonts w:hint="default" w:ascii="Arial" w:hAnsi="Arial" w:eastAsia="黑体"/>
        <w:b/>
        <w:i w:val="0"/>
        <w:sz w:val="28"/>
        <w:szCs w:val="28"/>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5">
    <w:multiLevelType w:val="hybridMultilevel"/>
    <w:lvl w:ilvl="0">
      <w:start w:val="1"/>
      <w:numFmt w:val="japaneseCounting"/>
      <w:pStyle w:val="1100"/>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025"/>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2"/>
  </w:num>
  <w:num w:numId="5">
    <w:abstractNumId w:val="1"/>
  </w:num>
  <w:num w:numId="6">
    <w:abstractNumId w:val="5"/>
  </w:num>
  <w:num w:numId="7">
    <w:abstractNumId w:val="6"/>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2"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63">
    <w:name w:val="Heading 1"/>
    <w:basedOn w:val="762"/>
    <w:next w:val="762"/>
    <w:link w:val="1003"/>
    <w:uiPriority w:val="9"/>
    <w:qFormat/>
    <w:pPr>
      <w:keepLines/>
      <w:keepNext/>
      <w:spacing w:before="340" w:after="330" w:line="578" w:lineRule="auto"/>
      <w:outlineLvl w:val="0"/>
    </w:pPr>
    <w:rPr>
      <w:b/>
      <w:bCs/>
      <w:sz w:val="44"/>
      <w:szCs w:val="44"/>
    </w:rPr>
  </w:style>
  <w:style w:type="paragraph" w:styleId="764">
    <w:name w:val="Heading 2"/>
    <w:basedOn w:val="762"/>
    <w:next w:val="774"/>
    <w:link w:val="1004"/>
    <w:uiPriority w:val="9"/>
    <w:qFormat/>
    <w:pPr>
      <w:numPr>
        <w:ilvl w:val="1"/>
        <w:numId w:val="1"/>
      </w:numPr>
      <w:jc w:val="left"/>
      <w:keepLines/>
      <w:keepNext/>
      <w:spacing w:before="312" w:after="312"/>
      <w:outlineLvl w:val="1"/>
    </w:pPr>
    <w:rPr>
      <w:rFonts w:ascii="Arial" w:hAnsi="Arial"/>
      <w:b/>
      <w:bCs/>
      <w:sz w:val="28"/>
      <w:szCs w:val="36"/>
    </w:rPr>
  </w:style>
  <w:style w:type="paragraph" w:styleId="765">
    <w:name w:val="Heading 3"/>
    <w:basedOn w:val="762"/>
    <w:next w:val="762"/>
    <w:link w:val="1006"/>
    <w:uiPriority w:val="0"/>
    <w:qFormat/>
    <w:pPr>
      <w:numPr>
        <w:ilvl w:val="2"/>
        <w:numId w:val="1"/>
      </w:numPr>
      <w:jc w:val="left"/>
      <w:keepLines/>
      <w:keepNext/>
      <w:spacing w:before="312" w:after="312"/>
      <w:outlineLvl w:val="2"/>
    </w:pPr>
    <w:rPr>
      <w:rFonts w:ascii="Arial" w:hAnsi="Arial" w:eastAsia="黑体"/>
      <w:b/>
      <w:bCs/>
      <w:sz w:val="30"/>
      <w:szCs w:val="32"/>
    </w:rPr>
  </w:style>
  <w:style w:type="paragraph" w:styleId="766">
    <w:name w:val="Heading 4"/>
    <w:basedOn w:val="762"/>
    <w:next w:val="762"/>
    <w:link w:val="1007"/>
    <w:uiPriority w:val="0"/>
    <w:qFormat/>
    <w:pPr>
      <w:spacing w:before="280" w:after="290" w:line="377" w:lineRule="auto"/>
      <w:outlineLvl w:val="3"/>
    </w:pPr>
    <w:rPr>
      <w:rFonts w:ascii="Arial" w:hAnsi="Arial" w:eastAsia="黑体"/>
      <w:b/>
      <w:bCs/>
      <w:sz w:val="28"/>
      <w:szCs w:val="28"/>
    </w:rPr>
  </w:style>
  <w:style w:type="paragraph" w:styleId="767">
    <w:name w:val="Heading 5"/>
    <w:basedOn w:val="762"/>
    <w:next w:val="762"/>
    <w:link w:val="1008"/>
    <w:uiPriority w:val="0"/>
    <w:qFormat/>
    <w:pPr>
      <w:keepLines/>
      <w:keepNext/>
      <w:spacing w:before="280" w:after="290" w:line="376" w:lineRule="auto"/>
      <w:outlineLvl w:val="4"/>
    </w:pPr>
    <w:rPr>
      <w:rFonts w:ascii="Calibri" w:hAnsi="Calibri"/>
      <w:b/>
      <w:bCs/>
      <w:sz w:val="28"/>
      <w:szCs w:val="28"/>
    </w:rPr>
  </w:style>
  <w:style w:type="paragraph" w:styleId="768">
    <w:name w:val="Heading 6"/>
    <w:basedOn w:val="762"/>
    <w:next w:val="762"/>
    <w:link w:val="1009"/>
    <w:uiPriority w:val="0"/>
    <w:qFormat/>
    <w:pPr>
      <w:ind w:left="1152" w:hanging="1152"/>
      <w:keepLines/>
      <w:keepNext/>
      <w:spacing w:before="240" w:after="64" w:line="320" w:lineRule="auto"/>
      <w:outlineLvl w:val="5"/>
    </w:pPr>
    <w:rPr>
      <w:rFonts w:ascii="Cambria" w:hAnsi="Cambria"/>
      <w:b/>
      <w:bCs/>
      <w:sz w:val="24"/>
      <w:szCs w:val="24"/>
    </w:rPr>
  </w:style>
  <w:style w:type="paragraph" w:styleId="769">
    <w:name w:val="Heading 7"/>
    <w:basedOn w:val="762"/>
    <w:next w:val="762"/>
    <w:link w:val="1010"/>
    <w:uiPriority w:val="0"/>
    <w:qFormat/>
    <w:pPr>
      <w:ind w:left="1296" w:hanging="1296"/>
      <w:keepLines/>
      <w:keepNext/>
      <w:spacing w:before="240" w:after="64" w:line="320" w:lineRule="auto"/>
      <w:outlineLvl w:val="6"/>
    </w:pPr>
    <w:rPr>
      <w:b/>
      <w:bCs/>
      <w:sz w:val="24"/>
      <w:szCs w:val="24"/>
    </w:rPr>
  </w:style>
  <w:style w:type="paragraph" w:styleId="770">
    <w:name w:val="Heading 8"/>
    <w:basedOn w:val="762"/>
    <w:next w:val="762"/>
    <w:link w:val="1011"/>
    <w:uiPriority w:val="0"/>
    <w:qFormat/>
    <w:pPr>
      <w:ind w:left="1440" w:hanging="1440"/>
      <w:keepLines/>
      <w:keepNext/>
      <w:spacing w:before="240" w:after="64" w:line="320" w:lineRule="auto"/>
      <w:outlineLvl w:val="7"/>
    </w:pPr>
    <w:rPr>
      <w:rFonts w:ascii="Cambria" w:hAnsi="Cambria"/>
      <w:sz w:val="24"/>
      <w:szCs w:val="24"/>
    </w:rPr>
  </w:style>
  <w:style w:type="paragraph" w:styleId="771">
    <w:name w:val="Heading 9"/>
    <w:basedOn w:val="762"/>
    <w:next w:val="762"/>
    <w:link w:val="1012"/>
    <w:uiPriority w:val="0"/>
    <w:qFormat/>
    <w:pPr>
      <w:ind w:left="1584" w:hanging="1584"/>
      <w:keepLines/>
      <w:keepNext/>
      <w:spacing w:before="240" w:after="64" w:line="320" w:lineRule="auto"/>
      <w:outlineLvl w:val="8"/>
    </w:pPr>
    <w:rPr>
      <w:rFonts w:ascii="Cambria" w:hAnsi="Cambria"/>
      <w:sz w:val="20"/>
      <w:szCs w:val="21"/>
    </w:rPr>
  </w:style>
  <w:style w:type="character" w:styleId="772" w:default="1">
    <w:name w:val="Default Paragraph Font"/>
    <w:uiPriority w:val="1"/>
    <w:semiHidden/>
    <w:unhideWhenUsed/>
    <w:qFormat/>
  </w:style>
  <w:style w:type="table" w:styleId="773" w:default="1">
    <w:name w:val="Normal Table"/>
    <w:uiPriority w:val="99"/>
    <w:semiHidden/>
    <w:unhideWhenUsed/>
    <w:qFormat/>
    <w:tblPr>
      <w:tblCellMar>
        <w:left w:w="108" w:type="dxa"/>
        <w:top w:w="0" w:type="dxa"/>
        <w:right w:w="108" w:type="dxa"/>
        <w:bottom w:w="0" w:type="dxa"/>
      </w:tblCellMar>
    </w:tblPr>
  </w:style>
  <w:style w:type="paragraph" w:styleId="774">
    <w:name w:val="Normal Indent"/>
    <w:basedOn w:val="762"/>
    <w:link w:val="1005"/>
    <w:uiPriority w:val="0"/>
    <w:unhideWhenUsed/>
    <w:qFormat/>
    <w:pPr>
      <w:ind w:firstLine="420"/>
    </w:pPr>
  </w:style>
  <w:style w:type="paragraph" w:styleId="775">
    <w:name w:val="toc 7"/>
    <w:basedOn w:val="762"/>
    <w:next w:val="762"/>
    <w:uiPriority w:val="39"/>
    <w:unhideWhenUsed/>
    <w:qFormat/>
    <w:pPr>
      <w:ind w:left="1701"/>
      <w:spacing w:after="57"/>
    </w:pPr>
  </w:style>
  <w:style w:type="paragraph" w:styleId="776">
    <w:name w:val="Caption"/>
    <w:basedOn w:val="762"/>
    <w:next w:val="762"/>
    <w:uiPriority w:val="0"/>
    <w:qFormat/>
    <w:rPr>
      <w:rFonts w:ascii="Arial" w:hAnsi="Arial" w:eastAsia="黑体"/>
      <w:sz w:val="20"/>
    </w:rPr>
  </w:style>
  <w:style w:type="paragraph" w:styleId="777">
    <w:name w:val="Document Map"/>
    <w:basedOn w:val="762"/>
    <w:link w:val="1013"/>
    <w:uiPriority w:val="0"/>
    <w:qFormat/>
    <w:rPr>
      <w:rFonts w:ascii="宋体"/>
      <w:sz w:val="18"/>
      <w:szCs w:val="18"/>
    </w:rPr>
  </w:style>
  <w:style w:type="paragraph" w:styleId="778">
    <w:name w:val="annotation text"/>
    <w:basedOn w:val="762"/>
    <w:link w:val="1014"/>
    <w:uiPriority w:val="99"/>
    <w:unhideWhenUsed/>
    <w:qFormat/>
    <w:pPr>
      <w:jc w:val="left"/>
    </w:pPr>
    <w:rPr>
      <w:sz w:val="20"/>
      <w:szCs w:val="24"/>
    </w:rPr>
  </w:style>
  <w:style w:type="paragraph" w:styleId="779">
    <w:name w:val="Body Text 3"/>
    <w:basedOn w:val="762"/>
    <w:link w:val="1015"/>
    <w:uiPriority w:val="0"/>
    <w:qFormat/>
    <w:rPr>
      <w:rFonts w:ascii="宋体"/>
      <w:sz w:val="24"/>
      <w:szCs w:val="20"/>
    </w:rPr>
  </w:style>
  <w:style w:type="paragraph" w:styleId="780">
    <w:name w:val="Body Text"/>
    <w:basedOn w:val="762"/>
    <w:link w:val="1016"/>
    <w:uiPriority w:val="0"/>
    <w:qFormat/>
    <w:rPr>
      <w:rFonts w:ascii="楷体_GB2312" w:hAnsi="Arial" w:eastAsia="楷体_GB2312"/>
      <w:sz w:val="28"/>
      <w:szCs w:val="28"/>
    </w:rPr>
  </w:style>
  <w:style w:type="paragraph" w:styleId="781">
    <w:name w:val="Body Text Indent"/>
    <w:basedOn w:val="762"/>
    <w:next w:val="762"/>
    <w:link w:val="1017"/>
    <w:uiPriority w:val="99"/>
    <w:qFormat/>
    <w:pPr>
      <w:ind w:left="420"/>
      <w:spacing w:after="120"/>
    </w:pPr>
    <w:rPr>
      <w:sz w:val="20"/>
      <w:szCs w:val="24"/>
    </w:rPr>
  </w:style>
  <w:style w:type="paragraph" w:styleId="782">
    <w:name w:val="List Bullet 2"/>
    <w:basedOn w:val="762"/>
    <w:uiPriority w:val="99"/>
    <w:unhideWhenUsed/>
    <w:qFormat/>
    <w:pPr>
      <w:ind w:left="780" w:hanging="360"/>
      <w:tabs>
        <w:tab w:val="left" w:pos="780" w:leader="none"/>
      </w:tabs>
    </w:pPr>
  </w:style>
  <w:style w:type="paragraph" w:styleId="783">
    <w:name w:val="toc 5"/>
    <w:basedOn w:val="762"/>
    <w:next w:val="762"/>
    <w:uiPriority w:val="39"/>
    <w:unhideWhenUsed/>
    <w:qFormat/>
    <w:pPr>
      <w:ind w:left="1134"/>
      <w:spacing w:after="57"/>
    </w:pPr>
  </w:style>
  <w:style w:type="paragraph" w:styleId="784">
    <w:name w:val="toc 3"/>
    <w:basedOn w:val="762"/>
    <w:next w:val="762"/>
    <w:uiPriority w:val="39"/>
    <w:unhideWhenUsed/>
    <w:qFormat/>
    <w:pPr>
      <w:ind w:left="840"/>
    </w:pPr>
    <w:rPr>
      <w:rFonts w:ascii="Calibri" w:hAnsi="Calibri"/>
    </w:rPr>
  </w:style>
  <w:style w:type="paragraph" w:styleId="785">
    <w:name w:val="Plain Text"/>
    <w:basedOn w:val="762"/>
    <w:link w:val="1018"/>
    <w:uiPriority w:val="0"/>
    <w:qFormat/>
    <w:rPr>
      <w:rFonts w:ascii="宋体" w:hAnsi="Courier New"/>
      <w:sz w:val="20"/>
      <w:szCs w:val="21"/>
    </w:rPr>
  </w:style>
  <w:style w:type="paragraph" w:styleId="786">
    <w:name w:val="toc 8"/>
    <w:basedOn w:val="762"/>
    <w:next w:val="762"/>
    <w:uiPriority w:val="39"/>
    <w:unhideWhenUsed/>
    <w:qFormat/>
    <w:pPr>
      <w:ind w:left="1984"/>
      <w:spacing w:after="57"/>
    </w:pPr>
  </w:style>
  <w:style w:type="paragraph" w:styleId="787">
    <w:name w:val="Body Text Indent 2"/>
    <w:basedOn w:val="762"/>
    <w:link w:val="1019"/>
    <w:uiPriority w:val="0"/>
    <w:qFormat/>
    <w:pPr>
      <w:ind w:firstLine="562"/>
      <w:spacing w:line="480" w:lineRule="exact"/>
    </w:pPr>
    <w:rPr>
      <w:rFonts w:ascii="楷体_GB2312" w:eastAsia="楷体_GB2312"/>
      <w:b/>
      <w:bCs/>
      <w:sz w:val="28"/>
      <w:szCs w:val="24"/>
    </w:rPr>
  </w:style>
  <w:style w:type="paragraph" w:styleId="788">
    <w:name w:val="endnote text"/>
    <w:basedOn w:val="762"/>
    <w:link w:val="994"/>
    <w:uiPriority w:val="99"/>
    <w:semiHidden/>
    <w:unhideWhenUsed/>
    <w:qFormat/>
    <w:rPr>
      <w:sz w:val="20"/>
    </w:rPr>
  </w:style>
  <w:style w:type="paragraph" w:styleId="789">
    <w:name w:val="Balloon Text"/>
    <w:basedOn w:val="762"/>
    <w:link w:val="1020"/>
    <w:uiPriority w:val="99"/>
    <w:unhideWhenUsed/>
    <w:qFormat/>
    <w:rPr>
      <w:sz w:val="18"/>
      <w:szCs w:val="18"/>
    </w:rPr>
  </w:style>
  <w:style w:type="paragraph" w:styleId="790">
    <w:name w:val="Footer"/>
    <w:basedOn w:val="762"/>
    <w:link w:val="1021"/>
    <w:uiPriority w:val="99"/>
    <w:unhideWhenUsed/>
    <w:qFormat/>
    <w:pPr>
      <w:jc w:val="left"/>
      <w:tabs>
        <w:tab w:val="center" w:pos="4153" w:leader="none"/>
        <w:tab w:val="right" w:pos="8306" w:leader="none"/>
      </w:tabs>
    </w:pPr>
    <w:rPr>
      <w:sz w:val="18"/>
      <w:szCs w:val="18"/>
    </w:rPr>
  </w:style>
  <w:style w:type="paragraph" w:styleId="791">
    <w:name w:val="envelope return"/>
    <w:basedOn w:val="762"/>
    <w:uiPriority w:val="0"/>
    <w:qFormat/>
    <w:rPr>
      <w:rFonts w:ascii="Arial" w:hAnsi="Arial"/>
    </w:rPr>
  </w:style>
  <w:style w:type="paragraph" w:styleId="792">
    <w:name w:val="Header"/>
    <w:basedOn w:val="762"/>
    <w:link w:val="102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93">
    <w:name w:val="toc 1"/>
    <w:basedOn w:val="762"/>
    <w:next w:val="762"/>
    <w:uiPriority w:val="39"/>
    <w:unhideWhenUsed/>
    <w:qFormat/>
    <w:rPr>
      <w:rFonts w:ascii="Calibri" w:hAnsi="Calibri"/>
    </w:rPr>
  </w:style>
  <w:style w:type="paragraph" w:styleId="794">
    <w:name w:val="toc 4"/>
    <w:basedOn w:val="762"/>
    <w:next w:val="762"/>
    <w:uiPriority w:val="39"/>
    <w:unhideWhenUsed/>
    <w:qFormat/>
    <w:pPr>
      <w:ind w:left="850"/>
      <w:spacing w:after="57"/>
    </w:pPr>
  </w:style>
  <w:style w:type="paragraph" w:styleId="795">
    <w:name w:val="Subtitle"/>
    <w:basedOn w:val="762"/>
    <w:next w:val="762"/>
    <w:link w:val="860"/>
    <w:uiPriority w:val="11"/>
    <w:qFormat/>
    <w:pPr>
      <w:spacing w:before="200" w:after="200"/>
    </w:pPr>
    <w:rPr>
      <w:sz w:val="24"/>
      <w:szCs w:val="24"/>
    </w:rPr>
  </w:style>
  <w:style w:type="paragraph" w:styleId="796">
    <w:name w:val="List"/>
    <w:basedOn w:val="762"/>
    <w:uiPriority w:val="99"/>
    <w:qFormat/>
    <w:pPr>
      <w:ind w:left="200" w:hanging="200"/>
    </w:pPr>
    <w:rPr>
      <w:szCs w:val="24"/>
    </w:rPr>
  </w:style>
  <w:style w:type="paragraph" w:styleId="797">
    <w:name w:val="footnote text"/>
    <w:basedOn w:val="762"/>
    <w:link w:val="993"/>
    <w:uiPriority w:val="99"/>
    <w:semiHidden/>
    <w:unhideWhenUsed/>
    <w:qFormat/>
    <w:pPr>
      <w:spacing w:after="40"/>
    </w:pPr>
    <w:rPr>
      <w:sz w:val="18"/>
    </w:rPr>
  </w:style>
  <w:style w:type="paragraph" w:styleId="798">
    <w:name w:val="toc 6"/>
    <w:basedOn w:val="762"/>
    <w:next w:val="762"/>
    <w:uiPriority w:val="39"/>
    <w:unhideWhenUsed/>
    <w:qFormat/>
    <w:pPr>
      <w:ind w:left="1417"/>
      <w:spacing w:after="57"/>
    </w:pPr>
  </w:style>
  <w:style w:type="paragraph" w:styleId="799">
    <w:name w:val="Body Text Indent 3"/>
    <w:basedOn w:val="762"/>
    <w:uiPriority w:val="0"/>
    <w:qFormat/>
    <w:pPr>
      <w:ind w:left="3599" w:hanging="3599"/>
    </w:pPr>
    <w:rPr>
      <w:sz w:val="21"/>
      <w:szCs w:val="24"/>
    </w:rPr>
  </w:style>
  <w:style w:type="paragraph" w:styleId="800">
    <w:name w:val="table of figures"/>
    <w:basedOn w:val="762"/>
    <w:next w:val="762"/>
    <w:uiPriority w:val="0"/>
    <w:semiHidden/>
    <w:qFormat/>
    <w:pPr>
      <w:ind w:left="840" w:hanging="420"/>
      <w:spacing w:before="156" w:after="156"/>
    </w:pPr>
    <w:rPr>
      <w:sz w:val="24"/>
      <w:szCs w:val="24"/>
    </w:rPr>
  </w:style>
  <w:style w:type="paragraph" w:styleId="801">
    <w:name w:val="toc 2"/>
    <w:basedOn w:val="762"/>
    <w:next w:val="762"/>
    <w:uiPriority w:val="39"/>
    <w:unhideWhenUsed/>
    <w:qFormat/>
    <w:pPr>
      <w:ind w:left="420"/>
    </w:pPr>
    <w:rPr>
      <w:rFonts w:ascii="Calibri" w:hAnsi="Calibri"/>
    </w:rPr>
  </w:style>
  <w:style w:type="paragraph" w:styleId="802">
    <w:name w:val="toc 9"/>
    <w:basedOn w:val="762"/>
    <w:next w:val="762"/>
    <w:uiPriority w:val="0"/>
    <w:semiHidden/>
    <w:qFormat/>
    <w:pPr>
      <w:ind w:left="3360"/>
    </w:pPr>
  </w:style>
  <w:style w:type="paragraph" w:styleId="803">
    <w:name w:val="Body Text 2"/>
    <w:basedOn w:val="762"/>
    <w:uiPriority w:val="0"/>
    <w:qFormat/>
    <w:pPr>
      <w:spacing w:after="120" w:line="480" w:lineRule="auto"/>
    </w:pPr>
  </w:style>
  <w:style w:type="paragraph" w:styleId="804">
    <w:name w:val="Normal (Web)"/>
    <w:basedOn w:val="762"/>
    <w:uiPriority w:val="99"/>
    <w:unhideWhenUsed/>
    <w:qFormat/>
    <w:rPr>
      <w:sz w:val="24"/>
    </w:rPr>
  </w:style>
  <w:style w:type="paragraph" w:styleId="805">
    <w:name w:val="Title"/>
    <w:basedOn w:val="762"/>
    <w:next w:val="762"/>
    <w:link w:val="859"/>
    <w:uiPriority w:val="10"/>
    <w:qFormat/>
    <w:pPr>
      <w:contextualSpacing/>
      <w:spacing w:before="300" w:after="200"/>
    </w:pPr>
    <w:rPr>
      <w:sz w:val="48"/>
      <w:szCs w:val="48"/>
    </w:rPr>
  </w:style>
  <w:style w:type="paragraph" w:styleId="806">
    <w:name w:val="annotation subject"/>
    <w:basedOn w:val="778"/>
    <w:next w:val="778"/>
    <w:link w:val="1023"/>
    <w:uiPriority w:val="99"/>
    <w:unhideWhenUsed/>
    <w:qFormat/>
    <w:rPr>
      <w:b/>
      <w:bCs/>
      <w:szCs w:val="20"/>
    </w:rPr>
  </w:style>
  <w:style w:type="paragraph" w:styleId="807">
    <w:name w:val="Body Text First Indent"/>
    <w:basedOn w:val="780"/>
    <w:uiPriority w:val="0"/>
    <w:qFormat/>
    <w:pPr>
      <w:ind w:left="300" w:firstLine="420"/>
      <w:spacing w:after="120"/>
    </w:pPr>
    <w:rPr>
      <w:rFonts w:ascii="宋体" w:hAnsi="Verdana"/>
      <w:lang w:val="en-GB"/>
    </w:rPr>
  </w:style>
  <w:style w:type="paragraph" w:styleId="808">
    <w:name w:val="Body Text First Indent 2"/>
    <w:basedOn w:val="781"/>
    <w:link w:val="1024"/>
    <w:uiPriority w:val="99"/>
    <w:qFormat/>
    <w:pPr>
      <w:ind w:firstLine="420"/>
    </w:pPr>
  </w:style>
  <w:style w:type="table" w:styleId="809">
    <w:name w:val="Table Grid"/>
    <w:basedOn w:val="773"/>
    <w:uiPriority w:val="3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0">
    <w:name w:val="Strong"/>
    <w:uiPriority w:val="22"/>
    <w:qFormat/>
    <w:rPr>
      <w:rFonts w:ascii="Tahoma" w:hAnsi="Tahoma" w:eastAsia="宋体"/>
      <w:b/>
      <w:bCs/>
      <w:spacing w:val="10"/>
      <w:sz w:val="24"/>
      <w:lang w:val="en-US" w:eastAsia="zh-CN" w:bidi="ar-SA"/>
    </w:rPr>
  </w:style>
  <w:style w:type="character" w:styleId="811">
    <w:name w:val="endnote reference"/>
    <w:basedOn w:val="772"/>
    <w:uiPriority w:val="99"/>
    <w:semiHidden/>
    <w:unhideWhenUsed/>
    <w:qFormat/>
    <w:rPr>
      <w:vertAlign w:val="superscript"/>
    </w:rPr>
  </w:style>
  <w:style w:type="character" w:styleId="812">
    <w:name w:val="page number"/>
    <w:uiPriority w:val="0"/>
    <w:qFormat/>
  </w:style>
  <w:style w:type="character" w:styleId="813">
    <w:name w:val="FollowedHyperlink"/>
    <w:uiPriority w:val="99"/>
    <w:unhideWhenUsed/>
    <w:qFormat/>
    <w:rPr>
      <w:color w:val="333333"/>
      <w:u w:val="none"/>
    </w:rPr>
  </w:style>
  <w:style w:type="character" w:styleId="814">
    <w:name w:val="Emphasis"/>
    <w:uiPriority w:val="0"/>
    <w:qFormat/>
    <w:rPr>
      <w:rFonts w:ascii="Times New Roman" w:hAnsi="Times New Roman"/>
      <w:i/>
      <w:iCs/>
      <w:sz w:val="21"/>
      <w:szCs w:val="20"/>
    </w:rPr>
  </w:style>
  <w:style w:type="character" w:styleId="815">
    <w:name w:val="HTML Definition"/>
    <w:uiPriority w:val="99"/>
    <w:unhideWhenUsed/>
    <w:qFormat/>
    <w:rPr>
      <w:i/>
    </w:rPr>
  </w:style>
  <w:style w:type="character" w:styleId="816">
    <w:name w:val="Hyperlink"/>
    <w:uiPriority w:val="99"/>
    <w:unhideWhenUsed/>
    <w:qFormat/>
    <w:rPr>
      <w:color w:val="333333"/>
      <w:u w:val="none"/>
    </w:rPr>
  </w:style>
  <w:style w:type="character" w:styleId="817">
    <w:name w:val="HTML Code"/>
    <w:uiPriority w:val="99"/>
    <w:unhideWhenUsed/>
    <w:qFormat/>
    <w:rPr>
      <w:rFonts w:ascii="Consolas" w:hAnsi="Consolas" w:eastAsia="Consolas" w:cs="Consolas"/>
      <w:color w:val="c7254e"/>
      <w:sz w:val="21"/>
      <w:szCs w:val="21"/>
      <w:shd w:val="clear" w:color="auto" w:fill="f9f2f4"/>
    </w:rPr>
  </w:style>
  <w:style w:type="character" w:styleId="818">
    <w:name w:val="annotation reference"/>
    <w:uiPriority w:val="99"/>
    <w:unhideWhenUsed/>
    <w:qFormat/>
    <w:rPr>
      <w:sz w:val="21"/>
      <w:szCs w:val="21"/>
    </w:rPr>
  </w:style>
  <w:style w:type="character" w:styleId="819">
    <w:name w:val="footnote reference"/>
    <w:basedOn w:val="772"/>
    <w:uiPriority w:val="99"/>
    <w:unhideWhenUsed/>
    <w:qFormat/>
    <w:rPr>
      <w:vertAlign w:val="superscript"/>
    </w:rPr>
  </w:style>
  <w:style w:type="character" w:styleId="820">
    <w:name w:val="HTML Keyboard"/>
    <w:uiPriority w:val="99"/>
    <w:unhideWhenUsed/>
    <w:qFormat/>
    <w:rPr>
      <w:rFonts w:hint="default" w:ascii="Consolas" w:hAnsi="Consolas" w:eastAsia="Consolas" w:cs="Consolas"/>
      <w:color w:val="ffffff"/>
      <w:sz w:val="21"/>
      <w:szCs w:val="21"/>
      <w:shd w:val="clear" w:color="auto" w:fill="333333"/>
    </w:rPr>
  </w:style>
  <w:style w:type="character" w:styleId="821">
    <w:name w:val="HTML Sample"/>
    <w:uiPriority w:val="99"/>
    <w:unhideWhenUsed/>
    <w:qFormat/>
    <w:rPr>
      <w:rFonts w:hint="default" w:ascii="Consolas" w:hAnsi="Consolas" w:eastAsia="Consolas" w:cs="Consolas"/>
      <w:sz w:val="21"/>
      <w:szCs w:val="21"/>
    </w:rPr>
  </w:style>
  <w:style w:type="character" w:styleId="822" w:customStyle="1">
    <w:name w:val="Title Char"/>
    <w:basedOn w:val="772"/>
    <w:uiPriority w:val="10"/>
    <w:qFormat/>
    <w:rPr>
      <w:sz w:val="48"/>
      <w:szCs w:val="48"/>
    </w:rPr>
  </w:style>
  <w:style w:type="character" w:styleId="823" w:customStyle="1">
    <w:name w:val="Subtitle Char"/>
    <w:basedOn w:val="772"/>
    <w:uiPriority w:val="11"/>
    <w:qFormat/>
    <w:rPr>
      <w:sz w:val="24"/>
      <w:szCs w:val="24"/>
    </w:rPr>
  </w:style>
  <w:style w:type="character" w:styleId="824" w:customStyle="1">
    <w:name w:val="Quote Char"/>
    <w:uiPriority w:val="29"/>
    <w:qFormat/>
    <w:rPr>
      <w:i/>
    </w:rPr>
  </w:style>
  <w:style w:type="character" w:styleId="825" w:customStyle="1">
    <w:name w:val="Intense Quote Char"/>
    <w:uiPriority w:val="30"/>
    <w:qFormat/>
    <w:rPr>
      <w:i/>
    </w:rPr>
  </w:style>
  <w:style w:type="table" w:styleId="826" w:customStyle="1">
    <w:name w:val="Plain Table 1"/>
    <w:basedOn w:val="77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Plain Table 2"/>
    <w:basedOn w:val="77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Plain Table 3"/>
    <w:basedOn w:val="7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customStyle="1">
    <w:name w:val="Plain Table 4"/>
    <w:basedOn w:val="7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customStyle="1">
    <w:name w:val="Plain Table 5"/>
    <w:basedOn w:val="7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1" w:customStyle="1">
    <w:name w:val="Grid Table 1 Light"/>
    <w:basedOn w:val="77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2" w:customStyle="1">
    <w:name w:val="Grid Table 2"/>
    <w:basedOn w:val="7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3" w:customStyle="1">
    <w:name w:val="Grid Table 3"/>
    <w:basedOn w:val="7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4"/>
    <w:basedOn w:val="77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customStyle="1">
    <w:name w:val="Grid Table 5 Dark"/>
    <w:basedOn w:val="7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6" w:customStyle="1">
    <w:name w:val="Grid Table 6 Colorful"/>
    <w:basedOn w:val="77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7" w:customStyle="1">
    <w:name w:val="Grid Table 7 Colorful"/>
    <w:basedOn w:val="77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8" w:customStyle="1">
    <w:name w:val="List Table 1 Light"/>
    <w:basedOn w:val="77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customStyle="1">
    <w:name w:val="List Table 2"/>
    <w:basedOn w:val="77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0" w:customStyle="1">
    <w:name w:val="List Table 3"/>
    <w:basedOn w:val="7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4"/>
    <w:basedOn w:val="7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5 Dark"/>
    <w:basedOn w:val="77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6 Colorful"/>
    <w:basedOn w:val="77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4" w:customStyle="1">
    <w:name w:val="List Table 7 Colorful"/>
    <w:basedOn w:val="77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5" w:customStyle="1">
    <w:name w:val="Footnote Text Char"/>
    <w:uiPriority w:val="99"/>
    <w:qFormat/>
    <w:rPr>
      <w:sz w:val="18"/>
    </w:rPr>
  </w:style>
  <w:style w:type="character" w:styleId="846" w:customStyle="1">
    <w:name w:val="Endnote Text Char"/>
    <w:uiPriority w:val="99"/>
    <w:qFormat/>
    <w:rPr>
      <w:sz w:val="20"/>
    </w:rPr>
  </w:style>
  <w:style w:type="paragraph" w:styleId="847" w:customStyle="1">
    <w:name w:val="TOC Heading"/>
    <w:uiPriority w:val="39"/>
    <w:unhideWhenUsed/>
    <w:qFormat/>
    <w:rPr>
      <w:rFonts w:hint="default" w:ascii="Times New Roman" w:hAnsi="Times New Roman" w:eastAsia="宋体" w:cs="Times New Roman"/>
    </w:rPr>
  </w:style>
  <w:style w:type="paragraph" w:styleId="848" w:customStyle="1">
    <w:name w:val="ListBullet21"/>
    <w:basedOn w:val="762"/>
    <w:uiPriority w:val="0"/>
    <w:qFormat/>
    <w:pPr>
      <w:numPr>
        <w:ilvl w:val="0"/>
        <w:numId w:val="2"/>
      </w:numPr>
    </w:pPr>
  </w:style>
  <w:style w:type="character" w:styleId="849" w:customStyle="1">
    <w:name w:val="Heading 1 Char"/>
    <w:basedOn w:val="772"/>
    <w:uiPriority w:val="9"/>
    <w:qFormat/>
    <w:rPr>
      <w:rFonts w:ascii="Arial" w:hAnsi="Arial" w:eastAsia="Arial" w:cs="Arial"/>
      <w:sz w:val="40"/>
      <w:szCs w:val="40"/>
    </w:rPr>
  </w:style>
  <w:style w:type="character" w:styleId="850" w:customStyle="1">
    <w:name w:val="Heading 2 Char"/>
    <w:basedOn w:val="772"/>
    <w:uiPriority w:val="9"/>
    <w:qFormat/>
    <w:rPr>
      <w:rFonts w:ascii="Arial" w:hAnsi="Arial" w:eastAsia="Arial" w:cs="Arial"/>
      <w:sz w:val="34"/>
    </w:rPr>
  </w:style>
  <w:style w:type="character" w:styleId="851" w:customStyle="1">
    <w:name w:val="Heading 3 Char"/>
    <w:basedOn w:val="772"/>
    <w:uiPriority w:val="9"/>
    <w:qFormat/>
    <w:rPr>
      <w:rFonts w:ascii="Arial" w:hAnsi="Arial" w:eastAsia="Arial" w:cs="Arial"/>
      <w:sz w:val="30"/>
      <w:szCs w:val="30"/>
    </w:rPr>
  </w:style>
  <w:style w:type="character" w:styleId="852" w:customStyle="1">
    <w:name w:val="Heading 4 Char"/>
    <w:basedOn w:val="772"/>
    <w:uiPriority w:val="9"/>
    <w:qFormat/>
    <w:rPr>
      <w:rFonts w:ascii="Arial" w:hAnsi="Arial" w:eastAsia="Arial" w:cs="Arial"/>
      <w:b/>
      <w:bCs/>
      <w:sz w:val="26"/>
      <w:szCs w:val="26"/>
    </w:rPr>
  </w:style>
  <w:style w:type="character" w:styleId="853" w:customStyle="1">
    <w:name w:val="Heading 5 Char"/>
    <w:basedOn w:val="772"/>
    <w:uiPriority w:val="9"/>
    <w:qFormat/>
    <w:rPr>
      <w:rFonts w:ascii="Arial" w:hAnsi="Arial" w:eastAsia="Arial" w:cs="Arial"/>
      <w:b/>
      <w:bCs/>
      <w:sz w:val="24"/>
      <w:szCs w:val="24"/>
    </w:rPr>
  </w:style>
  <w:style w:type="character" w:styleId="854" w:customStyle="1">
    <w:name w:val="Heading 6 Char"/>
    <w:basedOn w:val="772"/>
    <w:uiPriority w:val="9"/>
    <w:qFormat/>
    <w:rPr>
      <w:rFonts w:ascii="Arial" w:hAnsi="Arial" w:eastAsia="Arial" w:cs="Arial"/>
      <w:b/>
      <w:bCs/>
      <w:sz w:val="22"/>
      <w:szCs w:val="22"/>
    </w:rPr>
  </w:style>
  <w:style w:type="character" w:styleId="855" w:customStyle="1">
    <w:name w:val="Heading 8 Char"/>
    <w:basedOn w:val="772"/>
    <w:uiPriority w:val="9"/>
    <w:qFormat/>
    <w:rPr>
      <w:rFonts w:ascii="Arial" w:hAnsi="Arial" w:eastAsia="Arial" w:cs="Arial"/>
      <w:i/>
      <w:iCs/>
      <w:sz w:val="22"/>
      <w:szCs w:val="22"/>
    </w:rPr>
  </w:style>
  <w:style w:type="character" w:styleId="856" w:customStyle="1">
    <w:name w:val="Heading 9 Char"/>
    <w:basedOn w:val="772"/>
    <w:uiPriority w:val="9"/>
    <w:qFormat/>
    <w:rPr>
      <w:rFonts w:ascii="Arial" w:hAnsi="Arial" w:eastAsia="Arial" w:cs="Arial"/>
      <w:i/>
      <w:iCs/>
      <w:sz w:val="21"/>
      <w:szCs w:val="21"/>
    </w:rPr>
  </w:style>
  <w:style w:type="paragraph" w:styleId="857">
    <w:name w:val="List Paragraph"/>
    <w:basedOn w:val="762"/>
    <w:uiPriority w:val="34"/>
    <w:qFormat/>
    <w:pPr>
      <w:contextualSpacing/>
      <w:ind w:left="720"/>
    </w:pPr>
  </w:style>
  <w:style w:type="paragraph" w:styleId="858">
    <w:name w:val="No Spacing"/>
    <w:uiPriority w:val="1"/>
    <w:qFormat/>
    <w:rPr>
      <w:rFonts w:hint="default" w:ascii="Times New Roman" w:hAnsi="Times New Roman" w:eastAsia="宋体" w:cs="Times New Roman"/>
      <w:lang w:val="en-US" w:eastAsia="zh-CN" w:bidi="ar-SA"/>
    </w:rPr>
  </w:style>
  <w:style w:type="character" w:styleId="859" w:customStyle="1">
    <w:name w:val="标题 字符"/>
    <w:basedOn w:val="772"/>
    <w:link w:val="805"/>
    <w:uiPriority w:val="10"/>
    <w:qFormat/>
    <w:rPr>
      <w:sz w:val="48"/>
      <w:szCs w:val="48"/>
    </w:rPr>
  </w:style>
  <w:style w:type="character" w:styleId="860" w:customStyle="1">
    <w:name w:val="副标题 字符"/>
    <w:basedOn w:val="772"/>
    <w:link w:val="795"/>
    <w:uiPriority w:val="11"/>
    <w:qFormat/>
    <w:rPr>
      <w:sz w:val="24"/>
      <w:szCs w:val="24"/>
    </w:rPr>
  </w:style>
  <w:style w:type="paragraph" w:styleId="861">
    <w:name w:val="Quote"/>
    <w:basedOn w:val="762"/>
    <w:next w:val="762"/>
    <w:link w:val="862"/>
    <w:uiPriority w:val="29"/>
    <w:qFormat/>
    <w:pPr>
      <w:ind w:left="720" w:right="720"/>
    </w:pPr>
    <w:rPr>
      <w:i/>
    </w:rPr>
  </w:style>
  <w:style w:type="character" w:styleId="862" w:customStyle="1">
    <w:name w:val="引用 字符"/>
    <w:link w:val="861"/>
    <w:uiPriority w:val="29"/>
    <w:qFormat/>
    <w:rPr>
      <w:i/>
    </w:rPr>
  </w:style>
  <w:style w:type="paragraph" w:styleId="863">
    <w:name w:val="Intense Quote"/>
    <w:basedOn w:val="762"/>
    <w:next w:val="762"/>
    <w:link w:val="8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4" w:customStyle="1">
    <w:name w:val="明显引用 字符"/>
    <w:link w:val="863"/>
    <w:uiPriority w:val="30"/>
    <w:qFormat/>
    <w:rPr>
      <w:i/>
    </w:rPr>
  </w:style>
  <w:style w:type="character" w:styleId="865" w:customStyle="1">
    <w:name w:val="Header Char"/>
    <w:basedOn w:val="772"/>
    <w:uiPriority w:val="99"/>
    <w:qFormat/>
  </w:style>
  <w:style w:type="character" w:styleId="866" w:customStyle="1">
    <w:name w:val="Footer Char"/>
    <w:basedOn w:val="772"/>
    <w:uiPriority w:val="99"/>
    <w:qFormat/>
  </w:style>
  <w:style w:type="character" w:styleId="867" w:customStyle="1">
    <w:name w:val="Caption Char"/>
    <w:uiPriority w:val="99"/>
    <w:qFormat/>
  </w:style>
  <w:style w:type="table" w:styleId="868" w:customStyle="1">
    <w:name w:val="Table Grid Light"/>
    <w:basedOn w:val="77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69" w:customStyle="1">
    <w:name w:val="无格式表格 11"/>
    <w:basedOn w:val="77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无格式表格 21"/>
    <w:basedOn w:val="77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无格式表格 31"/>
    <w:basedOn w:val="77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2" w:customStyle="1">
    <w:name w:val="无格式表格 41"/>
    <w:basedOn w:val="77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3" w:customStyle="1">
    <w:name w:val="无格式表格 51"/>
    <w:basedOn w:val="77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4" w:customStyle="1">
    <w:name w:val="网格表 1 浅色1"/>
    <w:basedOn w:val="77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1"/>
    <w:basedOn w:val="77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2"/>
    <w:basedOn w:val="77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3"/>
    <w:basedOn w:val="77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4"/>
    <w:basedOn w:val="77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5"/>
    <w:basedOn w:val="77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6"/>
    <w:basedOn w:val="77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1" w:customStyle="1">
    <w:name w:val="网格表 21"/>
    <w:basedOn w:val="77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2" w:customStyle="1">
    <w:name w:val="Grid Table 2 - Accent 1"/>
    <w:basedOn w:val="77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3" w:customStyle="1">
    <w:name w:val="Grid Table 2 - Accent 2"/>
    <w:basedOn w:val="77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Grid Table 2 - Accent 3"/>
    <w:basedOn w:val="77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5" w:customStyle="1">
    <w:name w:val="Grid Table 2 - Accent 4"/>
    <w:basedOn w:val="77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Grid Table 2 - Accent 5"/>
    <w:basedOn w:val="77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7" w:customStyle="1">
    <w:name w:val="Grid Table 2 - Accent 6"/>
    <w:basedOn w:val="77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8" w:customStyle="1">
    <w:name w:val="网格表 31"/>
    <w:basedOn w:val="77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1"/>
    <w:basedOn w:val="77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2"/>
    <w:basedOn w:val="77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3"/>
    <w:basedOn w:val="77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4"/>
    <w:basedOn w:val="77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5"/>
    <w:basedOn w:val="77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6"/>
    <w:basedOn w:val="77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网格表 41"/>
    <w:basedOn w:val="77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customStyle="1">
    <w:name w:val="Grid Table 4 - Accent 1"/>
    <w:basedOn w:val="77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7" w:customStyle="1">
    <w:name w:val="Grid Table 4 - Accent 2"/>
    <w:basedOn w:val="77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8" w:customStyle="1">
    <w:name w:val="Grid Table 4 - Accent 3"/>
    <w:basedOn w:val="77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9" w:customStyle="1">
    <w:name w:val="Grid Table 4 - Accent 4"/>
    <w:basedOn w:val="77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0" w:customStyle="1">
    <w:name w:val="Grid Table 4 - Accent 5"/>
    <w:basedOn w:val="77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1" w:customStyle="1">
    <w:name w:val="Grid Table 4 - Accent 6"/>
    <w:basedOn w:val="77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2" w:customStyle="1">
    <w:name w:val="网格表 5 深色1"/>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3" w:customStyle="1">
    <w:name w:val="Grid Table 5 Dark- Accent 1"/>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4" w:customStyle="1">
    <w:name w:val="Grid Table 5 Dark - Accent 2"/>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5" w:customStyle="1">
    <w:name w:val="Grid Table 5 Dark - Accent 3"/>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6" w:customStyle="1">
    <w:name w:val="Grid Table 5 Dark- Accent 4"/>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7" w:customStyle="1">
    <w:name w:val="Grid Table 5 Dark - Accent 5"/>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8" w:customStyle="1">
    <w:name w:val="Grid Table 5 Dark - Accent 6"/>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9" w:customStyle="1">
    <w:name w:val="网格表 6 彩色1"/>
    <w:basedOn w:val="77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0" w:customStyle="1">
    <w:name w:val="Grid Table 6 Colorful - Accent 1"/>
    <w:basedOn w:val="77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1" w:customStyle="1">
    <w:name w:val="Grid Table 6 Colorful - Accent 2"/>
    <w:basedOn w:val="77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2" w:customStyle="1">
    <w:name w:val="Grid Table 6 Colorful - Accent 3"/>
    <w:basedOn w:val="77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3" w:customStyle="1">
    <w:name w:val="Grid Table 6 Colorful - Accent 4"/>
    <w:basedOn w:val="77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4" w:customStyle="1">
    <w:name w:val="Grid Table 6 Colorful - Accent 5"/>
    <w:basedOn w:val="77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5" w:customStyle="1">
    <w:name w:val="Grid Table 6 Colorful - Accent 6"/>
    <w:basedOn w:val="77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6" w:customStyle="1">
    <w:name w:val="网格表 7 彩色1"/>
    <w:basedOn w:val="77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7" w:customStyle="1">
    <w:name w:val="Grid Table 7 Colorful - Accent 1"/>
    <w:basedOn w:val="77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8" w:customStyle="1">
    <w:name w:val="Grid Table 7 Colorful - Accent 2"/>
    <w:basedOn w:val="77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9" w:customStyle="1">
    <w:name w:val="Grid Table 7 Colorful - Accent 3"/>
    <w:basedOn w:val="77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0" w:customStyle="1">
    <w:name w:val="Grid Table 7 Colorful - Accent 4"/>
    <w:basedOn w:val="77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1" w:customStyle="1">
    <w:name w:val="Grid Table 7 Colorful - Accent 5"/>
    <w:basedOn w:val="77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2" w:customStyle="1">
    <w:name w:val="Grid Table 7 Colorful - Accent 6"/>
    <w:basedOn w:val="77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3" w:customStyle="1">
    <w:name w:val="清单表 1 浅色1"/>
    <w:basedOn w:val="77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4" w:customStyle="1">
    <w:name w:val="List Table 1 Light - Accent 1"/>
    <w:basedOn w:val="77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5" w:customStyle="1">
    <w:name w:val="List Table 1 Light - Accent 2"/>
    <w:basedOn w:val="773"/>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6" w:customStyle="1">
    <w:name w:val="List Table 1 Light - Accent 3"/>
    <w:basedOn w:val="773"/>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7" w:customStyle="1">
    <w:name w:val="List Table 1 Light - Accent 4"/>
    <w:basedOn w:val="77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8" w:customStyle="1">
    <w:name w:val="List Table 1 Light - Accent 5"/>
    <w:basedOn w:val="77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9" w:customStyle="1">
    <w:name w:val="List Table 1 Light - Accent 6"/>
    <w:basedOn w:val="773"/>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0" w:customStyle="1">
    <w:name w:val="清单表 21"/>
    <w:basedOn w:val="77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1" w:customStyle="1">
    <w:name w:val="List Table 2 - Accent 1"/>
    <w:basedOn w:val="77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2" w:customStyle="1">
    <w:name w:val="List Table 2 - Accent 2"/>
    <w:basedOn w:val="77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3" w:customStyle="1">
    <w:name w:val="List Table 2 - Accent 3"/>
    <w:basedOn w:val="77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4" w:customStyle="1">
    <w:name w:val="List Table 2 - Accent 4"/>
    <w:basedOn w:val="77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5" w:customStyle="1">
    <w:name w:val="List Table 2 - Accent 5"/>
    <w:basedOn w:val="77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6" w:customStyle="1">
    <w:name w:val="List Table 2 - Accent 6"/>
    <w:basedOn w:val="77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7" w:customStyle="1">
    <w:name w:val="清单表 31"/>
    <w:basedOn w:val="77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List Table 3 - Accent 1"/>
    <w:basedOn w:val="77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9" w:customStyle="1">
    <w:name w:val="List Table 3 - Accent 2"/>
    <w:basedOn w:val="77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0" w:customStyle="1">
    <w:name w:val="List Table 3 - Accent 3"/>
    <w:basedOn w:val="77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1" w:customStyle="1">
    <w:name w:val="List Table 3 - Accent 4"/>
    <w:basedOn w:val="77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2" w:customStyle="1">
    <w:name w:val="List Table 3 - Accent 5"/>
    <w:basedOn w:val="77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3" w:customStyle="1">
    <w:name w:val="List Table 3 - Accent 6"/>
    <w:basedOn w:val="77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4" w:customStyle="1">
    <w:name w:val="清单表 41"/>
    <w:basedOn w:val="77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5" w:customStyle="1">
    <w:name w:val="List Table 4 - Accent 1"/>
    <w:basedOn w:val="77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6" w:customStyle="1">
    <w:name w:val="List Table 4 - Accent 2"/>
    <w:basedOn w:val="77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7" w:customStyle="1">
    <w:name w:val="List Table 4 - Accent 3"/>
    <w:basedOn w:val="77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8" w:customStyle="1">
    <w:name w:val="List Table 4 - Accent 4"/>
    <w:basedOn w:val="77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9" w:customStyle="1">
    <w:name w:val="List Table 4 - Accent 5"/>
    <w:basedOn w:val="77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0" w:customStyle="1">
    <w:name w:val="List Table 4 - Accent 6"/>
    <w:basedOn w:val="77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1" w:customStyle="1">
    <w:name w:val="清单表 5 深色1"/>
    <w:basedOn w:val="77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1"/>
    <w:basedOn w:val="77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2"/>
    <w:basedOn w:val="77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3"/>
    <w:basedOn w:val="77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4"/>
    <w:basedOn w:val="77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5"/>
    <w:basedOn w:val="77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6"/>
    <w:basedOn w:val="77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清单表 6 彩色1"/>
    <w:basedOn w:val="77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9" w:customStyle="1">
    <w:name w:val="List Table 6 Colorful - Accent 1"/>
    <w:basedOn w:val="773"/>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0" w:customStyle="1">
    <w:name w:val="List Table 6 Colorful - Accent 2"/>
    <w:basedOn w:val="773"/>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1" w:customStyle="1">
    <w:name w:val="List Table 6 Colorful - Accent 3"/>
    <w:basedOn w:val="773"/>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2" w:customStyle="1">
    <w:name w:val="List Table 6 Colorful - Accent 4"/>
    <w:basedOn w:val="77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3" w:customStyle="1">
    <w:name w:val="List Table 6 Colorful - Accent 5"/>
    <w:basedOn w:val="77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4" w:customStyle="1">
    <w:name w:val="List Table 6 Colorful - Accent 6"/>
    <w:basedOn w:val="77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5" w:customStyle="1">
    <w:name w:val="清单表 7 彩色1"/>
    <w:basedOn w:val="77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6" w:customStyle="1">
    <w:name w:val="List Table 7 Colorful - Accent 1"/>
    <w:basedOn w:val="773"/>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7" w:customStyle="1">
    <w:name w:val="List Table 7 Colorful - Accent 2"/>
    <w:basedOn w:val="773"/>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8" w:customStyle="1">
    <w:name w:val="List Table 7 Colorful - Accent 3"/>
    <w:basedOn w:val="773"/>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9" w:customStyle="1">
    <w:name w:val="List Table 7 Colorful - Accent 4"/>
    <w:basedOn w:val="773"/>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0" w:customStyle="1">
    <w:name w:val="List Table 7 Colorful - Accent 5"/>
    <w:basedOn w:val="773"/>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1" w:customStyle="1">
    <w:name w:val="List Table 7 Colorful - Accent 6"/>
    <w:basedOn w:val="773"/>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2" w:customStyle="1">
    <w:name w:val="Lined - Accent"/>
    <w:basedOn w:val="7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3" w:customStyle="1">
    <w:name w:val="Lined - Accent 1"/>
    <w:basedOn w:val="7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4" w:customStyle="1">
    <w:name w:val="Lined - Accent 2"/>
    <w:basedOn w:val="7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5" w:customStyle="1">
    <w:name w:val="Lined - Accent 3"/>
    <w:basedOn w:val="7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6" w:customStyle="1">
    <w:name w:val="Lined - Accent 4"/>
    <w:basedOn w:val="7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7" w:customStyle="1">
    <w:name w:val="Lined - Accent 5"/>
    <w:basedOn w:val="7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8" w:customStyle="1">
    <w:name w:val="Lined - Accent 6"/>
    <w:basedOn w:val="7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9" w:customStyle="1">
    <w:name w:val="Bordered &amp; Lined - Accent"/>
    <w:basedOn w:val="77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0" w:customStyle="1">
    <w:name w:val="Bordered &amp; Lined - Accent 1"/>
    <w:basedOn w:val="77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1" w:customStyle="1">
    <w:name w:val="Bordered &amp; Lined - Accent 2"/>
    <w:basedOn w:val="77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2" w:customStyle="1">
    <w:name w:val="Bordered &amp; Lined - Accent 3"/>
    <w:basedOn w:val="77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3" w:customStyle="1">
    <w:name w:val="Bordered &amp; Lined - Accent 4"/>
    <w:basedOn w:val="77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4" w:customStyle="1">
    <w:name w:val="Bordered &amp; Lined - Accent 5"/>
    <w:basedOn w:val="77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5" w:customStyle="1">
    <w:name w:val="Bordered &amp; Lined - Accent 6"/>
    <w:basedOn w:val="77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6" w:customStyle="1">
    <w:name w:val="Bordered"/>
    <w:basedOn w:val="77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7" w:customStyle="1">
    <w:name w:val="Bordered - Accent 1"/>
    <w:basedOn w:val="77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8" w:customStyle="1">
    <w:name w:val="Bordered - Accent 2"/>
    <w:basedOn w:val="77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9" w:customStyle="1">
    <w:name w:val="Bordered - Accent 3"/>
    <w:basedOn w:val="77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0" w:customStyle="1">
    <w:name w:val="Bordered - Accent 4"/>
    <w:basedOn w:val="77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1" w:customStyle="1">
    <w:name w:val="Bordered - Accent 5"/>
    <w:basedOn w:val="77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2" w:customStyle="1">
    <w:name w:val="Bordered - Accent 6"/>
    <w:basedOn w:val="77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3" w:customStyle="1">
    <w:name w:val="脚注文本 字符"/>
    <w:link w:val="797"/>
    <w:uiPriority w:val="99"/>
    <w:qFormat/>
    <w:rPr>
      <w:sz w:val="18"/>
    </w:rPr>
  </w:style>
  <w:style w:type="character" w:styleId="994" w:customStyle="1">
    <w:name w:val="尾注文本 字符"/>
    <w:link w:val="788"/>
    <w:uiPriority w:val="99"/>
    <w:qFormat/>
    <w:rPr>
      <w:sz w:val="20"/>
    </w:rPr>
  </w:style>
  <w:style w:type="paragraph" w:styleId="995" w:customStyle="1">
    <w:name w:val="TOC 标题1"/>
    <w:uiPriority w:val="39"/>
    <w:unhideWhenUsed/>
    <w:qFormat/>
    <w:rPr>
      <w:rFonts w:hint="default" w:ascii="Times New Roman" w:hAnsi="Times New Roman" w:eastAsia="宋体" w:cs="Times New Roman"/>
      <w:lang w:val="en-US" w:eastAsia="zh-CN" w:bidi="ar-SA"/>
    </w:rPr>
  </w:style>
  <w:style w:type="paragraph" w:styleId="996" w:customStyle="1">
    <w:name w:val="正文（缩进）"/>
    <w:basedOn w:val="762"/>
    <w:next w:val="997"/>
    <w:uiPriority w:val="0"/>
    <w:qFormat/>
    <w:pPr>
      <w:ind w:firstLine="480"/>
    </w:pPr>
  </w:style>
  <w:style w:type="paragraph" w:styleId="997" w:customStyle="1">
    <w:name w:val="Char Char Char Char Char Char Char Char Char"/>
    <w:basedOn w:val="762"/>
    <w:next w:val="998"/>
    <w:uiPriority w:val="99"/>
    <w:qFormat/>
    <w:pPr>
      <w:ind w:left="360" w:firstLine="5784"/>
    </w:pPr>
  </w:style>
  <w:style w:type="paragraph" w:styleId="998" w:customStyle="1">
    <w:name w:val="正文文本 21"/>
    <w:basedOn w:val="762"/>
    <w:next w:val="999"/>
    <w:uiPriority w:val="99"/>
    <w:qFormat/>
    <w:pPr>
      <w:ind w:left="720" w:firstLine="5680"/>
      <w:widowControl/>
    </w:pPr>
  </w:style>
  <w:style w:type="paragraph" w:styleId="999" w:customStyle="1">
    <w:name w:val="默认段落字体 Para Char Char Char Char Char Char Char"/>
    <w:basedOn w:val="762"/>
    <w:next w:val="1000"/>
    <w:uiPriority w:val="99"/>
    <w:qFormat/>
    <w:pPr>
      <w:ind w:firstLine="200"/>
    </w:pPr>
    <w:rPr>
      <w:rFonts w:cs="Arial"/>
    </w:rPr>
  </w:style>
  <w:style w:type="paragraph" w:styleId="1000" w:customStyle="1">
    <w:name w:val="样式 首行缩进:  2 字符"/>
    <w:basedOn w:val="762"/>
    <w:next w:val="1001"/>
    <w:uiPriority w:val="99"/>
    <w:qFormat/>
    <w:pPr>
      <w:ind w:left="480" w:firstLine="5856"/>
      <w:spacing w:line="360" w:lineRule="auto"/>
    </w:pPr>
  </w:style>
  <w:style w:type="paragraph" w:styleId="1001" w:customStyle="1">
    <w:name w:val="样式 段后: 0.25 行"/>
    <w:basedOn w:val="762"/>
    <w:next w:val="1002"/>
    <w:uiPriority w:val="99"/>
    <w:qFormat/>
    <w:pPr>
      <w:ind w:left="420" w:firstLine="5796"/>
      <w:spacing w:line="300" w:lineRule="auto"/>
      <w:widowControl/>
    </w:pPr>
  </w:style>
  <w:style w:type="paragraph" w:styleId="1002" w:customStyle="1">
    <w:name w:val="正文 New New New New New New New New New New New New New New"/>
    <w:next w:val="802"/>
    <w:uiPriority w:val="99"/>
    <w:qFormat/>
    <w:pPr>
      <w:ind w:firstLine="2048"/>
      <w:jc w:val="both"/>
      <w:widowControl w:val="off"/>
    </w:pPr>
    <w:rPr>
      <w:rFonts w:hint="default" w:ascii="Calibri" w:hAnsi="Calibri" w:eastAsia="宋体" w:cs="Times New Roman"/>
      <w:lang w:val="en-US" w:eastAsia="zh-CN" w:bidi="ar-SA"/>
    </w:rPr>
  </w:style>
  <w:style w:type="character" w:styleId="1003" w:customStyle="1">
    <w:name w:val="标题 1 字符"/>
    <w:link w:val="763"/>
    <w:uiPriority w:val="9"/>
    <w:qFormat/>
    <w:rPr>
      <w:b/>
      <w:bCs/>
      <w:sz w:val="44"/>
      <w:szCs w:val="44"/>
    </w:rPr>
  </w:style>
  <w:style w:type="character" w:styleId="1004" w:customStyle="1">
    <w:name w:val="标题 2 字符"/>
    <w:link w:val="764"/>
    <w:uiPriority w:val="9"/>
    <w:qFormat/>
    <w:rPr>
      <w:rFonts w:ascii="Arial" w:hAnsi="Arial" w:eastAsia="宋体" w:cs="Times New Roman"/>
      <w:b/>
      <w:bCs/>
      <w:sz w:val="28"/>
      <w:szCs w:val="36"/>
    </w:rPr>
  </w:style>
  <w:style w:type="character" w:styleId="1005" w:customStyle="1">
    <w:name w:val="正文缩进 字符"/>
    <w:link w:val="774"/>
    <w:uiPriority w:val="0"/>
    <w:qFormat/>
  </w:style>
  <w:style w:type="character" w:styleId="1006" w:customStyle="1">
    <w:name w:val="标题 3 字符"/>
    <w:link w:val="765"/>
    <w:uiPriority w:val="0"/>
    <w:qFormat/>
    <w:rPr>
      <w:rFonts w:ascii="Arial" w:hAnsi="Arial" w:eastAsia="黑体" w:cs="Times New Roman"/>
      <w:b/>
      <w:bCs/>
      <w:sz w:val="30"/>
      <w:szCs w:val="32"/>
    </w:rPr>
  </w:style>
  <w:style w:type="character" w:styleId="1007" w:customStyle="1">
    <w:name w:val="标题 4 字符"/>
    <w:link w:val="766"/>
    <w:uiPriority w:val="0"/>
    <w:qFormat/>
    <w:rPr>
      <w:rFonts w:ascii="Arial" w:hAnsi="Arial" w:eastAsia="黑体" w:cs="Arial"/>
      <w:b/>
      <w:bCs/>
      <w:sz w:val="28"/>
      <w:szCs w:val="28"/>
    </w:rPr>
  </w:style>
  <w:style w:type="character" w:styleId="1008" w:customStyle="1">
    <w:name w:val="标题 5 字符1"/>
    <w:link w:val="767"/>
    <w:uiPriority w:val="0"/>
    <w:qFormat/>
    <w:rPr>
      <w:rFonts w:ascii="Calibri" w:hAnsi="Calibri" w:eastAsia="宋体" w:cs="Times New Roman"/>
      <w:b/>
      <w:bCs/>
      <w:sz w:val="28"/>
      <w:szCs w:val="28"/>
    </w:rPr>
  </w:style>
  <w:style w:type="character" w:styleId="1009" w:customStyle="1">
    <w:name w:val="标题 6 字符"/>
    <w:link w:val="768"/>
    <w:uiPriority w:val="0"/>
    <w:qFormat/>
    <w:rPr>
      <w:rFonts w:ascii="Cambria" w:hAnsi="Cambria" w:eastAsia="宋体" w:cs="Times New Roman"/>
      <w:b/>
      <w:bCs/>
      <w:sz w:val="24"/>
      <w:szCs w:val="24"/>
    </w:rPr>
  </w:style>
  <w:style w:type="character" w:styleId="1010" w:customStyle="1">
    <w:name w:val="标题 7 字符"/>
    <w:link w:val="769"/>
    <w:uiPriority w:val="0"/>
    <w:qFormat/>
    <w:rPr>
      <w:rFonts w:ascii="Times New Roman" w:hAnsi="Times New Roman" w:eastAsia="宋体" w:cs="Times New Roman"/>
      <w:b/>
      <w:bCs/>
      <w:sz w:val="24"/>
      <w:szCs w:val="24"/>
    </w:rPr>
  </w:style>
  <w:style w:type="character" w:styleId="1011" w:customStyle="1">
    <w:name w:val="标题 8 字符"/>
    <w:link w:val="770"/>
    <w:uiPriority w:val="0"/>
    <w:qFormat/>
    <w:rPr>
      <w:rFonts w:ascii="Cambria" w:hAnsi="Cambria" w:eastAsia="宋体" w:cs="Times New Roman"/>
      <w:sz w:val="24"/>
      <w:szCs w:val="24"/>
    </w:rPr>
  </w:style>
  <w:style w:type="character" w:styleId="1012" w:customStyle="1">
    <w:name w:val="标题 9 字符"/>
    <w:link w:val="771"/>
    <w:uiPriority w:val="0"/>
    <w:qFormat/>
    <w:rPr>
      <w:rFonts w:ascii="Cambria" w:hAnsi="Cambria" w:eastAsia="宋体" w:cs="Times New Roman"/>
      <w:sz w:val="20"/>
      <w:szCs w:val="21"/>
    </w:rPr>
  </w:style>
  <w:style w:type="character" w:styleId="1013" w:customStyle="1">
    <w:name w:val="文档结构图 字符"/>
    <w:link w:val="777"/>
    <w:uiPriority w:val="0"/>
    <w:qFormat/>
    <w:rPr>
      <w:rFonts w:ascii="宋体" w:hAnsi="Times New Roman"/>
      <w:sz w:val="18"/>
      <w:szCs w:val="18"/>
    </w:rPr>
  </w:style>
  <w:style w:type="character" w:styleId="1014" w:customStyle="1">
    <w:name w:val="批注文字 字符"/>
    <w:link w:val="778"/>
    <w:uiPriority w:val="99"/>
    <w:qFormat/>
    <w:rPr>
      <w:rFonts w:ascii="Times New Roman" w:hAnsi="Times New Roman" w:eastAsia="宋体" w:cs="Times New Roman"/>
      <w:szCs w:val="24"/>
    </w:rPr>
  </w:style>
  <w:style w:type="character" w:styleId="1015" w:customStyle="1">
    <w:name w:val="正文文本 3 字符"/>
    <w:link w:val="779"/>
    <w:uiPriority w:val="0"/>
    <w:qFormat/>
    <w:rPr>
      <w:rFonts w:ascii="宋体" w:hAnsi="Times New Roman"/>
      <w:sz w:val="24"/>
    </w:rPr>
  </w:style>
  <w:style w:type="character" w:styleId="1016" w:customStyle="1">
    <w:name w:val="正文文本 字符"/>
    <w:link w:val="780"/>
    <w:uiPriority w:val="0"/>
    <w:qFormat/>
    <w:rPr>
      <w:rFonts w:ascii="楷体_GB2312" w:hAnsi="Arial" w:eastAsia="楷体_GB2312" w:cs="Times New Roman"/>
      <w:sz w:val="28"/>
      <w:szCs w:val="28"/>
    </w:rPr>
  </w:style>
  <w:style w:type="character" w:styleId="1017" w:customStyle="1">
    <w:name w:val="正文文本缩进 字符"/>
    <w:link w:val="781"/>
    <w:uiPriority w:val="99"/>
    <w:qFormat/>
    <w:rPr>
      <w:rFonts w:ascii="Times New Roman" w:hAnsi="Times New Roman"/>
      <w:szCs w:val="24"/>
    </w:rPr>
  </w:style>
  <w:style w:type="character" w:styleId="1018" w:customStyle="1">
    <w:name w:val="纯文本 字符"/>
    <w:link w:val="785"/>
    <w:uiPriority w:val="0"/>
    <w:qFormat/>
    <w:rPr>
      <w:rFonts w:ascii="宋体" w:hAnsi="Courier New" w:eastAsia="宋体" w:cs="Times New Roman"/>
      <w:szCs w:val="21"/>
    </w:rPr>
  </w:style>
  <w:style w:type="character" w:styleId="1019" w:customStyle="1">
    <w:name w:val="正文文本缩进 2 字符"/>
    <w:link w:val="787"/>
    <w:uiPriority w:val="0"/>
    <w:qFormat/>
    <w:rPr>
      <w:rFonts w:ascii="楷体_GB2312" w:hAnsi="Times New Roman" w:eastAsia="楷体_GB2312"/>
      <w:b/>
      <w:bCs/>
      <w:sz w:val="28"/>
      <w:szCs w:val="24"/>
    </w:rPr>
  </w:style>
  <w:style w:type="character" w:styleId="1020" w:customStyle="1">
    <w:name w:val="批注框文本 字符"/>
    <w:link w:val="789"/>
    <w:uiPriority w:val="99"/>
    <w:qFormat/>
    <w:rPr>
      <w:sz w:val="18"/>
      <w:szCs w:val="18"/>
    </w:rPr>
  </w:style>
  <w:style w:type="character" w:styleId="1021" w:customStyle="1">
    <w:name w:val="页脚 字符"/>
    <w:link w:val="790"/>
    <w:uiPriority w:val="99"/>
    <w:qFormat/>
    <w:rPr>
      <w:rFonts w:ascii="Times New Roman" w:hAnsi="Times New Roman" w:eastAsia="宋体" w:cs="Times New Roman"/>
      <w:sz w:val="18"/>
      <w:szCs w:val="18"/>
    </w:rPr>
  </w:style>
  <w:style w:type="character" w:styleId="1022" w:customStyle="1">
    <w:name w:val="页眉 字符"/>
    <w:link w:val="792"/>
    <w:uiPriority w:val="99"/>
    <w:qFormat/>
    <w:rPr>
      <w:rFonts w:ascii="Times New Roman" w:hAnsi="Times New Roman" w:eastAsia="宋体" w:cs="Times New Roman"/>
      <w:sz w:val="18"/>
      <w:szCs w:val="18"/>
    </w:rPr>
  </w:style>
  <w:style w:type="character" w:styleId="1023" w:customStyle="1">
    <w:name w:val="批注主题 字符"/>
    <w:link w:val="806"/>
    <w:uiPriority w:val="99"/>
    <w:qFormat/>
    <w:rPr>
      <w:b/>
      <w:bCs/>
    </w:rPr>
  </w:style>
  <w:style w:type="character" w:styleId="1024" w:customStyle="1">
    <w:name w:val="正文文本首行缩进 2 字符"/>
    <w:link w:val="808"/>
    <w:uiPriority w:val="99"/>
    <w:qFormat/>
    <w:rPr>
      <w:szCs w:val="24"/>
    </w:rPr>
  </w:style>
  <w:style w:type="paragraph" w:styleId="1025" w:customStyle="1">
    <w:name w:val="ListBullet2"/>
    <w:basedOn w:val="762"/>
    <w:uiPriority w:val="0"/>
    <w:qFormat/>
    <w:pPr>
      <w:numPr>
        <w:ilvl w:val="0"/>
        <w:numId w:val="3"/>
      </w:numPr>
    </w:pPr>
  </w:style>
  <w:style w:type="paragraph" w:styleId="1026" w:customStyle="1">
    <w:name w:val="正文1"/>
    <w:basedOn w:val="762"/>
    <w:next w:val="1027"/>
    <w:link w:val="1033"/>
    <w:uiPriority w:val="99"/>
    <w:qFormat/>
    <w:pPr>
      <w:ind w:firstLine="480"/>
      <w:spacing w:line="440" w:lineRule="exact"/>
    </w:pPr>
    <w:rPr>
      <w:rFonts w:ascii="微软雅黑" w:hAnsi="微软雅黑" w:eastAsia="微软雅黑"/>
      <w:sz w:val="24"/>
      <w:szCs w:val="20"/>
    </w:rPr>
  </w:style>
  <w:style w:type="paragraph" w:styleId="1027" w:customStyle="1">
    <w:name w:val="正文文本1"/>
    <w:basedOn w:val="1026"/>
    <w:next w:val="1028"/>
    <w:uiPriority w:val="0"/>
    <w:qFormat/>
    <w:pPr>
      <w:spacing w:after="120"/>
    </w:pPr>
    <w:rPr>
      <w:lang w:eastAsia="en-US"/>
    </w:rPr>
  </w:style>
  <w:style w:type="paragraph" w:styleId="1028" w:customStyle="1">
    <w:name w:val="一级条标题"/>
    <w:basedOn w:val="1029"/>
    <w:next w:val="103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29" w:customStyle="1">
    <w:name w:val="章标题"/>
    <w:next w:val="103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30" w:customStyle="1">
    <w:name w:val="正文11"/>
    <w:next w:val="103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31" w:customStyle="1">
    <w:name w:val="标题 31"/>
    <w:basedOn w:val="762"/>
    <w:next w:val="1030"/>
    <w:uiPriority w:val="0"/>
    <w:qFormat/>
    <w:pPr>
      <w:keepLines/>
      <w:keepNext/>
      <w:spacing w:before="260" w:after="260" w:line="416" w:lineRule="auto"/>
      <w:outlineLvl w:val="2"/>
    </w:pPr>
    <w:rPr>
      <w:b/>
      <w:bCs/>
      <w:sz w:val="32"/>
      <w:szCs w:val="32"/>
    </w:rPr>
  </w:style>
  <w:style w:type="paragraph" w:styleId="1032" w:customStyle="1">
    <w:name w:val="段"/>
    <w:next w:val="1030"/>
    <w:uiPriority w:val="0"/>
    <w:qFormat/>
    <w:pPr>
      <w:ind w:firstLine="420"/>
      <w:jc w:val="both"/>
      <w:tabs>
        <w:tab w:val="center" w:pos="4201" w:leader="none"/>
        <w:tab w:val="right" w:pos="9298" w:leader="dot"/>
      </w:tabs>
    </w:pPr>
    <w:rPr>
      <w:rFonts w:hint="default" w:ascii="宋体" w:hAnsi="Times New Roman" w:eastAsia="宋体" w:cs="Times New Roman"/>
      <w:lang w:val="en-US" w:eastAsia="zh-CN" w:bidi="ar-SA"/>
    </w:rPr>
  </w:style>
  <w:style w:type="character" w:styleId="1033" w:customStyle="1">
    <w:name w:val="正文1 Char Char"/>
    <w:link w:val="1026"/>
    <w:uiPriority w:val="99"/>
    <w:qFormat/>
    <w:rPr>
      <w:rFonts w:ascii="微软雅黑" w:hAnsi="微软雅黑" w:eastAsia="微软雅黑"/>
      <w:sz w:val="24"/>
    </w:rPr>
  </w:style>
  <w:style w:type="character" w:styleId="1034" w:customStyle="1">
    <w:name w:val="ca-161"/>
    <w:uiPriority w:val="0"/>
    <w:qFormat/>
    <w:rPr>
      <w:rFonts w:hint="eastAsia" w:ascii="宋体" w:hAnsi="宋体" w:eastAsia="宋体"/>
      <w:spacing w:val="0"/>
      <w:sz w:val="21"/>
      <w:szCs w:val="21"/>
    </w:rPr>
  </w:style>
  <w:style w:type="character" w:styleId="1035" w:customStyle="1">
    <w:name w:val="列出段落 Char"/>
    <w:link w:val="1036"/>
    <w:uiPriority w:val="0"/>
    <w:qFormat/>
    <w:rPr>
      <w:rFonts w:ascii="Calibri" w:hAnsi="Calibri" w:eastAsia="宋体" w:cs="Times New Roman"/>
    </w:rPr>
  </w:style>
  <w:style w:type="paragraph" w:styleId="1036" w:customStyle="1">
    <w:name w:val="列出段落1"/>
    <w:basedOn w:val="762"/>
    <w:link w:val="1035"/>
    <w:uiPriority w:val="0"/>
    <w:qFormat/>
    <w:pPr>
      <w:ind w:firstLine="200"/>
    </w:pPr>
    <w:rPr>
      <w:rFonts w:ascii="Calibri" w:hAnsi="Calibri"/>
      <w:sz w:val="20"/>
      <w:szCs w:val="20"/>
    </w:rPr>
  </w:style>
  <w:style w:type="character" w:styleId="1037" w:customStyle="1">
    <w:name w:val="表格文字 Char"/>
    <w:link w:val="1038"/>
    <w:uiPriority w:val="0"/>
    <w:qFormat/>
    <w:rPr>
      <w:szCs w:val="21"/>
    </w:rPr>
  </w:style>
  <w:style w:type="paragraph" w:styleId="1038" w:customStyle="1">
    <w:name w:val="表格文字"/>
    <w:basedOn w:val="762"/>
    <w:link w:val="1037"/>
    <w:uiPriority w:val="0"/>
    <w:qFormat/>
    <w:pPr>
      <w:jc w:val="left"/>
    </w:pPr>
    <w:rPr>
      <w:sz w:val="20"/>
      <w:szCs w:val="21"/>
    </w:rPr>
  </w:style>
  <w:style w:type="character" w:styleId="1039" w:customStyle="1">
    <w:name w:val="标题 5 字符"/>
    <w:uiPriority w:val="0"/>
    <w:semiHidden/>
    <w:qFormat/>
    <w:rPr>
      <w:rFonts w:ascii="Calibri" w:hAnsi="Calibri"/>
      <w:b/>
      <w:bCs/>
      <w:sz w:val="28"/>
      <w:szCs w:val="28"/>
    </w:rPr>
  </w:style>
  <w:style w:type="character" w:styleId="1040" w:customStyle="1">
    <w:name w:val="文档结构图 Char1"/>
    <w:uiPriority w:val="99"/>
    <w:semiHidden/>
    <w:qFormat/>
    <w:rPr>
      <w:rFonts w:ascii="宋体"/>
      <w:sz w:val="18"/>
      <w:szCs w:val="18"/>
    </w:rPr>
  </w:style>
  <w:style w:type="character" w:styleId="1041" w:customStyle="1">
    <w:name w:val="font201"/>
    <w:uiPriority w:val="0"/>
    <w:qFormat/>
    <w:rPr>
      <w:rFonts w:hint="default" w:ascii="Times New Roman" w:hAnsi="Times New Roman" w:cs="Times New Roman"/>
      <w:color w:val="000000"/>
      <w:sz w:val="20"/>
      <w:szCs w:val="20"/>
      <w:u w:val="none"/>
    </w:rPr>
  </w:style>
  <w:style w:type="character" w:styleId="1042" w:customStyle="1">
    <w:name w:val="_Style 86"/>
    <w:uiPriority w:val="19"/>
    <w:qFormat/>
    <w:rPr>
      <w:rFonts w:ascii="Times New Roman" w:hAnsi="Times New Roman"/>
      <w:i/>
      <w:iCs/>
      <w:color w:val="808080"/>
      <w:sz w:val="21"/>
      <w:szCs w:val="20"/>
    </w:rPr>
  </w:style>
  <w:style w:type="character" w:styleId="1043" w:customStyle="1">
    <w:name w:val="H2 Char"/>
    <w:uiPriority w:val="0"/>
    <w:qFormat/>
    <w:rPr>
      <w:rFonts w:ascii="Arial" w:hAnsi="Arial" w:eastAsia="黑体" w:cs="Times New Roman"/>
      <w:b/>
      <w:bCs/>
      <w:sz w:val="32"/>
      <w:szCs w:val="32"/>
    </w:rPr>
  </w:style>
  <w:style w:type="character" w:styleId="1044" w:customStyle="1">
    <w:name w:val="font41"/>
    <w:basedOn w:val="772"/>
    <w:uiPriority w:val="0"/>
    <w:qFormat/>
    <w:rPr>
      <w:rFonts w:hint="eastAsia" w:ascii="宋体" w:hAnsi="宋体" w:eastAsia="宋体"/>
      <w:color w:val="000000"/>
      <w:sz w:val="32"/>
      <w:szCs w:val="32"/>
      <w:u w:val="none"/>
    </w:rPr>
  </w:style>
  <w:style w:type="character" w:styleId="1045" w:customStyle="1">
    <w:name w:val="font191"/>
    <w:uiPriority w:val="0"/>
    <w:qFormat/>
    <w:rPr>
      <w:rFonts w:ascii="Wingdings 2" w:hAnsi="Wingdings 2" w:eastAsia="Wingdings 2" w:cs="Wingdings 2"/>
      <w:color w:val="000000"/>
      <w:sz w:val="20"/>
      <w:szCs w:val="20"/>
      <w:u w:val="none"/>
    </w:rPr>
  </w:style>
  <w:style w:type="character" w:styleId="1046" w:customStyle="1">
    <w:name w:val="font231"/>
    <w:uiPriority w:val="0"/>
    <w:qFormat/>
    <w:rPr>
      <w:rFonts w:hint="eastAsia" w:ascii="宋体" w:hAnsi="宋体" w:eastAsia="宋体" w:cs="宋体"/>
      <w:color w:val="000000"/>
      <w:sz w:val="20"/>
      <w:szCs w:val="20"/>
      <w:u w:val="none"/>
    </w:rPr>
  </w:style>
  <w:style w:type="character" w:styleId="1047" w:customStyle="1">
    <w:name w:val="font241"/>
    <w:uiPriority w:val="0"/>
    <w:qFormat/>
    <w:rPr>
      <w:rFonts w:hint="eastAsia" w:ascii="宋体" w:hAnsi="宋体" w:eastAsia="宋体" w:cs="宋体"/>
      <w:color w:val="000000"/>
      <w:sz w:val="20"/>
      <w:szCs w:val="20"/>
      <w:u w:val="none"/>
    </w:rPr>
  </w:style>
  <w:style w:type="character" w:styleId="1048" w:customStyle="1">
    <w:name w:val="Char Char9"/>
    <w:uiPriority w:val="0"/>
    <w:qFormat/>
    <w:rPr>
      <w:rFonts w:ascii="等线 Light" w:hAnsi="等线 Light" w:eastAsia="等线 Light" w:cs="Times New Roman"/>
      <w:b/>
      <w:bCs/>
      <w:sz w:val="28"/>
      <w:szCs w:val="28"/>
    </w:rPr>
  </w:style>
  <w:style w:type="character" w:styleId="1049" w:customStyle="1">
    <w:name w:val="Char Char10"/>
    <w:uiPriority w:val="0"/>
    <w:qFormat/>
    <w:rPr>
      <w:rFonts w:ascii="Arial" w:hAnsi="Arial" w:eastAsia="黑体" w:cs="Times New Roman"/>
      <w:b/>
      <w:bCs/>
      <w:sz w:val="30"/>
      <w:szCs w:val="32"/>
    </w:rPr>
  </w:style>
  <w:style w:type="character" w:styleId="1050" w:customStyle="1">
    <w:name w:val="表格样式居左 Char"/>
    <w:link w:val="1051"/>
    <w:uiPriority w:val="0"/>
    <w:qFormat/>
    <w:rPr>
      <w:rFonts w:eastAsia="仿宋_GB2312"/>
      <w:bCs/>
      <w:color w:val="000000"/>
      <w:sz w:val="21"/>
      <w:szCs w:val="44"/>
      <w:lang w:val="en-US" w:eastAsia="zh-CN" w:bidi="ar-SA"/>
    </w:rPr>
  </w:style>
  <w:style w:type="paragraph" w:styleId="1051" w:customStyle="1">
    <w:name w:val="表格样式居左"/>
    <w:link w:val="1050"/>
    <w:uiPriority w:val="0"/>
    <w:qFormat/>
    <w:pPr>
      <w:spacing w:line="360" w:lineRule="exact"/>
    </w:pPr>
    <w:rPr>
      <w:rFonts w:hint="default" w:ascii="Times New Roman" w:hAnsi="Times New Roman" w:eastAsia="仿宋_GB2312" w:cs="Times New Roman"/>
      <w:bCs/>
      <w:color w:val="000000"/>
      <w:sz w:val="21"/>
      <w:szCs w:val="44"/>
      <w:lang w:val="en-US" w:eastAsia="zh-CN" w:bidi="ar-SA"/>
    </w:rPr>
  </w:style>
  <w:style w:type="character" w:styleId="1052" w:customStyle="1">
    <w:name w:val="font101"/>
    <w:uiPriority w:val="0"/>
    <w:qFormat/>
    <w:rPr>
      <w:rFonts w:hint="eastAsia" w:ascii="宋体" w:hAnsi="宋体" w:eastAsia="宋体" w:cs="宋体"/>
      <w:b/>
      <w:color w:val="000000"/>
      <w:sz w:val="18"/>
      <w:szCs w:val="18"/>
      <w:u w:val="none"/>
    </w:rPr>
  </w:style>
  <w:style w:type="character" w:styleId="1053" w:customStyle="1">
    <w:name w:val="段落 Char1"/>
    <w:link w:val="1054"/>
    <w:uiPriority w:val="0"/>
    <w:qFormat/>
    <w:rPr>
      <w:rFonts w:eastAsia="仿宋_GB2312"/>
      <w:sz w:val="32"/>
      <w:szCs w:val="32"/>
      <w:lang w:val="en-US" w:eastAsia="zh-CN" w:bidi="ar-SA"/>
    </w:rPr>
  </w:style>
  <w:style w:type="paragraph" w:styleId="1054" w:customStyle="1">
    <w:name w:val="段落"/>
    <w:link w:val="1053"/>
    <w:uiPriority w:val="0"/>
    <w:qFormat/>
    <w:pPr>
      <w:ind w:firstLine="640"/>
      <w:jc w:val="both"/>
      <w:spacing w:before="120" w:after="120" w:line="360" w:lineRule="auto"/>
    </w:pPr>
    <w:rPr>
      <w:rFonts w:hint="default" w:ascii="Times New Roman" w:hAnsi="Times New Roman" w:eastAsia="仿宋_GB2312" w:cs="Times New Roman"/>
      <w:sz w:val="32"/>
      <w:szCs w:val="32"/>
      <w:lang w:val="en-US" w:eastAsia="zh-CN" w:bidi="ar-SA"/>
    </w:rPr>
  </w:style>
  <w:style w:type="character" w:styleId="1055" w:customStyle="1">
    <w:name w:val="font131"/>
    <w:uiPriority w:val="0"/>
    <w:qFormat/>
    <w:rPr>
      <w:rFonts w:ascii="Wingdings 2" w:hAnsi="Wingdings 2" w:eastAsia="Wingdings 2" w:cs="Wingdings 2"/>
      <w:color w:val="000000"/>
      <w:sz w:val="20"/>
      <w:szCs w:val="20"/>
      <w:u w:val="none"/>
    </w:rPr>
  </w:style>
  <w:style w:type="character" w:styleId="1056" w:customStyle="1">
    <w:name w:val="一级缩进 Char"/>
    <w:link w:val="1057"/>
    <w:uiPriority w:val="0"/>
    <w:qFormat/>
    <w:rPr>
      <w:rFonts w:eastAsia="仿宋_GB2312"/>
      <w:sz w:val="32"/>
      <w:szCs w:val="32"/>
      <w:lang w:val="en-US" w:eastAsia="zh-CN" w:bidi="ar-SA"/>
    </w:rPr>
  </w:style>
  <w:style w:type="paragraph" w:styleId="1057" w:customStyle="1">
    <w:name w:val="一级缩进"/>
    <w:link w:val="1056"/>
    <w:uiPriority w:val="0"/>
    <w:qFormat/>
    <w:pPr>
      <w:ind w:left="987"/>
      <w:jc w:val="both"/>
      <w:spacing w:before="120" w:after="120" w:line="360" w:lineRule="auto"/>
      <w:tabs>
        <w:tab w:val="left" w:pos="720" w:leader="none"/>
      </w:tabs>
    </w:pPr>
    <w:rPr>
      <w:rFonts w:hint="default" w:ascii="Times New Roman" w:hAnsi="Times New Roman" w:eastAsia="仿宋_GB2312" w:cs="Times New Roman"/>
      <w:sz w:val="32"/>
      <w:szCs w:val="32"/>
      <w:lang w:val="en-US" w:eastAsia="zh-CN" w:bidi="ar-SA"/>
    </w:rPr>
  </w:style>
  <w:style w:type="character" w:styleId="1058" w:customStyle="1">
    <w:name w:val="正文文本 3 Char1"/>
    <w:uiPriority w:val="99"/>
    <w:semiHidden/>
    <w:qFormat/>
    <w:rPr>
      <w:sz w:val="16"/>
      <w:szCs w:val="16"/>
    </w:rPr>
  </w:style>
  <w:style w:type="character" w:styleId="1059" w:customStyle="1">
    <w:name w:val="apple-style-span"/>
    <w:uiPriority w:val="0"/>
    <w:qFormat/>
  </w:style>
  <w:style w:type="character" w:styleId="1060" w:customStyle="1">
    <w:name w:val="批注框文本 Char1"/>
    <w:uiPriority w:val="99"/>
    <w:semiHidden/>
    <w:qFormat/>
    <w:rPr>
      <w:rFonts w:ascii="Times New Roman" w:hAnsi="Times New Roman"/>
      <w:sz w:val="18"/>
      <w:szCs w:val="18"/>
    </w:rPr>
  </w:style>
  <w:style w:type="character" w:styleId="1061" w:customStyle="1">
    <w:name w:val="font221"/>
    <w:uiPriority w:val="0"/>
    <w:qFormat/>
    <w:rPr>
      <w:rFonts w:hint="eastAsia" w:ascii="宋体" w:hAnsi="宋体" w:eastAsia="宋体" w:cs="宋体"/>
      <w:b/>
      <w:color w:val="000000"/>
      <w:sz w:val="20"/>
      <w:szCs w:val="20"/>
      <w:u w:val="none"/>
    </w:rPr>
  </w:style>
  <w:style w:type="character" w:styleId="1062" w:customStyle="1">
    <w:name w:val="font61"/>
    <w:uiPriority w:val="0"/>
    <w:qFormat/>
    <w:rPr>
      <w:rFonts w:hint="eastAsia" w:ascii="宋体" w:hAnsi="宋体" w:eastAsia="宋体" w:cs="宋体"/>
      <w:color w:val="000000"/>
      <w:sz w:val="20"/>
      <w:szCs w:val="20"/>
      <w:u w:val="none"/>
    </w:rPr>
  </w:style>
  <w:style w:type="character" w:styleId="1063" w:customStyle="1">
    <w:name w:val="top_title1"/>
    <w:uiPriority w:val="0"/>
    <w:qFormat/>
    <w:rPr>
      <w:b/>
      <w:bCs/>
      <w:color w:val="333333"/>
      <w:sz w:val="24"/>
      <w:szCs w:val="24"/>
    </w:rPr>
  </w:style>
  <w:style w:type="character" w:styleId="1064" w:customStyle="1">
    <w:name w:val="font81"/>
    <w:uiPriority w:val="0"/>
    <w:qFormat/>
    <w:rPr>
      <w:rFonts w:ascii="Symbol" w:hAnsi="Symbol" w:cs="Symbol"/>
      <w:color w:val="000000"/>
      <w:sz w:val="20"/>
      <w:szCs w:val="20"/>
      <w:u w:val="none"/>
    </w:rPr>
  </w:style>
  <w:style w:type="character" w:styleId="1065" w:customStyle="1">
    <w:name w:val="font141"/>
    <w:uiPriority w:val="0"/>
    <w:qFormat/>
    <w:rPr>
      <w:rFonts w:hint="eastAsia" w:ascii="宋体" w:hAnsi="宋体" w:eastAsia="宋体" w:cs="宋体"/>
      <w:color w:val="ff0000"/>
      <w:sz w:val="20"/>
      <w:szCs w:val="20"/>
      <w:u w:val="none"/>
      <w:vertAlign w:val="superscript"/>
    </w:rPr>
  </w:style>
  <w:style w:type="character" w:styleId="1066" w:customStyle="1">
    <w:name w:val="正文文本缩进 Char1"/>
    <w:uiPriority w:val="99"/>
    <w:semiHidden/>
    <w:qFormat/>
  </w:style>
  <w:style w:type="character" w:styleId="1067" w:customStyle="1">
    <w:name w:val="正文缩进 Char1"/>
    <w:uiPriority w:val="0"/>
    <w:qFormat/>
    <w:rPr>
      <w:rFonts w:ascii="Times New Roman" w:hAnsi="Times New Roman" w:eastAsia="宋体" w:cs="Times New Roman"/>
      <w:szCs w:val="20"/>
    </w:rPr>
  </w:style>
  <w:style w:type="character" w:styleId="1068" w:customStyle="1">
    <w:name w:val="font11"/>
    <w:uiPriority w:val="0"/>
    <w:qFormat/>
    <w:rPr>
      <w:rFonts w:hint="eastAsia" w:ascii="宋体" w:hAnsi="宋体" w:eastAsia="宋体" w:cs="宋体"/>
      <w:color w:val="000000"/>
      <w:sz w:val="20"/>
      <w:szCs w:val="20"/>
      <w:u w:val="none"/>
    </w:rPr>
  </w:style>
  <w:style w:type="character" w:styleId="1069" w:customStyle="1">
    <w:name w:val="表格样式居中 Char"/>
    <w:link w:val="1070"/>
    <w:uiPriority w:val="0"/>
    <w:qFormat/>
    <w:rPr>
      <w:rFonts w:ascii="宋体" w:hAnsi="宋体"/>
      <w:bCs/>
      <w:sz w:val="21"/>
      <w:szCs w:val="21"/>
      <w:lang w:val="zh-CN" w:eastAsia="zh-CN" w:bidi="ar-SA"/>
    </w:rPr>
  </w:style>
  <w:style w:type="paragraph" w:styleId="1070" w:customStyle="1">
    <w:name w:val="表格样式居中"/>
    <w:link w:val="1069"/>
    <w:uiPriority w:val="0"/>
    <w:qFormat/>
    <w:pPr>
      <w:jc w:val="center"/>
      <w:spacing w:line="360" w:lineRule="auto"/>
    </w:pPr>
    <w:rPr>
      <w:rFonts w:hint="default" w:ascii="宋体" w:hAnsi="宋体" w:eastAsia="宋体" w:cs="Times New Roman"/>
      <w:bCs/>
      <w:sz w:val="21"/>
      <w:szCs w:val="21"/>
      <w:lang w:val="zh-CN" w:eastAsia="zh-CN" w:bidi="ar-SA"/>
    </w:rPr>
  </w:style>
  <w:style w:type="character" w:styleId="1071" w:customStyle="1">
    <w:name w:val="正文文本缩进 2 Char1"/>
    <w:uiPriority w:val="99"/>
    <w:semiHidden/>
    <w:qFormat/>
  </w:style>
  <w:style w:type="character" w:styleId="1072" w:customStyle="1">
    <w:name w:val="font161"/>
    <w:uiPriority w:val="0"/>
    <w:qFormat/>
    <w:rPr>
      <w:rFonts w:hint="eastAsia" w:ascii="宋体" w:hAnsi="宋体" w:eastAsia="宋体" w:cs="宋体"/>
      <w:b/>
      <w:color w:val="ff0000"/>
      <w:sz w:val="20"/>
      <w:szCs w:val="20"/>
      <w:u w:val="none"/>
    </w:rPr>
  </w:style>
  <w:style w:type="character" w:styleId="1073" w:customStyle="1">
    <w:name w:val="批注主题 Char1"/>
    <w:uiPriority w:val="99"/>
    <w:semiHidden/>
    <w:qFormat/>
    <w:rPr>
      <w:rFonts w:ascii="Times New Roman" w:hAnsi="Times New Roman" w:eastAsia="宋体" w:cs="Times New Roman"/>
      <w:b/>
      <w:bCs/>
      <w:szCs w:val="24"/>
    </w:rPr>
  </w:style>
  <w:style w:type="character" w:styleId="1074" w:customStyle="1">
    <w:name w:val="font51"/>
    <w:uiPriority w:val="0"/>
    <w:qFormat/>
    <w:rPr>
      <w:rFonts w:hint="eastAsia" w:ascii="宋体" w:hAnsi="宋体" w:eastAsia="宋体" w:cs="宋体"/>
      <w:b/>
      <w:color w:val="000000"/>
      <w:sz w:val="20"/>
      <w:szCs w:val="20"/>
      <w:u w:val="none"/>
    </w:rPr>
  </w:style>
  <w:style w:type="character" w:styleId="1075" w:customStyle="1">
    <w:name w:val="font01"/>
    <w:basedOn w:val="772"/>
    <w:uiPriority w:val="0"/>
    <w:qFormat/>
    <w:rPr>
      <w:rFonts w:hint="eastAsia" w:ascii="宋体" w:hAnsi="宋体" w:eastAsia="宋体"/>
      <w:color w:val="000000"/>
      <w:sz w:val="24"/>
      <w:szCs w:val="24"/>
      <w:u w:val="none"/>
    </w:rPr>
  </w:style>
  <w:style w:type="character" w:styleId="1076" w:customStyle="1">
    <w:name w:val="批注文字 Char"/>
    <w:uiPriority w:val="99"/>
    <w:qFormat/>
    <w:rPr>
      <w:sz w:val="21"/>
      <w:szCs w:val="22"/>
    </w:rPr>
  </w:style>
  <w:style w:type="character" w:styleId="1077" w:customStyle="1">
    <w:name w:val="unnamed11"/>
    <w:uiPriority w:val="99"/>
    <w:qFormat/>
    <w:rPr>
      <w:rFonts w:hint="eastAsia" w:ascii="宋体" w:hAnsi="宋体" w:eastAsia="宋体"/>
      <w:sz w:val="21"/>
      <w:szCs w:val="21"/>
    </w:rPr>
  </w:style>
  <w:style w:type="character" w:styleId="1078" w:customStyle="1">
    <w:name w:val="font71"/>
    <w:uiPriority w:val="0"/>
    <w:qFormat/>
    <w:rPr>
      <w:rFonts w:hint="eastAsia" w:ascii="宋体" w:hAnsi="宋体" w:eastAsia="宋体" w:cs="宋体"/>
      <w:color w:val="000000"/>
      <w:sz w:val="20"/>
      <w:szCs w:val="20"/>
      <w:u w:val="none"/>
    </w:rPr>
  </w:style>
  <w:style w:type="character" w:styleId="1079" w:customStyle="1">
    <w:name w:val="Char Char8"/>
    <w:uiPriority w:val="0"/>
    <w:qFormat/>
    <w:rPr>
      <w:rFonts w:ascii="Calibri" w:hAnsi="Calibri" w:eastAsia="宋体" w:cs="Times New Roman"/>
      <w:b/>
      <w:bCs/>
      <w:sz w:val="28"/>
      <w:szCs w:val="28"/>
    </w:rPr>
  </w:style>
  <w:style w:type="character" w:styleId="1080" w:customStyle="1">
    <w:name w:val="Char Char11"/>
    <w:uiPriority w:val="0"/>
    <w:qFormat/>
    <w:rPr>
      <w:rFonts w:ascii="Arial" w:hAnsi="Arial" w:eastAsia="宋体" w:cs="Times New Roman"/>
      <w:b/>
      <w:bCs/>
      <w:sz w:val="28"/>
      <w:szCs w:val="36"/>
    </w:rPr>
  </w:style>
  <w:style w:type="character" w:styleId="1081" w:customStyle="1">
    <w:name w:val="Char Char12"/>
    <w:uiPriority w:val="0"/>
    <w:qFormat/>
    <w:rPr>
      <w:b/>
      <w:bCs/>
      <w:sz w:val="44"/>
      <w:szCs w:val="44"/>
    </w:rPr>
  </w:style>
  <w:style w:type="character" w:styleId="1082" w:customStyle="1">
    <w:name w:val="font111"/>
    <w:uiPriority w:val="0"/>
    <w:qFormat/>
    <w:rPr>
      <w:rFonts w:hint="eastAsia" w:ascii="宋体" w:hAnsi="宋体" w:eastAsia="宋体" w:cs="宋体"/>
      <w:color w:val="ff0000"/>
      <w:sz w:val="18"/>
      <w:szCs w:val="18"/>
      <w:u w:val="none"/>
    </w:rPr>
  </w:style>
  <w:style w:type="character" w:styleId="1083" w:customStyle="1">
    <w:name w:val="font21"/>
    <w:basedOn w:val="772"/>
    <w:uiPriority w:val="0"/>
    <w:qFormat/>
    <w:rPr>
      <w:rFonts w:hint="eastAsia" w:ascii="仿宋_GB2312" w:hAnsi="Times New Roman" w:eastAsia="仿宋_GB2312" w:cs="仿宋_GB2312"/>
      <w:color w:val="000000"/>
      <w:sz w:val="22"/>
      <w:szCs w:val="22"/>
      <w:u w:val="none"/>
    </w:rPr>
  </w:style>
  <w:style w:type="character" w:styleId="1084" w:customStyle="1">
    <w:name w:val="无间隔 Char"/>
    <w:link w:val="1085"/>
    <w:uiPriority w:val="0"/>
    <w:qFormat/>
    <w:rPr>
      <w:sz w:val="21"/>
      <w:szCs w:val="22"/>
      <w:lang w:val="en-US" w:eastAsia="zh-CN" w:bidi="ar-SA"/>
    </w:rPr>
  </w:style>
  <w:style w:type="paragraph" w:styleId="1085" w:customStyle="1">
    <w:name w:val="msonospacing"/>
    <w:link w:val="1084"/>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86" w:customStyle="1">
    <w:name w:val="font211"/>
    <w:uiPriority w:val="0"/>
    <w:qFormat/>
    <w:rPr>
      <w:rFonts w:hint="eastAsia" w:ascii="宋体" w:hAnsi="宋体" w:eastAsia="宋体" w:cs="宋体"/>
      <w:color w:val="ff0000"/>
      <w:sz w:val="20"/>
      <w:szCs w:val="20"/>
      <w:u w:val="none"/>
      <w:vertAlign w:val="superscript"/>
    </w:rPr>
  </w:style>
  <w:style w:type="character" w:styleId="1087" w:customStyle="1">
    <w:name w:val="NormalCharacter"/>
    <w:uiPriority w:val="0"/>
    <w:qFormat/>
    <w:rPr>
      <w:sz w:val="21"/>
      <w:szCs w:val="22"/>
      <w:lang w:val="en-US" w:eastAsia="zh-CN" w:bidi="ar-SA"/>
    </w:rPr>
  </w:style>
  <w:style w:type="character" w:styleId="1088" w:customStyle="1">
    <w:name w:val="font171"/>
    <w:uiPriority w:val="0"/>
    <w:qFormat/>
    <w:rPr>
      <w:rFonts w:hint="eastAsia" w:ascii="宋体" w:hAnsi="宋体" w:eastAsia="宋体" w:cs="宋体"/>
      <w:color w:val="000000"/>
      <w:sz w:val="20"/>
      <w:szCs w:val="20"/>
      <w:u w:val="none"/>
    </w:rPr>
  </w:style>
  <w:style w:type="character" w:styleId="1089" w:customStyle="1">
    <w:name w:val="项目排列 Char"/>
    <w:link w:val="1090"/>
    <w:uiPriority w:val="0"/>
    <w:qFormat/>
    <w:rPr>
      <w:sz w:val="24"/>
      <w:szCs w:val="24"/>
    </w:rPr>
  </w:style>
  <w:style w:type="paragraph" w:styleId="1090" w:customStyle="1">
    <w:name w:val="项目排列"/>
    <w:basedOn w:val="762"/>
    <w:link w:val="1089"/>
    <w:uiPriority w:val="0"/>
    <w:qFormat/>
    <w:pPr>
      <w:numPr>
        <w:ilvl w:val="0"/>
        <w:numId w:val="4"/>
      </w:numPr>
      <w:spacing w:before="156" w:after="156" w:line="300" w:lineRule="auto"/>
      <w:tabs>
        <w:tab w:val="left" w:pos="900" w:leader="none"/>
      </w:tabs>
    </w:pPr>
    <w:rPr>
      <w:sz w:val="24"/>
      <w:szCs w:val="24"/>
    </w:rPr>
  </w:style>
  <w:style w:type="character" w:styleId="1091" w:customStyle="1">
    <w:name w:val="hover4"/>
    <w:uiPriority w:val="0"/>
    <w:qFormat/>
    <w:rPr>
      <w:color w:val="999999"/>
    </w:rPr>
  </w:style>
  <w:style w:type="character" w:styleId="1092" w:customStyle="1">
    <w:name w:val="font91"/>
    <w:uiPriority w:val="0"/>
    <w:qFormat/>
    <w:rPr>
      <w:rFonts w:hint="eastAsia" w:ascii="宋体" w:hAnsi="宋体" w:eastAsia="宋体" w:cs="宋体"/>
      <w:color w:val="000000"/>
      <w:sz w:val="16"/>
      <w:szCs w:val="16"/>
      <w:u w:val="none"/>
    </w:rPr>
  </w:style>
  <w:style w:type="paragraph" w:styleId="1093" w:customStyle="1">
    <w:name w:val="Char"/>
    <w:basedOn w:val="762"/>
    <w:uiPriority w:val="0"/>
    <w:qFormat/>
    <w:pPr>
      <w:ind w:left="1350" w:hanging="1350"/>
      <w:tabs>
        <w:tab w:val="left" w:pos="1350" w:leader="none"/>
      </w:tabs>
    </w:pPr>
    <w:rPr>
      <w:sz w:val="24"/>
      <w:szCs w:val="24"/>
    </w:rPr>
  </w:style>
  <w:style w:type="paragraph" w:styleId="1094" w:customStyle="1">
    <w:name w:val="正文 1.1.1"/>
    <w:basedOn w:val="762"/>
    <w:next w:val="762"/>
    <w:uiPriority w:val="0"/>
    <w:qFormat/>
    <w:pPr>
      <w:numPr>
        <w:ilvl w:val="2"/>
        <w:numId w:val="5"/>
      </w:numPr>
      <w:outlineLvl w:val="2"/>
    </w:pPr>
    <w:rPr>
      <w:rFonts w:hAnsi="宋体"/>
      <w:color w:val="ff0000"/>
    </w:rPr>
  </w:style>
  <w:style w:type="paragraph" w:styleId="1095" w:customStyle="1">
    <w:name w:val="Default Paragraph Font Para Char"/>
    <w:basedOn w:val="762"/>
    <w:uiPriority w:val="0"/>
    <w:qFormat/>
    <w:pPr>
      <w:jc w:val="left"/>
      <w:spacing w:before="156" w:after="160" w:line="240" w:lineRule="exact"/>
      <w:widowControl/>
    </w:pPr>
    <w:rPr>
      <w:rFonts w:ascii="Verdana" w:hAnsi="Verdana"/>
      <w:sz w:val="20"/>
      <w:szCs w:val="20"/>
      <w:lang w:eastAsia="en-US"/>
    </w:rPr>
  </w:style>
  <w:style w:type="paragraph" w:styleId="1096" w:customStyle="1">
    <w:name w:val="unnamed1"/>
    <w:basedOn w:val="762"/>
    <w:uiPriority w:val="0"/>
    <w:qFormat/>
    <w:pPr>
      <w:jc w:val="left"/>
      <w:spacing w:before="100" w:beforeAutospacing="1" w:after="100" w:afterAutospacing="1" w:line="288" w:lineRule="auto"/>
      <w:widowControl/>
    </w:pPr>
    <w:rPr>
      <w:rFonts w:hint="eastAsia" w:ascii="宋体" w:hAnsi="宋体"/>
      <w:szCs w:val="21"/>
    </w:rPr>
  </w:style>
  <w:style w:type="paragraph" w:styleId="1097" w:customStyle="1">
    <w:name w:val="正文缩进1"/>
    <w:basedOn w:val="762"/>
    <w:uiPriority w:val="0"/>
    <w:qFormat/>
    <w:pPr>
      <w:ind w:firstLine="420"/>
      <w:jc w:val="left"/>
      <w:spacing w:line="360" w:lineRule="auto"/>
      <w:widowControl/>
    </w:pPr>
    <w:rPr>
      <w:rFonts w:ascii="宋体"/>
      <w:sz w:val="20"/>
      <w:szCs w:val="20"/>
    </w:rPr>
  </w:style>
  <w:style w:type="paragraph" w:styleId="1098" w:customStyle="1">
    <w:name w:val="Char1"/>
    <w:basedOn w:val="762"/>
    <w:uiPriority w:val="0"/>
    <w:qFormat/>
    <w:rPr>
      <w:rFonts w:ascii="仿宋_GB2312" w:eastAsia="仿宋_GB2312"/>
      <w:b/>
      <w:sz w:val="32"/>
      <w:szCs w:val="32"/>
    </w:rPr>
  </w:style>
  <w:style w:type="paragraph" w:styleId="1099" w:customStyle="1">
    <w:name w:val="文档正文"/>
    <w:basedOn w:val="762"/>
    <w:uiPriority w:val="0"/>
    <w:qFormat/>
    <w:pPr>
      <w:ind w:firstLine="567"/>
      <w:spacing w:line="480" w:lineRule="atLeast"/>
    </w:pPr>
    <w:rPr>
      <w:rFonts w:ascii="仿宋_GB2312" w:eastAsia="仿宋_GB2312"/>
      <w:sz w:val="28"/>
      <w:szCs w:val="24"/>
    </w:rPr>
  </w:style>
  <w:style w:type="paragraph" w:styleId="1100" w:customStyle="1">
    <w:name w:val="二级目录"/>
    <w:next w:val="762"/>
    <w:uiPriority w:val="0"/>
    <w:qFormat/>
    <w:pPr>
      <w:numPr>
        <w:ilvl w:val="0"/>
        <w:numId w:val="6"/>
      </w:numPr>
      <w:outlineLvl w:val="1"/>
    </w:pPr>
    <w:rPr>
      <w:rFonts w:hint="default" w:ascii="Times New Roman" w:hAnsi="Times New Roman" w:eastAsia="宋体" w:cs="Times New Roman"/>
      <w:b/>
      <w:sz w:val="30"/>
      <w:szCs w:val="28"/>
      <w:lang w:val="en-US" w:eastAsia="zh-CN" w:bidi="ar-SA"/>
    </w:rPr>
  </w:style>
  <w:style w:type="paragraph" w:styleId="1101" w:customStyle="1">
    <w:name w:val="List Paragraph1"/>
    <w:basedOn w:val="762"/>
    <w:uiPriority w:val="0"/>
    <w:qFormat/>
    <w:pPr>
      <w:ind w:firstLine="420"/>
    </w:pPr>
    <w:rPr>
      <w:szCs w:val="20"/>
    </w:rPr>
  </w:style>
  <w:style w:type="paragraph" w:styleId="1102" w:customStyle="1">
    <w:name w:val="_Style 2"/>
    <w:basedOn w:val="762"/>
    <w:uiPriority w:val="34"/>
    <w:qFormat/>
    <w:pPr>
      <w:ind w:firstLine="420"/>
    </w:pPr>
    <w:rPr>
      <w:szCs w:val="24"/>
    </w:rPr>
  </w:style>
  <w:style w:type="paragraph" w:styleId="1103" w:customStyle="1">
    <w:name w:val="正文 A"/>
    <w:uiPriority w:val="0"/>
    <w:qFormat/>
    <w:pPr>
      <w:jc w:val="both"/>
      <w:widowControl w:val="off"/>
      <w:framePr w:wrap="around" w:vAnchor="margin" w:hAnchor="text" w:yAlign="top"/>
    </w:pPr>
    <w:rPr>
      <w:rFonts w:hint="default" w:ascii="Times New Roman" w:hAnsi="Times New Roman" w:eastAsia="Arial Unicode MS" w:cs="Arial Unicode MS"/>
      <w:color w:val="000000"/>
      <w:sz w:val="21"/>
      <w:szCs w:val="21"/>
      <w:lang w:val="en-US" w:eastAsia="zh-CN" w:bidi="ar-SA"/>
    </w:rPr>
  </w:style>
  <w:style w:type="paragraph" w:styleId="1104" w:customStyle="1">
    <w:name w:val="文档标题"/>
    <w:basedOn w:val="762"/>
    <w:uiPriority w:val="0"/>
    <w:qFormat/>
    <w:pPr>
      <w:jc w:val="center"/>
      <w:spacing w:before="312" w:after="312" w:line="300" w:lineRule="auto"/>
    </w:pPr>
    <w:rPr>
      <w:rFonts w:ascii="Arial" w:hAnsi="Arial" w:eastAsia="黑体" w:cs="Arial"/>
      <w:b/>
      <w:sz w:val="48"/>
      <w:szCs w:val="32"/>
    </w:rPr>
  </w:style>
  <w:style w:type="paragraph" w:styleId="1105" w:customStyle="1">
    <w:name w:val="Char1 Char Char Char Char Char Char"/>
    <w:basedOn w:val="762"/>
    <w:uiPriority w:val="0"/>
    <w:qFormat/>
    <w:rPr>
      <w:szCs w:val="24"/>
    </w:rPr>
  </w:style>
  <w:style w:type="paragraph" w:styleId="1106" w:customStyle="1">
    <w:name w:val="Char Char Char Char Char Char Char"/>
    <w:basedOn w:val="777"/>
    <w:uiPriority w:val="0"/>
    <w:qFormat/>
    <w:pPr>
      <w:shd w:val="clear" w:color="auto" w:fill="000080"/>
    </w:pPr>
    <w:rPr>
      <w:rFonts w:ascii="Times New Roman"/>
      <w:sz w:val="21"/>
      <w:szCs w:val="20"/>
    </w:rPr>
  </w:style>
  <w:style w:type="paragraph" w:styleId="1107" w:customStyle="1">
    <w:name w:val="无间隔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8" w:customStyle="1">
    <w:name w:val="列表段落1"/>
    <w:basedOn w:val="762"/>
    <w:uiPriority w:val="34"/>
    <w:qFormat/>
    <w:pPr>
      <w:ind w:left="720"/>
    </w:pPr>
    <w:rPr>
      <w:szCs w:val="21"/>
    </w:rPr>
  </w:style>
  <w:style w:type="paragraph" w:styleId="1109" w:customStyle="1">
    <w:name w:val="普通正文"/>
    <w:basedOn w:val="1030"/>
    <w:uiPriority w:val="0"/>
    <w:qFormat/>
    <w:pPr>
      <w:jc w:val="left"/>
      <w:spacing w:before="120" w:after="120" w:line="360" w:lineRule="auto"/>
    </w:pPr>
    <w:rPr>
      <w:rFonts w:ascii="Arial" w:hAnsi="Arial" w:eastAsia="宋体"/>
      <w:szCs w:val="24"/>
    </w:rPr>
  </w:style>
  <w:style w:type="paragraph" w:styleId="1110" w:customStyle="1">
    <w:name w:val="正文 1.1"/>
    <w:basedOn w:val="762"/>
    <w:next w:val="1094"/>
    <w:uiPriority w:val="0"/>
    <w:qFormat/>
    <w:pPr>
      <w:numPr>
        <w:ilvl w:val="1"/>
        <w:numId w:val="5"/>
      </w:numPr>
      <w:ind w:firstLine="550"/>
      <w:outlineLvl w:val="1"/>
    </w:pPr>
    <w:rPr>
      <w:rFonts w:ascii="仿宋" w:hAnsi="仿宋"/>
      <w:b/>
    </w:rPr>
  </w:style>
  <w:style w:type="paragraph" w:styleId="1111" w:customStyle="1">
    <w:name w:val="Table Paragraph"/>
    <w:basedOn w:val="762"/>
    <w:uiPriority w:val="1"/>
    <w:qFormat/>
    <w:rPr>
      <w:rFonts w:ascii="Calibri" w:hAnsi="Calibri"/>
      <w:lang w:eastAsia="en-US"/>
    </w:rPr>
  </w:style>
  <w:style w:type="paragraph" w:styleId="1112"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113" w:customStyle="1">
    <w:name w:val="Normal_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4" w:customStyle="1">
    <w:name w:val="CD 正文"/>
    <w:basedOn w:val="762"/>
    <w:uiPriority w:val="0"/>
    <w:qFormat/>
    <w:pPr>
      <w:jc w:val="left"/>
    </w:pPr>
    <w:rPr>
      <w:rFonts w:ascii="Arial" w:hAnsi="Arial" w:eastAsia="微软雅黑" w:cs="Arial"/>
      <w:szCs w:val="21"/>
    </w:rPr>
  </w:style>
  <w:style w:type="paragraph" w:styleId="1115" w:customStyle="1">
    <w:name w:val="纯文本1"/>
    <w:uiPriority w:val="0"/>
    <w:qFormat/>
    <w:pPr>
      <w:spacing w:before="100" w:after="100"/>
      <w:framePr w:wrap="around" w:vAnchor="margin" w:hAnchor="text" w:yAlign="top"/>
    </w:pPr>
    <w:rPr>
      <w:rFonts w:hint="default" w:ascii="宋体" w:hAnsi="宋体" w:eastAsia="宋体" w:cs="宋体"/>
      <w:color w:val="000000"/>
      <w:sz w:val="24"/>
      <w:szCs w:val="24"/>
      <w:lang w:val="en-US" w:eastAsia="zh-CN" w:bidi="ar-SA"/>
    </w:rPr>
  </w:style>
  <w:style w:type="paragraph" w:styleId="1116" w:customStyle="1">
    <w:name w:val="Char2"/>
    <w:basedOn w:val="762"/>
    <w:uiPriority w:val="0"/>
    <w:qFormat/>
    <w:pPr>
      <w:ind w:firstLine="200"/>
      <w:tabs>
        <w:tab w:val="left" w:pos="360" w:leader="none"/>
      </w:tabs>
    </w:pPr>
    <w:rPr>
      <w:sz w:val="28"/>
      <w:szCs w:val="30"/>
    </w:rPr>
  </w:style>
  <w:style w:type="paragraph" w:styleId="1117" w:customStyle="1">
    <w:name w:val="FUNO正文"/>
    <w:uiPriority w:val="0"/>
    <w:qFormat/>
    <w:pPr>
      <w:ind w:firstLine="480"/>
      <w:jc w:val="both"/>
      <w:spacing w:line="360" w:lineRule="auto"/>
    </w:pPr>
    <w:rPr>
      <w:rFonts w:hint="default" w:ascii="宋体" w:hAnsi="宋体" w:eastAsia="宋体" w:cs="Times New Roman"/>
      <w:sz w:val="24"/>
      <w:szCs w:val="21"/>
      <w:lang w:val="en-US" w:eastAsia="zh-CN" w:bidi="ar-SA"/>
    </w:rPr>
  </w:style>
  <w:style w:type="paragraph" w:styleId="1118" w:customStyle="1">
    <w:name w:val="p0"/>
    <w:basedOn w:val="762"/>
    <w:uiPriority w:val="0"/>
    <w:qFormat/>
    <w:pPr>
      <w:widowControl/>
    </w:pPr>
    <w:rPr>
      <w:szCs w:val="21"/>
    </w:rPr>
  </w:style>
  <w:style w:type="paragraph" w:styleId="1119" w:customStyle="1">
    <w:name w:val="msonormal"/>
    <w:basedOn w:val="762"/>
    <w:uiPriority w:val="0"/>
    <w:qFormat/>
    <w:pPr>
      <w:jc w:val="left"/>
      <w:spacing w:before="100" w:beforeAutospacing="1" w:after="100" w:afterAutospacing="1"/>
      <w:widowControl/>
    </w:pPr>
    <w:rPr>
      <w:rFonts w:ascii="宋体" w:hAnsi="宋体" w:cs="宋体"/>
      <w:sz w:val="24"/>
      <w:szCs w:val="24"/>
    </w:rPr>
  </w:style>
  <w:style w:type="paragraph" w:styleId="1120" w:customStyle="1">
    <w:name w:val="font5"/>
    <w:basedOn w:val="762"/>
    <w:uiPriority w:val="0"/>
    <w:qFormat/>
    <w:pPr>
      <w:jc w:val="left"/>
      <w:spacing w:before="100" w:beforeAutospacing="1" w:after="100" w:afterAutospacing="1"/>
      <w:widowControl/>
    </w:pPr>
    <w:rPr>
      <w:rFonts w:ascii="宋体" w:hAnsi="宋体" w:cs="宋体"/>
      <w:sz w:val="18"/>
      <w:szCs w:val="18"/>
    </w:rPr>
  </w:style>
  <w:style w:type="paragraph" w:styleId="1121" w:customStyle="1">
    <w:name w:val="font6"/>
    <w:basedOn w:val="762"/>
    <w:uiPriority w:val="0"/>
    <w:qFormat/>
    <w:pPr>
      <w:jc w:val="left"/>
      <w:spacing w:before="100" w:beforeAutospacing="1" w:after="100" w:afterAutospacing="1"/>
      <w:widowControl/>
    </w:pPr>
    <w:rPr>
      <w:rFonts w:ascii="Calibri" w:hAnsi="Calibri" w:cs="Calibri"/>
      <w:sz w:val="18"/>
      <w:szCs w:val="18"/>
    </w:rPr>
  </w:style>
  <w:style w:type="paragraph" w:styleId="1122" w:customStyle="1">
    <w:name w:val="xl84"/>
    <w:basedOn w:val="762"/>
    <w:uiPriority w:val="0"/>
    <w:qFormat/>
    <w:pPr>
      <w:jc w:val="left"/>
      <w:spacing w:before="100" w:beforeAutospacing="1" w:after="100" w:afterAutospacing="1"/>
      <w:widowControl/>
    </w:pPr>
    <w:rPr>
      <w:rFonts w:ascii="宋体" w:hAnsi="宋体" w:cs="宋体"/>
      <w:color w:val="000000"/>
      <w:sz w:val="24"/>
      <w:szCs w:val="24"/>
    </w:rPr>
  </w:style>
  <w:style w:type="paragraph" w:styleId="1123" w:customStyle="1">
    <w:name w:val="xl85"/>
    <w:basedOn w:val="76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24" w:customStyle="1">
    <w:name w:val="xl86"/>
    <w:basedOn w:val="762"/>
    <w:uiPriority w:val="0"/>
    <w:qFormat/>
    <w:pPr>
      <w:jc w:val="left"/>
      <w:spacing w:before="100" w:beforeAutospacing="1" w:after="100" w:afterAutospacing="1"/>
      <w:widowControl/>
    </w:pPr>
    <w:rPr>
      <w:rFonts w:ascii="宋体" w:hAnsi="宋体" w:cs="宋体"/>
      <w:sz w:val="24"/>
      <w:szCs w:val="24"/>
    </w:rPr>
  </w:style>
  <w:style w:type="paragraph" w:styleId="1125" w:customStyle="1">
    <w:name w:val="xl87"/>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26" w:customStyle="1">
    <w:name w:val="xl88"/>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27" w:customStyle="1">
    <w:name w:val="xl89"/>
    <w:basedOn w:val="762"/>
    <w:uiPriority w:val="0"/>
    <w:qFormat/>
    <w:pPr>
      <w:jc w:val="left"/>
      <w:spacing w:before="100" w:beforeAutospacing="1" w:after="100" w:afterAutospacing="1"/>
      <w:widowControl/>
    </w:pPr>
    <w:rPr>
      <w:rFonts w:ascii="宋体" w:hAnsi="宋体" w:cs="宋体"/>
      <w:sz w:val="24"/>
      <w:szCs w:val="24"/>
    </w:rPr>
  </w:style>
  <w:style w:type="paragraph" w:styleId="1128" w:customStyle="1">
    <w:name w:val="xl90"/>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29" w:customStyle="1">
    <w:name w:val="xl91"/>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30" w:customStyle="1">
    <w:name w:val="xl92"/>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31" w:customStyle="1">
    <w:name w:val="xl93"/>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32" w:customStyle="1">
    <w:name w:val="xl94"/>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33" w:customStyle="1">
    <w:name w:val="xl95"/>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134" w:customStyle="1">
    <w:name w:val="xl96"/>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35" w:customStyle="1">
    <w:name w:val="xl97"/>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36" w:customStyle="1">
    <w:name w:val="xl98"/>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37" w:customStyle="1">
    <w:name w:val="xl99"/>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38" w:customStyle="1">
    <w:name w:val="xl100"/>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39" w:customStyle="1">
    <w:name w:val="xl101"/>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40" w:customStyle="1">
    <w:name w:val="xl102"/>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41" w:customStyle="1">
    <w:name w:val="xl103"/>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142" w:customStyle="1">
    <w:name w:val="xl104"/>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43" w:customStyle="1">
    <w:name w:val="xl105"/>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44" w:customStyle="1">
    <w:name w:val="xl106"/>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45" w:customStyle="1">
    <w:name w:val="xl107"/>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46" w:customStyle="1">
    <w:name w:val="xl108"/>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47" w:customStyle="1">
    <w:name w:val="xl109"/>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48" w:customStyle="1">
    <w:name w:val="xl110"/>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49" w:customStyle="1">
    <w:name w:val="xl111"/>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0" w:customStyle="1">
    <w:name w:val="xl112"/>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1" w:customStyle="1">
    <w:name w:val="xl113"/>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2" w:customStyle="1">
    <w:name w:val="xl115"/>
    <w:basedOn w:val="76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3" w:customStyle="1">
    <w:name w:val="xl116"/>
    <w:basedOn w:val="76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4" w:customStyle="1">
    <w:name w:val="xl117"/>
    <w:basedOn w:val="76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5" w:customStyle="1">
    <w:name w:val="xl118"/>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56" w:customStyle="1">
    <w:name w:val="xl119"/>
    <w:basedOn w:val="762"/>
    <w:uiPriority w:val="0"/>
    <w:qFormat/>
    <w:pPr>
      <w:jc w:val="center"/>
      <w:spacing w:before="100" w:beforeAutospacing="1" w:after="100" w:afterAutospacing="1"/>
      <w:widowControl/>
    </w:pPr>
    <w:rPr>
      <w:rFonts w:ascii="宋体" w:hAnsi="宋体" w:cs="宋体"/>
      <w:sz w:val="24"/>
      <w:szCs w:val="24"/>
    </w:rPr>
  </w:style>
  <w:style w:type="paragraph" w:styleId="1157" w:customStyle="1">
    <w:name w:val="xl120"/>
    <w:basedOn w:val="762"/>
    <w:uiPriority w:val="0"/>
    <w:qFormat/>
    <w:pPr>
      <w:jc w:val="center"/>
      <w:spacing w:before="100" w:beforeAutospacing="1" w:after="100" w:afterAutospacing="1"/>
      <w:widowControl/>
    </w:pPr>
    <w:rPr>
      <w:rFonts w:ascii="宋体" w:hAnsi="宋体" w:cs="宋体"/>
      <w:sz w:val="24"/>
      <w:szCs w:val="24"/>
    </w:rPr>
  </w:style>
  <w:style w:type="paragraph" w:styleId="1158" w:customStyle="1">
    <w:name w:val="xl121"/>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59" w:customStyle="1">
    <w:name w:val="xl122"/>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60" w:customStyle="1">
    <w:name w:val="xl123"/>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61" w:customStyle="1">
    <w:name w:val="xl124"/>
    <w:basedOn w:val="76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162" w:customStyle="1">
    <w:name w:val="xl125"/>
    <w:basedOn w:val="762"/>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163" w:customStyle="1">
    <w:name w:val="xl126"/>
    <w:basedOn w:val="76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164" w:customStyle="1">
    <w:name w:val="xl114"/>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5" w:customStyle="1">
    <w:name w:val="xl127"/>
    <w:basedOn w:val="76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166" w:customStyle="1">
    <w:name w:val="xl128"/>
    <w:basedOn w:val="762"/>
    <w:uiPriority w:val="0"/>
    <w:qFormat/>
    <w:pPr>
      <w:jc w:val="center"/>
      <w:spacing w:before="100" w:beforeAutospacing="1" w:after="100" w:afterAutospacing="1"/>
      <w:shd w:val="clear" w:color="000000" w:fill="d9e1f2"/>
      <w:widowControl/>
      <w:pBdr>
        <w:top w:val="single" w:color="auto" w:sz="4" w:space="0"/>
        <w:left w:val="single" w:color="auto" w:sz="4" w:space="0"/>
        <w:bottom w:val="single" w:color="auto" w:sz="4" w:space="0"/>
        <w:right w:val="single" w:color="auto" w:sz="4" w:space="0"/>
      </w:pBdr>
    </w:pPr>
    <w:rPr>
      <w:rFonts w:ascii="宋体" w:hAnsi="宋体" w:cs="宋体"/>
      <w:b/>
      <w:bCs/>
      <w:sz w:val="30"/>
      <w:szCs w:val="30"/>
    </w:rPr>
  </w:style>
  <w:style w:type="paragraph" w:styleId="1167" w:customStyle="1">
    <w:name w:val="xl129"/>
    <w:basedOn w:val="762"/>
    <w:uiPriority w:val="0"/>
    <w:qFormat/>
    <w:pPr>
      <w:jc w:val="center"/>
      <w:spacing w:before="100" w:beforeAutospacing="1" w:after="100" w:afterAutospacing="1"/>
      <w:shd w:val="clear" w:color="000000" w:fill="d9e1f2"/>
      <w:widowControl/>
      <w:pBdr>
        <w:top w:val="single" w:color="auto" w:sz="4" w:space="0"/>
        <w:left w:val="single" w:color="auto" w:sz="4" w:space="0"/>
        <w:bottom w:val="single" w:color="auto" w:sz="4" w:space="0"/>
      </w:pBdr>
    </w:pPr>
    <w:rPr>
      <w:rFonts w:ascii="宋体" w:hAnsi="宋体" w:cs="宋体"/>
      <w:sz w:val="24"/>
      <w:szCs w:val="24"/>
    </w:rPr>
  </w:style>
  <w:style w:type="paragraph" w:styleId="1168" w:customStyle="1">
    <w:name w:val="xl130"/>
    <w:basedOn w:val="762"/>
    <w:uiPriority w:val="0"/>
    <w:qFormat/>
    <w:pPr>
      <w:jc w:val="center"/>
      <w:spacing w:before="100" w:beforeAutospacing="1" w:after="100" w:afterAutospacing="1"/>
      <w:shd w:val="clear" w:color="000000" w:fill="d9e1f2"/>
      <w:widowControl/>
      <w:pBdr>
        <w:top w:val="single" w:color="auto" w:sz="4" w:space="0"/>
        <w:bottom w:val="single" w:color="auto" w:sz="4" w:space="0"/>
      </w:pBdr>
    </w:pPr>
    <w:rPr>
      <w:rFonts w:ascii="宋体" w:hAnsi="宋体" w:cs="宋体"/>
      <w:sz w:val="24"/>
      <w:szCs w:val="24"/>
    </w:rPr>
  </w:style>
  <w:style w:type="paragraph" w:styleId="1169" w:customStyle="1">
    <w:name w:val="xl131"/>
    <w:basedOn w:val="76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170" w:customStyle="1">
    <w:name w:val="xl132"/>
    <w:basedOn w:val="762"/>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4"/>
      <w:szCs w:val="24"/>
    </w:rPr>
  </w:style>
  <w:style w:type="paragraph" w:styleId="1171" w:customStyle="1">
    <w:name w:val="xl133"/>
    <w:basedOn w:val="76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1172" w:customStyle="1">
    <w:name w:val="xl134"/>
    <w:basedOn w:val="76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173" w:customStyle="1">
    <w:name w:val="xl135"/>
    <w:basedOn w:val="762"/>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174" w:customStyle="1">
    <w:name w:val="xl136"/>
    <w:basedOn w:val="76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175" w:customStyle="1">
    <w:name w:val="xl137"/>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76" w:customStyle="1">
    <w:name w:val="_Style 227"/>
    <w:uiPriority w:val="99"/>
    <w:semiHidden/>
    <w:qFormat/>
    <w:rPr>
      <w:rFonts w:hint="default" w:ascii="等线" w:hAnsi="等线" w:eastAsia="等线" w:cs="Times New Roman"/>
      <w:sz w:val="21"/>
      <w:szCs w:val="22"/>
      <w:lang w:val="en-US" w:eastAsia="zh-CN" w:bidi="ar-SA"/>
    </w:rPr>
  </w:style>
  <w:style w:type="paragraph" w:styleId="1177" w:customStyle="1">
    <w:name w:val="正文_0"/>
    <w:next w:val="762"/>
    <w:uiPriority w:val="3"/>
    <w:qFormat/>
    <w:pPr>
      <w:jc w:val="both"/>
      <w:widowControl w:val="off"/>
    </w:pPr>
    <w:rPr>
      <w:rFonts w:hint="default" w:ascii="Calibri" w:hAnsi="Calibri" w:eastAsia="宋体" w:cs="Times New Roman"/>
      <w:sz w:val="21"/>
      <w:lang w:val="en-US" w:eastAsia="zh-CN" w:bidi="ar-SA"/>
    </w:rPr>
  </w:style>
  <w:style w:type="paragraph" w:styleId="1178" w:customStyle="1">
    <w:name w:val="Char Char Char Char Char Char Char1 Char"/>
    <w:basedOn w:val="762"/>
    <w:uiPriority w:val="0"/>
    <w:qFormat/>
    <w:rPr>
      <w:rFonts w:ascii="Tahoma" w:hAnsi="Tahoma"/>
      <w:sz w:val="24"/>
      <w:szCs w:val="24"/>
    </w:rPr>
  </w:style>
  <w:style w:type="paragraph" w:styleId="1179" w:customStyle="1">
    <w:name w:val="TOC 11"/>
    <w:basedOn w:val="762"/>
    <w:next w:val="762"/>
    <w:uiPriority w:val="0"/>
    <w:qFormat/>
  </w:style>
  <w:style w:type="paragraph" w:styleId="1180" w:customStyle="1">
    <w:name w:val="标题 71"/>
    <w:basedOn w:val="762"/>
    <w:next w:val="762"/>
    <w:link w:val="1181"/>
    <w:uiPriority w:val="9"/>
    <w:unhideWhenUsed/>
    <w:qFormat/>
    <w:pPr>
      <w:keepLines/>
      <w:keepNext/>
      <w:spacing w:before="320" w:after="200"/>
      <w:outlineLvl w:val="6"/>
    </w:pPr>
    <w:rPr>
      <w:rFonts w:ascii="Arial" w:hAnsi="Arial" w:eastAsia="Arial"/>
      <w:b/>
      <w:bCs/>
      <w:i/>
      <w:iCs/>
      <w:sz w:val="22"/>
    </w:rPr>
  </w:style>
  <w:style w:type="character" w:styleId="1181" w:customStyle="1">
    <w:name w:val="Heading 7 Char"/>
    <w:link w:val="1180"/>
    <w:uiPriority w:val="9"/>
    <w:qFormat/>
    <w:rPr>
      <w:rFonts w:ascii="Arial" w:hAnsi="Arial" w:eastAsia="Arial" w:cs="Arial"/>
      <w:b/>
      <w:bCs/>
      <w:i/>
      <w:iCs/>
      <w:sz w:val="22"/>
      <w:szCs w:val="22"/>
    </w:rPr>
  </w:style>
  <w:style w:type="paragraph" w:styleId="1182" w:customStyle="1">
    <w:name w:val="正文文本缩进1"/>
    <w:basedOn w:val="762"/>
    <w:next w:val="762"/>
    <w:uiPriority w:val="99"/>
    <w:unhideWhenUsed/>
    <w:qFormat/>
    <w:pPr>
      <w:ind w:firstLine="540"/>
      <w:spacing w:line="400" w:lineRule="exact"/>
    </w:pPr>
    <w:rPr>
      <w:sz w:val="24"/>
    </w:rPr>
  </w:style>
  <w:style w:type="character" w:styleId="1183" w:customStyle="1">
    <w:name w:val="font31"/>
    <w:basedOn w:val="772"/>
    <w:uiPriority w:val="0"/>
    <w:qFormat/>
    <w:rPr>
      <w:rFonts w:hint="eastAsia" w:ascii="宋体" w:hAnsi="宋体" w:eastAsia="宋体" w:cs="宋体"/>
      <w:color w:val="000000"/>
      <w:sz w:val="24"/>
      <w:szCs w:val="24"/>
      <w:u w:val="none"/>
      <w:vertAlign w:val="superscript"/>
    </w:rPr>
  </w:style>
  <w:style w:type="paragraph" w:styleId="1184" w:customStyle="1">
    <w:name w:val="正文文本11"/>
    <w:basedOn w:val="762"/>
    <w:next w:val="762"/>
    <w:uiPriority w:val="0"/>
    <w:qFormat/>
    <w:rPr>
      <w:rFonts w:ascii="楷体_GB2312" w:hAnsi="Arial" w:eastAsia="楷体_GB2312"/>
      <w:sz w:val="28"/>
      <w:szCs w:val="28"/>
    </w:rPr>
  </w:style>
  <w:style w:type="paragraph" w:styleId="1185" w:customStyle="1">
    <w:name w:val="Table Text"/>
    <w:basedOn w:val="762"/>
    <w:uiPriority w:val="0"/>
    <w:semiHidden/>
    <w:qFormat/>
    <w:rPr>
      <w:rFonts w:ascii="宋体" w:hAnsi="宋体" w:eastAsia="宋体" w:cs="宋体"/>
      <w:sz w:val="18"/>
      <w:szCs w:val="18"/>
      <w:lang w:val="en-US" w:eastAsia="en-US" w:bidi="ar-SA"/>
    </w:rPr>
  </w:style>
  <w:style w:type="table" w:styleId="1186" w:customStyle="1">
    <w:name w:val="Table Normal"/>
    <w:uiPriority w:val="0"/>
    <w:semiHidden/>
    <w:unhideWhenUsed/>
    <w:qFormat/>
    <w:tblPr>
      <w:tblCellMar>
        <w:left w:w="0" w:type="dxa"/>
        <w:top w:w="0" w:type="dxa"/>
        <w:right w:w="0" w:type="dxa"/>
        <w:bottom w:w="0" w:type="dxa"/>
      </w:tblCellMar>
    </w:tblPr>
  </w:style>
  <w:style w:type="paragraph" w:styleId="1187" w:customStyle="1">
    <w:name w:val="首行缩进"/>
    <w:basedOn w:val="762"/>
    <w:uiPriority w:val="0"/>
    <w:qFormat/>
    <w:pPr>
      <w:ind w:firstLine="420"/>
      <w:spacing w:line="360" w:lineRule="auto"/>
    </w:pPr>
  </w:style>
  <w:style w:type="character" w:styleId="1188" w:customStyle="1">
    <w:name w:val="A13"/>
    <w:uiPriority w:val="99"/>
    <w:qFormat/>
    <w:rPr>
      <w:rFonts w:cs="......."/>
      <w:color w:val="000000"/>
      <w:sz w:val="11"/>
      <w:szCs w:val="11"/>
    </w:rPr>
  </w:style>
  <w:style w:type="numbering" w:styleId="112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WjwZc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林祖超</cp:lastModifiedBy>
  <cp:revision>16</cp:revision>
  <dcterms:created xsi:type="dcterms:W3CDTF">2024-10-14T08:05:00Z</dcterms:created>
  <dcterms:modified xsi:type="dcterms:W3CDTF">2026-01-16T07:31:00Z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EA508F5FD4B7422586D1B7D509450F23_13</vt:lpwstr>
  </property>
  <property fmtid="{D5CDD505-2E9C-101B-9397-08002B2CF9AE}" pid="4" name="KSOTemplateDocerSaveRecord">
    <vt:lpwstr>eyJoZGlkIjoiZTVkNzQ3OWEyMTdhMmNjZTE0YWI3MmE4NDZlMmFlODAiLCJ1c2VySWQiOiI0MTk2MzY1OTUifQ==</vt:lpwstr>
  </property>
</Properties>
</file>